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B9EFD" w14:textId="5E6B19FC" w:rsidR="00B5149B" w:rsidRPr="0046331A" w:rsidRDefault="00B5149B" w:rsidP="00B5149B">
      <w:pPr>
        <w:pStyle w:val="TitleofPaper"/>
      </w:pPr>
      <w:bookmarkStart w:id="0" w:name="_Int_y7zhZRyz"/>
      <w:r w:rsidRPr="0F9B3B87">
        <w:t xml:space="preserve">Progress in </w:t>
      </w:r>
      <w:r>
        <w:t>R</w:t>
      </w:r>
      <w:r w:rsidRPr="0F9B3B87">
        <w:t xml:space="preserve">esearch and </w:t>
      </w:r>
      <w:r>
        <w:t>D</w:t>
      </w:r>
      <w:r w:rsidRPr="0F9B3B87">
        <w:t xml:space="preserve">evelopment of </w:t>
      </w:r>
      <w:r>
        <w:t>Solid Oxide C</w:t>
      </w:r>
      <w:r w:rsidRPr="0F9B3B87">
        <w:t xml:space="preserve">ells, </w:t>
      </w:r>
      <w:r>
        <w:t>S</w:t>
      </w:r>
      <w:r w:rsidRPr="0F9B3B87">
        <w:t xml:space="preserve">tacks and </w:t>
      </w:r>
      <w:r>
        <w:t>S</w:t>
      </w:r>
      <w:r w:rsidRPr="0F9B3B87">
        <w:t>ystems at Forschungszentrum Jülich</w:t>
      </w:r>
      <w:bookmarkEnd w:id="0"/>
    </w:p>
    <w:p w14:paraId="46FBE2E1" w14:textId="77777777" w:rsidR="00B5149B" w:rsidRPr="000A4D46" w:rsidRDefault="00B5149B" w:rsidP="0055011B">
      <w:pPr>
        <w:pStyle w:val="TitleofPaper"/>
      </w:pPr>
    </w:p>
    <w:p w14:paraId="3A5D7559" w14:textId="61F65D34" w:rsidR="00B5149B" w:rsidRPr="00BF4BC1" w:rsidRDefault="00B5149B" w:rsidP="00B5149B">
      <w:pPr>
        <w:jc w:val="center"/>
        <w:rPr>
          <w:vertAlign w:val="superscript"/>
        </w:rPr>
      </w:pPr>
      <w:r w:rsidRPr="00BF4BC1">
        <w:t>F. Kunz</w:t>
      </w:r>
      <w:r w:rsidRPr="00BF4BC1">
        <w:rPr>
          <w:vertAlign w:val="superscript"/>
        </w:rPr>
        <w:t>a</w:t>
      </w:r>
      <w:r w:rsidRPr="00BF4BC1">
        <w:t>, R. Peters</w:t>
      </w:r>
      <w:r w:rsidRPr="00BF4BC1">
        <w:rPr>
          <w:vertAlign w:val="superscript"/>
        </w:rPr>
        <w:t>a</w:t>
      </w:r>
      <w:r w:rsidRPr="00BF4BC1">
        <w:t>, D. Schäfer</w:t>
      </w:r>
      <w:r w:rsidRPr="00BF4BC1">
        <w:rPr>
          <w:vertAlign w:val="superscript"/>
        </w:rPr>
        <w:t>a</w:t>
      </w:r>
      <w:r w:rsidRPr="00BF4BC1">
        <w:t>, S. Zhang</w:t>
      </w:r>
      <w:r w:rsidRPr="00BF4BC1">
        <w:rPr>
          <w:vertAlign w:val="superscript"/>
        </w:rPr>
        <w:t>a</w:t>
      </w:r>
      <w:r w:rsidRPr="00BF4BC1">
        <w:t>, N. Kruse</w:t>
      </w:r>
      <w:r w:rsidRPr="00BF4BC1">
        <w:rPr>
          <w:vertAlign w:val="superscript"/>
        </w:rPr>
        <w:t>a</w:t>
      </w:r>
      <w:r w:rsidRPr="00BF4BC1">
        <w:t>, L.</w:t>
      </w:r>
      <w:r w:rsidR="00420D80" w:rsidRPr="00BF4BC1">
        <w:t xml:space="preserve"> </w:t>
      </w:r>
      <w:r w:rsidRPr="00BF4BC1">
        <w:t>G.</w:t>
      </w:r>
      <w:r w:rsidR="00420D80" w:rsidRPr="00BF4BC1">
        <w:t xml:space="preserve"> </w:t>
      </w:r>
      <w:r w:rsidRPr="00BF4BC1">
        <w:t>J. de Haart</w:t>
      </w:r>
      <w:r w:rsidRPr="00BF4BC1">
        <w:rPr>
          <w:vertAlign w:val="superscript"/>
        </w:rPr>
        <w:t>a</w:t>
      </w:r>
      <w:r w:rsidRPr="00BF4BC1">
        <w:t>, V. Vibhu</w:t>
      </w:r>
      <w:r w:rsidRPr="00BF4BC1">
        <w:rPr>
          <w:vertAlign w:val="superscript"/>
        </w:rPr>
        <w:t>a</w:t>
      </w:r>
      <w:r w:rsidRPr="00BF4BC1">
        <w:t xml:space="preserve">, </w:t>
      </w:r>
      <w:r w:rsidR="00191E3F" w:rsidRPr="00BF4BC1">
        <w:t>R.-A. Eichel</w:t>
      </w:r>
      <w:r w:rsidR="00191E3F" w:rsidRPr="00BF4BC1">
        <w:rPr>
          <w:vertAlign w:val="superscript"/>
        </w:rPr>
        <w:t>a,b</w:t>
      </w:r>
      <w:r w:rsidR="005E460D" w:rsidRPr="00BF4BC1">
        <w:t xml:space="preserve">, </w:t>
      </w:r>
      <w:r w:rsidR="00420D80" w:rsidRPr="00BF4BC1">
        <w:t>N</w:t>
      </w:r>
      <w:r w:rsidR="00C71348" w:rsidRPr="00BF4BC1">
        <w:t>. </w:t>
      </w:r>
      <w:r w:rsidRPr="00BF4BC1">
        <w:t>H. Menzler</w:t>
      </w:r>
      <w:r w:rsidR="00191E3F" w:rsidRPr="00BF4BC1">
        <w:rPr>
          <w:vertAlign w:val="superscript"/>
        </w:rPr>
        <w:t>c</w:t>
      </w:r>
      <w:r w:rsidRPr="00BF4BC1">
        <w:t xml:space="preserve">, </w:t>
      </w:r>
      <w:r w:rsidR="00420D80" w:rsidRPr="00BF4BC1">
        <w:t>C.</w:t>
      </w:r>
      <w:r w:rsidRPr="00BF4BC1">
        <w:t xml:space="preserve"> Lenser</w:t>
      </w:r>
      <w:r w:rsidR="00191E3F" w:rsidRPr="00BF4BC1">
        <w:rPr>
          <w:vertAlign w:val="superscript"/>
        </w:rPr>
        <w:t>c</w:t>
      </w:r>
      <w:r w:rsidRPr="00BF4BC1">
        <w:t>, D. Naumenko</w:t>
      </w:r>
      <w:r w:rsidR="00191E3F" w:rsidRPr="00BF4BC1">
        <w:rPr>
          <w:vertAlign w:val="superscript"/>
        </w:rPr>
        <w:t>d</w:t>
      </w:r>
      <w:r w:rsidRPr="00BF4BC1">
        <w:t>, T. Kadyk</w:t>
      </w:r>
      <w:r w:rsidR="00191E3F" w:rsidRPr="00BF4BC1">
        <w:rPr>
          <w:vertAlign w:val="superscript"/>
        </w:rPr>
        <w:t>e</w:t>
      </w:r>
      <w:r w:rsidRPr="00BF4BC1">
        <w:t>, N. Margaritis</w:t>
      </w:r>
      <w:r w:rsidR="00191E3F" w:rsidRPr="00BF4BC1">
        <w:rPr>
          <w:vertAlign w:val="superscript"/>
        </w:rPr>
        <w:t>f</w:t>
      </w:r>
      <w:r w:rsidRPr="00BF4BC1">
        <w:t>, and S.</w:t>
      </w:r>
      <w:r w:rsidR="00BF7BD2" w:rsidRPr="00BF4BC1">
        <w:t>-M.</w:t>
      </w:r>
      <w:r w:rsidRPr="00BF4BC1">
        <w:t xml:space="preserve"> Groß-Barsnick</w:t>
      </w:r>
      <w:r w:rsidR="00191E3F" w:rsidRPr="00BF4BC1">
        <w:rPr>
          <w:vertAlign w:val="superscript"/>
        </w:rPr>
        <w:t>f</w:t>
      </w:r>
    </w:p>
    <w:p w14:paraId="7A5B09A8" w14:textId="77777777" w:rsidR="00B5149B" w:rsidRPr="00BF4BC1" w:rsidRDefault="00B5149B" w:rsidP="00DC72BF">
      <w:pPr>
        <w:pStyle w:val="EditorsandAffliations"/>
      </w:pPr>
    </w:p>
    <w:p w14:paraId="3A9D1EC4" w14:textId="6A0C6FF0" w:rsidR="00B5149B" w:rsidRDefault="00B5149B" w:rsidP="00B5149B">
      <w:pPr>
        <w:pStyle w:val="EditorsandAffliations"/>
      </w:pPr>
      <w:r w:rsidRPr="00B5149B">
        <w:rPr>
          <w:vertAlign w:val="superscript"/>
        </w:rPr>
        <w:t>a</w:t>
      </w:r>
      <w:r w:rsidRPr="00B5149B">
        <w:t xml:space="preserve"> Forschungszentrum Jülich GmbH, Institute of Energy and Climate Research</w:t>
      </w:r>
      <w:r>
        <w:t xml:space="preserve"> – Fundamental Electrochemistry</w:t>
      </w:r>
      <w:r w:rsidRPr="00B5149B">
        <w:t xml:space="preserve"> (IEK-9), 52428 Jülich, Germany</w:t>
      </w:r>
    </w:p>
    <w:p w14:paraId="7A2F3F5F" w14:textId="047BE397" w:rsidR="00191E3F" w:rsidRPr="00B5149B" w:rsidRDefault="00191E3F" w:rsidP="00B5149B">
      <w:pPr>
        <w:pStyle w:val="EditorsandAffliations"/>
      </w:pPr>
      <w:r w:rsidRPr="00191E3F">
        <w:rPr>
          <w:vertAlign w:val="superscript"/>
        </w:rPr>
        <w:t>b</w:t>
      </w:r>
      <w:r w:rsidRPr="00191E3F">
        <w:t xml:space="preserve"> </w:t>
      </w:r>
      <w:r w:rsidRPr="00BF4BC1">
        <w:t xml:space="preserve">RWTH Aachen University, Institute of Physical Chemistry, Templergraben 55, </w:t>
      </w:r>
      <w:r w:rsidRPr="00BF4BC1">
        <w:br/>
        <w:t>52074 Aachen, Germany</w:t>
      </w:r>
    </w:p>
    <w:p w14:paraId="7201CF02" w14:textId="05321A91" w:rsidR="00B5149B" w:rsidRPr="00B5149B" w:rsidRDefault="00191E3F" w:rsidP="00B5149B">
      <w:pPr>
        <w:pStyle w:val="EditorsandAffliations"/>
      </w:pPr>
      <w:r>
        <w:rPr>
          <w:vertAlign w:val="superscript"/>
        </w:rPr>
        <w:t>c</w:t>
      </w:r>
      <w:r w:rsidR="00B5149B" w:rsidRPr="00B5149B">
        <w:t xml:space="preserve"> Forschungszentrum Jülich GmbH, Institute of Energy and Climate Research</w:t>
      </w:r>
      <w:r w:rsidR="00B5149B">
        <w:t xml:space="preserve"> – Materials Synthesis and Processing</w:t>
      </w:r>
      <w:r w:rsidR="00B5149B" w:rsidRPr="00B5149B">
        <w:t xml:space="preserve"> (IEK-</w:t>
      </w:r>
      <w:r w:rsidR="00B5149B">
        <w:t>1</w:t>
      </w:r>
      <w:r w:rsidR="00B5149B" w:rsidRPr="00B5149B">
        <w:t>), 52428 Jülich, Germany</w:t>
      </w:r>
    </w:p>
    <w:p w14:paraId="00C06930" w14:textId="1D7648D6" w:rsidR="00B5149B" w:rsidRPr="00B5149B" w:rsidRDefault="00191E3F" w:rsidP="00B5149B">
      <w:pPr>
        <w:pStyle w:val="EditorsandAffliations"/>
      </w:pPr>
      <w:r>
        <w:rPr>
          <w:vertAlign w:val="superscript"/>
        </w:rPr>
        <w:t>d</w:t>
      </w:r>
      <w:r w:rsidR="00B5149B" w:rsidRPr="00B5149B">
        <w:t xml:space="preserve"> Forschungszentrum Jülich GmbH, Institute of Energy and Climate Research</w:t>
      </w:r>
      <w:r w:rsidR="00B5149B">
        <w:t xml:space="preserve"> – Microstructure and Properties</w:t>
      </w:r>
      <w:r w:rsidR="00B5149B" w:rsidRPr="00B5149B">
        <w:t xml:space="preserve"> (IEK-</w:t>
      </w:r>
      <w:r w:rsidR="00B5149B">
        <w:t>2</w:t>
      </w:r>
      <w:r w:rsidR="00B5149B" w:rsidRPr="00B5149B">
        <w:t>), 52428 Jülich, Germany</w:t>
      </w:r>
    </w:p>
    <w:p w14:paraId="368021EB" w14:textId="640780ED" w:rsidR="00B5149B" w:rsidRPr="00B5149B" w:rsidRDefault="00191E3F" w:rsidP="00B5149B">
      <w:pPr>
        <w:pStyle w:val="EditorsandAffliations"/>
      </w:pPr>
      <w:r>
        <w:rPr>
          <w:vertAlign w:val="superscript"/>
        </w:rPr>
        <w:t>e</w:t>
      </w:r>
      <w:r w:rsidR="00B5149B" w:rsidRPr="00B5149B">
        <w:t xml:space="preserve"> Forschungszentrum Jülich GmbH, Institute of Energy and Climate Research </w:t>
      </w:r>
      <w:r w:rsidR="00B5149B">
        <w:t xml:space="preserve">– Theory and Computation of Energy Materials </w:t>
      </w:r>
      <w:r w:rsidR="00B5149B" w:rsidRPr="00B5149B">
        <w:t>(IEK-</w:t>
      </w:r>
      <w:r w:rsidR="00B5149B">
        <w:t>13</w:t>
      </w:r>
      <w:r w:rsidR="00B5149B" w:rsidRPr="00B5149B">
        <w:t>), 52428 Jülich, Germany</w:t>
      </w:r>
    </w:p>
    <w:p w14:paraId="09FB262C" w14:textId="56C85FCE" w:rsidR="00B5149B" w:rsidRPr="00B5149B" w:rsidRDefault="00191E3F" w:rsidP="00B5149B">
      <w:pPr>
        <w:pStyle w:val="EditorsandAffliations"/>
      </w:pPr>
      <w:r>
        <w:rPr>
          <w:vertAlign w:val="superscript"/>
        </w:rPr>
        <w:t>f</w:t>
      </w:r>
      <w:r w:rsidR="00B5149B" w:rsidRPr="00B5149B">
        <w:t xml:space="preserve"> Forschungszentrum Jülich GmbH, Central Institute of Engineering, Electronics and Analytics </w:t>
      </w:r>
      <w:r w:rsidR="00B5149B">
        <w:t>– Engineering and Technology</w:t>
      </w:r>
      <w:r w:rsidR="00B5149B" w:rsidRPr="00B5149B">
        <w:t xml:space="preserve"> (ZEA-1), 52428 Jülich, Germany</w:t>
      </w:r>
    </w:p>
    <w:p w14:paraId="7A041734" w14:textId="47B94E07" w:rsidR="00B5149B" w:rsidRDefault="00B5149B" w:rsidP="00B5149B">
      <w:pPr>
        <w:pStyle w:val="EditorsandAffliations"/>
        <w:rPr>
          <w:szCs w:val="22"/>
        </w:rPr>
      </w:pPr>
    </w:p>
    <w:p w14:paraId="2AF348D2" w14:textId="77777777" w:rsidR="00B74BBE" w:rsidRDefault="00B74BBE" w:rsidP="00B5149B">
      <w:pPr>
        <w:pStyle w:val="EditorsandAffliations"/>
        <w:rPr>
          <w:szCs w:val="22"/>
        </w:rPr>
      </w:pPr>
    </w:p>
    <w:p w14:paraId="14C81601" w14:textId="4E7B13AD" w:rsidR="00B5149B" w:rsidRPr="00B5149B" w:rsidRDefault="00B5149B" w:rsidP="00B5149B">
      <w:pPr>
        <w:pStyle w:val="Abstract"/>
      </w:pPr>
      <w:r w:rsidRPr="1E7D5397">
        <w:t>Forschungszentrum Jülich</w:t>
      </w:r>
      <w:r>
        <w:t xml:space="preserve"> </w:t>
      </w:r>
      <w:r w:rsidRPr="1E7D5397">
        <w:t>has been involved in the research and development of SOCs for more than 30</w:t>
      </w:r>
      <w:r w:rsidR="00902133">
        <w:t> </w:t>
      </w:r>
      <w:r w:rsidRPr="1E7D5397">
        <w:t xml:space="preserve">years. In this work, selected highlights on material, cell, stack and system development are presented, whereas improving performance </w:t>
      </w:r>
      <w:r w:rsidR="00053CA1">
        <w:t>and</w:t>
      </w:r>
      <w:r w:rsidRPr="1E7D5397">
        <w:t xml:space="preserve"> understanding degradation phenomena were in the focus. On cell level, o</w:t>
      </w:r>
      <w:r w:rsidRPr="00B5149B">
        <w:t xml:space="preserve">peration </w:t>
      </w:r>
      <w:r w:rsidRPr="1E7D5397">
        <w:t>in s</w:t>
      </w:r>
      <w:r w:rsidRPr="00B5149B">
        <w:t>team</w:t>
      </w:r>
      <w:r w:rsidR="00334B6A">
        <w:t xml:space="preserve">, </w:t>
      </w:r>
      <w:r w:rsidRPr="1E7D5397">
        <w:t>c</w:t>
      </w:r>
      <w:r w:rsidRPr="00B5149B">
        <w:t>o-e</w:t>
      </w:r>
      <w:r w:rsidRPr="1E7D5397">
        <w:t xml:space="preserve">lectrolysis </w:t>
      </w:r>
      <w:r w:rsidR="00053CA1">
        <w:t>as well as</w:t>
      </w:r>
      <w:r w:rsidRPr="00B5149B">
        <w:t xml:space="preserve"> </w:t>
      </w:r>
      <w:r w:rsidRPr="1E7D5397">
        <w:t>p</w:t>
      </w:r>
      <w:r w:rsidRPr="00B5149B">
        <w:t xml:space="preserve">ure </w:t>
      </w:r>
      <w:r w:rsidRPr="1E7D5397">
        <w:t>C</w:t>
      </w:r>
      <w:r w:rsidRPr="00B5149B">
        <w:t>O</w:t>
      </w:r>
      <w:r w:rsidRPr="00053CA1">
        <w:rPr>
          <w:vertAlign w:val="subscript"/>
        </w:rPr>
        <w:t>2</w:t>
      </w:r>
      <w:r w:rsidRPr="00B5149B">
        <w:t xml:space="preserve"> </w:t>
      </w:r>
      <w:r w:rsidRPr="1E7D5397">
        <w:t>e</w:t>
      </w:r>
      <w:r w:rsidRPr="00B5149B">
        <w:t xml:space="preserve">lectrolysis </w:t>
      </w:r>
      <w:r w:rsidR="00053CA1">
        <w:t xml:space="preserve">mode </w:t>
      </w:r>
      <w:r w:rsidRPr="1E7D5397">
        <w:t>w</w:t>
      </w:r>
      <w:r w:rsidRPr="00B5149B">
        <w:t xml:space="preserve">as </w:t>
      </w:r>
      <w:r w:rsidRPr="1E7D5397">
        <w:t>r</w:t>
      </w:r>
      <w:r w:rsidRPr="00B5149B">
        <w:t>esearched. A hierarchical degradation model framework was developed that relates changes at the level of electrode particles to changes in electrode structure, resulting materials properties and overall lifetime-performance. On stack level</w:t>
      </w:r>
      <w:r w:rsidR="00053CA1">
        <w:t>,</w:t>
      </w:r>
      <w:r w:rsidRPr="00B5149B">
        <w:t xml:space="preserve"> </w:t>
      </w:r>
      <w:r w:rsidRPr="1E7D5397">
        <w:t>p</w:t>
      </w:r>
      <w:r w:rsidRPr="00B5149B">
        <w:t xml:space="preserve">rogress </w:t>
      </w:r>
      <w:r w:rsidR="00053CA1">
        <w:t xml:space="preserve">in </w:t>
      </w:r>
      <w:r w:rsidRPr="1E7D5397">
        <w:t>clarification</w:t>
      </w:r>
      <w:r w:rsidRPr="00B5149B">
        <w:t xml:space="preserve"> </w:t>
      </w:r>
      <w:r w:rsidRPr="1E7D5397">
        <w:t>and o</w:t>
      </w:r>
      <w:r w:rsidRPr="00B5149B">
        <w:t xml:space="preserve">ptimization </w:t>
      </w:r>
      <w:r w:rsidRPr="1E7D5397">
        <w:t>o</w:t>
      </w:r>
      <w:r w:rsidRPr="00B5149B">
        <w:t xml:space="preserve">f </w:t>
      </w:r>
      <w:r w:rsidRPr="1E7D5397">
        <w:t>p</w:t>
      </w:r>
      <w:r w:rsidRPr="00B5149B">
        <w:t xml:space="preserve">erformance </w:t>
      </w:r>
      <w:r w:rsidRPr="1E7D5397">
        <w:t>a</w:t>
      </w:r>
      <w:r w:rsidRPr="00B5149B">
        <w:t xml:space="preserve">nd </w:t>
      </w:r>
      <w:r w:rsidRPr="1E7D5397">
        <w:t>l</w:t>
      </w:r>
      <w:r w:rsidRPr="00B5149B">
        <w:t xml:space="preserve">ifetime </w:t>
      </w:r>
      <w:r w:rsidRPr="1E7D5397">
        <w:t>r</w:t>
      </w:r>
      <w:r w:rsidRPr="00B5149B">
        <w:t xml:space="preserve">elevant </w:t>
      </w:r>
      <w:r w:rsidRPr="1E7D5397">
        <w:t>p</w:t>
      </w:r>
      <w:r w:rsidRPr="00B5149B">
        <w:t>rocesses</w:t>
      </w:r>
      <w:r w:rsidR="00053CA1">
        <w:t xml:space="preserve"> was made</w:t>
      </w:r>
      <w:r w:rsidRPr="00B5149B">
        <w:t>. The role of contaminants, foremost silicon species and sulfur dioxide in feed gases, was investigated to support technical applications. On system level, an rSOC system with an output power of 10</w:t>
      </w:r>
      <w:r w:rsidR="00902133">
        <w:t> </w:t>
      </w:r>
      <w:r w:rsidRPr="00B5149B">
        <w:t xml:space="preserve">kW in fuel cell mode and </w:t>
      </w:r>
      <w:r w:rsidR="00053CA1">
        <w:t xml:space="preserve">an </w:t>
      </w:r>
      <w:r w:rsidRPr="00B5149B">
        <w:t>input power of 40</w:t>
      </w:r>
      <w:r w:rsidR="00902133">
        <w:t> </w:t>
      </w:r>
      <w:r w:rsidRPr="00B5149B">
        <w:t xml:space="preserve">kW in electrolysis mode was developed. </w:t>
      </w:r>
    </w:p>
    <w:p w14:paraId="12171FB2" w14:textId="2ADD96B2" w:rsidR="00992AD6" w:rsidRDefault="00992AD6" w:rsidP="0055011B">
      <w:pPr>
        <w:pStyle w:val="Abstract"/>
      </w:pPr>
    </w:p>
    <w:p w14:paraId="11EB0003" w14:textId="77777777" w:rsidR="00B74BBE" w:rsidRDefault="00B74BBE" w:rsidP="0055011B">
      <w:pPr>
        <w:pStyle w:val="Abstract"/>
      </w:pPr>
    </w:p>
    <w:p w14:paraId="1C27AF82" w14:textId="57069819" w:rsidR="00992AD6" w:rsidRDefault="00B74BBE" w:rsidP="00B74BBE">
      <w:pPr>
        <w:pStyle w:val="Titel1"/>
      </w:pPr>
      <w:r>
        <w:t>Introduction</w:t>
      </w:r>
    </w:p>
    <w:p w14:paraId="3305CAEE" w14:textId="77777777" w:rsidR="0079184E" w:rsidRPr="00225714" w:rsidRDefault="0079184E" w:rsidP="00B74BBE">
      <w:pPr>
        <w:pStyle w:val="Titel1"/>
      </w:pPr>
    </w:p>
    <w:p w14:paraId="42F8F226" w14:textId="0418FE2B" w:rsidR="00B74BBE" w:rsidRPr="0046331A" w:rsidRDefault="00B74BBE" w:rsidP="00B74BBE">
      <w:pPr>
        <w:rPr>
          <w:lang w:val="en" w:eastAsia="de-DE"/>
        </w:rPr>
      </w:pPr>
      <w:r w:rsidRPr="1E7D5397">
        <w:t>The defossilization of the energy</w:t>
      </w:r>
      <w:r>
        <w:t>, mobility and industry</w:t>
      </w:r>
      <w:r w:rsidRPr="1E7D5397">
        <w:t xml:space="preserve"> sectors requires the transfer of sustainable, carbon-neutral technologies and processes into application. Along with the development of a global hydrogen economy, technologies that generate, store, distribute and use hydrogen and its derivatives are particularly relevant. Considerable potential in this sense is offered by the solid oxide cell (SOC), which can be operated as a fuel cell (SOFC), an electrolysis cell (SOEC) and a reversible cell (rSOC). Forschungszentrum Jülich has been involved in the research and development of SOCs for more than 30</w:t>
      </w:r>
      <w:r w:rsidR="00902133">
        <w:t> </w:t>
      </w:r>
      <w:r w:rsidRPr="1E7D5397">
        <w:t xml:space="preserve">years. </w:t>
      </w:r>
      <w:r w:rsidRPr="1E7D5397">
        <w:lastRenderedPageBreak/>
        <w:t xml:space="preserve">In addition to material and cell development, the stack and system development and understanding degradation effects are among the main topics today. </w:t>
      </w:r>
    </w:p>
    <w:p w14:paraId="3984C3EA" w14:textId="4401DFEA" w:rsidR="00992AD6" w:rsidRPr="00B74BBE" w:rsidRDefault="00992AD6" w:rsidP="00251338">
      <w:pPr>
        <w:pStyle w:val="BodyofPaper"/>
        <w:ind w:firstLine="0"/>
        <w:rPr>
          <w:lang w:val="en"/>
        </w:rPr>
      </w:pPr>
    </w:p>
    <w:p w14:paraId="23E6894C" w14:textId="19728122" w:rsidR="00B74BBE" w:rsidRDefault="00B74BBE" w:rsidP="00B74BBE">
      <w:pPr>
        <w:rPr>
          <w:rStyle w:val="ts-alignment-element"/>
        </w:rPr>
      </w:pPr>
      <w:r>
        <w:t xml:space="preserve">     </w:t>
      </w:r>
      <w:r w:rsidRPr="07F85C3C">
        <w:t>In the a</w:t>
      </w:r>
      <w:r w:rsidRPr="07F85C3C">
        <w:rPr>
          <w:rStyle w:val="ts-alignment-element"/>
        </w:rPr>
        <w:t xml:space="preserve">rea </w:t>
      </w:r>
      <w:r w:rsidRPr="07F85C3C">
        <w:t>of the d</w:t>
      </w:r>
      <w:r w:rsidRPr="07F85C3C">
        <w:rPr>
          <w:rStyle w:val="ts-alignment-element"/>
        </w:rPr>
        <w:t xml:space="preserve">evelopment </w:t>
      </w:r>
      <w:r w:rsidRPr="003062C2">
        <w:t>and i</w:t>
      </w:r>
      <w:r w:rsidRPr="003062C2">
        <w:rPr>
          <w:rStyle w:val="ts-alignment-element"/>
        </w:rPr>
        <w:t xml:space="preserve">nvestigation </w:t>
      </w:r>
      <w:r w:rsidRPr="003062C2">
        <w:t>o</w:t>
      </w:r>
      <w:r w:rsidRPr="003062C2">
        <w:rPr>
          <w:rStyle w:val="ts-alignment-element"/>
        </w:rPr>
        <w:t xml:space="preserve">f </w:t>
      </w:r>
      <w:r w:rsidRPr="003062C2">
        <w:t>cells a</w:t>
      </w:r>
      <w:r w:rsidRPr="003062C2">
        <w:rPr>
          <w:rStyle w:val="ts-alignment-element"/>
        </w:rPr>
        <w:t xml:space="preserve">nd </w:t>
      </w:r>
      <w:r w:rsidRPr="003062C2">
        <w:t>m</w:t>
      </w:r>
      <w:r w:rsidRPr="003062C2">
        <w:rPr>
          <w:rStyle w:val="ts-alignment-element"/>
        </w:rPr>
        <w:t xml:space="preserve">aterials, </w:t>
      </w:r>
      <w:r w:rsidRPr="003062C2">
        <w:t>the p</w:t>
      </w:r>
      <w:r w:rsidRPr="003062C2">
        <w:rPr>
          <w:rStyle w:val="ts-alignment-element"/>
        </w:rPr>
        <w:t xml:space="preserve">erformance </w:t>
      </w:r>
      <w:r w:rsidRPr="003062C2">
        <w:t>o</w:t>
      </w:r>
      <w:r w:rsidRPr="003062C2">
        <w:rPr>
          <w:rStyle w:val="ts-alignment-element"/>
        </w:rPr>
        <w:t xml:space="preserve">f </w:t>
      </w:r>
      <w:r w:rsidRPr="003062C2">
        <w:t>the S</w:t>
      </w:r>
      <w:r w:rsidRPr="003062C2">
        <w:rPr>
          <w:rStyle w:val="ts-alignment-element"/>
        </w:rPr>
        <w:t xml:space="preserve">OC </w:t>
      </w:r>
      <w:r w:rsidRPr="003062C2">
        <w:t>in the f</w:t>
      </w:r>
      <w:r w:rsidRPr="003062C2">
        <w:rPr>
          <w:rStyle w:val="ts-alignment-element"/>
        </w:rPr>
        <w:t xml:space="preserve">uel </w:t>
      </w:r>
      <w:r w:rsidRPr="003062C2">
        <w:t>c</w:t>
      </w:r>
      <w:r w:rsidRPr="003062C2">
        <w:rPr>
          <w:rStyle w:val="ts-alignment-element"/>
        </w:rPr>
        <w:t xml:space="preserve">ell mode </w:t>
      </w:r>
      <w:r w:rsidRPr="003062C2">
        <w:t>as w</w:t>
      </w:r>
      <w:r w:rsidRPr="003062C2">
        <w:rPr>
          <w:rStyle w:val="ts-alignment-element"/>
        </w:rPr>
        <w:t xml:space="preserve">ell </w:t>
      </w:r>
      <w:r w:rsidRPr="003062C2">
        <w:t>a</w:t>
      </w:r>
      <w:r w:rsidRPr="003062C2">
        <w:rPr>
          <w:rStyle w:val="ts-alignment-element"/>
        </w:rPr>
        <w:t xml:space="preserve">s </w:t>
      </w:r>
      <w:r w:rsidRPr="003062C2">
        <w:t>in the e</w:t>
      </w:r>
      <w:r w:rsidRPr="003062C2">
        <w:rPr>
          <w:rStyle w:val="ts-alignment-element"/>
        </w:rPr>
        <w:t xml:space="preserve">lectrolysis mode </w:t>
      </w:r>
      <w:r w:rsidRPr="003062C2">
        <w:t>w</w:t>
      </w:r>
      <w:r w:rsidRPr="003062C2">
        <w:rPr>
          <w:rStyle w:val="ts-alignment-element"/>
        </w:rPr>
        <w:t xml:space="preserve">as </w:t>
      </w:r>
      <w:r w:rsidRPr="003062C2">
        <w:t>i</w:t>
      </w:r>
      <w:r w:rsidRPr="003062C2">
        <w:rPr>
          <w:rStyle w:val="ts-alignment-element"/>
        </w:rPr>
        <w:t xml:space="preserve">n </w:t>
      </w:r>
      <w:r w:rsidRPr="003062C2">
        <w:t>t</w:t>
      </w:r>
      <w:r w:rsidRPr="003062C2">
        <w:rPr>
          <w:rStyle w:val="ts-alignment-element"/>
        </w:rPr>
        <w:t xml:space="preserve">he </w:t>
      </w:r>
      <w:r w:rsidRPr="003062C2">
        <w:t>focus</w:t>
      </w:r>
      <w:r w:rsidRPr="003062C2">
        <w:rPr>
          <w:rStyle w:val="ts-alignment-element"/>
        </w:rPr>
        <w:t xml:space="preserve">. </w:t>
      </w:r>
      <w:r w:rsidRPr="003062C2">
        <w:t>I</w:t>
      </w:r>
      <w:r w:rsidRPr="003062C2">
        <w:rPr>
          <w:rStyle w:val="ts-alignment-element"/>
        </w:rPr>
        <w:t xml:space="preserve">n </w:t>
      </w:r>
      <w:r w:rsidRPr="003062C2">
        <w:t>a</w:t>
      </w:r>
      <w:r w:rsidRPr="003062C2">
        <w:rPr>
          <w:rStyle w:val="ts-alignment-element"/>
        </w:rPr>
        <w:t xml:space="preserve">ddition </w:t>
      </w:r>
      <w:r w:rsidRPr="003062C2">
        <w:t>t</w:t>
      </w:r>
      <w:r w:rsidRPr="003062C2">
        <w:rPr>
          <w:rStyle w:val="ts-alignment-element"/>
        </w:rPr>
        <w:t xml:space="preserve">o </w:t>
      </w:r>
      <w:r w:rsidRPr="003062C2">
        <w:t>o</w:t>
      </w:r>
      <w:r w:rsidRPr="003062C2">
        <w:rPr>
          <w:rStyle w:val="ts-alignment-element"/>
        </w:rPr>
        <w:t xml:space="preserve">peration </w:t>
      </w:r>
      <w:r w:rsidRPr="003062C2">
        <w:t>in s</w:t>
      </w:r>
      <w:r w:rsidRPr="003062C2">
        <w:rPr>
          <w:rStyle w:val="ts-alignment-element"/>
        </w:rPr>
        <w:t xml:space="preserve">team </w:t>
      </w:r>
      <w:r w:rsidRPr="003062C2">
        <w:t>a</w:t>
      </w:r>
      <w:r w:rsidRPr="003062C2">
        <w:rPr>
          <w:rStyle w:val="ts-alignment-element"/>
        </w:rPr>
        <w:t xml:space="preserve">nd </w:t>
      </w:r>
      <w:r w:rsidRPr="003062C2">
        <w:t>c</w:t>
      </w:r>
      <w:r w:rsidRPr="003062C2">
        <w:rPr>
          <w:rStyle w:val="ts-alignment-element"/>
        </w:rPr>
        <w:t>o-e</w:t>
      </w:r>
      <w:r w:rsidRPr="003062C2">
        <w:t>lectrolysis modes, o</w:t>
      </w:r>
      <w:r w:rsidRPr="003062C2">
        <w:rPr>
          <w:rStyle w:val="ts-alignment-element"/>
        </w:rPr>
        <w:t xml:space="preserve">peration </w:t>
      </w:r>
      <w:r w:rsidRPr="003062C2">
        <w:t>in</w:t>
      </w:r>
      <w:r w:rsidRPr="003062C2">
        <w:rPr>
          <w:rStyle w:val="ts-alignment-element"/>
        </w:rPr>
        <w:t xml:space="preserve"> </w:t>
      </w:r>
      <w:r w:rsidRPr="003062C2">
        <w:t>p</w:t>
      </w:r>
      <w:r w:rsidRPr="003062C2">
        <w:rPr>
          <w:rStyle w:val="ts-alignment-element"/>
        </w:rPr>
        <w:t xml:space="preserve">ure </w:t>
      </w:r>
      <w:r w:rsidRPr="003062C2">
        <w:t>C</w:t>
      </w:r>
      <w:r w:rsidRPr="003062C2">
        <w:rPr>
          <w:rStyle w:val="ts-alignment-element"/>
        </w:rPr>
        <w:t>O</w:t>
      </w:r>
      <w:r w:rsidRPr="003062C2">
        <w:rPr>
          <w:rStyle w:val="ts-alignment-element"/>
          <w:vertAlign w:val="subscript"/>
        </w:rPr>
        <w:t>2</w:t>
      </w:r>
      <w:r w:rsidRPr="003062C2">
        <w:rPr>
          <w:rStyle w:val="ts-alignment-element"/>
        </w:rPr>
        <w:t xml:space="preserve"> </w:t>
      </w:r>
      <w:r w:rsidRPr="003062C2">
        <w:t>e</w:t>
      </w:r>
      <w:r w:rsidRPr="003062C2">
        <w:rPr>
          <w:rStyle w:val="ts-alignment-element"/>
        </w:rPr>
        <w:t xml:space="preserve">lectrolysis </w:t>
      </w:r>
      <w:r w:rsidRPr="003062C2">
        <w:t>w</w:t>
      </w:r>
      <w:r w:rsidRPr="003062C2">
        <w:rPr>
          <w:rStyle w:val="ts-alignment-element"/>
        </w:rPr>
        <w:t xml:space="preserve">as </w:t>
      </w:r>
      <w:r w:rsidRPr="003062C2">
        <w:t>a</w:t>
      </w:r>
      <w:r w:rsidRPr="003062C2">
        <w:rPr>
          <w:rStyle w:val="ts-alignment-element"/>
        </w:rPr>
        <w:t xml:space="preserve">lso </w:t>
      </w:r>
      <w:r w:rsidR="00902133">
        <w:t>investigated</w:t>
      </w:r>
      <w:r w:rsidRPr="003062C2">
        <w:rPr>
          <w:rStyle w:val="ts-alignment-element"/>
        </w:rPr>
        <w:t xml:space="preserve">. On single cell level the degradation behavior in the different modes of electrolysis operation was </w:t>
      </w:r>
      <w:r w:rsidRPr="00790A1E">
        <w:rPr>
          <w:rStyle w:val="ts-alignment-element"/>
        </w:rPr>
        <w:t>investigated (</w:t>
      </w:r>
      <w:r w:rsidRPr="00790A1E">
        <w:rPr>
          <w:rStyle w:val="ts-alignment-element"/>
        </w:rPr>
        <w:fldChar w:fldCharType="begin"/>
      </w:r>
      <w:r w:rsidRPr="00790A1E">
        <w:rPr>
          <w:rStyle w:val="ts-alignment-element"/>
        </w:rPr>
        <w:instrText xml:space="preserve"> REF _Ref129702120 \r \h </w:instrText>
      </w:r>
      <w:r w:rsidRPr="00790A1E">
        <w:rPr>
          <w:rStyle w:val="ts-alignment-element"/>
        </w:rPr>
      </w:r>
      <w:r w:rsidRPr="00790A1E">
        <w:rPr>
          <w:rStyle w:val="ts-alignment-element"/>
        </w:rPr>
        <w:fldChar w:fldCharType="separate"/>
      </w:r>
      <w:r w:rsidR="0089634E">
        <w:rPr>
          <w:rStyle w:val="ts-alignment-element"/>
        </w:rPr>
        <w:t>1</w:t>
      </w:r>
      <w:r w:rsidRPr="00790A1E">
        <w:rPr>
          <w:rStyle w:val="ts-alignment-element"/>
        </w:rPr>
        <w:fldChar w:fldCharType="end"/>
      </w:r>
      <w:r w:rsidRPr="00790A1E">
        <w:rPr>
          <w:rStyle w:val="ts-alignment-element"/>
        </w:rPr>
        <w:t>-</w:t>
      </w:r>
      <w:r w:rsidRPr="00790A1E">
        <w:rPr>
          <w:rStyle w:val="ts-alignment-element"/>
        </w:rPr>
        <w:fldChar w:fldCharType="begin"/>
      </w:r>
      <w:r w:rsidRPr="00790A1E">
        <w:rPr>
          <w:rStyle w:val="ts-alignment-element"/>
        </w:rPr>
        <w:instrText xml:space="preserve"> REF _Ref129702146 \r \h </w:instrText>
      </w:r>
      <w:r w:rsidRPr="00790A1E">
        <w:rPr>
          <w:rStyle w:val="ts-alignment-element"/>
        </w:rPr>
      </w:r>
      <w:r w:rsidRPr="00790A1E">
        <w:rPr>
          <w:rStyle w:val="ts-alignment-element"/>
        </w:rPr>
        <w:fldChar w:fldCharType="separate"/>
      </w:r>
      <w:r w:rsidR="0089634E">
        <w:rPr>
          <w:rStyle w:val="ts-alignment-element"/>
        </w:rPr>
        <w:t>5</w:t>
      </w:r>
      <w:r w:rsidRPr="00790A1E">
        <w:rPr>
          <w:rStyle w:val="ts-alignment-element"/>
        </w:rPr>
        <w:fldChar w:fldCharType="end"/>
      </w:r>
      <w:r w:rsidRPr="00790A1E">
        <w:rPr>
          <w:rStyle w:val="ts-alignment-element"/>
        </w:rPr>
        <w:t xml:space="preserve">). </w:t>
      </w:r>
      <w:r w:rsidRPr="00790A1E">
        <w:t>D</w:t>
      </w:r>
      <w:r w:rsidRPr="00790A1E">
        <w:rPr>
          <w:rStyle w:val="ts-alignment-element"/>
        </w:rPr>
        <w:t xml:space="preserve">ifferent alternative </w:t>
      </w:r>
      <w:r w:rsidRPr="00790A1E">
        <w:t>m</w:t>
      </w:r>
      <w:r w:rsidRPr="00790A1E">
        <w:rPr>
          <w:rStyle w:val="ts-alignment-element"/>
        </w:rPr>
        <w:t xml:space="preserve">aterials </w:t>
      </w:r>
      <w:r w:rsidRPr="00790A1E">
        <w:t>w</w:t>
      </w:r>
      <w:r w:rsidRPr="00790A1E">
        <w:rPr>
          <w:rStyle w:val="ts-alignment-element"/>
        </w:rPr>
        <w:t xml:space="preserve">ere </w:t>
      </w:r>
      <w:r w:rsidRPr="00790A1E">
        <w:t>e</w:t>
      </w:r>
      <w:r w:rsidRPr="00790A1E">
        <w:rPr>
          <w:rStyle w:val="ts-alignment-element"/>
        </w:rPr>
        <w:t xml:space="preserve">xamined </w:t>
      </w:r>
      <w:r w:rsidRPr="00790A1E">
        <w:t>b</w:t>
      </w:r>
      <w:r w:rsidRPr="00790A1E">
        <w:rPr>
          <w:rStyle w:val="ts-alignment-element"/>
        </w:rPr>
        <w:t xml:space="preserve">oth </w:t>
      </w:r>
      <w:r w:rsidRPr="00790A1E">
        <w:t>on the fuel</w:t>
      </w:r>
      <w:r w:rsidRPr="00790A1E">
        <w:rPr>
          <w:rStyle w:val="ts-alignment-element"/>
        </w:rPr>
        <w:t xml:space="preserve"> </w:t>
      </w:r>
      <w:r w:rsidRPr="00790A1E">
        <w:t>side (f.i. Ni-GDC</w:t>
      </w:r>
      <w:r w:rsidR="00902133" w:rsidRPr="00790A1E">
        <w:t> </w:t>
      </w:r>
      <w:r w:rsidRPr="00790A1E">
        <w:t>(</w:t>
      </w:r>
      <w:r w:rsidRPr="00790A1E">
        <w:fldChar w:fldCharType="begin"/>
      </w:r>
      <w:r w:rsidRPr="00790A1E">
        <w:instrText xml:space="preserve"> REF _Ref129702141 \r \h </w:instrText>
      </w:r>
      <w:r w:rsidRPr="00790A1E">
        <w:fldChar w:fldCharType="separate"/>
      </w:r>
      <w:r w:rsidR="0089634E">
        <w:t>4</w:t>
      </w:r>
      <w:r w:rsidRPr="00790A1E">
        <w:fldChar w:fldCharType="end"/>
      </w:r>
      <w:r w:rsidRPr="00790A1E">
        <w:t>-</w:t>
      </w:r>
      <w:r w:rsidRPr="00790A1E">
        <w:fldChar w:fldCharType="begin"/>
      </w:r>
      <w:r w:rsidRPr="00790A1E">
        <w:instrText xml:space="preserve"> REF _Ref129702146 \r \h </w:instrText>
      </w:r>
      <w:r w:rsidRPr="00790A1E">
        <w:fldChar w:fldCharType="separate"/>
      </w:r>
      <w:r w:rsidR="0089634E">
        <w:t>5</w:t>
      </w:r>
      <w:r w:rsidRPr="00790A1E">
        <w:fldChar w:fldCharType="end"/>
      </w:r>
      <w:r w:rsidRPr="00790A1E">
        <w:t>), (La,Sr)MnO</w:t>
      </w:r>
      <w:r w:rsidRPr="00790A1E">
        <w:rPr>
          <w:vertAlign w:val="subscript"/>
        </w:rPr>
        <w:t>3</w:t>
      </w:r>
      <w:r w:rsidR="00902133" w:rsidRPr="00790A1E">
        <w:t> </w:t>
      </w:r>
      <w:r w:rsidRPr="00790A1E">
        <w:t>(</w:t>
      </w:r>
      <w:r w:rsidRPr="00790A1E">
        <w:fldChar w:fldCharType="begin"/>
      </w:r>
      <w:r w:rsidRPr="00790A1E">
        <w:instrText xml:space="preserve"> REF _Ref129702174 \r \h </w:instrText>
      </w:r>
      <w:r w:rsidRPr="00790A1E">
        <w:fldChar w:fldCharType="separate"/>
      </w:r>
      <w:r w:rsidR="0089634E">
        <w:t>6</w:t>
      </w:r>
      <w:r w:rsidRPr="00790A1E">
        <w:fldChar w:fldCharType="end"/>
      </w:r>
      <w:r w:rsidRPr="00790A1E">
        <w:t>), Sr</w:t>
      </w:r>
      <w:r w:rsidRPr="00790A1E">
        <w:rPr>
          <w:vertAlign w:val="subscript"/>
        </w:rPr>
        <w:t>2</w:t>
      </w:r>
      <w:r w:rsidRPr="00790A1E">
        <w:t>Fe</w:t>
      </w:r>
      <w:r w:rsidRPr="00790A1E">
        <w:rPr>
          <w:vertAlign w:val="subscript"/>
        </w:rPr>
        <w:t>2</w:t>
      </w:r>
      <w:r w:rsidRPr="00790A1E">
        <w:rPr>
          <w:rFonts w:ascii="Cambria Math" w:hAnsi="Cambria Math" w:cs="Cambria Math"/>
          <w:vertAlign w:val="subscript"/>
        </w:rPr>
        <w:t>‑</w:t>
      </w:r>
      <w:r w:rsidRPr="00790A1E">
        <w:rPr>
          <w:vertAlign w:val="subscript"/>
        </w:rPr>
        <w:t>x</w:t>
      </w:r>
      <w:r w:rsidRPr="00790A1E">
        <w:t>Mo</w:t>
      </w:r>
      <w:r w:rsidRPr="00790A1E">
        <w:rPr>
          <w:vertAlign w:val="subscript"/>
        </w:rPr>
        <w:t>x</w:t>
      </w:r>
      <w:r w:rsidRPr="00790A1E">
        <w:rPr>
          <w:rFonts w:ascii="Cambria Math" w:hAnsi="Cambria Math" w:cs="Cambria Math"/>
          <w:vertAlign w:val="subscript"/>
        </w:rPr>
        <w:t>‑</w:t>
      </w:r>
      <w:r w:rsidRPr="00790A1E">
        <w:rPr>
          <w:vertAlign w:val="subscript"/>
        </w:rPr>
        <w:t>y</w:t>
      </w:r>
      <w:r w:rsidRPr="00790A1E">
        <w:t>M</w:t>
      </w:r>
      <w:r w:rsidRPr="00790A1E">
        <w:rPr>
          <w:vertAlign w:val="subscript"/>
        </w:rPr>
        <w:t>y</w:t>
      </w:r>
      <w:r w:rsidRPr="00790A1E">
        <w:t>O</w:t>
      </w:r>
      <w:r w:rsidRPr="00790A1E">
        <w:rPr>
          <w:vertAlign w:val="subscript"/>
        </w:rPr>
        <w:t>6</w:t>
      </w:r>
      <w:r w:rsidRPr="00790A1E">
        <w:rPr>
          <w:rFonts w:ascii="Cambria Math" w:hAnsi="Cambria Math" w:cs="Cambria Math"/>
          <w:vertAlign w:val="subscript"/>
        </w:rPr>
        <w:t>‑</w:t>
      </w:r>
      <w:r w:rsidRPr="00790A1E">
        <w:rPr>
          <w:vertAlign w:val="subscript"/>
        </w:rPr>
        <w:t>δ</w:t>
      </w:r>
      <w:r w:rsidR="00902133" w:rsidRPr="00790A1E">
        <w:t> </w:t>
      </w:r>
      <w:r w:rsidRPr="00790A1E">
        <w:t>(</w:t>
      </w:r>
      <w:r w:rsidRPr="00790A1E">
        <w:fldChar w:fldCharType="begin"/>
      </w:r>
      <w:r w:rsidRPr="00790A1E">
        <w:instrText xml:space="preserve"> REF _Ref129702196 \r \h </w:instrText>
      </w:r>
      <w:r w:rsidRPr="00790A1E">
        <w:fldChar w:fldCharType="separate"/>
      </w:r>
      <w:r w:rsidR="0089634E">
        <w:t>7</w:t>
      </w:r>
      <w:r w:rsidRPr="00790A1E">
        <w:fldChar w:fldCharType="end"/>
      </w:r>
      <w:r w:rsidRPr="00790A1E">
        <w:t>)) a</w:t>
      </w:r>
      <w:r w:rsidRPr="00790A1E">
        <w:rPr>
          <w:rStyle w:val="ts-alignment-element"/>
        </w:rPr>
        <w:t xml:space="preserve">nd </w:t>
      </w:r>
      <w:r w:rsidRPr="00790A1E">
        <w:t>on the air</w:t>
      </w:r>
      <w:r w:rsidRPr="00790A1E">
        <w:rPr>
          <w:rStyle w:val="ts-alignment-element"/>
        </w:rPr>
        <w:t xml:space="preserve"> </w:t>
      </w:r>
      <w:r w:rsidRPr="00790A1E">
        <w:t>s</w:t>
      </w:r>
      <w:r w:rsidRPr="00790A1E">
        <w:rPr>
          <w:rStyle w:val="ts-alignment-element"/>
        </w:rPr>
        <w:t xml:space="preserve">ide </w:t>
      </w:r>
      <w:r w:rsidRPr="00790A1E">
        <w:t>(f.i. La</w:t>
      </w:r>
      <w:r w:rsidRPr="00790A1E">
        <w:rPr>
          <w:vertAlign w:val="subscript"/>
        </w:rPr>
        <w:t>2</w:t>
      </w:r>
      <w:r w:rsidRPr="00790A1E">
        <w:rPr>
          <w:rFonts w:ascii="Cambria Math" w:hAnsi="Cambria Math" w:cs="Cambria Math"/>
          <w:vertAlign w:val="subscript"/>
        </w:rPr>
        <w:t>‑</w:t>
      </w:r>
      <w:r w:rsidRPr="00790A1E">
        <w:rPr>
          <w:vertAlign w:val="subscript"/>
        </w:rPr>
        <w:t>x</w:t>
      </w:r>
      <w:r w:rsidRPr="00790A1E">
        <w:t>Sr</w:t>
      </w:r>
      <w:r w:rsidRPr="00790A1E">
        <w:rPr>
          <w:vertAlign w:val="subscript"/>
        </w:rPr>
        <w:t>x</w:t>
      </w:r>
      <w:r w:rsidRPr="00790A1E">
        <w:t>Ni</w:t>
      </w:r>
      <w:r w:rsidRPr="00790A1E">
        <w:rPr>
          <w:vertAlign w:val="subscript"/>
        </w:rPr>
        <w:t>0.8</w:t>
      </w:r>
      <w:r w:rsidRPr="00790A1E">
        <w:t>Co</w:t>
      </w:r>
      <w:r w:rsidRPr="00790A1E">
        <w:rPr>
          <w:vertAlign w:val="subscript"/>
        </w:rPr>
        <w:t>0.2</w:t>
      </w:r>
      <w:r w:rsidRPr="00790A1E">
        <w:t>O</w:t>
      </w:r>
      <w:r w:rsidRPr="00790A1E">
        <w:rPr>
          <w:vertAlign w:val="subscript"/>
        </w:rPr>
        <w:t>4+δ</w:t>
      </w:r>
      <w:r w:rsidR="00902133" w:rsidRPr="00790A1E">
        <w:t> </w:t>
      </w:r>
      <w:r w:rsidRPr="00790A1E">
        <w:t>(</w:t>
      </w:r>
      <w:r w:rsidRPr="00790A1E">
        <w:fldChar w:fldCharType="begin"/>
      </w:r>
      <w:r w:rsidRPr="00790A1E">
        <w:instrText xml:space="preserve"> REF _Ref129702135 \r \h </w:instrText>
      </w:r>
      <w:r w:rsidRPr="00790A1E">
        <w:fldChar w:fldCharType="separate"/>
      </w:r>
      <w:r w:rsidR="0089634E">
        <w:t>3</w:t>
      </w:r>
      <w:r w:rsidRPr="00790A1E">
        <w:fldChar w:fldCharType="end"/>
      </w:r>
      <w:r w:rsidRPr="00790A1E">
        <w:t>))</w:t>
      </w:r>
      <w:r w:rsidRPr="00790A1E">
        <w:rPr>
          <w:rStyle w:val="ts-alignment-element"/>
        </w:rPr>
        <w:t xml:space="preserve"> as well. A hierarchical degradation model framework was developed that relates changes at the level of electrode particles to changes in electrode structure, resulting materials</w:t>
      </w:r>
      <w:r w:rsidRPr="003062C2">
        <w:rPr>
          <w:rStyle w:val="ts-alignment-element"/>
        </w:rPr>
        <w:t xml:space="preserve"> properties and overall lifetime-performance. Model-based diagnostic allows the extraction of model parameters from experimental data, model verification as well as identification and quantification of different degradation mechanisms.</w:t>
      </w:r>
    </w:p>
    <w:p w14:paraId="329C2A46" w14:textId="2C0E9214" w:rsidR="00D72C6B" w:rsidRDefault="00D72C6B" w:rsidP="00B74BBE">
      <w:pPr>
        <w:rPr>
          <w:rStyle w:val="ts-alignment-element"/>
        </w:rPr>
      </w:pPr>
    </w:p>
    <w:p w14:paraId="3B5F954C" w14:textId="45444643" w:rsidR="00D72C6B" w:rsidRDefault="00D72C6B" w:rsidP="00D72C6B">
      <w:pPr>
        <w:rPr>
          <w:rStyle w:val="ts-alignment-element"/>
        </w:rPr>
      </w:pPr>
      <w:r>
        <w:t xml:space="preserve">     </w:t>
      </w:r>
      <w:r w:rsidRPr="003062C2">
        <w:t>W</w:t>
      </w:r>
      <w:r w:rsidRPr="003062C2">
        <w:rPr>
          <w:rStyle w:val="ts-alignment-element"/>
        </w:rPr>
        <w:t xml:space="preserve">ith </w:t>
      </w:r>
      <w:r w:rsidRPr="003062C2">
        <w:t>a</w:t>
      </w:r>
      <w:r w:rsidRPr="003062C2">
        <w:rPr>
          <w:rStyle w:val="ts-alignment-element"/>
        </w:rPr>
        <w:t xml:space="preserve"> </w:t>
      </w:r>
      <w:r w:rsidRPr="003062C2">
        <w:t>f</w:t>
      </w:r>
      <w:r w:rsidRPr="003062C2">
        <w:rPr>
          <w:rStyle w:val="ts-alignment-element"/>
        </w:rPr>
        <w:t xml:space="preserve">ocus </w:t>
      </w:r>
      <w:r w:rsidRPr="003062C2">
        <w:t>o</w:t>
      </w:r>
      <w:r w:rsidRPr="003062C2">
        <w:rPr>
          <w:rStyle w:val="ts-alignment-element"/>
        </w:rPr>
        <w:t xml:space="preserve">n </w:t>
      </w:r>
      <w:r w:rsidRPr="003062C2">
        <w:t>the S</w:t>
      </w:r>
      <w:r w:rsidRPr="003062C2">
        <w:rPr>
          <w:rStyle w:val="ts-alignment-element"/>
        </w:rPr>
        <w:t xml:space="preserve">OC </w:t>
      </w:r>
      <w:r w:rsidRPr="003062C2">
        <w:t>stack</w:t>
      </w:r>
      <w:r w:rsidRPr="003062C2">
        <w:rPr>
          <w:rStyle w:val="ts-alignment-element"/>
        </w:rPr>
        <w:t xml:space="preserve">, </w:t>
      </w:r>
      <w:r w:rsidRPr="003062C2">
        <w:t>p</w:t>
      </w:r>
      <w:r w:rsidRPr="003062C2">
        <w:rPr>
          <w:rStyle w:val="ts-alignment-element"/>
        </w:rPr>
        <w:t xml:space="preserve">rogress </w:t>
      </w:r>
      <w:r w:rsidRPr="003062C2">
        <w:t>w</w:t>
      </w:r>
      <w:r w:rsidRPr="003062C2">
        <w:rPr>
          <w:rStyle w:val="ts-alignment-element"/>
        </w:rPr>
        <w:t xml:space="preserve">as </w:t>
      </w:r>
      <w:r w:rsidRPr="003062C2">
        <w:t>m</w:t>
      </w:r>
      <w:r w:rsidRPr="003062C2">
        <w:rPr>
          <w:rStyle w:val="ts-alignment-element"/>
        </w:rPr>
        <w:t xml:space="preserve">ade </w:t>
      </w:r>
      <w:r w:rsidRPr="003062C2">
        <w:t>b</w:t>
      </w:r>
      <w:r w:rsidRPr="003062C2">
        <w:rPr>
          <w:rStyle w:val="ts-alignment-element"/>
        </w:rPr>
        <w:t xml:space="preserve">oth </w:t>
      </w:r>
      <w:r w:rsidRPr="003062C2">
        <w:t>in the area o</w:t>
      </w:r>
      <w:r w:rsidRPr="003062C2">
        <w:rPr>
          <w:rStyle w:val="ts-alignment-element"/>
        </w:rPr>
        <w:t xml:space="preserve">f </w:t>
      </w:r>
      <w:r w:rsidRPr="003062C2">
        <w:t>a</w:t>
      </w:r>
      <w:r w:rsidRPr="003062C2">
        <w:rPr>
          <w:rStyle w:val="ts-alignment-element"/>
        </w:rPr>
        <w:t xml:space="preserve">ctual </w:t>
      </w:r>
      <w:r w:rsidRPr="003062C2">
        <w:t>s</w:t>
      </w:r>
      <w:r w:rsidRPr="003062C2">
        <w:rPr>
          <w:rStyle w:val="ts-alignment-element"/>
        </w:rPr>
        <w:t xml:space="preserve">tack </w:t>
      </w:r>
      <w:r w:rsidRPr="003062C2">
        <w:t>d</w:t>
      </w:r>
      <w:r w:rsidRPr="003062C2">
        <w:rPr>
          <w:rStyle w:val="ts-alignment-element"/>
        </w:rPr>
        <w:t xml:space="preserve">evelopment </w:t>
      </w:r>
      <w:r w:rsidRPr="003062C2">
        <w:t>and i</w:t>
      </w:r>
      <w:r w:rsidRPr="003062C2">
        <w:rPr>
          <w:rStyle w:val="ts-alignment-element"/>
        </w:rPr>
        <w:t xml:space="preserve">n </w:t>
      </w:r>
      <w:r w:rsidRPr="003062C2">
        <w:t>t</w:t>
      </w:r>
      <w:r w:rsidRPr="003062C2">
        <w:rPr>
          <w:rStyle w:val="ts-alignment-element"/>
        </w:rPr>
        <w:t xml:space="preserve">he </w:t>
      </w:r>
      <w:r w:rsidRPr="003062C2">
        <w:t>a</w:t>
      </w:r>
      <w:r w:rsidRPr="003062C2">
        <w:rPr>
          <w:rStyle w:val="ts-alignment-element"/>
        </w:rPr>
        <w:t xml:space="preserve">rea </w:t>
      </w:r>
      <w:r w:rsidRPr="003062C2">
        <w:t>of clarification</w:t>
      </w:r>
      <w:r w:rsidRPr="003062C2">
        <w:rPr>
          <w:rStyle w:val="ts-alignment-element"/>
        </w:rPr>
        <w:t xml:space="preserve"> </w:t>
      </w:r>
      <w:r w:rsidRPr="003062C2">
        <w:t>and o</w:t>
      </w:r>
      <w:r w:rsidRPr="003062C2">
        <w:rPr>
          <w:rStyle w:val="ts-alignment-element"/>
        </w:rPr>
        <w:t xml:space="preserve">ptimization </w:t>
      </w:r>
      <w:r w:rsidRPr="003062C2">
        <w:t>o</w:t>
      </w:r>
      <w:r w:rsidRPr="003062C2">
        <w:rPr>
          <w:rStyle w:val="ts-alignment-element"/>
        </w:rPr>
        <w:t xml:space="preserve">f </w:t>
      </w:r>
      <w:r w:rsidRPr="003062C2">
        <w:t>p</w:t>
      </w:r>
      <w:r w:rsidRPr="003062C2">
        <w:rPr>
          <w:rStyle w:val="ts-alignment-element"/>
        </w:rPr>
        <w:t xml:space="preserve">erformance </w:t>
      </w:r>
      <w:r w:rsidRPr="003062C2">
        <w:t>a</w:t>
      </w:r>
      <w:r w:rsidRPr="003062C2">
        <w:rPr>
          <w:rStyle w:val="ts-alignment-element"/>
        </w:rPr>
        <w:t xml:space="preserve">nd </w:t>
      </w:r>
      <w:r w:rsidRPr="003062C2">
        <w:t>l</w:t>
      </w:r>
      <w:r w:rsidRPr="003062C2">
        <w:rPr>
          <w:rStyle w:val="ts-alignment-element"/>
        </w:rPr>
        <w:t xml:space="preserve">ifetime </w:t>
      </w:r>
      <w:r w:rsidRPr="003062C2">
        <w:t>r</w:t>
      </w:r>
      <w:r w:rsidRPr="003062C2">
        <w:rPr>
          <w:rStyle w:val="ts-alignment-element"/>
        </w:rPr>
        <w:t xml:space="preserve">elevant </w:t>
      </w:r>
      <w:r w:rsidRPr="003062C2">
        <w:t>p</w:t>
      </w:r>
      <w:r w:rsidRPr="003062C2">
        <w:rPr>
          <w:rStyle w:val="ts-alignment-element"/>
        </w:rPr>
        <w:t xml:space="preserve">rocesses. The role of contaminants, foremost silicon species and sulfur dioxide in the feed gases, was investigated to support technical applications. </w:t>
      </w:r>
      <w:r w:rsidRPr="0002447B">
        <w:rPr>
          <w:rStyle w:val="ts-alignment-element"/>
        </w:rPr>
        <w:t>Headway was also made in applying advanced measuring technology like fibre-optic sensors for temperature measurements in air channels.</w:t>
      </w:r>
      <w:r w:rsidRPr="1E7D5397">
        <w:rPr>
          <w:rStyle w:val="ts-alignment-element"/>
        </w:rPr>
        <w:t xml:space="preserve"> </w:t>
      </w:r>
      <w:r w:rsidRPr="1E7D5397">
        <w:t>D</w:t>
      </w:r>
      <w:r w:rsidRPr="1E7D5397">
        <w:rPr>
          <w:rStyle w:val="ts-alignment-element"/>
        </w:rPr>
        <w:t xml:space="preserve">egradation </w:t>
      </w:r>
      <w:r w:rsidRPr="1E7D5397">
        <w:t>p</w:t>
      </w:r>
      <w:r w:rsidRPr="1E7D5397">
        <w:rPr>
          <w:rStyle w:val="ts-alignment-element"/>
        </w:rPr>
        <w:t xml:space="preserve">rocesses </w:t>
      </w:r>
      <w:r w:rsidRPr="1E7D5397">
        <w:t>w</w:t>
      </w:r>
      <w:r w:rsidRPr="1E7D5397">
        <w:rPr>
          <w:rStyle w:val="ts-alignment-element"/>
        </w:rPr>
        <w:t xml:space="preserve">ere </w:t>
      </w:r>
      <w:r w:rsidRPr="1E7D5397">
        <w:t>i</w:t>
      </w:r>
      <w:r w:rsidRPr="1E7D5397">
        <w:rPr>
          <w:rStyle w:val="ts-alignment-element"/>
        </w:rPr>
        <w:t xml:space="preserve">nvestigated </w:t>
      </w:r>
      <w:r w:rsidRPr="1E7D5397">
        <w:t>b</w:t>
      </w:r>
      <w:r w:rsidRPr="1E7D5397">
        <w:rPr>
          <w:rStyle w:val="ts-alignment-element"/>
        </w:rPr>
        <w:t xml:space="preserve">oth </w:t>
      </w:r>
      <w:r w:rsidRPr="1E7D5397">
        <w:t>e</w:t>
      </w:r>
      <w:r w:rsidRPr="1E7D5397">
        <w:rPr>
          <w:rStyle w:val="ts-alignment-element"/>
        </w:rPr>
        <w:t xml:space="preserve">xperimentally </w:t>
      </w:r>
      <w:r w:rsidRPr="1E7D5397">
        <w:t>and s</w:t>
      </w:r>
      <w:r w:rsidRPr="1E7D5397">
        <w:rPr>
          <w:rStyle w:val="ts-alignment-element"/>
        </w:rPr>
        <w:t xml:space="preserve">imulatively </w:t>
      </w:r>
      <w:r w:rsidRPr="1E7D5397">
        <w:t>in f</w:t>
      </w:r>
      <w:r w:rsidRPr="1E7D5397">
        <w:rPr>
          <w:rStyle w:val="ts-alignment-element"/>
        </w:rPr>
        <w:t xml:space="preserve">uel </w:t>
      </w:r>
      <w:r w:rsidRPr="1E7D5397">
        <w:t>c</w:t>
      </w:r>
      <w:r w:rsidRPr="1E7D5397">
        <w:rPr>
          <w:rStyle w:val="ts-alignment-element"/>
        </w:rPr>
        <w:t xml:space="preserve">ell </w:t>
      </w:r>
      <w:r w:rsidRPr="1E7D5397">
        <w:t>a</w:t>
      </w:r>
      <w:r w:rsidRPr="1E7D5397">
        <w:rPr>
          <w:rStyle w:val="ts-alignment-element"/>
        </w:rPr>
        <w:t xml:space="preserve">s </w:t>
      </w:r>
      <w:r w:rsidRPr="1E7D5397">
        <w:t>w</w:t>
      </w:r>
      <w:r w:rsidRPr="1E7D5397">
        <w:rPr>
          <w:rStyle w:val="ts-alignment-element"/>
        </w:rPr>
        <w:t xml:space="preserve">ell </w:t>
      </w:r>
      <w:r w:rsidRPr="1E7D5397">
        <w:t>a</w:t>
      </w:r>
      <w:r w:rsidRPr="1E7D5397">
        <w:rPr>
          <w:rStyle w:val="ts-alignment-element"/>
        </w:rPr>
        <w:t xml:space="preserve">s </w:t>
      </w:r>
      <w:r w:rsidRPr="1E7D5397">
        <w:t>i</w:t>
      </w:r>
      <w:r w:rsidRPr="1E7D5397">
        <w:rPr>
          <w:rStyle w:val="ts-alignment-element"/>
        </w:rPr>
        <w:t xml:space="preserve">n </w:t>
      </w:r>
      <w:r w:rsidRPr="1E7D5397">
        <w:t>s</w:t>
      </w:r>
      <w:r w:rsidRPr="1E7D5397">
        <w:rPr>
          <w:rStyle w:val="ts-alignment-element"/>
        </w:rPr>
        <w:t xml:space="preserve">team </w:t>
      </w:r>
      <w:r w:rsidRPr="1E7D5397">
        <w:t>a</w:t>
      </w:r>
      <w:r w:rsidRPr="1E7D5397">
        <w:rPr>
          <w:rStyle w:val="ts-alignment-element"/>
        </w:rPr>
        <w:t xml:space="preserve">nd </w:t>
      </w:r>
      <w:r w:rsidRPr="1E7D5397">
        <w:t>c</w:t>
      </w:r>
      <w:r w:rsidRPr="1E7D5397">
        <w:rPr>
          <w:rStyle w:val="ts-alignment-element"/>
        </w:rPr>
        <w:t xml:space="preserve">o-electrolysis </w:t>
      </w:r>
      <w:r w:rsidRPr="1E7D5397">
        <w:t>o</w:t>
      </w:r>
      <w:r w:rsidRPr="1E7D5397">
        <w:rPr>
          <w:rStyle w:val="ts-alignment-element"/>
        </w:rPr>
        <w:t xml:space="preserve">peration. </w:t>
      </w:r>
      <w:r w:rsidRPr="1E7D5397">
        <w:t>O</w:t>
      </w:r>
      <w:r w:rsidRPr="1E7D5397">
        <w:rPr>
          <w:rStyle w:val="ts-alignment-element"/>
        </w:rPr>
        <w:t xml:space="preserve">n </w:t>
      </w:r>
      <w:r w:rsidRPr="1E7D5397">
        <w:t>the o</w:t>
      </w:r>
      <w:r w:rsidRPr="1E7D5397">
        <w:rPr>
          <w:rStyle w:val="ts-alignment-element"/>
        </w:rPr>
        <w:t xml:space="preserve">ne </w:t>
      </w:r>
      <w:r w:rsidRPr="1E7D5397">
        <w:t>h</w:t>
      </w:r>
      <w:r w:rsidRPr="1E7D5397">
        <w:rPr>
          <w:rStyle w:val="ts-alignment-element"/>
        </w:rPr>
        <w:t xml:space="preserve">and, </w:t>
      </w:r>
      <w:r w:rsidRPr="1E7D5397">
        <w:t>m</w:t>
      </w:r>
      <w:r w:rsidRPr="1E7D5397">
        <w:rPr>
          <w:rStyle w:val="ts-alignment-element"/>
        </w:rPr>
        <w:t xml:space="preserve">achine </w:t>
      </w:r>
      <w:r w:rsidRPr="1E7D5397">
        <w:t>l</w:t>
      </w:r>
      <w:r w:rsidRPr="1E7D5397">
        <w:rPr>
          <w:rStyle w:val="ts-alignment-element"/>
        </w:rPr>
        <w:t xml:space="preserve">earning </w:t>
      </w:r>
      <w:r w:rsidRPr="1E7D5397">
        <w:t>a</w:t>
      </w:r>
      <w:r w:rsidRPr="1E7D5397">
        <w:rPr>
          <w:rStyle w:val="ts-alignment-element"/>
        </w:rPr>
        <w:t xml:space="preserve">pproaches </w:t>
      </w:r>
      <w:r w:rsidRPr="1E7D5397">
        <w:t>w</w:t>
      </w:r>
      <w:r w:rsidRPr="1E7D5397">
        <w:rPr>
          <w:rStyle w:val="ts-alignment-element"/>
        </w:rPr>
        <w:t xml:space="preserve">ere pursued to analyze degradational patterns in SOC stacks, utilizing a specifically consolidated and curated set of long-term experiments and EIS measurements. </w:t>
      </w:r>
      <w:r w:rsidRPr="1E7D5397">
        <w:t>O</w:t>
      </w:r>
      <w:r w:rsidRPr="1E7D5397">
        <w:rPr>
          <w:rStyle w:val="ts-alignment-element"/>
        </w:rPr>
        <w:t xml:space="preserve">n </w:t>
      </w:r>
      <w:r w:rsidRPr="1E7D5397">
        <w:t>the o</w:t>
      </w:r>
      <w:r w:rsidRPr="1E7D5397">
        <w:rPr>
          <w:rStyle w:val="ts-alignment-element"/>
        </w:rPr>
        <w:t xml:space="preserve">ther </w:t>
      </w:r>
      <w:r w:rsidRPr="1E7D5397">
        <w:t>h</w:t>
      </w:r>
      <w:r w:rsidRPr="1E7D5397">
        <w:rPr>
          <w:rStyle w:val="ts-alignment-element"/>
        </w:rPr>
        <w:t xml:space="preserve">and, </w:t>
      </w:r>
      <w:r w:rsidRPr="1E7D5397">
        <w:t>a</w:t>
      </w:r>
      <w:r w:rsidRPr="1E7D5397">
        <w:rPr>
          <w:rStyle w:val="ts-alignment-element"/>
        </w:rPr>
        <w:t xml:space="preserve"> </w:t>
      </w:r>
      <w:r w:rsidRPr="1E7D5397">
        <w:t>m</w:t>
      </w:r>
      <w:r w:rsidRPr="1E7D5397">
        <w:rPr>
          <w:rStyle w:val="ts-alignment-element"/>
        </w:rPr>
        <w:t xml:space="preserve">ultiphysical </w:t>
      </w:r>
      <w:r w:rsidRPr="1E7D5397">
        <w:t>stack m</w:t>
      </w:r>
      <w:r w:rsidRPr="1E7D5397">
        <w:rPr>
          <w:rStyle w:val="ts-alignment-element"/>
        </w:rPr>
        <w:t xml:space="preserve">odel </w:t>
      </w:r>
      <w:r w:rsidRPr="1E7D5397">
        <w:t>w</w:t>
      </w:r>
      <w:r w:rsidRPr="1E7D5397">
        <w:rPr>
          <w:rStyle w:val="ts-alignment-element"/>
        </w:rPr>
        <w:t xml:space="preserve">as </w:t>
      </w:r>
      <w:r w:rsidRPr="1E7D5397">
        <w:t>d</w:t>
      </w:r>
      <w:r w:rsidRPr="1E7D5397">
        <w:rPr>
          <w:rStyle w:val="ts-alignment-element"/>
        </w:rPr>
        <w:t xml:space="preserve">eveloped </w:t>
      </w:r>
      <w:r w:rsidRPr="1E7D5397">
        <w:t>that a</w:t>
      </w:r>
      <w:r w:rsidRPr="1E7D5397">
        <w:rPr>
          <w:rStyle w:val="ts-alignment-element"/>
        </w:rPr>
        <w:t xml:space="preserve">llows </w:t>
      </w:r>
      <w:r w:rsidRPr="1E7D5397">
        <w:t>the r</w:t>
      </w:r>
      <w:r w:rsidRPr="1E7D5397">
        <w:rPr>
          <w:rStyle w:val="ts-alignment-element"/>
        </w:rPr>
        <w:t xml:space="preserve">elevant </w:t>
      </w:r>
      <w:r w:rsidRPr="1E7D5397">
        <w:t>p</w:t>
      </w:r>
      <w:r w:rsidRPr="1E7D5397">
        <w:rPr>
          <w:rStyle w:val="ts-alignment-element"/>
        </w:rPr>
        <w:t xml:space="preserve">hysical </w:t>
      </w:r>
      <w:r w:rsidRPr="1E7D5397">
        <w:t>p</w:t>
      </w:r>
      <w:r w:rsidRPr="1E7D5397">
        <w:rPr>
          <w:rStyle w:val="ts-alignment-element"/>
        </w:rPr>
        <w:t xml:space="preserve">rocesses </w:t>
      </w:r>
      <w:r w:rsidRPr="1E7D5397">
        <w:t>w</w:t>
      </w:r>
      <w:r w:rsidRPr="1E7D5397">
        <w:rPr>
          <w:rStyle w:val="ts-alignment-element"/>
        </w:rPr>
        <w:t xml:space="preserve">ithin </w:t>
      </w:r>
      <w:r w:rsidRPr="1E7D5397">
        <w:t>the stack to b</w:t>
      </w:r>
      <w:r w:rsidRPr="1E7D5397">
        <w:rPr>
          <w:rStyle w:val="ts-alignment-element"/>
        </w:rPr>
        <w:t xml:space="preserve">e </w:t>
      </w:r>
      <w:r w:rsidRPr="1E7D5397">
        <w:t>a</w:t>
      </w:r>
      <w:r w:rsidRPr="1E7D5397">
        <w:rPr>
          <w:rStyle w:val="ts-alignment-element"/>
        </w:rPr>
        <w:t xml:space="preserve">nalyzed </w:t>
      </w:r>
      <w:r w:rsidRPr="1E7D5397">
        <w:t>i</w:t>
      </w:r>
      <w:r w:rsidRPr="1E7D5397">
        <w:rPr>
          <w:rStyle w:val="ts-alignment-element"/>
        </w:rPr>
        <w:t xml:space="preserve">ndividually </w:t>
      </w:r>
      <w:r w:rsidRPr="1E7D5397">
        <w:t>and c</w:t>
      </w:r>
      <w:r w:rsidRPr="1E7D5397">
        <w:rPr>
          <w:rStyle w:val="ts-alignment-element"/>
        </w:rPr>
        <w:t xml:space="preserve">oupled </w:t>
      </w:r>
      <w:r w:rsidRPr="1E7D5397">
        <w:t>a</w:t>
      </w:r>
      <w:r w:rsidRPr="1E7D5397">
        <w:rPr>
          <w:rStyle w:val="ts-alignment-element"/>
        </w:rPr>
        <w:t xml:space="preserve">nd </w:t>
      </w:r>
      <w:r w:rsidRPr="1E7D5397">
        <w:t>t</w:t>
      </w:r>
      <w:r w:rsidRPr="1E7D5397">
        <w:rPr>
          <w:rStyle w:val="ts-alignment-element"/>
        </w:rPr>
        <w:t xml:space="preserve">hus </w:t>
      </w:r>
      <w:r w:rsidRPr="1E7D5397">
        <w:t>t</w:t>
      </w:r>
      <w:r w:rsidRPr="1E7D5397">
        <w:rPr>
          <w:rStyle w:val="ts-alignment-element"/>
        </w:rPr>
        <w:t xml:space="preserve">o </w:t>
      </w:r>
      <w:r w:rsidRPr="1E7D5397">
        <w:t>o</w:t>
      </w:r>
      <w:r w:rsidRPr="1E7D5397">
        <w:rPr>
          <w:rStyle w:val="ts-alignment-element"/>
        </w:rPr>
        <w:t xml:space="preserve">ptimize </w:t>
      </w:r>
      <w:r w:rsidRPr="1E7D5397">
        <w:t>t</w:t>
      </w:r>
      <w:r w:rsidRPr="1E7D5397">
        <w:rPr>
          <w:rStyle w:val="ts-alignment-element"/>
        </w:rPr>
        <w:t xml:space="preserve">he </w:t>
      </w:r>
      <w:r w:rsidRPr="1E7D5397">
        <w:t>o</w:t>
      </w:r>
      <w:r w:rsidRPr="1E7D5397">
        <w:rPr>
          <w:rStyle w:val="ts-alignment-element"/>
        </w:rPr>
        <w:t xml:space="preserve">verall </w:t>
      </w:r>
      <w:r w:rsidRPr="1E7D5397">
        <w:t>o</w:t>
      </w:r>
      <w:r w:rsidRPr="1E7D5397">
        <w:rPr>
          <w:rStyle w:val="ts-alignment-element"/>
        </w:rPr>
        <w:t xml:space="preserve">peration </w:t>
      </w:r>
      <w:r w:rsidRPr="1E7D5397">
        <w:t>o</w:t>
      </w:r>
      <w:r w:rsidRPr="1E7D5397">
        <w:rPr>
          <w:rStyle w:val="ts-alignment-element"/>
        </w:rPr>
        <w:t xml:space="preserve">f </w:t>
      </w:r>
      <w:r w:rsidRPr="1E7D5397">
        <w:t>t</w:t>
      </w:r>
      <w:r w:rsidRPr="1E7D5397">
        <w:rPr>
          <w:rStyle w:val="ts-alignment-element"/>
        </w:rPr>
        <w:t xml:space="preserve">he </w:t>
      </w:r>
      <w:r w:rsidRPr="1E7D5397">
        <w:t>s</w:t>
      </w:r>
      <w:r w:rsidRPr="1E7D5397">
        <w:rPr>
          <w:rStyle w:val="ts-alignment-element"/>
        </w:rPr>
        <w:t>tack.</w:t>
      </w:r>
    </w:p>
    <w:p w14:paraId="5CEF6198" w14:textId="77777777" w:rsidR="00D72C6B" w:rsidRDefault="00D72C6B" w:rsidP="00D72C6B">
      <w:pPr>
        <w:rPr>
          <w:rStyle w:val="ts-alignment-element"/>
        </w:rPr>
      </w:pPr>
    </w:p>
    <w:p w14:paraId="667FEE04" w14:textId="06BC3231" w:rsidR="00D72C6B" w:rsidRPr="0046331A" w:rsidRDefault="00D72C6B" w:rsidP="00D72C6B">
      <w:pPr>
        <w:rPr>
          <w:lang w:val="en" w:eastAsia="de-DE"/>
        </w:rPr>
      </w:pPr>
      <w:r>
        <w:t xml:space="preserve">     </w:t>
      </w:r>
      <w:r w:rsidRPr="1E7D5397">
        <w:t>Recently, an rSOC system with a nominal output power of 10</w:t>
      </w:r>
      <w:r w:rsidR="002D5278">
        <w:t> </w:t>
      </w:r>
      <w:r w:rsidRPr="1E7D5397">
        <w:t>kW in fuel cell mode and input power of 40</w:t>
      </w:r>
      <w:r w:rsidR="002D5278">
        <w:t> </w:t>
      </w:r>
      <w:r w:rsidRPr="1E7D5397">
        <w:t>kW in electrolysis mode was developed. Four SOC sub-stacks, separated and surrounded by a total of five heating plates plus an air preheater at one end and a fuel preheater at the other end, form the Integrated Module of the system; each stack has 20</w:t>
      </w:r>
      <w:r w:rsidR="002D5278">
        <w:t> </w:t>
      </w:r>
      <w:r w:rsidRPr="1E7D5397">
        <w:t>layers with an active cell area of 19 cm x19 cm. A compact and optimized design could be realized, which achieves a system efficiency of 63.3</w:t>
      </w:r>
      <w:r w:rsidR="002D5278">
        <w:t> </w:t>
      </w:r>
      <w:r w:rsidRPr="1E7D5397">
        <w:t>% and 71.1</w:t>
      </w:r>
      <w:r w:rsidR="002D5278">
        <w:t> </w:t>
      </w:r>
      <w:r w:rsidRPr="1E7D5397">
        <w:t>% with respect to the lower heating value in fuel cell mode and electrolysis mode, respectively. The system has already been tested in stationary operation modes. Current developments focus on the operating strategy, in particular on the temperature control of the stack in fuel cell mode and during the transient operation of the system.</w:t>
      </w:r>
    </w:p>
    <w:p w14:paraId="54DAFB93" w14:textId="77777777" w:rsidR="00D72C6B" w:rsidRPr="0046331A" w:rsidRDefault="00D72C6B" w:rsidP="00D72C6B">
      <w:pPr>
        <w:rPr>
          <w:rStyle w:val="ts-alignment-element"/>
          <w:lang w:val="en"/>
        </w:rPr>
      </w:pPr>
    </w:p>
    <w:p w14:paraId="6FF2145C" w14:textId="5CB061E2" w:rsidR="00D72C6B" w:rsidRDefault="00D72C6B" w:rsidP="00D72C6B"/>
    <w:p w14:paraId="35040515" w14:textId="0046C9C2" w:rsidR="00D72C6B" w:rsidRDefault="00D72C6B" w:rsidP="0079184E">
      <w:pPr>
        <w:pStyle w:val="Titel1"/>
      </w:pPr>
      <w:r>
        <w:t xml:space="preserve">Results and </w:t>
      </w:r>
      <w:r w:rsidRPr="00EB6B4D">
        <w:t>Discussion</w:t>
      </w:r>
    </w:p>
    <w:p w14:paraId="36B6BAEB" w14:textId="77777777" w:rsidR="0079184E" w:rsidRDefault="0079184E" w:rsidP="0079184E">
      <w:pPr>
        <w:pStyle w:val="Titel1"/>
      </w:pPr>
    </w:p>
    <w:p w14:paraId="7643D39D" w14:textId="45C16180" w:rsidR="00D72C6B" w:rsidRPr="000C35B8" w:rsidRDefault="00D72C6B" w:rsidP="0079184E">
      <w:pPr>
        <w:pStyle w:val="Titel2"/>
      </w:pPr>
      <w:r w:rsidRPr="000C35B8">
        <w:t>Electrode Development</w:t>
      </w:r>
    </w:p>
    <w:p w14:paraId="26C639E0" w14:textId="77777777" w:rsidR="0079184E" w:rsidRPr="0079184E" w:rsidRDefault="0079184E" w:rsidP="0079184E">
      <w:pPr>
        <w:pStyle w:val="Titel2"/>
      </w:pPr>
    </w:p>
    <w:p w14:paraId="231A17D6" w14:textId="499A5055" w:rsidR="00D72C6B" w:rsidRDefault="00D72C6B" w:rsidP="00D72C6B">
      <w:r>
        <w:t xml:space="preserve">     </w:t>
      </w:r>
      <w:r w:rsidRPr="004D3325">
        <w:t>The</w:t>
      </w:r>
      <w:r w:rsidRPr="00577D7F">
        <w:t xml:space="preserve"> conventional Ni-cermet fuel electrode (Ni</w:t>
      </w:r>
      <w:r w:rsidR="002D5278">
        <w:t> </w:t>
      </w:r>
      <w:r w:rsidRPr="00577D7F">
        <w:t>/</w:t>
      </w:r>
      <w:r w:rsidR="002D5278">
        <w:t> </w:t>
      </w:r>
      <w:r w:rsidRPr="00577D7F">
        <w:t>8</w:t>
      </w:r>
      <w:r w:rsidR="002D5278">
        <w:t> </w:t>
      </w:r>
      <w:r w:rsidRPr="00577D7F">
        <w:t>mol% yttria stabilized zirconia (8YSZ)) exhibits several issues during long-term SOEC operation of which the Ni agglomeration is most detrimental. Therefore, to avoid such issues, Ni-free electrodes are considered, like La</w:t>
      </w:r>
      <w:r w:rsidRPr="00577D7F">
        <w:rPr>
          <w:vertAlign w:val="subscript"/>
        </w:rPr>
        <w:t>0.6</w:t>
      </w:r>
      <w:r w:rsidRPr="00577D7F">
        <w:t>Sr</w:t>
      </w:r>
      <w:r w:rsidRPr="00577D7F">
        <w:rPr>
          <w:vertAlign w:val="subscript"/>
        </w:rPr>
        <w:t>0.4</w:t>
      </w:r>
      <w:r w:rsidRPr="00577D7F">
        <w:t>MnO</w:t>
      </w:r>
      <w:r w:rsidRPr="00577D7F">
        <w:rPr>
          <w:vertAlign w:val="subscript"/>
        </w:rPr>
        <w:t>3</w:t>
      </w:r>
      <w:r w:rsidR="002D5278">
        <w:t> </w:t>
      </w:r>
      <w:r w:rsidRPr="00577D7F">
        <w:t xml:space="preserve">(LSM) based perovskite oxides as fuel electrode </w:t>
      </w:r>
      <w:r>
        <w:t>(</w:t>
      </w:r>
      <w:r w:rsidRPr="00577D7F">
        <w:fldChar w:fldCharType="begin"/>
      </w:r>
      <w:r w:rsidRPr="00577D7F">
        <w:instrText xml:space="preserve"> REF _Ref129702174 \r \h </w:instrText>
      </w:r>
      <w:r w:rsidRPr="00577D7F">
        <w:fldChar w:fldCharType="separate"/>
      </w:r>
      <w:r w:rsidR="0089634E">
        <w:t>6</w:t>
      </w:r>
      <w:r w:rsidRPr="00577D7F">
        <w:fldChar w:fldCharType="end"/>
      </w:r>
      <w:r>
        <w:t>)</w:t>
      </w:r>
      <w:r w:rsidRPr="00577D7F">
        <w:t xml:space="preserve">. LSM </w:t>
      </w:r>
      <w:r w:rsidRPr="00577D7F">
        <w:lastRenderedPageBreak/>
        <w:t xml:space="preserve">is a purely electronic conductor and is well known as oxygen electrode for </w:t>
      </w:r>
      <w:r>
        <w:t>SOCs</w:t>
      </w:r>
      <w:r w:rsidRPr="00577D7F">
        <w:t>. Under reducing atmosphere, the LSM perovskite phase transforms into a Ruddlesden-Popper</w:t>
      </w:r>
      <w:r w:rsidR="002D5278">
        <w:t> </w:t>
      </w:r>
      <w:r w:rsidRPr="00577D7F">
        <w:t>(RP) (La</w:t>
      </w:r>
      <w:r w:rsidRPr="00577D7F">
        <w:rPr>
          <w:vertAlign w:val="subscript"/>
        </w:rPr>
        <w:t>0.6</w:t>
      </w:r>
      <w:r w:rsidRPr="00577D7F">
        <w:t>Sr</w:t>
      </w:r>
      <w:r w:rsidRPr="00577D7F">
        <w:rPr>
          <w:vertAlign w:val="subscript"/>
        </w:rPr>
        <w:t>0.4</w:t>
      </w:r>
      <w:r w:rsidRPr="00577D7F">
        <w:t>)</w:t>
      </w:r>
      <w:r w:rsidRPr="00577D7F">
        <w:rPr>
          <w:vertAlign w:val="subscript"/>
        </w:rPr>
        <w:t>2</w:t>
      </w:r>
      <w:r w:rsidRPr="00577D7F">
        <w:t>MnO</w:t>
      </w:r>
      <w:r w:rsidRPr="00577D7F">
        <w:rPr>
          <w:vertAlign w:val="subscript"/>
        </w:rPr>
        <w:t>4±δ</w:t>
      </w:r>
      <w:r w:rsidRPr="00577D7F">
        <w:t xml:space="preserve"> phase and MnO</w:t>
      </w:r>
      <w:r w:rsidRPr="00577D7F">
        <w:rPr>
          <w:vertAlign w:val="subscript"/>
        </w:rPr>
        <w:t>x</w:t>
      </w:r>
      <w:r w:rsidRPr="00577D7F">
        <w:t>. Single cells were prepared by screen printing the LSM electrodes on a</w:t>
      </w:r>
      <w:r>
        <w:t>n</w:t>
      </w:r>
      <w:r w:rsidRPr="00577D7F">
        <w:t xml:space="preserve"> 8YSZ electrolyte foil. Next to a pure LSM layer, also composite layers of the LSM with 8YSZ and with Gd</w:t>
      </w:r>
      <w:r w:rsidRPr="00577D7F">
        <w:rPr>
          <w:vertAlign w:val="subscript"/>
        </w:rPr>
        <w:t>0.2</w:t>
      </w:r>
      <w:r w:rsidRPr="00577D7F">
        <w:t>Ce</w:t>
      </w:r>
      <w:r w:rsidRPr="00577D7F">
        <w:rPr>
          <w:vertAlign w:val="subscript"/>
        </w:rPr>
        <w:t>0.8</w:t>
      </w:r>
      <w:r w:rsidRPr="00577D7F">
        <w:t>O</w:t>
      </w:r>
      <w:r w:rsidRPr="00577D7F">
        <w:rPr>
          <w:vertAlign w:val="subscript"/>
        </w:rPr>
        <w:t>2</w:t>
      </w:r>
      <w:r w:rsidR="002D5278">
        <w:t> </w:t>
      </w:r>
      <w:r w:rsidRPr="00577D7F">
        <w:t>(GDC) were prepared. On the air side the conventional two-layer LSM+8YSZ//LSM electrode was screen printed. XRD analysis of the reduced LSM powder showed the pure RP (La</w:t>
      </w:r>
      <w:r w:rsidRPr="00577D7F">
        <w:rPr>
          <w:vertAlign w:val="subscript"/>
        </w:rPr>
        <w:t>0.6</w:t>
      </w:r>
      <w:r w:rsidRPr="00577D7F">
        <w:t>Sr</w:t>
      </w:r>
      <w:r w:rsidRPr="00577D7F">
        <w:rPr>
          <w:vertAlign w:val="subscript"/>
        </w:rPr>
        <w:t>0.4</w:t>
      </w:r>
      <w:r w:rsidRPr="00577D7F">
        <w:t>)</w:t>
      </w:r>
      <w:r w:rsidRPr="00577D7F">
        <w:rPr>
          <w:vertAlign w:val="subscript"/>
        </w:rPr>
        <w:t>2</w:t>
      </w:r>
      <w:r w:rsidRPr="00577D7F">
        <w:t>MnO</w:t>
      </w:r>
      <w:r w:rsidRPr="00577D7F">
        <w:rPr>
          <w:vertAlign w:val="subscript"/>
        </w:rPr>
        <w:t>4±δ</w:t>
      </w:r>
      <w:r w:rsidRPr="00577D7F">
        <w:t xml:space="preserve"> phase along with nano-sized MnO</w:t>
      </w:r>
      <w:r w:rsidRPr="00577D7F">
        <w:rPr>
          <w:vertAlign w:val="subscript"/>
        </w:rPr>
        <w:t>x</w:t>
      </w:r>
      <w:r w:rsidRPr="00577D7F">
        <w:t xml:space="preserve">-particles, that were exsolved out and distributed on the surface of RP LSM </w:t>
      </w:r>
      <w:r>
        <w:t>(</w:t>
      </w:r>
      <w:r w:rsidRPr="00577D7F">
        <w:fldChar w:fldCharType="begin"/>
      </w:r>
      <w:r w:rsidRPr="00577D7F">
        <w:instrText xml:space="preserve"> REF _Ref129702174 \r \h </w:instrText>
      </w:r>
      <w:r w:rsidRPr="00577D7F">
        <w:fldChar w:fldCharType="separate"/>
      </w:r>
      <w:r w:rsidR="0089634E">
        <w:t>6</w:t>
      </w:r>
      <w:r w:rsidRPr="00577D7F">
        <w:fldChar w:fldCharType="end"/>
      </w:r>
      <w:r>
        <w:t>)</w:t>
      </w:r>
      <w:r w:rsidRPr="00577D7F">
        <w:t xml:space="preserve">. </w:t>
      </w:r>
    </w:p>
    <w:p w14:paraId="3B113280" w14:textId="77777777" w:rsidR="00D72C6B" w:rsidRPr="00577D7F" w:rsidRDefault="00D72C6B" w:rsidP="00D72C6B"/>
    <w:p w14:paraId="1DCB3676" w14:textId="5954A5C2" w:rsidR="00D72C6B" w:rsidRDefault="00D72C6B" w:rsidP="00D72C6B">
      <w:r>
        <w:t xml:space="preserve">     </w:t>
      </w:r>
      <w:r>
        <w:fldChar w:fldCharType="begin"/>
      </w:r>
      <w:r>
        <w:instrText xml:space="preserve"> REF _Ref129859013 \h </w:instrText>
      </w:r>
      <w:r>
        <w:fldChar w:fldCharType="separate"/>
      </w:r>
      <w:r w:rsidR="0089634E">
        <w:t xml:space="preserve">Figure </w:t>
      </w:r>
      <w:r w:rsidR="0089634E">
        <w:rPr>
          <w:noProof/>
        </w:rPr>
        <w:t>1</w:t>
      </w:r>
      <w:r>
        <w:fldChar w:fldCharType="end"/>
      </w:r>
      <w:r>
        <w:t xml:space="preserve"> </w:t>
      </w:r>
      <w:r w:rsidRPr="00577D7F">
        <w:t>shows the current-voltage characteristics of the single cells with the three different LSM-based fuel electrodes under steam electrolysis conditions with</w:t>
      </w:r>
      <w:r w:rsidRPr="0B7FD170">
        <w:t xml:space="preserve"> a </w:t>
      </w:r>
      <w:r w:rsidRPr="00577D7F">
        <w:t>50</w:t>
      </w:r>
      <w:r w:rsidR="00443F2C">
        <w:t> </w:t>
      </w:r>
      <w:r w:rsidRPr="00577D7F">
        <w:t>% N</w:t>
      </w:r>
      <w:r w:rsidRPr="00577D7F">
        <w:rPr>
          <w:vertAlign w:val="subscript"/>
        </w:rPr>
        <w:t>2</w:t>
      </w:r>
      <w:r w:rsidRPr="00577D7F">
        <w:t xml:space="preserve"> </w:t>
      </w:r>
      <w:r w:rsidR="00C71348">
        <w:t>+</w:t>
      </w:r>
      <w:r w:rsidR="00C71348" w:rsidRPr="00577D7F">
        <w:t xml:space="preserve"> </w:t>
      </w:r>
      <w:r w:rsidRPr="00577D7F">
        <w:t>50</w:t>
      </w:r>
      <w:r w:rsidR="00443F2C">
        <w:t> </w:t>
      </w:r>
      <w:r w:rsidRPr="00577D7F">
        <w:t>% H</w:t>
      </w:r>
      <w:r w:rsidRPr="00577D7F">
        <w:rPr>
          <w:vertAlign w:val="subscript"/>
        </w:rPr>
        <w:t>2</w:t>
      </w:r>
      <w:r w:rsidRPr="00577D7F">
        <w:t>O feed gas mixture. A comparable good cell performance is observed for both the pure LSM and the LSM+GDC composite fuel electrode containing single cells. However, a lower performance is observed for the LSM+YSZ composite fuel electrode containing single cell. A detailed analysis of the recorded impedance spectra and post-test examination of the samples is being conducted in order to give more insight in this difference in performance of the three LSM-based electrodes.</w:t>
      </w:r>
    </w:p>
    <w:p w14:paraId="49890D51" w14:textId="77777777" w:rsidR="007C285B" w:rsidRPr="00577D7F" w:rsidRDefault="007C285B" w:rsidP="00D72C6B"/>
    <w:p w14:paraId="17F51E2B" w14:textId="2BA804F8" w:rsidR="00D72C6B" w:rsidRDefault="00D72C6B" w:rsidP="00D72C6B">
      <w:pPr>
        <w:jc w:val="center"/>
      </w:pPr>
      <w:r>
        <w:rPr>
          <w:noProof/>
        </w:rPr>
        <w:drawing>
          <wp:inline distT="0" distB="0" distL="0" distR="0" wp14:anchorId="292F9045" wp14:editId="5EF3321E">
            <wp:extent cx="2708564" cy="2244035"/>
            <wp:effectExtent l="0" t="0" r="0" b="4445"/>
            <wp:docPr id="471958102" name="Picture 47195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18761" cy="2252483"/>
                    </a:xfrm>
                    <a:prstGeom prst="rect">
                      <a:avLst/>
                    </a:prstGeom>
                  </pic:spPr>
                </pic:pic>
              </a:graphicData>
            </a:graphic>
          </wp:inline>
        </w:drawing>
      </w:r>
    </w:p>
    <w:p w14:paraId="67D37336" w14:textId="77777777" w:rsidR="007C285B" w:rsidRPr="00AC6B0B" w:rsidRDefault="007C285B" w:rsidP="00D72C6B">
      <w:pPr>
        <w:jc w:val="center"/>
      </w:pPr>
    </w:p>
    <w:p w14:paraId="31930E2C" w14:textId="63ABE5AC" w:rsidR="00D72C6B" w:rsidRPr="00A01B40" w:rsidRDefault="00D72C6B" w:rsidP="007C285B">
      <w:pPr>
        <w:pStyle w:val="Beschriftung"/>
        <w:jc w:val="both"/>
      </w:pPr>
      <w:bookmarkStart w:id="1" w:name="_Ref129859013"/>
      <w:r>
        <w:t xml:space="preserve">Figure </w:t>
      </w:r>
      <w:r>
        <w:fldChar w:fldCharType="begin"/>
      </w:r>
      <w:r>
        <w:instrText xml:space="preserve"> SEQ Figure \* ARABIC </w:instrText>
      </w:r>
      <w:r>
        <w:fldChar w:fldCharType="separate"/>
      </w:r>
      <w:r w:rsidR="0089634E">
        <w:rPr>
          <w:noProof/>
        </w:rPr>
        <w:t>1</w:t>
      </w:r>
      <w:r>
        <w:fldChar w:fldCharType="end"/>
      </w:r>
      <w:bookmarkEnd w:id="1"/>
      <w:r w:rsidR="0079184E">
        <w:t xml:space="preserve">. </w:t>
      </w:r>
      <w:r w:rsidRPr="00A01B40">
        <w:t xml:space="preserve"> </w:t>
      </w:r>
      <w:r w:rsidR="00191E3F">
        <w:t xml:space="preserve">Current-voltage </w:t>
      </w:r>
      <w:r w:rsidRPr="00A01B40">
        <w:t xml:space="preserve">characteristics </w:t>
      </w:r>
      <w:r w:rsidRPr="006A125B">
        <w:t>of</w:t>
      </w:r>
      <w:r w:rsidRPr="00A01B40">
        <w:t xml:space="preserve"> single cells containing </w:t>
      </w:r>
      <w:r w:rsidR="00191E3F">
        <w:t xml:space="preserve">different fuel electrodes: </w:t>
      </w:r>
      <w:r w:rsidRPr="00A01B40">
        <w:t>LSM, LSM+GDC, and LSM+YSZ</w:t>
      </w:r>
      <w:r w:rsidR="00191E3F">
        <w:t xml:space="preserve">. The characteristics were </w:t>
      </w:r>
      <w:r w:rsidRPr="00A01B40">
        <w:t>recorded at 900</w:t>
      </w:r>
      <w:r w:rsidR="007C285B">
        <w:t> </w:t>
      </w:r>
      <w:r w:rsidRPr="00A01B40">
        <w:t>°C</w:t>
      </w:r>
      <w:r w:rsidR="00BF4BC1">
        <w:t>.</w:t>
      </w:r>
      <w:r w:rsidR="00191E3F">
        <w:t xml:space="preserve"> The </w:t>
      </w:r>
      <w:r w:rsidR="00191E3F" w:rsidRPr="00A01B40">
        <w:t>feed gas mixture</w:t>
      </w:r>
      <w:r w:rsidR="00191E3F">
        <w:t xml:space="preserve"> </w:t>
      </w:r>
      <w:r w:rsidR="00BF4BC1">
        <w:t>consisted</w:t>
      </w:r>
      <w:r w:rsidR="00191E3F">
        <w:t xml:space="preserve"> of </w:t>
      </w:r>
      <w:r w:rsidRPr="00A01B40">
        <w:t>50</w:t>
      </w:r>
      <w:r w:rsidR="007C285B">
        <w:t> </w:t>
      </w:r>
      <w:r w:rsidRPr="00A01B40">
        <w:t>% N</w:t>
      </w:r>
      <w:r w:rsidRPr="00A01B40">
        <w:rPr>
          <w:vertAlign w:val="subscript"/>
        </w:rPr>
        <w:t>2</w:t>
      </w:r>
      <w:r w:rsidRPr="00A01B40">
        <w:t xml:space="preserve"> </w:t>
      </w:r>
      <w:r w:rsidR="00191E3F">
        <w:t>and</w:t>
      </w:r>
      <w:r w:rsidRPr="00A01B40">
        <w:t xml:space="preserve"> 50</w:t>
      </w:r>
      <w:r w:rsidR="007C285B">
        <w:t> </w:t>
      </w:r>
      <w:r w:rsidRPr="00A01B40">
        <w:t>% H</w:t>
      </w:r>
      <w:r w:rsidRPr="00A01B40">
        <w:rPr>
          <w:vertAlign w:val="subscript"/>
        </w:rPr>
        <w:t>2</w:t>
      </w:r>
      <w:r w:rsidRPr="00A01B40">
        <w:t>O.</w:t>
      </w:r>
    </w:p>
    <w:p w14:paraId="71936A73" w14:textId="644D37B7" w:rsidR="00D72C6B" w:rsidRDefault="00D72C6B" w:rsidP="00D72C6B"/>
    <w:p w14:paraId="015F4EBC" w14:textId="77777777" w:rsidR="0079184E" w:rsidRDefault="0079184E" w:rsidP="00D72C6B"/>
    <w:p w14:paraId="3F67AE05" w14:textId="60347054" w:rsidR="00D72C6B" w:rsidRPr="00FE7FA2" w:rsidRDefault="00D72C6B" w:rsidP="0079184E">
      <w:pPr>
        <w:pStyle w:val="Titel2"/>
      </w:pPr>
      <w:r w:rsidRPr="00FE7FA2">
        <w:t>Electrode-</w:t>
      </w:r>
      <w:r w:rsidR="007C285B" w:rsidRPr="00FE7FA2">
        <w:t>Electrolyte Interfaces</w:t>
      </w:r>
    </w:p>
    <w:p w14:paraId="2F85EFEA" w14:textId="77777777" w:rsidR="0079184E" w:rsidRPr="00AF0D21" w:rsidRDefault="0079184E" w:rsidP="0079184E">
      <w:pPr>
        <w:pStyle w:val="Titel2"/>
      </w:pPr>
    </w:p>
    <w:p w14:paraId="459744B4" w14:textId="447F9D67" w:rsidR="000C35B8" w:rsidRDefault="00D72C6B" w:rsidP="006E24BC">
      <w:pPr>
        <w:rPr>
          <w:lang w:val="en"/>
        </w:rPr>
      </w:pPr>
      <w:r>
        <w:rPr>
          <w:lang w:val="en"/>
        </w:rPr>
        <w:t xml:space="preserve">     </w:t>
      </w:r>
      <w:r w:rsidRPr="00AF0D21">
        <w:rPr>
          <w:lang w:val="en"/>
        </w:rPr>
        <w:t>State-of-the-art air-electrode materials like LSC(F) are known to react with YSZ electrolyte material to form electrically insulating SrZrO</w:t>
      </w:r>
      <w:r w:rsidRPr="00AF0D21">
        <w:rPr>
          <w:vertAlign w:val="subscript"/>
          <w:lang w:val="en"/>
        </w:rPr>
        <w:t>3</w:t>
      </w:r>
      <w:r w:rsidR="007C285B">
        <w:rPr>
          <w:lang w:val="en"/>
        </w:rPr>
        <w:t> </w:t>
      </w:r>
      <w:r w:rsidRPr="00AF0D21">
        <w:rPr>
          <w:lang w:val="en"/>
        </w:rPr>
        <w:t xml:space="preserve">(SZO) </w:t>
      </w:r>
      <w:r>
        <w:rPr>
          <w:lang w:val="en"/>
        </w:rPr>
        <w:t>(</w:t>
      </w:r>
      <w:r w:rsidRPr="00AF0D21">
        <w:rPr>
          <w:lang w:val="en"/>
        </w:rPr>
        <w:fldChar w:fldCharType="begin"/>
      </w:r>
      <w:r w:rsidRPr="00AF0D21">
        <w:rPr>
          <w:lang w:val="en"/>
        </w:rPr>
        <w:instrText xml:space="preserve"> REF _Ref129610944 \n \h </w:instrText>
      </w:r>
      <w:r>
        <w:rPr>
          <w:lang w:val="en"/>
        </w:rPr>
        <w:instrText xml:space="preserve"> \* MERGEFORMAT </w:instrText>
      </w:r>
      <w:r w:rsidRPr="00AF0D21">
        <w:rPr>
          <w:lang w:val="en"/>
        </w:rPr>
      </w:r>
      <w:r w:rsidRPr="00AF0D21">
        <w:rPr>
          <w:lang w:val="en"/>
        </w:rPr>
        <w:fldChar w:fldCharType="separate"/>
      </w:r>
      <w:r w:rsidR="0089634E">
        <w:rPr>
          <w:lang w:val="en"/>
        </w:rPr>
        <w:t>8</w:t>
      </w:r>
      <w:r w:rsidRPr="00AF0D21">
        <w:rPr>
          <w:lang w:val="en"/>
        </w:rPr>
        <w:fldChar w:fldCharType="end"/>
      </w:r>
      <w:r>
        <w:rPr>
          <w:lang w:val="en"/>
        </w:rPr>
        <w:t>)</w:t>
      </w:r>
      <w:r w:rsidRPr="00AF0D21">
        <w:rPr>
          <w:lang w:val="en"/>
        </w:rPr>
        <w:t xml:space="preserve">. It was recently shown that even a very thin interdiffusion layer at the interface of GDC and YSZ is enough to prevent SZO formation </w:t>
      </w:r>
      <w:r>
        <w:rPr>
          <w:lang w:val="en"/>
        </w:rPr>
        <w:t>(</w:t>
      </w:r>
      <w:r w:rsidRPr="00AF0D21">
        <w:rPr>
          <w:lang w:val="en"/>
        </w:rPr>
        <w:fldChar w:fldCharType="begin"/>
      </w:r>
      <w:r w:rsidRPr="00AF0D21">
        <w:rPr>
          <w:lang w:val="en"/>
        </w:rPr>
        <w:instrText xml:space="preserve"> REF _Ref129610944 \n \h </w:instrText>
      </w:r>
      <w:r>
        <w:rPr>
          <w:lang w:val="en"/>
        </w:rPr>
        <w:instrText xml:space="preserve"> \* MERGEFORMAT </w:instrText>
      </w:r>
      <w:r w:rsidRPr="00AF0D21">
        <w:rPr>
          <w:lang w:val="en"/>
        </w:rPr>
      </w:r>
      <w:r w:rsidRPr="00AF0D21">
        <w:rPr>
          <w:lang w:val="en"/>
        </w:rPr>
        <w:fldChar w:fldCharType="separate"/>
      </w:r>
      <w:r w:rsidR="0089634E">
        <w:rPr>
          <w:lang w:val="en"/>
        </w:rPr>
        <w:t>8</w:t>
      </w:r>
      <w:r w:rsidRPr="00AF0D21">
        <w:rPr>
          <w:lang w:val="en"/>
        </w:rPr>
        <w:fldChar w:fldCharType="end"/>
      </w:r>
      <w:r>
        <w:rPr>
          <w:lang w:val="en"/>
        </w:rPr>
        <w:t>).</w:t>
      </w:r>
      <w:r w:rsidRPr="00AF0D21">
        <w:rPr>
          <w:lang w:val="en"/>
        </w:rPr>
        <w:t xml:space="preserve"> Thus, </w:t>
      </w:r>
      <w:r>
        <w:rPr>
          <w:lang w:val="en"/>
        </w:rPr>
        <w:t xml:space="preserve">the authors </w:t>
      </w:r>
      <w:r w:rsidRPr="00AF0D21">
        <w:rPr>
          <w:lang w:val="en"/>
        </w:rPr>
        <w:t xml:space="preserve">recently developed such a thin interdiffusion zone by applying a screen-printed Pr-doped ceria (PCO) layer on YSZ. The large chemical expansion of PCO in air leads to the disintegration of the PCO microstructure during cooling, since the contraction mismatch with regards to the YSZ leads to critical stresses. Nevertheless, there remains an interdiffusion zone and a very thin layer of PCO on the YSZ support, which gives rise to the functionality expected from a barrier layer. Impedance </w:t>
      </w:r>
      <w:r w:rsidRPr="00AF0D21">
        <w:rPr>
          <w:lang w:val="en"/>
        </w:rPr>
        <w:lastRenderedPageBreak/>
        <w:t>analysis shows an exponential dependence of electrode polarization and sintering temperature, i.e. the extend of the interdiffusion zone. For example, sintering the PCO layer at 1400</w:t>
      </w:r>
      <w:r w:rsidR="00C01374">
        <w:rPr>
          <w:lang w:val="en"/>
        </w:rPr>
        <w:t> </w:t>
      </w:r>
      <w:r w:rsidRPr="00AF0D21">
        <w:rPr>
          <w:lang w:val="en"/>
        </w:rPr>
        <w:t>°C leads to a decrease of the electrode ASR of more than 2 orders of magnitude compared to PCO layers sintered at 1300</w:t>
      </w:r>
      <w:r w:rsidR="00C01374">
        <w:rPr>
          <w:lang w:val="en"/>
        </w:rPr>
        <w:t> </w:t>
      </w:r>
      <w:r w:rsidRPr="00AF0D21">
        <w:rPr>
          <w:lang w:val="en"/>
        </w:rPr>
        <w:t xml:space="preserve">°C magnitude </w:t>
      </w:r>
      <w:r>
        <w:rPr>
          <w:lang w:val="en"/>
        </w:rPr>
        <w:t>(</w:t>
      </w:r>
      <w:r w:rsidRPr="00AF0D21">
        <w:rPr>
          <w:lang w:val="en"/>
        </w:rPr>
        <w:fldChar w:fldCharType="begin"/>
      </w:r>
      <w:r w:rsidRPr="00AF0D21">
        <w:rPr>
          <w:lang w:val="en"/>
        </w:rPr>
        <w:instrText xml:space="preserve"> REF _Ref129610953 \n \h </w:instrText>
      </w:r>
      <w:r>
        <w:rPr>
          <w:lang w:val="en"/>
        </w:rPr>
        <w:instrText xml:space="preserve"> \* MERGEFORMAT </w:instrText>
      </w:r>
      <w:r w:rsidRPr="00AF0D21">
        <w:rPr>
          <w:lang w:val="en"/>
        </w:rPr>
      </w:r>
      <w:r w:rsidRPr="00AF0D21">
        <w:rPr>
          <w:lang w:val="en"/>
        </w:rPr>
        <w:fldChar w:fldCharType="separate"/>
      </w:r>
      <w:r w:rsidR="0089634E">
        <w:rPr>
          <w:lang w:val="en"/>
        </w:rPr>
        <w:t>9</w:t>
      </w:r>
      <w:r w:rsidRPr="00AF0D21">
        <w:rPr>
          <w:lang w:val="en"/>
        </w:rPr>
        <w:fldChar w:fldCharType="end"/>
      </w:r>
      <w:r>
        <w:rPr>
          <w:lang w:val="en"/>
        </w:rPr>
        <w:t>)</w:t>
      </w:r>
      <w:r w:rsidRPr="00AF0D21">
        <w:rPr>
          <w:lang w:val="en"/>
        </w:rPr>
        <w:t>. These results prove the hypothesis that for the minimization of the foreign phase formation between YSZ-GDC-LSC(F), a thin interdiffusion layer between YSZ and the ceria is necessary.</w:t>
      </w:r>
    </w:p>
    <w:p w14:paraId="16A9AE9C" w14:textId="77777777" w:rsidR="000C35B8" w:rsidRDefault="000C35B8" w:rsidP="006E24BC">
      <w:pPr>
        <w:rPr>
          <w:lang w:val="en"/>
        </w:rPr>
      </w:pPr>
    </w:p>
    <w:p w14:paraId="03E14722" w14:textId="77777777" w:rsidR="00C01374" w:rsidRDefault="00C01374" w:rsidP="006E24BC">
      <w:pPr>
        <w:rPr>
          <w:lang w:val="en"/>
        </w:rPr>
      </w:pPr>
    </w:p>
    <w:p w14:paraId="178F2219" w14:textId="40519F47" w:rsidR="00D72C6B" w:rsidRPr="000C35B8" w:rsidRDefault="00D72C6B" w:rsidP="00C01374">
      <w:pPr>
        <w:rPr>
          <w:u w:val="single"/>
        </w:rPr>
      </w:pPr>
      <w:r w:rsidRPr="000C35B8">
        <w:rPr>
          <w:u w:val="single"/>
        </w:rPr>
        <w:t>Hierarchical Degradation Model Framework</w:t>
      </w:r>
    </w:p>
    <w:p w14:paraId="16583446" w14:textId="77777777" w:rsidR="0079184E" w:rsidRPr="00A01B40" w:rsidRDefault="0079184E" w:rsidP="0079184E">
      <w:pPr>
        <w:pStyle w:val="Titel2"/>
      </w:pPr>
    </w:p>
    <w:p w14:paraId="691BD46C" w14:textId="4CCE899B" w:rsidR="00D72C6B" w:rsidRDefault="00D72C6B" w:rsidP="00D72C6B">
      <w:r>
        <w:t xml:space="preserve">     </w:t>
      </w:r>
      <w:r w:rsidRPr="1E7D5397">
        <w:t>The main contribution to irreversible performance losses stems from microstructural and compositional changes in the fuel electrode. However, the detailed nature and interplay of the degradation mechanisms involved, like sintering of catalyst particles, Ostwald ripening, catalyst migration, and catalyst poisoning, are not yet fully understood</w:t>
      </w:r>
      <w:r>
        <w:t xml:space="preserve"> (</w:t>
      </w:r>
      <w:r>
        <w:fldChar w:fldCharType="begin"/>
      </w:r>
      <w:r>
        <w:instrText xml:space="preserve"> REF _Ref129345091 \n \h </w:instrText>
      </w:r>
      <w:r>
        <w:fldChar w:fldCharType="separate"/>
      </w:r>
      <w:r w:rsidR="0089634E">
        <w:t>9</w:t>
      </w:r>
      <w:r>
        <w:fldChar w:fldCharType="end"/>
      </w:r>
      <w:r>
        <w:t>-</w:t>
      </w:r>
      <w:r>
        <w:fldChar w:fldCharType="begin"/>
      </w:r>
      <w:r>
        <w:instrText xml:space="preserve"> REF _Ref129342065 \r \h </w:instrText>
      </w:r>
      <w:r>
        <w:fldChar w:fldCharType="separate"/>
      </w:r>
      <w:r w:rsidR="0089634E">
        <w:t>11</w:t>
      </w:r>
      <w:r>
        <w:fldChar w:fldCharType="end"/>
      </w:r>
      <w:r>
        <w:t>)</w:t>
      </w:r>
      <w:r w:rsidRPr="1E7D5397">
        <w:t xml:space="preserve">. </w:t>
      </w:r>
      <w:r>
        <w:t xml:space="preserve">The authors’ </w:t>
      </w:r>
      <w:r w:rsidRPr="1E7D5397">
        <w:t xml:space="preserve">modeling work on the cell level focuses on the development of a hierarchical model that links the microstructural evolution to changes of materials properties and, ultimately, to the loss of performance during operation of the cell. In the modeling framework depicted in </w:t>
      </w:r>
      <w:r>
        <w:fldChar w:fldCharType="begin"/>
      </w:r>
      <w:r>
        <w:instrText xml:space="preserve"> REF _Ref129859527 \h </w:instrText>
      </w:r>
      <w:r>
        <w:fldChar w:fldCharType="separate"/>
      </w:r>
      <w:r w:rsidR="0089634E">
        <w:t xml:space="preserve">Figure </w:t>
      </w:r>
      <w:r w:rsidR="0089634E">
        <w:rPr>
          <w:noProof/>
        </w:rPr>
        <w:t>2</w:t>
      </w:r>
      <w:r>
        <w:fldChar w:fldCharType="end"/>
      </w:r>
      <w:r w:rsidRPr="1E7D5397">
        <w:t xml:space="preserve">, a particle population balance approach </w:t>
      </w:r>
      <w:r>
        <w:t>(</w:t>
      </w:r>
      <w:r>
        <w:fldChar w:fldCharType="begin"/>
      </w:r>
      <w:r>
        <w:instrText xml:space="preserve"> REF _Ref129342099 \r \h </w:instrText>
      </w:r>
      <w:r>
        <w:fldChar w:fldCharType="separate"/>
      </w:r>
      <w:r w:rsidR="0089634E">
        <w:t>12</w:t>
      </w:r>
      <w:r>
        <w:fldChar w:fldCharType="end"/>
      </w:r>
      <w:r>
        <w:t>)</w:t>
      </w:r>
      <w:r w:rsidRPr="1E7D5397">
        <w:t xml:space="preserve"> relates changes at the level of electrode particles due to sintering, poisoning, dissolution, or Ostwald ripening to the evolution of the particle radius distribution (PRD). Percolation theory </w:t>
      </w:r>
      <w:r>
        <w:t>(</w:t>
      </w:r>
      <w:r>
        <w:fldChar w:fldCharType="begin"/>
      </w:r>
      <w:r>
        <w:instrText xml:space="preserve"> REF _Ref129342118 \r \h </w:instrText>
      </w:r>
      <w:r>
        <w:fldChar w:fldCharType="separate"/>
      </w:r>
      <w:r w:rsidR="0089634E">
        <w:t>13</w:t>
      </w:r>
      <w:r>
        <w:fldChar w:fldCharType="end"/>
      </w:r>
      <w:r>
        <w:t>)</w:t>
      </w:r>
      <w:r w:rsidRPr="1E7D5397">
        <w:t xml:space="preserve"> is used to link these structural changes to effective materials properties, i.e., electronic and ionic conductivities and catalytic activity. A macro</w:t>
      </w:r>
      <w:r w:rsidR="00E90FE7">
        <w:t xml:space="preserve"> </w:t>
      </w:r>
      <w:r w:rsidRPr="1E7D5397">
        <w:t xml:space="preserve">homogeneous model </w:t>
      </w:r>
      <w:r>
        <w:t>(</w:t>
      </w:r>
      <w:r>
        <w:fldChar w:fldCharType="begin"/>
      </w:r>
      <w:r>
        <w:instrText xml:space="preserve"> REF _Ref129342143 \r \h </w:instrText>
      </w:r>
      <w:r>
        <w:fldChar w:fldCharType="separate"/>
      </w:r>
      <w:r w:rsidR="0089634E">
        <w:t>14</w:t>
      </w:r>
      <w:r>
        <w:fldChar w:fldCharType="end"/>
      </w:r>
      <w:r>
        <w:t>)</w:t>
      </w:r>
      <w:r w:rsidRPr="1E7D5397">
        <w:t xml:space="preserve"> uses these effective properties to calculate the rates of transport and reactive processes, ultimately determining the electrode performance. Properly parameterized, this hierarchical model allows analyzing the coupling between changes in local microstructure, materials properties, local reaction conditions, and electrochemical performance. A dynamic diagnostic model for the electrochemical impedance allows a comparison with experimental EIS spectra, which can be used for extraction of part of the model parameters, model verification as well as identification and quantification of different degradation mechanisms. With these capabilities, the hierarchical modeling framework provides guidance for materials development and cell fabrication.</w:t>
      </w:r>
    </w:p>
    <w:p w14:paraId="59AC0ED4" w14:textId="77777777" w:rsidR="008F3AA7" w:rsidRDefault="008F3AA7" w:rsidP="00D72C6B"/>
    <w:p w14:paraId="6BB12E0A" w14:textId="3BEF51F2" w:rsidR="00D72C6B" w:rsidRDefault="00D72C6B" w:rsidP="006E24BC">
      <w:pPr>
        <w:jc w:val="center"/>
      </w:pPr>
      <w:r>
        <w:rPr>
          <w:noProof/>
        </w:rPr>
        <w:drawing>
          <wp:inline distT="0" distB="0" distL="0" distR="0" wp14:anchorId="4242710E" wp14:editId="661CD888">
            <wp:extent cx="4156704" cy="2520000"/>
            <wp:effectExtent l="0" t="0" r="0" b="0"/>
            <wp:docPr id="31" name="Picture 9418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6704" cy="2520000"/>
                    </a:xfrm>
                    <a:prstGeom prst="rect">
                      <a:avLst/>
                    </a:prstGeom>
                  </pic:spPr>
                </pic:pic>
              </a:graphicData>
            </a:graphic>
          </wp:inline>
        </w:drawing>
      </w:r>
      <w:r w:rsidR="006D4402">
        <w:br/>
      </w:r>
    </w:p>
    <w:p w14:paraId="4060E656" w14:textId="73B77CDA" w:rsidR="00BF4BC1" w:rsidRDefault="00D72C6B" w:rsidP="00BF4BC1">
      <w:pPr>
        <w:pStyle w:val="Beschriftung"/>
        <w:jc w:val="both"/>
      </w:pPr>
      <w:bookmarkStart w:id="2" w:name="_Ref129859527"/>
      <w:r>
        <w:t xml:space="preserve">Figure </w:t>
      </w:r>
      <w:r>
        <w:fldChar w:fldCharType="begin"/>
      </w:r>
      <w:r>
        <w:instrText xml:space="preserve"> SEQ Figure \* ARABIC </w:instrText>
      </w:r>
      <w:r>
        <w:fldChar w:fldCharType="separate"/>
      </w:r>
      <w:r w:rsidR="0089634E">
        <w:rPr>
          <w:noProof/>
        </w:rPr>
        <w:t>2</w:t>
      </w:r>
      <w:r>
        <w:fldChar w:fldCharType="end"/>
      </w:r>
      <w:bookmarkEnd w:id="2"/>
      <w:r w:rsidR="0079184E">
        <w:t xml:space="preserve">.  </w:t>
      </w:r>
      <w:r w:rsidRPr="1E7D5397">
        <w:t xml:space="preserve">Hierarchical model framework for prediction and analysis of degradation in solid oxide cells. </w:t>
      </w:r>
      <w:r w:rsidR="001B6180">
        <w:t>It</w:t>
      </w:r>
      <w:r w:rsidR="00B03AF8">
        <w:t xml:space="preserve"> combines particle level, electrode level, device level and diagnostics</w:t>
      </w:r>
      <w:r w:rsidR="001B6180">
        <w:t>.</w:t>
      </w:r>
      <w:r w:rsidR="00B03AF8">
        <w:t xml:space="preserve"> </w:t>
      </w:r>
      <w:r w:rsidR="00BF4BC1">
        <w:br w:type="page"/>
      </w:r>
    </w:p>
    <w:p w14:paraId="43B1D7D5" w14:textId="50DA0DDD" w:rsidR="00D72C6B" w:rsidRPr="00FE7FA2" w:rsidRDefault="00D72C6B" w:rsidP="0079184E">
      <w:pPr>
        <w:pStyle w:val="Titel2"/>
        <w:rPr>
          <w:lang w:eastAsia="zh-CN"/>
        </w:rPr>
      </w:pPr>
      <w:r w:rsidRPr="00FE7FA2">
        <w:rPr>
          <w:lang w:eastAsia="zh-CN"/>
        </w:rPr>
        <w:lastRenderedPageBreak/>
        <w:t>Stack Characterization and Degradation Analysis</w:t>
      </w:r>
    </w:p>
    <w:p w14:paraId="5852A61C" w14:textId="77777777" w:rsidR="0079184E" w:rsidRPr="004D3325" w:rsidRDefault="0079184E" w:rsidP="0079184E">
      <w:pPr>
        <w:pStyle w:val="Titel2"/>
        <w:rPr>
          <w:lang w:eastAsia="zh-CN"/>
        </w:rPr>
      </w:pPr>
    </w:p>
    <w:p w14:paraId="18B1EDEF" w14:textId="7D4E65F8" w:rsidR="00D72C6B" w:rsidRDefault="00D72C6B" w:rsidP="00D72C6B">
      <w:pPr>
        <w:rPr>
          <w:lang w:eastAsia="zh-CN"/>
        </w:rPr>
      </w:pPr>
      <w:r>
        <w:rPr>
          <w:lang w:eastAsia="zh-CN"/>
        </w:rPr>
        <w:t xml:space="preserve">     </w:t>
      </w:r>
      <w:r w:rsidRPr="004350E2">
        <w:rPr>
          <w:lang w:eastAsia="zh-CN"/>
        </w:rPr>
        <w:t>On</w:t>
      </w:r>
      <w:r>
        <w:rPr>
          <w:lang w:eastAsia="zh-CN"/>
        </w:rPr>
        <w:t>e prominent branch of stack testing and characterization at the Forschungszentrum Jülich is the co-electrolysis mode. Current state-of-the-art fuel electrode supported cells can maintain high current densities of 1.5</w:t>
      </w:r>
      <w:r w:rsidR="006D4402">
        <w:rPr>
          <w:lang w:eastAsia="zh-CN"/>
        </w:rPr>
        <w:t> </w:t>
      </w:r>
      <w:r>
        <w:rPr>
          <w:lang w:eastAsia="zh-CN"/>
        </w:rPr>
        <w:t>A</w:t>
      </w:r>
      <w:r w:rsidR="006D4402">
        <w:rPr>
          <w:lang w:eastAsia="zh-CN"/>
        </w:rPr>
        <w:t> </w:t>
      </w:r>
      <w:r>
        <w:rPr>
          <w:lang w:eastAsia="zh-CN"/>
        </w:rPr>
        <w:t>cm</w:t>
      </w:r>
      <w:r w:rsidRPr="004350E2">
        <w:rPr>
          <w:vertAlign w:val="superscript"/>
          <w:lang w:eastAsia="zh-CN"/>
        </w:rPr>
        <w:t>-2</w:t>
      </w:r>
      <w:r>
        <w:rPr>
          <w:lang w:eastAsia="zh-CN"/>
        </w:rPr>
        <w:t xml:space="preserve"> in the F10 design stacks, but various degradation effects are now in the investigative focus, e.g. poisoning effects due to chromium, silicon and sulfur. The authors’</w:t>
      </w:r>
      <w:r w:rsidRPr="001307F8">
        <w:rPr>
          <w:lang w:eastAsia="zh-CN"/>
        </w:rPr>
        <w:t xml:space="preserve"> findings confirm previous investigations in so far that the co-electrolysis process is very susceptible to sulfur dioxide poisoning. Over long periods of operation with clean feed gases, a mostly complete recovery was observed</w:t>
      </w:r>
      <w:r>
        <w:rPr>
          <w:lang w:eastAsia="zh-CN"/>
        </w:rPr>
        <w:t>.</w:t>
      </w:r>
      <w:r w:rsidRPr="001307F8">
        <w:rPr>
          <w:lang w:eastAsia="zh-CN"/>
        </w:rPr>
        <w:t xml:space="preserve"> However, any </w:t>
      </w:r>
      <w:r>
        <w:rPr>
          <w:lang w:eastAsia="zh-CN"/>
        </w:rPr>
        <w:t xml:space="preserve">carbon dioxide feed </w:t>
      </w:r>
      <w:r w:rsidRPr="001307F8">
        <w:rPr>
          <w:lang w:eastAsia="zh-CN"/>
        </w:rPr>
        <w:t xml:space="preserve">needs </w:t>
      </w:r>
      <w:r>
        <w:rPr>
          <w:lang w:eastAsia="zh-CN"/>
        </w:rPr>
        <w:t>to ensure</w:t>
      </w:r>
      <w:r w:rsidRPr="001307F8">
        <w:rPr>
          <w:lang w:eastAsia="zh-CN"/>
        </w:rPr>
        <w:t xml:space="preserve"> </w:t>
      </w:r>
      <w:r>
        <w:rPr>
          <w:lang w:eastAsia="zh-CN"/>
        </w:rPr>
        <w:t>SO</w:t>
      </w:r>
      <w:r w:rsidRPr="004350E2">
        <w:rPr>
          <w:vertAlign w:val="subscript"/>
          <w:lang w:eastAsia="zh-CN"/>
        </w:rPr>
        <w:t>2</w:t>
      </w:r>
      <w:r>
        <w:rPr>
          <w:lang w:eastAsia="zh-CN"/>
        </w:rPr>
        <w:t xml:space="preserve"> concentrations</w:t>
      </w:r>
      <w:r w:rsidRPr="001307F8">
        <w:rPr>
          <w:lang w:eastAsia="zh-CN"/>
        </w:rPr>
        <w:t xml:space="preserve"> in the low ppb range. The poisoning impacts mainly the charge-transfer process in the fuel electrode as is known with H</w:t>
      </w:r>
      <w:r w:rsidRPr="004350E2">
        <w:rPr>
          <w:vertAlign w:val="subscript"/>
          <w:lang w:eastAsia="zh-CN"/>
        </w:rPr>
        <w:t>2</w:t>
      </w:r>
      <w:r w:rsidRPr="001307F8">
        <w:rPr>
          <w:lang w:eastAsia="zh-CN"/>
        </w:rPr>
        <w:t>S poisoning in fuel-cell mode operation, and likely a transport or solid-state-diffusion process in the fuel electrode, but not the high frequency series resistance. In standby/OCV conditions (i.e. without polarization) with co-electrolysis feed gases, some continued degradation and changes of the electrode processes was observed after removal of SO</w:t>
      </w:r>
      <w:r w:rsidRPr="004350E2">
        <w:rPr>
          <w:vertAlign w:val="subscript"/>
          <w:lang w:eastAsia="zh-CN"/>
        </w:rPr>
        <w:t>2</w:t>
      </w:r>
      <w:r w:rsidRPr="001307F8">
        <w:rPr>
          <w:lang w:eastAsia="zh-CN"/>
        </w:rPr>
        <w:t xml:space="preserve"> from the feed</w:t>
      </w:r>
      <w:r>
        <w:rPr>
          <w:lang w:eastAsia="zh-CN"/>
        </w:rPr>
        <w:t>. Harmful silicon impurities can be introduced by balance of plant components like gas preheaters (</w:t>
      </w:r>
      <w:r>
        <w:rPr>
          <w:lang w:eastAsia="zh-CN"/>
        </w:rPr>
        <w:fldChar w:fldCharType="begin"/>
      </w:r>
      <w:r>
        <w:rPr>
          <w:lang w:eastAsia="zh-CN"/>
        </w:rPr>
        <w:instrText xml:space="preserve"> REF _Ref129863410 \r \h </w:instrText>
      </w:r>
      <w:r>
        <w:rPr>
          <w:lang w:eastAsia="zh-CN"/>
        </w:rPr>
      </w:r>
      <w:r>
        <w:rPr>
          <w:lang w:eastAsia="zh-CN"/>
        </w:rPr>
        <w:fldChar w:fldCharType="separate"/>
      </w:r>
      <w:r w:rsidR="0089634E">
        <w:rPr>
          <w:lang w:eastAsia="zh-CN"/>
        </w:rPr>
        <w:t>15</w:t>
      </w:r>
      <w:r>
        <w:rPr>
          <w:lang w:eastAsia="zh-CN"/>
        </w:rPr>
        <w:fldChar w:fldCharType="end"/>
      </w:r>
      <w:r>
        <w:rPr>
          <w:lang w:eastAsia="zh-CN"/>
        </w:rPr>
        <w:t>) and were successfully localized in the functional layer of cells after steam electrolysis operation. Steam generators can transport a number of species into the gas phase when operation in unstable regimes (</w:t>
      </w:r>
      <w:r>
        <w:rPr>
          <w:lang w:eastAsia="zh-CN"/>
        </w:rPr>
        <w:fldChar w:fldCharType="begin"/>
      </w:r>
      <w:r>
        <w:rPr>
          <w:lang w:eastAsia="zh-CN"/>
        </w:rPr>
        <w:instrText xml:space="preserve"> REF _Ref129863410 \r \h </w:instrText>
      </w:r>
      <w:r>
        <w:rPr>
          <w:lang w:eastAsia="zh-CN"/>
        </w:rPr>
      </w:r>
      <w:r>
        <w:rPr>
          <w:lang w:eastAsia="zh-CN"/>
        </w:rPr>
        <w:fldChar w:fldCharType="separate"/>
      </w:r>
      <w:r w:rsidR="0089634E">
        <w:rPr>
          <w:lang w:eastAsia="zh-CN"/>
        </w:rPr>
        <w:t>15</w:t>
      </w:r>
      <w:r>
        <w:rPr>
          <w:lang w:eastAsia="zh-CN"/>
        </w:rPr>
        <w:fldChar w:fldCharType="end"/>
      </w:r>
      <w:r>
        <w:rPr>
          <w:lang w:eastAsia="zh-CN"/>
        </w:rPr>
        <w:t>) and their role is under investigation as well.</w:t>
      </w:r>
    </w:p>
    <w:p w14:paraId="7D019E58" w14:textId="77777777" w:rsidR="00D72C6B" w:rsidRDefault="00D72C6B" w:rsidP="00D72C6B">
      <w:pPr>
        <w:rPr>
          <w:lang w:eastAsia="zh-CN"/>
        </w:rPr>
      </w:pPr>
    </w:p>
    <w:p w14:paraId="4224A2D6" w14:textId="02F8F08E" w:rsidR="00D72C6B" w:rsidRDefault="00D72C6B" w:rsidP="00D72C6B">
      <w:pPr>
        <w:rPr>
          <w:lang w:eastAsia="zh-CN"/>
        </w:rPr>
      </w:pPr>
      <w:r>
        <w:rPr>
          <w:lang w:eastAsia="zh-CN"/>
        </w:rPr>
        <w:t xml:space="preserve">     </w:t>
      </w:r>
      <w:r w:rsidRPr="0002447B">
        <w:rPr>
          <w:lang w:eastAsia="zh-CN"/>
        </w:rPr>
        <w:t>Instrumentational improvements are being developed to better monitor cell temperature distributions in the stack during operation. To introduce novel temperature sensing techniques for SOC stacks, a five-layer F10 stack was modified to retrofit an optical fiber comprised an array of seven regenerated fiber Bragg grating (RFBG) sensors. The RFBG sensors demonstrated excellent high temperature resilience up to 800</w:t>
      </w:r>
      <w:r w:rsidR="00DC5AA0" w:rsidRPr="0002447B">
        <w:rPr>
          <w:lang w:eastAsia="zh-CN"/>
        </w:rPr>
        <w:t> </w:t>
      </w:r>
      <w:r w:rsidRPr="0002447B">
        <w:rPr>
          <w:lang w:eastAsia="zh-CN"/>
        </w:rPr>
        <w:t>°C. The non-conductive nature and chemical inertness of silica allowed a safe employment of optical fiber sensors in the SOC stack. The compact size and multiplex capability of this sensor provided a new avenue to study the temperature distribution directly inside the SOC stack, which was in practice hardly accessible with conventional thermocouples. The newly employed technique revealed a different temperature distribution inside the air channel of one stack layer than what the thermocouples suggested.</w:t>
      </w:r>
    </w:p>
    <w:p w14:paraId="1287B1CE" w14:textId="77777777" w:rsidR="00D72C6B" w:rsidRDefault="00D72C6B" w:rsidP="00D72C6B"/>
    <w:p w14:paraId="7ABCD8F1" w14:textId="0A86BCFC" w:rsidR="00D72C6B" w:rsidRPr="000C376C" w:rsidRDefault="00D72C6B" w:rsidP="00D72C6B">
      <w:r>
        <w:t xml:space="preserve">     Reducing operation temperatures for SOC stacks is always an important investigative field. T</w:t>
      </w:r>
      <w:r w:rsidRPr="009422E4">
        <w:t>he oxidation resistance of steel components in stacks, such as interconnects is known to be good for majority of the service conditions at temperatures of 700 to 800</w:t>
      </w:r>
      <w:r w:rsidR="00DC5AA0">
        <w:t> </w:t>
      </w:r>
      <w:r w:rsidRPr="009422E4">
        <w:t>°C. However, when the stack is to be operated at lower temperatures, i.e. below 600</w:t>
      </w:r>
      <w:r w:rsidR="00DC5AA0">
        <w:t> </w:t>
      </w:r>
      <w:r w:rsidRPr="009422E4">
        <w:t xml:space="preserve">°C the steel oxidation rate can increase and Fe-rich oxide formation can occur depending on a number of parameters including the water </w:t>
      </w:r>
      <w:r w:rsidR="00DC5AA0" w:rsidRPr="009422E4">
        <w:t>vapor</w:t>
      </w:r>
      <w:r w:rsidRPr="009422E4">
        <w:t xml:space="preserve"> content in the service atmosphere, exact steel chemical composition, its microstructure and surface finish. This was demonstrated in a recent study of components produced from</w:t>
      </w:r>
      <w:r w:rsidRPr="009422E4">
        <w:rPr>
          <w:color w:val="FF0000"/>
        </w:rPr>
        <w:t xml:space="preserve"> </w:t>
      </w:r>
      <w:r w:rsidRPr="009422E4">
        <w:t>Crofer</w:t>
      </w:r>
      <w:r w:rsidR="00DC5AA0">
        <w:t> </w:t>
      </w:r>
      <w:r w:rsidRPr="009422E4">
        <w:t>22</w:t>
      </w:r>
      <w:r w:rsidR="00DC5AA0">
        <w:t> </w:t>
      </w:r>
      <w:r w:rsidRPr="009422E4">
        <w:t>APU after a stack operation at 500</w:t>
      </w:r>
      <w:r w:rsidR="00DC5AA0">
        <w:t> </w:t>
      </w:r>
      <w:r w:rsidRPr="009422E4">
        <w:t>°C</w:t>
      </w:r>
      <w:r>
        <w:t xml:space="preserve"> (</w:t>
      </w:r>
      <w:r>
        <w:fldChar w:fldCharType="begin"/>
      </w:r>
      <w:r>
        <w:instrText xml:space="preserve"> REF _Ref129863936 \r \h </w:instrText>
      </w:r>
      <w:r>
        <w:fldChar w:fldCharType="separate"/>
      </w:r>
      <w:r w:rsidR="0089634E">
        <w:t>16</w:t>
      </w:r>
      <w:r>
        <w:fldChar w:fldCharType="end"/>
      </w:r>
      <w:r>
        <w:t>)</w:t>
      </w:r>
      <w:r w:rsidRPr="009422E4">
        <w:t>. The major issue is slow Cr diffusion in the alloy grains, which may require using fine grained steel and/or specific surface treatments to obtain protective chromia base scale formation.</w:t>
      </w:r>
    </w:p>
    <w:p w14:paraId="39DB7CBA" w14:textId="592CEEEF" w:rsidR="00D72C6B" w:rsidRDefault="00D72C6B" w:rsidP="00D72C6B">
      <w:pPr>
        <w:rPr>
          <w:lang w:eastAsia="zh-CN"/>
        </w:rPr>
      </w:pPr>
    </w:p>
    <w:p w14:paraId="2BD72BD4" w14:textId="78B93828" w:rsidR="0079184E" w:rsidRDefault="0079184E">
      <w:pPr>
        <w:jc w:val="left"/>
        <w:rPr>
          <w:lang w:eastAsia="zh-CN"/>
        </w:rPr>
      </w:pPr>
      <w:r>
        <w:rPr>
          <w:lang w:eastAsia="zh-CN"/>
        </w:rPr>
        <w:br w:type="page"/>
      </w:r>
    </w:p>
    <w:p w14:paraId="344CCA0E" w14:textId="55D5B771" w:rsidR="00D72C6B" w:rsidRPr="00FE7FA2" w:rsidRDefault="00D72C6B" w:rsidP="0079184E">
      <w:pPr>
        <w:pStyle w:val="Titel2"/>
        <w:rPr>
          <w:lang w:eastAsia="zh-CN"/>
        </w:rPr>
      </w:pPr>
      <w:r w:rsidRPr="00FE7FA2">
        <w:rPr>
          <w:lang w:eastAsia="zh-CN"/>
        </w:rPr>
        <w:lastRenderedPageBreak/>
        <w:t>Data Analysis</w:t>
      </w:r>
    </w:p>
    <w:p w14:paraId="02EB53EE" w14:textId="77777777" w:rsidR="0079184E" w:rsidRPr="004D3325" w:rsidRDefault="0079184E" w:rsidP="0079184E">
      <w:pPr>
        <w:pStyle w:val="Titel2"/>
        <w:rPr>
          <w:lang w:eastAsia="zh-CN"/>
        </w:rPr>
      </w:pPr>
    </w:p>
    <w:p w14:paraId="00F056CD" w14:textId="18FF77D4" w:rsidR="00D72C6B" w:rsidRDefault="00D72C6B" w:rsidP="00D72C6B">
      <w:r>
        <w:t xml:space="preserve">     In the field of data analysis and evaluation the authors pursued</w:t>
      </w:r>
      <w:r>
        <w:rPr>
          <w:rFonts w:hint="eastAsia"/>
        </w:rPr>
        <w:t xml:space="preserve"> to contribute to data-driven degradation analysis for </w:t>
      </w:r>
      <w:r>
        <w:t>SOC</w:t>
      </w:r>
      <w:r>
        <w:rPr>
          <w:rFonts w:hint="eastAsia"/>
        </w:rPr>
        <w:t xml:space="preserve"> stacks</w:t>
      </w:r>
      <w:r>
        <w:t xml:space="preserve"> and to </w:t>
      </w:r>
      <w:r>
        <w:rPr>
          <w:rFonts w:hint="eastAsia"/>
        </w:rPr>
        <w:t xml:space="preserve">utilize the </w:t>
      </w:r>
      <w:r>
        <w:t xml:space="preserve">vast </w:t>
      </w:r>
      <w:r>
        <w:rPr>
          <w:rFonts w:hint="eastAsia"/>
        </w:rPr>
        <w:t xml:space="preserve">set of long-term stack experiments conducted </w:t>
      </w:r>
      <w:r>
        <w:t>at FZJ</w:t>
      </w:r>
      <w:r>
        <w:rPr>
          <w:rFonts w:hint="eastAsia"/>
        </w:rPr>
        <w:t xml:space="preserve">. However, electrochemical impedance spectroscopy (EIS) data from recent years exhibit varying instabilities and undesirable attributes that would adversely affect pattern recognition processes. Therefore, and to address the automatic feature extraction for a considerable amount of EIS data, </w:t>
      </w:r>
      <w:r>
        <w:t>the authors</w:t>
      </w:r>
      <w:r>
        <w:rPr>
          <w:rFonts w:hint="eastAsia"/>
        </w:rPr>
        <w:t xml:space="preserve"> developed a python-based data curation pipeline. Leveraging these and sequential data from test rigs, both from historical and future experiments, </w:t>
      </w:r>
      <w:r>
        <w:t>the authors</w:t>
      </w:r>
      <w:r>
        <w:rPr>
          <w:rFonts w:hint="eastAsia"/>
        </w:rPr>
        <w:t xml:space="preserve"> develop models for SOC stack lifetime and failure analysis.</w:t>
      </w:r>
    </w:p>
    <w:p w14:paraId="1BA4B37F" w14:textId="23EA297F" w:rsidR="0079184E" w:rsidRDefault="0079184E" w:rsidP="00D72C6B">
      <w:pPr>
        <w:rPr>
          <w:rFonts w:ascii="MS Mincho" w:hAnsi="MS Mincho"/>
        </w:rPr>
      </w:pPr>
    </w:p>
    <w:p w14:paraId="6946B8D0" w14:textId="77777777" w:rsidR="0079184E" w:rsidRDefault="0079184E" w:rsidP="00D72C6B">
      <w:pPr>
        <w:rPr>
          <w:rFonts w:ascii="MS Mincho" w:hAnsi="MS Mincho"/>
        </w:rPr>
      </w:pPr>
    </w:p>
    <w:p w14:paraId="43ED8B39" w14:textId="1886D173" w:rsidR="00D72C6B" w:rsidRPr="00FE7FA2" w:rsidRDefault="00D72C6B" w:rsidP="0079184E">
      <w:pPr>
        <w:pStyle w:val="Titel2"/>
      </w:pPr>
      <w:r w:rsidRPr="00FE7FA2">
        <w:t>Post-Test Characterization</w:t>
      </w:r>
    </w:p>
    <w:p w14:paraId="071DF91B" w14:textId="77777777" w:rsidR="0079184E" w:rsidRPr="00AB2FDE" w:rsidRDefault="0079184E" w:rsidP="0079184E">
      <w:pPr>
        <w:pStyle w:val="Titel2"/>
      </w:pPr>
    </w:p>
    <w:p w14:paraId="0B02ECCE" w14:textId="50F3BF2E" w:rsidR="00D72C6B" w:rsidRPr="00F83254" w:rsidRDefault="00D72C6B" w:rsidP="00D72C6B">
      <w:r w:rsidRPr="00F83254">
        <w:t xml:space="preserve"> </w:t>
      </w:r>
      <w:r>
        <w:t xml:space="preserve">    </w:t>
      </w:r>
      <w:r w:rsidRPr="00AF0D21">
        <w:t>An in-depth post-test characterization was performed on an SOFC stack that had run for 93,000</w:t>
      </w:r>
      <w:r w:rsidR="00EF4F88">
        <w:t> </w:t>
      </w:r>
      <w:r w:rsidRPr="00AF0D21">
        <w:t>hours (and been at operation temperature for 100,000</w:t>
      </w:r>
      <w:r w:rsidR="00EF4F88">
        <w:t> </w:t>
      </w:r>
      <w:r w:rsidRPr="00AF0D21">
        <w:t>hours)</w:t>
      </w:r>
      <w:r>
        <w:t xml:space="preserve"> (</w:t>
      </w:r>
      <w:r>
        <w:fldChar w:fldCharType="begin"/>
      </w:r>
      <w:r>
        <w:instrText xml:space="preserve"> REF _Ref129864332 \r \h </w:instrText>
      </w:r>
      <w:r>
        <w:fldChar w:fldCharType="separate"/>
      </w:r>
      <w:r w:rsidR="0089634E">
        <w:t>17</w:t>
      </w:r>
      <w:r>
        <w:fldChar w:fldCharType="end"/>
      </w:r>
      <w:r>
        <w:t>).</w:t>
      </w:r>
      <w:r w:rsidRPr="00AF0D21">
        <w:t xml:space="preserve"> </w:t>
      </w:r>
      <w:r w:rsidRPr="00F83254">
        <w:t xml:space="preserve">The major findings were </w:t>
      </w:r>
      <w:r>
        <w:t>(</w:t>
      </w:r>
      <w:r w:rsidRPr="00AF0D21">
        <w:rPr>
          <w:lang w:val="de"/>
        </w:rPr>
        <w:fldChar w:fldCharType="begin"/>
      </w:r>
      <w:r w:rsidRPr="00F83254">
        <w:instrText xml:space="preserve"> REF _Ref129610921 \n \h  \* MERGEFORMAT </w:instrText>
      </w:r>
      <w:r w:rsidRPr="00AF0D21">
        <w:rPr>
          <w:lang w:val="de"/>
        </w:rPr>
      </w:r>
      <w:r w:rsidRPr="00AF0D21">
        <w:rPr>
          <w:lang w:val="de"/>
        </w:rPr>
        <w:fldChar w:fldCharType="separate"/>
      </w:r>
      <w:r w:rsidR="0089634E">
        <w:t>18</w:t>
      </w:r>
      <w:r w:rsidRPr="00AF0D21">
        <w:rPr>
          <w:lang w:val="de"/>
        </w:rPr>
        <w:fldChar w:fldCharType="end"/>
      </w:r>
      <w:r w:rsidRPr="000C35B8">
        <w:t>)</w:t>
      </w:r>
      <w:r w:rsidR="00EF4F88">
        <w:t>:</w:t>
      </w:r>
      <w:r w:rsidRPr="00F83254">
        <w:t xml:space="preserve"> </w:t>
      </w:r>
    </w:p>
    <w:p w14:paraId="0A43439A" w14:textId="2A31B493" w:rsidR="00D72C6B" w:rsidRPr="00AF0D21" w:rsidRDefault="00D72C6B" w:rsidP="00D72C6B">
      <w:pPr>
        <w:pStyle w:val="Listenabsatz"/>
        <w:numPr>
          <w:ilvl w:val="0"/>
          <w:numId w:val="11"/>
        </w:numPr>
        <w:rPr>
          <w:lang w:val="en"/>
        </w:rPr>
      </w:pPr>
      <w:r w:rsidRPr="00AF0D21">
        <w:rPr>
          <w:lang w:val="en"/>
        </w:rPr>
        <w:t xml:space="preserve">Formation of a Cr, Mn, Co and Cu containing foreign phase on top of the contact layer adjacent to the manganese oxide Cr retention layer. It is concluded that the Mn-oxide reacts during long-term operation with elements from the LCC12 layer. </w:t>
      </w:r>
    </w:p>
    <w:p w14:paraId="5185173A" w14:textId="77777777" w:rsidR="00D72C6B" w:rsidRPr="00AF0D21" w:rsidRDefault="00D72C6B" w:rsidP="00D72C6B">
      <w:pPr>
        <w:pStyle w:val="Listenabsatz"/>
        <w:numPr>
          <w:ilvl w:val="0"/>
          <w:numId w:val="11"/>
        </w:numPr>
        <w:rPr>
          <w:lang w:val="en"/>
        </w:rPr>
      </w:pPr>
      <w:r w:rsidRPr="00AF0D21">
        <w:rPr>
          <w:lang w:val="en"/>
        </w:rPr>
        <w:t>Concerning the LSCF air electrode, Cr-rich phases could be identified in all three regions: i) on top of the layer adjacent to the contact layer, ii) at the border to the GDC barrier layer and iii) within the bulk air-electrode structure.</w:t>
      </w:r>
    </w:p>
    <w:p w14:paraId="79D8F351" w14:textId="77777777" w:rsidR="00D72C6B" w:rsidRDefault="00D72C6B" w:rsidP="00D72C6B">
      <w:pPr>
        <w:pStyle w:val="Listenabsatz"/>
        <w:numPr>
          <w:ilvl w:val="0"/>
          <w:numId w:val="11"/>
        </w:numPr>
        <w:rPr>
          <w:lang w:val="en"/>
        </w:rPr>
      </w:pPr>
      <w:r w:rsidRPr="00AF0D21">
        <w:rPr>
          <w:lang w:val="en"/>
        </w:rPr>
        <w:t xml:space="preserve">At the interface between the LSCF and the GDC other foreign phases containing mostly Co, Cr and Sr have been formed. Also, here additional Raman-spectroscopy reveals the formation of Sr-chromate. </w:t>
      </w:r>
    </w:p>
    <w:p w14:paraId="12FB762C" w14:textId="77777777" w:rsidR="00D72C6B" w:rsidRPr="00000349" w:rsidRDefault="00D72C6B" w:rsidP="00D72C6B">
      <w:pPr>
        <w:rPr>
          <w:lang w:val="en"/>
        </w:rPr>
      </w:pPr>
    </w:p>
    <w:p w14:paraId="53F12051" w14:textId="77777777" w:rsidR="00D72C6B" w:rsidRDefault="00D72C6B" w:rsidP="00D72C6B">
      <w:pPr>
        <w:rPr>
          <w:lang w:val="en"/>
        </w:rPr>
      </w:pPr>
      <w:r>
        <w:rPr>
          <w:lang w:val="en"/>
        </w:rPr>
        <w:t xml:space="preserve">     </w:t>
      </w:r>
      <w:r w:rsidRPr="00AF0D21">
        <w:rPr>
          <w:lang w:val="en"/>
        </w:rPr>
        <w:t xml:space="preserve">In conclusion the additional post-test evaluation of the long-term operated SOFC stack shows some expected interactions but also some unexpected ones. The interplay between all these layers (electrolyte, barrier, air-electrode, contacting, Cr-retention layer and native oxide scale) over time and temperature are complex and multilayered and they happen on different time scales and during different time periods of operation. </w:t>
      </w:r>
    </w:p>
    <w:p w14:paraId="6471B551" w14:textId="126E5D49" w:rsidR="00D72C6B" w:rsidRDefault="00D72C6B" w:rsidP="00D72C6B">
      <w:pPr>
        <w:rPr>
          <w:lang w:val="en"/>
        </w:rPr>
      </w:pPr>
    </w:p>
    <w:p w14:paraId="2EFD7949" w14:textId="77777777" w:rsidR="0079184E" w:rsidRDefault="0079184E" w:rsidP="00D72C6B">
      <w:pPr>
        <w:rPr>
          <w:lang w:val="en"/>
        </w:rPr>
      </w:pPr>
    </w:p>
    <w:p w14:paraId="35BFDA0D" w14:textId="531FE0DF" w:rsidR="00E54659" w:rsidRPr="00FE7FA2" w:rsidRDefault="00E54659" w:rsidP="00E54659">
      <w:pPr>
        <w:pStyle w:val="Titel2"/>
      </w:pPr>
      <w:r w:rsidRPr="00FE7FA2">
        <w:t>Repair Joining of Stacks</w:t>
      </w:r>
    </w:p>
    <w:p w14:paraId="0902B6D6" w14:textId="77777777" w:rsidR="00E54659" w:rsidRPr="0050479E" w:rsidRDefault="00E54659" w:rsidP="00E54659">
      <w:pPr>
        <w:pStyle w:val="Titel2"/>
      </w:pPr>
    </w:p>
    <w:p w14:paraId="1526BF00" w14:textId="6381546B" w:rsidR="00E54659" w:rsidRDefault="00E54659" w:rsidP="00E54659">
      <w:pPr>
        <w:rPr>
          <w:rFonts w:eastAsia="Arial" w:cs="Arial"/>
        </w:rPr>
      </w:pPr>
      <w:r>
        <w:rPr>
          <w:rFonts w:eastAsia="Arial" w:cs="Arial"/>
        </w:rPr>
        <w:t>After the first promising preliminary tests with sandwiched samples made of Crofer22APU and state-of-the-art glass sealant</w:t>
      </w:r>
      <w:r w:rsidRPr="009E1D29">
        <w:rPr>
          <w:rFonts w:eastAsia="Arial" w:cs="Arial"/>
        </w:rPr>
        <w:t xml:space="preserve"> </w:t>
      </w:r>
      <w:r>
        <w:rPr>
          <w:rFonts w:eastAsia="Arial" w:cs="Arial"/>
        </w:rPr>
        <w:t>of Forschungszentrum Jülich reported in (</w:t>
      </w:r>
      <w:r>
        <w:rPr>
          <w:rFonts w:eastAsia="Arial" w:cs="Arial"/>
        </w:rPr>
        <w:fldChar w:fldCharType="begin"/>
      </w:r>
      <w:r>
        <w:rPr>
          <w:rFonts w:eastAsia="Arial" w:cs="Arial"/>
        </w:rPr>
        <w:instrText xml:space="preserve"> REF _Ref129870689 \r \h </w:instrText>
      </w:r>
      <w:r>
        <w:rPr>
          <w:rFonts w:eastAsia="Arial" w:cs="Arial"/>
        </w:rPr>
      </w:r>
      <w:r>
        <w:rPr>
          <w:rFonts w:eastAsia="Arial" w:cs="Arial"/>
        </w:rPr>
        <w:fldChar w:fldCharType="separate"/>
      </w:r>
      <w:r w:rsidR="0089634E">
        <w:rPr>
          <w:rFonts w:eastAsia="Arial" w:cs="Arial"/>
        </w:rPr>
        <w:t>19</w:t>
      </w:r>
      <w:r>
        <w:rPr>
          <w:rFonts w:eastAsia="Arial" w:cs="Arial"/>
        </w:rPr>
        <w:fldChar w:fldCharType="end"/>
      </w:r>
      <w:r>
        <w:rPr>
          <w:rFonts w:eastAsia="Arial" w:cs="Arial"/>
        </w:rPr>
        <w:t>), upscaling of the novel procedure on leaking SOFC stacks was carried out. One stack in F10-design and two stacks of H20-design were repair joined at 930</w:t>
      </w:r>
      <w:r w:rsidR="00FE7FA2">
        <w:rPr>
          <w:rFonts w:eastAsia="Arial" w:cs="Arial"/>
        </w:rPr>
        <w:t> </w:t>
      </w:r>
      <w:r>
        <w:rPr>
          <w:rFonts w:eastAsia="Arial" w:cs="Arial"/>
        </w:rPr>
        <w:t xml:space="preserve">°C. The stack F1004-37 has shown very low leakage rates with good electrochemical behavior after the reparation step. This finding was confirmed with one of the two stacks in H20-design, unfortunately the third reproduction did not improve the leakage values at all. Further tests on stacks under realistic conditions are necessary to evaluate this method. </w:t>
      </w:r>
    </w:p>
    <w:p w14:paraId="1B2FD5B8" w14:textId="77777777" w:rsidR="00E54659" w:rsidRPr="00754BE5" w:rsidRDefault="00E54659" w:rsidP="0079184E">
      <w:pPr>
        <w:pStyle w:val="Titel2"/>
      </w:pPr>
    </w:p>
    <w:p w14:paraId="042B022C" w14:textId="4D22AF19" w:rsidR="0079184E" w:rsidRDefault="0079184E">
      <w:pPr>
        <w:jc w:val="left"/>
        <w:rPr>
          <w:lang w:val="en" w:eastAsia="de-DE"/>
        </w:rPr>
      </w:pPr>
      <w:r>
        <w:rPr>
          <w:lang w:val="en" w:eastAsia="de-DE"/>
        </w:rPr>
        <w:br w:type="page"/>
      </w:r>
    </w:p>
    <w:p w14:paraId="00FEFF2C" w14:textId="2557F5D6" w:rsidR="00D72C6B" w:rsidRDefault="00D72C6B" w:rsidP="0079184E">
      <w:pPr>
        <w:pStyle w:val="Titel2"/>
      </w:pPr>
      <w:r w:rsidRPr="00AF0D21">
        <w:lastRenderedPageBreak/>
        <w:t>Recycling</w:t>
      </w:r>
    </w:p>
    <w:p w14:paraId="3A7EDC66" w14:textId="77777777" w:rsidR="0079184E" w:rsidRPr="00AF0D21" w:rsidRDefault="0079184E" w:rsidP="0079184E">
      <w:pPr>
        <w:pStyle w:val="Titel2"/>
      </w:pPr>
    </w:p>
    <w:p w14:paraId="518FDC67" w14:textId="0A0E1443" w:rsidR="00D72C6B" w:rsidRDefault="00D72C6B" w:rsidP="00D72C6B">
      <w:pPr>
        <w:rPr>
          <w:lang w:val="en"/>
        </w:rPr>
      </w:pPr>
      <w:r>
        <w:rPr>
          <w:lang w:val="en"/>
        </w:rPr>
        <w:t xml:space="preserve">     The authors </w:t>
      </w:r>
      <w:r w:rsidRPr="00AF0D21">
        <w:rPr>
          <w:lang w:val="en"/>
        </w:rPr>
        <w:t xml:space="preserve">started to generate recycling or re-using strategies for SOC systems </w:t>
      </w:r>
      <w:r>
        <w:rPr>
          <w:lang w:val="en"/>
        </w:rPr>
        <w:t>(</w:t>
      </w:r>
      <w:r w:rsidRPr="00AF0D21">
        <w:rPr>
          <w:lang w:val="en"/>
        </w:rPr>
        <w:fldChar w:fldCharType="begin"/>
      </w:r>
      <w:r w:rsidRPr="00AF0D21">
        <w:rPr>
          <w:lang w:val="en"/>
        </w:rPr>
        <w:instrText xml:space="preserve"> REF _Ref129610929 \n \h </w:instrText>
      </w:r>
      <w:r>
        <w:rPr>
          <w:lang w:val="en"/>
        </w:rPr>
        <w:instrText xml:space="preserve"> \* MERGEFORMAT </w:instrText>
      </w:r>
      <w:r w:rsidRPr="00AF0D21">
        <w:rPr>
          <w:lang w:val="en"/>
        </w:rPr>
      </w:r>
      <w:r w:rsidRPr="00AF0D21">
        <w:rPr>
          <w:lang w:val="en"/>
        </w:rPr>
        <w:fldChar w:fldCharType="separate"/>
      </w:r>
      <w:r w:rsidR="0089634E">
        <w:rPr>
          <w:lang w:val="en"/>
        </w:rPr>
        <w:t>20</w:t>
      </w:r>
      <w:r w:rsidRPr="00AF0D21">
        <w:rPr>
          <w:lang w:val="en"/>
        </w:rPr>
        <w:fldChar w:fldCharType="end"/>
      </w:r>
      <w:r>
        <w:rPr>
          <w:lang w:val="en"/>
        </w:rPr>
        <w:t>)</w:t>
      </w:r>
      <w:r w:rsidRPr="00AF0D21">
        <w:rPr>
          <w:lang w:val="en"/>
        </w:rPr>
        <w:t xml:space="preserve">. The basic idea is to dismantle the stacks and separate at least three fractions: </w:t>
      </w:r>
      <w:r w:rsidR="00FE7FA2">
        <w:rPr>
          <w:lang w:val="en"/>
        </w:rPr>
        <w:t>i</w:t>
      </w:r>
      <w:r w:rsidRPr="00AF0D21">
        <w:rPr>
          <w:lang w:val="en"/>
        </w:rPr>
        <w:t xml:space="preserve">) metal parts (mostly interconnects, frames, top and base plates; Ni mesh), </w:t>
      </w:r>
      <w:r w:rsidR="00FE7FA2">
        <w:rPr>
          <w:lang w:val="en"/>
        </w:rPr>
        <w:t>ii</w:t>
      </w:r>
      <w:r w:rsidRPr="00AF0D21">
        <w:rPr>
          <w:lang w:val="en"/>
        </w:rPr>
        <w:t xml:space="preserve">) ceramic parts (the cell) and </w:t>
      </w:r>
      <w:r w:rsidR="00FE7FA2">
        <w:rPr>
          <w:lang w:val="en"/>
        </w:rPr>
        <w:t>iii</w:t>
      </w:r>
      <w:r w:rsidRPr="00AF0D21">
        <w:rPr>
          <w:lang w:val="en"/>
        </w:rPr>
        <w:t xml:space="preserve">) miscellaneous (sealing, coatings). </w:t>
      </w:r>
    </w:p>
    <w:p w14:paraId="170735B6" w14:textId="77777777" w:rsidR="00D72C6B" w:rsidRPr="00AF0D21" w:rsidRDefault="00D72C6B" w:rsidP="00D72C6B">
      <w:pPr>
        <w:rPr>
          <w:lang w:val="en"/>
        </w:rPr>
      </w:pPr>
    </w:p>
    <w:p w14:paraId="0AA44157" w14:textId="601E4F97" w:rsidR="00D72C6B" w:rsidRDefault="00D72C6B" w:rsidP="00D72C6B">
      <w:pPr>
        <w:rPr>
          <w:lang w:val="en"/>
        </w:rPr>
      </w:pPr>
      <w:r>
        <w:rPr>
          <w:lang w:val="en"/>
        </w:rPr>
        <w:t xml:space="preserve">     </w:t>
      </w:r>
      <w:r w:rsidRPr="00AF0D21">
        <w:rPr>
          <w:lang w:val="en"/>
        </w:rPr>
        <w:t>The philosophy is to separate the air-side materials (electrode and possibly the contact layer) from the rest of the cell. This is done by leaching the LSC(F) with acids from the remaining ceramic fractions. Choosing the right acid, it’s concentration, the contact time and temperature and stirring leads to a complete dissolution of the air-side materials from the barrier</w:t>
      </w:r>
      <w:r w:rsidR="00015D64">
        <w:rPr>
          <w:lang w:val="en"/>
        </w:rPr>
        <w:t> </w:t>
      </w:r>
      <w:r w:rsidRPr="00AF0D21">
        <w:rPr>
          <w:lang w:val="en"/>
        </w:rPr>
        <w:t>/</w:t>
      </w:r>
      <w:r w:rsidR="00015D64">
        <w:rPr>
          <w:lang w:val="en"/>
        </w:rPr>
        <w:t> </w:t>
      </w:r>
      <w:r w:rsidRPr="00AF0D21">
        <w:rPr>
          <w:lang w:val="en"/>
        </w:rPr>
        <w:t>electrolyte</w:t>
      </w:r>
      <w:r w:rsidR="00015D64">
        <w:rPr>
          <w:lang w:val="en"/>
        </w:rPr>
        <w:t> </w:t>
      </w:r>
      <w:r w:rsidRPr="00AF0D21">
        <w:rPr>
          <w:lang w:val="en"/>
        </w:rPr>
        <w:t>/</w:t>
      </w:r>
      <w:r w:rsidR="00015D64">
        <w:rPr>
          <w:lang w:val="en"/>
        </w:rPr>
        <w:t> </w:t>
      </w:r>
      <w:r w:rsidRPr="00AF0D21">
        <w:rPr>
          <w:lang w:val="en"/>
        </w:rPr>
        <w:t>fuel electrode</w:t>
      </w:r>
      <w:r w:rsidR="00015D64">
        <w:rPr>
          <w:lang w:val="en"/>
        </w:rPr>
        <w:t> </w:t>
      </w:r>
      <w:r w:rsidRPr="00AF0D21">
        <w:rPr>
          <w:lang w:val="en"/>
        </w:rPr>
        <w:t>/</w:t>
      </w:r>
      <w:r w:rsidR="00015D64">
        <w:rPr>
          <w:lang w:val="en"/>
        </w:rPr>
        <w:t> </w:t>
      </w:r>
      <w:r w:rsidRPr="00AF0D21">
        <w:rPr>
          <w:lang w:val="en"/>
        </w:rPr>
        <w:t>support part. Especially if the Ni in the support and fuel electrode are re-oxidized, the separation is close to ideal. The dissolved fraction can be used to recover either raw materials or precursors of the air-side materials. Most critical and valuable here are lanthanum and cobalt.</w:t>
      </w:r>
      <w:r>
        <w:rPr>
          <w:lang w:val="en"/>
        </w:rPr>
        <w:t xml:space="preserve"> </w:t>
      </w:r>
    </w:p>
    <w:p w14:paraId="5A6B5F40" w14:textId="77777777" w:rsidR="00D72C6B" w:rsidRPr="00AF0D21" w:rsidRDefault="00D72C6B" w:rsidP="00D72C6B">
      <w:pPr>
        <w:rPr>
          <w:lang w:val="en"/>
        </w:rPr>
      </w:pPr>
    </w:p>
    <w:p w14:paraId="64320060" w14:textId="076E4AB0" w:rsidR="00D72C6B" w:rsidRPr="00AF0D21" w:rsidRDefault="00D72C6B" w:rsidP="00D72C6B">
      <w:pPr>
        <w:rPr>
          <w:lang w:val="en"/>
        </w:rPr>
      </w:pPr>
      <w:r>
        <w:rPr>
          <w:lang w:val="en"/>
        </w:rPr>
        <w:t xml:space="preserve">     </w:t>
      </w:r>
      <w:r w:rsidRPr="00AF0D21">
        <w:rPr>
          <w:lang w:val="en"/>
        </w:rPr>
        <w:t xml:space="preserve">The rest of the cell is then coarsely crushed, milled and re-used as raw material for a new fuel-electrode support. First tests with 0, 25 and 50% recycled amount show promising results with respect to castability, drying and sintering and final microstructure </w:t>
      </w:r>
      <w:r>
        <w:rPr>
          <w:lang w:val="en"/>
        </w:rPr>
        <w:t>(</w:t>
      </w:r>
      <w:r w:rsidRPr="00AF0D21">
        <w:rPr>
          <w:lang w:val="en"/>
        </w:rPr>
        <w:fldChar w:fldCharType="begin"/>
      </w:r>
      <w:r w:rsidRPr="00AF0D21">
        <w:rPr>
          <w:lang w:val="en"/>
        </w:rPr>
        <w:instrText xml:space="preserve"> REF _Ref129610935 \n \h </w:instrText>
      </w:r>
      <w:r>
        <w:rPr>
          <w:lang w:val="en"/>
        </w:rPr>
        <w:instrText xml:space="preserve"> \* MERGEFORMAT </w:instrText>
      </w:r>
      <w:r w:rsidRPr="00AF0D21">
        <w:rPr>
          <w:lang w:val="en"/>
        </w:rPr>
      </w:r>
      <w:r w:rsidRPr="00AF0D21">
        <w:rPr>
          <w:lang w:val="en"/>
        </w:rPr>
        <w:fldChar w:fldCharType="separate"/>
      </w:r>
      <w:r w:rsidR="0089634E">
        <w:rPr>
          <w:lang w:val="en"/>
        </w:rPr>
        <w:t>21</w:t>
      </w:r>
      <w:r w:rsidRPr="00AF0D21">
        <w:rPr>
          <w:lang w:val="en"/>
        </w:rPr>
        <w:fldChar w:fldCharType="end"/>
      </w:r>
      <w:r>
        <w:rPr>
          <w:lang w:val="en"/>
        </w:rPr>
        <w:t>)</w:t>
      </w:r>
      <w:r w:rsidRPr="00AF0D21">
        <w:rPr>
          <w:lang w:val="en"/>
        </w:rPr>
        <w:t>.</w:t>
      </w:r>
    </w:p>
    <w:p w14:paraId="6D4552D1" w14:textId="5D4581BC" w:rsidR="00D72C6B" w:rsidRDefault="00D72C6B" w:rsidP="00D72C6B"/>
    <w:p w14:paraId="4E8EFF88" w14:textId="77777777" w:rsidR="00420D80" w:rsidRDefault="00420D80" w:rsidP="00D72C6B"/>
    <w:p w14:paraId="17870401" w14:textId="2FD9FDBD" w:rsidR="00D72C6B" w:rsidRDefault="00D72C6B" w:rsidP="0079184E">
      <w:pPr>
        <w:pStyle w:val="Titel2"/>
        <w:rPr>
          <w:lang w:eastAsia="zh-CN"/>
        </w:rPr>
      </w:pPr>
      <w:r>
        <w:rPr>
          <w:lang w:eastAsia="zh-CN"/>
        </w:rPr>
        <w:t xml:space="preserve">Stack </w:t>
      </w:r>
      <w:r w:rsidRPr="004D3325">
        <w:rPr>
          <w:lang w:eastAsia="zh-CN"/>
        </w:rPr>
        <w:t>Modelling and Simulation</w:t>
      </w:r>
    </w:p>
    <w:p w14:paraId="58E7F67A" w14:textId="77777777" w:rsidR="0079184E" w:rsidRPr="004D3325" w:rsidRDefault="0079184E" w:rsidP="0079184E">
      <w:pPr>
        <w:pStyle w:val="Titel2"/>
        <w:rPr>
          <w:lang w:eastAsia="zh-CN"/>
        </w:rPr>
      </w:pPr>
    </w:p>
    <w:p w14:paraId="31B15961" w14:textId="0F4AB770" w:rsidR="00D72C6B" w:rsidRDefault="00D72C6B" w:rsidP="00D72C6B">
      <w:pPr>
        <w:rPr>
          <w:lang w:eastAsia="zh-CN"/>
        </w:rPr>
      </w:pPr>
      <w:r>
        <w:rPr>
          <w:lang w:eastAsia="zh-CN"/>
        </w:rPr>
        <w:t xml:space="preserve">     To complement stack experiments and data evaluation, a three-dimensional time-dependent model that predicts the degradation due to chromium poisoning in the SOFC stack was developed using OpenFOAM. The model can reveal the spatial distribution of surface coverage of Cr</w:t>
      </w:r>
      <w:r w:rsidRPr="00FE5A87">
        <w:rPr>
          <w:vertAlign w:val="subscript"/>
          <w:lang w:eastAsia="zh-CN"/>
        </w:rPr>
        <w:t>2</w:t>
      </w:r>
      <w:r>
        <w:rPr>
          <w:lang w:eastAsia="zh-CN"/>
        </w:rPr>
        <w:t>O</w:t>
      </w:r>
      <w:r w:rsidRPr="00FE5A87">
        <w:rPr>
          <w:vertAlign w:val="subscript"/>
          <w:lang w:eastAsia="zh-CN"/>
        </w:rPr>
        <w:t>3</w:t>
      </w:r>
      <w:r>
        <w:rPr>
          <w:lang w:eastAsia="zh-CN"/>
        </w:rPr>
        <w:t xml:space="preserve"> and SrCrO</w:t>
      </w:r>
      <w:r w:rsidRPr="00FE5A87">
        <w:rPr>
          <w:vertAlign w:val="subscript"/>
          <w:lang w:eastAsia="zh-CN"/>
        </w:rPr>
        <w:t>4</w:t>
      </w:r>
      <w:r>
        <w:rPr>
          <w:lang w:eastAsia="zh-CN"/>
        </w:rPr>
        <w:t xml:space="preserve"> on LSCF. Quantitative analysis of degradation owing to chromium poisoning can be achieved by the model and voltage degradation can be simulated over 100</w:t>
      </w:r>
      <w:r w:rsidR="00015D64">
        <w:rPr>
          <w:lang w:eastAsia="zh-CN"/>
        </w:rPr>
        <w:t> </w:t>
      </w:r>
      <w:r>
        <w:rPr>
          <w:lang w:eastAsia="zh-CN"/>
        </w:rPr>
        <w:t>kh.</w:t>
      </w:r>
      <w:r>
        <w:rPr>
          <w:rFonts w:ascii="Calibri" w:hAnsi="Calibri"/>
          <w:lang w:eastAsia="zh-CN"/>
        </w:rPr>
        <w:t xml:space="preserve"> </w:t>
      </w:r>
      <w:r>
        <w:rPr>
          <w:lang w:eastAsia="zh-CN"/>
        </w:rPr>
        <w:t>In addition, the model considers the influence of protective coatings. According to the simulation, it is found that with atmospheric plasma-spraying (APS) protective coating, the contribution of chromium poisoning to overall degradation in the SOFC stack is almost negligible.</w:t>
      </w:r>
    </w:p>
    <w:p w14:paraId="7BBEAEDC" w14:textId="77777777" w:rsidR="00D72C6B" w:rsidRDefault="00D72C6B" w:rsidP="00D72C6B">
      <w:pPr>
        <w:rPr>
          <w:lang w:eastAsia="zh-CN"/>
        </w:rPr>
      </w:pPr>
    </w:p>
    <w:p w14:paraId="5D4718D8" w14:textId="42289E48" w:rsidR="00D72C6B" w:rsidRDefault="00D72C6B" w:rsidP="00D72C6B">
      <w:r>
        <w:t xml:space="preserve">     Another focus of modelling activities is to elucidate the degradation of Ni-YSZ electrodes within the typical operating temperatures ranging between 700-800</w:t>
      </w:r>
      <w:r w:rsidR="00015D64">
        <w:t> </w:t>
      </w:r>
      <w:r w:rsidR="00C71348">
        <w:rPr>
          <w:vertAlign w:val="superscript"/>
        </w:rPr>
        <w:t>°</w:t>
      </w:r>
      <w:r w:rsidR="00C71348">
        <w:t xml:space="preserve">C </w:t>
      </w:r>
      <w:r>
        <w:t xml:space="preserve">which seriously harms the performance of SOCs. The evolution of microstructure in SOC electrodes involves complex physical and chemical processes. Notably, the redistribution of Ni and YSZ materials is a significant change that occurs during the lifetime of SOCs, which can greatly affect the percolation of the solid matrix and pores in the electrodes. To study the evolution of the microstructure of Ni/YSZ, the phase field method (PFM) has been introduced, which enables the study of Ni particle redistribution. </w:t>
      </w:r>
      <w:r w:rsidR="001B6180">
        <w:t xml:space="preserve">An open-source computational fluid dynamics (CFD) package, openFuelCell2, is developed based on OpenFOAM, which </w:t>
      </w:r>
      <w:r>
        <w:t xml:space="preserve">shows the ability to describe the detailed physical transport phenomena, including electrochemistry on the triple-phase-boundaries (TPBs), charge transfer, species diffusion, and heat and mass transfer, etc. A workflow on how to couple the PFM and CFD is provided. </w:t>
      </w:r>
      <w:r>
        <w:fldChar w:fldCharType="begin"/>
      </w:r>
      <w:r>
        <w:instrText xml:space="preserve"> REF _Ref129860652 \h </w:instrText>
      </w:r>
      <w:r>
        <w:fldChar w:fldCharType="separate"/>
      </w:r>
      <w:r w:rsidR="0089634E">
        <w:t xml:space="preserve">Figure </w:t>
      </w:r>
      <w:r w:rsidR="0089634E">
        <w:rPr>
          <w:noProof/>
        </w:rPr>
        <w:t>3</w:t>
      </w:r>
      <w:r>
        <w:fldChar w:fldCharType="end"/>
      </w:r>
      <w:r w:rsidR="00E54659">
        <w:t xml:space="preserve"> </w:t>
      </w:r>
      <w:r>
        <w:t>shows the simulation results of the Ni agglomeration and the redistribution of TPBs. It can be seen that smaller Ni particles gradually vanish while the larger ones grow. Meanwhile, the number of active TPBs decreases.</w:t>
      </w:r>
    </w:p>
    <w:p w14:paraId="5A2BAC78" w14:textId="77777777" w:rsidR="0079184E" w:rsidRDefault="0079184E" w:rsidP="00D72C6B"/>
    <w:p w14:paraId="0B90F81B" w14:textId="3573EBB3" w:rsidR="00D72C6B" w:rsidRDefault="00D72C6B" w:rsidP="00900C50">
      <w:pPr>
        <w:jc w:val="center"/>
      </w:pPr>
      <w:r>
        <w:rPr>
          <w:noProof/>
        </w:rPr>
        <w:drawing>
          <wp:inline distT="0" distB="0" distL="0" distR="0" wp14:anchorId="0A97D379" wp14:editId="7D986C78">
            <wp:extent cx="5486400" cy="3634740"/>
            <wp:effectExtent l="0" t="0" r="0" b="0"/>
            <wp:docPr id="881994360" name="Picture 88199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34740"/>
                    </a:xfrm>
                    <a:prstGeom prst="rect">
                      <a:avLst/>
                    </a:prstGeom>
                  </pic:spPr>
                </pic:pic>
              </a:graphicData>
            </a:graphic>
          </wp:inline>
        </w:drawing>
      </w:r>
      <w:r w:rsidR="00015D64">
        <w:br/>
      </w:r>
    </w:p>
    <w:p w14:paraId="538ACAEC" w14:textId="7A54BCCA" w:rsidR="00D72C6B" w:rsidRDefault="00D72C6B" w:rsidP="000C35B8">
      <w:pPr>
        <w:pStyle w:val="Beschriftung"/>
        <w:jc w:val="both"/>
      </w:pPr>
      <w:bookmarkStart w:id="3" w:name="_Ref129860652"/>
      <w:r>
        <w:t xml:space="preserve">Figure </w:t>
      </w:r>
      <w:r>
        <w:fldChar w:fldCharType="begin"/>
      </w:r>
      <w:r>
        <w:instrText xml:space="preserve"> SEQ Figure \* ARABIC </w:instrText>
      </w:r>
      <w:r>
        <w:fldChar w:fldCharType="separate"/>
      </w:r>
      <w:r w:rsidR="0089634E">
        <w:rPr>
          <w:noProof/>
        </w:rPr>
        <w:t>3</w:t>
      </w:r>
      <w:r>
        <w:fldChar w:fldCharType="end"/>
      </w:r>
      <w:bookmarkEnd w:id="3"/>
      <w:r w:rsidR="006E24BC">
        <w:t xml:space="preserve">. </w:t>
      </w:r>
      <w:r w:rsidR="00AB2510">
        <w:t xml:space="preserve"> S</w:t>
      </w:r>
      <w:r w:rsidRPr="12ADF7D5">
        <w:t xml:space="preserve">imulation results from </w:t>
      </w:r>
      <w:r w:rsidR="00B03AF8">
        <w:t>phase field method (</w:t>
      </w:r>
      <w:r w:rsidRPr="12ADF7D5">
        <w:t>PFM</w:t>
      </w:r>
      <w:r w:rsidR="00B03AF8">
        <w:t>)</w:t>
      </w:r>
      <w:r w:rsidRPr="12ADF7D5">
        <w:t xml:space="preserve"> and </w:t>
      </w:r>
      <w:r w:rsidR="00B03AF8">
        <w:t>computational fluid dynamics (</w:t>
      </w:r>
      <w:r w:rsidRPr="12ADF7D5">
        <w:t>CFD</w:t>
      </w:r>
      <w:r w:rsidR="00B03AF8">
        <w:t>)</w:t>
      </w:r>
      <w:r w:rsidRPr="12ADF7D5">
        <w:t>, which represents the Ni agglomeration and it</w:t>
      </w:r>
      <w:r>
        <w:t>s</w:t>
      </w:r>
      <w:r w:rsidRPr="12ADF7D5">
        <w:t xml:space="preserve"> effects on the redistribution of </w:t>
      </w:r>
      <w:r w:rsidR="00B03AF8">
        <w:t>triple-phase-boundaries (</w:t>
      </w:r>
      <w:r w:rsidRPr="12ADF7D5">
        <w:t>TPBs</w:t>
      </w:r>
      <w:r w:rsidR="00B03AF8">
        <w:t>)</w:t>
      </w:r>
      <w:r w:rsidRPr="12ADF7D5">
        <w:t>.</w:t>
      </w:r>
    </w:p>
    <w:p w14:paraId="0E979289" w14:textId="28894529" w:rsidR="00D72C6B" w:rsidRDefault="00D72C6B" w:rsidP="00D72C6B"/>
    <w:p w14:paraId="352F06AB" w14:textId="77777777" w:rsidR="00420D80" w:rsidRPr="00A01B40" w:rsidRDefault="00420D80" w:rsidP="00D72C6B"/>
    <w:p w14:paraId="67DD3A3B" w14:textId="55E796B6" w:rsidR="00D72C6B" w:rsidRDefault="00D72C6B" w:rsidP="0079184E">
      <w:pPr>
        <w:pStyle w:val="Titel2"/>
      </w:pPr>
      <w:r w:rsidRPr="00AC6B0B">
        <w:t>rSOC System Development</w:t>
      </w:r>
    </w:p>
    <w:p w14:paraId="308DAFA4" w14:textId="77777777" w:rsidR="0079184E" w:rsidRDefault="0079184E" w:rsidP="0079184E">
      <w:pPr>
        <w:pStyle w:val="Titel2"/>
      </w:pPr>
    </w:p>
    <w:p w14:paraId="3DF51177" w14:textId="77777777" w:rsidR="0089634E" w:rsidRDefault="00D72C6B" w:rsidP="0089634E">
      <w:r w:rsidRPr="00C06DA4">
        <w:t xml:space="preserve">     Driven by the positive experiences during the operation of the 5/15</w:t>
      </w:r>
      <w:r w:rsidR="00015D64">
        <w:t> </w:t>
      </w:r>
      <w:r w:rsidRPr="00C06DA4">
        <w:t xml:space="preserve">kW rSOC system </w:t>
      </w:r>
      <w:r>
        <w:t>(</w:t>
      </w:r>
      <w:r w:rsidRPr="00C06DA4">
        <w:fldChar w:fldCharType="begin"/>
      </w:r>
      <w:r w:rsidRPr="00C06DA4">
        <w:instrText xml:space="preserve"> REF _Ref128575401 \r \h  \* MERGEFORMAT </w:instrText>
      </w:r>
      <w:r w:rsidRPr="00C06DA4">
        <w:fldChar w:fldCharType="separate"/>
      </w:r>
      <w:r w:rsidR="0089634E">
        <w:t>22</w:t>
      </w:r>
      <w:r w:rsidRPr="00C06DA4">
        <w:fldChar w:fldCharType="end"/>
      </w:r>
      <w:r>
        <w:t>)</w:t>
      </w:r>
      <w:r w:rsidRPr="00C06DA4">
        <w:fldChar w:fldCharType="begin"/>
      </w:r>
      <w:r w:rsidRPr="00C06DA4">
        <w:instrText xml:space="preserve"> ADDIN EN.CITE &lt;EndNote&gt;&lt;Cite&gt;&lt;Author&gt;Peters&lt;/Author&gt;&lt;Year&gt;2021&lt;/Year&gt;&lt;RecNum&gt;476&lt;/RecNum&gt;&lt;DisplayText&gt;(1)&lt;/DisplayText&gt;&lt;record&gt;&lt;rec-number&gt;476&lt;/rec-number&gt;&lt;foreign-keys&gt;&lt;key app="EN" db-id="9wx2zexelrwvr3e5z9up559op55f9earffrd" timestamp="1611745963"&gt;476&lt;/key&gt;&lt;/foreign-keys&gt;&lt;ref-type name="Journal Article"&gt;17&lt;/ref-type&gt;&lt;contributors&gt;&lt;authors&gt;&lt;author&gt;Peters, Roland&lt;/author&gt;&lt;author&gt;Frank, Matthias&lt;/author&gt;&lt;author&gt;Tiedemann, Wilfried&lt;/author&gt;&lt;author&gt;Hoven, Ingo&lt;/author&gt;&lt;author&gt;Deja, Robert&lt;/author&gt;&lt;author&gt;Kruse, Nicolas&lt;/author&gt;&lt;author&gt;Fang, Qingping&lt;/author&gt;&lt;author&gt;Blum, Ludger&lt;/author&gt;&lt;author&gt;Peters, Ralf&lt;/author&gt;&lt;/authors&gt;&lt;/contributors&gt;&lt;titles&gt;&lt;title&gt;Long-Term Experience with a 5/15kW-Class Reversible Solid Oxide Cell System&lt;/title&gt;&lt;secondary-title&gt;Journal of the Electrochemical Society&lt;/secondary-title&gt;&lt;/titles&gt;&lt;periodical&gt;&lt;full-title&gt;Journal of The Electrochemical Society&lt;/full-title&gt;&lt;/periodical&gt;&lt;dates&gt;&lt;year&gt;2021&lt;/year&gt;&lt;pub-dates&gt;&lt;date&gt;2021/01/18&lt;/date&gt;&lt;/pub-dates&gt;&lt;/dates&gt;&lt;publisher&gt;The Electrochemical Society&lt;/publisher&gt;&lt;isbn&gt;0013-4651&amp;#xD;1945-7111&lt;/isbn&gt;&lt;urls&gt;&lt;related-urls&gt;&lt;url&gt;http://dx.doi.org/10.1149/1945-7111/abdc79&lt;/url&gt;&lt;/related-urls&gt;&lt;/urls&gt;&lt;electronic-resource-num&gt;10.1149/1945-7111/abdc79&lt;/electronic-resource-num&gt;&lt;/record&gt;&lt;/Cite&gt;&lt;/EndNote&gt;</w:instrText>
      </w:r>
      <w:r w:rsidRPr="00C06DA4">
        <w:fldChar w:fldCharType="end"/>
      </w:r>
      <w:r w:rsidRPr="00C06DA4">
        <w:t>, it was scaled to the 10/40</w:t>
      </w:r>
      <w:r w:rsidR="00015D64">
        <w:t> </w:t>
      </w:r>
      <w:r w:rsidRPr="00C06DA4">
        <w:t xml:space="preserve">kW class </w:t>
      </w:r>
      <w:r>
        <w:t>(</w:t>
      </w:r>
      <w:r w:rsidRPr="00C06DA4">
        <w:fldChar w:fldCharType="begin"/>
      </w:r>
      <w:r w:rsidRPr="00C06DA4">
        <w:instrText xml:space="preserve"> REF _Ref128575424 \r \h  \* MERGEFORMAT </w:instrText>
      </w:r>
      <w:r w:rsidRPr="00C06DA4">
        <w:fldChar w:fldCharType="separate"/>
      </w:r>
      <w:r w:rsidR="0089634E">
        <w:t>23</w:t>
      </w:r>
      <w:r w:rsidRPr="00C06DA4">
        <w:fldChar w:fldCharType="end"/>
      </w:r>
      <w:r>
        <w:t>)</w:t>
      </w:r>
      <w:r w:rsidRPr="00C06DA4">
        <w:t xml:space="preserve">. The stack of the new system consists of four 20-layer sub-stacks in the planar-type window frame </w:t>
      </w:r>
      <w:r w:rsidRPr="0092519E">
        <w:t>design (Mark</w:t>
      </w:r>
      <w:r w:rsidR="00015D64" w:rsidRPr="0092519E">
        <w:t> </w:t>
      </w:r>
      <w:r w:rsidRPr="0092519E">
        <w:t>H20). A total of four cells measuring 10</w:t>
      </w:r>
      <w:r w:rsidR="00015D64" w:rsidRPr="0092519E">
        <w:t> </w:t>
      </w:r>
      <w:r w:rsidRPr="0092519E">
        <w:t>cm</w:t>
      </w:r>
      <w:r w:rsidR="00015D64" w:rsidRPr="0092519E">
        <w:t> </w:t>
      </w:r>
      <w:r w:rsidRPr="0092519E">
        <w:t>×</w:t>
      </w:r>
      <w:r w:rsidR="00015D64" w:rsidRPr="0092519E">
        <w:t> </w:t>
      </w:r>
      <w:r w:rsidRPr="0092519E">
        <w:t>10</w:t>
      </w:r>
      <w:r w:rsidR="00015D64" w:rsidRPr="0092519E">
        <w:t> </w:t>
      </w:r>
      <w:r w:rsidRPr="0092519E">
        <w:t>cm with an active area of 81</w:t>
      </w:r>
      <w:r w:rsidR="00015D64" w:rsidRPr="0092519E">
        <w:t> </w:t>
      </w:r>
      <w:r w:rsidRPr="0092519E">
        <w:t xml:space="preserve">cm² </w:t>
      </w:r>
      <w:r w:rsidR="00A17D42" w:rsidRPr="0092519E">
        <w:t xml:space="preserve">for each of the four cells </w:t>
      </w:r>
      <w:r w:rsidRPr="0092519E">
        <w:t xml:space="preserve">are installed in a layer of the stack. </w:t>
      </w:r>
      <w:r w:rsidRPr="0092519E">
        <w:fldChar w:fldCharType="begin"/>
      </w:r>
      <w:r w:rsidRPr="0092519E">
        <w:instrText xml:space="preserve"> REF _Ref129861369 \h  \* MERGEFORMAT </w:instrText>
      </w:r>
      <w:r w:rsidRPr="0092519E">
        <w:fldChar w:fldCharType="separate"/>
      </w:r>
    </w:p>
    <w:p w14:paraId="2D0FC692" w14:textId="45C768F8" w:rsidR="00D72C6B" w:rsidRPr="0092519E" w:rsidRDefault="0089634E" w:rsidP="00D72C6B">
      <w:r>
        <w:t>Figure</w:t>
      </w:r>
      <w:r>
        <w:rPr>
          <w:noProof/>
        </w:rPr>
        <w:t xml:space="preserve"> 4</w:t>
      </w:r>
      <w:r w:rsidR="00D72C6B" w:rsidRPr="0092519E">
        <w:fldChar w:fldCharType="end"/>
      </w:r>
      <w:r w:rsidR="00D72C6B" w:rsidRPr="0092519E">
        <w:t xml:space="preserve"> shows the assembled rSOC system.</w:t>
      </w:r>
    </w:p>
    <w:p w14:paraId="15950BA5" w14:textId="77777777" w:rsidR="0079184E" w:rsidRPr="00C06DA4" w:rsidRDefault="0079184E" w:rsidP="00D72C6B"/>
    <w:p w14:paraId="29B1C766" w14:textId="0203E30D" w:rsidR="0079184E" w:rsidRPr="00AC6B0B" w:rsidRDefault="0079184E" w:rsidP="0079184E">
      <w:pPr>
        <w:rPr>
          <w:color w:val="FF0000"/>
        </w:rPr>
      </w:pPr>
      <w:r>
        <w:t xml:space="preserve">     </w:t>
      </w:r>
      <w:r w:rsidRPr="00AC6B0B">
        <w:t>The basic system structure was adopted from the previous system, whereby the performance of the stack and the balance of plant (BoP) components must be adjusted to higher power class. After completion, system operation began. Within the scope of these tests, a maximum efficiency of 63.3</w:t>
      </w:r>
      <w:r w:rsidR="00015D64">
        <w:t> </w:t>
      </w:r>
      <w:r w:rsidRPr="00AC6B0B">
        <w:t>% in fuel cell mode and 71.1</w:t>
      </w:r>
      <w:r w:rsidR="00015D64">
        <w:t> </w:t>
      </w:r>
      <w:r w:rsidRPr="00AC6B0B">
        <w:t>% in electrolysis mode was achieved, each based on the lower heating value of hydrogen. To further improve the system efficiency in electrolysis mode, a steam generator with heat recovery from the product stream leaving the system was developed. Here also a prototype was built and tested. The test reveals that the system efficiency in electrolysis mode can be increased by about 4 percentage points</w:t>
      </w:r>
      <w:r>
        <w:t xml:space="preserve"> (</w:t>
      </w:r>
      <w:r>
        <w:fldChar w:fldCharType="begin"/>
      </w:r>
      <w:r>
        <w:instrText xml:space="preserve"> REF _Ref128575433 \r \h </w:instrText>
      </w:r>
      <w:r>
        <w:fldChar w:fldCharType="separate"/>
      </w:r>
      <w:r w:rsidR="0089634E">
        <w:t>24</w:t>
      </w:r>
      <w:r>
        <w:fldChar w:fldCharType="end"/>
      </w:r>
      <w:r>
        <w:t>)</w:t>
      </w:r>
      <w:r w:rsidRPr="00AC6B0B">
        <w:t>.</w:t>
      </w:r>
    </w:p>
    <w:p w14:paraId="5141A069" w14:textId="77777777" w:rsidR="00D72C6B" w:rsidRPr="00AC6B0B" w:rsidRDefault="00D72C6B" w:rsidP="00D72C6B">
      <w:pPr>
        <w:pStyle w:val="BodyofPaper"/>
      </w:pPr>
    </w:p>
    <w:p w14:paraId="53DA84E3" w14:textId="00409F58" w:rsidR="00D72C6B" w:rsidRPr="00AC6B0B" w:rsidRDefault="00900C50" w:rsidP="00900C50">
      <w:pPr>
        <w:pStyle w:val="BodyofPaper"/>
      </w:pPr>
      <w:r>
        <w:rPr>
          <w:noProof/>
        </w:rPr>
        <w:lastRenderedPageBreak/>
        <w:drawing>
          <wp:inline distT="0" distB="0" distL="0" distR="0" wp14:anchorId="7DCA5B03" wp14:editId="2FE2255B">
            <wp:extent cx="5040000" cy="394637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946377"/>
                    </a:xfrm>
                    <a:prstGeom prst="rect">
                      <a:avLst/>
                    </a:prstGeom>
                    <a:noFill/>
                  </pic:spPr>
                </pic:pic>
              </a:graphicData>
            </a:graphic>
          </wp:inline>
        </w:drawing>
      </w:r>
    </w:p>
    <w:p w14:paraId="6C1EF64B" w14:textId="77777777" w:rsidR="00B5439A" w:rsidRDefault="00B5439A" w:rsidP="00D72C6B">
      <w:pPr>
        <w:pStyle w:val="Beschriftung"/>
      </w:pPr>
      <w:bookmarkStart w:id="4" w:name="_Ref129861369"/>
    </w:p>
    <w:p w14:paraId="0128E916" w14:textId="299CBD39" w:rsidR="00D72C6B" w:rsidRPr="00AC6B0B" w:rsidRDefault="00D72C6B" w:rsidP="00D72C6B">
      <w:pPr>
        <w:pStyle w:val="Beschriftung"/>
      </w:pPr>
      <w:r>
        <w:t xml:space="preserve">Figure </w:t>
      </w:r>
      <w:r>
        <w:fldChar w:fldCharType="begin"/>
      </w:r>
      <w:r>
        <w:instrText xml:space="preserve"> SEQ Figure \* ARABIC </w:instrText>
      </w:r>
      <w:r>
        <w:fldChar w:fldCharType="separate"/>
      </w:r>
      <w:r w:rsidR="0089634E">
        <w:rPr>
          <w:noProof/>
        </w:rPr>
        <w:t>4</w:t>
      </w:r>
      <w:r>
        <w:fldChar w:fldCharType="end"/>
      </w:r>
      <w:bookmarkEnd w:id="4"/>
      <w:r w:rsidR="006E24BC">
        <w:t xml:space="preserve">. </w:t>
      </w:r>
      <w:r>
        <w:t xml:space="preserve"> </w:t>
      </w:r>
      <w:r w:rsidRPr="1E7D5397">
        <w:t xml:space="preserve">Assembled rSOC </w:t>
      </w:r>
      <w:r w:rsidR="00015D64">
        <w:t xml:space="preserve">core </w:t>
      </w:r>
      <w:r w:rsidRPr="1E7D5397">
        <w:t>system.</w:t>
      </w:r>
      <w:r w:rsidR="00B03AF8">
        <w:t xml:space="preserve"> The integrated module represents the core of the system, which consists of four</w:t>
      </w:r>
      <w:r w:rsidR="00B03AF8" w:rsidRPr="00B03AF8">
        <w:t xml:space="preserve"> </w:t>
      </w:r>
      <w:r w:rsidR="00B03AF8" w:rsidRPr="1E7D5397">
        <w:t>SOC sub-stacks, separated and surrounded by a total of five heating plates plus an air preheater at one end and a fuel preheater at the other end</w:t>
      </w:r>
      <w:r w:rsidR="00B03AF8">
        <w:t>.</w:t>
      </w:r>
    </w:p>
    <w:p w14:paraId="02A978DE" w14:textId="3A8E8FE6" w:rsidR="00D72C6B" w:rsidRDefault="00D72C6B" w:rsidP="00386BA7">
      <w:pPr>
        <w:pStyle w:val="BodyofPaper"/>
        <w:ind w:firstLine="0"/>
      </w:pPr>
    </w:p>
    <w:p w14:paraId="0A334DB1" w14:textId="3CA0695A" w:rsidR="00D72C6B" w:rsidRPr="00A17D42" w:rsidRDefault="00D72C6B" w:rsidP="00386BA7">
      <w:pPr>
        <w:pStyle w:val="BodyofPaper"/>
        <w:ind w:firstLine="0"/>
      </w:pPr>
    </w:p>
    <w:p w14:paraId="0D20F6BB" w14:textId="77777777" w:rsidR="00A17D42" w:rsidRPr="00A17D42" w:rsidRDefault="00A17D42" w:rsidP="00A17D42">
      <w:pPr>
        <w:rPr>
          <w:sz w:val="22"/>
          <w:szCs w:val="22"/>
          <w:u w:val="single"/>
          <w:lang w:eastAsia="en-US"/>
        </w:rPr>
      </w:pPr>
      <w:r w:rsidRPr="00A17D42">
        <w:rPr>
          <w:u w:val="single"/>
        </w:rPr>
        <w:t>Temperature Control for SOFC</w:t>
      </w:r>
    </w:p>
    <w:p w14:paraId="44A6111E" w14:textId="77777777" w:rsidR="00A17D42" w:rsidRPr="00A17D42" w:rsidRDefault="00A17D42" w:rsidP="00A17D42">
      <w:pPr>
        <w:rPr>
          <w:u w:val="single"/>
        </w:rPr>
      </w:pPr>
    </w:p>
    <w:p w14:paraId="31EB73AE" w14:textId="3C6D6629" w:rsidR="00A17D42" w:rsidRPr="00A17D42" w:rsidRDefault="00A17D42" w:rsidP="00A17D42">
      <w:bookmarkStart w:id="5" w:name="_MailEndCompose"/>
      <w:bookmarkStart w:id="6" w:name="_Hlk129933784"/>
      <w:r w:rsidRPr="00A17D42">
        <w:t xml:space="preserve">Different controller topologies for fuel cell operation of the rSOC system were designed and experimentally evaluated. The first controller design uses a PID controller to control a weighted average temperature of the integrated stack </w:t>
      </w:r>
      <w:r>
        <w:t>module</w:t>
      </w:r>
      <w:r w:rsidRPr="00A17D42">
        <w:t xml:space="preserve">. </w:t>
      </w:r>
      <w:r>
        <w:t>In the experiments, t</w:t>
      </w:r>
      <w:r w:rsidRPr="00A17D42">
        <w:t>he controller showed a stable and robust behavior. A limitation of this controller is</w:t>
      </w:r>
      <w:r>
        <w:t xml:space="preserve"> given by</w:t>
      </w:r>
      <w:r w:rsidRPr="00A17D42">
        <w:t xml:space="preserve"> the significant dependency of the maximum temperature on operating conditions like current density. The second design incorporates an Artificial Neuronal Network (ANN) for predicting the optimal average temperature to achieve a constant maximum stack temperature</w:t>
      </w:r>
      <w:r>
        <w:t xml:space="preserve"> independent from operating point</w:t>
      </w:r>
      <w:r w:rsidRPr="00A17D42">
        <w:t xml:space="preserve">. </w:t>
      </w:r>
      <w:r>
        <w:t>When applying this</w:t>
      </w:r>
      <w:r w:rsidRPr="00A17D42">
        <w:t xml:space="preserve"> controller</w:t>
      </w:r>
      <w:r>
        <w:t xml:space="preserve"> to the rSOC system </w:t>
      </w:r>
      <w:r w:rsidRPr="00A17D42">
        <w:t>a stable behavior as well a</w:t>
      </w:r>
      <w:r>
        <w:t>s</w:t>
      </w:r>
      <w:r w:rsidRPr="00A17D42">
        <w:t xml:space="preserve"> </w:t>
      </w:r>
      <w:r>
        <w:t xml:space="preserve">a </w:t>
      </w:r>
      <w:r w:rsidRPr="00A17D42">
        <w:t>reduced dependency of the maximum stack temperature on operating conditions</w:t>
      </w:r>
      <w:r>
        <w:t xml:space="preserve"> could be reached</w:t>
      </w:r>
      <w:r w:rsidRPr="00A17D42">
        <w:t>.</w:t>
      </w:r>
      <w:bookmarkEnd w:id="5"/>
    </w:p>
    <w:bookmarkEnd w:id="6"/>
    <w:p w14:paraId="70F672D7" w14:textId="614452F8" w:rsidR="00A17D42" w:rsidRDefault="00A17D42" w:rsidP="00386BA7">
      <w:pPr>
        <w:pStyle w:val="BodyofPaper"/>
        <w:ind w:firstLine="0"/>
      </w:pPr>
    </w:p>
    <w:p w14:paraId="152FEBC2" w14:textId="77777777" w:rsidR="00A17D42" w:rsidRPr="00F173D4" w:rsidRDefault="00A17D42" w:rsidP="00386BA7">
      <w:pPr>
        <w:pStyle w:val="BodyofPaper"/>
        <w:ind w:firstLine="0"/>
      </w:pPr>
    </w:p>
    <w:p w14:paraId="1B3C39BB" w14:textId="77777777" w:rsidR="00992AD6" w:rsidRPr="00225714" w:rsidRDefault="00992AD6" w:rsidP="00386BA7">
      <w:pPr>
        <w:pStyle w:val="Subhead-FirstLevel"/>
      </w:pPr>
      <w:r w:rsidRPr="00225714">
        <w:t>Acknowledgments</w:t>
      </w:r>
    </w:p>
    <w:p w14:paraId="707F69FC" w14:textId="77777777" w:rsidR="00992AD6" w:rsidRDefault="00992AD6" w:rsidP="00386BA7">
      <w:pPr>
        <w:pStyle w:val="BodyofPaper"/>
        <w:ind w:firstLine="0"/>
      </w:pPr>
    </w:p>
    <w:p w14:paraId="0F151D6A" w14:textId="38161552" w:rsidR="0092519E" w:rsidRDefault="006E24BC" w:rsidP="0092519E">
      <w:pPr>
        <w:pStyle w:val="BodyofPaper"/>
        <w:ind w:firstLine="0"/>
      </w:pPr>
      <w:r>
        <w:t xml:space="preserve">     </w:t>
      </w:r>
      <w:r w:rsidRPr="00B83D81">
        <w:t xml:space="preserve">The authors wish to thank all contributing staff members of </w:t>
      </w:r>
      <w:r>
        <w:t>Forschungszentrum Jülich</w:t>
      </w:r>
      <w:r w:rsidRPr="00B83D81">
        <w:t xml:space="preserve"> for their continuing excellent work</w:t>
      </w:r>
      <w:r>
        <w:t xml:space="preserve"> and </w:t>
      </w:r>
      <w:r w:rsidRPr="00B66A42">
        <w:t xml:space="preserve">the Helmholtz Society, the German Federal Ministry of Education and Research as well as the </w:t>
      </w:r>
      <w:r>
        <w:t xml:space="preserve">Federal Ministry for Economic Affairs and Climate Action </w:t>
      </w:r>
      <w:r w:rsidRPr="00B66A42">
        <w:t>for financing t</w:t>
      </w:r>
      <w:r>
        <w:t>he SOC research and development at Forschungszentrum Jülich.</w:t>
      </w:r>
      <w:r w:rsidRPr="00B66A42">
        <w:t xml:space="preserve"> </w:t>
      </w:r>
      <w:r w:rsidR="0092519E">
        <w:br w:type="page"/>
      </w:r>
    </w:p>
    <w:p w14:paraId="7E9E7889" w14:textId="6A4FB202" w:rsidR="00992AD6" w:rsidRDefault="00992AD6" w:rsidP="00386BA7">
      <w:pPr>
        <w:pStyle w:val="Subhead-FirstLevel"/>
      </w:pPr>
      <w:r w:rsidRPr="00225714">
        <w:lastRenderedPageBreak/>
        <w:t>References</w:t>
      </w:r>
    </w:p>
    <w:p w14:paraId="0E6CE0D4" w14:textId="77777777" w:rsidR="00790A1E" w:rsidRPr="00225714" w:rsidRDefault="00790A1E" w:rsidP="00386BA7">
      <w:pPr>
        <w:pStyle w:val="Subhead-FirstLevel"/>
      </w:pPr>
    </w:p>
    <w:p w14:paraId="0A18F572" w14:textId="40DAFC7F" w:rsidR="00D72C6B" w:rsidRPr="00E90FE7" w:rsidRDefault="00D72C6B" w:rsidP="00D72C6B">
      <w:pPr>
        <w:numPr>
          <w:ilvl w:val="0"/>
          <w:numId w:val="5"/>
        </w:numPr>
        <w:rPr>
          <w:lang w:val="de-DE"/>
        </w:rPr>
      </w:pPr>
      <w:bookmarkStart w:id="7" w:name="_Ref129702120"/>
      <w:bookmarkStart w:id="8" w:name="_Ref129610914"/>
      <w:r w:rsidRPr="00E90FE7">
        <w:rPr>
          <w:lang w:val="de-DE"/>
        </w:rPr>
        <w:t xml:space="preserve">S. E. Wolf, V. Vibhu, E. Tröster, I. C. Vinke, R.‑A. Eichel, and L. G. J. de Haart, </w:t>
      </w:r>
      <w:r w:rsidRPr="00BF4BC1">
        <w:rPr>
          <w:i/>
          <w:lang w:val="de-DE"/>
        </w:rPr>
        <w:t>Energies</w:t>
      </w:r>
      <w:r w:rsidRPr="00E90FE7">
        <w:rPr>
          <w:lang w:val="de-DE"/>
        </w:rPr>
        <w:t xml:space="preserve"> </w:t>
      </w:r>
      <w:r w:rsidRPr="00BF4BC1">
        <w:rPr>
          <w:b/>
          <w:lang w:val="de-DE"/>
        </w:rPr>
        <w:t>15</w:t>
      </w:r>
      <w:r w:rsidRPr="00E90FE7">
        <w:rPr>
          <w:lang w:val="de-DE"/>
        </w:rPr>
        <w:t xml:space="preserve">(15), 5449 (2022). </w:t>
      </w:r>
      <w:bookmarkEnd w:id="7"/>
    </w:p>
    <w:p w14:paraId="7A8CBFFF" w14:textId="5CB846D3" w:rsidR="00D72C6B" w:rsidRPr="00995ADD" w:rsidRDefault="00D72C6B" w:rsidP="00D72C6B">
      <w:pPr>
        <w:pStyle w:val="Referenzen"/>
        <w:numPr>
          <w:ilvl w:val="0"/>
          <w:numId w:val="5"/>
        </w:numPr>
        <w:rPr>
          <w:lang w:val="de-DE"/>
        </w:rPr>
      </w:pPr>
      <w:bookmarkStart w:id="9" w:name="_Ref129702129"/>
      <w:r w:rsidRPr="00E90FE7">
        <w:rPr>
          <w:lang w:val="de-DE"/>
        </w:rPr>
        <w:t>S. E. Wolf, L. Dittrich, M. Nohl, T. Duyster, I. C. Vinke, R.</w:t>
      </w:r>
      <w:r w:rsidRPr="00E90FE7">
        <w:rPr>
          <w:rFonts w:ascii="Cambria Math" w:hAnsi="Cambria Math" w:cs="Cambria Math"/>
          <w:lang w:val="de-DE"/>
        </w:rPr>
        <w:t>‑</w:t>
      </w:r>
      <w:r w:rsidRPr="00E90FE7">
        <w:rPr>
          <w:lang w:val="de-DE"/>
        </w:rPr>
        <w:t>A. Eichel, and L</w:t>
      </w:r>
      <w:r w:rsidR="00E90FE7" w:rsidRPr="00E90FE7">
        <w:rPr>
          <w:lang w:val="de-DE"/>
        </w:rPr>
        <w:t>.</w:t>
      </w:r>
      <w:r w:rsidR="00E90FE7">
        <w:rPr>
          <w:lang w:val="de-DE"/>
        </w:rPr>
        <w:t> </w:t>
      </w:r>
      <w:r w:rsidRPr="00E90FE7">
        <w:rPr>
          <w:lang w:val="de-DE"/>
        </w:rPr>
        <w:t>G</w:t>
      </w:r>
      <w:r w:rsidR="00E90FE7" w:rsidRPr="00E90FE7">
        <w:rPr>
          <w:lang w:val="de-DE"/>
        </w:rPr>
        <w:t>.</w:t>
      </w:r>
      <w:r w:rsidR="00E90FE7" w:rsidRPr="00BF4BC1">
        <w:rPr>
          <w:lang w:val="de-DE"/>
        </w:rPr>
        <w:t> </w:t>
      </w:r>
      <w:r w:rsidRPr="00E90FE7">
        <w:rPr>
          <w:lang w:val="de-DE"/>
        </w:rPr>
        <w:t>J</w:t>
      </w:r>
      <w:r w:rsidR="00E90FE7" w:rsidRPr="00E90FE7">
        <w:rPr>
          <w:lang w:val="de-DE"/>
        </w:rPr>
        <w:t>.</w:t>
      </w:r>
      <w:r w:rsidR="00E90FE7" w:rsidRPr="00BF4BC1">
        <w:rPr>
          <w:lang w:val="de-DE"/>
        </w:rPr>
        <w:t> </w:t>
      </w:r>
      <w:r w:rsidRPr="00E90FE7">
        <w:rPr>
          <w:lang w:val="de-DE"/>
        </w:rPr>
        <w:t xml:space="preserve">de Haart, </w:t>
      </w:r>
      <w:r w:rsidRPr="00E90FE7">
        <w:rPr>
          <w:i/>
          <w:iCs/>
          <w:lang w:val="de-DE"/>
        </w:rPr>
        <w:t xml:space="preserve">J. Electrochem. </w:t>
      </w:r>
      <w:r w:rsidRPr="00995ADD">
        <w:rPr>
          <w:i/>
          <w:iCs/>
          <w:lang w:val="de-DE"/>
        </w:rPr>
        <w:t>Soc.</w:t>
      </w:r>
      <w:r w:rsidRPr="00995ADD">
        <w:rPr>
          <w:lang w:val="de-DE"/>
        </w:rPr>
        <w:t xml:space="preserve"> </w:t>
      </w:r>
      <w:r w:rsidRPr="00995ADD">
        <w:rPr>
          <w:b/>
          <w:bCs/>
          <w:lang w:val="de-DE"/>
        </w:rPr>
        <w:t>169</w:t>
      </w:r>
      <w:r>
        <w:rPr>
          <w:lang w:val="de-DE"/>
        </w:rPr>
        <w:t xml:space="preserve">, </w:t>
      </w:r>
      <w:r w:rsidRPr="00995ADD">
        <w:rPr>
          <w:lang w:val="de-DE"/>
        </w:rPr>
        <w:t>034531 (2022)</w:t>
      </w:r>
      <w:r>
        <w:rPr>
          <w:lang w:val="de-DE"/>
        </w:rPr>
        <w:t>.</w:t>
      </w:r>
      <w:r w:rsidRPr="00995ADD">
        <w:rPr>
          <w:lang w:val="de-DE"/>
        </w:rPr>
        <w:t xml:space="preserve"> </w:t>
      </w:r>
      <w:bookmarkEnd w:id="9"/>
    </w:p>
    <w:p w14:paraId="04AE9293" w14:textId="4935C2F1" w:rsidR="00D72C6B" w:rsidRPr="003268F0" w:rsidRDefault="00D72C6B" w:rsidP="00D72C6B">
      <w:pPr>
        <w:pStyle w:val="Referenzen"/>
        <w:numPr>
          <w:ilvl w:val="0"/>
          <w:numId w:val="5"/>
        </w:numPr>
        <w:rPr>
          <w:lang w:val="de-DE"/>
        </w:rPr>
      </w:pPr>
      <w:bookmarkStart w:id="10" w:name="_Ref129702135"/>
      <w:r w:rsidRPr="00995ADD">
        <w:rPr>
          <w:lang w:val="de-DE"/>
        </w:rPr>
        <w:t>I.</w:t>
      </w:r>
      <w:r>
        <w:rPr>
          <w:lang w:val="de-DE"/>
        </w:rPr>
        <w:t xml:space="preserve"> </w:t>
      </w:r>
      <w:r w:rsidRPr="00995ADD">
        <w:rPr>
          <w:lang w:val="de-DE"/>
        </w:rPr>
        <w:t xml:space="preserve">D. Unachukwu, V. Vibhu, </w:t>
      </w:r>
      <w:r w:rsidRPr="003268F0">
        <w:rPr>
          <w:lang w:val="de-DE"/>
        </w:rPr>
        <w:t>I.</w:t>
      </w:r>
      <w:r>
        <w:rPr>
          <w:lang w:val="de-DE"/>
        </w:rPr>
        <w:t xml:space="preserve"> </w:t>
      </w:r>
      <w:r w:rsidRPr="003268F0">
        <w:rPr>
          <w:lang w:val="de-DE"/>
        </w:rPr>
        <w:t>C. Vinke, R.</w:t>
      </w:r>
      <w:r w:rsidRPr="003268F0">
        <w:rPr>
          <w:rFonts w:ascii="Cambria Math" w:hAnsi="Cambria Math" w:cs="Cambria Math"/>
          <w:lang w:val="de-DE"/>
        </w:rPr>
        <w:t>‑</w:t>
      </w:r>
      <w:r w:rsidRPr="003268F0">
        <w:rPr>
          <w:lang w:val="de-DE"/>
        </w:rPr>
        <w:t>A. Eichel, L.</w:t>
      </w:r>
      <w:r>
        <w:rPr>
          <w:lang w:val="de-DE"/>
        </w:rPr>
        <w:t xml:space="preserve"> </w:t>
      </w:r>
      <w:r w:rsidRPr="003268F0">
        <w:rPr>
          <w:lang w:val="de-DE"/>
        </w:rPr>
        <w:t>G.</w:t>
      </w:r>
      <w:r>
        <w:rPr>
          <w:lang w:val="de-DE"/>
        </w:rPr>
        <w:t xml:space="preserve"> </w:t>
      </w:r>
      <w:r w:rsidRPr="003268F0">
        <w:rPr>
          <w:lang w:val="de-DE"/>
        </w:rPr>
        <w:t xml:space="preserve">J. de Haart, </w:t>
      </w:r>
      <w:r w:rsidRPr="00995ADD">
        <w:rPr>
          <w:i/>
          <w:iCs/>
          <w:lang w:val="de-DE"/>
        </w:rPr>
        <w:t>Energies</w:t>
      </w:r>
      <w:r w:rsidRPr="00995ADD">
        <w:rPr>
          <w:lang w:val="de-DE"/>
        </w:rPr>
        <w:t xml:space="preserve"> </w:t>
      </w:r>
      <w:r w:rsidRPr="003268F0">
        <w:rPr>
          <w:b/>
          <w:bCs/>
          <w:lang w:val="de-DE"/>
        </w:rPr>
        <w:t>15</w:t>
      </w:r>
      <w:r w:rsidRPr="003268F0">
        <w:rPr>
          <w:lang w:val="de-DE"/>
        </w:rPr>
        <w:t>(6)</w:t>
      </w:r>
      <w:r>
        <w:rPr>
          <w:lang w:val="de-DE"/>
        </w:rPr>
        <w:t>,</w:t>
      </w:r>
      <w:r w:rsidRPr="003268F0">
        <w:rPr>
          <w:lang w:val="de-DE"/>
        </w:rPr>
        <w:t xml:space="preserve"> 2136 (2022)</w:t>
      </w:r>
      <w:bookmarkEnd w:id="10"/>
      <w:r>
        <w:rPr>
          <w:lang w:val="de-DE"/>
        </w:rPr>
        <w:t>.</w:t>
      </w:r>
    </w:p>
    <w:p w14:paraId="3839CB79" w14:textId="539289E8" w:rsidR="00D72C6B" w:rsidRPr="003268F0" w:rsidRDefault="00D72C6B" w:rsidP="00D72C6B">
      <w:pPr>
        <w:pStyle w:val="Referenzen"/>
        <w:numPr>
          <w:ilvl w:val="0"/>
          <w:numId w:val="5"/>
        </w:numPr>
        <w:rPr>
          <w:lang w:val="de-DE"/>
        </w:rPr>
      </w:pPr>
      <w:bookmarkStart w:id="11" w:name="_Ref129702141"/>
      <w:r w:rsidRPr="003268F0">
        <w:rPr>
          <w:lang w:val="de-DE"/>
        </w:rPr>
        <w:t>I.</w:t>
      </w:r>
      <w:r>
        <w:rPr>
          <w:lang w:val="de-DE"/>
        </w:rPr>
        <w:t xml:space="preserve"> </w:t>
      </w:r>
      <w:r w:rsidRPr="003268F0">
        <w:rPr>
          <w:lang w:val="de-DE"/>
        </w:rPr>
        <w:t>D. Unachukwu, V. Vibhu, I.</w:t>
      </w:r>
      <w:r>
        <w:rPr>
          <w:lang w:val="de-DE"/>
        </w:rPr>
        <w:t xml:space="preserve"> </w:t>
      </w:r>
      <w:r w:rsidRPr="003268F0">
        <w:rPr>
          <w:lang w:val="de-DE"/>
        </w:rPr>
        <w:t>C. Vinke, R.</w:t>
      </w:r>
      <w:r w:rsidRPr="00995ADD">
        <w:rPr>
          <w:rFonts w:ascii="Cambria Math" w:hAnsi="Cambria Math" w:cs="Cambria Math"/>
          <w:lang w:val="de-DE"/>
        </w:rPr>
        <w:t>‑</w:t>
      </w:r>
      <w:r w:rsidRPr="003268F0">
        <w:rPr>
          <w:lang w:val="de-DE"/>
        </w:rPr>
        <w:t>A. Eichel,</w:t>
      </w:r>
      <w:r w:rsidRPr="00D72C6B">
        <w:rPr>
          <w:lang w:val="de-DE"/>
        </w:rPr>
        <w:t xml:space="preserve"> </w:t>
      </w:r>
      <w:r>
        <w:rPr>
          <w:lang w:val="de-DE"/>
        </w:rPr>
        <w:t>and</w:t>
      </w:r>
      <w:r w:rsidRPr="003268F0">
        <w:rPr>
          <w:lang w:val="de-DE"/>
        </w:rPr>
        <w:t xml:space="preserve"> L.</w:t>
      </w:r>
      <w:r>
        <w:rPr>
          <w:lang w:val="de-DE"/>
        </w:rPr>
        <w:t xml:space="preserve"> </w:t>
      </w:r>
      <w:r w:rsidRPr="003268F0">
        <w:rPr>
          <w:lang w:val="de-DE"/>
        </w:rPr>
        <w:t>G.</w:t>
      </w:r>
      <w:r>
        <w:rPr>
          <w:lang w:val="de-DE"/>
        </w:rPr>
        <w:t xml:space="preserve"> </w:t>
      </w:r>
      <w:r w:rsidRPr="003268F0">
        <w:rPr>
          <w:lang w:val="de-DE"/>
        </w:rPr>
        <w:t xml:space="preserve">J. de Haart, </w:t>
      </w:r>
      <w:r w:rsidRPr="003268F0">
        <w:rPr>
          <w:i/>
          <w:iCs/>
          <w:lang w:val="de-DE"/>
        </w:rPr>
        <w:t>J</w:t>
      </w:r>
      <w:r w:rsidR="00E90FE7" w:rsidRPr="003268F0">
        <w:rPr>
          <w:i/>
          <w:iCs/>
          <w:lang w:val="de-DE"/>
        </w:rPr>
        <w:t>.</w:t>
      </w:r>
      <w:r w:rsidR="00E90FE7">
        <w:rPr>
          <w:i/>
          <w:iCs/>
          <w:lang w:val="de-DE"/>
        </w:rPr>
        <w:t> </w:t>
      </w:r>
      <w:r w:rsidRPr="003268F0">
        <w:rPr>
          <w:i/>
          <w:iCs/>
          <w:lang w:val="de-DE"/>
        </w:rPr>
        <w:t>Power Sources</w:t>
      </w:r>
      <w:r w:rsidRPr="003268F0">
        <w:rPr>
          <w:lang w:val="de-DE"/>
        </w:rPr>
        <w:t xml:space="preserve"> </w:t>
      </w:r>
      <w:r w:rsidRPr="003268F0">
        <w:rPr>
          <w:b/>
          <w:bCs/>
          <w:lang w:val="de-DE"/>
        </w:rPr>
        <w:t>556</w:t>
      </w:r>
      <w:r w:rsidRPr="00DA15F3">
        <w:rPr>
          <w:lang w:val="de-DE"/>
        </w:rPr>
        <w:t xml:space="preserve">, </w:t>
      </w:r>
      <w:r w:rsidRPr="003268F0">
        <w:rPr>
          <w:lang w:val="de-DE"/>
        </w:rPr>
        <w:t>232436 (2023)</w:t>
      </w:r>
      <w:r>
        <w:rPr>
          <w:lang w:val="de-DE"/>
        </w:rPr>
        <w:t>.</w:t>
      </w:r>
      <w:r w:rsidRPr="003268F0">
        <w:rPr>
          <w:lang w:val="de-DE"/>
        </w:rPr>
        <w:t xml:space="preserve"> </w:t>
      </w:r>
      <w:bookmarkEnd w:id="11"/>
    </w:p>
    <w:p w14:paraId="1C3FB208" w14:textId="2FF1C36D" w:rsidR="00D72C6B" w:rsidRDefault="00D72C6B" w:rsidP="00D72C6B">
      <w:pPr>
        <w:pStyle w:val="Referenzen"/>
        <w:numPr>
          <w:ilvl w:val="0"/>
          <w:numId w:val="5"/>
        </w:numPr>
      </w:pPr>
      <w:bookmarkStart w:id="12" w:name="_Ref129702146"/>
      <w:r w:rsidRPr="00BF4BC1">
        <w:rPr>
          <w:lang w:val="en-US"/>
        </w:rPr>
        <w:t>I. D. Unachukwu, V. Vibhu, I.C. Vinke, R.</w:t>
      </w:r>
      <w:r w:rsidRPr="00BF4BC1">
        <w:rPr>
          <w:rFonts w:ascii="Cambria Math" w:hAnsi="Cambria Math" w:cs="Cambria Math"/>
          <w:lang w:val="en-US"/>
        </w:rPr>
        <w:t>‑</w:t>
      </w:r>
      <w:r w:rsidRPr="00BF4BC1">
        <w:rPr>
          <w:lang w:val="en-US"/>
        </w:rPr>
        <w:t xml:space="preserve">A. Eichel, and L.G.J. de Haart, </w:t>
      </w:r>
      <w:r w:rsidRPr="00BF4BC1">
        <w:rPr>
          <w:i/>
          <w:iCs/>
          <w:lang w:val="en-US"/>
        </w:rPr>
        <w:t>J</w:t>
      </w:r>
      <w:r w:rsidR="00E90FE7" w:rsidRPr="00BF4BC1">
        <w:rPr>
          <w:i/>
          <w:iCs/>
          <w:lang w:val="en-US"/>
        </w:rPr>
        <w:t>. </w:t>
      </w:r>
      <w:r w:rsidR="00E90FE7" w:rsidRPr="0F83B96B">
        <w:rPr>
          <w:i/>
          <w:iCs/>
        </w:rPr>
        <w:t>of</w:t>
      </w:r>
      <w:r w:rsidR="00E90FE7">
        <w:rPr>
          <w:i/>
          <w:iCs/>
        </w:rPr>
        <w:t> </w:t>
      </w:r>
      <w:r w:rsidRPr="0F83B96B">
        <w:rPr>
          <w:i/>
          <w:iCs/>
        </w:rPr>
        <w:t>CO</w:t>
      </w:r>
      <w:r w:rsidRPr="0F83B96B">
        <w:rPr>
          <w:i/>
          <w:iCs/>
          <w:vertAlign w:val="subscript"/>
        </w:rPr>
        <w:t>2</w:t>
      </w:r>
      <w:r w:rsidRPr="0F83B96B">
        <w:rPr>
          <w:i/>
          <w:iCs/>
        </w:rPr>
        <w:t xml:space="preserve"> Utilization</w:t>
      </w:r>
      <w:r w:rsidRPr="0F83B96B">
        <w:t xml:space="preserve"> </w:t>
      </w:r>
      <w:r w:rsidRPr="0F83B96B">
        <w:rPr>
          <w:b/>
          <w:bCs/>
        </w:rPr>
        <w:t>69</w:t>
      </w:r>
      <w:r>
        <w:t xml:space="preserve">, </w:t>
      </w:r>
      <w:r w:rsidRPr="0F83B96B">
        <w:t>102423 (2023)</w:t>
      </w:r>
      <w:r>
        <w:t>.</w:t>
      </w:r>
      <w:r w:rsidRPr="0F83B96B">
        <w:t xml:space="preserve"> </w:t>
      </w:r>
      <w:bookmarkEnd w:id="12"/>
    </w:p>
    <w:p w14:paraId="529DA4E9" w14:textId="1FA44CA9" w:rsidR="00D72C6B" w:rsidRDefault="00D72C6B" w:rsidP="00D72C6B">
      <w:pPr>
        <w:pStyle w:val="Referenzen"/>
        <w:numPr>
          <w:ilvl w:val="0"/>
          <w:numId w:val="5"/>
        </w:numPr>
      </w:pPr>
      <w:bookmarkStart w:id="13" w:name="_Ref129702174"/>
      <w:r w:rsidRPr="00995ADD">
        <w:rPr>
          <w:lang w:val="nl"/>
        </w:rPr>
        <w:t>V. Vibhu, I.C. Vinke, R.</w:t>
      </w:r>
      <w:r w:rsidRPr="00995ADD">
        <w:rPr>
          <w:rFonts w:ascii="Cambria Math" w:hAnsi="Cambria Math" w:cs="Cambria Math"/>
          <w:lang w:val="nl"/>
        </w:rPr>
        <w:t>‑</w:t>
      </w:r>
      <w:r w:rsidRPr="00995ADD">
        <w:rPr>
          <w:lang w:val="nl"/>
        </w:rPr>
        <w:t xml:space="preserve">A. Eichel, L.G.J. de Haart, </w:t>
      </w:r>
      <w:r w:rsidRPr="00995ADD">
        <w:rPr>
          <w:i/>
          <w:iCs/>
          <w:lang w:val="nl"/>
        </w:rPr>
        <w:t>ECS Trans.</w:t>
      </w:r>
      <w:r w:rsidRPr="00995ADD">
        <w:rPr>
          <w:lang w:val="nl"/>
        </w:rPr>
        <w:t xml:space="preserve"> This issue (2023)</w:t>
      </w:r>
      <w:bookmarkEnd w:id="13"/>
      <w:r>
        <w:rPr>
          <w:lang w:val="nl"/>
        </w:rPr>
        <w:t>.</w:t>
      </w:r>
    </w:p>
    <w:p w14:paraId="04CC6DD8" w14:textId="03C8DF7C" w:rsidR="00D72C6B" w:rsidRPr="00F527E7" w:rsidRDefault="00D72C6B" w:rsidP="00D72C6B">
      <w:pPr>
        <w:pStyle w:val="Referenzen"/>
        <w:numPr>
          <w:ilvl w:val="0"/>
          <w:numId w:val="5"/>
        </w:numPr>
      </w:pPr>
      <w:bookmarkStart w:id="14" w:name="_Ref129702196"/>
      <w:r w:rsidRPr="00E90FE7">
        <w:rPr>
          <w:lang w:val="nl"/>
        </w:rPr>
        <w:t>S. E. Wolf, V. Vibhu, C.L. Coll Torrado, N. Eyckeler, I.C. Vinke, R.</w:t>
      </w:r>
      <w:r w:rsidRPr="00E90FE7">
        <w:rPr>
          <w:rFonts w:ascii="Cambria Math" w:hAnsi="Cambria Math" w:cs="Cambria Math"/>
          <w:lang w:val="nl"/>
        </w:rPr>
        <w:t>‑</w:t>
      </w:r>
      <w:r w:rsidRPr="00E90FE7">
        <w:rPr>
          <w:lang w:val="nl"/>
        </w:rPr>
        <w:t xml:space="preserve">A. Eichel, </w:t>
      </w:r>
      <w:r w:rsidRPr="00D72C6B">
        <w:rPr>
          <w:lang w:val="en-US"/>
        </w:rPr>
        <w:t xml:space="preserve">and </w:t>
      </w:r>
      <w:r w:rsidRPr="00E90FE7">
        <w:rPr>
          <w:lang w:val="nl"/>
        </w:rPr>
        <w:t>L.G.J. de Haart,</w:t>
      </w:r>
      <w:r w:rsidRPr="00E90FE7">
        <w:rPr>
          <w:i/>
          <w:iCs/>
          <w:lang w:val="nl"/>
        </w:rPr>
        <w:t xml:space="preserve"> ECS Trans.</w:t>
      </w:r>
      <w:r w:rsidRPr="00E90FE7">
        <w:rPr>
          <w:lang w:val="nl"/>
        </w:rPr>
        <w:t xml:space="preserve"> </w:t>
      </w:r>
      <w:r w:rsidRPr="00995ADD">
        <w:rPr>
          <w:lang w:val="nl"/>
        </w:rPr>
        <w:t>This issue (2023)</w:t>
      </w:r>
      <w:bookmarkEnd w:id="14"/>
      <w:r>
        <w:rPr>
          <w:lang w:val="nl"/>
        </w:rPr>
        <w:t>.</w:t>
      </w:r>
      <w:r w:rsidRPr="00995ADD">
        <w:rPr>
          <w:lang w:val="nl"/>
        </w:rPr>
        <w:t xml:space="preserve"> </w:t>
      </w:r>
    </w:p>
    <w:p w14:paraId="319E99DD" w14:textId="4C323DE3" w:rsidR="00D72C6B" w:rsidRPr="00BF7BD2" w:rsidRDefault="00D72C6B" w:rsidP="00D72C6B">
      <w:pPr>
        <w:pStyle w:val="Referenzen"/>
        <w:numPr>
          <w:ilvl w:val="0"/>
          <w:numId w:val="5"/>
        </w:numPr>
        <w:rPr>
          <w:lang w:val="nl"/>
        </w:rPr>
      </w:pPr>
      <w:bookmarkStart w:id="15" w:name="_Ref129610944"/>
      <w:r w:rsidRPr="00E90FE7">
        <w:rPr>
          <w:lang w:val="nl"/>
        </w:rPr>
        <w:t xml:space="preserve">J. Szász, F. Wankmüller, V. Wilde, H. Störmer, D. Gerthsen, N. H. Menzler, </w:t>
      </w:r>
      <w:r>
        <w:rPr>
          <w:lang w:val="de-DE"/>
        </w:rPr>
        <w:t>and</w:t>
      </w:r>
      <w:r w:rsidRPr="00D72C6B">
        <w:rPr>
          <w:lang w:val="de-DE"/>
        </w:rPr>
        <w:t xml:space="preserve"> </w:t>
      </w:r>
      <w:r w:rsidRPr="00E90FE7">
        <w:rPr>
          <w:lang w:val="nl"/>
        </w:rPr>
        <w:t xml:space="preserve">E. Ivers-Tiffée, </w:t>
      </w:r>
      <w:r w:rsidRPr="00E90FE7">
        <w:rPr>
          <w:i/>
          <w:iCs/>
          <w:lang w:val="nl"/>
        </w:rPr>
        <w:t xml:space="preserve">J. Electrochem. </w:t>
      </w:r>
      <w:r w:rsidRPr="00BF7BD2">
        <w:rPr>
          <w:i/>
          <w:iCs/>
          <w:lang w:val="nl"/>
        </w:rPr>
        <w:t>Soc.</w:t>
      </w:r>
      <w:r w:rsidRPr="00BF7BD2">
        <w:rPr>
          <w:lang w:val="nl"/>
        </w:rPr>
        <w:t xml:space="preserve"> </w:t>
      </w:r>
      <w:r w:rsidRPr="00BF7BD2">
        <w:rPr>
          <w:b/>
          <w:bCs/>
          <w:lang w:val="nl"/>
        </w:rPr>
        <w:t>165</w:t>
      </w:r>
      <w:r w:rsidRPr="00BF7BD2">
        <w:rPr>
          <w:lang w:val="nl"/>
        </w:rPr>
        <w:t xml:space="preserve"> (10)</w:t>
      </w:r>
      <w:r>
        <w:rPr>
          <w:lang w:val="nl"/>
        </w:rPr>
        <w:t>,</w:t>
      </w:r>
      <w:r w:rsidRPr="00BF7BD2">
        <w:rPr>
          <w:lang w:val="nl"/>
        </w:rPr>
        <w:t xml:space="preserve"> F898-F906 (2018)</w:t>
      </w:r>
      <w:bookmarkEnd w:id="15"/>
      <w:r>
        <w:rPr>
          <w:lang w:val="nl"/>
        </w:rPr>
        <w:t>.</w:t>
      </w:r>
    </w:p>
    <w:p w14:paraId="2C817513" w14:textId="5BFE7EFC" w:rsidR="00D72C6B" w:rsidRDefault="00D72C6B" w:rsidP="00D72C6B">
      <w:pPr>
        <w:pStyle w:val="Referenzen"/>
        <w:numPr>
          <w:ilvl w:val="0"/>
          <w:numId w:val="5"/>
        </w:numPr>
      </w:pPr>
      <w:bookmarkStart w:id="16" w:name="_Ref129610953"/>
      <w:r w:rsidRPr="00E54659">
        <w:rPr>
          <w:lang w:val="de-DE"/>
        </w:rPr>
        <w:t xml:space="preserve">C. Lenser, A. Schwiers, D. Ramler, and N. H. Menzler, </w:t>
      </w:r>
      <w:bookmarkStart w:id="17" w:name="_Ref129345091"/>
      <w:bookmarkEnd w:id="16"/>
      <w:r w:rsidRPr="00C71348">
        <w:rPr>
          <w:i/>
          <w:iCs/>
          <w:lang w:val="de-DE"/>
        </w:rPr>
        <w:t>ECS Trans.</w:t>
      </w:r>
      <w:r w:rsidRPr="00C71348">
        <w:rPr>
          <w:lang w:val="de-DE"/>
        </w:rPr>
        <w:t xml:space="preserve"> </w:t>
      </w:r>
      <w:r w:rsidRPr="00995ADD">
        <w:rPr>
          <w:lang w:val="nl"/>
        </w:rPr>
        <w:t>This issue (2023)</w:t>
      </w:r>
      <w:r>
        <w:rPr>
          <w:lang w:val="nl"/>
        </w:rPr>
        <w:t>.</w:t>
      </w:r>
    </w:p>
    <w:p w14:paraId="7D751FCF" w14:textId="1F2DC3F1" w:rsidR="00D72C6B" w:rsidRPr="00BF7BD2" w:rsidRDefault="00D72C6B" w:rsidP="00D72C6B">
      <w:pPr>
        <w:pStyle w:val="Referenzen"/>
        <w:numPr>
          <w:ilvl w:val="0"/>
          <w:numId w:val="5"/>
        </w:numPr>
        <w:rPr>
          <w:lang w:val="de-DE"/>
        </w:rPr>
      </w:pPr>
      <w:r w:rsidRPr="00BF7BD2">
        <w:rPr>
          <w:lang w:val="de-DE"/>
        </w:rPr>
        <w:t>R. Knibbe, A. Hauch, J. Hjelm, S.</w:t>
      </w:r>
      <w:r>
        <w:rPr>
          <w:lang w:val="de-DE"/>
        </w:rPr>
        <w:t xml:space="preserve"> </w:t>
      </w:r>
      <w:r w:rsidRPr="00BF7BD2">
        <w:rPr>
          <w:lang w:val="de-DE"/>
        </w:rPr>
        <w:t>D. Ebbesen,</w:t>
      </w:r>
      <w:r w:rsidRPr="00D72C6B">
        <w:rPr>
          <w:lang w:val="de-DE"/>
        </w:rPr>
        <w:t xml:space="preserve"> </w:t>
      </w:r>
      <w:r>
        <w:rPr>
          <w:lang w:val="de-DE"/>
        </w:rPr>
        <w:t>and</w:t>
      </w:r>
      <w:r w:rsidRPr="00BF7BD2">
        <w:rPr>
          <w:lang w:val="de-DE"/>
        </w:rPr>
        <w:t xml:space="preserve"> M. Mogensen, </w:t>
      </w:r>
      <w:r w:rsidRPr="00BF7BD2">
        <w:rPr>
          <w:i/>
          <w:iCs/>
          <w:lang w:val="de-DE"/>
        </w:rPr>
        <w:t>Green</w:t>
      </w:r>
      <w:r w:rsidRPr="00BF7BD2">
        <w:rPr>
          <w:lang w:val="de-DE"/>
        </w:rPr>
        <w:t xml:space="preserve"> </w:t>
      </w:r>
      <w:r w:rsidRPr="00BF7BD2">
        <w:rPr>
          <w:b/>
          <w:bCs/>
          <w:lang w:val="de-DE"/>
        </w:rPr>
        <w:t>1</w:t>
      </w:r>
      <w:r w:rsidRPr="00BF7BD2">
        <w:rPr>
          <w:lang w:val="de-DE"/>
        </w:rPr>
        <w:t xml:space="preserve"> (2011).</w:t>
      </w:r>
      <w:bookmarkEnd w:id="17"/>
    </w:p>
    <w:p w14:paraId="11523419" w14:textId="39C2B716" w:rsidR="00D72C6B" w:rsidRPr="00BF7BD2" w:rsidRDefault="00D72C6B" w:rsidP="00D72C6B">
      <w:pPr>
        <w:pStyle w:val="Referenzen"/>
        <w:numPr>
          <w:ilvl w:val="0"/>
          <w:numId w:val="5"/>
        </w:numPr>
        <w:rPr>
          <w:lang w:val="de-DE"/>
        </w:rPr>
      </w:pPr>
      <w:bookmarkStart w:id="18" w:name="_Ref129342065"/>
      <w:r w:rsidRPr="00916CF9">
        <w:rPr>
          <w:lang w:val="de-DE"/>
        </w:rPr>
        <w:t>M.</w:t>
      </w:r>
      <w:r>
        <w:rPr>
          <w:lang w:val="de-DE"/>
        </w:rPr>
        <w:t xml:space="preserve"> </w:t>
      </w:r>
      <w:r w:rsidRPr="00916CF9">
        <w:rPr>
          <w:lang w:val="de-DE"/>
        </w:rPr>
        <w:t>B. Mogensen, M. Chen, H.</w:t>
      </w:r>
      <w:r>
        <w:rPr>
          <w:lang w:val="de-DE"/>
        </w:rPr>
        <w:t xml:space="preserve"> </w:t>
      </w:r>
      <w:r w:rsidRPr="00916CF9">
        <w:rPr>
          <w:lang w:val="de-DE"/>
        </w:rPr>
        <w:t>L. Frandsen, C. Graves, A. Hauch, P.</w:t>
      </w:r>
      <w:r>
        <w:rPr>
          <w:lang w:val="de-DE"/>
        </w:rPr>
        <w:t xml:space="preserve"> </w:t>
      </w:r>
      <w:r w:rsidRPr="00916CF9">
        <w:rPr>
          <w:lang w:val="de-DE"/>
        </w:rPr>
        <w:t>V. Hendriksen, T. Jacobsen, S.</w:t>
      </w:r>
      <w:r>
        <w:rPr>
          <w:lang w:val="de-DE"/>
        </w:rPr>
        <w:t xml:space="preserve"> </w:t>
      </w:r>
      <w:r w:rsidRPr="00916CF9">
        <w:rPr>
          <w:lang w:val="de-DE"/>
        </w:rPr>
        <w:t>H. Jensen, T.</w:t>
      </w:r>
      <w:r>
        <w:rPr>
          <w:lang w:val="de-DE"/>
        </w:rPr>
        <w:t xml:space="preserve"> </w:t>
      </w:r>
      <w:r w:rsidRPr="00916CF9">
        <w:rPr>
          <w:lang w:val="de-DE"/>
        </w:rPr>
        <w:t xml:space="preserve">L. Skafte, </w:t>
      </w:r>
      <w:r>
        <w:rPr>
          <w:lang w:val="de-DE"/>
        </w:rPr>
        <w:t>and</w:t>
      </w:r>
      <w:r w:rsidRPr="00D72C6B">
        <w:rPr>
          <w:lang w:val="de-DE"/>
        </w:rPr>
        <w:t xml:space="preserve"> </w:t>
      </w:r>
      <w:r w:rsidRPr="00916CF9">
        <w:rPr>
          <w:lang w:val="de-DE"/>
        </w:rPr>
        <w:t xml:space="preserve">X. Sun. </w:t>
      </w:r>
      <w:r w:rsidRPr="00BF7BD2">
        <w:rPr>
          <w:i/>
          <w:iCs/>
          <w:lang w:val="de-DE"/>
        </w:rPr>
        <w:t>Fuel Cells,</w:t>
      </w:r>
      <w:r w:rsidRPr="00BF7BD2">
        <w:rPr>
          <w:lang w:val="de-DE"/>
        </w:rPr>
        <w:t xml:space="preserve"> </w:t>
      </w:r>
      <w:r w:rsidRPr="00BF7BD2">
        <w:rPr>
          <w:b/>
          <w:bCs/>
          <w:lang w:val="de-DE"/>
        </w:rPr>
        <w:t>21</w:t>
      </w:r>
      <w:r w:rsidRPr="00BF7BD2">
        <w:rPr>
          <w:lang w:val="de-DE"/>
        </w:rPr>
        <w:t>(5), 10 (2020).</w:t>
      </w:r>
      <w:bookmarkEnd w:id="18"/>
    </w:p>
    <w:p w14:paraId="19A56C24" w14:textId="7DF6AC38" w:rsidR="00D72C6B" w:rsidRDefault="00D72C6B" w:rsidP="00D72C6B">
      <w:pPr>
        <w:pStyle w:val="Referenzen"/>
        <w:numPr>
          <w:ilvl w:val="0"/>
          <w:numId w:val="5"/>
        </w:numPr>
        <w:rPr>
          <w:lang w:val="en-US"/>
        </w:rPr>
      </w:pPr>
      <w:bookmarkStart w:id="19" w:name="_Ref129342099"/>
      <w:r w:rsidRPr="1E7D5397">
        <w:rPr>
          <w:lang w:val="en-US"/>
        </w:rPr>
        <w:t>P. Urchaga, T. Kadyk, S.</w:t>
      </w:r>
      <w:r>
        <w:rPr>
          <w:lang w:val="en-US"/>
        </w:rPr>
        <w:t xml:space="preserve"> </w:t>
      </w:r>
      <w:r w:rsidRPr="1E7D5397">
        <w:rPr>
          <w:lang w:val="en-US"/>
        </w:rPr>
        <w:t>G. Rinaldo, A.</w:t>
      </w:r>
      <w:r>
        <w:rPr>
          <w:lang w:val="en-US"/>
        </w:rPr>
        <w:t xml:space="preserve"> </w:t>
      </w:r>
      <w:r w:rsidRPr="1E7D5397">
        <w:rPr>
          <w:lang w:val="en-US"/>
        </w:rPr>
        <w:t xml:space="preserve">O. Pistonio, J. Hu, W. Lee, C. Richards, M.H. Eikerling, </w:t>
      </w:r>
      <w:r w:rsidRPr="00D72C6B">
        <w:rPr>
          <w:lang w:val="en-US"/>
        </w:rPr>
        <w:t xml:space="preserve">and </w:t>
      </w:r>
      <w:r w:rsidRPr="1E7D5397">
        <w:rPr>
          <w:lang w:val="en-US"/>
        </w:rPr>
        <w:t xml:space="preserve">C. Rice, </w:t>
      </w:r>
      <w:r w:rsidRPr="1E7D5397">
        <w:rPr>
          <w:i/>
          <w:iCs/>
          <w:lang w:val="en-US"/>
        </w:rPr>
        <w:t>Electrochimica Acta</w:t>
      </w:r>
      <w:r w:rsidRPr="1E7D5397">
        <w:rPr>
          <w:lang w:val="en-US"/>
        </w:rPr>
        <w:t xml:space="preserve">, </w:t>
      </w:r>
      <w:r w:rsidRPr="1E7D5397">
        <w:rPr>
          <w:b/>
          <w:bCs/>
          <w:lang w:val="en-US"/>
        </w:rPr>
        <w:t>176,</w:t>
      </w:r>
      <w:r w:rsidRPr="1E7D5397">
        <w:rPr>
          <w:lang w:val="en-US"/>
        </w:rPr>
        <w:t xml:space="preserve"> 1500–1510 (2015).</w:t>
      </w:r>
      <w:bookmarkEnd w:id="19"/>
    </w:p>
    <w:p w14:paraId="7A32585F" w14:textId="7A92E367" w:rsidR="00D72C6B" w:rsidRDefault="00D72C6B" w:rsidP="00D72C6B">
      <w:pPr>
        <w:pStyle w:val="Referenzen"/>
        <w:numPr>
          <w:ilvl w:val="0"/>
          <w:numId w:val="5"/>
        </w:numPr>
        <w:rPr>
          <w:lang w:val="en-US"/>
        </w:rPr>
      </w:pPr>
      <w:bookmarkStart w:id="20" w:name="_Ref129342118"/>
      <w:r w:rsidRPr="1E7D5397">
        <w:rPr>
          <w:lang w:val="en-US"/>
        </w:rPr>
        <w:t>D. Chen, Z. Lin, H. Zhu,</w:t>
      </w:r>
      <w:r w:rsidRPr="00D72C6B">
        <w:rPr>
          <w:lang w:val="en-US"/>
        </w:rPr>
        <w:t xml:space="preserve"> and</w:t>
      </w:r>
      <w:r w:rsidRPr="1E7D5397">
        <w:rPr>
          <w:lang w:val="en-US"/>
        </w:rPr>
        <w:t xml:space="preserve"> R.</w:t>
      </w:r>
      <w:r>
        <w:rPr>
          <w:lang w:val="en-US"/>
        </w:rPr>
        <w:t xml:space="preserve"> </w:t>
      </w:r>
      <w:r w:rsidRPr="1E7D5397">
        <w:rPr>
          <w:lang w:val="en-US"/>
        </w:rPr>
        <w:t xml:space="preserve">J. Kee, </w:t>
      </w:r>
      <w:r w:rsidRPr="1E7D5397">
        <w:rPr>
          <w:i/>
          <w:iCs/>
          <w:lang w:val="en-US"/>
        </w:rPr>
        <w:t>J</w:t>
      </w:r>
      <w:r>
        <w:rPr>
          <w:i/>
          <w:iCs/>
          <w:lang w:val="en-US"/>
        </w:rPr>
        <w:t>.</w:t>
      </w:r>
      <w:r w:rsidRPr="1E7D5397">
        <w:rPr>
          <w:i/>
          <w:iCs/>
          <w:lang w:val="en-US"/>
        </w:rPr>
        <w:t xml:space="preserve"> Power Sources,</w:t>
      </w:r>
      <w:r w:rsidRPr="1E7D5397">
        <w:rPr>
          <w:lang w:val="en-US"/>
        </w:rPr>
        <w:t xml:space="preserve"> </w:t>
      </w:r>
      <w:r w:rsidRPr="1E7D5397">
        <w:rPr>
          <w:b/>
          <w:bCs/>
          <w:lang w:val="en-US"/>
        </w:rPr>
        <w:t>191,</w:t>
      </w:r>
      <w:r w:rsidRPr="1E7D5397">
        <w:rPr>
          <w:lang w:val="en-US"/>
        </w:rPr>
        <w:t xml:space="preserve"> 240–252 (2009).</w:t>
      </w:r>
      <w:bookmarkEnd w:id="20"/>
    </w:p>
    <w:p w14:paraId="787536A9" w14:textId="509F60EA" w:rsidR="00D72C6B" w:rsidRDefault="00D72C6B" w:rsidP="00D72C6B">
      <w:pPr>
        <w:pStyle w:val="Referenzen"/>
        <w:numPr>
          <w:ilvl w:val="0"/>
          <w:numId w:val="5"/>
        </w:numPr>
        <w:rPr>
          <w:lang w:val="en-US"/>
        </w:rPr>
      </w:pPr>
      <w:bookmarkStart w:id="21" w:name="_Ref129342143"/>
      <w:r w:rsidRPr="1E7D5397">
        <w:rPr>
          <w:lang w:val="en-US"/>
        </w:rPr>
        <w:t>A.</w:t>
      </w:r>
      <w:r>
        <w:rPr>
          <w:lang w:val="en-US"/>
        </w:rPr>
        <w:t xml:space="preserve"> </w:t>
      </w:r>
      <w:r w:rsidRPr="1E7D5397">
        <w:rPr>
          <w:lang w:val="en-US"/>
        </w:rPr>
        <w:t xml:space="preserve">A. Kulikovsky, </w:t>
      </w:r>
      <w:r w:rsidRPr="1E7D5397">
        <w:rPr>
          <w:i/>
          <w:iCs/>
          <w:lang w:val="en-US"/>
        </w:rPr>
        <w:t>Electrochimica Acta</w:t>
      </w:r>
      <w:r w:rsidRPr="1E7D5397">
        <w:rPr>
          <w:lang w:val="en-US"/>
        </w:rPr>
        <w:t xml:space="preserve">, </w:t>
      </w:r>
      <w:r w:rsidRPr="1E7D5397">
        <w:rPr>
          <w:b/>
          <w:bCs/>
          <w:lang w:val="en-US"/>
        </w:rPr>
        <w:t>54,</w:t>
      </w:r>
      <w:r w:rsidRPr="1E7D5397">
        <w:rPr>
          <w:lang w:val="en-US"/>
        </w:rPr>
        <w:t xml:space="preserve"> 6686–6695 (2009).</w:t>
      </w:r>
      <w:bookmarkEnd w:id="21"/>
    </w:p>
    <w:p w14:paraId="43BEDEDD" w14:textId="72EFF4A4" w:rsidR="00D72C6B" w:rsidRPr="00BF7BD2" w:rsidRDefault="00D72C6B" w:rsidP="00D72C6B">
      <w:pPr>
        <w:pStyle w:val="Referenzen"/>
        <w:numPr>
          <w:ilvl w:val="0"/>
          <w:numId w:val="5"/>
        </w:numPr>
        <w:rPr>
          <w:lang w:val="de-DE"/>
        </w:rPr>
      </w:pPr>
      <w:bookmarkStart w:id="22" w:name="_Ref129863410"/>
      <w:r w:rsidRPr="00BF7BD2">
        <w:rPr>
          <w:lang w:val="de-DE"/>
        </w:rPr>
        <w:t>D. Schäfer, L. Queda, V. Nischwitz, Q. Fang,</w:t>
      </w:r>
      <w:r w:rsidRPr="00D72C6B">
        <w:rPr>
          <w:lang w:val="de-DE"/>
        </w:rPr>
        <w:t xml:space="preserve"> </w:t>
      </w:r>
      <w:r>
        <w:rPr>
          <w:lang w:val="de-DE"/>
        </w:rPr>
        <w:t>and</w:t>
      </w:r>
      <w:r w:rsidRPr="00BF7BD2">
        <w:rPr>
          <w:lang w:val="de-DE"/>
        </w:rPr>
        <w:t xml:space="preserve"> L. Blum, </w:t>
      </w:r>
      <w:r w:rsidRPr="00BF7BD2">
        <w:rPr>
          <w:i/>
          <w:iCs/>
          <w:lang w:val="de-DE"/>
        </w:rPr>
        <w:t>Processes</w:t>
      </w:r>
      <w:r w:rsidRPr="00BF7BD2">
        <w:rPr>
          <w:lang w:val="de-DE"/>
        </w:rPr>
        <w:t xml:space="preserve"> </w:t>
      </w:r>
      <w:r w:rsidRPr="00BF7BD2">
        <w:rPr>
          <w:b/>
          <w:bCs/>
          <w:lang w:val="de-DE"/>
        </w:rPr>
        <w:t>10</w:t>
      </w:r>
      <w:r>
        <w:rPr>
          <w:lang w:val="de-DE"/>
        </w:rPr>
        <w:t>(3)</w:t>
      </w:r>
      <w:r w:rsidRPr="00BF7BD2">
        <w:rPr>
          <w:lang w:val="de-DE"/>
        </w:rPr>
        <w:t>, 598</w:t>
      </w:r>
      <w:bookmarkEnd w:id="22"/>
      <w:r>
        <w:rPr>
          <w:lang w:val="de-DE"/>
        </w:rPr>
        <w:t xml:space="preserve"> (2022).</w:t>
      </w:r>
    </w:p>
    <w:p w14:paraId="0C78ACAA" w14:textId="702AEA37" w:rsidR="00D72C6B" w:rsidRPr="00E90FE7" w:rsidRDefault="00D72C6B" w:rsidP="00D72C6B">
      <w:pPr>
        <w:pStyle w:val="Referenzen"/>
        <w:numPr>
          <w:ilvl w:val="0"/>
          <w:numId w:val="5"/>
        </w:numPr>
        <w:rPr>
          <w:lang w:val="de-DE"/>
        </w:rPr>
      </w:pPr>
      <w:bookmarkStart w:id="23" w:name="_Ref129863936"/>
      <w:r w:rsidRPr="00E90FE7">
        <w:rPr>
          <w:lang w:val="de-DE"/>
        </w:rPr>
        <w:t xml:space="preserve">C. Lenser, J. Zurek, D. Naumenko, C. A Thieu, J. W. Son, U. de Haart, Q. Fang, L. Blum, and N. H. Menzler, </w:t>
      </w:r>
      <w:r w:rsidRPr="00E90FE7">
        <w:rPr>
          <w:i/>
          <w:iCs/>
          <w:lang w:val="de-DE"/>
        </w:rPr>
        <w:t>J. Power Sources</w:t>
      </w:r>
      <w:r w:rsidRPr="00E90FE7">
        <w:rPr>
          <w:lang w:val="de-DE"/>
        </w:rPr>
        <w:t xml:space="preserve"> 474, 228671 (2020)</w:t>
      </w:r>
      <w:bookmarkEnd w:id="23"/>
      <w:r w:rsidRPr="00E90FE7">
        <w:rPr>
          <w:lang w:val="de-DE"/>
        </w:rPr>
        <w:t>.</w:t>
      </w:r>
    </w:p>
    <w:p w14:paraId="0C84AA36" w14:textId="39682D4D" w:rsidR="00D72C6B" w:rsidRPr="00AF0D21" w:rsidRDefault="00D72C6B" w:rsidP="00D72C6B">
      <w:pPr>
        <w:pStyle w:val="Referenzen"/>
        <w:numPr>
          <w:ilvl w:val="0"/>
          <w:numId w:val="5"/>
        </w:numPr>
        <w:rPr>
          <w:lang w:val="en-US"/>
        </w:rPr>
      </w:pPr>
      <w:bookmarkStart w:id="24" w:name="_Ref129864332"/>
      <w:r w:rsidRPr="00690D3D">
        <w:rPr>
          <w:lang w:val="en-US"/>
        </w:rPr>
        <w:t>N. H. Menzler</w:t>
      </w:r>
      <w:r w:rsidRPr="7C064ABD">
        <w:t>, D.</w:t>
      </w:r>
      <w:r>
        <w:t xml:space="preserve"> </w:t>
      </w:r>
      <w:r w:rsidRPr="7C064ABD">
        <w:t>Sebold</w:t>
      </w:r>
      <w:r>
        <w:t>,</w:t>
      </w:r>
      <w:r w:rsidRPr="7C064ABD">
        <w:t xml:space="preserve"> Y.</w:t>
      </w:r>
      <w:r>
        <w:t xml:space="preserve"> </w:t>
      </w:r>
      <w:r w:rsidRPr="7C064ABD">
        <w:t>J. Sohn</w:t>
      </w:r>
      <w:r>
        <w:t>,</w:t>
      </w:r>
      <w:r w:rsidRPr="7C064ABD">
        <w:t xml:space="preserve"> </w:t>
      </w:r>
      <w:r w:rsidRPr="00D72C6B">
        <w:rPr>
          <w:lang w:val="en-US"/>
        </w:rPr>
        <w:t xml:space="preserve">and </w:t>
      </w:r>
      <w:r w:rsidRPr="7C064ABD">
        <w:t>S. Zischke</w:t>
      </w:r>
      <w:r>
        <w:t>,</w:t>
      </w:r>
      <w:r w:rsidRPr="7C064ABD">
        <w:t xml:space="preserve"> </w:t>
      </w:r>
      <w:r w:rsidRPr="00690D3D">
        <w:rPr>
          <w:i/>
          <w:iCs/>
        </w:rPr>
        <w:t>J. Power Sources</w:t>
      </w:r>
      <w:r w:rsidRPr="7C064ABD">
        <w:t xml:space="preserve"> 478</w:t>
      </w:r>
      <w:r>
        <w:t>,</w:t>
      </w:r>
      <w:r w:rsidRPr="7C064ABD">
        <w:t xml:space="preserve"> 228770 (2020)</w:t>
      </w:r>
      <w:bookmarkEnd w:id="8"/>
      <w:bookmarkEnd w:id="24"/>
      <w:r>
        <w:t>.</w:t>
      </w:r>
    </w:p>
    <w:p w14:paraId="588292C9" w14:textId="5FDB6EF3" w:rsidR="00D72C6B" w:rsidRPr="00E54659" w:rsidRDefault="00D72C6B" w:rsidP="00D72C6B">
      <w:pPr>
        <w:pStyle w:val="Referenzen"/>
        <w:numPr>
          <w:ilvl w:val="0"/>
          <w:numId w:val="5"/>
        </w:numPr>
      </w:pPr>
      <w:bookmarkStart w:id="25" w:name="_Ref129610921"/>
      <w:r>
        <w:t xml:space="preserve">C. </w:t>
      </w:r>
      <w:r w:rsidRPr="7C064ABD">
        <w:t xml:space="preserve">Dellen, </w:t>
      </w:r>
      <w:r>
        <w:t xml:space="preserve">S. </w:t>
      </w:r>
      <w:r w:rsidRPr="7C064ABD">
        <w:t>Tardif, R.</w:t>
      </w:r>
      <w:r>
        <w:t xml:space="preserve"> </w:t>
      </w:r>
      <w:r w:rsidRPr="7C064ABD">
        <w:t>R.</w:t>
      </w:r>
      <w:r>
        <w:t xml:space="preserve"> </w:t>
      </w:r>
      <w:r w:rsidRPr="7C064ABD">
        <w:t>P.</w:t>
      </w:r>
      <w:r>
        <w:t xml:space="preserve"> </w:t>
      </w:r>
      <w:r w:rsidRPr="7C064ABD">
        <w:t>P.</w:t>
      </w:r>
      <w:r>
        <w:t xml:space="preserve"> </w:t>
      </w:r>
      <w:r w:rsidRPr="7C064ABD">
        <w:t>R</w:t>
      </w:r>
      <w:r>
        <w:t>.</w:t>
      </w:r>
      <w:r w:rsidRPr="7C064ABD">
        <w:t xml:space="preserve"> Purohit, J.-S</w:t>
      </w:r>
      <w:r>
        <w:t>.</w:t>
      </w:r>
      <w:r w:rsidRPr="7C064ABD">
        <w:t xml:space="preserve"> Micha, </w:t>
      </w:r>
      <w:r>
        <w:t xml:space="preserve">O. </w:t>
      </w:r>
      <w:r w:rsidRPr="7C064ABD">
        <w:t xml:space="preserve">Guillon, </w:t>
      </w:r>
      <w:r w:rsidRPr="00D72C6B">
        <w:rPr>
          <w:lang w:val="en-US"/>
        </w:rPr>
        <w:t xml:space="preserve">and </w:t>
      </w:r>
      <w:r>
        <w:t xml:space="preserve">N. H. </w:t>
      </w:r>
      <w:r w:rsidRPr="7C064ABD">
        <w:t>Menzler</w:t>
      </w:r>
      <w:bookmarkEnd w:id="25"/>
      <w:r>
        <w:t xml:space="preserve">, </w:t>
      </w:r>
      <w:r w:rsidRPr="00E90FE7">
        <w:rPr>
          <w:i/>
          <w:iCs/>
          <w:lang w:val="nl"/>
        </w:rPr>
        <w:t>ECS Trans.</w:t>
      </w:r>
      <w:r w:rsidRPr="00E90FE7">
        <w:rPr>
          <w:lang w:val="nl"/>
        </w:rPr>
        <w:t xml:space="preserve"> </w:t>
      </w:r>
      <w:r w:rsidRPr="00995ADD">
        <w:rPr>
          <w:lang w:val="nl"/>
        </w:rPr>
        <w:t>This issue (2023)</w:t>
      </w:r>
      <w:r>
        <w:rPr>
          <w:lang w:val="nl"/>
        </w:rPr>
        <w:t>.</w:t>
      </w:r>
    </w:p>
    <w:p w14:paraId="003C473C" w14:textId="53CDAA80" w:rsidR="00E54659" w:rsidRDefault="00E54659" w:rsidP="00D72C6B">
      <w:pPr>
        <w:pStyle w:val="Referenzen"/>
        <w:numPr>
          <w:ilvl w:val="0"/>
          <w:numId w:val="5"/>
        </w:numPr>
      </w:pPr>
      <w:bookmarkStart w:id="26" w:name="_Ref129870689"/>
      <w:r w:rsidRPr="0050479E">
        <w:rPr>
          <w:lang w:val="de-DE"/>
        </w:rPr>
        <w:t>S.</w:t>
      </w:r>
      <w:r>
        <w:rPr>
          <w:lang w:val="de-DE"/>
        </w:rPr>
        <w:t xml:space="preserve"> </w:t>
      </w:r>
      <w:r w:rsidRPr="0050479E">
        <w:rPr>
          <w:lang w:val="de-DE"/>
        </w:rPr>
        <w:t>M. Gross-B</w:t>
      </w:r>
      <w:r w:rsidRPr="00F328A6">
        <w:rPr>
          <w:lang w:val="de-DE"/>
        </w:rPr>
        <w:t>ar</w:t>
      </w:r>
      <w:r w:rsidRPr="0050479E">
        <w:rPr>
          <w:lang w:val="de-DE"/>
        </w:rPr>
        <w:t>snick, J. Ma</w:t>
      </w:r>
      <w:r>
        <w:rPr>
          <w:lang w:val="de-DE"/>
        </w:rPr>
        <w:t xml:space="preserve">lzbender, Q. Fang. </w:t>
      </w:r>
      <w:r w:rsidRPr="00E54659">
        <w:rPr>
          <w:i/>
          <w:iCs/>
          <w:lang w:val="de-DE"/>
        </w:rPr>
        <w:t xml:space="preserve">ECS </w:t>
      </w:r>
      <w:r w:rsidR="00E90FE7" w:rsidRPr="00E54659">
        <w:rPr>
          <w:i/>
          <w:iCs/>
          <w:lang w:val="de-DE"/>
        </w:rPr>
        <w:t>Trans</w:t>
      </w:r>
      <w:r w:rsidR="00E90FE7">
        <w:rPr>
          <w:i/>
          <w:iCs/>
          <w:lang w:val="de-DE"/>
        </w:rPr>
        <w:t>.</w:t>
      </w:r>
      <w:r w:rsidR="00E90FE7">
        <w:rPr>
          <w:lang w:val="de-DE"/>
        </w:rPr>
        <w:t xml:space="preserve"> </w:t>
      </w:r>
      <w:r w:rsidRPr="0050479E">
        <w:rPr>
          <w:b/>
          <w:lang w:val="de-DE"/>
        </w:rPr>
        <w:t>103</w:t>
      </w:r>
      <w:r>
        <w:rPr>
          <w:lang w:val="de-DE"/>
        </w:rPr>
        <w:t>, 1859 (2021).</w:t>
      </w:r>
      <w:bookmarkEnd w:id="26"/>
    </w:p>
    <w:p w14:paraId="24461990" w14:textId="20D54834" w:rsidR="00D72C6B" w:rsidRDefault="00D72C6B" w:rsidP="00D72C6B">
      <w:pPr>
        <w:pStyle w:val="Referenzen"/>
        <w:numPr>
          <w:ilvl w:val="0"/>
          <w:numId w:val="5"/>
        </w:numPr>
      </w:pPr>
      <w:bookmarkStart w:id="27" w:name="_Ref129610929"/>
      <w:r>
        <w:t xml:space="preserve">S. </w:t>
      </w:r>
      <w:r w:rsidRPr="7C064ABD">
        <w:t xml:space="preserve">Sarner, </w:t>
      </w:r>
      <w:r>
        <w:t xml:space="preserve">A. </w:t>
      </w:r>
      <w:r w:rsidRPr="7C064ABD">
        <w:t xml:space="preserve">Schreiber, </w:t>
      </w:r>
      <w:r>
        <w:t xml:space="preserve">N. H. </w:t>
      </w:r>
      <w:r w:rsidRPr="7C064ABD">
        <w:t xml:space="preserve">Menzler, </w:t>
      </w:r>
      <w:r w:rsidRPr="00D72C6B">
        <w:rPr>
          <w:lang w:val="en-US"/>
        </w:rPr>
        <w:t xml:space="preserve">and </w:t>
      </w:r>
      <w:r>
        <w:t xml:space="preserve">O. </w:t>
      </w:r>
      <w:r w:rsidRPr="7C064ABD">
        <w:t>Guillon</w:t>
      </w:r>
      <w:r>
        <w:t>,</w:t>
      </w:r>
      <w:r w:rsidRPr="7C064ABD">
        <w:t xml:space="preserve"> </w:t>
      </w:r>
      <w:r w:rsidRPr="00690D3D">
        <w:rPr>
          <w:i/>
          <w:iCs/>
        </w:rPr>
        <w:t>Advanced Energy Materials</w:t>
      </w:r>
      <w:r w:rsidRPr="7C064ABD">
        <w:t xml:space="preserve"> 12</w:t>
      </w:r>
      <w:r>
        <w:t xml:space="preserve">, </w:t>
      </w:r>
      <w:r w:rsidRPr="7C064ABD">
        <w:t>2201805 (1-19) (2022)</w:t>
      </w:r>
      <w:r>
        <w:t>.</w:t>
      </w:r>
      <w:r w:rsidRPr="7C064ABD">
        <w:t xml:space="preserve"> </w:t>
      </w:r>
      <w:bookmarkEnd w:id="27"/>
    </w:p>
    <w:p w14:paraId="304F7C69" w14:textId="72A1AD06" w:rsidR="00D72C6B" w:rsidRDefault="00D72C6B" w:rsidP="00D72C6B">
      <w:pPr>
        <w:pStyle w:val="Referenzen"/>
        <w:numPr>
          <w:ilvl w:val="0"/>
          <w:numId w:val="5"/>
        </w:numPr>
      </w:pPr>
      <w:bookmarkStart w:id="28" w:name="_Ref129610935"/>
      <w:r w:rsidRPr="00D72C6B">
        <w:rPr>
          <w:lang w:val="en-US"/>
        </w:rPr>
        <w:t xml:space="preserve">S. Sarner, N. H. Menzler, A. </w:t>
      </w:r>
      <w:r w:rsidRPr="7C064ABD">
        <w:t>Hilgers,</w:t>
      </w:r>
      <w:r w:rsidRPr="00D72C6B">
        <w:rPr>
          <w:lang w:val="en-US"/>
        </w:rPr>
        <w:t xml:space="preserve"> and</w:t>
      </w:r>
      <w:r w:rsidRPr="7C064ABD">
        <w:t xml:space="preserve"> </w:t>
      </w:r>
      <w:r>
        <w:t xml:space="preserve">O. </w:t>
      </w:r>
      <w:r w:rsidRPr="7C064ABD">
        <w:t>Guillon</w:t>
      </w:r>
      <w:r>
        <w:t>,</w:t>
      </w:r>
      <w:r w:rsidRPr="7C064ABD">
        <w:t xml:space="preserve"> </w:t>
      </w:r>
      <w:bookmarkEnd w:id="28"/>
      <w:r w:rsidRPr="00E90FE7">
        <w:rPr>
          <w:i/>
          <w:iCs/>
          <w:lang w:val="nl"/>
        </w:rPr>
        <w:t>ECS Trans.</w:t>
      </w:r>
      <w:r w:rsidRPr="00E90FE7">
        <w:rPr>
          <w:lang w:val="nl"/>
        </w:rPr>
        <w:t xml:space="preserve"> </w:t>
      </w:r>
      <w:r w:rsidRPr="00995ADD">
        <w:rPr>
          <w:lang w:val="nl"/>
        </w:rPr>
        <w:t>This issue (2023)</w:t>
      </w:r>
      <w:r>
        <w:rPr>
          <w:lang w:val="nl"/>
        </w:rPr>
        <w:t>.</w:t>
      </w:r>
    </w:p>
    <w:p w14:paraId="74648C7A" w14:textId="5944DCA7" w:rsidR="00D72C6B" w:rsidRPr="00E35B51" w:rsidRDefault="00D72C6B" w:rsidP="00D72C6B">
      <w:pPr>
        <w:pStyle w:val="Referenzen"/>
        <w:numPr>
          <w:ilvl w:val="0"/>
          <w:numId w:val="5"/>
        </w:numPr>
        <w:rPr>
          <w:lang w:val="en-US"/>
        </w:rPr>
      </w:pPr>
      <w:bookmarkStart w:id="29" w:name="_Ref128575401"/>
      <w:r w:rsidRPr="00FA63B9">
        <w:t xml:space="preserve">R. Peters, M. Frank, W. Tiedemann, I. Hoven, R. Deja, N. Kruse, Q. Fang, L. Blum and R. Peters, </w:t>
      </w:r>
      <w:r>
        <w:rPr>
          <w:i/>
        </w:rPr>
        <w:t>J.</w:t>
      </w:r>
      <w:r w:rsidRPr="00FA63B9">
        <w:rPr>
          <w:i/>
        </w:rPr>
        <w:t xml:space="preserve"> Electrochem</w:t>
      </w:r>
      <w:r>
        <w:rPr>
          <w:i/>
        </w:rPr>
        <w:t>.</w:t>
      </w:r>
      <w:r w:rsidRPr="00FA63B9">
        <w:rPr>
          <w:i/>
        </w:rPr>
        <w:t xml:space="preserve"> </w:t>
      </w:r>
      <w:r w:rsidR="00E90FE7" w:rsidRPr="00FA63B9">
        <w:rPr>
          <w:i/>
        </w:rPr>
        <w:t>Soc</w:t>
      </w:r>
      <w:r w:rsidR="00E90FE7">
        <w:rPr>
          <w:i/>
        </w:rPr>
        <w:t>.</w:t>
      </w:r>
      <w:r w:rsidR="00E90FE7" w:rsidRPr="00FA63B9">
        <w:t xml:space="preserve"> </w:t>
      </w:r>
      <w:r w:rsidRPr="00FA63B9">
        <w:t>(2021).</w:t>
      </w:r>
      <w:bookmarkEnd w:id="29"/>
    </w:p>
    <w:p w14:paraId="506E1756" w14:textId="28E1C63F" w:rsidR="00D72C6B" w:rsidRPr="00E35B51" w:rsidRDefault="00D72C6B" w:rsidP="00D72C6B">
      <w:pPr>
        <w:pStyle w:val="Referenzen"/>
        <w:numPr>
          <w:ilvl w:val="0"/>
          <w:numId w:val="5"/>
        </w:numPr>
        <w:rPr>
          <w:lang w:val="en-US"/>
        </w:rPr>
      </w:pPr>
      <w:bookmarkStart w:id="30" w:name="_Ref128575424"/>
      <w:r w:rsidRPr="00FA63B9">
        <w:t xml:space="preserve">R. Peters, W. Tiedemann, I. Hoven, R. Deja, N. Kruse, Q. Fang, L. Blum and R. Peters, </w:t>
      </w:r>
      <w:r w:rsidRPr="00FA63B9">
        <w:rPr>
          <w:i/>
        </w:rPr>
        <w:t>ECS Trans</w:t>
      </w:r>
      <w:r w:rsidR="00E90FE7">
        <w:rPr>
          <w:i/>
        </w:rPr>
        <w:t>.</w:t>
      </w:r>
      <w:r w:rsidRPr="00FA63B9">
        <w:t xml:space="preserve"> </w:t>
      </w:r>
      <w:r w:rsidRPr="00FA63B9">
        <w:rPr>
          <w:b/>
        </w:rPr>
        <w:t>103</w:t>
      </w:r>
      <w:r w:rsidRPr="00FA63B9">
        <w:t>, 289 (2021).</w:t>
      </w:r>
      <w:bookmarkEnd w:id="30"/>
    </w:p>
    <w:p w14:paraId="5ADA3B33" w14:textId="683645BE" w:rsidR="00D72C6B" w:rsidRPr="0079184E" w:rsidRDefault="00D72C6B" w:rsidP="0079184E">
      <w:pPr>
        <w:pStyle w:val="Referenzen"/>
        <w:numPr>
          <w:ilvl w:val="0"/>
          <w:numId w:val="5"/>
        </w:numPr>
        <w:rPr>
          <w:lang w:val="en-US"/>
        </w:rPr>
      </w:pPr>
      <w:bookmarkStart w:id="31" w:name="_Ref128575433"/>
      <w:r>
        <w:t xml:space="preserve">N. Kruse, W. Tiedemann, I. Hoven, R. Deja, R. Peters, L. Blum and R. Peters, </w:t>
      </w:r>
      <w:r w:rsidRPr="1E7D5397">
        <w:rPr>
          <w:i/>
          <w:iCs/>
        </w:rPr>
        <w:t>ECS Trans</w:t>
      </w:r>
      <w:r w:rsidR="00E90FE7">
        <w:rPr>
          <w:i/>
          <w:iCs/>
        </w:rPr>
        <w:t>.</w:t>
      </w:r>
      <w:r>
        <w:t xml:space="preserve"> </w:t>
      </w:r>
      <w:r w:rsidRPr="1E7D5397">
        <w:rPr>
          <w:b/>
          <w:bCs/>
        </w:rPr>
        <w:t>103</w:t>
      </w:r>
      <w:r>
        <w:t>, 555 (2021).</w:t>
      </w:r>
      <w:bookmarkEnd w:id="31"/>
    </w:p>
    <w:sectPr w:rsidR="00D72C6B" w:rsidRPr="0079184E" w:rsidSect="00F173D4">
      <w:headerReference w:type="even" r:id="rId11"/>
      <w:headerReference w:type="default" r:id="rId12"/>
      <w:footerReference w:type="even" r:id="rId13"/>
      <w:footerReference w:type="default" r:id="rId14"/>
      <w:headerReference w:type="first" r:id="rId15"/>
      <w:footerReference w:type="first" r:id="rId16"/>
      <w:pgSz w:w="12240" w:h="15840"/>
      <w:pgMar w:top="1080" w:right="180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3F11D" w14:textId="77777777" w:rsidR="007266C4" w:rsidRDefault="007266C4" w:rsidP="00757A83">
      <w:r>
        <w:separator/>
      </w:r>
    </w:p>
  </w:endnote>
  <w:endnote w:type="continuationSeparator" w:id="0">
    <w:p w14:paraId="6FCD06AE" w14:textId="77777777" w:rsidR="007266C4" w:rsidRDefault="007266C4" w:rsidP="0075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1A73" w14:textId="77777777" w:rsidR="00757A83" w:rsidRDefault="00757A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532F" w14:textId="77777777" w:rsidR="00757A83" w:rsidRDefault="00757A8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CCB8" w14:textId="77777777" w:rsidR="00757A83" w:rsidRDefault="00757A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80BEB" w14:textId="77777777" w:rsidR="007266C4" w:rsidRDefault="007266C4" w:rsidP="00757A83">
      <w:r>
        <w:separator/>
      </w:r>
    </w:p>
  </w:footnote>
  <w:footnote w:type="continuationSeparator" w:id="0">
    <w:p w14:paraId="6D3FC087" w14:textId="77777777" w:rsidR="007266C4" w:rsidRDefault="007266C4" w:rsidP="00757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1828" w14:textId="77777777" w:rsidR="00757A83" w:rsidRDefault="00757A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E3D1" w14:textId="77777777" w:rsidR="00757A83" w:rsidRDefault="00757A8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C593" w14:textId="77777777" w:rsidR="00757A83" w:rsidRDefault="00757A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8E8DCC"/>
    <w:lvl w:ilvl="0">
      <w:start w:val="1"/>
      <w:numFmt w:val="decimal"/>
      <w:pStyle w:val="Listennummer"/>
      <w:lvlText w:val="%1."/>
      <w:lvlJc w:val="left"/>
      <w:pPr>
        <w:tabs>
          <w:tab w:val="num" w:pos="360"/>
        </w:tabs>
        <w:ind w:left="360" w:hanging="360"/>
      </w:pPr>
      <w:rPr>
        <w:rFonts w:cs="Times New Roman"/>
      </w:rPr>
    </w:lvl>
  </w:abstractNum>
  <w:abstractNum w:abstractNumId="1" w15:restartNumberingAfterBreak="0">
    <w:nsid w:val="08D630DD"/>
    <w:multiLevelType w:val="hybridMultilevel"/>
    <w:tmpl w:val="8676EEAC"/>
    <w:lvl w:ilvl="0" w:tplc="04090001">
      <w:start w:val="1"/>
      <w:numFmt w:val="bullet"/>
      <w:pStyle w:val="Reference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604A1"/>
    <w:multiLevelType w:val="hybridMultilevel"/>
    <w:tmpl w:val="E1B8DC9C"/>
    <w:lvl w:ilvl="0" w:tplc="71FA22EC">
      <w:start w:val="1"/>
      <w:numFmt w:val="decimal"/>
      <w:lvlText w:val="%1."/>
      <w:lvlJc w:val="left"/>
      <w:pPr>
        <w:tabs>
          <w:tab w:val="num" w:pos="720"/>
        </w:tabs>
        <w:ind w:left="720" w:hanging="360"/>
      </w:pPr>
      <w:rPr>
        <w:rFonts w:cs="Times New Roman"/>
      </w:rPr>
    </w:lvl>
    <w:lvl w:ilvl="1" w:tplc="92D2061C">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B1B476D"/>
    <w:multiLevelType w:val="hybridMultilevel"/>
    <w:tmpl w:val="0F6ACCE8"/>
    <w:lvl w:ilvl="0" w:tplc="5F001A80">
      <w:numFmt w:val="bullet"/>
      <w:lvlText w:val="-"/>
      <w:lvlJc w:val="left"/>
      <w:pPr>
        <w:ind w:left="720" w:hanging="360"/>
      </w:pPr>
      <w:rPr>
        <w:rFonts w:ascii="Arial" w:eastAsia="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5A59D9"/>
    <w:multiLevelType w:val="hybridMultilevel"/>
    <w:tmpl w:val="92041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FFFF53"/>
    <w:multiLevelType w:val="hybridMultilevel"/>
    <w:tmpl w:val="D25EFFB0"/>
    <w:lvl w:ilvl="0" w:tplc="A012697A">
      <w:start w:val="1"/>
      <w:numFmt w:val="bullet"/>
      <w:lvlText w:val="·"/>
      <w:lvlJc w:val="left"/>
      <w:pPr>
        <w:ind w:left="360" w:hanging="360"/>
      </w:pPr>
      <w:rPr>
        <w:rFonts w:ascii="Symbol" w:hAnsi="Symbol" w:hint="default"/>
      </w:rPr>
    </w:lvl>
    <w:lvl w:ilvl="1" w:tplc="D40A1E04">
      <w:start w:val="1"/>
      <w:numFmt w:val="bullet"/>
      <w:lvlText w:val="o"/>
      <w:lvlJc w:val="left"/>
      <w:pPr>
        <w:ind w:left="1080" w:hanging="360"/>
      </w:pPr>
      <w:rPr>
        <w:rFonts w:ascii="Courier New" w:hAnsi="Courier New" w:hint="default"/>
      </w:rPr>
    </w:lvl>
    <w:lvl w:ilvl="2" w:tplc="E496CBDA">
      <w:start w:val="1"/>
      <w:numFmt w:val="bullet"/>
      <w:lvlText w:val=""/>
      <w:lvlJc w:val="left"/>
      <w:pPr>
        <w:ind w:left="1800" w:hanging="360"/>
      </w:pPr>
      <w:rPr>
        <w:rFonts w:ascii="Wingdings" w:hAnsi="Wingdings" w:hint="default"/>
      </w:rPr>
    </w:lvl>
    <w:lvl w:ilvl="3" w:tplc="0B2A9F7C">
      <w:start w:val="1"/>
      <w:numFmt w:val="bullet"/>
      <w:lvlText w:val=""/>
      <w:lvlJc w:val="left"/>
      <w:pPr>
        <w:ind w:left="2520" w:hanging="360"/>
      </w:pPr>
      <w:rPr>
        <w:rFonts w:ascii="Symbol" w:hAnsi="Symbol" w:hint="default"/>
      </w:rPr>
    </w:lvl>
    <w:lvl w:ilvl="4" w:tplc="02F6069A">
      <w:start w:val="1"/>
      <w:numFmt w:val="bullet"/>
      <w:lvlText w:val="o"/>
      <w:lvlJc w:val="left"/>
      <w:pPr>
        <w:ind w:left="3240" w:hanging="360"/>
      </w:pPr>
      <w:rPr>
        <w:rFonts w:ascii="Courier New" w:hAnsi="Courier New" w:hint="default"/>
      </w:rPr>
    </w:lvl>
    <w:lvl w:ilvl="5" w:tplc="9E106F88">
      <w:start w:val="1"/>
      <w:numFmt w:val="bullet"/>
      <w:lvlText w:val=""/>
      <w:lvlJc w:val="left"/>
      <w:pPr>
        <w:ind w:left="3960" w:hanging="360"/>
      </w:pPr>
      <w:rPr>
        <w:rFonts w:ascii="Wingdings" w:hAnsi="Wingdings" w:hint="default"/>
      </w:rPr>
    </w:lvl>
    <w:lvl w:ilvl="6" w:tplc="10C4718E">
      <w:start w:val="1"/>
      <w:numFmt w:val="bullet"/>
      <w:lvlText w:val=""/>
      <w:lvlJc w:val="left"/>
      <w:pPr>
        <w:ind w:left="4680" w:hanging="360"/>
      </w:pPr>
      <w:rPr>
        <w:rFonts w:ascii="Symbol" w:hAnsi="Symbol" w:hint="default"/>
      </w:rPr>
    </w:lvl>
    <w:lvl w:ilvl="7" w:tplc="C53AF974">
      <w:start w:val="1"/>
      <w:numFmt w:val="bullet"/>
      <w:lvlText w:val="o"/>
      <w:lvlJc w:val="left"/>
      <w:pPr>
        <w:ind w:left="5400" w:hanging="360"/>
      </w:pPr>
      <w:rPr>
        <w:rFonts w:ascii="Courier New" w:hAnsi="Courier New" w:hint="default"/>
      </w:rPr>
    </w:lvl>
    <w:lvl w:ilvl="8" w:tplc="690A3CB8">
      <w:start w:val="1"/>
      <w:numFmt w:val="bullet"/>
      <w:lvlText w:val=""/>
      <w:lvlJc w:val="left"/>
      <w:pPr>
        <w:ind w:left="6120" w:hanging="360"/>
      </w:pPr>
      <w:rPr>
        <w:rFonts w:ascii="Wingdings" w:hAnsi="Wingdings" w:hint="default"/>
      </w:rPr>
    </w:lvl>
  </w:abstractNum>
  <w:abstractNum w:abstractNumId="6" w15:restartNumberingAfterBreak="0">
    <w:nsid w:val="5AF83101"/>
    <w:multiLevelType w:val="multilevel"/>
    <w:tmpl w:val="D9149330"/>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70E433F6"/>
    <w:multiLevelType w:val="hybridMultilevel"/>
    <w:tmpl w:val="2CE6D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AD19AD"/>
    <w:multiLevelType w:val="hybridMultilevel"/>
    <w:tmpl w:val="4CB4E62A"/>
    <w:lvl w:ilvl="0" w:tplc="EDE4F69E">
      <w:start w:val="1"/>
      <w:numFmt w:val="decimal"/>
      <w:pStyle w:val="Referenzen"/>
      <w:lvlText w:val="%1."/>
      <w:lvlJc w:val="left"/>
      <w:pPr>
        <w:ind w:left="360" w:hanging="360"/>
      </w:pPr>
      <w:rPr>
        <w:rFonts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EDB627D"/>
    <w:multiLevelType w:val="hybridMultilevel"/>
    <w:tmpl w:val="1BA60CF6"/>
    <w:lvl w:ilvl="0" w:tplc="B650B542">
      <w:start w:val="1"/>
      <w:numFmt w:val="bullet"/>
      <w:lvlText w:val="▪"/>
      <w:lvlJc w:val="left"/>
      <w:pPr>
        <w:ind w:left="720" w:hanging="360"/>
      </w:pPr>
      <w:rPr>
        <w:rFonts w:ascii="MS Gothic" w:eastAsia="MS Gothic" w:hAnsi="MS Gothic" w:hint="eastAsia"/>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15212">
    <w:abstractNumId w:val="0"/>
  </w:num>
  <w:num w:numId="2" w16cid:durableId="969675281">
    <w:abstractNumId w:val="7"/>
  </w:num>
  <w:num w:numId="3" w16cid:durableId="12535396">
    <w:abstractNumId w:val="4"/>
  </w:num>
  <w:num w:numId="4" w16cid:durableId="502862796">
    <w:abstractNumId w:val="1"/>
  </w:num>
  <w:num w:numId="5" w16cid:durableId="1062369428">
    <w:abstractNumId w:val="2"/>
  </w:num>
  <w:num w:numId="6" w16cid:durableId="1348169189">
    <w:abstractNumId w:val="6"/>
  </w:num>
  <w:num w:numId="7" w16cid:durableId="509179388">
    <w:abstractNumId w:val="0"/>
  </w:num>
  <w:num w:numId="8" w16cid:durableId="112213116">
    <w:abstractNumId w:val="9"/>
  </w:num>
  <w:num w:numId="9" w16cid:durableId="1068964549">
    <w:abstractNumId w:val="3"/>
  </w:num>
  <w:num w:numId="10" w16cid:durableId="2046830299">
    <w:abstractNumId w:val="8"/>
  </w:num>
  <w:num w:numId="11" w16cid:durableId="17740155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2BF"/>
    <w:rsid w:val="00000CC0"/>
    <w:rsid w:val="00012A03"/>
    <w:rsid w:val="00015D64"/>
    <w:rsid w:val="0002447B"/>
    <w:rsid w:val="000508DA"/>
    <w:rsid w:val="00053CA1"/>
    <w:rsid w:val="00076089"/>
    <w:rsid w:val="00087725"/>
    <w:rsid w:val="000A4D46"/>
    <w:rsid w:val="000C35B8"/>
    <w:rsid w:val="000F188C"/>
    <w:rsid w:val="00152218"/>
    <w:rsid w:val="00191E3F"/>
    <w:rsid w:val="001B6180"/>
    <w:rsid w:val="00221297"/>
    <w:rsid w:val="00225714"/>
    <w:rsid w:val="00251338"/>
    <w:rsid w:val="002865FF"/>
    <w:rsid w:val="002D5278"/>
    <w:rsid w:val="00310E12"/>
    <w:rsid w:val="00334B6A"/>
    <w:rsid w:val="00386BA7"/>
    <w:rsid w:val="003B220C"/>
    <w:rsid w:val="00420D80"/>
    <w:rsid w:val="00443F2C"/>
    <w:rsid w:val="004533CE"/>
    <w:rsid w:val="00486F1B"/>
    <w:rsid w:val="0052374D"/>
    <w:rsid w:val="0055011B"/>
    <w:rsid w:val="005536E8"/>
    <w:rsid w:val="005A3F56"/>
    <w:rsid w:val="005E460D"/>
    <w:rsid w:val="0061246C"/>
    <w:rsid w:val="006142B8"/>
    <w:rsid w:val="0065018B"/>
    <w:rsid w:val="00666BE2"/>
    <w:rsid w:val="00690D3D"/>
    <w:rsid w:val="006C1DF1"/>
    <w:rsid w:val="006C3E3E"/>
    <w:rsid w:val="006C3FD0"/>
    <w:rsid w:val="006D4402"/>
    <w:rsid w:val="006E24BC"/>
    <w:rsid w:val="007042A1"/>
    <w:rsid w:val="007266C4"/>
    <w:rsid w:val="00741095"/>
    <w:rsid w:val="0075006F"/>
    <w:rsid w:val="0075774E"/>
    <w:rsid w:val="00757A83"/>
    <w:rsid w:val="00790A1E"/>
    <w:rsid w:val="0079184E"/>
    <w:rsid w:val="00791AEF"/>
    <w:rsid w:val="007C285B"/>
    <w:rsid w:val="008541AF"/>
    <w:rsid w:val="0089634E"/>
    <w:rsid w:val="008E1899"/>
    <w:rsid w:val="008F3AA7"/>
    <w:rsid w:val="00900C50"/>
    <w:rsid w:val="00902133"/>
    <w:rsid w:val="0092519E"/>
    <w:rsid w:val="00932852"/>
    <w:rsid w:val="00943FDB"/>
    <w:rsid w:val="0096685E"/>
    <w:rsid w:val="00992AD6"/>
    <w:rsid w:val="00A17D42"/>
    <w:rsid w:val="00AA1DDA"/>
    <w:rsid w:val="00AA443B"/>
    <w:rsid w:val="00AB2510"/>
    <w:rsid w:val="00AF7382"/>
    <w:rsid w:val="00B03AF8"/>
    <w:rsid w:val="00B5149B"/>
    <w:rsid w:val="00B5439A"/>
    <w:rsid w:val="00B74BBE"/>
    <w:rsid w:val="00B7605C"/>
    <w:rsid w:val="00B8322D"/>
    <w:rsid w:val="00BB6FDC"/>
    <w:rsid w:val="00BF1978"/>
    <w:rsid w:val="00BF4BC1"/>
    <w:rsid w:val="00BF7BD2"/>
    <w:rsid w:val="00C01374"/>
    <w:rsid w:val="00C15F03"/>
    <w:rsid w:val="00C54D76"/>
    <w:rsid w:val="00C71348"/>
    <w:rsid w:val="00CA4098"/>
    <w:rsid w:val="00CD4B3C"/>
    <w:rsid w:val="00D35F26"/>
    <w:rsid w:val="00D71B2D"/>
    <w:rsid w:val="00D72C6B"/>
    <w:rsid w:val="00D81BD7"/>
    <w:rsid w:val="00DA15F3"/>
    <w:rsid w:val="00DA2264"/>
    <w:rsid w:val="00DA5BA2"/>
    <w:rsid w:val="00DB27E4"/>
    <w:rsid w:val="00DC0BA0"/>
    <w:rsid w:val="00DC5AA0"/>
    <w:rsid w:val="00DC72BF"/>
    <w:rsid w:val="00E034C7"/>
    <w:rsid w:val="00E06524"/>
    <w:rsid w:val="00E2435D"/>
    <w:rsid w:val="00E46B01"/>
    <w:rsid w:val="00E54659"/>
    <w:rsid w:val="00E90FE7"/>
    <w:rsid w:val="00EB3709"/>
    <w:rsid w:val="00EE0C2D"/>
    <w:rsid w:val="00EF4F88"/>
    <w:rsid w:val="00F173D4"/>
    <w:rsid w:val="00F6781A"/>
    <w:rsid w:val="00FE7F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A6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011B"/>
    <w:pPr>
      <w:jc w:val="both"/>
    </w:pPr>
    <w:rPr>
      <w:sz w:val="24"/>
      <w:szCs w:val="24"/>
      <w:lang w:val="en-US" w:eastAsia="ja-JP"/>
    </w:rPr>
  </w:style>
  <w:style w:type="paragraph" w:styleId="berschrift1">
    <w:name w:val="heading 1"/>
    <w:basedOn w:val="Standard"/>
    <w:next w:val="Standard"/>
    <w:link w:val="berschrift1Zchn"/>
    <w:uiPriority w:val="99"/>
    <w:qFormat/>
    <w:rsid w:val="0055011B"/>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B74B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B3955"/>
    <w:rPr>
      <w:rFonts w:asciiTheme="majorHAnsi" w:eastAsiaTheme="majorEastAsia" w:hAnsiTheme="majorHAnsi" w:cstheme="majorBidi"/>
      <w:b/>
      <w:bCs/>
      <w:kern w:val="32"/>
      <w:sz w:val="32"/>
      <w:szCs w:val="32"/>
      <w:lang w:val="en-US" w:eastAsia="ja-JP"/>
    </w:rPr>
  </w:style>
  <w:style w:type="paragraph" w:customStyle="1" w:styleId="EditorsandAffliations">
    <w:name w:val="Editors and Affliations"/>
    <w:basedOn w:val="Standard"/>
    <w:uiPriority w:val="99"/>
    <w:rsid w:val="00DC72BF"/>
    <w:pPr>
      <w:jc w:val="center"/>
    </w:pPr>
  </w:style>
  <w:style w:type="paragraph" w:customStyle="1" w:styleId="Abstract">
    <w:name w:val="Abstract"/>
    <w:basedOn w:val="EditorsandAffliations"/>
    <w:uiPriority w:val="99"/>
    <w:rsid w:val="0055011B"/>
    <w:pPr>
      <w:ind w:left="1080" w:right="1080"/>
      <w:jc w:val="both"/>
    </w:pPr>
    <w:rPr>
      <w:szCs w:val="22"/>
    </w:rPr>
  </w:style>
  <w:style w:type="paragraph" w:customStyle="1" w:styleId="TitleofPaper">
    <w:name w:val="Title of Paper"/>
    <w:uiPriority w:val="99"/>
    <w:rsid w:val="000A4D46"/>
    <w:pPr>
      <w:jc w:val="center"/>
    </w:pPr>
    <w:rPr>
      <w:rFonts w:cs="Arial"/>
      <w:b/>
      <w:bCs/>
      <w:kern w:val="32"/>
      <w:sz w:val="24"/>
      <w:szCs w:val="24"/>
      <w:lang w:val="en-US" w:eastAsia="ja-JP"/>
    </w:rPr>
  </w:style>
  <w:style w:type="paragraph" w:customStyle="1" w:styleId="Subhead-FirstLevel">
    <w:name w:val="Subhead - First Level"/>
    <w:basedOn w:val="Standard"/>
    <w:link w:val="Subhead-FirstLevelZchn"/>
    <w:uiPriority w:val="99"/>
    <w:rsid w:val="000A4D46"/>
    <w:pPr>
      <w:jc w:val="center"/>
    </w:pPr>
    <w:rPr>
      <w:b/>
    </w:rPr>
  </w:style>
  <w:style w:type="paragraph" w:customStyle="1" w:styleId="BodyofPaper">
    <w:name w:val="Body of Paper"/>
    <w:basedOn w:val="Standard"/>
    <w:link w:val="BodyofPaperChar"/>
    <w:uiPriority w:val="99"/>
    <w:rsid w:val="008541AF"/>
    <w:pPr>
      <w:ind w:firstLine="360"/>
    </w:pPr>
  </w:style>
  <w:style w:type="character" w:styleId="Hyperlink">
    <w:name w:val="Hyperlink"/>
    <w:basedOn w:val="Absatz-Standardschriftart"/>
    <w:uiPriority w:val="99"/>
    <w:rsid w:val="005A3F56"/>
    <w:rPr>
      <w:rFonts w:cs="Times New Roman"/>
      <w:color w:val="0000FF"/>
      <w:u w:val="single"/>
    </w:rPr>
  </w:style>
  <w:style w:type="paragraph" w:customStyle="1" w:styleId="Subhead-SecondLevel">
    <w:name w:val="Subhead - Second Level"/>
    <w:basedOn w:val="BodyofPaper"/>
    <w:link w:val="Subhead-SecondLevelChar"/>
    <w:uiPriority w:val="99"/>
    <w:rsid w:val="008541AF"/>
    <w:pPr>
      <w:ind w:firstLine="0"/>
    </w:pPr>
    <w:rPr>
      <w:u w:val="single"/>
    </w:rPr>
  </w:style>
  <w:style w:type="paragraph" w:customStyle="1" w:styleId="Subhead-ThirdLevel">
    <w:name w:val="Subhead - Third Level"/>
    <w:basedOn w:val="BodyofPaper"/>
    <w:link w:val="Subhead-ThirdLevelChar"/>
    <w:uiPriority w:val="99"/>
    <w:rsid w:val="008541AF"/>
    <w:rPr>
      <w:u w:val="single"/>
    </w:rPr>
  </w:style>
  <w:style w:type="character" w:customStyle="1" w:styleId="BodyofPaperChar">
    <w:name w:val="Body of Paper Char"/>
    <w:basedOn w:val="Absatz-Standardschriftart"/>
    <w:link w:val="BodyofPaper"/>
    <w:uiPriority w:val="99"/>
    <w:locked/>
    <w:rsid w:val="008541AF"/>
    <w:rPr>
      <w:rFonts w:eastAsia="MS Mincho" w:cs="Times New Roman"/>
      <w:sz w:val="24"/>
      <w:szCs w:val="24"/>
      <w:lang w:val="en-US" w:eastAsia="ja-JP" w:bidi="ar-SA"/>
    </w:rPr>
  </w:style>
  <w:style w:type="character" w:customStyle="1" w:styleId="Subhead-ThirdLevelChar">
    <w:name w:val="Subhead - Third Level Char"/>
    <w:basedOn w:val="BodyofPaperChar"/>
    <w:link w:val="Subhead-ThirdLevel"/>
    <w:uiPriority w:val="99"/>
    <w:locked/>
    <w:rsid w:val="008541AF"/>
    <w:rPr>
      <w:rFonts w:eastAsia="MS Mincho" w:cs="Times New Roman"/>
      <w:sz w:val="24"/>
      <w:szCs w:val="24"/>
      <w:u w:val="single"/>
      <w:lang w:val="en-US" w:eastAsia="ja-JP" w:bidi="ar-SA"/>
    </w:rPr>
  </w:style>
  <w:style w:type="character" w:customStyle="1" w:styleId="Subhead-SecondLevelChar">
    <w:name w:val="Subhead - Second Level Char"/>
    <w:basedOn w:val="BodyofPaperChar"/>
    <w:link w:val="Subhead-SecondLevel"/>
    <w:uiPriority w:val="99"/>
    <w:locked/>
    <w:rsid w:val="00F173D4"/>
    <w:rPr>
      <w:rFonts w:eastAsia="MS Mincho" w:cs="Times New Roman"/>
      <w:sz w:val="24"/>
      <w:szCs w:val="24"/>
      <w:u w:val="single"/>
      <w:lang w:val="en-US" w:eastAsia="ja-JP" w:bidi="ar-SA"/>
    </w:rPr>
  </w:style>
  <w:style w:type="paragraph" w:customStyle="1" w:styleId="Equation">
    <w:name w:val="Equation"/>
    <w:basedOn w:val="Standard"/>
    <w:uiPriority w:val="99"/>
    <w:rsid w:val="00F173D4"/>
    <w:pPr>
      <w:jc w:val="right"/>
    </w:pPr>
  </w:style>
  <w:style w:type="paragraph" w:customStyle="1" w:styleId="BodyofPaperBold">
    <w:name w:val="Body of Paper + Bold"/>
    <w:basedOn w:val="BodyofPaper"/>
    <w:link w:val="BodyofPaperBoldChar"/>
    <w:uiPriority w:val="99"/>
    <w:rsid w:val="00F173D4"/>
    <w:rPr>
      <w:b/>
      <w:bCs/>
    </w:rPr>
  </w:style>
  <w:style w:type="character" w:customStyle="1" w:styleId="BodyofPaperBoldChar">
    <w:name w:val="Body of Paper + Bold Char"/>
    <w:basedOn w:val="BodyofPaperChar"/>
    <w:link w:val="BodyofPaperBold"/>
    <w:uiPriority w:val="99"/>
    <w:locked/>
    <w:rsid w:val="00F173D4"/>
    <w:rPr>
      <w:rFonts w:eastAsia="MS Mincho" w:cs="Times New Roman"/>
      <w:b/>
      <w:bCs/>
      <w:sz w:val="24"/>
      <w:szCs w:val="24"/>
      <w:lang w:val="en-US" w:eastAsia="ja-JP" w:bidi="ar-SA"/>
    </w:rPr>
  </w:style>
  <w:style w:type="paragraph" w:customStyle="1" w:styleId="BodyofPaperUnderline">
    <w:name w:val="Body of Paper + Underline"/>
    <w:basedOn w:val="BodyofPaper"/>
    <w:link w:val="BodyofPaperUnderlineChar"/>
    <w:uiPriority w:val="99"/>
    <w:rsid w:val="00F173D4"/>
    <w:rPr>
      <w:u w:val="single"/>
    </w:rPr>
  </w:style>
  <w:style w:type="character" w:customStyle="1" w:styleId="BodyofPaperUnderlineChar">
    <w:name w:val="Body of Paper + Underline Char"/>
    <w:basedOn w:val="BodyofPaperChar"/>
    <w:link w:val="BodyofPaperUnderline"/>
    <w:uiPriority w:val="99"/>
    <w:locked/>
    <w:rsid w:val="00F173D4"/>
    <w:rPr>
      <w:rFonts w:eastAsia="MS Mincho" w:cs="Times New Roman"/>
      <w:sz w:val="24"/>
      <w:szCs w:val="24"/>
      <w:u w:val="single"/>
      <w:lang w:val="en-US" w:eastAsia="ja-JP" w:bidi="ar-SA"/>
    </w:rPr>
  </w:style>
  <w:style w:type="paragraph" w:customStyle="1" w:styleId="BodyofPaperItalic">
    <w:name w:val="Body of Paper + Italic"/>
    <w:basedOn w:val="BodyofPaper"/>
    <w:link w:val="BodyofPaperItalicChar"/>
    <w:uiPriority w:val="99"/>
    <w:rsid w:val="00F173D4"/>
    <w:rPr>
      <w:i/>
      <w:iCs/>
    </w:rPr>
  </w:style>
  <w:style w:type="character" w:customStyle="1" w:styleId="BodyofPaperItalicChar">
    <w:name w:val="Body of Paper + Italic Char"/>
    <w:basedOn w:val="BodyofPaperChar"/>
    <w:link w:val="BodyofPaperItalic"/>
    <w:uiPriority w:val="99"/>
    <w:locked/>
    <w:rsid w:val="00F173D4"/>
    <w:rPr>
      <w:rFonts w:eastAsia="MS Mincho" w:cs="Times New Roman"/>
      <w:i/>
      <w:iCs/>
      <w:sz w:val="24"/>
      <w:szCs w:val="24"/>
      <w:lang w:val="en-US" w:eastAsia="ja-JP" w:bidi="ar-SA"/>
    </w:rPr>
  </w:style>
  <w:style w:type="paragraph" w:customStyle="1" w:styleId="Paragraph">
    <w:name w:val="Paragraph"/>
    <w:basedOn w:val="Standard"/>
    <w:uiPriority w:val="99"/>
    <w:rsid w:val="00386BA7"/>
    <w:pPr>
      <w:ind w:firstLine="274"/>
    </w:pPr>
    <w:rPr>
      <w:sz w:val="20"/>
      <w:szCs w:val="20"/>
      <w:lang w:eastAsia="en-US"/>
    </w:rPr>
  </w:style>
  <w:style w:type="paragraph" w:customStyle="1" w:styleId="References">
    <w:name w:val="References"/>
    <w:basedOn w:val="Listennummer"/>
    <w:uiPriority w:val="99"/>
    <w:rsid w:val="006C3E3E"/>
    <w:pPr>
      <w:numPr>
        <w:numId w:val="4"/>
      </w:numPr>
    </w:pPr>
  </w:style>
  <w:style w:type="paragraph" w:customStyle="1" w:styleId="FigureCaption">
    <w:name w:val="Figure Caption"/>
    <w:uiPriority w:val="99"/>
    <w:rsid w:val="007042A1"/>
    <w:rPr>
      <w:sz w:val="24"/>
      <w:szCs w:val="24"/>
      <w:lang w:val="en-US" w:eastAsia="ja-JP"/>
    </w:rPr>
  </w:style>
  <w:style w:type="paragraph" w:styleId="Listennummer">
    <w:name w:val="List Number"/>
    <w:basedOn w:val="Standard"/>
    <w:uiPriority w:val="99"/>
    <w:rsid w:val="006C3E3E"/>
    <w:pPr>
      <w:numPr>
        <w:numId w:val="7"/>
      </w:numPr>
    </w:pPr>
  </w:style>
  <w:style w:type="paragraph" w:styleId="Sprechblasentext">
    <w:name w:val="Balloon Text"/>
    <w:basedOn w:val="Standard"/>
    <w:link w:val="SprechblasentextZchn"/>
    <w:uiPriority w:val="99"/>
    <w:semiHidden/>
    <w:rsid w:val="00E243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3955"/>
    <w:rPr>
      <w:sz w:val="0"/>
      <w:szCs w:val="0"/>
      <w:lang w:val="en-US" w:eastAsia="ja-JP"/>
    </w:rPr>
  </w:style>
  <w:style w:type="character" w:customStyle="1" w:styleId="TableRowName">
    <w:name w:val="Table/Row Name"/>
    <w:basedOn w:val="Absatz-Standardschriftart"/>
    <w:uiPriority w:val="99"/>
    <w:rsid w:val="00BB6FDC"/>
    <w:rPr>
      <w:rFonts w:ascii="Times New Roman" w:hAnsi="Times New Roman" w:cs="Times New Roman"/>
      <w:sz w:val="20"/>
    </w:rPr>
  </w:style>
  <w:style w:type="character" w:customStyle="1" w:styleId="TableNumber">
    <w:name w:val="Table Number"/>
    <w:basedOn w:val="Absatz-Standardschriftart"/>
    <w:uiPriority w:val="99"/>
    <w:rsid w:val="00BB6FDC"/>
    <w:rPr>
      <w:rFonts w:ascii="Times New Roman" w:hAnsi="Times New Roman" w:cs="Times New Roman"/>
      <w:b/>
      <w:bCs/>
      <w:sz w:val="20"/>
    </w:rPr>
  </w:style>
  <w:style w:type="paragraph" w:customStyle="1" w:styleId="TableHeaders">
    <w:name w:val="Table Headers"/>
    <w:basedOn w:val="Standard"/>
    <w:uiPriority w:val="99"/>
    <w:rsid w:val="00BB6FDC"/>
    <w:pPr>
      <w:jc w:val="center"/>
    </w:pPr>
    <w:rPr>
      <w:b/>
      <w:bCs/>
      <w:sz w:val="20"/>
      <w:szCs w:val="20"/>
    </w:rPr>
  </w:style>
  <w:style w:type="paragraph" w:customStyle="1" w:styleId="TableData">
    <w:name w:val="Table Data"/>
    <w:basedOn w:val="Standard"/>
    <w:uiPriority w:val="99"/>
    <w:rsid w:val="00BB6FDC"/>
    <w:pPr>
      <w:jc w:val="center"/>
    </w:pPr>
    <w:rPr>
      <w:sz w:val="20"/>
      <w:szCs w:val="20"/>
    </w:rPr>
  </w:style>
  <w:style w:type="character" w:styleId="Kommentarzeichen">
    <w:name w:val="annotation reference"/>
    <w:basedOn w:val="Absatz-Standardschriftart"/>
    <w:uiPriority w:val="99"/>
    <w:semiHidden/>
    <w:unhideWhenUsed/>
    <w:rsid w:val="006142B8"/>
    <w:rPr>
      <w:sz w:val="16"/>
      <w:szCs w:val="16"/>
    </w:rPr>
  </w:style>
  <w:style w:type="paragraph" w:styleId="Kommentartext">
    <w:name w:val="annotation text"/>
    <w:basedOn w:val="Standard"/>
    <w:link w:val="KommentartextZchn"/>
    <w:uiPriority w:val="99"/>
    <w:unhideWhenUsed/>
    <w:rsid w:val="006142B8"/>
    <w:rPr>
      <w:sz w:val="20"/>
      <w:szCs w:val="20"/>
    </w:rPr>
  </w:style>
  <w:style w:type="character" w:customStyle="1" w:styleId="KommentartextZchn">
    <w:name w:val="Kommentartext Zchn"/>
    <w:basedOn w:val="Absatz-Standardschriftart"/>
    <w:link w:val="Kommentartext"/>
    <w:uiPriority w:val="99"/>
    <w:rsid w:val="006142B8"/>
    <w:rPr>
      <w:sz w:val="20"/>
      <w:szCs w:val="20"/>
      <w:lang w:val="en-US" w:eastAsia="ja-JP"/>
    </w:rPr>
  </w:style>
  <w:style w:type="paragraph" w:styleId="Kommentarthema">
    <w:name w:val="annotation subject"/>
    <w:basedOn w:val="Kommentartext"/>
    <w:next w:val="Kommentartext"/>
    <w:link w:val="KommentarthemaZchn"/>
    <w:uiPriority w:val="99"/>
    <w:semiHidden/>
    <w:unhideWhenUsed/>
    <w:rsid w:val="006142B8"/>
    <w:rPr>
      <w:b/>
      <w:bCs/>
    </w:rPr>
  </w:style>
  <w:style w:type="character" w:customStyle="1" w:styleId="KommentarthemaZchn">
    <w:name w:val="Kommentarthema Zchn"/>
    <w:basedOn w:val="KommentartextZchn"/>
    <w:link w:val="Kommentarthema"/>
    <w:uiPriority w:val="99"/>
    <w:semiHidden/>
    <w:rsid w:val="006142B8"/>
    <w:rPr>
      <w:b/>
      <w:bCs/>
      <w:sz w:val="20"/>
      <w:szCs w:val="20"/>
      <w:lang w:val="en-US" w:eastAsia="ja-JP"/>
    </w:rPr>
  </w:style>
  <w:style w:type="paragraph" w:styleId="Kopfzeile">
    <w:name w:val="header"/>
    <w:basedOn w:val="Standard"/>
    <w:link w:val="KopfzeileZchn"/>
    <w:uiPriority w:val="99"/>
    <w:unhideWhenUsed/>
    <w:rsid w:val="00757A83"/>
    <w:pPr>
      <w:tabs>
        <w:tab w:val="center" w:pos="4680"/>
        <w:tab w:val="right" w:pos="9360"/>
      </w:tabs>
    </w:pPr>
  </w:style>
  <w:style w:type="character" w:customStyle="1" w:styleId="KopfzeileZchn">
    <w:name w:val="Kopfzeile Zchn"/>
    <w:basedOn w:val="Absatz-Standardschriftart"/>
    <w:link w:val="Kopfzeile"/>
    <w:uiPriority w:val="99"/>
    <w:rsid w:val="00757A83"/>
    <w:rPr>
      <w:sz w:val="24"/>
      <w:szCs w:val="24"/>
      <w:lang w:val="en-US" w:eastAsia="ja-JP"/>
    </w:rPr>
  </w:style>
  <w:style w:type="paragraph" w:styleId="Fuzeile">
    <w:name w:val="footer"/>
    <w:basedOn w:val="Standard"/>
    <w:link w:val="FuzeileZchn"/>
    <w:uiPriority w:val="99"/>
    <w:unhideWhenUsed/>
    <w:rsid w:val="00757A83"/>
    <w:pPr>
      <w:tabs>
        <w:tab w:val="center" w:pos="4680"/>
        <w:tab w:val="right" w:pos="9360"/>
      </w:tabs>
    </w:pPr>
  </w:style>
  <w:style w:type="character" w:customStyle="1" w:styleId="FuzeileZchn">
    <w:name w:val="Fußzeile Zchn"/>
    <w:basedOn w:val="Absatz-Standardschriftart"/>
    <w:link w:val="Fuzeile"/>
    <w:uiPriority w:val="99"/>
    <w:rsid w:val="00757A83"/>
    <w:rPr>
      <w:sz w:val="24"/>
      <w:szCs w:val="24"/>
      <w:lang w:val="en-US" w:eastAsia="ja-JP"/>
    </w:rPr>
  </w:style>
  <w:style w:type="paragraph" w:styleId="Listenabsatz">
    <w:name w:val="List Paragraph"/>
    <w:basedOn w:val="Standard"/>
    <w:uiPriority w:val="34"/>
    <w:qFormat/>
    <w:rsid w:val="00B5149B"/>
    <w:pPr>
      <w:ind w:left="720"/>
      <w:contextualSpacing/>
      <w:jc w:val="left"/>
    </w:pPr>
    <w:rPr>
      <w:rFonts w:eastAsia="Arial" w:cs="Arial"/>
      <w:color w:val="000000" w:themeColor="text1"/>
      <w:szCs w:val="22"/>
      <w:lang w:val="en-GB" w:eastAsia="en-US"/>
    </w:rPr>
  </w:style>
  <w:style w:type="character" w:customStyle="1" w:styleId="cf01">
    <w:name w:val="cf01"/>
    <w:basedOn w:val="Absatz-Standardschriftart"/>
    <w:rsid w:val="00B5149B"/>
    <w:rPr>
      <w:rFonts w:ascii="Segoe UI" w:hAnsi="Segoe UI" w:cs="Segoe UI" w:hint="default"/>
      <w:color w:val="262626"/>
      <w:sz w:val="36"/>
      <w:szCs w:val="36"/>
    </w:rPr>
  </w:style>
  <w:style w:type="character" w:customStyle="1" w:styleId="ts-alignment-element">
    <w:name w:val="ts-alignment-element"/>
    <w:basedOn w:val="Absatz-Standardschriftart"/>
    <w:rsid w:val="00B5149B"/>
  </w:style>
  <w:style w:type="paragraph" w:customStyle="1" w:styleId="Titel1">
    <w:name w:val="Titel 1"/>
    <w:basedOn w:val="Subhead-FirstLevel"/>
    <w:link w:val="Titel1Zchn"/>
    <w:qFormat/>
    <w:rsid w:val="00B74BBE"/>
  </w:style>
  <w:style w:type="character" w:customStyle="1" w:styleId="berschrift2Zchn">
    <w:name w:val="Überschrift 2 Zchn"/>
    <w:basedOn w:val="Absatz-Standardschriftart"/>
    <w:link w:val="berschrift2"/>
    <w:uiPriority w:val="9"/>
    <w:semiHidden/>
    <w:rsid w:val="00B74BBE"/>
    <w:rPr>
      <w:rFonts w:asciiTheme="majorHAnsi" w:eastAsiaTheme="majorEastAsia" w:hAnsiTheme="majorHAnsi" w:cstheme="majorBidi"/>
      <w:color w:val="365F91" w:themeColor="accent1" w:themeShade="BF"/>
      <w:sz w:val="26"/>
      <w:szCs w:val="26"/>
      <w:lang w:val="en-US" w:eastAsia="ja-JP"/>
    </w:rPr>
  </w:style>
  <w:style w:type="character" w:customStyle="1" w:styleId="Subhead-FirstLevelZchn">
    <w:name w:val="Subhead - First Level Zchn"/>
    <w:basedOn w:val="Absatz-Standardschriftart"/>
    <w:link w:val="Subhead-FirstLevel"/>
    <w:uiPriority w:val="99"/>
    <w:rsid w:val="00B74BBE"/>
    <w:rPr>
      <w:b/>
      <w:sz w:val="24"/>
      <w:szCs w:val="24"/>
      <w:lang w:val="en-US" w:eastAsia="ja-JP"/>
    </w:rPr>
  </w:style>
  <w:style w:type="character" w:customStyle="1" w:styleId="Titel1Zchn">
    <w:name w:val="Titel 1 Zchn"/>
    <w:basedOn w:val="Subhead-FirstLevelZchn"/>
    <w:link w:val="Titel1"/>
    <w:rsid w:val="00B74BBE"/>
    <w:rPr>
      <w:b/>
      <w:sz w:val="24"/>
      <w:szCs w:val="24"/>
      <w:lang w:val="en-US" w:eastAsia="ja-JP"/>
    </w:rPr>
  </w:style>
  <w:style w:type="paragraph" w:styleId="Beschriftung">
    <w:name w:val="caption"/>
    <w:basedOn w:val="Standard"/>
    <w:next w:val="Standard"/>
    <w:uiPriority w:val="35"/>
    <w:unhideWhenUsed/>
    <w:qFormat/>
    <w:rsid w:val="00B74BBE"/>
    <w:pPr>
      <w:jc w:val="left"/>
    </w:pPr>
    <w:rPr>
      <w:rFonts w:eastAsia="Arial" w:cs="Arial"/>
      <w:color w:val="000000" w:themeColor="text1"/>
      <w:szCs w:val="22"/>
      <w:lang w:val="en-GB" w:eastAsia="en-US"/>
    </w:rPr>
  </w:style>
  <w:style w:type="paragraph" w:customStyle="1" w:styleId="Referenzen">
    <w:name w:val="Referenzen"/>
    <w:basedOn w:val="Listenabsatz"/>
    <w:link w:val="ReferenzenZchn"/>
    <w:qFormat/>
    <w:rsid w:val="00BF7BD2"/>
    <w:pPr>
      <w:numPr>
        <w:numId w:val="10"/>
      </w:numPr>
      <w:autoSpaceDE w:val="0"/>
      <w:autoSpaceDN w:val="0"/>
      <w:adjustRightInd w:val="0"/>
      <w:ind w:left="357" w:hanging="357"/>
      <w:contextualSpacing w:val="0"/>
    </w:pPr>
  </w:style>
  <w:style w:type="character" w:customStyle="1" w:styleId="ReferenzenZchn">
    <w:name w:val="Referenzen Zchn"/>
    <w:basedOn w:val="Absatz-Standardschriftart"/>
    <w:link w:val="Referenzen"/>
    <w:rsid w:val="00BF7BD2"/>
    <w:rPr>
      <w:rFonts w:eastAsia="Arial" w:cs="Arial"/>
      <w:color w:val="000000" w:themeColor="text1"/>
      <w:sz w:val="24"/>
      <w:lang w:val="en-GB" w:eastAsia="en-US"/>
    </w:rPr>
  </w:style>
  <w:style w:type="character" w:styleId="Erwhnung">
    <w:name w:val="Mention"/>
    <w:basedOn w:val="Absatz-Standardschriftart"/>
    <w:uiPriority w:val="99"/>
    <w:unhideWhenUsed/>
    <w:rsid w:val="00B74BBE"/>
    <w:rPr>
      <w:color w:val="2B579A"/>
      <w:shd w:val="clear" w:color="auto" w:fill="E1DFDD"/>
    </w:rPr>
  </w:style>
  <w:style w:type="paragraph" w:customStyle="1" w:styleId="Titel2">
    <w:name w:val="Titel2"/>
    <w:basedOn w:val="Standard"/>
    <w:link w:val="Titel2Zchn"/>
    <w:qFormat/>
    <w:rsid w:val="0079184E"/>
    <w:rPr>
      <w:u w:val="single"/>
    </w:rPr>
  </w:style>
  <w:style w:type="character" w:customStyle="1" w:styleId="Titel2Zchn">
    <w:name w:val="Titel2 Zchn"/>
    <w:basedOn w:val="Absatz-Standardschriftart"/>
    <w:link w:val="Titel2"/>
    <w:rsid w:val="0079184E"/>
    <w:rPr>
      <w:sz w:val="24"/>
      <w:szCs w:val="24"/>
      <w:u w:val="single"/>
      <w:lang w:val="en-US" w:eastAsia="ja-JP"/>
    </w:rPr>
  </w:style>
  <w:style w:type="paragraph" w:styleId="berarbeitung">
    <w:name w:val="Revision"/>
    <w:hidden/>
    <w:uiPriority w:val="99"/>
    <w:semiHidden/>
    <w:rsid w:val="00902133"/>
    <w:rPr>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949634">
      <w:bodyDiv w:val="1"/>
      <w:marLeft w:val="0"/>
      <w:marRight w:val="0"/>
      <w:marTop w:val="0"/>
      <w:marBottom w:val="0"/>
      <w:divBdr>
        <w:top w:val="none" w:sz="0" w:space="0" w:color="auto"/>
        <w:left w:val="none" w:sz="0" w:space="0" w:color="auto"/>
        <w:bottom w:val="none" w:sz="0" w:space="0" w:color="auto"/>
        <w:right w:val="none" w:sz="0" w:space="0" w:color="auto"/>
      </w:divBdr>
    </w:div>
    <w:div w:id="19337772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3941</Words>
  <Characters>24829</Characters>
  <Application>Microsoft Office Word</Application>
  <DocSecurity>0</DocSecurity>
  <Lines>206</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2023-05-26T04:45:00Z</dcterms:created>
  <dcterms:modified xsi:type="dcterms:W3CDTF">2023-05-26T04:45:00Z</dcterms:modified>
</cp:coreProperties>
</file>