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8CAD9" w14:textId="2D2279E6" w:rsidR="00434BBE" w:rsidRPr="00B00DE6" w:rsidRDefault="00B00DE6" w:rsidP="00434BBE">
      <w:pPr>
        <w:jc w:val="center"/>
        <w:rPr>
          <w:b/>
          <w:sz w:val="28"/>
          <w:szCs w:val="28"/>
          <w:lang w:val="en-US"/>
        </w:rPr>
      </w:pPr>
      <w:bookmarkStart w:id="0" w:name="_Hlk164184515"/>
      <w:bookmarkStart w:id="1" w:name="_GoBack"/>
      <w:bookmarkEnd w:id="1"/>
      <w:r w:rsidRPr="00B00DE6">
        <w:rPr>
          <w:b/>
          <w:sz w:val="28"/>
          <w:szCs w:val="28"/>
          <w:lang w:val="en-US"/>
        </w:rPr>
        <w:t>E</w:t>
      </w:r>
      <w:r w:rsidRPr="002F26B8">
        <w:rPr>
          <w:b/>
          <w:sz w:val="28"/>
          <w:szCs w:val="28"/>
          <w:lang w:val="en-US"/>
        </w:rPr>
        <w:t>lectrochemical charac</w:t>
      </w:r>
      <w:r>
        <w:rPr>
          <w:b/>
          <w:sz w:val="28"/>
          <w:szCs w:val="28"/>
          <w:lang w:val="en-US"/>
        </w:rPr>
        <w:t>t</w:t>
      </w:r>
      <w:r w:rsidRPr="002F26B8">
        <w:rPr>
          <w:b/>
          <w:sz w:val="28"/>
          <w:szCs w:val="28"/>
          <w:lang w:val="en-US"/>
        </w:rPr>
        <w:t>erization of py</w:t>
      </w:r>
      <w:r>
        <w:rPr>
          <w:b/>
          <w:sz w:val="28"/>
          <w:szCs w:val="28"/>
          <w:lang w:val="en-US"/>
        </w:rPr>
        <w:t>rochlore materials for potential application in low-temperature devices</w:t>
      </w:r>
    </w:p>
    <w:bookmarkEnd w:id="0"/>
    <w:p w14:paraId="56DACDEF" w14:textId="77777777" w:rsidR="00434BBE" w:rsidRPr="00B00DE6" w:rsidRDefault="00434BBE" w:rsidP="00434BBE">
      <w:pPr>
        <w:rPr>
          <w:b/>
          <w:vertAlign w:val="superscript"/>
          <w:lang w:val="en-US"/>
        </w:rPr>
      </w:pPr>
      <w:r w:rsidRPr="00B00DE6">
        <w:rPr>
          <w:b/>
          <w:lang w:val="en-US"/>
        </w:rPr>
        <w:t>P. Mowe</w:t>
      </w:r>
      <w:bookmarkStart w:id="2" w:name="_Hlk164328663"/>
      <w:r w:rsidRPr="00B00DE6">
        <w:rPr>
          <w:b/>
          <w:vertAlign w:val="superscript"/>
          <w:lang w:val="en-US"/>
        </w:rPr>
        <w:t>1</w:t>
      </w:r>
      <w:bookmarkEnd w:id="2"/>
      <w:r w:rsidRPr="00B00DE6">
        <w:rPr>
          <w:b/>
          <w:lang w:val="en-US"/>
        </w:rPr>
        <w:t>, K. Neuhaus</w:t>
      </w:r>
      <w:r w:rsidRPr="00B00DE6">
        <w:rPr>
          <w:b/>
          <w:vertAlign w:val="superscript"/>
          <w:lang w:val="en-US"/>
        </w:rPr>
        <w:t>1</w:t>
      </w:r>
    </w:p>
    <w:p w14:paraId="231B2145" w14:textId="77777777" w:rsidR="00434BBE" w:rsidRPr="00BE4959" w:rsidRDefault="00434BBE" w:rsidP="00434BBE">
      <w:pPr>
        <w:spacing w:after="0"/>
        <w:rPr>
          <w:sz w:val="18"/>
          <w:szCs w:val="18"/>
          <w:lang w:val="en-US"/>
        </w:rPr>
      </w:pPr>
      <w:r w:rsidRPr="002F26B8">
        <w:rPr>
          <w:sz w:val="18"/>
          <w:szCs w:val="18"/>
          <w:vertAlign w:val="superscript"/>
          <w:lang w:val="en-US" w:eastAsia="de-DE"/>
        </w:rPr>
        <w:t>1</w:t>
      </w:r>
      <w:r w:rsidRPr="002F26B8">
        <w:rPr>
          <w:sz w:val="18"/>
          <w:szCs w:val="18"/>
          <w:lang w:val="en-US" w:eastAsia="de-DE"/>
        </w:rPr>
        <w:t xml:space="preserve"> </w:t>
      </w:r>
      <w:proofErr w:type="spellStart"/>
      <w:r w:rsidRPr="002F26B8">
        <w:rPr>
          <w:sz w:val="18"/>
          <w:szCs w:val="18"/>
          <w:lang w:val="en-US"/>
        </w:rPr>
        <w:t>Forschungszentrum</w:t>
      </w:r>
      <w:proofErr w:type="spellEnd"/>
      <w:r w:rsidRPr="002F26B8">
        <w:rPr>
          <w:sz w:val="18"/>
          <w:szCs w:val="18"/>
          <w:lang w:val="en-US"/>
        </w:rPr>
        <w:t xml:space="preserve"> </w:t>
      </w:r>
      <w:proofErr w:type="spellStart"/>
      <w:r w:rsidRPr="002F26B8">
        <w:rPr>
          <w:sz w:val="18"/>
          <w:szCs w:val="18"/>
          <w:lang w:val="en-US"/>
        </w:rPr>
        <w:t>Jülich</w:t>
      </w:r>
      <w:proofErr w:type="spellEnd"/>
      <w:r w:rsidRPr="002F26B8">
        <w:rPr>
          <w:sz w:val="18"/>
          <w:szCs w:val="18"/>
          <w:lang w:val="en-US"/>
        </w:rPr>
        <w:t xml:space="preserve"> GmbH, Institute of Energy and Climate Research IMD-4: Helmholtz Institute Münster (HI MS), </w:t>
      </w:r>
      <w:proofErr w:type="spellStart"/>
      <w:r w:rsidRPr="002F26B8">
        <w:rPr>
          <w:sz w:val="18"/>
          <w:szCs w:val="18"/>
          <w:lang w:val="en-US"/>
        </w:rPr>
        <w:t>Corrensstr</w:t>
      </w:r>
      <w:proofErr w:type="spellEnd"/>
      <w:r w:rsidRPr="002F26B8">
        <w:rPr>
          <w:sz w:val="18"/>
          <w:szCs w:val="18"/>
          <w:lang w:val="en-US"/>
        </w:rPr>
        <w:t xml:space="preserve">. </w:t>
      </w:r>
      <w:r w:rsidRPr="00BE4959">
        <w:rPr>
          <w:sz w:val="18"/>
          <w:szCs w:val="18"/>
          <w:lang w:val="en-US"/>
        </w:rPr>
        <w:t>46, 48149 Münster, Germany</w:t>
      </w:r>
    </w:p>
    <w:p w14:paraId="62D80691" w14:textId="77777777" w:rsidR="0047247B" w:rsidRDefault="0047247B" w:rsidP="00A63476">
      <w:pPr>
        <w:jc w:val="both"/>
        <w:rPr>
          <w:lang w:val="en-US"/>
        </w:rPr>
      </w:pPr>
    </w:p>
    <w:p w14:paraId="1480D2DA" w14:textId="42FED2E7" w:rsidR="00260152" w:rsidRDefault="00772CD6" w:rsidP="00C715E3">
      <w:pPr>
        <w:spacing w:line="360" w:lineRule="auto"/>
        <w:jc w:val="both"/>
        <w:rPr>
          <w:lang w:val="en-US"/>
        </w:rPr>
      </w:pPr>
      <w:r>
        <w:rPr>
          <w:lang w:val="en-US"/>
        </w:rPr>
        <w:t>Crystalline s</w:t>
      </w:r>
      <w:r w:rsidR="001F1139" w:rsidRPr="001F1139">
        <w:rPr>
          <w:lang w:val="en-US"/>
        </w:rPr>
        <w:t xml:space="preserve">olid ion conductors are of </w:t>
      </w:r>
      <w:r w:rsidR="00761096">
        <w:rPr>
          <w:lang w:val="en-US"/>
        </w:rPr>
        <w:t>huge</w:t>
      </w:r>
      <w:r w:rsidR="001F1139" w:rsidRPr="001F1139">
        <w:rPr>
          <w:lang w:val="en-US"/>
        </w:rPr>
        <w:t xml:space="preserve"> importance to contemporary energy and sensor technologies. With the continuous progression of material</w:t>
      </w:r>
      <w:r w:rsidR="00B14D43">
        <w:rPr>
          <w:lang w:val="en-US"/>
        </w:rPr>
        <w:t>s</w:t>
      </w:r>
      <w:r w:rsidR="001F1139" w:rsidRPr="001F1139">
        <w:rPr>
          <w:lang w:val="en-US"/>
        </w:rPr>
        <w:t xml:space="preserve"> science, these materials </w:t>
      </w:r>
      <w:r w:rsidR="00B14D43">
        <w:rPr>
          <w:lang w:val="en-US"/>
        </w:rPr>
        <w:t>play</w:t>
      </w:r>
      <w:r w:rsidR="001F1139" w:rsidRPr="001F1139">
        <w:rPr>
          <w:lang w:val="en-US"/>
        </w:rPr>
        <w:t xml:space="preserve"> an increasingly prominent role in the development of next-generation devices for sustainable energy </w:t>
      </w:r>
      <w:r w:rsidRPr="001F1139">
        <w:rPr>
          <w:lang w:val="en-US"/>
        </w:rPr>
        <w:t>s</w:t>
      </w:r>
      <w:r>
        <w:rPr>
          <w:lang w:val="en-US"/>
        </w:rPr>
        <w:t>torage and generation</w:t>
      </w:r>
      <w:r w:rsidR="001F1139" w:rsidRPr="001F1139">
        <w:rPr>
          <w:lang w:val="en-US"/>
        </w:rPr>
        <w:t>.</w:t>
      </w:r>
      <w:r w:rsidR="001F1139">
        <w:rPr>
          <w:lang w:val="en-US"/>
        </w:rPr>
        <w:t xml:space="preserve"> </w:t>
      </w:r>
      <w:r>
        <w:rPr>
          <w:lang w:val="en-US"/>
        </w:rPr>
        <w:t>Oxide c</w:t>
      </w:r>
      <w:r w:rsidR="001F1139" w:rsidRPr="001F1139">
        <w:rPr>
          <w:lang w:val="en-US"/>
        </w:rPr>
        <w:t>eramics</w:t>
      </w:r>
      <w:r>
        <w:rPr>
          <w:lang w:val="en-US"/>
        </w:rPr>
        <w:t xml:space="preserve"> like</w:t>
      </w:r>
      <w:r w:rsidR="002F26B8">
        <w:rPr>
          <w:lang w:val="en-US"/>
        </w:rPr>
        <w:t xml:space="preserve"> yttria-stabilized zirconia</w:t>
      </w:r>
      <w:r>
        <w:rPr>
          <w:lang w:val="en-US"/>
        </w:rPr>
        <w:t xml:space="preserve"> </w:t>
      </w:r>
      <w:r w:rsidR="002F26B8">
        <w:rPr>
          <w:lang w:val="en-US"/>
        </w:rPr>
        <w:t>(</w:t>
      </w:r>
      <w:r>
        <w:rPr>
          <w:lang w:val="en-US"/>
        </w:rPr>
        <w:t>YSZ</w:t>
      </w:r>
      <w:r w:rsidR="002F26B8">
        <w:rPr>
          <w:lang w:val="en-US"/>
        </w:rPr>
        <w:t>)</w:t>
      </w:r>
      <w:r w:rsidR="001F1139" w:rsidRPr="001F1139">
        <w:rPr>
          <w:lang w:val="en-US"/>
        </w:rPr>
        <w:t xml:space="preserve"> </w:t>
      </w:r>
      <w:r>
        <w:rPr>
          <w:lang w:val="en-US"/>
        </w:rPr>
        <w:t xml:space="preserve">can </w:t>
      </w:r>
      <w:r w:rsidR="001F1139" w:rsidRPr="001F1139">
        <w:rPr>
          <w:lang w:val="en-US"/>
        </w:rPr>
        <w:t xml:space="preserve">offer high ionic conductivity at elevated temperatures </w:t>
      </w:r>
      <w:r>
        <w:rPr>
          <w:lang w:val="en-US"/>
        </w:rPr>
        <w:t>in combination with high (electro)chemical stability</w:t>
      </w:r>
      <w:r w:rsidR="001F1139" w:rsidRPr="001F1139">
        <w:rPr>
          <w:lang w:val="en-US"/>
        </w:rPr>
        <w:t xml:space="preserve">, making them pivotal to various electrochemical </w:t>
      </w:r>
      <w:r w:rsidR="00FE0B85" w:rsidRPr="001F1139">
        <w:rPr>
          <w:lang w:val="en-US"/>
        </w:rPr>
        <w:t>devices</w:t>
      </w:r>
      <w:r w:rsidR="00FE0B85">
        <w:rPr>
          <w:rFonts w:cstheme="minorHAnsi"/>
          <w:lang w:val="en-US"/>
        </w:rPr>
        <w:t xml:space="preserve"> [</w:t>
      </w:r>
      <w:r w:rsidR="00EF05F8">
        <w:rPr>
          <w:rFonts w:cstheme="minorHAnsi"/>
          <w:lang w:val="en-US"/>
        </w:rPr>
        <w:t>1]</w:t>
      </w:r>
      <w:r w:rsidR="001F1139">
        <w:rPr>
          <w:lang w:val="en-US"/>
        </w:rPr>
        <w:t>.</w:t>
      </w:r>
    </w:p>
    <w:p w14:paraId="2D25B76F" w14:textId="63CF9DD8" w:rsidR="00A63476" w:rsidRDefault="00772CD6" w:rsidP="00C715E3">
      <w:pPr>
        <w:spacing w:line="360" w:lineRule="auto"/>
        <w:jc w:val="both"/>
        <w:rPr>
          <w:lang w:val="en-US"/>
        </w:rPr>
      </w:pPr>
      <w:r>
        <w:rPr>
          <w:lang w:val="en-US"/>
        </w:rPr>
        <w:t>E</w:t>
      </w:r>
      <w:r w:rsidR="001F1139" w:rsidRPr="001F1139">
        <w:rPr>
          <w:lang w:val="en-US"/>
        </w:rPr>
        <w:t>lectro-chemo-X (EC-X) devices or on-chip batteries and micro fuel cells</w:t>
      </w:r>
      <w:r w:rsidR="00260152">
        <w:rPr>
          <w:lang w:val="en-US"/>
        </w:rPr>
        <w:t>,</w:t>
      </w:r>
      <w:r w:rsidR="001F1139" w:rsidRPr="001F1139">
        <w:rPr>
          <w:lang w:val="en-US"/>
        </w:rPr>
        <w:t xml:space="preserve"> </w:t>
      </w:r>
      <w:r w:rsidR="00260152">
        <w:rPr>
          <w:lang w:val="en-US"/>
        </w:rPr>
        <w:t xml:space="preserve">however, </w:t>
      </w:r>
      <w:r w:rsidR="001F1139" w:rsidRPr="001F1139">
        <w:rPr>
          <w:lang w:val="en-US"/>
        </w:rPr>
        <w:t xml:space="preserve">are expected to operate in a </w:t>
      </w:r>
      <w:r w:rsidR="00260152">
        <w:rPr>
          <w:lang w:val="en-US"/>
        </w:rPr>
        <w:t xml:space="preserve">much lower </w:t>
      </w:r>
      <w:r w:rsidR="001F1139" w:rsidRPr="001F1139">
        <w:rPr>
          <w:lang w:val="en-US"/>
        </w:rPr>
        <w:t>temperature range between 200 °C and room temperature</w:t>
      </w:r>
      <w:r w:rsidR="00260152">
        <w:rPr>
          <w:lang w:val="en-US"/>
        </w:rPr>
        <w:t xml:space="preserve"> and require </w:t>
      </w:r>
      <w:r w:rsidR="00260152" w:rsidRPr="001F1139">
        <w:rPr>
          <w:lang w:val="en-US"/>
        </w:rPr>
        <w:t>chemical</w:t>
      </w:r>
      <w:r w:rsidR="00260152">
        <w:rPr>
          <w:lang w:val="en-US"/>
        </w:rPr>
        <w:t xml:space="preserve"> stability against</w:t>
      </w:r>
      <w:r w:rsidR="00260152" w:rsidRPr="001F1139">
        <w:rPr>
          <w:lang w:val="en-US"/>
        </w:rPr>
        <w:t xml:space="preserve"> Si and </w:t>
      </w:r>
      <w:r w:rsidR="00260152">
        <w:rPr>
          <w:lang w:val="en-US"/>
        </w:rPr>
        <w:t xml:space="preserve">easy </w:t>
      </w:r>
      <w:r w:rsidR="00260152" w:rsidRPr="001F1139">
        <w:rPr>
          <w:lang w:val="en-US"/>
        </w:rPr>
        <w:t>thin film preparation</w:t>
      </w:r>
      <w:r w:rsidR="00260152">
        <w:rPr>
          <w:lang w:val="en-US"/>
        </w:rPr>
        <w:t xml:space="preserve">, e.g. by sputtering. </w:t>
      </w:r>
      <w:r w:rsidR="001F1139" w:rsidRPr="001F1139">
        <w:rPr>
          <w:lang w:val="en-US"/>
        </w:rPr>
        <w:t>Promising</w:t>
      </w:r>
      <w:r w:rsidR="00260152">
        <w:rPr>
          <w:lang w:val="en-US"/>
        </w:rPr>
        <w:t xml:space="preserve"> fast</w:t>
      </w:r>
      <w:r w:rsidR="001F1139" w:rsidRPr="001F1139">
        <w:rPr>
          <w:lang w:val="en-US"/>
        </w:rPr>
        <w:t xml:space="preserve"> proton conductors for these applications</w:t>
      </w:r>
      <w:r w:rsidR="00260152">
        <w:rPr>
          <w:lang w:val="en-US"/>
        </w:rPr>
        <w:t xml:space="preserve"> </w:t>
      </w:r>
      <w:r w:rsidR="002F26B8">
        <w:rPr>
          <w:lang w:val="en-US"/>
        </w:rPr>
        <w:t xml:space="preserve">are </w:t>
      </w:r>
      <w:r w:rsidR="002F26B8" w:rsidRPr="001F1139">
        <w:rPr>
          <w:lang w:val="en-US"/>
        </w:rPr>
        <w:t>highly</w:t>
      </w:r>
      <w:r w:rsidR="001F1139" w:rsidRPr="001F1139">
        <w:rPr>
          <w:lang w:val="en-US"/>
        </w:rPr>
        <w:t xml:space="preserve"> doped ceria and zirconia,</w:t>
      </w:r>
      <w:r w:rsidR="00260152">
        <w:rPr>
          <w:lang w:val="en-US"/>
        </w:rPr>
        <w:t xml:space="preserve"> but</w:t>
      </w:r>
      <w:r w:rsidR="001F1139" w:rsidRPr="001F1139">
        <w:rPr>
          <w:lang w:val="en-US"/>
        </w:rPr>
        <w:t xml:space="preserve"> </w:t>
      </w:r>
      <w:r w:rsidR="00260152" w:rsidRPr="00260152">
        <w:rPr>
          <w:lang w:val="en-US"/>
        </w:rPr>
        <w:t xml:space="preserve">there are few reliable studies on the </w:t>
      </w:r>
      <w:r w:rsidR="00B14D43">
        <w:rPr>
          <w:lang w:val="en-US"/>
        </w:rPr>
        <w:t>ionic and electronic</w:t>
      </w:r>
      <w:r w:rsidR="00260152" w:rsidRPr="00260152">
        <w:rPr>
          <w:lang w:val="en-US"/>
        </w:rPr>
        <w:t xml:space="preserve"> conductivity of relevant materials</w:t>
      </w:r>
      <w:r w:rsidR="00260152">
        <w:rPr>
          <w:lang w:val="en-US"/>
        </w:rPr>
        <w:t xml:space="preserve"> </w:t>
      </w:r>
      <w:r w:rsidR="00260152">
        <w:rPr>
          <w:rFonts w:cstheme="minorHAnsi"/>
          <w:lang w:val="en-US"/>
        </w:rPr>
        <w:t>[</w:t>
      </w:r>
      <w:r w:rsidR="00EF05F8">
        <w:rPr>
          <w:rFonts w:cstheme="minorHAnsi"/>
          <w:lang w:val="en-US"/>
        </w:rPr>
        <w:t>2</w:t>
      </w:r>
      <w:r w:rsidR="00260152">
        <w:rPr>
          <w:rFonts w:cstheme="minorHAnsi"/>
          <w:lang w:val="en-US"/>
        </w:rPr>
        <w:t>].</w:t>
      </w:r>
    </w:p>
    <w:p w14:paraId="1AFAE6AE" w14:textId="7DF9E93B" w:rsidR="001F1139" w:rsidRDefault="001F1139" w:rsidP="00D42BB6">
      <w:pPr>
        <w:spacing w:line="360" w:lineRule="auto"/>
        <w:jc w:val="both"/>
        <w:rPr>
          <w:rFonts w:eastAsiaTheme="minorEastAsia" w:cstheme="minorHAnsi"/>
          <w:lang w:val="en-US"/>
        </w:rPr>
      </w:pPr>
      <w:r w:rsidRPr="001F1139">
        <w:rPr>
          <w:lang w:val="en-US"/>
        </w:rPr>
        <w:t>In recent years, significant attention has been directed towards materials with the general formula</w:t>
      </w:r>
      <w:r>
        <w:rPr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3+</m:t>
            </m:r>
          </m:sup>
        </m:sSubSup>
        <m:sSubSup>
          <m:sSubSupPr>
            <m:ctrlPr>
              <w:rPr>
                <w:rFonts w:ascii="Cambria Math" w:hAnsi="Cambria Math" w:cstheme="minorHAnsi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4+</m:t>
            </m:r>
          </m:sup>
        </m:sSubSup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7</m:t>
            </m:r>
          </m:sub>
        </m:sSub>
      </m:oMath>
      <w:r>
        <w:rPr>
          <w:rFonts w:eastAsiaTheme="minorEastAsia" w:cstheme="minorHAnsi"/>
          <w:lang w:val="en-US"/>
        </w:rPr>
        <w:t>,</w:t>
      </w:r>
      <w:r w:rsidR="0022062D">
        <w:rPr>
          <w:rFonts w:eastAsiaTheme="minorEastAsia" w:cstheme="minorHAnsi"/>
          <w:lang w:val="en-US"/>
        </w:rPr>
        <w:t xml:space="preserve"> </w:t>
      </w:r>
      <w:r w:rsidRPr="001F1139">
        <w:rPr>
          <w:rFonts w:eastAsiaTheme="minorEastAsia" w:cstheme="minorHAnsi"/>
          <w:lang w:val="en-US"/>
        </w:rPr>
        <w:t>which exhibit remarkable high-temperature proton conductivity coupled with oxygen ion conductivity. However, the precise structure of these materials is often challenging to predict and can vary from a fluorite-type to a pyrochlore or even a monoclinic structure, or a mixture of these structures</w:t>
      </w:r>
      <w:r w:rsidR="00FA702B">
        <w:rPr>
          <w:rFonts w:eastAsiaTheme="minorEastAsia" w:cstheme="minorHAnsi"/>
          <w:lang w:val="en-US"/>
        </w:rPr>
        <w:t xml:space="preserve"> </w:t>
      </w:r>
      <w:r w:rsidRPr="001F1139">
        <w:rPr>
          <w:rFonts w:eastAsiaTheme="minorEastAsia" w:cstheme="minorHAnsi"/>
          <w:lang w:val="en-US"/>
        </w:rPr>
        <w:t>[</w:t>
      </w:r>
      <w:r w:rsidR="00EF05F8">
        <w:rPr>
          <w:rFonts w:eastAsiaTheme="minorEastAsia" w:cstheme="minorHAnsi"/>
          <w:lang w:val="en-US"/>
        </w:rPr>
        <w:t>3</w:t>
      </w:r>
      <w:r w:rsidRPr="001F1139">
        <w:rPr>
          <w:rFonts w:eastAsiaTheme="minorEastAsia" w:cstheme="minorHAnsi"/>
          <w:lang w:val="en-US"/>
        </w:rPr>
        <w:t>]</w:t>
      </w:r>
      <w:r w:rsidR="00FA702B">
        <w:rPr>
          <w:rFonts w:eastAsiaTheme="minorEastAsia" w:cstheme="minorHAnsi"/>
          <w:lang w:val="en-US"/>
        </w:rPr>
        <w:t>.</w:t>
      </w:r>
      <w:r w:rsidRPr="001F1139">
        <w:rPr>
          <w:rFonts w:eastAsiaTheme="minorEastAsia" w:cstheme="minorHAnsi"/>
          <w:lang w:val="en-US"/>
        </w:rPr>
        <w:t xml:space="preserve"> </w:t>
      </w:r>
    </w:p>
    <w:p w14:paraId="432D9EE8" w14:textId="32FB2B5C" w:rsidR="009A4EF8" w:rsidRPr="004A164E" w:rsidRDefault="00912243" w:rsidP="00072E2E">
      <w:pPr>
        <w:spacing w:line="360" w:lineRule="auto"/>
        <w:jc w:val="both"/>
        <w:rPr>
          <w:lang w:val="en-US"/>
        </w:rPr>
      </w:pPr>
      <w:r w:rsidRPr="00912243">
        <w:rPr>
          <w:lang w:val="en-US"/>
        </w:rPr>
        <w:t xml:space="preserve">For this work, </w:t>
      </w:r>
      <w:r w:rsidR="00B14D43">
        <w:rPr>
          <w:lang w:val="en-US"/>
        </w:rPr>
        <w:t>materials with the composition</w:t>
      </w:r>
      <w:r>
        <w:rPr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3+</m:t>
            </m:r>
          </m:sup>
        </m:sSubSup>
        <m:sSubSup>
          <m:sSubSupPr>
            <m:ctrlPr>
              <w:rPr>
                <w:rFonts w:ascii="Cambria Math" w:hAnsi="Cambria Math" w:cstheme="minorHAnsi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4+</m:t>
            </m:r>
          </m:sup>
        </m:sSubSup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7</m:t>
            </m:r>
          </m:sub>
        </m:sSub>
      </m:oMath>
      <w:r>
        <w:rPr>
          <w:rFonts w:eastAsiaTheme="minorEastAsia"/>
          <w:lang w:val="en-US"/>
        </w:rPr>
        <w:t xml:space="preserve"> </w:t>
      </w:r>
      <w:r w:rsidR="00B14D43" w:rsidRPr="002F26B8">
        <w:rPr>
          <w:rFonts w:eastAsiaTheme="minorEastAsia"/>
          <w:lang w:val="en-US"/>
        </w:rPr>
        <w:t xml:space="preserve">(with A e.g. </w:t>
      </w:r>
      <w:r w:rsidR="002F26B8">
        <w:rPr>
          <w:rFonts w:eastAsiaTheme="minorEastAsia"/>
          <w:lang w:val="en-US"/>
        </w:rPr>
        <w:t xml:space="preserve">La, Y, </w:t>
      </w:r>
      <w:proofErr w:type="spellStart"/>
      <w:r w:rsidR="002F26B8">
        <w:rPr>
          <w:rFonts w:eastAsiaTheme="minorEastAsia"/>
          <w:lang w:val="en-US"/>
        </w:rPr>
        <w:t>Sm</w:t>
      </w:r>
      <w:proofErr w:type="spellEnd"/>
      <w:r w:rsidR="002F26B8">
        <w:rPr>
          <w:rFonts w:eastAsiaTheme="minorEastAsia"/>
          <w:lang w:val="en-US"/>
        </w:rPr>
        <w:t xml:space="preserve">, </w:t>
      </w:r>
      <w:proofErr w:type="spellStart"/>
      <w:r w:rsidR="002F26B8">
        <w:rPr>
          <w:rFonts w:eastAsiaTheme="minorEastAsia"/>
          <w:lang w:val="en-US"/>
        </w:rPr>
        <w:t>Pr</w:t>
      </w:r>
      <w:proofErr w:type="spellEnd"/>
      <w:r w:rsidR="00B14D43" w:rsidRPr="002F26B8">
        <w:rPr>
          <w:rFonts w:eastAsiaTheme="minorEastAsia"/>
          <w:lang w:val="en-US"/>
        </w:rPr>
        <w:t xml:space="preserve"> and B e.g. </w:t>
      </w:r>
      <w:r w:rsidR="002F26B8">
        <w:rPr>
          <w:rFonts w:eastAsiaTheme="minorEastAsia"/>
          <w:lang w:val="en-US"/>
        </w:rPr>
        <w:t xml:space="preserve">Ce, </w:t>
      </w:r>
      <w:proofErr w:type="spellStart"/>
      <w:r w:rsidR="002F26B8">
        <w:rPr>
          <w:rFonts w:eastAsiaTheme="minorEastAsia"/>
          <w:lang w:val="en-US"/>
        </w:rPr>
        <w:t>Zr</w:t>
      </w:r>
      <w:proofErr w:type="spellEnd"/>
      <w:r w:rsidR="00B14D43" w:rsidRPr="002F26B8">
        <w:rPr>
          <w:rFonts w:eastAsiaTheme="minorEastAsia"/>
          <w:lang w:val="en-US"/>
        </w:rPr>
        <w:t>)</w:t>
      </w:r>
      <w:r w:rsidR="00B14D43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were</w:t>
      </w:r>
      <w:r w:rsidR="002106B3">
        <w:rPr>
          <w:lang w:val="en-US"/>
        </w:rPr>
        <w:t xml:space="preserve"> </w:t>
      </w:r>
      <w:r w:rsidR="004A164E">
        <w:rPr>
          <w:lang w:val="en-US"/>
        </w:rPr>
        <w:t>prepared</w:t>
      </w:r>
      <w:r w:rsidR="004A164E" w:rsidRPr="008A76FE">
        <w:rPr>
          <w:i/>
          <w:lang w:val="en-US"/>
        </w:rPr>
        <w:t xml:space="preserve"> via</w:t>
      </w:r>
      <w:r w:rsidR="004A164E">
        <w:rPr>
          <w:lang w:val="en-US"/>
        </w:rPr>
        <w:t xml:space="preserve"> the Pechini method.</w:t>
      </w:r>
      <w:r w:rsidR="002106B3">
        <w:rPr>
          <w:lang w:val="en-US"/>
        </w:rPr>
        <w:t xml:space="preserve"> </w:t>
      </w:r>
      <w:r w:rsidR="00B14D43" w:rsidRPr="00B14D43">
        <w:rPr>
          <w:lang w:val="en-US"/>
        </w:rPr>
        <w:t>Using XRD, SEM and Raman spectroscopy, the pellets were characterized for purity and structural information.</w:t>
      </w:r>
      <w:r w:rsidR="00B14D43" w:rsidRPr="00B14D43" w:rsidDel="00B14D43">
        <w:rPr>
          <w:lang w:val="en-US"/>
        </w:rPr>
        <w:t xml:space="preserve"> </w:t>
      </w:r>
      <w:r w:rsidR="00B14D43" w:rsidRPr="00B14D43">
        <w:rPr>
          <w:rFonts w:eastAsiaTheme="minorEastAsia" w:cstheme="minorHAnsi"/>
          <w:lang w:val="en-US"/>
        </w:rPr>
        <w:t xml:space="preserve"> </w:t>
      </w:r>
      <w:r w:rsidR="00B14D43" w:rsidRPr="00620332">
        <w:rPr>
          <w:rFonts w:eastAsiaTheme="minorEastAsia" w:cstheme="minorHAnsi"/>
          <w:lang w:val="en-US"/>
        </w:rPr>
        <w:t xml:space="preserve">In order to gain a comprehensive understanding of the transport properties of the </w:t>
      </w:r>
      <w:r w:rsidR="00B14D43">
        <w:rPr>
          <w:rFonts w:eastAsiaTheme="minorEastAsia" w:cstheme="minorHAnsi"/>
          <w:lang w:val="en-US"/>
        </w:rPr>
        <w:t>samples</w:t>
      </w:r>
      <w:r w:rsidR="00B14D43" w:rsidRPr="00620332">
        <w:rPr>
          <w:rFonts w:eastAsiaTheme="minorEastAsia" w:cstheme="minorHAnsi"/>
          <w:lang w:val="en-US"/>
        </w:rPr>
        <w:t>, the ionic and electronic partial conductivit</w:t>
      </w:r>
      <w:r w:rsidR="00B14D43">
        <w:rPr>
          <w:rFonts w:eastAsiaTheme="minorEastAsia" w:cstheme="minorHAnsi"/>
          <w:lang w:val="en-US"/>
        </w:rPr>
        <w:t>ies</w:t>
      </w:r>
      <w:r w:rsidR="00B14D43" w:rsidRPr="00620332">
        <w:rPr>
          <w:rFonts w:eastAsiaTheme="minorEastAsia" w:cstheme="minorHAnsi"/>
          <w:lang w:val="en-US"/>
        </w:rPr>
        <w:t xml:space="preserve"> at high temperatures characterized</w:t>
      </w:r>
      <w:r w:rsidR="00B14D43">
        <w:rPr>
          <w:rFonts w:eastAsiaTheme="minorEastAsia" w:cstheme="minorHAnsi"/>
          <w:lang w:val="en-US"/>
        </w:rPr>
        <w:t xml:space="preserve"> by impedance spectroscopy and Hebb-Wagner measurements</w:t>
      </w:r>
      <w:r w:rsidR="00B14D43" w:rsidRPr="00620332">
        <w:rPr>
          <w:rFonts w:eastAsiaTheme="minorEastAsia" w:cstheme="minorHAnsi"/>
          <w:lang w:val="en-US"/>
        </w:rPr>
        <w:t>.</w:t>
      </w:r>
      <w:r w:rsidR="00B14D43">
        <w:rPr>
          <w:rFonts w:eastAsiaTheme="minorEastAsia" w:cstheme="minorHAnsi"/>
          <w:lang w:val="en-US"/>
        </w:rPr>
        <w:t xml:space="preserve"> G</w:t>
      </w:r>
      <w:r w:rsidR="00B14D43" w:rsidRPr="00E173DB">
        <w:rPr>
          <w:rFonts w:eastAsiaTheme="minorEastAsia" w:cstheme="minorHAnsi"/>
          <w:lang w:val="en-US"/>
        </w:rPr>
        <w:t>iven the low ionic conductivity at room temperature, atomic force microscopy</w:t>
      </w:r>
      <w:r w:rsidR="00B14D43">
        <w:rPr>
          <w:rFonts w:eastAsiaTheme="minorEastAsia" w:cstheme="minorHAnsi"/>
          <w:lang w:val="en-US"/>
        </w:rPr>
        <w:t xml:space="preserve"> </w:t>
      </w:r>
      <w:r w:rsidR="00B14D43" w:rsidRPr="00E173DB">
        <w:rPr>
          <w:rFonts w:eastAsiaTheme="minorEastAsia" w:cstheme="minorHAnsi"/>
          <w:lang w:val="en-US"/>
        </w:rPr>
        <w:t>(AFM)</w:t>
      </w:r>
      <w:r w:rsidR="00B14D43">
        <w:rPr>
          <w:rFonts w:eastAsiaTheme="minorEastAsia" w:cstheme="minorHAnsi"/>
          <w:lang w:val="en-US"/>
        </w:rPr>
        <w:t>-based measurement techniques</w:t>
      </w:r>
      <w:r w:rsidR="00B14D43" w:rsidRPr="00E173DB">
        <w:rPr>
          <w:rFonts w:eastAsiaTheme="minorEastAsia" w:cstheme="minorHAnsi"/>
          <w:lang w:val="en-US"/>
        </w:rPr>
        <w:t xml:space="preserve"> </w:t>
      </w:r>
      <w:r w:rsidR="00B14D43">
        <w:rPr>
          <w:rFonts w:eastAsiaTheme="minorEastAsia" w:cstheme="minorHAnsi"/>
          <w:lang w:val="en-US"/>
        </w:rPr>
        <w:t xml:space="preserve">were additionally </w:t>
      </w:r>
      <w:r w:rsidR="00B14D43" w:rsidRPr="00E173DB">
        <w:rPr>
          <w:rFonts w:eastAsiaTheme="minorEastAsia" w:cstheme="minorHAnsi"/>
          <w:lang w:val="en-US"/>
        </w:rPr>
        <w:t>employed to obtain information regarding near-surface</w:t>
      </w:r>
      <w:r w:rsidR="00B14D43">
        <w:rPr>
          <w:rFonts w:eastAsiaTheme="minorEastAsia" w:cstheme="minorHAnsi"/>
          <w:lang w:val="en-US"/>
        </w:rPr>
        <w:t xml:space="preserve"> transport</w:t>
      </w:r>
      <w:r w:rsidR="00B14D43" w:rsidRPr="00E173DB">
        <w:rPr>
          <w:rFonts w:eastAsiaTheme="minorEastAsia" w:cstheme="minorHAnsi"/>
          <w:lang w:val="en-US"/>
        </w:rPr>
        <w:t xml:space="preserve"> processes</w:t>
      </w:r>
      <w:r w:rsidR="00B14D43">
        <w:rPr>
          <w:rFonts w:eastAsiaTheme="minorEastAsia" w:cstheme="minorHAnsi"/>
          <w:lang w:val="en-US"/>
        </w:rPr>
        <w:t xml:space="preserve"> in this temperature regime</w:t>
      </w:r>
      <w:r w:rsidR="00251787">
        <w:rPr>
          <w:rFonts w:eastAsiaTheme="minorEastAsia" w:cstheme="minorHAnsi"/>
          <w:lang w:val="en-US"/>
        </w:rPr>
        <w:t xml:space="preserve"> </w:t>
      </w:r>
      <w:r w:rsidR="00B14D43" w:rsidRPr="001F1139">
        <w:rPr>
          <w:rFonts w:eastAsiaTheme="minorEastAsia" w:cstheme="minorHAnsi"/>
          <w:lang w:val="en-US"/>
        </w:rPr>
        <w:t>[</w:t>
      </w:r>
      <w:r w:rsidR="00EF05F8">
        <w:rPr>
          <w:rFonts w:eastAsiaTheme="minorEastAsia" w:cstheme="minorHAnsi"/>
          <w:lang w:val="en-US"/>
        </w:rPr>
        <w:t>4</w:t>
      </w:r>
      <w:r w:rsidR="00B14D43" w:rsidRPr="001F1139">
        <w:rPr>
          <w:rFonts w:eastAsiaTheme="minorEastAsia" w:cstheme="minorHAnsi"/>
          <w:lang w:val="en-US"/>
        </w:rPr>
        <w:t>]</w:t>
      </w:r>
      <w:r w:rsidR="00B14D43">
        <w:rPr>
          <w:rFonts w:eastAsiaTheme="minorEastAsia" w:cstheme="minorHAnsi"/>
          <w:lang w:val="en-US"/>
        </w:rPr>
        <w:t xml:space="preserve">: </w:t>
      </w:r>
      <w:r w:rsidR="00E173DB">
        <w:rPr>
          <w:lang w:val="en-US"/>
        </w:rPr>
        <w:t xml:space="preserve"> Kelvin Probe Force Microscopy (KPFM) </w:t>
      </w:r>
      <w:r w:rsidR="00B14D43">
        <w:rPr>
          <w:lang w:val="en-US"/>
        </w:rPr>
        <w:t>was</w:t>
      </w:r>
      <w:r w:rsidR="00E173DB">
        <w:rPr>
          <w:lang w:val="en-US"/>
        </w:rPr>
        <w:t xml:space="preserve"> used to analyze</w:t>
      </w:r>
      <w:r w:rsidR="00A70B37">
        <w:rPr>
          <w:lang w:val="en-US"/>
        </w:rPr>
        <w:t xml:space="preserve"> the surface potential, which is a sensitive indicator of </w:t>
      </w:r>
      <w:r w:rsidR="00772CD6">
        <w:rPr>
          <w:lang w:val="en-US"/>
        </w:rPr>
        <w:t xml:space="preserve">changes in </w:t>
      </w:r>
      <w:r w:rsidR="00A70B37">
        <w:rPr>
          <w:lang w:val="en-US"/>
        </w:rPr>
        <w:t>local defect</w:t>
      </w:r>
      <w:r w:rsidR="00772CD6">
        <w:rPr>
          <w:lang w:val="en-US"/>
        </w:rPr>
        <w:t xml:space="preserve"> concentrations</w:t>
      </w:r>
      <w:r w:rsidR="00A70B37">
        <w:rPr>
          <w:lang w:val="en-US"/>
        </w:rPr>
        <w:t xml:space="preserve"> and offers information about</w:t>
      </w:r>
      <w:r w:rsidR="00E173DB">
        <w:rPr>
          <w:lang w:val="en-US"/>
        </w:rPr>
        <w:t xml:space="preserve"> </w:t>
      </w:r>
      <w:r w:rsidR="00072E2E">
        <w:rPr>
          <w:lang w:val="en-US"/>
        </w:rPr>
        <w:t xml:space="preserve">the </w:t>
      </w:r>
      <w:r w:rsidR="00891B8B">
        <w:rPr>
          <w:lang w:val="en-US"/>
        </w:rPr>
        <w:t>bulk</w:t>
      </w:r>
      <w:r w:rsidR="00072E2E">
        <w:rPr>
          <w:lang w:val="en-US"/>
        </w:rPr>
        <w:t xml:space="preserve"> and grain boundary potential differences</w:t>
      </w:r>
      <w:r w:rsidR="00772CD6">
        <w:rPr>
          <w:lang w:val="en-US"/>
        </w:rPr>
        <w:t xml:space="preserve">, thus </w:t>
      </w:r>
      <w:r w:rsidR="00072E2E">
        <w:rPr>
          <w:lang w:val="en-US"/>
        </w:rPr>
        <w:t xml:space="preserve">providing </w:t>
      </w:r>
      <w:r w:rsidR="00891B8B">
        <w:rPr>
          <w:lang w:val="en-US"/>
        </w:rPr>
        <w:t xml:space="preserve">insights into </w:t>
      </w:r>
      <w:r w:rsidR="00772CD6">
        <w:rPr>
          <w:lang w:val="en-US"/>
        </w:rPr>
        <w:t>differences in transport characteristics</w:t>
      </w:r>
      <w:r w:rsidR="00072E2E">
        <w:rPr>
          <w:lang w:val="en-US"/>
        </w:rPr>
        <w:t xml:space="preserve"> </w:t>
      </w:r>
      <w:r w:rsidR="00891B8B" w:rsidRPr="002637AF">
        <w:rPr>
          <w:rFonts w:cstheme="minorHAnsi"/>
          <w:lang w:val="en-US"/>
        </w:rPr>
        <w:t>[</w:t>
      </w:r>
      <w:r w:rsidR="00EF05F8">
        <w:rPr>
          <w:rFonts w:cstheme="minorHAnsi"/>
          <w:lang w:val="en-US"/>
        </w:rPr>
        <w:t>5</w:t>
      </w:r>
      <w:r w:rsidR="00891B8B" w:rsidRPr="002637AF">
        <w:rPr>
          <w:rFonts w:cstheme="minorHAnsi"/>
          <w:lang w:val="en-US"/>
        </w:rPr>
        <w:t>]</w:t>
      </w:r>
      <w:r w:rsidR="00072E2E">
        <w:rPr>
          <w:lang w:val="en-US"/>
        </w:rPr>
        <w:t xml:space="preserve">. The electrochemical results are discussed in line with the precise structure and in the </w:t>
      </w:r>
      <w:r w:rsidR="00AA09CF">
        <w:rPr>
          <w:lang w:val="en-US"/>
        </w:rPr>
        <w:t>context</w:t>
      </w:r>
      <w:r w:rsidR="00072E2E">
        <w:rPr>
          <w:lang w:val="en-US"/>
        </w:rPr>
        <w:t xml:space="preserve"> of a defect model.</w:t>
      </w:r>
    </w:p>
    <w:p w14:paraId="4835F2D0" w14:textId="77777777" w:rsidR="00AF4651" w:rsidRDefault="00AF4651" w:rsidP="00AF4651">
      <w:pPr>
        <w:rPr>
          <w:lang w:val="en-US"/>
        </w:rPr>
      </w:pPr>
      <w:r w:rsidRPr="00CF3AAA">
        <w:rPr>
          <w:b/>
          <w:lang w:val="en-US"/>
        </w:rPr>
        <w:lastRenderedPageBreak/>
        <w:t>Acknowledgements:</w:t>
      </w:r>
      <w:r>
        <w:rPr>
          <w:lang w:val="en-US"/>
        </w:rPr>
        <w:t xml:space="preserve"> The present study was funded by the German Research Foundation – project #</w:t>
      </w:r>
      <w:r w:rsidRPr="002637AF">
        <w:rPr>
          <w:lang w:val="en-US"/>
        </w:rPr>
        <w:t>52316440</w:t>
      </w:r>
      <w:r>
        <w:rPr>
          <w:lang w:val="en-US"/>
        </w:rPr>
        <w:t>.</w:t>
      </w:r>
    </w:p>
    <w:p w14:paraId="58B0E8CF" w14:textId="397F335E" w:rsidR="00FA702B" w:rsidRDefault="00FA702B" w:rsidP="00FA702B">
      <w:pPr>
        <w:spacing w:after="0"/>
        <w:jc w:val="both"/>
        <w:rPr>
          <w:b/>
          <w:lang w:val="en-US"/>
        </w:rPr>
      </w:pPr>
      <w:r w:rsidRPr="00CF3AAA">
        <w:rPr>
          <w:b/>
          <w:lang w:val="en-US"/>
        </w:rPr>
        <w:t>Literature:</w:t>
      </w:r>
    </w:p>
    <w:p w14:paraId="5FE2824D" w14:textId="5DE4E43B" w:rsidR="00EF05F8" w:rsidRPr="00FA702B" w:rsidRDefault="00EF05F8" w:rsidP="00EF05F8">
      <w:pPr>
        <w:spacing w:after="0"/>
        <w:ind w:left="705" w:hanging="705"/>
        <w:jc w:val="both"/>
        <w:rPr>
          <w:b/>
          <w:lang w:val="en-US"/>
        </w:rPr>
      </w:pPr>
      <w:r w:rsidRPr="002637AF">
        <w:rPr>
          <w:rFonts w:cstheme="minorHAnsi"/>
          <w:lang w:val="en-US"/>
        </w:rPr>
        <w:t>[1]</w:t>
      </w:r>
      <w:r>
        <w:rPr>
          <w:b/>
          <w:lang w:val="en-US"/>
        </w:rPr>
        <w:tab/>
      </w:r>
      <w:r w:rsidRPr="00EF05F8">
        <w:rPr>
          <w:lang w:val="en-US"/>
        </w:rPr>
        <w:t>D.A.</w:t>
      </w:r>
      <w:r>
        <w:rPr>
          <w:lang w:val="en-US"/>
        </w:rPr>
        <w:t xml:space="preserve"> </w:t>
      </w:r>
      <w:proofErr w:type="spellStart"/>
      <w:r w:rsidRPr="00EF05F8">
        <w:rPr>
          <w:lang w:val="en-US"/>
        </w:rPr>
        <w:t>Agarkov</w:t>
      </w:r>
      <w:proofErr w:type="spellEnd"/>
      <w:r w:rsidRPr="00EF05F8">
        <w:rPr>
          <w:lang w:val="en-US"/>
        </w:rPr>
        <w:t>, M.A</w:t>
      </w:r>
      <w:r>
        <w:rPr>
          <w:lang w:val="en-US"/>
        </w:rPr>
        <w:t>.</w:t>
      </w:r>
      <w:r w:rsidRPr="00EF05F8">
        <w:rPr>
          <w:lang w:val="en-US"/>
        </w:rPr>
        <w:t xml:space="preserve"> </w:t>
      </w:r>
      <w:proofErr w:type="spellStart"/>
      <w:r w:rsidRPr="00EF05F8">
        <w:rPr>
          <w:lang w:val="en-US"/>
        </w:rPr>
        <w:t>Borik</w:t>
      </w:r>
      <w:proofErr w:type="spellEnd"/>
      <w:r w:rsidRPr="00EF05F8">
        <w:rPr>
          <w:lang w:val="en-US"/>
        </w:rPr>
        <w:t>, G.M</w:t>
      </w:r>
      <w:r>
        <w:rPr>
          <w:lang w:val="en-US"/>
        </w:rPr>
        <w:t>.</w:t>
      </w:r>
      <w:r w:rsidRPr="00EF05F8">
        <w:rPr>
          <w:lang w:val="en-US"/>
        </w:rPr>
        <w:t xml:space="preserve"> </w:t>
      </w:r>
      <w:proofErr w:type="spellStart"/>
      <w:r w:rsidRPr="00EF05F8">
        <w:rPr>
          <w:lang w:val="en-US"/>
        </w:rPr>
        <w:t>Korableva</w:t>
      </w:r>
      <w:proofErr w:type="spellEnd"/>
      <w:r w:rsidRPr="00EF05F8">
        <w:rPr>
          <w:lang w:val="en-US"/>
        </w:rPr>
        <w:t xml:space="preserve">, </w:t>
      </w:r>
      <w:r w:rsidRPr="00EF05F8">
        <w:rPr>
          <w:i/>
          <w:iCs/>
          <w:lang w:val="en-US"/>
        </w:rPr>
        <w:t>et al.</w:t>
      </w:r>
      <w:r>
        <w:rPr>
          <w:lang w:val="en-US"/>
        </w:rPr>
        <w:t xml:space="preserve">, </w:t>
      </w:r>
      <w:r w:rsidRPr="00EF05F8">
        <w:rPr>
          <w:i/>
          <w:iCs/>
          <w:lang w:val="en-US"/>
        </w:rPr>
        <w:t xml:space="preserve">J Solid State </w:t>
      </w:r>
      <w:proofErr w:type="spellStart"/>
      <w:r w:rsidRPr="00EF05F8">
        <w:rPr>
          <w:i/>
          <w:iCs/>
          <w:lang w:val="en-US"/>
        </w:rPr>
        <w:t>Electrochem</w:t>
      </w:r>
      <w:proofErr w:type="spellEnd"/>
      <w:r w:rsidRPr="00EF05F8">
        <w:rPr>
          <w:lang w:val="en-US"/>
        </w:rPr>
        <w:t xml:space="preserve"> </w:t>
      </w:r>
      <w:r w:rsidRPr="00EF05F8">
        <w:rPr>
          <w:b/>
          <w:bCs/>
          <w:lang w:val="en-US"/>
        </w:rPr>
        <w:t>28</w:t>
      </w:r>
      <w:r w:rsidRPr="00EF05F8">
        <w:rPr>
          <w:lang w:val="en-US"/>
        </w:rPr>
        <w:t>,</w:t>
      </w:r>
      <w:r>
        <w:rPr>
          <w:lang w:val="en-US"/>
        </w:rPr>
        <w:t xml:space="preserve"> (2024)</w:t>
      </w:r>
      <w:r w:rsidRPr="00EF05F8">
        <w:rPr>
          <w:lang w:val="en-US"/>
        </w:rPr>
        <w:t xml:space="preserve"> 1901–1908</w:t>
      </w:r>
      <w:r>
        <w:rPr>
          <w:lang w:val="en-US"/>
        </w:rPr>
        <w:t>.</w:t>
      </w:r>
    </w:p>
    <w:p w14:paraId="15E01F79" w14:textId="34DD6C1D" w:rsidR="00FA702B" w:rsidRPr="002637AF" w:rsidRDefault="00FA702B" w:rsidP="00FA702B">
      <w:pPr>
        <w:spacing w:after="0"/>
        <w:ind w:left="705" w:hanging="705"/>
        <w:jc w:val="both"/>
        <w:rPr>
          <w:rFonts w:cstheme="minorHAnsi"/>
          <w:lang w:val="en-US"/>
        </w:rPr>
      </w:pPr>
      <w:r w:rsidRPr="002637AF">
        <w:rPr>
          <w:rFonts w:cstheme="minorHAnsi"/>
          <w:lang w:val="en-US"/>
        </w:rPr>
        <w:t>[</w:t>
      </w:r>
      <w:r w:rsidR="00EF05F8">
        <w:rPr>
          <w:rFonts w:cstheme="minorHAnsi"/>
          <w:lang w:val="en-US"/>
        </w:rPr>
        <w:t>2</w:t>
      </w:r>
      <w:r w:rsidRPr="002637AF">
        <w:rPr>
          <w:rFonts w:cstheme="minorHAnsi"/>
          <w:lang w:val="en-US"/>
        </w:rPr>
        <w:t>]</w:t>
      </w:r>
      <w:r w:rsidRPr="002637AF">
        <w:rPr>
          <w:rFonts w:cstheme="minorHAnsi"/>
          <w:lang w:val="en-US"/>
        </w:rPr>
        <w:tab/>
        <w:t xml:space="preserve">K. Neuhaus, H. D. </w:t>
      </w:r>
      <w:proofErr w:type="spellStart"/>
      <w:r w:rsidRPr="002637AF">
        <w:rPr>
          <w:rFonts w:cstheme="minorHAnsi"/>
          <w:lang w:val="en-US"/>
        </w:rPr>
        <w:t>Wiemhöfer</w:t>
      </w:r>
      <w:proofErr w:type="spellEnd"/>
      <w:r w:rsidRPr="002637AF">
        <w:rPr>
          <w:rFonts w:cstheme="minorHAnsi"/>
          <w:lang w:val="en-US"/>
        </w:rPr>
        <w:t xml:space="preserve">, </w:t>
      </w:r>
      <w:r w:rsidRPr="002637AF">
        <w:rPr>
          <w:rFonts w:cstheme="minorHAnsi"/>
          <w:i/>
          <w:lang w:val="en-US"/>
        </w:rPr>
        <w:t>Solid State Ionics</w:t>
      </w:r>
      <w:r w:rsidRPr="002637AF">
        <w:rPr>
          <w:rFonts w:cstheme="minorHAnsi"/>
          <w:lang w:val="en-US"/>
        </w:rPr>
        <w:t xml:space="preserve">. </w:t>
      </w:r>
      <w:r w:rsidRPr="002637AF">
        <w:rPr>
          <w:rFonts w:cstheme="minorHAnsi"/>
          <w:b/>
          <w:lang w:val="en-US"/>
        </w:rPr>
        <w:t>371</w:t>
      </w:r>
      <w:r w:rsidRPr="002637AF">
        <w:rPr>
          <w:rFonts w:cstheme="minorHAnsi"/>
          <w:lang w:val="en-US"/>
        </w:rPr>
        <w:t xml:space="preserve"> (2021) 115771.</w:t>
      </w:r>
    </w:p>
    <w:p w14:paraId="5224295E" w14:textId="0870F7AF" w:rsidR="00FA702B" w:rsidRPr="002637AF" w:rsidRDefault="00FA702B" w:rsidP="00FA702B">
      <w:pPr>
        <w:spacing w:after="0"/>
        <w:ind w:left="705" w:hanging="705"/>
        <w:jc w:val="both"/>
        <w:rPr>
          <w:rFonts w:cstheme="minorHAnsi"/>
        </w:rPr>
      </w:pPr>
      <w:r w:rsidRPr="00DD756D">
        <w:rPr>
          <w:rFonts w:cstheme="minorHAnsi"/>
          <w:lang w:val="en-US"/>
        </w:rPr>
        <w:t>[</w:t>
      </w:r>
      <w:r w:rsidR="00EF05F8">
        <w:rPr>
          <w:rFonts w:cstheme="minorHAnsi"/>
          <w:lang w:val="en-US"/>
        </w:rPr>
        <w:t>3</w:t>
      </w:r>
      <w:r w:rsidRPr="00DD756D">
        <w:rPr>
          <w:rFonts w:cstheme="minorHAnsi"/>
          <w:lang w:val="en-US"/>
        </w:rPr>
        <w:t>]</w:t>
      </w:r>
      <w:r w:rsidRPr="00DD756D">
        <w:rPr>
          <w:rFonts w:cstheme="minorHAnsi"/>
          <w:lang w:val="en-US"/>
        </w:rPr>
        <w:tab/>
        <w:t xml:space="preserve">M.A. Subramanian, G. </w:t>
      </w:r>
      <w:proofErr w:type="spellStart"/>
      <w:r w:rsidRPr="00DD756D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ravamudan</w:t>
      </w:r>
      <w:proofErr w:type="spellEnd"/>
      <w:r>
        <w:rPr>
          <w:rFonts w:cstheme="minorHAnsi"/>
          <w:lang w:val="en-US"/>
        </w:rPr>
        <w:t xml:space="preserve">, G.V.s. Rao, </w:t>
      </w:r>
      <w:r>
        <w:rPr>
          <w:rFonts w:cstheme="minorHAnsi"/>
          <w:i/>
          <w:lang w:val="en-US"/>
        </w:rPr>
        <w:t xml:space="preserve">Prog. </w:t>
      </w:r>
      <w:r w:rsidRPr="002637AF">
        <w:rPr>
          <w:rFonts w:cstheme="minorHAnsi"/>
          <w:i/>
        </w:rPr>
        <w:t>Solid State Chem</w:t>
      </w:r>
      <w:r w:rsidRPr="002637AF">
        <w:rPr>
          <w:rFonts w:cstheme="minorHAnsi"/>
        </w:rPr>
        <w:t xml:space="preserve">. </w:t>
      </w:r>
      <w:r w:rsidRPr="002637AF">
        <w:rPr>
          <w:rFonts w:cstheme="minorHAnsi"/>
          <w:b/>
        </w:rPr>
        <w:t>15</w:t>
      </w:r>
      <w:r w:rsidRPr="002637AF">
        <w:rPr>
          <w:rFonts w:cstheme="minorHAnsi"/>
        </w:rPr>
        <w:t xml:space="preserve"> (1983) (2) 55-143.</w:t>
      </w:r>
    </w:p>
    <w:p w14:paraId="5053CEC5" w14:textId="74681F1C" w:rsidR="00FA702B" w:rsidRPr="00FA702B" w:rsidRDefault="00FA702B" w:rsidP="00FA702B">
      <w:pPr>
        <w:spacing w:after="0"/>
        <w:ind w:left="705" w:hanging="705"/>
        <w:jc w:val="both"/>
        <w:rPr>
          <w:rFonts w:cstheme="minorHAnsi"/>
        </w:rPr>
      </w:pPr>
      <w:r w:rsidRPr="00DD756D">
        <w:rPr>
          <w:rFonts w:cstheme="minorHAnsi"/>
        </w:rPr>
        <w:t>[</w:t>
      </w:r>
      <w:r w:rsidR="00EF05F8">
        <w:rPr>
          <w:rFonts w:cstheme="minorHAnsi"/>
        </w:rPr>
        <w:t>4</w:t>
      </w:r>
      <w:r w:rsidRPr="00DD756D">
        <w:rPr>
          <w:rFonts w:cstheme="minorHAnsi"/>
        </w:rPr>
        <w:t>]</w:t>
      </w:r>
      <w:r w:rsidRPr="00DD756D">
        <w:rPr>
          <w:rFonts w:cstheme="minorHAnsi"/>
        </w:rPr>
        <w:tab/>
        <w:t>K. Neuhaus, C. Schmidt, L</w:t>
      </w:r>
      <w:r>
        <w:rPr>
          <w:rFonts w:cstheme="minorHAnsi"/>
        </w:rPr>
        <w:t xml:space="preserve">. Fischer, W. A. </w:t>
      </w:r>
      <w:proofErr w:type="spellStart"/>
      <w:r>
        <w:rPr>
          <w:rFonts w:cstheme="minorHAnsi"/>
        </w:rPr>
        <w:t>Meulenberg</w:t>
      </w:r>
      <w:proofErr w:type="spellEnd"/>
      <w:r>
        <w:rPr>
          <w:rFonts w:cstheme="minorHAnsi"/>
        </w:rPr>
        <w:t xml:space="preserve">, K. Ran, J. Mayer, S. Baumann, </w:t>
      </w:r>
      <w:r>
        <w:rPr>
          <w:rFonts w:cstheme="minorHAnsi"/>
          <w:i/>
        </w:rPr>
        <w:t>Beilstein</w:t>
      </w:r>
      <w:r w:rsidR="00B41691">
        <w:rPr>
          <w:rFonts w:cstheme="minorHAnsi"/>
          <w:i/>
        </w:rPr>
        <w:t xml:space="preserve"> </w:t>
      </w:r>
      <w:r>
        <w:rPr>
          <w:rFonts w:cstheme="minorHAnsi"/>
          <w:i/>
        </w:rPr>
        <w:t>J. Nanotechnology</w:t>
      </w:r>
      <w:r>
        <w:rPr>
          <w:rFonts w:cstheme="minorHAnsi"/>
        </w:rPr>
        <w:t>. (2021) (12) 1380-1391.</w:t>
      </w:r>
    </w:p>
    <w:p w14:paraId="3A302A51" w14:textId="6063786C" w:rsidR="009A4EF8" w:rsidRPr="00B41691" w:rsidRDefault="00891B8B" w:rsidP="004A164E">
      <w:pPr>
        <w:jc w:val="both"/>
      </w:pPr>
      <w:r w:rsidRPr="00B41691">
        <w:rPr>
          <w:rFonts w:cstheme="minorHAnsi"/>
        </w:rPr>
        <w:t>[</w:t>
      </w:r>
      <w:r w:rsidR="00EF05F8" w:rsidRPr="00B41691">
        <w:rPr>
          <w:rFonts w:cstheme="minorHAnsi"/>
        </w:rPr>
        <w:t>5</w:t>
      </w:r>
      <w:r w:rsidRPr="00B41691">
        <w:rPr>
          <w:rFonts w:cstheme="minorHAnsi"/>
        </w:rPr>
        <w:t>]</w:t>
      </w:r>
      <w:r w:rsidRPr="00B41691">
        <w:rPr>
          <w:rFonts w:cstheme="minorHAnsi"/>
        </w:rPr>
        <w:tab/>
        <w:t xml:space="preserve">S. Sadewasser, G. T. </w:t>
      </w:r>
      <w:r w:rsidRPr="00B41691">
        <w:rPr>
          <w:rFonts w:cstheme="minorHAnsi"/>
          <w:i/>
        </w:rPr>
        <w:t>Kelvin Probe Force Microscopy</w:t>
      </w:r>
      <w:r w:rsidRPr="00B41691">
        <w:rPr>
          <w:rFonts w:cstheme="minorHAnsi"/>
        </w:rPr>
        <w:t>; 2012.</w:t>
      </w:r>
    </w:p>
    <w:sectPr w:rsidR="009A4EF8" w:rsidRPr="00B41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B11AA"/>
    <w:multiLevelType w:val="multilevel"/>
    <w:tmpl w:val="C7BC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BE"/>
    <w:rsid w:val="00072E2E"/>
    <w:rsid w:val="0008158A"/>
    <w:rsid w:val="000D0D32"/>
    <w:rsid w:val="001753E4"/>
    <w:rsid w:val="001F1139"/>
    <w:rsid w:val="00204FFF"/>
    <w:rsid w:val="002106B3"/>
    <w:rsid w:val="0022062D"/>
    <w:rsid w:val="00251787"/>
    <w:rsid w:val="00260152"/>
    <w:rsid w:val="002F26B8"/>
    <w:rsid w:val="00434BBE"/>
    <w:rsid w:val="004632E2"/>
    <w:rsid w:val="0047247B"/>
    <w:rsid w:val="004A164E"/>
    <w:rsid w:val="00620332"/>
    <w:rsid w:val="00653692"/>
    <w:rsid w:val="00761096"/>
    <w:rsid w:val="00772A42"/>
    <w:rsid w:val="00772CD6"/>
    <w:rsid w:val="00891B8B"/>
    <w:rsid w:val="00912243"/>
    <w:rsid w:val="009A4EF8"/>
    <w:rsid w:val="00A63476"/>
    <w:rsid w:val="00A70B37"/>
    <w:rsid w:val="00AA09CF"/>
    <w:rsid w:val="00AF4651"/>
    <w:rsid w:val="00B00DE6"/>
    <w:rsid w:val="00B14D43"/>
    <w:rsid w:val="00B41691"/>
    <w:rsid w:val="00C715E3"/>
    <w:rsid w:val="00D42BB6"/>
    <w:rsid w:val="00DF1F10"/>
    <w:rsid w:val="00E173DB"/>
    <w:rsid w:val="00EC56F4"/>
    <w:rsid w:val="00EE7F04"/>
    <w:rsid w:val="00EF05F8"/>
    <w:rsid w:val="00F1737B"/>
    <w:rsid w:val="00F70AC2"/>
    <w:rsid w:val="00FA702B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DBC"/>
  <w15:chartTrackingRefBased/>
  <w15:docId w15:val="{5F153CD0-552B-44EE-BFEB-1C5877A9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4B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63476"/>
    <w:rPr>
      <w:b/>
      <w:bCs/>
    </w:rPr>
  </w:style>
  <w:style w:type="paragraph" w:styleId="StandardWeb">
    <w:name w:val="Normal (Web)"/>
    <w:basedOn w:val="Standard"/>
    <w:uiPriority w:val="99"/>
    <w:unhideWhenUsed/>
    <w:rsid w:val="00A6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2C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2C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2C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C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C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Mowe, Patrick</dc:creator>
  <cp:keywords/>
  <dc:description/>
  <cp:lastModifiedBy>Neuhaus, Kerstin</cp:lastModifiedBy>
  <cp:revision>2</cp:revision>
  <dcterms:created xsi:type="dcterms:W3CDTF">2025-07-28T07:48:00Z</dcterms:created>
  <dcterms:modified xsi:type="dcterms:W3CDTF">2025-07-28T07:48:00Z</dcterms:modified>
</cp:coreProperties>
</file>