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Document.xml" ContentType="application/vnd.openxmlformats-officedocument.wordprocessingml.people+xml"/>
  <Override PartName="/word/commentsExtendedDocument.xml" ContentType="application/vnd.openxmlformats-officedocument.wordprocessingml.commentsExtended+xml"/>
  <Override PartName="/word/commentsExtensibleDocument.xml" ContentType="application/vnd.openxmlformats-officedocument.wordprocessingml.commentsExtensible+xml"/>
  <Override PartName="/word/commentsIdsDocument.xml" ContentType="application/vnd.openxmlformats-officedocument.wordprocessingml.commentsIds+xml"/>
  <Override PartName="/word/commentsDocument.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D8E63E" w14:textId="1BBC8E82" w:rsidR="00B53C39" w:rsidRPr="003E0254" w:rsidRDefault="00F05702" w:rsidP="00BA27C0">
      <w:pPr>
        <w:ind w:firstLine="720"/>
        <w:jc w:val="center"/>
        <w:rPr>
          <w:rFonts w:asciiTheme="majorHAnsi" w:eastAsiaTheme="majorEastAsia" w:hAnsiTheme="majorHAnsi" w:cstheme="majorBidi"/>
          <w:color w:val="0F4761" w:themeColor="accent1" w:themeShade="BF"/>
          <w:sz w:val="40"/>
          <w:szCs w:val="40"/>
        </w:rPr>
      </w:pPr>
      <w:bookmarkStart w:id="0" w:name="_Hlk195102449"/>
      <w:r w:rsidRPr="003E0254">
        <w:rPr>
          <w:rFonts w:asciiTheme="majorHAnsi" w:eastAsiaTheme="majorEastAsia" w:hAnsiTheme="majorHAnsi" w:cstheme="majorBidi"/>
          <w:color w:val="0F4761" w:themeColor="accent1" w:themeShade="BF"/>
          <w:sz w:val="40"/>
          <w:szCs w:val="40"/>
        </w:rPr>
        <w:t>C</w:t>
      </w:r>
      <w:r w:rsidR="00E36818" w:rsidRPr="003E0254">
        <w:rPr>
          <w:rFonts w:asciiTheme="majorHAnsi" w:eastAsiaTheme="majorEastAsia" w:hAnsiTheme="majorHAnsi" w:cstheme="majorBidi"/>
          <w:color w:val="0F4761" w:themeColor="accent1" w:themeShade="BF"/>
          <w:sz w:val="40"/>
          <w:szCs w:val="40"/>
        </w:rPr>
        <w:t xml:space="preserve">ompetitive </w:t>
      </w:r>
      <w:r w:rsidRPr="003E0254">
        <w:rPr>
          <w:rFonts w:asciiTheme="majorHAnsi" w:eastAsiaTheme="majorEastAsia" w:hAnsiTheme="majorHAnsi" w:cstheme="majorBidi"/>
          <w:color w:val="0F4761" w:themeColor="accent1" w:themeShade="BF"/>
          <w:sz w:val="40"/>
          <w:szCs w:val="40"/>
        </w:rPr>
        <w:t>R</w:t>
      </w:r>
      <w:r w:rsidR="00E36818" w:rsidRPr="003E0254">
        <w:rPr>
          <w:rFonts w:asciiTheme="majorHAnsi" w:eastAsiaTheme="majorEastAsia" w:hAnsiTheme="majorHAnsi" w:cstheme="majorBidi"/>
          <w:color w:val="0F4761" w:themeColor="accent1" w:themeShade="BF"/>
          <w:sz w:val="40"/>
          <w:szCs w:val="40"/>
        </w:rPr>
        <w:t xml:space="preserve">echargeable </w:t>
      </w:r>
      <w:r w:rsidRPr="003E0254">
        <w:rPr>
          <w:rFonts w:asciiTheme="majorHAnsi" w:eastAsiaTheme="majorEastAsia" w:hAnsiTheme="majorHAnsi" w:cstheme="majorBidi"/>
          <w:color w:val="0F4761" w:themeColor="accent1" w:themeShade="BF"/>
          <w:sz w:val="40"/>
          <w:szCs w:val="40"/>
        </w:rPr>
        <w:t>Z</w:t>
      </w:r>
      <w:r w:rsidR="00E36818" w:rsidRPr="003E0254">
        <w:rPr>
          <w:rFonts w:asciiTheme="majorHAnsi" w:eastAsiaTheme="majorEastAsia" w:hAnsiTheme="majorHAnsi" w:cstheme="majorBidi"/>
          <w:color w:val="0F4761" w:themeColor="accent1" w:themeShade="BF"/>
          <w:sz w:val="40"/>
          <w:szCs w:val="40"/>
        </w:rPr>
        <w:t xml:space="preserve">inc </w:t>
      </w:r>
      <w:r w:rsidRPr="003E0254">
        <w:rPr>
          <w:rFonts w:asciiTheme="majorHAnsi" w:eastAsiaTheme="majorEastAsia" w:hAnsiTheme="majorHAnsi" w:cstheme="majorBidi"/>
          <w:color w:val="0F4761" w:themeColor="accent1" w:themeShade="BF"/>
          <w:sz w:val="40"/>
          <w:szCs w:val="40"/>
        </w:rPr>
        <w:t>B</w:t>
      </w:r>
      <w:r w:rsidR="00E36818" w:rsidRPr="003E0254">
        <w:rPr>
          <w:rFonts w:asciiTheme="majorHAnsi" w:eastAsiaTheme="majorEastAsia" w:hAnsiTheme="majorHAnsi" w:cstheme="majorBidi"/>
          <w:color w:val="0F4761" w:themeColor="accent1" w:themeShade="BF"/>
          <w:sz w:val="40"/>
          <w:szCs w:val="40"/>
        </w:rPr>
        <w:t xml:space="preserve">atteries for </w:t>
      </w:r>
      <w:r w:rsidRPr="003E0254">
        <w:rPr>
          <w:rFonts w:asciiTheme="majorHAnsi" w:eastAsiaTheme="majorEastAsia" w:hAnsiTheme="majorHAnsi" w:cstheme="majorBidi"/>
          <w:color w:val="0F4761" w:themeColor="accent1" w:themeShade="BF"/>
          <w:sz w:val="40"/>
          <w:szCs w:val="40"/>
        </w:rPr>
        <w:t>E</w:t>
      </w:r>
      <w:r w:rsidR="00E36818" w:rsidRPr="003E0254">
        <w:rPr>
          <w:rFonts w:asciiTheme="majorHAnsi" w:eastAsiaTheme="majorEastAsia" w:hAnsiTheme="majorHAnsi" w:cstheme="majorBidi"/>
          <w:color w:val="0F4761" w:themeColor="accent1" w:themeShade="BF"/>
          <w:sz w:val="40"/>
          <w:szCs w:val="40"/>
        </w:rPr>
        <w:t xml:space="preserve">nergy </w:t>
      </w:r>
      <w:r w:rsidRPr="003E0254">
        <w:rPr>
          <w:rFonts w:asciiTheme="majorHAnsi" w:eastAsiaTheme="majorEastAsia" w:hAnsiTheme="majorHAnsi" w:cstheme="majorBidi"/>
          <w:color w:val="0F4761" w:themeColor="accent1" w:themeShade="BF"/>
          <w:sz w:val="40"/>
          <w:szCs w:val="40"/>
        </w:rPr>
        <w:t>S</w:t>
      </w:r>
      <w:r w:rsidR="00E36818" w:rsidRPr="003E0254">
        <w:rPr>
          <w:rFonts w:asciiTheme="majorHAnsi" w:eastAsiaTheme="majorEastAsia" w:hAnsiTheme="majorHAnsi" w:cstheme="majorBidi"/>
          <w:color w:val="0F4761" w:themeColor="accent1" w:themeShade="BF"/>
          <w:sz w:val="40"/>
          <w:szCs w:val="40"/>
        </w:rPr>
        <w:t>torage</w:t>
      </w:r>
    </w:p>
    <w:p w14:paraId="5F05A493" w14:textId="08AD321A" w:rsidR="00B53C39" w:rsidRPr="003E0254" w:rsidRDefault="00E36818">
      <w:pPr>
        <w:rPr>
          <w:lang w:val="de-DE"/>
        </w:rPr>
      </w:pPr>
      <w:r w:rsidRPr="003E0254">
        <w:rPr>
          <w:lang w:val="de-DE"/>
        </w:rPr>
        <w:t>Janik Ruppert</w:t>
      </w:r>
      <w:r w:rsidR="00A560A0" w:rsidRPr="003E0254">
        <w:rPr>
          <w:vertAlign w:val="superscript"/>
          <w:lang w:val="de-DE"/>
        </w:rPr>
        <w:t>1,</w:t>
      </w:r>
      <w:r w:rsidR="00ED33E4" w:rsidRPr="003E0254">
        <w:rPr>
          <w:vertAlign w:val="superscript"/>
          <w:lang w:val="de-DE"/>
        </w:rPr>
        <w:t>2, †</w:t>
      </w:r>
      <w:r w:rsidRPr="003E0254">
        <w:rPr>
          <w:lang w:val="de-DE"/>
        </w:rPr>
        <w:t>, Luca Stegemann</w:t>
      </w:r>
      <w:r w:rsidR="00ED33E4" w:rsidRPr="003E0254">
        <w:rPr>
          <w:vertAlign w:val="superscript"/>
          <w:lang w:val="de-DE"/>
        </w:rPr>
        <w:t>2, †</w:t>
      </w:r>
      <w:r w:rsidRPr="003E0254">
        <w:rPr>
          <w:lang w:val="de-DE"/>
        </w:rPr>
        <w:t>, Alexander Bauer</w:t>
      </w:r>
      <w:r w:rsidR="006F09FD" w:rsidRPr="003E0254">
        <w:rPr>
          <w:vertAlign w:val="superscript"/>
          <w:lang w:val="de-DE"/>
        </w:rPr>
        <w:t>3</w:t>
      </w:r>
      <w:r w:rsidRPr="003E0254">
        <w:rPr>
          <w:lang w:val="de-DE"/>
        </w:rPr>
        <w:t>, Peter Bieker</w:t>
      </w:r>
      <w:r w:rsidR="00A560A0" w:rsidRPr="003E0254">
        <w:rPr>
          <w:vertAlign w:val="superscript"/>
          <w:lang w:val="de-DE"/>
        </w:rPr>
        <w:t>1</w:t>
      </w:r>
      <w:r w:rsidRPr="003E0254">
        <w:rPr>
          <w:lang w:val="de-DE"/>
        </w:rPr>
        <w:t>, Mariano Grünebaum</w:t>
      </w:r>
      <w:r w:rsidR="00A560A0" w:rsidRPr="003E0254">
        <w:rPr>
          <w:vertAlign w:val="superscript"/>
          <w:lang w:val="de-DE"/>
        </w:rPr>
        <w:t>1</w:t>
      </w:r>
      <w:r w:rsidRPr="003E0254">
        <w:rPr>
          <w:lang w:val="de-DE"/>
        </w:rPr>
        <w:t xml:space="preserve">, </w:t>
      </w:r>
      <w:r w:rsidR="003777DD" w:rsidRPr="003E0254">
        <w:rPr>
          <w:lang w:val="de-DE"/>
        </w:rPr>
        <w:t>Hermann Tempel</w:t>
      </w:r>
      <w:r w:rsidR="00015E6C" w:rsidRPr="003E0254">
        <w:rPr>
          <w:vertAlign w:val="superscript"/>
          <w:lang w:val="de-DE"/>
        </w:rPr>
        <w:t>3</w:t>
      </w:r>
      <w:r w:rsidR="003777DD" w:rsidRPr="003E0254">
        <w:rPr>
          <w:lang w:val="de-DE"/>
        </w:rPr>
        <w:t xml:space="preserve">, </w:t>
      </w:r>
      <w:r w:rsidRPr="003E0254">
        <w:rPr>
          <w:lang w:val="de-DE"/>
        </w:rPr>
        <w:t>Anna Windmüller</w:t>
      </w:r>
      <w:r w:rsidR="006F09FD" w:rsidRPr="003E0254">
        <w:rPr>
          <w:vertAlign w:val="superscript"/>
          <w:lang w:val="de-DE"/>
        </w:rPr>
        <w:t>3</w:t>
      </w:r>
      <w:r w:rsidRPr="003E0254">
        <w:rPr>
          <w:lang w:val="de-DE"/>
        </w:rPr>
        <w:t>,</w:t>
      </w:r>
      <w:r w:rsidR="009D1949" w:rsidRPr="003E0254">
        <w:rPr>
          <w:lang w:val="de-DE"/>
        </w:rPr>
        <w:t xml:space="preserve"> Jens Leker</w:t>
      </w:r>
      <w:r w:rsidR="009D1949" w:rsidRPr="003E0254">
        <w:rPr>
          <w:vertAlign w:val="superscript"/>
          <w:lang w:val="de-DE"/>
        </w:rPr>
        <w:t>1,2</w:t>
      </w:r>
      <w:r w:rsidR="009D1949" w:rsidRPr="003E0254">
        <w:rPr>
          <w:lang w:val="de-DE"/>
        </w:rPr>
        <w:t xml:space="preserve">, </w:t>
      </w:r>
      <w:r w:rsidR="00BC3B09" w:rsidRPr="003E0254">
        <w:rPr>
          <w:lang w:val="de-DE"/>
        </w:rPr>
        <w:t>Martin Winter</w:t>
      </w:r>
      <w:r w:rsidR="00BC3B09" w:rsidRPr="003E0254">
        <w:rPr>
          <w:vertAlign w:val="superscript"/>
          <w:lang w:val="de-DE"/>
        </w:rPr>
        <w:t>1</w:t>
      </w:r>
      <w:r w:rsidR="00DC20B8" w:rsidRPr="003E0254">
        <w:rPr>
          <w:vertAlign w:val="superscript"/>
          <w:lang w:val="de-DE"/>
        </w:rPr>
        <w:t>, 4</w:t>
      </w:r>
      <w:r w:rsidR="00BC3B09" w:rsidRPr="003E0254">
        <w:rPr>
          <w:lang w:val="de-DE"/>
        </w:rPr>
        <w:t>,</w:t>
      </w:r>
      <w:r w:rsidR="00BC3B09" w:rsidRPr="003E0254">
        <w:rPr>
          <w:vertAlign w:val="superscript"/>
          <w:lang w:val="de-DE"/>
        </w:rPr>
        <w:t xml:space="preserve"> </w:t>
      </w:r>
      <w:r w:rsidRPr="003E0254">
        <w:rPr>
          <w:lang w:val="de-DE"/>
        </w:rPr>
        <w:t>Rüdiger-A. Eichel</w:t>
      </w:r>
      <w:r w:rsidR="006F09FD" w:rsidRPr="003E0254">
        <w:rPr>
          <w:vertAlign w:val="superscript"/>
          <w:lang w:val="de-DE"/>
        </w:rPr>
        <w:t>3</w:t>
      </w:r>
      <w:r w:rsidR="009D1949" w:rsidRPr="003E0254">
        <w:rPr>
          <w:vertAlign w:val="superscript"/>
          <w:lang w:val="de-DE"/>
        </w:rPr>
        <w:t>,</w:t>
      </w:r>
      <w:r w:rsidR="00B61D72" w:rsidRPr="003E0254">
        <w:rPr>
          <w:vertAlign w:val="superscript"/>
          <w:lang w:val="de-DE"/>
        </w:rPr>
        <w:t xml:space="preserve"> </w:t>
      </w:r>
      <w:r w:rsidR="00DC20B8" w:rsidRPr="003E0254">
        <w:rPr>
          <w:vertAlign w:val="superscript"/>
          <w:lang w:val="de-DE"/>
        </w:rPr>
        <w:t>5, 6</w:t>
      </w:r>
      <w:r w:rsidR="00E16C37" w:rsidRPr="003E0254">
        <w:rPr>
          <w:lang w:val="de-DE"/>
        </w:rPr>
        <w:t>, Kerstin Neuhaus</w:t>
      </w:r>
      <w:r w:rsidR="00E16C37" w:rsidRPr="003E0254">
        <w:rPr>
          <w:vertAlign w:val="superscript"/>
          <w:lang w:val="de-DE"/>
        </w:rPr>
        <w:t>1, *</w:t>
      </w:r>
      <w:r w:rsidR="00E16C37" w:rsidRPr="003E0254">
        <w:rPr>
          <w:lang w:val="de-DE"/>
        </w:rPr>
        <w:t>, Y. Emre Durmus</w:t>
      </w:r>
      <w:r w:rsidR="00E16C37" w:rsidRPr="003E0254">
        <w:rPr>
          <w:vertAlign w:val="superscript"/>
          <w:lang w:val="de-DE"/>
        </w:rPr>
        <w:t>3, *</w:t>
      </w:r>
    </w:p>
    <w:p w14:paraId="08D513B7" w14:textId="75E950DD" w:rsidR="00E36818" w:rsidRPr="003E0254" w:rsidRDefault="00E36818">
      <w:pPr>
        <w:rPr>
          <w:lang w:val="de-DE"/>
        </w:rPr>
      </w:pPr>
      <w:r w:rsidRPr="003E0254">
        <w:rPr>
          <w:vertAlign w:val="superscript"/>
          <w:lang w:val="de-DE"/>
        </w:rPr>
        <w:t>1</w:t>
      </w:r>
      <w:r w:rsidRPr="003E0254">
        <w:rPr>
          <w:lang w:val="de-DE"/>
        </w:rPr>
        <w:t xml:space="preserve"> Helmholtz</w:t>
      </w:r>
      <w:r w:rsidR="009D1949" w:rsidRPr="003E0254">
        <w:rPr>
          <w:lang w:val="de-DE"/>
        </w:rPr>
        <w:t>-I</w:t>
      </w:r>
      <w:r w:rsidRPr="003E0254">
        <w:rPr>
          <w:lang w:val="de-DE"/>
        </w:rPr>
        <w:t xml:space="preserve">nstitute Münster, </w:t>
      </w:r>
      <w:r w:rsidR="00A560A0" w:rsidRPr="003E0254">
        <w:rPr>
          <w:lang w:val="de-DE"/>
        </w:rPr>
        <w:t xml:space="preserve">Institute </w:t>
      </w:r>
      <w:proofErr w:type="spellStart"/>
      <w:r w:rsidR="00A560A0" w:rsidRPr="003E0254">
        <w:rPr>
          <w:lang w:val="de-DE"/>
        </w:rPr>
        <w:t>of</w:t>
      </w:r>
      <w:proofErr w:type="spellEnd"/>
      <w:r w:rsidR="00A560A0" w:rsidRPr="003E0254">
        <w:rPr>
          <w:lang w:val="de-DE"/>
        </w:rPr>
        <w:t xml:space="preserve"> Energy Materials and Devices, IMD</w:t>
      </w:r>
      <w:r w:rsidRPr="003E0254">
        <w:rPr>
          <w:lang w:val="de-DE"/>
        </w:rPr>
        <w:t>-</w:t>
      </w:r>
      <w:r w:rsidR="00A560A0" w:rsidRPr="003E0254">
        <w:rPr>
          <w:lang w:val="de-DE"/>
        </w:rPr>
        <w:t>4</w:t>
      </w:r>
      <w:r w:rsidRPr="003E0254">
        <w:rPr>
          <w:lang w:val="de-DE"/>
        </w:rPr>
        <w:t>, Forschungszentrum Jülich GmbH, Münster 48149, Germany</w:t>
      </w:r>
    </w:p>
    <w:p w14:paraId="0C7E357F" w14:textId="3B326249" w:rsidR="00E36818" w:rsidRPr="003E0254" w:rsidRDefault="00A560A0">
      <w:r w:rsidRPr="003E0254">
        <w:rPr>
          <w:vertAlign w:val="superscript"/>
        </w:rPr>
        <w:t>2</w:t>
      </w:r>
      <w:r w:rsidRPr="003E0254">
        <w:t xml:space="preserve"> Institute of Business Administration at the Department of Chemistry and Pharmacy, University of Münster, Leonardo Campus 1, Münster 48149, Germany</w:t>
      </w:r>
    </w:p>
    <w:p w14:paraId="3D2CF226" w14:textId="48F5BF6C" w:rsidR="006F09FD" w:rsidRPr="003E0254" w:rsidRDefault="006F09FD" w:rsidP="006F09FD">
      <w:pPr>
        <w:rPr>
          <w:lang w:val="de-DE"/>
        </w:rPr>
      </w:pPr>
      <w:r w:rsidRPr="003E0254">
        <w:rPr>
          <w:vertAlign w:val="superscript"/>
          <w:lang w:val="de-DE"/>
        </w:rPr>
        <w:t>3</w:t>
      </w:r>
      <w:r w:rsidRPr="003E0254">
        <w:rPr>
          <w:lang w:val="de-DE"/>
        </w:rPr>
        <w:t xml:space="preserve"> Institute </w:t>
      </w:r>
      <w:proofErr w:type="spellStart"/>
      <w:r w:rsidRPr="003E0254">
        <w:rPr>
          <w:lang w:val="de-DE"/>
        </w:rPr>
        <w:t>of</w:t>
      </w:r>
      <w:proofErr w:type="spellEnd"/>
      <w:r w:rsidRPr="003E0254">
        <w:rPr>
          <w:lang w:val="de-DE"/>
        </w:rPr>
        <w:t xml:space="preserve"> Energy Technologies, IET-1, Forschungszentrum Jülich GmbH, Jülich 52425, Germany</w:t>
      </w:r>
    </w:p>
    <w:p w14:paraId="4BE6F024" w14:textId="266771BC" w:rsidR="006F09FD" w:rsidRPr="003E0254" w:rsidRDefault="00DC20B8" w:rsidP="006F09FD">
      <w:r w:rsidRPr="003E0254">
        <w:rPr>
          <w:vertAlign w:val="superscript"/>
        </w:rPr>
        <w:t>4</w:t>
      </w:r>
      <w:r w:rsidR="006F09FD" w:rsidRPr="003E0254">
        <w:t xml:space="preserve"> MEET Battery Research Center, University of Münster, Münster</w:t>
      </w:r>
      <w:r w:rsidR="009A54F9" w:rsidRPr="003E0254">
        <w:t xml:space="preserve"> 48149</w:t>
      </w:r>
      <w:r w:rsidR="006F09FD" w:rsidRPr="003E0254">
        <w:t>, Germany</w:t>
      </w:r>
    </w:p>
    <w:p w14:paraId="4431A694" w14:textId="6F582350" w:rsidR="00DC20B8" w:rsidRPr="003E0254" w:rsidRDefault="00DC20B8" w:rsidP="00DC20B8">
      <w:r w:rsidRPr="003E0254">
        <w:rPr>
          <w:vertAlign w:val="superscript"/>
        </w:rPr>
        <w:t>5</w:t>
      </w:r>
      <w:r w:rsidRPr="003E0254">
        <w:t xml:space="preserve"> Institute of Physical Chemistry, RWTH Aachen University, Aachen 52074, Germany</w:t>
      </w:r>
    </w:p>
    <w:p w14:paraId="7D9C596F" w14:textId="789E1153" w:rsidR="006F09FD" w:rsidRPr="003E0254" w:rsidRDefault="00DC20B8" w:rsidP="006F09FD">
      <w:r w:rsidRPr="003E0254">
        <w:rPr>
          <w:vertAlign w:val="superscript"/>
        </w:rPr>
        <w:t>6</w:t>
      </w:r>
      <w:r w:rsidR="009D1949" w:rsidRPr="003E0254">
        <w:t xml:space="preserve"> </w:t>
      </w:r>
      <w:r w:rsidRPr="003E0254">
        <w:t>Faculty of Mechanical Engineering, RWTH Aachen University, Aachen 52074, Germany</w:t>
      </w:r>
    </w:p>
    <w:p w14:paraId="7C1FBB3B" w14:textId="77777777" w:rsidR="009D1949" w:rsidRPr="003E0254" w:rsidRDefault="009D1949" w:rsidP="006F09FD"/>
    <w:p w14:paraId="3335BA7B" w14:textId="55FC74EE" w:rsidR="006F09FD" w:rsidRPr="003E0254" w:rsidRDefault="006F09FD">
      <w:r w:rsidRPr="003E0254">
        <w:rPr>
          <w:vertAlign w:val="superscript"/>
        </w:rPr>
        <w:t>†</w:t>
      </w:r>
      <w:r w:rsidRPr="003E0254">
        <w:t xml:space="preserve"> These authors contributed equally to this publication.</w:t>
      </w:r>
    </w:p>
    <w:p w14:paraId="22F72372" w14:textId="4220AE3B" w:rsidR="006F09FD" w:rsidRPr="003E0254" w:rsidRDefault="006F09FD">
      <w:r w:rsidRPr="003E0254">
        <w:rPr>
          <w:vertAlign w:val="superscript"/>
        </w:rPr>
        <w:t>*</w:t>
      </w:r>
      <w:r w:rsidRPr="003E0254">
        <w:t xml:space="preserve"> Correspondence: </w:t>
      </w:r>
      <w:r w:rsidR="0005037E" w:rsidRPr="003E0254">
        <w:t>k.neuhaus@fz-juelich.de, y.durmus@fz-juelich.de</w:t>
      </w:r>
    </w:p>
    <w:bookmarkEnd w:id="0"/>
    <w:p w14:paraId="1F4E889A" w14:textId="77777777" w:rsidR="00A560A0" w:rsidRPr="003E0254" w:rsidRDefault="00A560A0">
      <w:pPr>
        <w:rPr>
          <w:b/>
          <w:bCs/>
          <w:u w:val="single"/>
        </w:rPr>
      </w:pPr>
    </w:p>
    <w:p w14:paraId="5046766B" w14:textId="4805F792" w:rsidR="00A560A0" w:rsidRPr="003E0254" w:rsidRDefault="000F4C7E">
      <w:pPr>
        <w:rPr>
          <w:b/>
          <w:bCs/>
          <w:u w:val="single"/>
          <w:lang w:val="de-DE"/>
        </w:rPr>
      </w:pPr>
      <w:r w:rsidRPr="003E0254">
        <w:rPr>
          <w:b/>
          <w:bCs/>
          <w:u w:val="single"/>
          <w:lang w:val="de-DE"/>
        </w:rPr>
        <w:t xml:space="preserve">ORCID: </w:t>
      </w:r>
    </w:p>
    <w:p w14:paraId="591C254F" w14:textId="7966FF59" w:rsidR="000F4C7E" w:rsidRPr="003E0254" w:rsidRDefault="000F4C7E" w:rsidP="000F2603">
      <w:pPr>
        <w:spacing w:line="240" w:lineRule="auto"/>
        <w:rPr>
          <w:sz w:val="20"/>
          <w:szCs w:val="20"/>
          <w:u w:val="single"/>
          <w:lang w:val="de-DE"/>
        </w:rPr>
      </w:pPr>
      <w:r w:rsidRPr="003E0254">
        <w:rPr>
          <w:sz w:val="20"/>
          <w:szCs w:val="20"/>
          <w:u w:val="single"/>
          <w:lang w:val="de-DE"/>
        </w:rPr>
        <w:t xml:space="preserve">M. Grünebaum: </w:t>
      </w:r>
      <w:r w:rsidRPr="003E0254">
        <w:rPr>
          <w:sz w:val="20"/>
          <w:szCs w:val="20"/>
          <w:lang w:val="de-DE"/>
        </w:rPr>
        <w:t>0000-0002-0884-7690</w:t>
      </w:r>
    </w:p>
    <w:p w14:paraId="0E6FB43E" w14:textId="4A60114A" w:rsidR="000E7FDB" w:rsidRPr="003E0254" w:rsidRDefault="000E7FDB" w:rsidP="000F2603">
      <w:pPr>
        <w:spacing w:line="240" w:lineRule="auto"/>
        <w:rPr>
          <w:sz w:val="20"/>
          <w:szCs w:val="20"/>
          <w:lang w:val="de-DE"/>
        </w:rPr>
      </w:pPr>
      <w:r w:rsidRPr="003E0254">
        <w:rPr>
          <w:sz w:val="20"/>
          <w:szCs w:val="20"/>
          <w:u w:val="single"/>
          <w:lang w:val="de-DE"/>
        </w:rPr>
        <w:t xml:space="preserve">K. Neuhaus: </w:t>
      </w:r>
      <w:r w:rsidRPr="003E0254">
        <w:rPr>
          <w:sz w:val="20"/>
          <w:szCs w:val="20"/>
          <w:lang w:val="de-DE"/>
        </w:rPr>
        <w:t>0000-0002-3519-3987</w:t>
      </w:r>
    </w:p>
    <w:p w14:paraId="0E10813F" w14:textId="266319F8" w:rsidR="006F09FD" w:rsidRPr="003E0254" w:rsidRDefault="00D63681" w:rsidP="000F2603">
      <w:pPr>
        <w:spacing w:line="240" w:lineRule="auto"/>
        <w:rPr>
          <w:sz w:val="20"/>
          <w:szCs w:val="20"/>
          <w:u w:val="single"/>
          <w:lang w:val="de-DE"/>
        </w:rPr>
      </w:pPr>
      <w:r w:rsidRPr="003E0254">
        <w:rPr>
          <w:sz w:val="20"/>
          <w:szCs w:val="20"/>
          <w:u w:val="single"/>
          <w:lang w:val="de-DE"/>
        </w:rPr>
        <w:t>A. Windmüller:</w:t>
      </w:r>
      <w:r w:rsidRPr="003E0254">
        <w:rPr>
          <w:sz w:val="20"/>
          <w:szCs w:val="20"/>
          <w:lang w:val="de-DE"/>
        </w:rPr>
        <w:t xml:space="preserve"> 0000-0003-2829-3362</w:t>
      </w:r>
    </w:p>
    <w:p w14:paraId="15CF09D0" w14:textId="7054FD8C" w:rsidR="00731C6E" w:rsidRPr="003E0254" w:rsidRDefault="00731C6E" w:rsidP="000F2603">
      <w:pPr>
        <w:spacing w:line="240" w:lineRule="auto"/>
        <w:rPr>
          <w:sz w:val="20"/>
          <w:szCs w:val="20"/>
          <w:u w:val="single"/>
          <w:lang w:val="de-DE"/>
        </w:rPr>
      </w:pPr>
      <w:r w:rsidRPr="003E0254">
        <w:rPr>
          <w:sz w:val="20"/>
          <w:szCs w:val="20"/>
          <w:u w:val="single"/>
          <w:lang w:val="de-DE"/>
        </w:rPr>
        <w:t>A. Bauer:</w:t>
      </w:r>
      <w:r w:rsidRPr="003E0254">
        <w:rPr>
          <w:sz w:val="20"/>
          <w:szCs w:val="20"/>
          <w:lang w:val="de-DE"/>
        </w:rPr>
        <w:t xml:space="preserve"> 0000-0003-3495-5131</w:t>
      </w:r>
    </w:p>
    <w:p w14:paraId="3470E14E" w14:textId="5F3576F1" w:rsidR="006F09FD" w:rsidRPr="003E0254" w:rsidRDefault="000F2603" w:rsidP="000F2603">
      <w:pPr>
        <w:spacing w:line="240" w:lineRule="auto"/>
        <w:rPr>
          <w:sz w:val="20"/>
          <w:szCs w:val="20"/>
          <w:lang w:val="de-DE"/>
        </w:rPr>
      </w:pPr>
      <w:r w:rsidRPr="003E0254">
        <w:rPr>
          <w:sz w:val="20"/>
          <w:szCs w:val="20"/>
          <w:u w:val="single"/>
          <w:lang w:val="de-DE"/>
        </w:rPr>
        <w:t>J. Ruppert:</w:t>
      </w:r>
      <w:r w:rsidR="00692B22" w:rsidRPr="003E0254">
        <w:rPr>
          <w:rFonts w:ascii="Calibri" w:hAnsi="Calibri" w:cs="Calibri"/>
          <w:lang w:val="de-DE"/>
        </w:rPr>
        <w:t xml:space="preserve"> </w:t>
      </w:r>
      <w:r w:rsidR="00692B22" w:rsidRPr="003E0254">
        <w:rPr>
          <w:sz w:val="20"/>
          <w:szCs w:val="20"/>
          <w:lang w:val="de-DE"/>
        </w:rPr>
        <w:t>0009-0004-4791-7366</w:t>
      </w:r>
    </w:p>
    <w:p w14:paraId="4E336B32" w14:textId="51A19430" w:rsidR="000F2603" w:rsidRPr="003E0254" w:rsidRDefault="000F2603" w:rsidP="000F2603">
      <w:pPr>
        <w:spacing w:line="240" w:lineRule="auto"/>
        <w:rPr>
          <w:sz w:val="20"/>
          <w:szCs w:val="20"/>
          <w:u w:val="single"/>
          <w:lang w:val="de-DE"/>
        </w:rPr>
      </w:pPr>
      <w:r w:rsidRPr="003E0254">
        <w:rPr>
          <w:sz w:val="20"/>
          <w:szCs w:val="20"/>
          <w:u w:val="single"/>
          <w:lang w:val="de-DE"/>
        </w:rPr>
        <w:t>L. Stegemann:</w:t>
      </w:r>
      <w:r w:rsidR="00692B22" w:rsidRPr="003E0254">
        <w:rPr>
          <w:sz w:val="20"/>
          <w:szCs w:val="20"/>
          <w:lang w:val="de-DE"/>
        </w:rPr>
        <w:t xml:space="preserve"> 0009-0009-5619-2412</w:t>
      </w:r>
    </w:p>
    <w:p w14:paraId="00481ACA" w14:textId="4E728D0C" w:rsidR="000F2603" w:rsidRPr="003E0254" w:rsidRDefault="000F2603" w:rsidP="000F2603">
      <w:pPr>
        <w:spacing w:line="240" w:lineRule="auto"/>
        <w:rPr>
          <w:sz w:val="20"/>
          <w:szCs w:val="20"/>
          <w:u w:val="single"/>
          <w:lang w:val="de-DE"/>
        </w:rPr>
      </w:pPr>
      <w:r w:rsidRPr="003E0254">
        <w:rPr>
          <w:sz w:val="20"/>
          <w:szCs w:val="20"/>
          <w:u w:val="single"/>
          <w:lang w:val="de-DE"/>
        </w:rPr>
        <w:t>P. Bieker:</w:t>
      </w:r>
      <w:r w:rsidR="004C0A4A" w:rsidRPr="003E0254">
        <w:rPr>
          <w:sz w:val="20"/>
          <w:szCs w:val="20"/>
          <w:lang w:val="de-DE"/>
        </w:rPr>
        <w:t xml:space="preserve"> 0000-0003-4378-4805</w:t>
      </w:r>
    </w:p>
    <w:p w14:paraId="7C19D95D" w14:textId="11D1B40A" w:rsidR="000F2603" w:rsidRPr="003E0254" w:rsidRDefault="000F2603" w:rsidP="000F2603">
      <w:pPr>
        <w:spacing w:line="240" w:lineRule="auto"/>
        <w:rPr>
          <w:sz w:val="20"/>
          <w:szCs w:val="20"/>
          <w:u w:val="single"/>
          <w:lang w:val="de-DE"/>
        </w:rPr>
      </w:pPr>
      <w:r w:rsidRPr="003E0254">
        <w:rPr>
          <w:sz w:val="20"/>
          <w:szCs w:val="20"/>
          <w:u w:val="single"/>
          <w:lang w:val="de-DE"/>
        </w:rPr>
        <w:t>Y. E. Durmus:</w:t>
      </w:r>
      <w:r w:rsidRPr="003E0254">
        <w:rPr>
          <w:sz w:val="20"/>
          <w:szCs w:val="20"/>
          <w:lang w:val="de-DE"/>
        </w:rPr>
        <w:t xml:space="preserve"> 0000-0001-9245-3549</w:t>
      </w:r>
    </w:p>
    <w:p w14:paraId="0312BDED" w14:textId="6362A183" w:rsidR="000F2603" w:rsidRPr="003E0254" w:rsidRDefault="000F2603" w:rsidP="000F2603">
      <w:pPr>
        <w:spacing w:line="240" w:lineRule="auto"/>
        <w:rPr>
          <w:sz w:val="20"/>
          <w:szCs w:val="20"/>
          <w:u w:val="single"/>
          <w:lang w:val="de-DE"/>
        </w:rPr>
      </w:pPr>
      <w:r w:rsidRPr="003E0254">
        <w:rPr>
          <w:sz w:val="20"/>
          <w:szCs w:val="20"/>
          <w:u w:val="single"/>
          <w:lang w:val="de-DE"/>
        </w:rPr>
        <w:t>H. Tempel:</w:t>
      </w:r>
      <w:r w:rsidRPr="003E0254">
        <w:rPr>
          <w:sz w:val="20"/>
          <w:szCs w:val="20"/>
          <w:lang w:val="de-DE"/>
        </w:rPr>
        <w:t xml:space="preserve"> 0000-0002-9794-6403</w:t>
      </w:r>
    </w:p>
    <w:p w14:paraId="0A6EDB34" w14:textId="1205EDF0" w:rsidR="000F2603" w:rsidRPr="003E0254" w:rsidRDefault="000F2603" w:rsidP="000F2603">
      <w:pPr>
        <w:spacing w:line="240" w:lineRule="auto"/>
        <w:rPr>
          <w:sz w:val="20"/>
          <w:szCs w:val="20"/>
          <w:u w:val="single"/>
          <w:lang w:val="de-DE"/>
        </w:rPr>
      </w:pPr>
      <w:r w:rsidRPr="003E0254">
        <w:rPr>
          <w:sz w:val="20"/>
          <w:szCs w:val="20"/>
          <w:u w:val="single"/>
          <w:lang w:val="de-DE"/>
        </w:rPr>
        <w:t xml:space="preserve">J. </w:t>
      </w:r>
      <w:proofErr w:type="spellStart"/>
      <w:r w:rsidRPr="003E0254">
        <w:rPr>
          <w:sz w:val="20"/>
          <w:szCs w:val="20"/>
          <w:u w:val="single"/>
          <w:lang w:val="de-DE"/>
        </w:rPr>
        <w:t>Leker</w:t>
      </w:r>
      <w:proofErr w:type="spellEnd"/>
      <w:r w:rsidRPr="003E0254">
        <w:rPr>
          <w:sz w:val="20"/>
          <w:szCs w:val="20"/>
          <w:u w:val="single"/>
          <w:lang w:val="de-DE"/>
        </w:rPr>
        <w:t>:</w:t>
      </w:r>
      <w:r w:rsidR="004C0A4A" w:rsidRPr="003E0254">
        <w:rPr>
          <w:sz w:val="20"/>
          <w:szCs w:val="20"/>
          <w:lang w:val="de-DE"/>
        </w:rPr>
        <w:t xml:space="preserve"> 0000-0003-0237-691X</w:t>
      </w:r>
    </w:p>
    <w:p w14:paraId="0C7535F0" w14:textId="221518D8" w:rsidR="000F2603" w:rsidRPr="003E0254" w:rsidRDefault="000F2603" w:rsidP="000F2603">
      <w:pPr>
        <w:spacing w:line="240" w:lineRule="auto"/>
        <w:rPr>
          <w:sz w:val="20"/>
          <w:szCs w:val="20"/>
          <w:u w:val="single"/>
          <w:lang w:val="de-DE"/>
        </w:rPr>
      </w:pPr>
      <w:r w:rsidRPr="003E0254">
        <w:rPr>
          <w:sz w:val="20"/>
          <w:szCs w:val="20"/>
          <w:u w:val="single"/>
          <w:lang w:val="de-DE"/>
        </w:rPr>
        <w:t>M. Winter:</w:t>
      </w:r>
      <w:r w:rsidR="004C0A4A" w:rsidRPr="003E0254">
        <w:rPr>
          <w:sz w:val="20"/>
          <w:szCs w:val="20"/>
          <w:lang w:val="de-DE"/>
        </w:rPr>
        <w:t xml:space="preserve"> 0000-0003-4176-5811</w:t>
      </w:r>
    </w:p>
    <w:p w14:paraId="757D05F4" w14:textId="780999AB" w:rsidR="006F09FD" w:rsidRPr="003E0254" w:rsidRDefault="000F2603">
      <w:pPr>
        <w:rPr>
          <w:sz w:val="20"/>
          <w:szCs w:val="20"/>
          <w:lang w:val="de-DE"/>
        </w:rPr>
      </w:pPr>
      <w:r w:rsidRPr="003E0254">
        <w:rPr>
          <w:sz w:val="20"/>
          <w:szCs w:val="20"/>
          <w:u w:val="single"/>
          <w:lang w:val="de-DE"/>
        </w:rPr>
        <w:t>R.-A. Eichel:</w:t>
      </w:r>
      <w:r w:rsidRPr="003E0254">
        <w:rPr>
          <w:sz w:val="20"/>
          <w:szCs w:val="20"/>
          <w:lang w:val="de-DE"/>
        </w:rPr>
        <w:t xml:space="preserve"> 0000-0002-0013-6325</w:t>
      </w:r>
    </w:p>
    <w:p w14:paraId="18E9DD6A" w14:textId="77777777" w:rsidR="00473C83" w:rsidRPr="003E0254" w:rsidRDefault="00473C83">
      <w:pPr>
        <w:rPr>
          <w:sz w:val="20"/>
          <w:szCs w:val="20"/>
          <w:u w:val="single"/>
          <w:lang w:val="de-DE"/>
        </w:rPr>
      </w:pPr>
    </w:p>
    <w:p w14:paraId="49DDB94E" w14:textId="30DFFBDB" w:rsidR="006F09FD" w:rsidRPr="003E0254" w:rsidRDefault="006F09FD">
      <w:pPr>
        <w:rPr>
          <w:b/>
          <w:bCs/>
        </w:rPr>
      </w:pPr>
      <w:r w:rsidRPr="003E0254">
        <w:rPr>
          <w:b/>
          <w:bCs/>
        </w:rPr>
        <w:lastRenderedPageBreak/>
        <w:t>Abstract</w:t>
      </w:r>
    </w:p>
    <w:p w14:paraId="41F2DBBB" w14:textId="13279B02" w:rsidR="006F09FD" w:rsidRPr="003E0254" w:rsidRDefault="006F09FD" w:rsidP="006F09FD">
      <w:pPr>
        <w:spacing w:line="276" w:lineRule="auto"/>
        <w:jc w:val="both"/>
      </w:pPr>
      <w:r w:rsidRPr="003E0254">
        <w:t xml:space="preserve">The continuously increased demand for electrical energy and the associated strong growth in renewable energy necessitates robust, sustainable and cost-effective stationary energy storage solutions. This </w:t>
      </w:r>
      <w:r w:rsidR="00B85431" w:rsidRPr="003E0254">
        <w:t>review</w:t>
      </w:r>
      <w:r w:rsidRPr="003E0254">
        <w:t xml:space="preserve"> paper evaluates zinc-based batteries as viable alternatives to conventional lithium-ion and vanadium redox</w:t>
      </w:r>
      <w:r w:rsidR="009755F7" w:rsidRPr="003E0254">
        <w:t xml:space="preserve"> </w:t>
      </w:r>
      <w:r w:rsidRPr="003E0254">
        <w:t xml:space="preserve">flow systems for stationary storage applications. </w:t>
      </w:r>
      <w:r w:rsidR="003F7A87" w:rsidRPr="003E0254">
        <w:t xml:space="preserve">Highlighting zinc's </w:t>
      </w:r>
      <w:r w:rsidR="00484FBB" w:rsidRPr="003E0254">
        <w:t>accessibility</w:t>
      </w:r>
      <w:r w:rsidR="003F7A87" w:rsidRPr="003E0254">
        <w:t xml:space="preserve">, cost-effectiveness, lower environmental impact, and well-developed recycling infrastructure, this review provides a comprehensive analysis of various zinc battery chemistries, including </w:t>
      </w:r>
      <w:r w:rsidR="00A439A1" w:rsidRPr="003E0254">
        <w:t>zinc-metal</w:t>
      </w:r>
      <w:r w:rsidR="003F7A87" w:rsidRPr="003E0254">
        <w:t>, zinc-air, and zinc</w:t>
      </w:r>
      <w:r w:rsidR="0062410A" w:rsidRPr="003E0254">
        <w:t xml:space="preserve"> </w:t>
      </w:r>
      <w:r w:rsidR="003F7A87" w:rsidRPr="003E0254">
        <w:t>redox</w:t>
      </w:r>
      <w:r w:rsidR="009755F7" w:rsidRPr="003E0254">
        <w:t xml:space="preserve"> </w:t>
      </w:r>
      <w:r w:rsidR="003F7A87" w:rsidRPr="003E0254">
        <w:t>flow batteries.</w:t>
      </w:r>
      <w:r w:rsidRPr="003E0254">
        <w:t xml:space="preserve"> The paper provides a historical context of zinc battery development from primary to secondary cells </w:t>
      </w:r>
      <w:r w:rsidR="00AA17FD" w:rsidRPr="003E0254">
        <w:t>while</w:t>
      </w:r>
      <w:r w:rsidRPr="003E0254">
        <w:t xml:space="preserve"> identifying key challenges</w:t>
      </w:r>
      <w:r w:rsidR="00015E6C" w:rsidRPr="003E0254">
        <w:t>,</w:t>
      </w:r>
      <w:r w:rsidRPr="003E0254">
        <w:t xml:space="preserve"> such as low cell voltage, dendrite formation, passivation, and hydrogen evolution. Current advancements in electrode design, including novel three-dimensional architectures, tailored electrolyte formulations, and optimized catalyst development, are discussed in detail. Additionally, a techno-economic analysis compares material costs and operational efficiencies of zinc systems with state-of-the-art alternatives, underscoring their competitive advantage. The interplay between material properties and system performance is also addressed, offering insights into improving cycling stability and energy density. Overall, this </w:t>
      </w:r>
      <w:r w:rsidR="0062410A" w:rsidRPr="003E0254">
        <w:t>review</w:t>
      </w:r>
      <w:r w:rsidRPr="003E0254">
        <w:t xml:space="preserve"> </w:t>
      </w:r>
      <w:r w:rsidR="007C4939" w:rsidRPr="003E0254">
        <w:t>describes the potential to position</w:t>
      </w:r>
      <w:r w:rsidRPr="003E0254">
        <w:t xml:space="preserve"> zinc batteries as promising candidates for large-scale, sustainable energy storage, capable of complementing and potentially replacing existing technologies in an evolving energy landscape</w:t>
      </w:r>
      <w:r w:rsidR="00B93FEE" w:rsidRPr="003E0254">
        <w:t>.</w:t>
      </w:r>
    </w:p>
    <w:p w14:paraId="1152F1E7" w14:textId="77777777" w:rsidR="003F7A87" w:rsidRPr="003E0254" w:rsidRDefault="003F7A87">
      <w:pPr>
        <w:rPr>
          <w:b/>
          <w:bCs/>
          <w:u w:val="single"/>
        </w:rPr>
      </w:pPr>
    </w:p>
    <w:p w14:paraId="40BBB683" w14:textId="77777777" w:rsidR="006F09FD" w:rsidRPr="003E0254" w:rsidRDefault="006F09FD">
      <w:pPr>
        <w:rPr>
          <w:b/>
          <w:bCs/>
          <w:u w:val="single"/>
        </w:rPr>
      </w:pPr>
    </w:p>
    <w:p w14:paraId="7BE31782" w14:textId="31E5C277" w:rsidR="006F09FD" w:rsidRPr="003E0254" w:rsidRDefault="006F09FD">
      <w:r w:rsidRPr="003E0254">
        <w:rPr>
          <w:b/>
          <w:bCs/>
        </w:rPr>
        <w:t xml:space="preserve">Keywords: </w:t>
      </w:r>
      <w:r w:rsidR="00A439A1" w:rsidRPr="003E0254">
        <w:t>zinc-metal</w:t>
      </w:r>
      <w:r w:rsidR="00D20325" w:rsidRPr="003E0254">
        <w:t>, zinc-</w:t>
      </w:r>
      <w:r w:rsidR="00B93FEE" w:rsidRPr="003E0254">
        <w:t>air</w:t>
      </w:r>
      <w:r w:rsidR="00D20325" w:rsidRPr="003E0254">
        <w:t>,</w:t>
      </w:r>
      <w:r w:rsidR="00B93FEE" w:rsidRPr="003E0254">
        <w:t xml:space="preserve"> </w:t>
      </w:r>
      <w:r w:rsidR="00D20325" w:rsidRPr="003E0254">
        <w:t xml:space="preserve">zinc-flow, economics, </w:t>
      </w:r>
      <w:r w:rsidR="006D5CBC" w:rsidRPr="003E0254">
        <w:t>stationary energy storage</w:t>
      </w:r>
    </w:p>
    <w:p w14:paraId="2C251F7B" w14:textId="77777777" w:rsidR="006F09FD" w:rsidRPr="003E0254" w:rsidRDefault="006F09FD">
      <w:pPr>
        <w:rPr>
          <w:b/>
          <w:bCs/>
          <w:u w:val="single"/>
        </w:rPr>
      </w:pPr>
    </w:p>
    <w:p w14:paraId="50CE9D7D" w14:textId="77777777" w:rsidR="006F09FD" w:rsidRPr="003E0254" w:rsidRDefault="006F09FD">
      <w:pPr>
        <w:rPr>
          <w:b/>
          <w:bCs/>
          <w:u w:val="single"/>
        </w:rPr>
      </w:pPr>
    </w:p>
    <w:p w14:paraId="456B07F0" w14:textId="77777777" w:rsidR="006F09FD" w:rsidRPr="003E0254" w:rsidRDefault="006F09FD">
      <w:pPr>
        <w:rPr>
          <w:b/>
          <w:bCs/>
          <w:u w:val="single"/>
        </w:rPr>
      </w:pPr>
    </w:p>
    <w:p w14:paraId="7A173DCC" w14:textId="77777777" w:rsidR="006F09FD" w:rsidRPr="003E0254" w:rsidRDefault="006F09FD">
      <w:pPr>
        <w:rPr>
          <w:b/>
          <w:bCs/>
          <w:u w:val="single"/>
        </w:rPr>
      </w:pPr>
    </w:p>
    <w:p w14:paraId="77039346" w14:textId="77777777" w:rsidR="006F09FD" w:rsidRPr="003E0254" w:rsidRDefault="006F09FD">
      <w:pPr>
        <w:rPr>
          <w:b/>
          <w:bCs/>
          <w:u w:val="single"/>
        </w:rPr>
      </w:pPr>
    </w:p>
    <w:p w14:paraId="3193CC65" w14:textId="77777777" w:rsidR="006F09FD" w:rsidRPr="003E0254" w:rsidRDefault="006F09FD">
      <w:pPr>
        <w:rPr>
          <w:b/>
          <w:bCs/>
          <w:u w:val="single"/>
        </w:rPr>
      </w:pPr>
    </w:p>
    <w:p w14:paraId="59AB92F7" w14:textId="77777777" w:rsidR="006F09FD" w:rsidRPr="003E0254" w:rsidRDefault="006F09FD">
      <w:pPr>
        <w:rPr>
          <w:b/>
          <w:bCs/>
          <w:u w:val="single"/>
        </w:rPr>
      </w:pPr>
    </w:p>
    <w:p w14:paraId="66A9D9E3" w14:textId="77777777" w:rsidR="006F09FD" w:rsidRPr="003E0254" w:rsidRDefault="006F09FD">
      <w:pPr>
        <w:rPr>
          <w:b/>
          <w:bCs/>
          <w:u w:val="single"/>
        </w:rPr>
      </w:pPr>
    </w:p>
    <w:p w14:paraId="58F9999E" w14:textId="77777777" w:rsidR="006F09FD" w:rsidRPr="003E0254" w:rsidRDefault="006F09FD">
      <w:pPr>
        <w:rPr>
          <w:b/>
          <w:bCs/>
          <w:u w:val="single"/>
        </w:rPr>
      </w:pPr>
    </w:p>
    <w:p w14:paraId="0FD2ABC8" w14:textId="77777777" w:rsidR="0062410A" w:rsidRPr="003E0254" w:rsidRDefault="0062410A">
      <w:pPr>
        <w:rPr>
          <w:b/>
          <w:bCs/>
          <w:u w:val="single"/>
        </w:rPr>
      </w:pPr>
    </w:p>
    <w:p w14:paraId="2D80F441" w14:textId="77777777" w:rsidR="006F09FD" w:rsidRPr="003E0254" w:rsidRDefault="006F09FD">
      <w:pPr>
        <w:rPr>
          <w:b/>
          <w:bCs/>
          <w:u w:val="single"/>
        </w:rPr>
      </w:pPr>
    </w:p>
    <w:p w14:paraId="76878340" w14:textId="0948DDF2" w:rsidR="00B53C39" w:rsidRPr="003E0254" w:rsidRDefault="009919E3">
      <w:pPr>
        <w:pStyle w:val="berschrift2"/>
        <w:rPr>
          <w:b/>
          <w:bCs/>
        </w:rPr>
      </w:pPr>
      <w:r w:rsidRPr="003E0254">
        <w:rPr>
          <w:b/>
          <w:bCs/>
        </w:rPr>
        <w:t xml:space="preserve">1. </w:t>
      </w:r>
      <w:r w:rsidR="00117E98" w:rsidRPr="003E0254">
        <w:rPr>
          <w:b/>
          <w:bCs/>
        </w:rPr>
        <w:t>Introduction</w:t>
      </w:r>
    </w:p>
    <w:p w14:paraId="246FBA2F" w14:textId="5A9B4201" w:rsidR="00B53C39" w:rsidRPr="003E0254" w:rsidRDefault="00DA35C9" w:rsidP="00F34F19">
      <w:pPr>
        <w:pBdr>
          <w:top w:val="none" w:sz="4" w:space="0" w:color="000000"/>
          <w:left w:val="none" w:sz="4" w:space="18" w:color="000000"/>
          <w:bottom w:val="none" w:sz="4" w:space="0" w:color="000000"/>
          <w:right w:val="none" w:sz="4" w:space="0" w:color="000000"/>
        </w:pBdr>
        <w:spacing w:line="276" w:lineRule="auto"/>
        <w:jc w:val="both"/>
      </w:pPr>
      <w:r w:rsidRPr="003E0254">
        <w:rPr>
          <w:rFonts w:eastAsia="Arial" w:cs="Arial"/>
          <w:color w:val="000000"/>
        </w:rPr>
        <w:t xml:space="preserve">The growing demand for renewable energy has heightened the need for </w:t>
      </w:r>
      <w:r w:rsidR="00446031" w:rsidRPr="003E0254">
        <w:rPr>
          <w:rFonts w:eastAsia="Arial" w:cs="Arial"/>
          <w:color w:val="000000"/>
        </w:rPr>
        <w:t>efficient</w:t>
      </w:r>
      <w:r w:rsidRPr="003E0254">
        <w:rPr>
          <w:rFonts w:eastAsia="Arial" w:cs="Arial"/>
          <w:color w:val="000000"/>
        </w:rPr>
        <w:t xml:space="preserve"> energy storage solutions. As the reliance on renewable energy sources increases, the integration of robust energy storage systems </w:t>
      </w:r>
      <w:r w:rsidRPr="003E0254">
        <w:rPr>
          <w:rFonts w:eastAsia="Arial" w:cs="Arial"/>
          <w:color w:val="000000"/>
        </w:rPr>
        <w:lastRenderedPageBreak/>
        <w:t xml:space="preserve">is essential to stabilize the grid and </w:t>
      </w:r>
      <w:r w:rsidR="00026265" w:rsidRPr="003E0254">
        <w:rPr>
          <w:rFonts w:eastAsia="Arial" w:cs="Arial"/>
          <w:color w:val="000000"/>
        </w:rPr>
        <w:t>compensate for</w:t>
      </w:r>
      <w:r w:rsidRPr="003E0254">
        <w:rPr>
          <w:rFonts w:eastAsia="Arial" w:cs="Arial"/>
          <w:color w:val="000000"/>
        </w:rPr>
        <w:t xml:space="preserve"> periods of low wind </w:t>
      </w:r>
      <w:r w:rsidR="00446031" w:rsidRPr="003E0254">
        <w:rPr>
          <w:rFonts w:eastAsia="Arial" w:cs="Arial"/>
          <w:color w:val="000000"/>
        </w:rPr>
        <w:t>and/</w:t>
      </w:r>
      <w:r w:rsidRPr="003E0254">
        <w:rPr>
          <w:rFonts w:eastAsia="Arial" w:cs="Arial"/>
          <w:color w:val="000000"/>
        </w:rPr>
        <w:t>or low sun.</w:t>
      </w:r>
      <w:r w:rsidR="00E526CE" w:rsidRPr="003E0254">
        <w:rPr>
          <w:rFonts w:eastAsia="Arial" w:cs="Arial"/>
          <w:color w:val="000000"/>
        </w:rPr>
        <w:fldChar w:fldCharType="begin" w:fldLock="1"/>
      </w:r>
      <w:r w:rsidR="005608A8" w:rsidRPr="003E0254">
        <w:rPr>
          <w:rFonts w:eastAsia="Arial" w:cs="Arial"/>
          <w:color w:val="000000"/>
        </w:rPr>
        <w:instrText>ADDIN CSL_CITATION {"citationItems":[{"id":"ITEM-1","itemData":{"DOI":"10.1016/J.RSER.2022.112213","ISSN":"1364-0321","abstract":"Currently, the energy grid is changing to fit the increasing energy demands but also to support the rapid penetration of renewable energy sources. As a result, energy storage devices emerge to add buffer capacity and to reinforce residential and commercial usage, as an attempt to improve the overall utilization of the available green energy. Although various research has been conducted in the field including photovoltaic and wind applications, the study on suitability identification of different storage devices for various stationary application types is still the gap observed which needs further study and verification. The review performed fills these gaps by investigating the current status and applicability of energy storage devices, and the most suitable type of storage technologies for grid support applications are identified. Moreover, various technical, economic and environmental impact evaluation criteria's are taken into consideration for the identification of their characteristics and potentials. The comprehensive review shows that, from the electrochemical storage category, the lithium-ion battery fits both low and medium-size applications with high power and energy density requirements. From the electrical storage categories, capacitors, supercapacitors, and superconductive magnetic energy storage devices are identified as appropriate for high power applications. Besides, thermal energy storage is identified as suitable in seasonal and bulk energy application areas. With proper identification of the application's requirement and based on the techno-economic, and environmental impact investigations of energy storage devices, the use of a hybrid solutions with a combination of various storage devices is found to be a viable solution in the sector.","author":[{"dropping-particle":"","family":"Kebede","given":"Abraham Alem","non-dropping-particle":"","parse-names":false,"suffix":""},{"dropping-particle":"","family":"Kalogiannis","given":"Theodoros","non-dropping-particle":"","parse-names":false,"suffix":""},{"dropping-particle":"","family":"Mierlo","given":"Joeri","non-dropping-particle":"Van","parse-names":false,"suffix":""},{"dropping-particle":"","family":"Berecibar","given":"Maitane","non-dropping-particle":"","parse-names":false,"suffix":""}],"container-title":"Renewable and Sustainable Energy Reviews","id":"ITEM-1","issued":{"date-parts":[["2022","5","1"]]},"page":"112213","publisher":"Pergamon","title":"A comprehensive review of stationary energy storage devices for large scale renewable energy sources grid integration","type":"article-journal","volume":"159"},"uris":["http://www.mendeley.com/documents/?uuid=8b9596b0-1a39-381d-9ae3-2578d59c5e04"]},{"id":"ITEM-2","itemData":{"DOI":"10.1021/ACS.CHEMREV.2C00289/ASSET/IMAGES/MEDIUM/CR2C00289_M010.GIF","ISSN":"15206890","PMID":"36150378","abstract":"Ever-increasing global energy consumption has driven the development of renewable energy technologies to reduce greenhouse gas emissions and air pollution. Battery energy storage systems (BESS) with high electrochemical performance are critical for enabling renewable yet intermittent sources of energy such as solar and wind. In recent years, numerous new battery technologies have been achieved and showed great potential for grid scale energy storage (GSES) applications. However, their practical applications have been greatly impeded due to the gap between the breakthroughs achieved in research laboratories and the industrial applications. In addition, various complex applications call for different battery performances. Matching of diverse batteries to various applications is required to promote practical energy storage research achievement. This review provides in-depth discussion and comprehensive consideration in the battery research field for GSES. The overall requirements of battery technologies for practical applications with key parameters are systematically analyzed by generating standards and measures for GSES. We also discuss recent progress and existing challenges for some representative battery technologies with great promise for GSES, including metal-ion batteries, lead-acid batteries, molten-salt batteries, alkaline batteries, redox-flow batteries, metal-air batteries, and hydrogen-gas batteries. Moreover, we emphasize the importance of bringing emerging battery technologies from academia to industry. Our perspectives on the future development of batteries for GSES applications are provided.","author":[{"dropping-particle":"","family":"Zhu","given":"Zhengxin","non-dropping-particle":"","parse-names":false,"suffix":""},{"dropping-particle":"","family":"Jiang","given":"Taoli","non-dropping-particle":"","parse-names":false,"suffix":""},{"dropping-particle":"","family":"Ali","given":"Mohsin","non-dropping-particle":"","parse-names":false,"suffix":""},{"dropping-particle":"","family":"Meng","given":"Yahan","non-dropping-particle":"","parse-names":false,"suffix":""},{"dropping-particle":"","family":"Jin","given":"Yang","non-dropping-particle":"","parse-names":false,"suffix":""},{"dropping-particle":"","family":"Cui","given":"Yi","non-dropping-particle":"","parse-names":false,"suffix":""},{"dropping-particle":"","family":"Chen","given":"Wei","non-dropping-particle":"","parse-names":false,"suffix":""}],"container-title":"Chemical Reviews","id":"ITEM-2","issue":"22","issued":{"date-parts":[["2022","11","23"]]},"page":"16610-16751","publisher":"American Chemical Society","title":"Rechargeable Batteries for Grid Scale Energy Storage","type":"article-journal","volume":"122"},"uris":["http://www.mendeley.com/documents/?uuid=6fc293b5-0fa0-31ce-bd8d-325097557ac2"]}],"mendeley":{"formattedCitation":"&lt;sup&gt;[1,2]&lt;/sup&gt;","plainTextFormattedCitation":"[1,2]","previouslyFormattedCitation":"&lt;sup&gt;[1,2]&lt;/sup&gt;"},"properties":{"noteIndex":0},"schema":"https://github.com/citation-style-language/schema/raw/master/csl-citation.json"}</w:instrText>
      </w:r>
      <w:r w:rsidR="00E526CE" w:rsidRPr="003E0254">
        <w:rPr>
          <w:rFonts w:eastAsia="Arial" w:cs="Arial"/>
          <w:color w:val="000000"/>
        </w:rPr>
        <w:fldChar w:fldCharType="separate"/>
      </w:r>
      <w:r w:rsidR="00B04628" w:rsidRPr="003E0254">
        <w:rPr>
          <w:rFonts w:eastAsia="Arial" w:cs="Arial"/>
          <w:noProof/>
          <w:color w:val="000000"/>
          <w:vertAlign w:val="superscript"/>
        </w:rPr>
        <w:t>[1,2]</w:t>
      </w:r>
      <w:r w:rsidR="00E526CE" w:rsidRPr="003E0254">
        <w:rPr>
          <w:rFonts w:eastAsia="Arial" w:cs="Arial"/>
          <w:color w:val="000000"/>
        </w:rPr>
        <w:fldChar w:fldCharType="end"/>
      </w:r>
      <w:r w:rsidRPr="003E0254">
        <w:rPr>
          <w:rFonts w:eastAsia="Arial" w:cs="Arial"/>
          <w:color w:val="000000"/>
        </w:rPr>
        <w:t xml:space="preserve"> </w:t>
      </w:r>
      <w:r w:rsidR="00EF1735" w:rsidRPr="003E0254">
        <w:rPr>
          <w:rFonts w:eastAsia="Arial" w:cs="Arial"/>
          <w:color w:val="000000"/>
        </w:rPr>
        <w:t>While lithium-ion batteries have traditionally dominated this space (with vanadium redox flow batteries being the only flow batteries that have been upscaled to industrial application), alternatives like zinc-based batteries offer substantial promise</w:t>
      </w:r>
      <w:r w:rsidRPr="003E0254">
        <w:rPr>
          <w:rFonts w:eastAsia="Arial" w:cs="Arial"/>
          <w:color w:val="000000"/>
        </w:rPr>
        <w:t xml:space="preserve">. Zinc batteries stand out due to </w:t>
      </w:r>
      <w:r w:rsidR="00026265" w:rsidRPr="003E0254">
        <w:rPr>
          <w:rFonts w:eastAsia="Arial" w:cs="Arial"/>
          <w:color w:val="000000"/>
        </w:rPr>
        <w:t>zinc’s</w:t>
      </w:r>
      <w:r w:rsidRPr="003E0254">
        <w:rPr>
          <w:rFonts w:eastAsia="Arial" w:cs="Arial"/>
          <w:color w:val="000000"/>
        </w:rPr>
        <w:t xml:space="preserve"> </w:t>
      </w:r>
      <w:r w:rsidR="00413B0B" w:rsidRPr="003E0254">
        <w:rPr>
          <w:rFonts w:eastAsia="Arial" w:cs="Arial"/>
          <w:color w:val="000000"/>
        </w:rPr>
        <w:t>accessibility</w:t>
      </w:r>
      <w:r w:rsidRPr="003E0254">
        <w:rPr>
          <w:rFonts w:eastAsia="Arial" w:cs="Arial"/>
          <w:color w:val="000000"/>
        </w:rPr>
        <w:t xml:space="preserve">, </w:t>
      </w:r>
      <w:r w:rsidR="00296C37" w:rsidRPr="003E0254">
        <w:rPr>
          <w:rFonts w:eastAsia="Arial" w:cs="Arial"/>
          <w:color w:val="000000"/>
        </w:rPr>
        <w:t xml:space="preserve">abundance, </w:t>
      </w:r>
      <w:r w:rsidRPr="003E0254">
        <w:rPr>
          <w:rFonts w:eastAsia="Arial" w:cs="Arial"/>
          <w:color w:val="000000"/>
        </w:rPr>
        <w:t>cost-effectiveness, stability, environmental friendliness,</w:t>
      </w:r>
      <w:r w:rsidR="00EF1735" w:rsidRPr="003E0254">
        <w:rPr>
          <w:rFonts w:eastAsia="Arial" w:cs="Arial"/>
          <w:color w:val="000000"/>
        </w:rPr>
        <w:t xml:space="preserve"> established route of recycling,</w:t>
      </w:r>
      <w:r w:rsidRPr="003E0254">
        <w:rPr>
          <w:rFonts w:eastAsia="Arial" w:cs="Arial"/>
          <w:color w:val="000000"/>
        </w:rPr>
        <w:t xml:space="preserve"> and </w:t>
      </w:r>
      <w:r w:rsidR="00026265" w:rsidRPr="003E0254">
        <w:rPr>
          <w:rFonts w:eastAsia="Arial" w:cs="Arial"/>
          <w:color w:val="000000"/>
        </w:rPr>
        <w:t xml:space="preserve">inherent </w:t>
      </w:r>
      <w:r w:rsidRPr="003E0254">
        <w:rPr>
          <w:rFonts w:eastAsia="Arial" w:cs="Arial"/>
          <w:color w:val="000000"/>
        </w:rPr>
        <w:t>safety.</w:t>
      </w:r>
      <w:r w:rsidR="001D066B" w:rsidRPr="003E0254">
        <w:rPr>
          <w:rFonts w:eastAsia="Arial" w:cs="Arial"/>
          <w:color w:val="000000"/>
        </w:rPr>
        <w:t xml:space="preserve"> </w:t>
      </w:r>
      <w:r w:rsidR="00A94915" w:rsidRPr="003E0254">
        <w:rPr>
          <w:rFonts w:eastAsia="Arial" w:cs="Arial"/>
          <w:color w:val="000000"/>
        </w:rPr>
        <w:t>When considering the molar mass of material and referring to the amount required to exchange a mole of electrons,</w:t>
      </w:r>
      <w:r w:rsidR="0062410A" w:rsidRPr="003E0254">
        <w:rPr>
          <w:rFonts w:eastAsia="Arial" w:cs="Arial"/>
          <w:color w:val="000000"/>
        </w:rPr>
        <w:t xml:space="preserve"> though</w:t>
      </w:r>
      <w:r w:rsidR="00A94915" w:rsidRPr="003E0254">
        <w:rPr>
          <w:rFonts w:eastAsia="Arial" w:cs="Arial"/>
          <w:color w:val="000000"/>
        </w:rPr>
        <w:t xml:space="preserve"> the differences in resource abundance (most widely referred to in tons) between lithium and zinc become small.</w:t>
      </w:r>
      <w:r w:rsidR="00A94915" w:rsidRPr="003E0254">
        <w:rPr>
          <w:rFonts w:eastAsia="Arial" w:cs="Arial"/>
          <w:color w:val="000000"/>
        </w:rPr>
        <w:fldChar w:fldCharType="begin" w:fldLock="1"/>
      </w:r>
      <w:r w:rsidR="002F6D4C" w:rsidRPr="003E0254">
        <w:rPr>
          <w:rFonts w:eastAsia="Arial" w:cs="Arial"/>
          <w:color w:val="000000"/>
        </w:rPr>
        <w:instrText>ADDIN CSL_CITATION {"citationItems":[{"id":"ITEM-1","itemData":{"DOI":"10.1038/s41467-024-48368-0","ISSN":"2041-1723","PMID":"38744859","abstract":"In the literature on zinc-based batteries, it is often highlighted that zinc offers significant advantages over lithium due to its abundance, affordability, and accessibility. Additionally, aqueous rechargeable zinc batteries are promoted as a sustainable and cost-effective alternative to lithium-ion batteries, especially for renewable energy storage. The aim of this Comment is to provide a perspective on these statements, elucidating their foundations and implications and giving a quick but comprehensive background to authors and readers that deal with this topic, focusing specifically on batteries with zinc ions shuttling reversibly between the metallic negative electrode and the insertion-type positive electrode. Aqueous zinc batteries are currently being explored as potential alternatives to non-aqueous lithium-ion batteries. In this comment, the authors highlight zinc’s global supply chain resilience and lower material costs yet caution about its higher mass requirement for comparable charge storage.","author":[{"dropping-particle":"","family":"Innocenti","given":"Alessandro","non-dropping-particle":"","parse-names":false,"suffix":""},{"dropping-particle":"","family":"Bresser","given":"Dominic","non-dropping-particle":"","parse-names":false,"suffix":""},{"dropping-particle":"","family":"Garche","given":"Jürgen","non-dropping-particle":"","parse-names":false,"suffix":""},{"dropping-particle":"","family":"Passerini","given":"Stefano","non-dropping-particle":"","parse-names":false,"suffix":""}],"container-title":"Nature Communications 2024 15:1","id":"ITEM-1","issue":"1","issued":{"date-parts":[["2024","5","14"]]},"page":"1-6","publisher":"Nature Publishing Group","title":"A critical discussion of the current availability of lithium and zinc for use in batteries","type":"article-journal","volume":"15"},"uris":["http://www.mendeley.com/documents/?uuid=0a1ad2c2-3f1f-366f-a886-6c594f2c2609"]}],"mendeley":{"formattedCitation":"&lt;sup&gt;[3]&lt;/sup&gt;","plainTextFormattedCitation":"[3]","previouslyFormattedCitation":"&lt;sup&gt;[3]&lt;/sup&gt;"},"properties":{"noteIndex":0},"schema":"https://github.com/citation-style-language/schema/raw/master/csl-citation.json"}</w:instrText>
      </w:r>
      <w:r w:rsidR="00A94915" w:rsidRPr="003E0254">
        <w:rPr>
          <w:rFonts w:eastAsia="Arial" w:cs="Arial"/>
          <w:color w:val="000000"/>
        </w:rPr>
        <w:fldChar w:fldCharType="separate"/>
      </w:r>
      <w:r w:rsidR="00A94915" w:rsidRPr="003E0254">
        <w:rPr>
          <w:rFonts w:eastAsia="Arial" w:cs="Arial"/>
          <w:noProof/>
          <w:color w:val="000000"/>
          <w:vertAlign w:val="superscript"/>
        </w:rPr>
        <w:t>[3]</w:t>
      </w:r>
      <w:r w:rsidR="00A94915" w:rsidRPr="003E0254">
        <w:rPr>
          <w:rFonts w:eastAsia="Arial" w:cs="Arial"/>
          <w:color w:val="000000"/>
        </w:rPr>
        <w:fldChar w:fldCharType="end"/>
      </w:r>
      <w:r w:rsidR="001D066B" w:rsidRPr="003E0254">
        <w:rPr>
          <w:rFonts w:eastAsia="Arial" w:cs="Arial"/>
          <w:color w:val="000000"/>
        </w:rPr>
        <w:t xml:space="preserve"> </w:t>
      </w:r>
      <w:r w:rsidRPr="003E0254">
        <w:rPr>
          <w:rFonts w:eastAsia="Arial" w:cs="Arial"/>
          <w:color w:val="000000"/>
        </w:rPr>
        <w:t xml:space="preserve">Currently, zinc is widely utilized in </w:t>
      </w:r>
      <w:r w:rsidR="0062410A" w:rsidRPr="003E0254">
        <w:rPr>
          <w:rFonts w:eastAsia="Arial" w:cs="Arial"/>
          <w:color w:val="000000"/>
        </w:rPr>
        <w:t xml:space="preserve">primary </w:t>
      </w:r>
      <w:r w:rsidRPr="003E0254">
        <w:rPr>
          <w:rFonts w:eastAsia="Arial" w:cs="Arial"/>
          <w:color w:val="000000"/>
        </w:rPr>
        <w:t xml:space="preserve">alkaline cells for various electronic devices. </w:t>
      </w:r>
      <w:r w:rsidR="00FA10D2" w:rsidRPr="003E0254">
        <w:rPr>
          <w:rFonts w:eastAsia="Arial" w:cs="Arial"/>
          <w:color w:val="000000"/>
        </w:rPr>
        <w:t xml:space="preserve">However, </w:t>
      </w:r>
      <w:r w:rsidR="0072636E" w:rsidRPr="003E0254">
        <w:rPr>
          <w:rFonts w:eastAsia="Arial" w:cs="Arial"/>
          <w:color w:val="000000"/>
        </w:rPr>
        <w:t>the successful commercialization of secondary cell systems has not yet been realized at an impactful scale</w:t>
      </w:r>
      <w:r w:rsidR="00446031" w:rsidRPr="003E0254">
        <w:rPr>
          <w:rFonts w:eastAsia="Arial" w:cs="Arial"/>
          <w:color w:val="000000"/>
        </w:rPr>
        <w:t xml:space="preserve">. </w:t>
      </w:r>
      <w:r w:rsidRPr="003E0254">
        <w:rPr>
          <w:rFonts w:eastAsia="Arial" w:cs="Arial"/>
          <w:color w:val="000000"/>
        </w:rPr>
        <w:t>Nevertheless, zinc possesses potential for high energy density applications and benefits from an established recycling infrastructure, positioning it as a viable contender in the pursuit of sustainable energy storage solutions.</w:t>
      </w:r>
    </w:p>
    <w:p w14:paraId="419AB435" w14:textId="15B399D4" w:rsidR="00B53C39" w:rsidRPr="003E0254" w:rsidRDefault="00DA35C9" w:rsidP="00F34F19">
      <w:pPr>
        <w:pBdr>
          <w:top w:val="none" w:sz="4" w:space="0" w:color="000000"/>
          <w:left w:val="none" w:sz="4" w:space="18" w:color="000000"/>
          <w:bottom w:val="none" w:sz="4" w:space="0" w:color="000000"/>
          <w:right w:val="none" w:sz="4" w:space="0" w:color="000000"/>
        </w:pBdr>
        <w:spacing w:line="276" w:lineRule="auto"/>
        <w:jc w:val="both"/>
        <w:rPr>
          <w:rFonts w:eastAsia="Arial" w:cs="Arial"/>
          <w:color w:val="000000"/>
          <w14:ligatures w14:val="none"/>
        </w:rPr>
      </w:pPr>
      <w:r w:rsidRPr="003E0254">
        <w:rPr>
          <w:rFonts w:eastAsia="Arial" w:cs="Arial"/>
          <w:color w:val="000000"/>
        </w:rPr>
        <w:t xml:space="preserve">Zinc batteries are extensively discussed in literature, indicating their potential in energy storage technology. Several </w:t>
      </w:r>
      <w:r w:rsidR="00B411DE" w:rsidRPr="003E0254">
        <w:rPr>
          <w:rFonts w:eastAsia="Arial" w:cs="Arial"/>
          <w:color w:val="000000"/>
        </w:rPr>
        <w:t>noteworthy</w:t>
      </w:r>
      <w:r w:rsidRPr="003E0254">
        <w:rPr>
          <w:rFonts w:eastAsia="Arial" w:cs="Arial"/>
          <w:color w:val="000000"/>
        </w:rPr>
        <w:t xml:space="preserve"> reviews have addressed </w:t>
      </w:r>
      <w:r w:rsidR="00A439A1" w:rsidRPr="003E0254">
        <w:rPr>
          <w:rFonts w:eastAsia="Arial" w:cs="Arial"/>
          <w:color w:val="000000"/>
        </w:rPr>
        <w:t>zinc-metal</w:t>
      </w:r>
      <w:r w:rsidRPr="003E0254">
        <w:rPr>
          <w:rFonts w:eastAsia="Arial" w:cs="Arial"/>
          <w:color w:val="000000"/>
        </w:rPr>
        <w:t xml:space="preserve"> battery materials, including those by Fang et al.,</w:t>
      </w:r>
      <w:r w:rsidR="00E526CE" w:rsidRPr="003E0254">
        <w:rPr>
          <w:rFonts w:eastAsia="Arial" w:cs="Arial"/>
          <w:color w:val="000000"/>
        </w:rPr>
        <w:fldChar w:fldCharType="begin" w:fldLock="1"/>
      </w:r>
      <w:r w:rsidR="002F6D4C" w:rsidRPr="003E0254">
        <w:rPr>
          <w:rFonts w:eastAsia="Arial" w:cs="Arial"/>
          <w:color w:val="000000"/>
        </w:rPr>
        <w:instrText>ADDIN CSL_CITATION {"citationItems":[{"id":"ITEM-1","itemData":{"DOI":"10.1021/ACSENERGYLETT.8B01426/ASSET/IMAGES/LARGE/NZ-2018-01426E_0016.JPEG","ISSN":"23808195","abstract":"Although current high-energy-density lithium-ion batteries (LIBs) have taken over the commercial rechargeable battery market, increasing concerns about limited lithium resources, high cost, and insecurity of organic electrolyte scale-up limit their further development. Rechargeable aqueous zinc-ion batteries (ZIBs), an alternative battery chemistry, have paved the way not only for realizing environmentally benign and safe energy storage devices but also for reducing the manufacturing costs of next-generation batteries. This Review underscores recent advances in aqueous ZIBs; these include the design of a highly reversible Zn anode, optimization of the electrolyte, and a wide range of cathode materials and their energy storage mechanisms. We also present recent advanced techniques that aim at overcoming the current issues in aqueous ZIB systems. This Review on the future perspectives and research directions will provide a guide for future aqueous ZIB study.","author":[{"dropping-particle":"","family":"Fang","given":"Guozhao","non-dropping-particle":"","parse-names":false,"suffix":""},{"dropping-particle":"","family":"Zhou","given":"Jiang","non-dropping-particle":"","parse-names":false,"suffix":""},{"dropping-particle":"","family":"Pan","given":"Anqiang","non-dropping-particle":"","parse-names":false,"suffix":""},{"dropping-particle":"","family":"Liang","given":"Shuquan","non-dropping-particle":"","parse-names":false,"suffix":""}],"container-title":"ACS Energy Letters","id":"ITEM-1","issue":"10","issued":{"date-parts":[["2018","10","12"]]},"page":"2480-2501","publisher":"American Chemical Society","title":"Recent Advances in Aqueous Zinc-Ion Batteries","type":"article-journal","volume":"3"},"uris":["http://www.mendeley.com/documents/?uuid=07c088a2-b9b5-3edb-9a72-66f19ac12f13"]}],"mendeley":{"formattedCitation":"&lt;sup&gt;[4]&lt;/sup&gt;","plainTextFormattedCitation":"[4]","previouslyFormattedCitation":"&lt;sup&gt;[4]&lt;/sup&gt;"},"properties":{"noteIndex":0},"schema":"https://github.com/citation-style-language/schema/raw/master/csl-citation.json"}</w:instrText>
      </w:r>
      <w:r w:rsidR="00E526CE" w:rsidRPr="003E0254">
        <w:rPr>
          <w:rFonts w:eastAsia="Arial" w:cs="Arial"/>
          <w:color w:val="000000"/>
        </w:rPr>
        <w:fldChar w:fldCharType="separate"/>
      </w:r>
      <w:r w:rsidR="00A94915" w:rsidRPr="003E0254">
        <w:rPr>
          <w:rFonts w:eastAsia="Arial" w:cs="Arial"/>
          <w:noProof/>
          <w:color w:val="000000"/>
          <w:vertAlign w:val="superscript"/>
        </w:rPr>
        <w:t>[4]</w:t>
      </w:r>
      <w:r w:rsidR="00E526CE" w:rsidRPr="003E0254">
        <w:rPr>
          <w:rFonts w:eastAsia="Arial" w:cs="Arial"/>
          <w:color w:val="000000"/>
        </w:rPr>
        <w:fldChar w:fldCharType="end"/>
      </w:r>
      <w:r w:rsidRPr="003E0254">
        <w:rPr>
          <w:rFonts w:eastAsia="Arial" w:cs="Arial"/>
          <w:color w:val="000000"/>
        </w:rPr>
        <w:t xml:space="preserve"> Ming et al.,</w:t>
      </w:r>
      <w:r w:rsidR="00E526CE" w:rsidRPr="003E0254">
        <w:rPr>
          <w:rFonts w:eastAsia="Arial" w:cs="Arial"/>
          <w:color w:val="000000"/>
        </w:rPr>
        <w:fldChar w:fldCharType="begin" w:fldLock="1"/>
      </w:r>
      <w:r w:rsidR="002F6D4C" w:rsidRPr="003E0254">
        <w:rPr>
          <w:rFonts w:eastAsia="Arial" w:cs="Arial"/>
          <w:color w:val="000000"/>
        </w:rPr>
        <w:instrText>ADDIN CSL_CITATION {"citationItems":[{"id":"ITEM-1","itemData":{"DOI":"10.1016/J.MSER.2018.10.002","ISSN":"0927-796X","abstract":"The increasing global demand for energy and the potential environmental impact of increased energy consumption require greener, safer, and more cost-efficient energy storage technologies. Lithium-ion batteries (LIBs) have been successful in meeting much of today's energy storage demand; however, lithium (Li) is a costly metal, is unevenly distributed around the world, and poses serious safety and environmental concerns. Alternate battery technologies should thus be developed. Zinc-ion batteries (ZIBs) have recently attracted attention due to their safety, environmental friendliness, and lower cost, compared to LIBs. They use aqueous electrolytes, which give them an advantage over multivalent ion batteries (e.g., Mg2+, Ca2+, Al3+) that require more complex electrolytes. However, as with every new technology, many fundamental and practical challenges must be overcome for ZIBs to become commercial products. In this manuscript, we present a timely review and offer perspectives on recent developments and future directions in ZIBs research. The review is divided into five parts: (i) cathode material development, including an understanding of their reaction mechanism; (ii) electrolyte development and characterization; (iii) zinc anode, current collector, and separator design; (iv) applications; and (v) outlook and perspective.","author":[{"dropping-particle":"","family":"Ming","given":"Jun","non-dropping-particle":"","parse-names":false,"suffix":""},{"dropping-particle":"","family":"Guo","given":"Jing","non-dropping-particle":"","parse-names":false,"suffix":""},{"dropping-particle":"","family":"Xia","given":"Chuan","non-dropping-particle":"","parse-names":false,"suffix":""},{"dropping-particle":"","family":"Wang","given":"Wenxi","non-dropping-particle":"","parse-names":false,"suffix":""},{"dropping-particle":"","family":"Alshareef","given":"Husam N.","non-dropping-particle":"","parse-names":false,"suffix":""}],"container-title":"Materials Science and Engineering: R: Reports","id":"ITEM-1","issued":{"date-parts":[["2019","1","1"]]},"page":"58-84","publisher":"Elsevier","title":"Zinc-ion batteries: Materials, mechanisms, and applications","type":"article-journal","volume":"135"},"uris":["http://www.mendeley.com/documents/?uuid=0fa19782-7fae-380c-9f06-e531cee213cc"]}],"mendeley":{"formattedCitation":"&lt;sup&gt;[5]&lt;/sup&gt;","plainTextFormattedCitation":"[5]","previouslyFormattedCitation":"&lt;sup&gt;[5]&lt;/sup&gt;"},"properties":{"noteIndex":0},"schema":"https://github.com/citation-style-language/schema/raw/master/csl-citation.json"}</w:instrText>
      </w:r>
      <w:r w:rsidR="00E526CE" w:rsidRPr="003E0254">
        <w:rPr>
          <w:rFonts w:eastAsia="Arial" w:cs="Arial"/>
          <w:color w:val="000000"/>
        </w:rPr>
        <w:fldChar w:fldCharType="separate"/>
      </w:r>
      <w:r w:rsidR="00A94915" w:rsidRPr="003E0254">
        <w:rPr>
          <w:rFonts w:eastAsia="Arial" w:cs="Arial"/>
          <w:noProof/>
          <w:color w:val="000000"/>
          <w:vertAlign w:val="superscript"/>
        </w:rPr>
        <w:t>[5]</w:t>
      </w:r>
      <w:r w:rsidR="00E526CE" w:rsidRPr="003E0254">
        <w:rPr>
          <w:rFonts w:eastAsia="Arial" w:cs="Arial"/>
          <w:color w:val="000000"/>
        </w:rPr>
        <w:fldChar w:fldCharType="end"/>
      </w:r>
      <w:r w:rsidRPr="003E0254">
        <w:rPr>
          <w:rFonts w:eastAsia="Arial" w:cs="Arial"/>
          <w:color w:val="000000"/>
        </w:rPr>
        <w:t xml:space="preserve"> and Zhang et al.</w:t>
      </w:r>
      <w:r w:rsidR="00E526CE" w:rsidRPr="003E0254">
        <w:rPr>
          <w:rFonts w:eastAsia="Arial" w:cs="Arial"/>
          <w:color w:val="000000"/>
        </w:rPr>
        <w:fldChar w:fldCharType="begin" w:fldLock="1"/>
      </w:r>
      <w:r w:rsidR="002F6D4C" w:rsidRPr="003E0254">
        <w:rPr>
          <w:rFonts w:eastAsia="Arial" w:cs="Arial"/>
          <w:color w:val="000000"/>
        </w:rPr>
        <w:instrText>ADDIN CSL_CITATION {"citationItems":[{"id":"ITEM-1","itemData":{"DOI":"10.1039/C9CS00349E","ISSN":"1460-4744","PMID":"32478772","abstract":"Rechargeable zinc-ion batteries (ZIBs) are promising for large scale energy storage and portable electronic applications due to their low cost, material abundance, high safety, acceptable energy density and environmental friendliness. This tutorial review presents an introduction to the fundamentals, challenges, recent advances and prospects related to ZIBs. Firstly, the intrinsic chemical properties, challenges and strategies of metallic zinc anodes are underscored. Then, the multiple types of cathode materials are classified and comparatively discussed in terms of their structural and electrochemical properties, issues and remedies. Specific attention is paid to the mechanistic understanding and structural transformation of cathode materials based on Zn ion-(de)intercalation chemistry. After that, the widely investigated electrolytes are elaborated by discussing their effect on Zn plating/stripping behaviours, reaction kinetics, electrode/electrolyte interface chemistries, and cell performances. Finally, the remaining challenges and future perspectives are outlined for the development of ZIBs.","author":[{"dropping-particle":"","family":"Zhang","given":"Ning","non-dropping-particle":"","parse-names":false,"suffix":""},{"dropping-particle":"","family":"Chen","given":"Xuyong","non-dropping-particle":"","parse-names":false,"suffix":""},{"dropping-particle":"","family":"Yu","given":"Meng","non-dropping-particle":"","parse-names":false,"suffix":""},{"dropping-particle":"","family":"Niu","given":"Zhiqiang","non-dropping-particle":"","parse-names":false,"suffix":""},{"dropping-particle":"","family":"Cheng","given":"Fangyi","non-dropping-particle":"","parse-names":false,"suffix":""},{"dropping-particle":"","family":"Chen","given":"Jun","non-dropping-particle":"","parse-names":false,"suffix":""}],"container-title":"Chemical Society Reviews","id":"ITEM-1","issue":"13","issued":{"date-parts":[["2020","7","6"]]},"page":"4203-4219","publisher":"The Royal Society of Chemistry","title":"Materials chemistry for rechargeable zinc-ion batteries","type":"article-journal","volume":"49"},"uris":["http://www.mendeley.com/documents/?uuid=0545adb5-32ee-3855-9dbd-36bcd1e41ca8"]}],"mendeley":{"formattedCitation":"&lt;sup&gt;[6]&lt;/sup&gt;","plainTextFormattedCitation":"[6]","previouslyFormattedCitation":"&lt;sup&gt;[6]&lt;/sup&gt;"},"properties":{"noteIndex":0},"schema":"https://github.com/citation-style-language/schema/raw/master/csl-citation.json"}</w:instrText>
      </w:r>
      <w:r w:rsidR="00E526CE" w:rsidRPr="003E0254">
        <w:rPr>
          <w:rFonts w:eastAsia="Arial" w:cs="Arial"/>
          <w:color w:val="000000"/>
        </w:rPr>
        <w:fldChar w:fldCharType="separate"/>
      </w:r>
      <w:r w:rsidR="00A94915" w:rsidRPr="003E0254">
        <w:rPr>
          <w:rFonts w:eastAsia="Arial" w:cs="Arial"/>
          <w:noProof/>
          <w:color w:val="000000"/>
          <w:vertAlign w:val="superscript"/>
        </w:rPr>
        <w:t>[6]</w:t>
      </w:r>
      <w:r w:rsidR="00E526CE" w:rsidRPr="003E0254">
        <w:rPr>
          <w:rFonts w:eastAsia="Arial" w:cs="Arial"/>
          <w:color w:val="000000"/>
        </w:rPr>
        <w:fldChar w:fldCharType="end"/>
      </w:r>
      <w:r w:rsidRPr="003E0254">
        <w:rPr>
          <w:rFonts w:eastAsia="Arial" w:cs="Arial"/>
          <w:color w:val="000000"/>
        </w:rPr>
        <w:t xml:space="preserve"> These works explore the underlying chemistry and advancements in materials. Additionally, </w:t>
      </w:r>
      <w:proofErr w:type="spellStart"/>
      <w:r w:rsidRPr="003E0254">
        <w:rPr>
          <w:rFonts w:eastAsia="Arial" w:cs="Arial"/>
          <w:color w:val="000000"/>
        </w:rPr>
        <w:t>Konarov</w:t>
      </w:r>
      <w:proofErr w:type="spellEnd"/>
      <w:r w:rsidRPr="003E0254">
        <w:rPr>
          <w:rFonts w:eastAsia="Arial" w:cs="Arial"/>
          <w:color w:val="000000"/>
        </w:rPr>
        <w:t xml:space="preserve"> et al.</w:t>
      </w:r>
      <w:r w:rsidR="00E526CE" w:rsidRPr="003E0254">
        <w:rPr>
          <w:rFonts w:eastAsia="Arial" w:cs="Arial"/>
          <w:color w:val="000000"/>
        </w:rPr>
        <w:fldChar w:fldCharType="begin" w:fldLock="1"/>
      </w:r>
      <w:r w:rsidR="002F6D4C" w:rsidRPr="003E0254">
        <w:rPr>
          <w:rFonts w:eastAsia="Arial" w:cs="Arial"/>
          <w:color w:val="000000"/>
        </w:rPr>
        <w:instrText>ADDIN CSL_CITATION {"citationItems":[{"id":"ITEM-1","itemData":{"DOI":"10.1021/ACSENERGYLETT.8B01552/ASSET/IMAGES/LARGE/NZ-2018-01552N_0012.JPEG","ISSN":"23808195","abstract":"The zinc-ion battery (ZIB) is a 2 century-old technology but has recently attracted renewed interest owing to the possibility of switching from primary to rechargeable ZIBs. Nowadays, ZIBs employing a mild aqueous electrolyte are considered one of the most promising candidates for emerging energy storage systems (ESS) and portable electronics applications due to their environmental friendliness, safety, low cost, and acceptable energy density. However, there are many drawbacks associated with these batteries that have not yet been resolved. In this Review, we present the challenges and recent developments related to rechargeable ZIB research. Recent research trends and directions on electrode materials that can store Zn2+ and electrolytes that can improve the battery performance are comprehensively discussed.","author":[{"dropping-particle":"","family":"Konarov","given":"Aishuak","non-dropping-particle":"","parse-names":false,"suffix":""},{"dropping-particle":"","family":"Voronina","given":"Natalia","non-dropping-particle":"","parse-names":false,"suffix":""},{"dropping-particle":"","family":"Jo","given":"Jae Hyeon","non-dropping-particle":"","parse-names":false,"suffix":""},{"dropping-particle":"","family":"Bakenov","given":"Zhumabay","non-dropping-particle":"","parse-names":false,"suffix":""},{"dropping-particle":"","family":"Sun","given":"Yang Kook","non-dropping-particle":"","parse-names":false,"suffix":""},{"dropping-particle":"","family":"Myung","given":"Seung Taek","non-dropping-particle":"","parse-names":false,"suffix":""}],"container-title":"ACS Energy Letters","id":"ITEM-1","issue":"10","issued":{"date-parts":[["2018","10","12"]]},"page":"2620-2640","publisher":"American Chemical Society","title":"Present and Future Perspective on Electrode Materials for Rechargeable Zinc-Ion Batteries","type":"article-journal","volume":"3"},"uris":["http://www.mendeley.com/documents/?uuid=17c334a0-c84a-391a-a850-7d817d1bac20"]}],"mendeley":{"formattedCitation":"&lt;sup&gt;[7]&lt;/sup&gt;","plainTextFormattedCitation":"[7]","previouslyFormattedCitation":"&lt;sup&gt;[7]&lt;/sup&gt;"},"properties":{"noteIndex":0},"schema":"https://github.com/citation-style-language/schema/raw/master/csl-citation.json"}</w:instrText>
      </w:r>
      <w:r w:rsidR="00E526CE" w:rsidRPr="003E0254">
        <w:rPr>
          <w:rFonts w:eastAsia="Arial" w:cs="Arial"/>
          <w:color w:val="000000"/>
        </w:rPr>
        <w:fldChar w:fldCharType="separate"/>
      </w:r>
      <w:r w:rsidR="00A94915" w:rsidRPr="003E0254">
        <w:rPr>
          <w:rFonts w:eastAsia="Arial" w:cs="Arial"/>
          <w:noProof/>
          <w:color w:val="000000"/>
          <w:vertAlign w:val="superscript"/>
        </w:rPr>
        <w:t>[7]</w:t>
      </w:r>
      <w:r w:rsidR="00E526CE" w:rsidRPr="003E0254">
        <w:rPr>
          <w:rFonts w:eastAsia="Arial" w:cs="Arial"/>
          <w:color w:val="000000"/>
        </w:rPr>
        <w:fldChar w:fldCharType="end"/>
      </w:r>
      <w:r w:rsidRPr="003E0254">
        <w:rPr>
          <w:rFonts w:eastAsia="Arial" w:cs="Arial"/>
          <w:color w:val="000000"/>
        </w:rPr>
        <w:t xml:space="preserve"> and Tang et al.</w:t>
      </w:r>
      <w:r w:rsidR="00117E98" w:rsidRPr="003E0254">
        <w:rPr>
          <w:rFonts w:eastAsia="Arial" w:cs="Arial"/>
          <w:color w:val="000000"/>
        </w:rPr>
        <w:fldChar w:fldCharType="begin" w:fldLock="1"/>
      </w:r>
      <w:r w:rsidR="002F6D4C" w:rsidRPr="003E0254">
        <w:rPr>
          <w:rFonts w:eastAsia="Arial" w:cs="Arial"/>
          <w:color w:val="000000"/>
        </w:rPr>
        <w:instrText>ADDIN CSL_CITATION {"citationItems":[{"id":"ITEM-1","itemData":{"DOI":"10.1039/C9EE02526J","ISSN":"1754-5706","abstract":"Zinc-ion batteries built on water-based electrolytes featuring compelling price-points, competitive performance, and enhanced safety represent advanced energy storage chemistry as a promising alternative to current lithium-ion battery systems. Attempts to develop rechargeable aqueous zinc-ion batteries (ZIBs) can be traced to as early as the 1980s; however, since 2015, the research activity in this field has surged throughout the world. Despite the achievements made in exploring electrode materials so far, significant challenges remain at the material level and even on the whole aqueous ZIBs system, leading to the failure of ZIBs to meet commercial requirements. This review aims to discuss how to pave the way for developing aqueous ZIBs. The current research efforts related to aqueous ZIBs electrode materials and electrolytes are summarized, including an analysis of the problems encountered in both cathode/anode materials and electrolyte optimization. Some concerns and feasible solutions for achieving practical aqueous ZIBs are discussed in detail. We would like to point out that merely improving the electrode materials is not enough; synergistic optimization strategies toward the whole battery system are also deeply needed. Finally, some perspectives are provided on the subsequent optimization design for further research efforts in the aqueous ZIB field.","author":[{"dropping-particle":"","family":"Tang","given":"Boya","non-dropping-particle":"","parse-names":false,"suffix":""},{"dropping-particle":"","family":"Shan","given":"Lutong","non-dropping-particle":"","parse-names":false,"suffix":""},{"dropping-particle":"","family":"Liang","given":"Shuquan","non-dropping-particle":"","parse-names":false,"suffix":""},{"dropping-particle":"","family":"Zhou","given":"Jiang","non-dropping-particle":"","parse-names":false,"suffix":""}],"container-title":"Energy &amp; Environmental Science","id":"ITEM-1","issue":"11","issued":{"date-parts":[["2019","11","6"]]},"page":"3288-3304","publisher":"The Royal Society of Chemistry","title":"Issues and opportunities facing aqueous zinc-ion batteries","type":"article-journal","volume":"12"},"uris":["http://www.mendeley.com/documents/?uuid=f165893e-3bd6-3dd2-9b2b-e2c46d103aa7"]}],"mendeley":{"formattedCitation":"&lt;sup&gt;[8]&lt;/sup&gt;","plainTextFormattedCitation":"[8]","previouslyFormattedCitation":"&lt;sup&gt;[8]&lt;/sup&gt;"},"properties":{"noteIndex":0},"schema":"https://github.com/citation-style-language/schema/raw/master/csl-citation.json"}</w:instrText>
      </w:r>
      <w:r w:rsidR="00117E98" w:rsidRPr="003E0254">
        <w:rPr>
          <w:rFonts w:eastAsia="Arial" w:cs="Arial"/>
          <w:color w:val="000000"/>
        </w:rPr>
        <w:fldChar w:fldCharType="separate"/>
      </w:r>
      <w:r w:rsidR="00A94915" w:rsidRPr="003E0254">
        <w:rPr>
          <w:rFonts w:eastAsia="Arial" w:cs="Arial"/>
          <w:noProof/>
          <w:color w:val="000000"/>
          <w:vertAlign w:val="superscript"/>
        </w:rPr>
        <w:t>[8]</w:t>
      </w:r>
      <w:r w:rsidR="00117E98" w:rsidRPr="003E0254">
        <w:rPr>
          <w:rFonts w:eastAsia="Arial" w:cs="Arial"/>
          <w:color w:val="000000"/>
        </w:rPr>
        <w:fldChar w:fldCharType="end"/>
      </w:r>
      <w:r w:rsidRPr="003E0254">
        <w:rPr>
          <w:rFonts w:eastAsia="Arial" w:cs="Arial"/>
          <w:color w:val="000000"/>
        </w:rPr>
        <w:t xml:space="preserve"> provide insights into current challenges and perspectives of </w:t>
      </w:r>
      <w:r w:rsidR="00A439A1" w:rsidRPr="003E0254">
        <w:rPr>
          <w:rFonts w:eastAsia="Arial" w:cs="Arial"/>
          <w:color w:val="000000"/>
        </w:rPr>
        <w:t>zinc-metal</w:t>
      </w:r>
      <w:r w:rsidRPr="003E0254">
        <w:rPr>
          <w:rFonts w:eastAsia="Arial" w:cs="Arial"/>
          <w:color w:val="000000"/>
        </w:rPr>
        <w:t xml:space="preserve"> batteries. Secondary zinc-air battery materials and emerging trends have been extensively reviewed by Li et al.,</w:t>
      </w:r>
      <w:r w:rsidR="005871A8" w:rsidRPr="003E0254">
        <w:rPr>
          <w:rFonts w:eastAsia="Arial" w:cs="Arial"/>
          <w:color w:val="000000"/>
        </w:rPr>
        <w:fldChar w:fldCharType="begin" w:fldLock="1"/>
      </w:r>
      <w:r w:rsidR="002F6D4C" w:rsidRPr="003E0254">
        <w:rPr>
          <w:rFonts w:eastAsia="Arial" w:cs="Arial"/>
          <w:color w:val="000000"/>
        </w:rPr>
        <w:instrText>ADDIN CSL_CITATION {"citationItems":[{"id":"ITEM-1","itemData":{"DOI":"10.1039/C4CS00015C","ISSN":"1460-4744","abstract":"Zinc–air is a century-old battery technology but has attracted revived interest recently. With larger storage capacity at a fraction of the cost compared to lithium-ion, zinc–air batteries clearly represent one of the most viable future options to powering electric vehicles. However, some technic</w:instrText>
      </w:r>
      <w:r w:rsidR="002F6D4C" w:rsidRPr="003E0254">
        <w:rPr>
          <w:rFonts w:eastAsia="Arial" w:cs="Arial"/>
          <w:color w:val="000000"/>
          <w:lang w:val="de-DE"/>
        </w:rPr>
        <w:instrText>al problems associated with them have yet to be resolved. In this review, we present the fundamentals, challenges and latest exciting advances related to zinc–air research. Detailed discussion will be organized around the individual components of the system – from zinc electrodes, electrolytes, and separators to air electrodes and oxygen electrocatalysts in sequential order for both primary and electrically/mechanically rechargeable types. The detrimental effect of CO2 on battery performance is also emphasized, and possible solutions summarized. Finally, other metal–air batteries are briefly overviewed and compared in favor of zinc–air.","author":[{"dropping-particle":"","family":"Li","given":"Yanguang","non-dropping-particle":"","parse-names":false,"suffix":""},{"dropping-particle":"","family":"Dai","given":"Hongjie","non-dropping-particle":"","parse-names":false,"suffix":""}],"container-title":"Chemical Society Reviews","id":"ITEM-1","issue":"15","issued":{"date-parts":[["2014","7","7"]]},"page":"5257-5275","publisher":"The Royal Society of Chemistry","title":"Recent advances in zinc–air batteries","type":"article-journal","volume":"43"},"uris":["http://www.mendeley.com/documents/?uuid=dc456e41-c04f-30af-bd41-5cb9302ef296"]}],"mendeley":{"formattedCitation":"&lt;sup&gt;[9]&lt;/sup&gt;","plainTextFormattedCitation":"[9]","previouslyFormattedCitation":"&lt;sup&gt;[9]&lt;/sup&gt;"},"properties":{"noteIndex":0},"schema":"https://github.com/citation-style-language/schema/raw/master/csl-citation.json"}</w:instrText>
      </w:r>
      <w:r w:rsidR="005871A8" w:rsidRPr="003E0254">
        <w:rPr>
          <w:rFonts w:eastAsia="Arial" w:cs="Arial"/>
          <w:color w:val="000000"/>
        </w:rPr>
        <w:fldChar w:fldCharType="separate"/>
      </w:r>
      <w:r w:rsidR="00A94915" w:rsidRPr="003E0254">
        <w:rPr>
          <w:rFonts w:eastAsia="Arial" w:cs="Arial"/>
          <w:noProof/>
          <w:color w:val="000000"/>
          <w:vertAlign w:val="superscript"/>
          <w:lang w:val="de-DE"/>
        </w:rPr>
        <w:t>[9]</w:t>
      </w:r>
      <w:r w:rsidR="005871A8" w:rsidRPr="003E0254">
        <w:rPr>
          <w:rFonts w:eastAsia="Arial" w:cs="Arial"/>
          <w:color w:val="000000"/>
        </w:rPr>
        <w:fldChar w:fldCharType="end"/>
      </w:r>
      <w:r w:rsidRPr="003E0254">
        <w:rPr>
          <w:rFonts w:eastAsia="Arial" w:cs="Arial"/>
          <w:color w:val="000000"/>
          <w:lang w:val="de-DE"/>
        </w:rPr>
        <w:t xml:space="preserve"> Fu et al.</w:t>
      </w:r>
      <w:r w:rsidR="005871A8" w:rsidRPr="003E0254">
        <w:rPr>
          <w:rFonts w:eastAsia="Arial" w:cs="Arial"/>
          <w:color w:val="000000"/>
        </w:rPr>
        <w:fldChar w:fldCharType="begin" w:fldLock="1"/>
      </w:r>
      <w:r w:rsidR="002F6D4C" w:rsidRPr="003E0254">
        <w:rPr>
          <w:rFonts w:eastAsia="Arial" w:cs="Arial"/>
          <w:color w:val="000000"/>
          <w:lang w:val="de-DE"/>
        </w:rPr>
        <w:instrText>ADDIN CSL_CITATION {"citationItems":[{"id":"ITEM-1","itemData":{"DOI":"10.1002/adma.201604685","ISSN":"0935-9648","PMID":"27892635","abstract":"Zinc–air batteries have attracted much attention and received revived research efforts recently due to their high energy density, which makes them a promising candidate for emerging mobile and electronic applications. Besides their high energy density, they also demonstrate other desirable characteristics, such as abundant raw materials, environmental friendliness, safety, and low cost. Here, the reaction mechanism of electrically rechargeable zinc–air batteries is discussed, different battery configurations are compared, and an in depth discussion is offered of the major issues that affect individual cellular components, along with respective strategies to alleviate these issues to enhance battery performance. Additionally, a section dedicated to battery</w:instrText>
      </w:r>
      <w:r w:rsidR="002F6D4C" w:rsidRPr="003E0254">
        <w:rPr>
          <w:rFonts w:ascii="Cambria Math" w:eastAsia="Arial" w:hAnsi="Cambria Math" w:cs="Cambria Math"/>
          <w:color w:val="000000"/>
          <w:lang w:val="de-DE"/>
        </w:rPr>
        <w:instrText>‐</w:instrText>
      </w:r>
      <w:r w:rsidR="002F6D4C" w:rsidRPr="003E0254">
        <w:rPr>
          <w:rFonts w:eastAsia="Arial" w:cs="Arial"/>
          <w:color w:val="000000"/>
          <w:lang w:val="de-DE"/>
        </w:rPr>
        <w:instrText>testing techniques and corresponding recommendations for best practices are included. Finally, a general perspective on the current limitations, recent application</w:instrText>
      </w:r>
      <w:r w:rsidR="002F6D4C" w:rsidRPr="003E0254">
        <w:rPr>
          <w:rFonts w:ascii="Cambria Math" w:eastAsia="Arial" w:hAnsi="Cambria Math" w:cs="Cambria Math"/>
          <w:color w:val="000000"/>
          <w:lang w:val="de-DE"/>
        </w:rPr>
        <w:instrText>‐</w:instrText>
      </w:r>
      <w:r w:rsidR="002F6D4C" w:rsidRPr="003E0254">
        <w:rPr>
          <w:rFonts w:eastAsia="Arial" w:cs="Arial"/>
          <w:color w:val="000000"/>
          <w:lang w:val="de-DE"/>
        </w:rPr>
        <w:instrText>targeted developments, and recommended future research directions to prolong the lifespan of electrically rechargeable zinc</w:instrText>
      </w:r>
      <w:r w:rsidR="002F6D4C" w:rsidRPr="003E0254">
        <w:rPr>
          <w:rFonts w:ascii="Aptos" w:eastAsia="Arial" w:hAnsi="Aptos" w:cs="Aptos"/>
          <w:color w:val="000000"/>
          <w:lang w:val="de-DE"/>
        </w:rPr>
        <w:instrText>–</w:instrText>
      </w:r>
      <w:r w:rsidR="002F6D4C" w:rsidRPr="003E0254">
        <w:rPr>
          <w:rFonts w:eastAsia="Arial" w:cs="Arial"/>
          <w:color w:val="000000"/>
          <w:lang w:val="de-DE"/>
        </w:rPr>
        <w:instrText>air batteries is provided.","author":[{"dropping-particle":"","family":"Fu","given":"Jing","non-dropping-particle":"","parse-names":false,"suffix":""},{"dropping-particle":"","family":"Cano","given":"Zachary Paul","non-dropping-particle":"","parse-names":false,"suffix":""},{"dropping-particle":"","family":"Park","given":"Moon Gyu","non-dropping-particle":"","parse-names":false,"suffix":""},{"dropping-particle":"","family":"Yu","given":"Aiping","non-dropping-particle":"","parse-names":false,"suffix":""},{"dropping-particle":"","family":"Fowler","given":"Michael","non-dropping-particle":"","parse-names":false,"suffix":""},{"dropping-particle":"","family":"Chen","given":"Zhongwei","non-dropping-particle":"","parse-names":false,"suffix":""}],"container-title":"Advanced Materials","id":"ITEM-1","issue":"7","issued":{"date-parts":[["2017","2","28"]]},"page":"1604685","publisher":"John Wiley &amp; Sons, Ltd","title":"Electrically Rechargeable Zinc–Air Batteries: Progress, Challenges, and Perspectives","type":"article-journal","volume":"29"},"uris":["http://www.mendeley.com/documents/?uuid=984eaa59-ec0c-3f44-9862-54eb07eaff3d"]}],"mendeley":{"formattedCitation":"&lt;sup&gt;[10]&lt;/sup&gt;","plainTextFormattedCitation":"[10]","previouslyFormattedCitation":"&lt;sup&gt;[10]&lt;/sup&gt;"},"properties":{"noteIndex":0},"schema":"https://github.com/citation-style-language/schema/raw/master/csl-citation.json"}</w:instrText>
      </w:r>
      <w:r w:rsidR="005871A8" w:rsidRPr="003E0254">
        <w:rPr>
          <w:rFonts w:eastAsia="Arial" w:cs="Arial"/>
          <w:color w:val="000000"/>
        </w:rPr>
        <w:fldChar w:fldCharType="separate"/>
      </w:r>
      <w:r w:rsidR="00A94915" w:rsidRPr="003E0254">
        <w:rPr>
          <w:rFonts w:eastAsia="Arial" w:cs="Arial"/>
          <w:noProof/>
          <w:color w:val="000000"/>
          <w:vertAlign w:val="superscript"/>
          <w:lang w:val="de-DE"/>
        </w:rPr>
        <w:t>[10]</w:t>
      </w:r>
      <w:r w:rsidR="005871A8" w:rsidRPr="003E0254">
        <w:rPr>
          <w:rFonts w:eastAsia="Arial" w:cs="Arial"/>
          <w:color w:val="000000"/>
        </w:rPr>
        <w:fldChar w:fldCharType="end"/>
      </w:r>
      <w:r w:rsidRPr="003E0254">
        <w:rPr>
          <w:rFonts w:eastAsia="Arial" w:cs="Arial"/>
          <w:color w:val="000000"/>
          <w:lang w:val="de-DE"/>
        </w:rPr>
        <w:t xml:space="preserve"> and Leong et al.</w:t>
      </w:r>
      <w:r w:rsidR="005871A8" w:rsidRPr="003E0254">
        <w:rPr>
          <w:rFonts w:eastAsia="Arial" w:cs="Arial"/>
          <w:color w:val="000000"/>
        </w:rPr>
        <w:fldChar w:fldCharType="begin" w:fldLock="1"/>
      </w:r>
      <w:r w:rsidR="002F6D4C" w:rsidRPr="003E0254">
        <w:rPr>
          <w:rFonts w:eastAsia="Arial" w:cs="Arial"/>
          <w:color w:val="000000"/>
          <w:lang w:val="de-DE"/>
        </w:rPr>
        <w:instrText>ADDIN CSL_CITATION {"citationItems":[{"id":"ITEM-1","itemData":{"DOI":"10.1016/J.RSER.2021.111771","ISSN":"1364-0321","abstract":"Currently a hot research topic, rechargeable zinc-air batteries are considered one of the most promising post lithium-ion battery technologies for utility-scale energy storage, electric vehicles, and other consumer electronics. Nevertheless, despite a high energy density, low cost, and material abundance, the development of alkaline-based Zn-air batteries has been hampered by parasitic reactions at the Zn anode and sluggish oxygen redox kinetics. This article will review the current status of Zn-air batteries, discuss recent development trends including neutral and hybrid Zn-air batteries, and highlight future research needs. Specifically, an analysis of the latest publications will show that, through redesigning the anode, introducing alternative electrolytes, and engineering high-performing bifunctional oxygen catalysts, researchers have successfully prolonged the battery reversibility to a few thousand cycles and reached unprecedented energy efficiencies over 70%. Although unsolved obstacles remain, these strategies have opened up interesting possibilities in the advancement of rechargeable Zn-air batteries, creating promising prospects for the energy and electronics industries.","author":[{"dropping-particle":"","family":"Leong","given":"Kee Wah","non-dropping-particle":"","parse-names":false,"suffix":""},{"dropping-particle":"","family":"Wang","given":"Yifei","non-dropping-particle":"","parse-names":false,"suffix":""},{"dropping-particle":"","family":"Ni","given":"Meng","non-dropping-particle":"","parse-names":false,"suffix":""},{"dropping-particle":"","family":"Pan","given":"Wending","non-dropping-particle":"","parse-names":false,"suffix":""},{"dropping-particle":"","family":"Luo","given":"Shijing","non-dropping-particle":"","parse-names":false,"suffix":""},{"dropping-particle":"","family":"Leung","given":"Dennis Y.C.","non-dropping-particle":"","parse-names":false,"suffix":""}],"container-title":"Renewable and Sustainable Energy Reviews","id":"ITEM-1","issued":{"date-parts":[["2022","2","1"]]},"page":"111771","publisher":"Pergamon","title":"Rechargeable Zn-air batteries: Recent trends and future perspectives","type":"article-journal","volume":"154"},"uris":["http://www.mendeley.com/documents/?uuid=7fe766d8-828f-37fa-9e9f-f512d3647f7c"]}],"mendeley":{"formattedCitation":"&lt;sup&gt;[11]&lt;/sup&gt;","plainTextFormattedCitation":"[11]","previouslyFormattedCitation":"&lt;sup&gt;[11]&lt;/sup&gt;"},"properties":{"noteIndex":0},"schema":"https://github.com/citation-style-language/schema/raw/master/csl-citation.json"}</w:instrText>
      </w:r>
      <w:r w:rsidR="005871A8" w:rsidRPr="003E0254">
        <w:rPr>
          <w:rFonts w:eastAsia="Arial" w:cs="Arial"/>
          <w:color w:val="000000"/>
        </w:rPr>
        <w:fldChar w:fldCharType="separate"/>
      </w:r>
      <w:r w:rsidR="00A94915" w:rsidRPr="003E0254">
        <w:rPr>
          <w:rFonts w:eastAsia="Arial" w:cs="Arial"/>
          <w:noProof/>
          <w:color w:val="000000"/>
          <w:vertAlign w:val="superscript"/>
          <w:lang w:val="de-DE"/>
        </w:rPr>
        <w:t>[11]</w:t>
      </w:r>
      <w:r w:rsidR="005871A8" w:rsidRPr="003E0254">
        <w:rPr>
          <w:rFonts w:eastAsia="Arial" w:cs="Arial"/>
          <w:color w:val="000000"/>
        </w:rPr>
        <w:fldChar w:fldCharType="end"/>
      </w:r>
      <w:r w:rsidRPr="003E0254">
        <w:rPr>
          <w:rFonts w:eastAsia="Arial" w:cs="Arial"/>
          <w:color w:val="000000"/>
          <w:lang w:val="de-DE"/>
        </w:rPr>
        <w:t xml:space="preserve">, </w:t>
      </w:r>
      <w:proofErr w:type="spellStart"/>
      <w:r w:rsidRPr="003E0254">
        <w:rPr>
          <w:rFonts w:eastAsia="Arial" w:cs="Arial"/>
          <w:color w:val="000000"/>
          <w:lang w:val="de-DE"/>
        </w:rPr>
        <w:t>focusing</w:t>
      </w:r>
      <w:proofErr w:type="spellEnd"/>
      <w:r w:rsidRPr="003E0254">
        <w:rPr>
          <w:rFonts w:eastAsia="Arial" w:cs="Arial"/>
          <w:color w:val="000000"/>
          <w:lang w:val="de-DE"/>
        </w:rPr>
        <w:t xml:space="preserve"> on </w:t>
      </w:r>
      <w:proofErr w:type="spellStart"/>
      <w:r w:rsidRPr="003E0254">
        <w:rPr>
          <w:rFonts w:eastAsia="Arial" w:cs="Arial"/>
          <w:color w:val="000000"/>
          <w:lang w:val="de-DE"/>
        </w:rPr>
        <w:t>issues</w:t>
      </w:r>
      <w:proofErr w:type="spellEnd"/>
      <w:r w:rsidRPr="003E0254">
        <w:rPr>
          <w:rFonts w:eastAsia="Arial" w:cs="Arial"/>
          <w:color w:val="000000"/>
          <w:lang w:val="de-DE"/>
        </w:rPr>
        <w:t xml:space="preserve"> such </w:t>
      </w:r>
      <w:proofErr w:type="spellStart"/>
      <w:r w:rsidRPr="003E0254">
        <w:rPr>
          <w:rFonts w:eastAsia="Arial" w:cs="Arial"/>
          <w:color w:val="000000"/>
          <w:lang w:val="de-DE"/>
        </w:rPr>
        <w:t>as</w:t>
      </w:r>
      <w:proofErr w:type="spellEnd"/>
      <w:r w:rsidRPr="003E0254">
        <w:rPr>
          <w:rFonts w:eastAsia="Arial" w:cs="Arial"/>
          <w:color w:val="000000"/>
          <w:lang w:val="de-DE"/>
        </w:rPr>
        <w:t xml:space="preserve"> </w:t>
      </w:r>
      <w:proofErr w:type="spellStart"/>
      <w:r w:rsidRPr="003E0254">
        <w:rPr>
          <w:rFonts w:eastAsia="Arial" w:cs="Arial"/>
          <w:color w:val="000000"/>
          <w:lang w:val="de-DE"/>
        </w:rPr>
        <w:t>cyclability</w:t>
      </w:r>
      <w:proofErr w:type="spellEnd"/>
      <w:r w:rsidRPr="003E0254">
        <w:rPr>
          <w:rFonts w:eastAsia="Arial" w:cs="Arial"/>
          <w:color w:val="000000"/>
          <w:lang w:val="de-DE"/>
        </w:rPr>
        <w:t xml:space="preserve">, </w:t>
      </w:r>
      <w:proofErr w:type="spellStart"/>
      <w:r w:rsidRPr="003E0254">
        <w:rPr>
          <w:rFonts w:eastAsia="Arial" w:cs="Arial"/>
          <w:color w:val="000000"/>
          <w:lang w:val="de-DE"/>
        </w:rPr>
        <w:t>reaction</w:t>
      </w:r>
      <w:proofErr w:type="spellEnd"/>
      <w:r w:rsidRPr="003E0254">
        <w:rPr>
          <w:rFonts w:eastAsia="Arial" w:cs="Arial"/>
          <w:color w:val="000000"/>
          <w:lang w:val="de-DE"/>
        </w:rPr>
        <w:t xml:space="preserve"> </w:t>
      </w:r>
      <w:proofErr w:type="spellStart"/>
      <w:r w:rsidRPr="003E0254">
        <w:rPr>
          <w:rFonts w:eastAsia="Arial" w:cs="Arial"/>
          <w:color w:val="000000"/>
          <w:lang w:val="de-DE"/>
        </w:rPr>
        <w:t>kinetics</w:t>
      </w:r>
      <w:proofErr w:type="spellEnd"/>
      <w:r w:rsidR="00CD38E1" w:rsidRPr="003E0254">
        <w:rPr>
          <w:rFonts w:eastAsia="Arial" w:cs="Arial"/>
          <w:color w:val="000000"/>
          <w:lang w:val="de-DE"/>
        </w:rPr>
        <w:t>,</w:t>
      </w:r>
      <w:r w:rsidRPr="003E0254">
        <w:rPr>
          <w:rFonts w:eastAsia="Arial" w:cs="Arial"/>
          <w:color w:val="000000"/>
          <w:lang w:val="de-DE"/>
        </w:rPr>
        <w:t xml:space="preserve"> and bi</w:t>
      </w:r>
      <w:r w:rsidR="00B411DE" w:rsidRPr="003E0254">
        <w:rPr>
          <w:rFonts w:eastAsia="Arial" w:cs="Arial"/>
          <w:color w:val="000000"/>
          <w:lang w:val="de-DE"/>
        </w:rPr>
        <w:t>-</w:t>
      </w:r>
      <w:proofErr w:type="spellStart"/>
      <w:r w:rsidRPr="003E0254">
        <w:rPr>
          <w:rFonts w:eastAsia="Arial" w:cs="Arial"/>
          <w:color w:val="000000"/>
          <w:lang w:val="de-DE"/>
        </w:rPr>
        <w:t>functional</w:t>
      </w:r>
      <w:proofErr w:type="spellEnd"/>
      <w:r w:rsidRPr="003E0254">
        <w:rPr>
          <w:rFonts w:eastAsia="Arial" w:cs="Arial"/>
          <w:color w:val="000000"/>
          <w:lang w:val="de-DE"/>
        </w:rPr>
        <w:t xml:space="preserve"> </w:t>
      </w:r>
      <w:proofErr w:type="spellStart"/>
      <w:r w:rsidRPr="003E0254">
        <w:rPr>
          <w:rFonts w:eastAsia="Arial" w:cs="Arial"/>
          <w:color w:val="000000"/>
          <w:lang w:val="de-DE"/>
        </w:rPr>
        <w:t>catalysts</w:t>
      </w:r>
      <w:proofErr w:type="spellEnd"/>
      <w:r w:rsidRPr="003E0254">
        <w:rPr>
          <w:rFonts w:eastAsia="Arial" w:cs="Arial"/>
          <w:color w:val="000000"/>
          <w:lang w:val="de-DE"/>
        </w:rPr>
        <w:t xml:space="preserve">. </w:t>
      </w:r>
      <w:r w:rsidRPr="003E0254">
        <w:rPr>
          <w:rFonts w:eastAsia="Arial" w:cs="Arial"/>
          <w:color w:val="000000"/>
        </w:rPr>
        <w:t xml:space="preserve">The environmental impacts of </w:t>
      </w:r>
      <w:r w:rsidR="005871A8" w:rsidRPr="003E0254">
        <w:rPr>
          <w:rFonts w:eastAsia="Arial" w:cs="Arial"/>
          <w:color w:val="000000"/>
        </w:rPr>
        <w:t>zinc-based</w:t>
      </w:r>
      <w:r w:rsidRPr="003E0254">
        <w:rPr>
          <w:rFonts w:eastAsia="Arial" w:cs="Arial"/>
          <w:color w:val="000000"/>
        </w:rPr>
        <w:t xml:space="preserve"> batteries have been discussed by </w:t>
      </w:r>
      <w:proofErr w:type="spellStart"/>
      <w:r w:rsidRPr="003E0254">
        <w:rPr>
          <w:rFonts w:eastAsia="Arial" w:cs="Arial"/>
          <w:color w:val="000000"/>
        </w:rPr>
        <w:t>Iturrondobeitia</w:t>
      </w:r>
      <w:proofErr w:type="spellEnd"/>
      <w:r w:rsidRPr="003E0254">
        <w:rPr>
          <w:rFonts w:eastAsia="Arial" w:cs="Arial"/>
          <w:color w:val="000000"/>
        </w:rPr>
        <w:t xml:space="preserve"> et al.</w:t>
      </w:r>
      <w:r w:rsidR="005871A8" w:rsidRPr="003E0254">
        <w:rPr>
          <w:rFonts w:eastAsia="Arial" w:cs="Arial"/>
          <w:color w:val="000000"/>
        </w:rPr>
        <w:fldChar w:fldCharType="begin" w:fldLock="1"/>
      </w:r>
      <w:r w:rsidR="002F6D4C" w:rsidRPr="003E0254">
        <w:rPr>
          <w:rFonts w:eastAsia="Arial" w:cs="Arial"/>
          <w:color w:val="000000"/>
        </w:rPr>
        <w:instrText>ADDIN CSL_CITATION {"citationItems":[{"id":"ITEM-1","itemData":{"DOI":"10.1002/adsu.202100308","ISSN":"2366-7486","abstract":"Aqueous zinc ion batteries (AZIBs) are gaining widespread scientific and industrial attention thanks to their safety and potential environmental sustainability in comparison with other battery chemistries relying on organic electrolytes. AZIBs are good candidates for sustainable stationary storage, covering household energy needs or smoothing the intermittency associated with wind and solar energy. In spite of their potential as a sustainable energy storage technology, the study of their environmental repercussions remains unexplored. The environmental impacts associated with the fabrication of AZIBs are quantified using a cradle</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to</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gate life cycle assessment (LCA) methodology. Six laboratory</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scale battery designs offering high delivered capacity, energy density and operating lifespan are selected. The contribution of different battery components to eighteen environmental impact indicators is shown. An average value of 45.1 kg CO 2 equiv per 1 kWh is obtained considering the metallic Zn anode, the cathode, the separator, the aqueous electrolyte and the electricity required for cell assembly. AZIBs are environmentally competitive with lithium</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ion, lithium</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oxygen, lithium</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sulfur, and sodium</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ion battery technologies and are attractive from a Circular Economy viewpoint given the potential of renewable materials as separators and the high recycling rates of electrodes. The obtained results prove the suitability of zinc ion batteries as a sustainable stationary energy storage solution.","author":[{"dropping-particle":"","family":"Iturrondobeitia","given":"Maider","non-dropping-particle":"","parse-names":false,"suffix":""},{"dropping-particle":"","family":"Akizu</w:instrText>
      </w:r>
      <w:r w:rsidR="002F6D4C" w:rsidRPr="003E0254">
        <w:rPr>
          <w:rFonts w:ascii="Cambria Math" w:eastAsia="Arial" w:hAnsi="Cambria Math" w:cs="Cambria Math"/>
          <w:color w:val="000000"/>
        </w:rPr>
        <w:instrText>‐</w:instrText>
      </w:r>
      <w:r w:rsidR="002F6D4C" w:rsidRPr="003E0254">
        <w:rPr>
          <w:rFonts w:eastAsia="Arial" w:cs="Arial"/>
          <w:color w:val="000000"/>
        </w:rPr>
        <w:instrText>Gardoki","given":"Ortzi","non-dropping-particle":"","parse-names":false,"suffix":""},{"dropping-particle":"","family":"Amondarain","given":"Oier","non-dropping-particle":"","parse-names":false,"suffix":""},{"dropping-particle":"","family":"Minguez","given":"Rikardo","non-dropping-particle":"","parse-names":false,"suffix":""},{"dropping-particle":"","family":"Lizundia","given":"Erlantz","non-dropping-particle":"","parse-names":false,"suffix":""}],"container-title":"Advanced Sustainable Systems","id":"ITEM-1","issue":"1","issued":{"date-parts":[["2022","1","17"]]},"page":"2100308","publisher":"John Wiley &amp; Sons, Ltd","title":"Environmental Impacts of Aqueous Zinc Ion Batteries Based on Life Cycle Assessment","type":"article-journal","volume":"6"},"uris":["http://www.mendeley.com/documents/?uuid=e96802d9-45e9-48f7-82cf-31c640db9514"]}],"mendeley":{"formattedCitation":"&lt;sup&gt;[12]&lt;/sup&gt;","plainTextFormattedCitation":"[12]","previouslyFormattedCitation":"&lt;sup&gt;[12]&lt;/sup&gt;"},"properties":{"noteIndex":0},"schema":"https://github.com/citation-style-language/schema/raw/master/csl-citation.json"}</w:instrText>
      </w:r>
      <w:r w:rsidR="005871A8" w:rsidRPr="003E0254">
        <w:rPr>
          <w:rFonts w:eastAsia="Arial" w:cs="Arial"/>
          <w:color w:val="000000"/>
        </w:rPr>
        <w:fldChar w:fldCharType="separate"/>
      </w:r>
      <w:r w:rsidR="00A94915" w:rsidRPr="003E0254">
        <w:rPr>
          <w:rFonts w:eastAsia="Arial" w:cs="Arial"/>
          <w:noProof/>
          <w:color w:val="000000"/>
          <w:vertAlign w:val="superscript"/>
        </w:rPr>
        <w:t>[12]</w:t>
      </w:r>
      <w:r w:rsidR="005871A8" w:rsidRPr="003E0254">
        <w:rPr>
          <w:rFonts w:eastAsia="Arial" w:cs="Arial"/>
          <w:color w:val="000000"/>
        </w:rPr>
        <w:fldChar w:fldCharType="end"/>
      </w:r>
      <w:r w:rsidRPr="003E0254">
        <w:rPr>
          <w:rFonts w:eastAsia="Arial" w:cs="Arial"/>
          <w:color w:val="000000"/>
        </w:rPr>
        <w:t xml:space="preserve"> based on a life cycle assessment. The materials used in zinc </w:t>
      </w:r>
      <w:r w:rsidR="009755F7" w:rsidRPr="003E0254">
        <w:rPr>
          <w:rFonts w:eastAsia="Arial" w:cs="Arial"/>
          <w:color w:val="000000"/>
        </w:rPr>
        <w:t>redox flow</w:t>
      </w:r>
      <w:r w:rsidRPr="003E0254">
        <w:rPr>
          <w:rFonts w:eastAsia="Arial" w:cs="Arial"/>
          <w:color w:val="000000"/>
        </w:rPr>
        <w:t xml:space="preserve"> batteries have been extensively studied by Khor et al.,</w:t>
      </w:r>
      <w:r w:rsidR="00017A1F" w:rsidRPr="003E0254">
        <w:rPr>
          <w:rFonts w:eastAsia="Arial" w:cs="Arial"/>
          <w:color w:val="000000"/>
        </w:rPr>
        <w:fldChar w:fldCharType="begin" w:fldLock="1"/>
      </w:r>
      <w:r w:rsidR="002F6D4C" w:rsidRPr="003E0254">
        <w:rPr>
          <w:rFonts w:eastAsia="Arial" w:cs="Arial"/>
          <w:color w:val="000000"/>
        </w:rPr>
        <w:instrText>ADDIN CSL_CITATION {"citationItems":[{"id":"ITEM-1","itemData":{"DOI":"10.1016/J.MTENER.2017.12.012","ISSN":"2468-6069","abstract":"Zinc-based hybrid flow batteries are one of the most promising systems for medium- to large-scale energy storage applications, with particular advantages in terms of cost, cell voltage and energy density. Several of these systems are amongst the few flow battery chemistries that have been scaled up and commercialized. The existing zinc-based systems rely on zinc electrodeposition in flowing electrolytes as the negative electrode reaction, which is coupled with organic or inorganic positive active species in either solid, liquid or gaseous phases. These reactions are facilitated with specific cell architectures under certain circumstances. To improve the performance and cycle life of these batteries, this review provides fundamental information on zinc electrodeposition and summarizes recent developments in the relevant flow battery chemistries, along with recent applications. The future challenges and opportunities for this technology are discussed.","author":[{"dropping-particle":"","family":"Khor","given":"A.","non-dropping-particle":"","parse-names":false,"suffix":""},{"dropping-particle":"","family":"Leung","given":"P.","non-dropping-particle":"","parse-names":false,"suffix":""},{"dropping-particle":"","family":"Mohamed","given":"M. R.","non-dropping-particle":"","parse-names":false,"suffix":""},{"dropping-particle":"","family":"Flox","given":"C.","non-dropping-particle":"","parse-names":false,"suffix":""},{"dropping-particle":"","family":"Xu","given":"Q.","non-dropping-particle":"","parse-names":false,"suffix":""},{"dropping-particle":"","family":"An","given":"L.","non-dropping-particle":"","parse-names":false,"suffix":""},{"dropping-particle":"","family":"Wills","given":"R. G.A.","non-dropping-particle":"","parse-names":false,"suffix":""},{"dropping-particle":"","family":"Morante","given":"J. R.","non-dropping-particle":"","parse-names":false,"suffix":""},{"dropping-particle":"","family":"Shah","given":"A. A.","non-dropping-particle":"","parse-names":false,"suffix":""}],"container-title":"Materials Today Energy","id":"ITEM-1","issued":{"date-parts":[["2018","6","1"]]},"page":"80-108","publisher":"Elsevier","title":"Review of zinc-based hybrid flow batteries: From fundamentals to applications","type":"article-journal","volume":"8"},"uris":["http://www.mendeley.com/documents/?uuid=b5586916-32a7-49bc-af1b-609c094e275a"]}],"mendeley":{"formattedCitation":"&lt;sup&gt;[13]&lt;/sup&gt;","plainTextFormattedCitation":"[13]","previouslyFormattedCitation":"&lt;sup&gt;[13]&lt;/sup&gt;"},"properties":{"noteIndex":0},"schema":"https://github.com/citation-style-language/schema/raw/master/csl-citation.json"}</w:instrText>
      </w:r>
      <w:r w:rsidR="00017A1F" w:rsidRPr="003E0254">
        <w:rPr>
          <w:rFonts w:eastAsia="Arial" w:cs="Arial"/>
          <w:color w:val="000000"/>
        </w:rPr>
        <w:fldChar w:fldCharType="separate"/>
      </w:r>
      <w:r w:rsidR="00A94915" w:rsidRPr="003E0254">
        <w:rPr>
          <w:rFonts w:eastAsia="Arial" w:cs="Arial"/>
          <w:noProof/>
          <w:color w:val="000000"/>
          <w:vertAlign w:val="superscript"/>
        </w:rPr>
        <w:t>[13]</w:t>
      </w:r>
      <w:r w:rsidR="00017A1F" w:rsidRPr="003E0254">
        <w:rPr>
          <w:rFonts w:eastAsia="Arial" w:cs="Arial"/>
          <w:color w:val="000000"/>
        </w:rPr>
        <w:fldChar w:fldCharType="end"/>
      </w:r>
      <w:r w:rsidRPr="003E0254">
        <w:rPr>
          <w:rFonts w:eastAsia="Arial" w:cs="Arial"/>
          <w:color w:val="000000"/>
        </w:rPr>
        <w:t xml:space="preserve"> Yuan et al.,</w:t>
      </w:r>
      <w:r w:rsidR="00017A1F" w:rsidRPr="003E0254">
        <w:rPr>
          <w:rFonts w:eastAsia="Arial" w:cs="Arial"/>
          <w:color w:val="000000"/>
        </w:rPr>
        <w:fldChar w:fldCharType="begin" w:fldLock="1"/>
      </w:r>
      <w:r w:rsidR="002F6D4C" w:rsidRPr="003E0254">
        <w:rPr>
          <w:rFonts w:eastAsia="Arial" w:cs="Arial"/>
          <w:color w:val="000000"/>
        </w:rPr>
        <w:instrText>ADDIN CSL_CITATION {"citationItems":[{"id":"ITEM-1","itemData":{"DOI":"10.1002/adma.201902025","ISSN":"1521-4095","PMID":"31475411","abstract":"Zinc-based flow batteries (ZFBs) are well suitable for stationary energy storage applications because of their high energy density and low-cost advantages. Nevertheless, their wide application is still confronted with challenges, which are mainly from advanced materials. Therefore, research on advanced materials for ZFBs in terms of electrodes, membranes, and electrolytes as well as their chemistries are of the utmost importance. Herein, the focus is on the scientific understandings of the fundamental design of these advanced materials and their chemistries in relation to the battery performance. The principles of using different materials in different ZFB technologies, the functions and structure of the materials, and further material improvements are discussed in detail. Finally, the challenges and prospects of ZFBs are summarized as well. This review provides valuable instruction on how to design and develop new materials as well as new chemistries for ZFBs.","author":[{"dropping-particle":"","family":"Yuan","given":"Zhizhang","non-dropping-particle":"","parse-names":false,"suffix":""},{"dropping-particle":"","family":"Yin","given":"Yanbin","non-dropping-particle":"","parse-names":false,"suffix":""},{"dropping-particle":"","family":"Xie","given":"Congxin","non-dropping-particle":"","parse-names":false,"suffix":""},{"dropping-particle":"","family":"Zhang","given":"Huamin","non-dropping-particle":"","parse-names":false,"suffix":""},{"dropping-particle":"","family":"Yao","given":"Yan","non-dropping-particle":"","parse-names":false,"suffix":""},{"dropping-particle":"","family":"Li","given":"Xianfeng","non-dropping-particle":"","parse-names":false,"suffix":""}],"container-title":"Advanced materials (Deerfield Beach, Fla.)","id":"ITEM-1","issue":"50","issued":{"date-parts":[["2019","12","1"]]},"page":"e1902025","publisher":"John Wiley &amp; Sons, Ltd","title":"Advanced Materials for Zinc-Based Flow Battery: Development and Challenge.","type":"article-journal","volume":"31"},"uris":["http://www.mendeley.com/documents/?uuid=73a06cb7-8410-3018-99ce-c50cdac303d8"]}],"mendeley":{"formattedCitation":"&lt;sup&gt;[14]&lt;/sup&gt;","plainTextFormattedCitation":"[14]","previouslyFormattedCitation":"&lt;sup&gt;[14]&lt;/sup&gt;"},"properties":{"noteIndex":0},"schema":"https://github.com/citation-style-language/schema/raw/master/csl-citation.json"}</w:instrText>
      </w:r>
      <w:r w:rsidR="00017A1F" w:rsidRPr="003E0254">
        <w:rPr>
          <w:rFonts w:eastAsia="Arial" w:cs="Arial"/>
          <w:color w:val="000000"/>
        </w:rPr>
        <w:fldChar w:fldCharType="separate"/>
      </w:r>
      <w:r w:rsidR="00A94915" w:rsidRPr="003E0254">
        <w:rPr>
          <w:rFonts w:eastAsia="Arial" w:cs="Arial"/>
          <w:noProof/>
          <w:color w:val="000000"/>
          <w:vertAlign w:val="superscript"/>
        </w:rPr>
        <w:t>[14]</w:t>
      </w:r>
      <w:r w:rsidR="00017A1F" w:rsidRPr="003E0254">
        <w:rPr>
          <w:rFonts w:eastAsia="Arial" w:cs="Arial"/>
          <w:color w:val="000000"/>
        </w:rPr>
        <w:fldChar w:fldCharType="end"/>
      </w:r>
      <w:r w:rsidRPr="003E0254">
        <w:rPr>
          <w:rFonts w:eastAsia="Arial" w:cs="Arial"/>
          <w:color w:val="000000"/>
        </w:rPr>
        <w:t xml:space="preserve"> and Wang et al.,</w:t>
      </w:r>
      <w:r w:rsidR="00017A1F" w:rsidRPr="003E0254">
        <w:rPr>
          <w:rFonts w:eastAsia="Arial" w:cs="Arial"/>
          <w:color w:val="000000"/>
        </w:rPr>
        <w:fldChar w:fldCharType="begin" w:fldLock="1"/>
      </w:r>
      <w:r w:rsidR="002F6D4C" w:rsidRPr="003E0254">
        <w:rPr>
          <w:rFonts w:eastAsia="Arial" w:cs="Arial"/>
          <w:color w:val="000000"/>
        </w:rPr>
        <w:instrText>ADDIN CSL_CITATION {"citationItems":[{"id":"ITEM-1","itemData":{"DOI":"10.1088/1361-6463/ac4182","ISSN":"0022-3727","abstract":"Zinc-based redox flow batteries (ZRFBs) have been considered as ones of the most promising large-scale energy storage technologies owing to their low cost, high safety, and environmental friendliness. However, their commercial application is still hindered by a few key problems. First, the hydrogen evolution and zinc dendrite formation cause poor cycling life, of which needs to ameliorated or overcome by finding suitable anolytes. Second, the stability and energy density of catholytes are unsatisfactory due to oxidation, corrosion, and low electrolyte concentration. Meanwhile, highly catalytic electrode materials remain to be explored and the ion selectivity and cost efficiency of membrane materials demands further improvement. In this review, we summarize different types of ZRFBs according to their electrolyte environments including ZRFBs using neutral, acidic, and alkaline electrolytes, then highlight the advances of key materials including electrode and membrane materials for ZRFBs, and finally discuss the challenges and perspectives for the future development of high-performance ZRFBs.","author":[{"dropping-particle":"","family":"Wang","given":"Guixiang","non-dropping-particle":"","parse-names":false,"suffix":""},{"dropping-particle":"","family":"Zou","given":"Haitao","non-dropping-particle":"","parse-names":false,"suffix":""},{"dropping-particle":"","family":"Zhu","given":"Xiaobo","non-dropping-particle":"","parse-names":false,"suffix":""},{"dropping-particle":"","family":"Ding","given":"Mei","non-dropping-particle":"","parse-names":false,"suffix":""},{"dropping-particle":"","family":"Jia","given":"Chuankun","non-dropping-particle":"","parse-names":false,"suffix":""}],"container-title":"Journal of Physics D: Applied Physics","id":"ITEM-1","issue":"16","issued":{"date-parts":[["2022","4","21"]]},"page":"163001","publisher":"IOP Publishing","title":"Recent progress in zinc-based redox flow batteries: a review","type":"article-journal","volume":"55"},"uris":["http://www.mendeley.com/documents/?uuid=b2f01424-46c9-4454-af23-112002d8a32b"]}],"mendeley":{"formattedCitation":"&lt;sup&gt;[15]&lt;/sup&gt;","plainTextFormattedCitation":"[15]","previouslyFormattedCitation":"&lt;sup&gt;[15]&lt;/sup&gt;"},"properties":{"noteIndex":0},"schema":"https://github.com/citation-style-language/schema/raw/master/csl-citation.json"}</w:instrText>
      </w:r>
      <w:r w:rsidR="00017A1F" w:rsidRPr="003E0254">
        <w:rPr>
          <w:rFonts w:eastAsia="Arial" w:cs="Arial"/>
          <w:color w:val="000000"/>
        </w:rPr>
        <w:fldChar w:fldCharType="separate"/>
      </w:r>
      <w:r w:rsidR="00A94915" w:rsidRPr="003E0254">
        <w:rPr>
          <w:rFonts w:eastAsia="Arial" w:cs="Arial"/>
          <w:noProof/>
          <w:color w:val="000000"/>
          <w:vertAlign w:val="superscript"/>
        </w:rPr>
        <w:t>[15]</w:t>
      </w:r>
      <w:r w:rsidR="00017A1F" w:rsidRPr="003E0254">
        <w:rPr>
          <w:rFonts w:eastAsia="Arial" w:cs="Arial"/>
          <w:color w:val="000000"/>
        </w:rPr>
        <w:fldChar w:fldCharType="end"/>
      </w:r>
      <w:r w:rsidRPr="003E0254">
        <w:rPr>
          <w:rFonts w:eastAsia="Arial" w:cs="Arial"/>
          <w:color w:val="000000"/>
        </w:rPr>
        <w:t xml:space="preserve"> where the functionality and materials, including challenges and areas for improvement, have been reviewed.</w:t>
      </w:r>
    </w:p>
    <w:p w14:paraId="57D706FA" w14:textId="288CA3D2" w:rsidR="00B53C39" w:rsidRPr="003E0254" w:rsidRDefault="00DA35C9" w:rsidP="00F34F19">
      <w:pPr>
        <w:pBdr>
          <w:top w:val="none" w:sz="4" w:space="0" w:color="000000"/>
          <w:left w:val="none" w:sz="4" w:space="18" w:color="000000"/>
          <w:bottom w:val="none" w:sz="4" w:space="0" w:color="000000"/>
          <w:right w:val="none" w:sz="4" w:space="0" w:color="000000"/>
        </w:pBdr>
        <w:spacing w:line="276" w:lineRule="auto"/>
        <w:jc w:val="both"/>
        <w:rPr>
          <w:rFonts w:eastAsia="Arial" w:cs="Arial"/>
          <w:color w:val="000000"/>
          <w14:ligatures w14:val="none"/>
        </w:rPr>
      </w:pPr>
      <w:r w:rsidRPr="003E0254">
        <w:rPr>
          <w:rFonts w:eastAsia="Arial" w:cs="Arial"/>
          <w:color w:val="000000"/>
        </w:rPr>
        <w:t xml:space="preserve">In the context of stationary energy storage systems, </w:t>
      </w:r>
      <w:r w:rsidR="00B411DE" w:rsidRPr="003E0254">
        <w:rPr>
          <w:rFonts w:eastAsia="Arial" w:cs="Arial"/>
          <w:color w:val="000000"/>
        </w:rPr>
        <w:t xml:space="preserve">total cost of ownership that can be roughly divided into CAPEX (capital expenditures) and OPEX (ongoing costs) are </w:t>
      </w:r>
      <w:r w:rsidRPr="003E0254">
        <w:rPr>
          <w:rFonts w:eastAsia="Arial" w:cs="Arial"/>
          <w:color w:val="000000"/>
        </w:rPr>
        <w:t xml:space="preserve">pivotal </w:t>
      </w:r>
      <w:r w:rsidR="00476036" w:rsidRPr="003E0254">
        <w:rPr>
          <w:rFonts w:eastAsia="Arial" w:cs="Arial"/>
          <w:color w:val="000000"/>
        </w:rPr>
        <w:t>factors in</w:t>
      </w:r>
      <w:r w:rsidRPr="003E0254">
        <w:rPr>
          <w:rFonts w:eastAsia="Arial" w:cs="Arial"/>
          <w:color w:val="000000"/>
        </w:rPr>
        <w:t xml:space="preserve"> determining the commercial success of a given technology. A number of techno-economic cost analyses regarding capital costs have been conducted in </w:t>
      </w:r>
      <w:r w:rsidR="002A110A" w:rsidRPr="003E0254">
        <w:rPr>
          <w:rFonts w:eastAsia="Arial" w:cs="Arial"/>
          <w:color w:val="000000"/>
        </w:rPr>
        <w:t>academic</w:t>
      </w:r>
      <w:r w:rsidRPr="003E0254">
        <w:rPr>
          <w:rFonts w:eastAsia="Arial" w:cs="Arial"/>
          <w:color w:val="000000"/>
        </w:rPr>
        <w:t xml:space="preserve"> literature. For instance, Gong et al.</w:t>
      </w:r>
      <w:r w:rsidR="00017A1F" w:rsidRPr="003E0254">
        <w:rPr>
          <w:rFonts w:eastAsia="Arial" w:cs="Arial"/>
          <w:color w:val="000000"/>
        </w:rPr>
        <w:fldChar w:fldCharType="begin" w:fldLock="1"/>
      </w:r>
      <w:r w:rsidR="002F6D4C" w:rsidRPr="003E0254">
        <w:rPr>
          <w:rFonts w:eastAsia="Arial" w:cs="Arial"/>
          <w:color w:val="000000"/>
        </w:rPr>
        <w:instrText>ADDIN CSL_CITATION {"citationItems":[{"id":"ITEM-1","itemData":{"DOI":"10.1039/C5EE02315G","ISSN":"1754-5706","abstract":"Redox flow batteries (RFBs) are one of the most promising scalable electricity-storage systems to address the intermittency issues of renewable energy sources such as wind and solar. The prerequisite for RFBs to be economically viable and widely employed is their low cost. Here we present a new zinc–iron (Zn–Fe) RFB based on double-membrane triple-electrolyte design that is estimated to have under $100 per kW h system capital cost. Such a low cost is achieved by a combination of inexpensive redox materials (i.e., zinc and iron) and high cell performance (e.g., 676 mW cm−2 power density). Engineering of the cell structure is found to be critical to enable the high power density. Our cost model shows that a Zn–Fe RFB demonstrates the lowest cost among some notable RFBs and could reach the 2023 cost target set by the U.S. Department of Energy ($150 per kW h).","author":[{"dropping-particle":"","family":"Gong","given":"Ke","non-dropping-particle":"","parse-names":false,"suffix":""},{"dropping-particle":"","family":"Ma","given":"Xiaoya","non-dropping-particle":"","parse-names":false,"suffix":""},{"dropping-particle":"","family":"Conforti","given":"Kameron M.","non-dropping-particle":"","parse-names":false,"suffix":""},{"dropping-particle":"","family":"Kuttler","given":"Kevin J.","non-dropping-particle":"","parse-names":false,"suffix":""},{"dropping-particle":"","family":"Grunewald","given":"Jonathan B.","non-dropping-particle":"","parse-names":false,"suffix":""},{"dropping-particle":"","family":"Yeager","given":"Kelsey L.","non-dropping-particle":"","parse-names":false,"suffix":""},{"dropping-particle":"","family":"Bazant","given":"Martin Z.","non-dropping-particle":"","parse-names":false,"suffix":""},{"dropping-particle":"","family":"Gu","given":"Shuang","non-dropping-particle":"","parse-names":false,"suffix":""},{"dropping-particle":"","family":"Yan","given":"Yushan","non-dropping-particle":"","parse-names":false,"suffix":""}],"container-title":"Energy &amp; Environmental Science","id":"ITEM-1","issue":"10","issued":{"date-parts":[["2015","10","2"]]},"page":"2941-2945","publisher":"The Royal Society of Chemistry","title":"A zinc–iron redox-flow battery under $100 per kW h of system capital cost","type":"article-journal","volume":"8"},"uris":["http://www.mendeley.com/documents/?uuid=48418064-f9bb-3296-a416-ee9556c1ccc6"]}],"mendeley":{"formattedCitation":"&lt;sup&gt;[16]&lt;/sup&gt;","plainTextFormattedCitation":"[16]","previouslyFormattedCitation":"&lt;sup&gt;[16]&lt;/sup&gt;"},"properties":{"noteIndex":0},"schema":"https://github.com/citation-style-language/schema/raw/master/csl-citation.json"}</w:instrText>
      </w:r>
      <w:r w:rsidR="00017A1F" w:rsidRPr="003E0254">
        <w:rPr>
          <w:rFonts w:eastAsia="Arial" w:cs="Arial"/>
          <w:color w:val="000000"/>
        </w:rPr>
        <w:fldChar w:fldCharType="separate"/>
      </w:r>
      <w:r w:rsidR="00A94915" w:rsidRPr="003E0254">
        <w:rPr>
          <w:rFonts w:eastAsia="Arial" w:cs="Arial"/>
          <w:noProof/>
          <w:color w:val="000000"/>
          <w:vertAlign w:val="superscript"/>
        </w:rPr>
        <w:t>[16]</w:t>
      </w:r>
      <w:r w:rsidR="00017A1F" w:rsidRPr="003E0254">
        <w:rPr>
          <w:rFonts w:eastAsia="Arial" w:cs="Arial"/>
          <w:color w:val="000000"/>
        </w:rPr>
        <w:fldChar w:fldCharType="end"/>
      </w:r>
      <w:r w:rsidRPr="003E0254">
        <w:rPr>
          <w:rFonts w:eastAsia="Arial" w:cs="Arial"/>
          <w:color w:val="000000"/>
        </w:rPr>
        <w:t xml:space="preserve"> and Chen et al.</w:t>
      </w:r>
      <w:r w:rsidR="00017A1F" w:rsidRPr="003E0254">
        <w:rPr>
          <w:rFonts w:eastAsia="Arial" w:cs="Arial"/>
          <w:color w:val="000000"/>
        </w:rPr>
        <w:fldChar w:fldCharType="begin" w:fldLock="1"/>
      </w:r>
      <w:r w:rsidR="002F6D4C" w:rsidRPr="003E0254">
        <w:rPr>
          <w:rFonts w:eastAsia="Arial" w:cs="Arial"/>
          <w:color w:val="000000"/>
        </w:rPr>
        <w:instrText>ADDIN CSL_CITATION {"citationItems":[{"id":"ITEM-1","itemData":{"DOI":"10.1016/J.EST.2021.103327","ISSN":"2352-152X","abstract":"Alkaline zinc-iron flow batteries attract great interest for remarkable energy density, high safety, environmentally benign. However, comprehensive cost evaluation and sensitivity analysis of this technology are still absent. In this work, a cost model for a 0.1 MW/0.8 MWh alkaline zinc-iron flow battery system is presented, and a capital cost under the U.S. Department of Energy's target cost of 150 $ per kWh is achieved. Besides, the effects of electrode geometry, operating conditions, and membrane types on the system cost are investigated. The results illustrate that a low flow rate and thin electrodes with high porosity contribute to low capital costs under low current densities. Furthermore, the porous polybenzimidazole (PBI) membrane is more cost-effective than Nafion 212 membrane. This work provides an integrated estimation for the zinc-iron flow battery system, demonstrating its tremendous potential for grid-level energy storage applications.","author":[{"dropping-particle":"","family":"Chen","given":"Ziqi","non-dropping-particle":"","parse-names":false,"suffix":""},{"dropping-particle":"","family":"Liu","given":"Yongfu","non-dropping-particle":"","parse-names":false,"suffix":""},{"dropping-particle":"","family":"Yu","given":"Wentao","non-dropping-particle":"","parse-names":false,"suffix":""},{"dropping-particle":"","family":"He","given":"Qijiao","non-dropping-particle":"","parse-names":false,"suffix":""},{"dropping-particle":"","family":"Ni","given":"Meng","non-dropping-particle":"","parse-names":false,"suffix":""},{"dropping-particle":"","family":"Yang","given":"Shuquan","non-dropping-particle":"","parse-names":false,"suffix":""},{"dropping-particle":"","family":"Zhang","given":"Shuanglin","non-dropping-particle":"","parse-names":false,"suffix":""},{"dropping-particle":"","family":"Tan","given":"Peng","non-dropping-particle":"","parse-names":false,"suffix":""}],"container-title":"Journal of Energy Storage","id":"ITEM-1","issued":{"date-parts":[["2021","12","1"]]},"page":"103327","publisher":"Elsevier","title":"Cost evaluation and sensitivity analysis of the alkaline zinc-iron flow battery system for large-scale energy storage applications","type":"article-journal","volume":"44"},"uris":["http://www.mendeley.com/documents/?uuid=25d1882d-5515-3a04-a786-3592effd2c3c"]}],"mendeley":{"formattedCitation":"&lt;sup&gt;[17]&lt;/sup&gt;","plainTextFormattedCitation":"[17]","previouslyFormattedCitation":"&lt;sup&gt;[17]&lt;/sup&gt;"},"properties":{"noteIndex":0},"schema":"https://github.com/citation-style-language/schema/raw/master/csl-citation.json"}</w:instrText>
      </w:r>
      <w:r w:rsidR="00017A1F" w:rsidRPr="003E0254">
        <w:rPr>
          <w:rFonts w:eastAsia="Arial" w:cs="Arial"/>
          <w:color w:val="000000"/>
        </w:rPr>
        <w:fldChar w:fldCharType="separate"/>
      </w:r>
      <w:r w:rsidR="00A94915" w:rsidRPr="003E0254">
        <w:rPr>
          <w:rFonts w:eastAsia="Arial" w:cs="Arial"/>
          <w:noProof/>
          <w:color w:val="000000"/>
          <w:vertAlign w:val="superscript"/>
        </w:rPr>
        <w:t>[17]</w:t>
      </w:r>
      <w:r w:rsidR="00017A1F" w:rsidRPr="003E0254">
        <w:rPr>
          <w:rFonts w:eastAsia="Arial" w:cs="Arial"/>
          <w:color w:val="000000"/>
        </w:rPr>
        <w:fldChar w:fldCharType="end"/>
      </w:r>
      <w:r w:rsidR="00CE3132" w:rsidRPr="003E0254">
        <w:rPr>
          <w:rFonts w:eastAsia="Arial" w:cs="Arial"/>
          <w:color w:val="000000"/>
        </w:rPr>
        <w:t xml:space="preserve"> </w:t>
      </w:r>
      <w:r w:rsidRPr="003E0254">
        <w:rPr>
          <w:rFonts w:eastAsia="Arial" w:cs="Arial"/>
          <w:color w:val="000000"/>
        </w:rPr>
        <w:t>calculated the capital costs of zinc-iron redox flow batteries, while Tang et al.</w:t>
      </w:r>
      <w:r w:rsidR="00017A1F" w:rsidRPr="003E0254">
        <w:rPr>
          <w:rFonts w:eastAsia="Arial" w:cs="Arial"/>
          <w:color w:val="000000"/>
        </w:rPr>
        <w:fldChar w:fldCharType="begin" w:fldLock="1"/>
      </w:r>
      <w:r w:rsidR="002F6D4C" w:rsidRPr="003E0254">
        <w:rPr>
          <w:rFonts w:eastAsia="Arial" w:cs="Arial"/>
          <w:color w:val="000000"/>
        </w:rPr>
        <w:instrText>ADDIN CSL_CITATION {"citationItems":[{"id":"ITEM-1","itemData":{"DOI":"10.1016/J.ELECTACTA.2022.141460","ISSN":"0013-4686","abstract":"Redox flow battery (RFB) is a promising technology to store large amounts of energies in liquid electrolytes attributable to their unique architectures. In recent years, various new chemistries have been introduced in both aqueous and non-aqueous electrolytes as pathways to lower-cost systems, eventually meeting the long-term cost target of USD$ &lt; 100 (kW h)−1 for board market penetration. Since there is a lack of capital cost data available for flow batteries under the same criteria and assumptions, a fact-based techno-economic analysis is evaluated based on real systems to facilitate the explorations of more competitive systems. In total, nine conventional and emerging flow battery systems are evaluated based on aqueous and non-aqueous electrolytes using existing architectures. This analysis is attempted to evaluate the feasibility of these emerging systems to meet the cost target and to predict their technological prospects for energy storage applications. The capital costs of these resulting flow batteries are compared and discussed, providing suggestions for further improvements to meet the ambitious cost target in long-term.","author":[{"dropping-particle":"","family":"Tang","given":"L.","non-dropping-particle":"","parse-names":false,"suffix":""},{"dropping-particle":"","family":"Leung","given":"P.","non-dropping-particle":"","parse-names":false,"suffix":""},{"dropping-particle":"","family":"Mohamed","given":"M. R.","non-dropping-particle":"","parse-names":false,"suffix":""},{"dropping-particle":"","family":"Xu","given":"Q.","non-dropping-particle":"","parse-names":false,"suffix":""},{"dropping-particle":"","family":"Dai","given":"S.","non-dropping-particle":"","parse-names":false,"suffix":""},{"dropping-particle":"","family":"Zhu","given":"X.","non-dropping-particle":"","parse-names":false,"suffix":""},{"dropping-particle":"","family":"Flox","given":"C.","non-dropping-particle":"","parse-names":false,"suffix":""},{"dropping-particle":"","family":"Shah","given":"A. A.","non-dropping-particle":"","parse-names":false,"suffix":""},{"dropping-particle":"","family":"Liao","given":"Q.","non-dropping-particle":"","parse-names":false,"suffix":""}],"container-title":"Electrochimica Acta","id":"ITEM-1","issued":{"date-parts":[["2023","1","1"]]},"page":"141460","publisher":"Pergamon","title":"Capital cost evaluation of conventional and emerging redox flow batteries for grid storage applications","type":"article-journal","volume":"437"},"uris":["http://www.mendeley.com/documents/?uuid=c533625b-6f7e-4489-b343-14d7dfc99c22"]}],"mendeley":{"formattedCitation":"&lt;sup&gt;[18]&lt;/sup&gt;","plainTextFormattedCitation":"[18]","previouslyFormattedCitation":"&lt;sup&gt;[18]&lt;/sup&gt;"},"properties":{"noteIndex":0},"schema":"https://github.com/citation-style-language/schema/raw/master/csl-citation.json"}</w:instrText>
      </w:r>
      <w:r w:rsidR="00017A1F" w:rsidRPr="003E0254">
        <w:rPr>
          <w:rFonts w:eastAsia="Arial" w:cs="Arial"/>
          <w:color w:val="000000"/>
        </w:rPr>
        <w:fldChar w:fldCharType="separate"/>
      </w:r>
      <w:r w:rsidR="00A94915" w:rsidRPr="003E0254">
        <w:rPr>
          <w:rFonts w:eastAsia="Arial" w:cs="Arial"/>
          <w:noProof/>
          <w:color w:val="000000"/>
          <w:vertAlign w:val="superscript"/>
        </w:rPr>
        <w:t>[18]</w:t>
      </w:r>
      <w:r w:rsidR="00017A1F" w:rsidRPr="003E0254">
        <w:rPr>
          <w:rFonts w:eastAsia="Arial" w:cs="Arial"/>
          <w:color w:val="000000"/>
        </w:rPr>
        <w:fldChar w:fldCharType="end"/>
      </w:r>
      <w:r w:rsidRPr="003E0254">
        <w:rPr>
          <w:rFonts w:eastAsia="Arial" w:cs="Arial"/>
          <w:color w:val="000000"/>
        </w:rPr>
        <w:t xml:space="preserve"> calculated the capital costs of a variety of redox flow batteries including ZnBr</w:t>
      </w:r>
      <w:r w:rsidR="00EF1735" w:rsidRPr="003E0254">
        <w:rPr>
          <w:rFonts w:eastAsia="Arial" w:cs="Arial"/>
          <w:color w:val="000000"/>
          <w:vertAlign w:val="subscript"/>
        </w:rPr>
        <w:t>2</w:t>
      </w:r>
      <w:r w:rsidRPr="003E0254">
        <w:rPr>
          <w:rFonts w:eastAsia="Arial" w:cs="Arial"/>
          <w:color w:val="000000"/>
        </w:rPr>
        <w:t>. Gourley et al.</w:t>
      </w:r>
      <w:r w:rsidR="00017A1F" w:rsidRPr="003E0254">
        <w:rPr>
          <w:rFonts w:eastAsia="Arial" w:cs="Arial"/>
          <w:color w:val="000000"/>
        </w:rPr>
        <w:fldChar w:fldCharType="begin" w:fldLock="1"/>
      </w:r>
      <w:r w:rsidR="002F6D4C" w:rsidRPr="003E0254">
        <w:rPr>
          <w:rFonts w:eastAsia="Arial" w:cs="Arial"/>
          <w:color w:val="000000"/>
        </w:rPr>
        <w:instrText>ADDIN CSL_CITATION {"citationItems":[{"id":"ITEM-1","itemData":{"DOI":"10.1016/J.JOULE.2023.06.007","ISSN":"2542-4351","abstract":"The development of safe, inexpensive, and long service life stationary energy storage infrastructure is critical to support the decarbonization of the power and automotive sectors. While lithium-ion batteries are considered the industry standard of excellence for applications requiring high energy density, they may not be the best choice for all applications, particularly stationary energy storage. This study presents rechargeable Zn-ion batteries (ZIBs) as a promising technology primed for greater utilization in stationary applications. We consider the main benefits and challenges of ZIBs by comparing key characteristics such as cost, safety, environmental impact, and lifetime with pumped hydro, compressed air, lithium-ion, lead-acid, and redox-flow batteries. The low projected manufacturing costs, high safety, and excellent recyclability of ZIBs highlight the potential success of the technology. However, commercialization efforts are bottlenecked by active material dissolution, a lack of realistic performance demonstrations, and the need for manufacturing validation and cost analysis at the pilot scale. Considering recent advancements to lifetime and capacity of ZIBs, we propose a modified research approach including performance analysis of high-loading electrodes, in situ/operando characterization of reaction mechanisms, and standardized testing protocols and reporting to move beyond the benchtop battery and better facilitate ZIB commercialization.","author":[{"dropping-particle":"","family":"Gourley","given":"Storm W.D.","non-dropping-particle":"","parse-names":false,"suffix":""},{"dropping-particle":"","family":"Brown","given":"Ryan","non-dropping-particle":"","parse-names":false,"suffix":""},{"dropping-particle":"","family":"Adams","given":"Brian D.","non-dropping-particle":"","parse-names":false,"suffix":""},{"dropping-particle":"","family":"Higgins","given":"Drew","non-dropping-particle":"","parse-names":false,"suffix":""}],"container-title":"Joule","id":"ITEM-1","issue":"7","issued":{"date-parts":[["2023","7","19"]]},"page":"1415-1436","publisher":"Cell Press","title":"Zinc-ion batteries for stationary energy storage","type":"article-journal","volume":"7"},"uris":["http://www.mendeley.com/documents/?uuid=b2697a6d-5781-3b09-a2a4-7a9716579cd9"]}],"mendeley":{"formattedCitation":"&lt;sup&gt;[19]&lt;/sup&gt;","plainTextFormattedCitation":"[19]","previouslyFormattedCitation":"&lt;sup&gt;[19]&lt;/sup&gt;"},"properties":{"noteIndex":0},"schema":"https://github.com/citation-style-language/schema/raw/master/csl-citation.json"}</w:instrText>
      </w:r>
      <w:r w:rsidR="00017A1F" w:rsidRPr="003E0254">
        <w:rPr>
          <w:rFonts w:eastAsia="Arial" w:cs="Arial"/>
          <w:color w:val="000000"/>
        </w:rPr>
        <w:fldChar w:fldCharType="separate"/>
      </w:r>
      <w:r w:rsidR="00A94915" w:rsidRPr="003E0254">
        <w:rPr>
          <w:rFonts w:eastAsia="Arial" w:cs="Arial"/>
          <w:noProof/>
          <w:color w:val="000000"/>
          <w:vertAlign w:val="superscript"/>
        </w:rPr>
        <w:t>[19]</w:t>
      </w:r>
      <w:r w:rsidR="00017A1F" w:rsidRPr="003E0254">
        <w:rPr>
          <w:rFonts w:eastAsia="Arial" w:cs="Arial"/>
          <w:color w:val="000000"/>
        </w:rPr>
        <w:fldChar w:fldCharType="end"/>
      </w:r>
      <w:r w:rsidRPr="003E0254">
        <w:rPr>
          <w:rFonts w:eastAsia="Arial" w:cs="Arial"/>
          <w:color w:val="000000"/>
        </w:rPr>
        <w:t xml:space="preserve"> estimate material and production costs for </w:t>
      </w:r>
      <w:r w:rsidR="00A439A1" w:rsidRPr="003E0254">
        <w:rPr>
          <w:rFonts w:eastAsia="Arial" w:cs="Arial"/>
          <w:color w:val="000000"/>
        </w:rPr>
        <w:t>zinc-metal</w:t>
      </w:r>
      <w:r w:rsidRPr="003E0254">
        <w:rPr>
          <w:rFonts w:eastAsia="Arial" w:cs="Arial"/>
          <w:color w:val="000000"/>
        </w:rPr>
        <w:t xml:space="preserve"> batteries. However, little attention has been paid in the area of techno-economic analysis for zinc-air batteries.</w:t>
      </w:r>
      <w:r w:rsidR="00167B02" w:rsidRPr="003E0254">
        <w:rPr>
          <w:rFonts w:eastAsia="Arial" w:cs="Arial"/>
          <w:color w:val="000000"/>
        </w:rPr>
        <w:fldChar w:fldCharType="begin" w:fldLock="1"/>
      </w:r>
      <w:r w:rsidR="002F6D4C" w:rsidRPr="003E0254">
        <w:rPr>
          <w:rFonts w:eastAsia="Arial" w:cs="Arial"/>
          <w:color w:val="000000"/>
        </w:rPr>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167B02" w:rsidRPr="003E0254">
        <w:rPr>
          <w:rFonts w:eastAsia="Arial" w:cs="Arial"/>
          <w:color w:val="000000"/>
        </w:rPr>
        <w:fldChar w:fldCharType="separate"/>
      </w:r>
      <w:r w:rsidR="00A94915" w:rsidRPr="003E0254">
        <w:rPr>
          <w:rFonts w:eastAsia="Arial" w:cs="Arial"/>
          <w:noProof/>
          <w:color w:val="000000"/>
          <w:vertAlign w:val="superscript"/>
        </w:rPr>
        <w:t>[20]</w:t>
      </w:r>
      <w:r w:rsidR="00167B02" w:rsidRPr="003E0254">
        <w:rPr>
          <w:rFonts w:eastAsia="Arial" w:cs="Arial"/>
          <w:color w:val="000000"/>
        </w:rPr>
        <w:fldChar w:fldCharType="end"/>
      </w:r>
      <w:r w:rsidRPr="003E0254">
        <w:rPr>
          <w:rFonts w:eastAsia="Arial" w:cs="Arial"/>
          <w:color w:val="000000"/>
        </w:rPr>
        <w:t xml:space="preserve"> </w:t>
      </w:r>
      <w:r w:rsidR="007011A4" w:rsidRPr="003E0254">
        <w:rPr>
          <w:rFonts w:eastAsia="Arial" w:cs="Arial"/>
          <w:color w:val="000000"/>
        </w:rPr>
        <w:t>Moreover, many analyses rely on data that do not account for recent changes in political dynamics, market conditions, and technological advancements. Additionally, there is a lack of published studies that enable a direct comparative evaluation of different technologies.</w:t>
      </w:r>
    </w:p>
    <w:p w14:paraId="4E637B91" w14:textId="41BB4C69" w:rsidR="00B53C39" w:rsidRPr="003E0254" w:rsidRDefault="00DA35C9" w:rsidP="00F34F19">
      <w:pPr>
        <w:pBdr>
          <w:top w:val="none" w:sz="4" w:space="0" w:color="000000"/>
          <w:left w:val="none" w:sz="4" w:space="18" w:color="000000"/>
          <w:bottom w:val="none" w:sz="4" w:space="0" w:color="000000"/>
          <w:right w:val="none" w:sz="4" w:space="0" w:color="000000"/>
        </w:pBdr>
        <w:spacing w:line="276" w:lineRule="auto"/>
        <w:jc w:val="both"/>
      </w:pPr>
      <w:r w:rsidRPr="003E0254">
        <w:rPr>
          <w:rFonts w:eastAsia="Arial" w:cs="Arial"/>
          <w:color w:val="000000"/>
        </w:rPr>
        <w:t xml:space="preserve">In this </w:t>
      </w:r>
      <w:r w:rsidR="00B85431" w:rsidRPr="003E0254">
        <w:rPr>
          <w:rFonts w:eastAsia="Arial" w:cs="Arial"/>
          <w:color w:val="000000"/>
        </w:rPr>
        <w:t>review</w:t>
      </w:r>
      <w:r w:rsidRPr="003E0254">
        <w:rPr>
          <w:rFonts w:eastAsia="Arial" w:cs="Arial"/>
          <w:color w:val="000000"/>
        </w:rPr>
        <w:t xml:space="preserve"> paper, we </w:t>
      </w:r>
      <w:r w:rsidR="007F05D4" w:rsidRPr="003E0254">
        <w:rPr>
          <w:rFonts w:eastAsia="Arial" w:cs="Arial"/>
          <w:color w:val="000000"/>
        </w:rPr>
        <w:t xml:space="preserve">aim to address </w:t>
      </w:r>
      <w:r w:rsidRPr="003E0254">
        <w:rPr>
          <w:rFonts w:eastAsia="Arial" w:cs="Arial"/>
          <w:color w:val="000000"/>
        </w:rPr>
        <w:t xml:space="preserve">this research gap </w:t>
      </w:r>
      <w:r w:rsidR="007F05D4" w:rsidRPr="003E0254">
        <w:rPr>
          <w:rFonts w:eastAsia="Arial" w:cs="Arial"/>
          <w:color w:val="000000"/>
        </w:rPr>
        <w:t>by exploring</w:t>
      </w:r>
      <w:r w:rsidRPr="003E0254">
        <w:rPr>
          <w:rFonts w:eastAsia="Arial" w:cs="Arial"/>
          <w:color w:val="000000"/>
        </w:rPr>
        <w:t xml:space="preserve"> the following questions:</w:t>
      </w:r>
    </w:p>
    <w:p w14:paraId="1D298CF6" w14:textId="65A4E024" w:rsidR="00AA32B6" w:rsidRPr="003E0254" w:rsidRDefault="007F05D4" w:rsidP="00F34F19">
      <w:pPr>
        <w:numPr>
          <w:ilvl w:val="0"/>
          <w:numId w:val="20"/>
        </w:numPr>
        <w:pBdr>
          <w:top w:val="none" w:sz="4" w:space="0" w:color="000000"/>
          <w:left w:val="none" w:sz="4" w:space="0" w:color="000000"/>
          <w:bottom w:val="none" w:sz="4" w:space="0" w:color="000000"/>
          <w:right w:val="none" w:sz="4" w:space="0" w:color="000000"/>
        </w:pBdr>
        <w:spacing w:line="276" w:lineRule="auto"/>
        <w:jc w:val="both"/>
      </w:pPr>
      <w:r w:rsidRPr="003E0254">
        <w:rPr>
          <w:rFonts w:eastAsia="Arial" w:cs="Arial"/>
          <w:color w:val="000000"/>
        </w:rPr>
        <w:t>What</w:t>
      </w:r>
      <w:r w:rsidR="00DA35C9" w:rsidRPr="003E0254">
        <w:rPr>
          <w:rFonts w:eastAsia="Arial" w:cs="Arial"/>
          <w:color w:val="000000"/>
        </w:rPr>
        <w:t xml:space="preserve"> materials and systems are available for various zinc </w:t>
      </w:r>
      <w:r w:rsidR="00C715FE" w:rsidRPr="003E0254">
        <w:rPr>
          <w:rFonts w:eastAsia="Arial" w:cs="Arial"/>
          <w:color w:val="000000"/>
        </w:rPr>
        <w:t xml:space="preserve">battery </w:t>
      </w:r>
      <w:r w:rsidR="00DA35C9" w:rsidRPr="003E0254">
        <w:rPr>
          <w:rFonts w:eastAsia="Arial" w:cs="Arial"/>
          <w:color w:val="000000"/>
        </w:rPr>
        <w:t>technologies</w:t>
      </w:r>
      <w:r w:rsidR="00AA32B6" w:rsidRPr="003E0254">
        <w:rPr>
          <w:rFonts w:eastAsia="Arial" w:cs="Arial"/>
          <w:color w:val="000000"/>
        </w:rPr>
        <w:t>?</w:t>
      </w:r>
    </w:p>
    <w:p w14:paraId="59885AE4" w14:textId="5526A6D6" w:rsidR="00B53C39" w:rsidRPr="003E0254" w:rsidRDefault="00AA32B6" w:rsidP="00F34F19">
      <w:pPr>
        <w:numPr>
          <w:ilvl w:val="0"/>
          <w:numId w:val="20"/>
        </w:numPr>
        <w:pBdr>
          <w:top w:val="none" w:sz="4" w:space="0" w:color="000000"/>
          <w:left w:val="none" w:sz="4" w:space="0" w:color="000000"/>
          <w:bottom w:val="none" w:sz="4" w:space="0" w:color="000000"/>
          <w:right w:val="none" w:sz="4" w:space="0" w:color="000000"/>
        </w:pBdr>
        <w:spacing w:line="276" w:lineRule="auto"/>
        <w:jc w:val="both"/>
      </w:pPr>
      <w:r w:rsidRPr="003E0254">
        <w:rPr>
          <w:rFonts w:eastAsia="Arial" w:cs="Arial"/>
          <w:color w:val="000000"/>
        </w:rPr>
        <w:t>W</w:t>
      </w:r>
      <w:r w:rsidR="00DA35C9" w:rsidRPr="003E0254">
        <w:rPr>
          <w:rFonts w:eastAsia="Arial" w:cs="Arial"/>
          <w:color w:val="000000"/>
        </w:rPr>
        <w:t>hich</w:t>
      </w:r>
      <w:r w:rsidR="00C715FE" w:rsidRPr="003E0254">
        <w:rPr>
          <w:rFonts w:eastAsia="Arial" w:cs="Arial"/>
          <w:color w:val="000000"/>
        </w:rPr>
        <w:t xml:space="preserve"> battery</w:t>
      </w:r>
      <w:r w:rsidR="00DA35C9" w:rsidRPr="003E0254">
        <w:rPr>
          <w:rFonts w:eastAsia="Arial" w:cs="Arial"/>
          <w:color w:val="000000"/>
        </w:rPr>
        <w:t xml:space="preserve"> </w:t>
      </w:r>
      <w:r w:rsidRPr="003E0254">
        <w:rPr>
          <w:rFonts w:eastAsia="Arial" w:cs="Arial"/>
          <w:color w:val="000000"/>
        </w:rPr>
        <w:t xml:space="preserve">technologies </w:t>
      </w:r>
      <w:r w:rsidR="00DA35C9" w:rsidRPr="003E0254">
        <w:rPr>
          <w:rFonts w:eastAsia="Arial" w:cs="Arial"/>
          <w:color w:val="000000"/>
        </w:rPr>
        <w:t xml:space="preserve">are most likely to </w:t>
      </w:r>
      <w:r w:rsidR="00190585" w:rsidRPr="003E0254">
        <w:rPr>
          <w:rFonts w:eastAsia="Arial" w:cs="Arial"/>
          <w:color w:val="000000"/>
        </w:rPr>
        <w:t>succeed</w:t>
      </w:r>
      <w:r w:rsidR="00DA35C9" w:rsidRPr="003E0254">
        <w:rPr>
          <w:rFonts w:eastAsia="Arial" w:cs="Arial"/>
          <w:color w:val="000000"/>
        </w:rPr>
        <w:t xml:space="preserve"> in the future?</w:t>
      </w:r>
    </w:p>
    <w:p w14:paraId="5F13C846" w14:textId="403423D2" w:rsidR="00B53C39" w:rsidRPr="003E0254" w:rsidRDefault="00DA35C9" w:rsidP="00F34F19">
      <w:pPr>
        <w:numPr>
          <w:ilvl w:val="0"/>
          <w:numId w:val="20"/>
        </w:numPr>
        <w:pBdr>
          <w:top w:val="none" w:sz="4" w:space="0" w:color="000000"/>
          <w:left w:val="none" w:sz="4" w:space="0" w:color="000000"/>
          <w:bottom w:val="none" w:sz="4" w:space="0" w:color="000000"/>
          <w:right w:val="none" w:sz="4" w:space="0" w:color="000000"/>
        </w:pBdr>
        <w:spacing w:line="276" w:lineRule="auto"/>
        <w:jc w:val="both"/>
      </w:pPr>
      <w:r w:rsidRPr="003E0254">
        <w:rPr>
          <w:rFonts w:eastAsia="Arial" w:cs="Arial"/>
          <w:color w:val="000000"/>
        </w:rPr>
        <w:t xml:space="preserve">How do zinc-based rechargeable energy storage systems </w:t>
      </w:r>
      <w:r w:rsidR="007F05D4" w:rsidRPr="003E0254">
        <w:rPr>
          <w:rFonts w:eastAsia="Arial" w:cs="Arial"/>
          <w:color w:val="000000"/>
        </w:rPr>
        <w:t xml:space="preserve">economically </w:t>
      </w:r>
      <w:r w:rsidRPr="003E0254">
        <w:rPr>
          <w:rFonts w:eastAsia="Arial" w:cs="Arial"/>
          <w:color w:val="000000"/>
        </w:rPr>
        <w:t>compare to state-of-the-art storage solutions, such as lithium-ion and vanadium redox flow batteries?</w:t>
      </w:r>
    </w:p>
    <w:p w14:paraId="14F71168" w14:textId="40A6FD0A" w:rsidR="00B53C39" w:rsidRPr="003E0254" w:rsidRDefault="007F05D4" w:rsidP="00F34F19">
      <w:pPr>
        <w:numPr>
          <w:ilvl w:val="0"/>
          <w:numId w:val="20"/>
        </w:numPr>
        <w:pBdr>
          <w:top w:val="none" w:sz="4" w:space="0" w:color="000000"/>
          <w:left w:val="none" w:sz="4" w:space="0" w:color="000000"/>
          <w:bottom w:val="none" w:sz="4" w:space="0" w:color="000000"/>
          <w:right w:val="none" w:sz="4" w:space="0" w:color="000000"/>
        </w:pBdr>
        <w:spacing w:line="276" w:lineRule="auto"/>
        <w:jc w:val="both"/>
      </w:pPr>
      <w:r w:rsidRPr="003E0254">
        <w:rPr>
          <w:rFonts w:eastAsia="Arial" w:cs="Arial"/>
          <w:color w:val="000000"/>
        </w:rPr>
        <w:lastRenderedPageBreak/>
        <w:t>What</w:t>
      </w:r>
      <w:r w:rsidR="00DA35C9" w:rsidRPr="003E0254">
        <w:rPr>
          <w:rFonts w:eastAsia="Arial" w:cs="Arial"/>
          <w:color w:val="000000"/>
        </w:rPr>
        <w:t xml:space="preserve"> potential advantages do zinc</w:t>
      </w:r>
      <w:r w:rsidR="007011A4" w:rsidRPr="003E0254">
        <w:rPr>
          <w:rFonts w:eastAsia="Arial" w:cs="Arial"/>
          <w:color w:val="000000"/>
        </w:rPr>
        <w:t>-based systems</w:t>
      </w:r>
      <w:r w:rsidR="00DA35C9" w:rsidRPr="003E0254">
        <w:rPr>
          <w:rFonts w:eastAsia="Arial" w:cs="Arial"/>
          <w:color w:val="000000"/>
        </w:rPr>
        <w:t xml:space="preserve"> offer over other technologies in terms of abundance, price stability, </w:t>
      </w:r>
      <w:r w:rsidR="00EB2961" w:rsidRPr="003E0254">
        <w:rPr>
          <w:rFonts w:eastAsia="Arial" w:cs="Arial"/>
          <w:color w:val="000000"/>
        </w:rPr>
        <w:t xml:space="preserve">environmental impact, </w:t>
      </w:r>
      <w:r w:rsidR="00DA35C9" w:rsidRPr="003E0254">
        <w:rPr>
          <w:rFonts w:eastAsia="Arial" w:cs="Arial"/>
          <w:color w:val="000000"/>
        </w:rPr>
        <w:t>and recyclability?</w:t>
      </w:r>
    </w:p>
    <w:p w14:paraId="65636C70" w14:textId="190537D6" w:rsidR="00B53C39" w:rsidRPr="003E0254" w:rsidRDefault="00DA35C9" w:rsidP="00F34F19">
      <w:pPr>
        <w:pBdr>
          <w:top w:val="none" w:sz="4" w:space="0" w:color="000000"/>
          <w:left w:val="none" w:sz="4" w:space="0" w:color="000000"/>
          <w:bottom w:val="none" w:sz="4" w:space="0" w:color="000000"/>
          <w:right w:val="none" w:sz="4" w:space="0" w:color="000000"/>
        </w:pBdr>
        <w:spacing w:line="276" w:lineRule="auto"/>
        <w:jc w:val="both"/>
        <w:rPr>
          <w:rFonts w:eastAsia="Arial" w:cs="Arial"/>
          <w:color w:val="000000"/>
        </w:rPr>
      </w:pPr>
      <w:r w:rsidRPr="003E0254">
        <w:rPr>
          <w:rFonts w:eastAsia="Arial" w:cs="Arial"/>
          <w:color w:val="000000"/>
        </w:rPr>
        <w:t xml:space="preserve">A comprehensive overview of zinc battery technologies is provided, and material perspectives are highlighted. On the basis of material perspectives, ecological and market-related factors are </w:t>
      </w:r>
      <w:r w:rsidR="009919E3" w:rsidRPr="003E0254">
        <w:rPr>
          <w:rFonts w:eastAsia="Arial" w:cs="Arial"/>
          <w:color w:val="000000"/>
        </w:rPr>
        <w:t>analyzed,</w:t>
      </w:r>
      <w:r w:rsidRPr="003E0254">
        <w:rPr>
          <w:rFonts w:eastAsia="Arial" w:cs="Arial"/>
          <w:color w:val="000000"/>
        </w:rPr>
        <w:t xml:space="preserve"> and explorative techno-economic material cost models are developed for all technologies. This paper aims to address the research gap surrounding zinc batteries, thereby </w:t>
      </w:r>
      <w:r w:rsidR="00026265" w:rsidRPr="003E0254">
        <w:rPr>
          <w:rFonts w:eastAsia="Arial" w:cs="Arial"/>
          <w:color w:val="000000"/>
        </w:rPr>
        <w:t>highlighting their position</w:t>
      </w:r>
      <w:r w:rsidRPr="003E0254">
        <w:rPr>
          <w:rFonts w:eastAsia="Arial" w:cs="Arial"/>
          <w:color w:val="000000"/>
        </w:rPr>
        <w:t xml:space="preserve"> as a viable technology within the broader context of stationary energy storage.</w:t>
      </w:r>
    </w:p>
    <w:p w14:paraId="0C5E906B" w14:textId="77777777" w:rsidR="007F05D4" w:rsidRPr="003E0254" w:rsidRDefault="007F05D4" w:rsidP="00F34F19">
      <w:pPr>
        <w:pBdr>
          <w:top w:val="none" w:sz="4" w:space="0" w:color="000000"/>
          <w:left w:val="none" w:sz="4" w:space="0" w:color="000000"/>
          <w:bottom w:val="none" w:sz="4" w:space="0" w:color="000000"/>
          <w:right w:val="none" w:sz="4" w:space="0" w:color="000000"/>
        </w:pBdr>
        <w:spacing w:line="276" w:lineRule="auto"/>
        <w:jc w:val="both"/>
      </w:pPr>
    </w:p>
    <w:p w14:paraId="2EF86C4D" w14:textId="6C4B81D5" w:rsidR="00B53C39" w:rsidRPr="003E0254" w:rsidRDefault="00DA35C9">
      <w:pPr>
        <w:pStyle w:val="berschrift2"/>
        <w:rPr>
          <w:b/>
          <w:bCs/>
        </w:rPr>
      </w:pPr>
      <w:r w:rsidRPr="003E0254">
        <w:rPr>
          <w:b/>
          <w:bCs/>
        </w:rPr>
        <w:t>2</w:t>
      </w:r>
      <w:r w:rsidR="009919E3" w:rsidRPr="003E0254">
        <w:rPr>
          <w:b/>
          <w:bCs/>
        </w:rPr>
        <w:t>.</w:t>
      </w:r>
      <w:r w:rsidRPr="003E0254">
        <w:rPr>
          <w:b/>
          <w:bCs/>
        </w:rPr>
        <w:t xml:space="preserve"> Basics of </w:t>
      </w:r>
      <w:r w:rsidR="00A439A1" w:rsidRPr="003E0254">
        <w:rPr>
          <w:b/>
          <w:bCs/>
        </w:rPr>
        <w:t>Z</w:t>
      </w:r>
      <w:r w:rsidRPr="003E0254">
        <w:rPr>
          <w:b/>
          <w:bCs/>
        </w:rPr>
        <w:t xml:space="preserve">inc </w:t>
      </w:r>
      <w:r w:rsidR="00A439A1" w:rsidRPr="003E0254">
        <w:rPr>
          <w:b/>
          <w:bCs/>
        </w:rPr>
        <w:t>B</w:t>
      </w:r>
      <w:r w:rsidRPr="003E0254">
        <w:rPr>
          <w:b/>
          <w:bCs/>
        </w:rPr>
        <w:t xml:space="preserve">atteries and </w:t>
      </w:r>
      <w:r w:rsidR="00A439A1" w:rsidRPr="003E0254">
        <w:rPr>
          <w:b/>
          <w:bCs/>
        </w:rPr>
        <w:t>C</w:t>
      </w:r>
      <w:r w:rsidRPr="003E0254">
        <w:rPr>
          <w:b/>
          <w:bCs/>
        </w:rPr>
        <w:t xml:space="preserve">urrent </w:t>
      </w:r>
      <w:r w:rsidR="00A439A1" w:rsidRPr="003E0254">
        <w:rPr>
          <w:b/>
          <w:bCs/>
        </w:rPr>
        <w:t>D</w:t>
      </w:r>
      <w:r w:rsidRPr="003E0254">
        <w:rPr>
          <w:b/>
          <w:bCs/>
        </w:rPr>
        <w:t>evelopments</w:t>
      </w:r>
    </w:p>
    <w:p w14:paraId="683F5473" w14:textId="772C8E1B" w:rsidR="003E4F58" w:rsidRPr="003E0254" w:rsidRDefault="003E4F58" w:rsidP="003E4F58">
      <w:pPr>
        <w:pStyle w:val="berschrift3"/>
        <w:rPr>
          <w:b/>
          <w:bCs/>
        </w:rPr>
      </w:pPr>
      <w:r w:rsidRPr="003E0254">
        <w:rPr>
          <w:b/>
          <w:bCs/>
        </w:rPr>
        <w:t>2.1. Classification of Zinc Batteries</w:t>
      </w:r>
    </w:p>
    <w:p w14:paraId="56C9AFD3" w14:textId="1918D20F" w:rsidR="00B006C0" w:rsidRPr="003E0254" w:rsidRDefault="00632E78" w:rsidP="009919E3">
      <w:pPr>
        <w:spacing w:line="276" w:lineRule="auto"/>
        <w:jc w:val="both"/>
      </w:pPr>
      <w:r w:rsidRPr="003E0254">
        <w:t xml:space="preserve">Zinc batteries already play an important role in many people's daily lives. For example, </w:t>
      </w:r>
      <w:r w:rsidR="00C715FE" w:rsidRPr="003E0254">
        <w:t xml:space="preserve">universal </w:t>
      </w:r>
      <w:r w:rsidRPr="003E0254">
        <w:t xml:space="preserve">alkaline </w:t>
      </w:r>
      <w:r w:rsidR="00C715FE" w:rsidRPr="003E0254">
        <w:t xml:space="preserve">primary </w:t>
      </w:r>
      <w:r w:rsidRPr="003E0254">
        <w:t xml:space="preserve">batteries are commonly used in a wide </w:t>
      </w:r>
      <w:r w:rsidR="00B006C0" w:rsidRPr="003E0254">
        <w:t>variety</w:t>
      </w:r>
      <w:r w:rsidRPr="003E0254">
        <w:t xml:space="preserve"> of devices, </w:t>
      </w:r>
      <w:r w:rsidR="00B006C0" w:rsidRPr="003E0254">
        <w:t xml:space="preserve">ranging </w:t>
      </w:r>
      <w:r w:rsidRPr="003E0254">
        <w:t xml:space="preserve">from children's toys to portable measuring instruments. </w:t>
      </w:r>
      <w:r w:rsidR="00DA35C9" w:rsidRPr="003E0254">
        <w:t xml:space="preserve">In the following chapters, we </w:t>
      </w:r>
      <w:r w:rsidRPr="003E0254">
        <w:t>will focus on the chemistry and future potential of zinc-based secondary batteries</w:t>
      </w:r>
      <w:r w:rsidR="00941A86" w:rsidRPr="003E0254">
        <w:t xml:space="preserve">, </w:t>
      </w:r>
      <w:r w:rsidR="00A259FA" w:rsidRPr="003E0254">
        <w:t xml:space="preserve">as they have </w:t>
      </w:r>
      <w:r w:rsidR="00C715FE" w:rsidRPr="003E0254">
        <w:t>substantial</w:t>
      </w:r>
      <w:r w:rsidR="00A259FA" w:rsidRPr="003E0254">
        <w:t xml:space="preserve"> potential to contribute to the expanding stationary storage capacity</w:t>
      </w:r>
      <w:r w:rsidR="00015E6C" w:rsidRPr="003E0254">
        <w:t>, which is required to accommodate the storage of excess energy from renewable sources</w:t>
      </w:r>
      <w:r w:rsidR="00A259FA" w:rsidRPr="003E0254">
        <w:t>.</w:t>
      </w:r>
      <w:r w:rsidR="00DA35C9" w:rsidRPr="003E0254">
        <w:t xml:space="preserve"> </w:t>
      </w:r>
    </w:p>
    <w:p w14:paraId="2543DF46" w14:textId="18BC1FFA" w:rsidR="009D7A01" w:rsidRPr="003E0254" w:rsidRDefault="00133EF3" w:rsidP="009919E3">
      <w:pPr>
        <w:spacing w:line="276" w:lineRule="auto"/>
        <w:jc w:val="both"/>
      </w:pPr>
      <w:r w:rsidRPr="003E0254">
        <w:t xml:space="preserve">We begin with a brief historical overview of the development of various types of zinc batteries. Next, we examine different battery types in more detail. </w:t>
      </w:r>
      <w:r w:rsidR="00C8108D" w:rsidRPr="003E0254">
        <w:t xml:space="preserve">In </w:t>
      </w:r>
      <w:r w:rsidR="00CB0B23" w:rsidRPr="003E0254">
        <w:t>general</w:t>
      </w:r>
      <w:r w:rsidR="00C8108D" w:rsidRPr="003E0254">
        <w:t>, zinc-based battery chemistries are classified into four main categories</w:t>
      </w:r>
      <w:r w:rsidR="00BF57A0" w:rsidRPr="003E0254">
        <w:t>,</w:t>
      </w:r>
      <w:r w:rsidR="00447126" w:rsidRPr="003E0254">
        <w:t xml:space="preserve"> as illustrated in Figure 1</w:t>
      </w:r>
      <w:r w:rsidR="00C8108D" w:rsidRPr="003E0254">
        <w:t>: zinc-ion, zinc-metal, zinc-air, and zinc</w:t>
      </w:r>
      <w:r w:rsidR="00BF57A0" w:rsidRPr="003E0254">
        <w:t xml:space="preserve"> </w:t>
      </w:r>
      <w:r w:rsidR="00C8108D" w:rsidRPr="003E0254">
        <w:t>flow batteries</w:t>
      </w:r>
      <w:r w:rsidR="009D7A01" w:rsidRPr="003E0254">
        <w:t>:</w:t>
      </w:r>
    </w:p>
    <w:p w14:paraId="4C5A0ED2" w14:textId="1D7686D4" w:rsidR="00725B30" w:rsidRPr="003E0254" w:rsidRDefault="00C8108D" w:rsidP="00725B30">
      <w:pPr>
        <w:pStyle w:val="Listenabsatz"/>
        <w:numPr>
          <w:ilvl w:val="0"/>
          <w:numId w:val="27"/>
        </w:numPr>
        <w:spacing w:line="276" w:lineRule="auto"/>
        <w:jc w:val="both"/>
      </w:pPr>
      <w:r w:rsidRPr="003E0254">
        <w:rPr>
          <w:b/>
          <w:bCs/>
        </w:rPr>
        <w:t>Zinc-ion batteries</w:t>
      </w:r>
      <w:r w:rsidRPr="003E0254">
        <w:t xml:space="preserve"> </w:t>
      </w:r>
      <w:r w:rsidR="00BF57A0" w:rsidRPr="003E0254">
        <w:t>utilize</w:t>
      </w:r>
      <w:r w:rsidRPr="003E0254">
        <w:t xml:space="preserve"> both anode and cathode materials that can reversibly insert and extract Zn²</w:t>
      </w:r>
      <w:r w:rsidRPr="003E0254">
        <w:rPr>
          <w:rFonts w:ascii="Cambria Math" w:hAnsi="Cambria Math" w:cs="Cambria Math"/>
        </w:rPr>
        <w:t>⁺</w:t>
      </w:r>
      <w:r w:rsidRPr="003E0254">
        <w:t xml:space="preserve"> ions through intercalation mechanisms. Importantly, the anode does not consist of metallic zinc; instead, it</w:t>
      </w:r>
      <w:r w:rsidR="00B76876" w:rsidRPr="003E0254">
        <w:t xml:space="preserve"> </w:t>
      </w:r>
      <w:r w:rsidRPr="003E0254">
        <w:t xml:space="preserve">features </w:t>
      </w:r>
      <w:r w:rsidR="00B76876" w:rsidRPr="003E0254">
        <w:t>insertion materials</w:t>
      </w:r>
      <w:r w:rsidRPr="003E0254">
        <w:t xml:space="preserve"> </w:t>
      </w:r>
      <w:r w:rsidR="00B76876" w:rsidRPr="003E0254">
        <w:t>where</w:t>
      </w:r>
      <w:r w:rsidRPr="003E0254">
        <w:t xml:space="preserve"> Zn</w:t>
      </w:r>
      <w:r w:rsidRPr="003E0254">
        <w:rPr>
          <w:rFonts w:ascii="Aptos" w:hAnsi="Aptos" w:cs="Aptos"/>
        </w:rPr>
        <w:t>²</w:t>
      </w:r>
      <w:r w:rsidRPr="003E0254">
        <w:rPr>
          <w:rFonts w:ascii="Cambria Math" w:hAnsi="Cambria Math" w:cs="Cambria Math"/>
        </w:rPr>
        <w:t>⁺</w:t>
      </w:r>
      <w:r w:rsidRPr="003E0254">
        <w:t xml:space="preserve"> </w:t>
      </w:r>
      <w:r w:rsidR="00B76876" w:rsidRPr="003E0254">
        <w:t>(and in case of aqueous systems also often protons) can be reversibly de(inserted)</w:t>
      </w:r>
      <w:r w:rsidRPr="003E0254">
        <w:t>.</w:t>
      </w:r>
      <w:r w:rsidR="00C14215" w:rsidRPr="003E0254">
        <w:fldChar w:fldCharType="begin" w:fldLock="1"/>
      </w:r>
      <w:r w:rsidR="00551CE8" w:rsidRPr="003E0254">
        <w:instrText>ADDIN CSL_CITATION {"citationItems":[{"id":"ITEM-1","itemData":{"DOI":"10.1016/j.est.2025.116271","ISSN":"2352152X","abstract":"Zinc-ion batteries (ZIBs) have emerged as a compelling alternative to lithium-ion batteries, owing to their inherent safety, cost-effectiveness, and the abundance of zinc. However, the practical implementation of ZIBs is hindered by several challenges, particularly concerning the zinc anode, including the formation of dendrites, corrosion, and parasitic hydrogen evolution reactions (HER). These issues lead to reduced coulombic efficiency, capacity fading, and compromised battery safety. This review provides a comprehensive overview of recent advancements in addressing these challenges, focusing on the design and development of advanced anode and cathode materials. The discussion encompasses a detailed examination of the fundamental issues related to zinc dendrite formation and corrosion, and explores strategies for mitigating these problems, including electrolyte modification, surface protection, and the use of novel 3D architectures. Furthermore, the review delves into a range of cathode materials, from metal oxides and sulfides to emerging organic and halogen-based compounds, highlighting their electrochemical mechanisms, structural characteristics, and performance in ZIB systems. We explore key material design concepts such as interlayer engineering, doping, and the creation of composite materials, discussing how these approaches enhance electrochemical performance. Finally, this review provides a perspective on the future development of ZIB technology, offering insights into promising research directions and strategies for achieving high-performance, stable, and sustainable energy storage solutions.","author":[{"dropping-particle":"","family":"Javed","given":"Shazam","non-dropping-particle":"","parse-names":false,"suffix":""},{"dropping-particle":"","family":"Suo","given":"Guoquan","non-dropping-particle":"","parse-names":false,"suffix":""},{"dropping-particle":"","family":"Habib","given":"Laraib","non-dropping-particle":"","parse-names":false,"suffix":""},{"dropping-particle":"","family":"Lin","given":"Chuanjin","non-dropping-particle":"","parse-names":false,"suffix":""},{"dropping-particle":"","family":"Li","given":"Jiarong","non-dropping-particle":"","parse-names":false,"suffix":""},{"dropping-particle":"","family":"Hou","given":"Xiaojiang","non-dropping-particle":"","parse-names":false,"suffix":""},{"dropping-particle":"","family":"Ye","given":"Xiaohui","non-dropping-particle":"","parse-names":false,"suffix":""},{"dropping-particle":"","family":"Yang","given":"Yanling","non-dropping-particle":"","parse-names":false,"suffix":""},{"dropping-particle":"","family":"Ding","given":"Shukai","non-dropping-particle":"","parse-names":false,"suffix":""}],"container-title":"Journal of Energy Storage","id":"ITEM-1","issue":"March","issued":{"date-parts":[["2025"]]},"page":"116271","publisher":"Elsevier Ltd","title":"Recent progress in zinc-ion battery anodes and cathodes: Materials design, dendrite control, and future perspectives","type":"article-journal","volume":"118"},"uris":["http://www.mendeley.com/documents/?uuid=ccdabb87-2343-46ef-812c-c879359ef90c"]},{"id":"ITEM-2","itemData":{"DOI":"10.1021/acsnano.0c07041","ISSN":"1936086X","PMID":"33314908","abstract":"Aqueous Zn-ion batteries (ZIBs) are promising safe energy storage systems that have received considerable attention in recent years. Based on the electrochemical behavior of Zn2+ in the charging and discharging process, herein we review the research progress on anode materials for use in aqueous ZIBs based on two aspects: Zn deposition and Zn2+ intercalation. To date, Zn dendrite, corrosion, and passivation issues have restricted the development of aqueous ZIBs. However, many strategies have been developed, including structural design, interface protection of the Zn anode, Zn alloying, and using polymer electrolytes. The main aim is to stabilize the Zn stripping/plating layer and limit side reactions. Zn2+-intercalated anodes, with a high Zn2+ storage capacity to replace the current metal Zn anode, are also a potential option. Finally, some suggestions have been put forward for the subsequent optimization strategy, which are expected to promote further development of aqueous ZIBs.","author":[{"dropping-particle":"","family":"Wang","given":"Tingting","non-dropping-particle":"","parse-names":false,"suffix":""},{"dropping-particle":"","family":"Li","given":"Canpeng","non-dropping-particle":"","parse-names":false,"suffix":""},{"dropping-particle":"","family":"Xie","given":"Xuesong","non-dropping-particle":"","parse-names":false,"suffix":""},{"dropping-particle":"","family":"Lu","given":"Bingan","non-dropping-particle":"","parse-names":false,"suffix":""},{"dropping-particle":"","family":"He","given":"Zhangxing","non-dropping-particle":"","parse-names":false,"suffix":""},{"dropping-particle":"","family":"Liang","given":"Shuquan","non-dropping-particle":"","parse-names":false,"suffix":""},{"dropping-particle":"","family":"Zhou","given":"Jiang","non-dropping-particle":"","parse-names":false,"suffix":""}],"container-title":"ACS Nano","id":"ITEM-2","issue":"12","issued":{"date-parts":[["2020"]]},"page":"16321-16347","title":"Anode Materials for Aqueous Zinc Ion Batteries: Mechanisms, Properties, and Perspectives","type":"article-journal","volume":"14"},"uris":["http://www.mendeley.com/documents/?uuid=c022a5e7-ebc4-45bb-97e2-0e76cde41349"]},{"id":"ITEM-3","itemData":{"DOI":"10.1007/s40820-021-00782-5","ISBN":"0123456789","ISSN":"21505551","abstract":"The rapid advance of mild aqueous zinc-ion batteries (ZIBs) is driving the development of the energy storage system market. But the thorny issues of Zn anodes, mainly including dendrite growth, hydrogen evolution, and corrosion, severely reduce the performance of ZIBs. To commercialize ZIBs, researchers must overcome formidable challenges. Research about mild aqueous ZIBs is still developing. Various technical and scientific obstacles to designing Zn anodes with high stripping efficiency and long cycling life have not been resolved. Moreover, the performance of Zn anodes is a complex scientific issue determined by various parameters, most of which are often ignored, failing to achieve the maximum performance of the cell. This review proposes a comprehensive overview of existing Zn anode issues and the corresponding strategies, frontiers, and development trends to deeply comprehend the essence and inner connection of degradation mechanism and performance. First, the formation mechanism of dendrite growth, hydrogen evolution, corrosion, and their influence on the anode are analyzed. Furthermore, various strategies for constructing stable Zn anodes are summarized and discussed in detail from multiple perspectives. These strategies are mainly divided into interface modification, structural anode, alloying anode, intercalation anode, liquid electrolyte, non-liquid electrolyte, separator design, and other strategies. Finally, research directions and prospects are put forward for Zn anodes. This contribution highlights the latest developments and provides new insights into the advanced Zn anode for future research. [Figure not available: see fulltext.]","author":[{"dropping-particle":"","family":"Yang","given":"Jinzhang","non-dropping-particle":"","parse-names":false,"suffix":""},{"dropping-particle":"","family":"Yin","given":"Bosi","non-dropping-particle":"","parse-names":false,"suffix":""},{"dropping-particle":"","family":"Sun","given":"Ying","non-dropping-particle":"","parse-names":false,"suffix":""},{"dropping-particle":"","family":"Pan","given":"Hongge","non-dropping-particle":"","parse-names":false,"suffix":""},{"dropping-particle":"","family":"Sun","given":"Wenping","non-dropping-particle":"","parse-names":false,"suffix":""},{"dropping-particle":"","family":"Jia","given":"Baohua","non-dropping-particle":"","parse-names":false,"suffix":""},{"dropping-particle":"","family":"Zhang","given":"Siwen","non-dropping-particle":"","parse-names":false,"suffix":""},{"dropping-particle":"","family":"Ma","given":"Tianyi","non-dropping-particle":"","parse-names":false,"suffix":""}],"container-title":"Nano-Micro Letters","id":"ITEM-3","issue":"1","issued":{"date-parts":[["2022"]]},"number-of-pages":"1-47","publisher":"Springer Singapore","title":"Zinc Anode for Mild Aqueous Zinc-Ion Batteries: Challenges, Strategies, and Perspectives","type":"book","volume":"14"},"uris":["http://www.mendeley.com/documents/?uuid=6bb21e21-eee6-4dbe-9a05-6ab277a3d685"]}],"mendeley":{"formattedCitation":"&lt;sup&gt;[21–23]&lt;/sup&gt;","plainTextFormattedCitation":"[21–23]","previouslyFormattedCitation":"&lt;sup&gt;[21–23]&lt;/sup&gt;"},"properties":{"noteIndex":0},"schema":"https://github.com/citation-style-language/schema/raw/master/csl-citation.json"}</w:instrText>
      </w:r>
      <w:r w:rsidR="00C14215" w:rsidRPr="003E0254">
        <w:fldChar w:fldCharType="separate"/>
      </w:r>
      <w:r w:rsidR="00C14215" w:rsidRPr="003E0254">
        <w:rPr>
          <w:noProof/>
          <w:vertAlign w:val="superscript"/>
        </w:rPr>
        <w:t>[21–23]</w:t>
      </w:r>
      <w:r w:rsidR="00C14215" w:rsidRPr="003E0254">
        <w:fldChar w:fldCharType="end"/>
      </w:r>
      <w:r w:rsidRPr="003E0254">
        <w:t xml:space="preserve"> These systems typically use conventional aqueous electrolytes and operate in a static configuration.</w:t>
      </w:r>
      <w:r w:rsidR="007D31BE" w:rsidRPr="003E0254">
        <w:t xml:space="preserve"> While examples of other anode materials besides zinc are included in the overview on zinc-metal batteries (see Chapter 2.3, Table 1), we believe that using zinc metal as the negative electrode makes the battery types explored in this review particularly promising.</w:t>
      </w:r>
    </w:p>
    <w:p w14:paraId="49745C01" w14:textId="79D4A911" w:rsidR="00C14215" w:rsidRPr="003E0254" w:rsidRDefault="00C8108D" w:rsidP="009D7A01">
      <w:pPr>
        <w:pStyle w:val="Listenabsatz"/>
        <w:numPr>
          <w:ilvl w:val="0"/>
          <w:numId w:val="27"/>
        </w:numPr>
        <w:spacing w:line="276" w:lineRule="auto"/>
        <w:jc w:val="both"/>
      </w:pPr>
      <w:r w:rsidRPr="003E0254">
        <w:rPr>
          <w:b/>
          <w:bCs/>
        </w:rPr>
        <w:t>Zinc-metal batteries</w:t>
      </w:r>
      <w:r w:rsidRPr="003E0254">
        <w:t>, on the other hand, employ a metallic zinc anode and a cathode that stores Zn²</w:t>
      </w:r>
      <w:r w:rsidRPr="003E0254">
        <w:rPr>
          <w:rFonts w:ascii="Cambria Math" w:hAnsi="Cambria Math" w:cs="Cambria Math"/>
        </w:rPr>
        <w:t>⁺</w:t>
      </w:r>
      <w:r w:rsidRPr="003E0254">
        <w:t xml:space="preserve"> ions </w:t>
      </w:r>
      <w:r w:rsidR="007D31BE" w:rsidRPr="003E0254">
        <w:t>by (de)insertion</w:t>
      </w:r>
      <w:r w:rsidRPr="003E0254">
        <w:t>.</w:t>
      </w:r>
      <w:r w:rsidR="0038049A" w:rsidRPr="003E0254">
        <w:fldChar w:fldCharType="begin" w:fldLock="1"/>
      </w:r>
      <w:r w:rsidR="00265735" w:rsidRPr="003E0254">
        <w:instrText>ADDIN CSL_CITATION {"citationItems":[{"id":"ITEM-1","itemData":{"DOI":"10.1002/ADFM.201802564","ISSN":"1616-3028","abstract":"The ever-growing demands for electrical energy storage have stimulated the pursuit of alternative advanced batteries. Zn-ion batteries (ZIBs) are receiving increased attentions due to the low cost, high safety, and high eco-efficiency. However, it is still a big challenge to develop suitable cathode materials for intercalation of Zn ions. This review provides a timely access for researchers to the recent activities regarding ZIBs. First, cathode materials including various manganese oxides, vanadium compounds, and Prussian blue analogs are summarized with details in crystal structures and Zn ion storage mechanisms. Then, the electrolytes and their influences on the electrochemical processes are discussed. Finally, opinions on the current challenge of ZIBs and perspective to future research directions are provided.","author":[{"dropping-particle":"","family":"Song","given":"Ming","non-dropping-particle":"","parse-names":false,"suffix":""},{"dropping-particle":"","family":"Tan","given":"Hua","non-dropping-particle":"","parse-names":false,"suffix":""},{"dropping-particle":"","family":"Chao","given":"Dongliang","non-dropping-particle":"","parse-names":false,"suffix":""},{"dropping-particle":"","family":"Jin Fan","given":"Hong","non-dropping-particle":"","parse-names":false,"suffix":""},{"dropping-particle":"","family":"Song","given":"M","non-dropping-particle":"","parse-names":false,"suffix":""},{"dropping-particle":"","family":"Tan","given":"H","non-dropping-particle":"","parse-names":false,"suffix":""},{"dropping-particle":"","family":"Chao","given":"D","non-dropping-particle":"","parse-names":false,"suffix":""},{"dropping-particle":"","family":"Fan","given":"H J","non-dropping-particle":"","parse-names":false,"suffix":""}],"container-title":"Advanced Functional Materials","id":"ITEM-1","issue":"41","issued":{"date-parts":[["2018","10","1"]]},"page":"1802564","publisher":"John Wiley &amp; Sons, Ltd","title":"Recent Advances in Zn-Ion Batteries","type":"article-journal","volume":"28"},"uris":["http://www.mendeley.com/documents/?uuid=bd10e499-0ad0-398c-ab63-e071c95ccc68"]},{"id":"ITEM-2","itemData":{"DOI":"10.1016/J.JOULE.2023.06.007","ISSN":"2542-4351","abstract":"The development of safe, inexpensive, and long service life stationary energy storage infrastructure is critical to support the decarbonization of the power and automotive sectors. While lithium-ion batteries are considered the industry standard of excellence for applications requiring high energy density, they may not be the best choice for all applications, particularly stationary energy storage. This study presents rechargeable Zn-ion batteries (ZIBs) as a promising technology primed for greater utilization in stationary applications. We consider the main benefits and challenges of ZIBs by comparing key characteristics such as cost, safety, environmental impact, and lifetime with pumped hydro, compressed air, lithium-ion, lead-acid, and redox-flow batteries. The low projected manufacturing costs, high safety, and excellent recyclability of ZIBs highlight the potential success of the technology. However, commercialization efforts are bottlenecked by active material dissolution, a lack of realistic performance demonstrations, and the need for manufacturing validation and cost analysis at the pilot scale. Considering recent advancements to lifetime and capacity of ZIBs, we propose a modified research approach including performance analysis of high-loading electrodes, in situ/operando characterization of reaction mechanisms, and standardized testing protocols and reporting to move beyond the benchtop battery and better facilitate ZIB commercialization.","author":[{"dropping-particle":"","family":"Gourley","given":"Storm W.D.","non-dropping-particle":"","parse-names":false,"suffix":""},{"dropping-particle":"","family":"Brown","given":"Ryan","non-dropping-particle":"","parse-names":false,"suffix":""},{"dropping-particle":"","family":"Adams","given":"Brian D.","non-dropping-particle":"","parse-names":false,"suffix":""},{"dropping-particle":"","family":"Higgins","given":"Drew","non-dropping-particle":"","parse-names":false,"suffix":""}],"container-title":"Joule","id":"ITEM-2","issue":"7","issued":{"date-parts":[["2023","7","19"]]},"page":"1415-1436","publisher":"Cell Press","title":"Zinc-ion batteries for stationary energy storage","type":"article-journal","volume":"7"},"uris":["http://www.mendeley.com/documents/?uuid=b2697a6d-5781-3b09-a2a4-7a9716579cd9"]}],"mendeley":{"formattedCitation":"&lt;sup&gt;[19,24]&lt;/sup&gt;","plainTextFormattedCitation":"[19,24]","previouslyFormattedCitation":"&lt;sup&gt;[19,24]&lt;/sup&gt;"},"properties":{"noteIndex":0},"schema":"https://github.com/citation-style-language/schema/raw/master/csl-citation.json"}</w:instrText>
      </w:r>
      <w:r w:rsidR="0038049A" w:rsidRPr="003E0254">
        <w:fldChar w:fldCharType="separate"/>
      </w:r>
      <w:r w:rsidR="0038049A" w:rsidRPr="003E0254">
        <w:rPr>
          <w:noProof/>
          <w:vertAlign w:val="superscript"/>
        </w:rPr>
        <w:t>[19,24]</w:t>
      </w:r>
      <w:r w:rsidR="0038049A" w:rsidRPr="003E0254">
        <w:fldChar w:fldCharType="end"/>
      </w:r>
      <w:r w:rsidRPr="003E0254">
        <w:t xml:space="preserve"> During cycling, the anode undergoes a dissolution and deposition process. Like zinc-ion batteries, these systems also operate in a static manner and often incorporate electrode additives to enhance performance and reduce dendrite formation.</w:t>
      </w:r>
      <w:r w:rsidR="000F1A33" w:rsidRPr="003E0254">
        <w:t xml:space="preserve"> In </w:t>
      </w:r>
      <w:r w:rsidR="00AB0A05" w:rsidRPr="003E0254">
        <w:t xml:space="preserve">the </w:t>
      </w:r>
      <w:r w:rsidR="000F1A33" w:rsidRPr="003E0254">
        <w:t>literature, zinc-metal batteries are often referred to as zinc-ion batteries</w:t>
      </w:r>
      <w:r w:rsidR="00AB0A05" w:rsidRPr="003E0254">
        <w:t>, but t</w:t>
      </w:r>
      <w:r w:rsidR="000F1A33" w:rsidRPr="003E0254">
        <w:t xml:space="preserve">his terminology </w:t>
      </w:r>
      <w:r w:rsidR="00AB0A05" w:rsidRPr="003E0254">
        <w:t>can be</w:t>
      </w:r>
      <w:r w:rsidR="000F1A33" w:rsidRPr="003E0254">
        <w:t xml:space="preserve"> misleading</w:t>
      </w:r>
      <w:r w:rsidR="007D31BE" w:rsidRPr="003E0254">
        <w:t>, since, as already stated above,</w:t>
      </w:r>
      <w:r w:rsidR="000F1A33" w:rsidRPr="003E0254">
        <w:t xml:space="preserve"> zinc-ion batteries do not contain zinc-metal. Therefore, we will use the term "zinc-metal battery" </w:t>
      </w:r>
      <w:r w:rsidR="007D31BE" w:rsidRPr="003E0254">
        <w:t xml:space="preserve">for static systems with a zinc metal anode </w:t>
      </w:r>
      <w:r w:rsidR="000F1A33" w:rsidRPr="003E0254">
        <w:t xml:space="preserve">in accordance with proper nomenclature. </w:t>
      </w:r>
    </w:p>
    <w:p w14:paraId="7D3E7B83" w14:textId="0A108618" w:rsidR="00725B30" w:rsidRPr="003E0254" w:rsidRDefault="00C8108D" w:rsidP="00725B30">
      <w:pPr>
        <w:pStyle w:val="Listenabsatz"/>
        <w:numPr>
          <w:ilvl w:val="0"/>
          <w:numId w:val="27"/>
        </w:numPr>
        <w:spacing w:line="276" w:lineRule="auto"/>
        <w:jc w:val="both"/>
      </w:pPr>
      <w:r w:rsidRPr="003E0254">
        <w:rPr>
          <w:b/>
          <w:bCs/>
        </w:rPr>
        <w:t>Zinc-air batteries</w:t>
      </w:r>
      <w:r w:rsidRPr="003E0254">
        <w:t xml:space="preserve"> feature a metallic zinc anode combined with an air cathode that facilitates </w:t>
      </w:r>
      <w:r w:rsidR="00993C8D" w:rsidRPr="003E0254">
        <w:t xml:space="preserve">the </w:t>
      </w:r>
      <w:r w:rsidRPr="003E0254">
        <w:t>oxygen reduction and evolution reactions (ORR and OER).</w:t>
      </w:r>
      <w:r w:rsidR="004C7001" w:rsidRPr="003E0254">
        <w:fldChar w:fldCharType="begin" w:fldLock="1"/>
      </w:r>
      <w:r w:rsidR="0038049A" w:rsidRPr="003E0254">
        <w:instrText>ADDIN CSL_CITATION {"citationItems":[{"id":"ITEM-1","itemData":{"DOI":"10.1002/SMLL.202306396","ISSN":"1613-6829","abstract":"Rechargeable zinc–air batteries (Re-ZABs) are one of the most promising next-generation batteries that can hold more energy while being cost-effective and safer than existing devices. Nevertheless, zinc dendrites, non-portability, and limited charge–discharge cycles have long been obstacles to the commercialization of Re-ZABs. Over the past 30 years, milestone breakthroughs have been made in technical indicators (safety, high energy density, and long battery life), battery components (air cathode, zinc anode, and gas diffusion layer), and battery configurations (flexibility and portability), however, a comprehensive review on advanced design strategies for Re-ZABs system from multiple angles is still lacking. This review underscores the progress and strategies proposed so far to pursuit the high-efficiency Re-ZABs system, including the aspects of rechargeability (from primary to rechargeable), air cathode (from unifunctional to bifunctional), zinc anode (from dendritic to stable), electrolytes (from aqueous to non-aqueous), battery configurations (from non-portable to portable), and industrialization progress (from laboratorial to practical). Critical appraisals of the advanced modification approaches (such as surface/interface modulation, nanoconfinement catalysis, defect electrochemistry, synergistic electrocatalysis, etc.) are highlighted for cost-effective flexible Re-ZABs with good sustainability and high energy density. Finally, insights are further rendered properly for the future research directions of advanced zinc–air batteries.","author":[{"dropping-particle":"","family":"Lv","given":"Xian Wei","non-dropping-particle":"","parse-names":false,"suffix":""},{"dropping-particle":"","family":"Wang","given":"Zhongli","non-dropping-particle":"","parse-names":false,"suffix":""},{"dropping-particle":"","family":"Lai","given":"Zhuangzhuang","non-dropping-particle":"","parse-names":false,"suffix":""},{"dropping-particle":"","family":"Liu","given":"Yuping","non-dropping-particle":"","parse-names":false,"suffix":""},{"dropping-particle":"","family":"Ma","given":"Tianyi","non-dropping-particle":"","parse-names":false,"suffix":""},{"dropping-particle":"","family":"Geng","given":"Jianxin","non-dropping-particle":"","parse-names":false,"suffix":""},{"dropping-particle":"","family":"Yuan","given":"Zhong Yong","non-dropping-particle":"","parse-names":false,"suffix":""}],"container-title":"Small","id":"ITEM-1","issue":"4","issued":{"date-parts":[["2024","1","1"]]},"page":"2306396","publisher":"John Wiley &amp; Sons, Ltd","title":"Rechargeable Zinc–Air Batteries: Advances, Challenges, and Prospects","type":"article-journal","volume":"20"},"uris":["http://www.mendeley.com/documents/?uuid=10915b3e-5179-3b00-abbc-d7c542c4830f"]},{"id":"ITEM-2","itemData":{"DOI":"10.1039/D2CS00684G","ISSN":"1460-4744","PMID":"37565571","abstract":"Sustainable zinc–air batteries (ZABs) are considered promising energy storage devices owing to their inherent safety, high energy density, wide operating temperature window, environmental friendliness, etc., showing great prospect for future large-scale applications. Thus, tremendous efforts have been devoted to addressing the critical challenges associated with sustainable ZABs, aiming to significantly improve their energy efficiency and prolong their operation lifespan. The growing interest in sustainable ZABs requires in-depth research on oxygen electrocatalysts, electrolytes, and Zn anodes, which have not been systematically reviewed to date. In this review, the fundamentals of ZABs, oxygen electrocatalysts for air cathodes, physicochemical properties of ZAB electrolytes, and issues and strategies for the stabilization of Zn anodes are systematically summarized from the perspective of fundamental characteristics and design principles. Meanwhile, significant advances in the in situ/operando characterization of ZABs are highlighted to provide insights into the reaction mechanism and dynamic evolution of the electrolyte|electrode interface. Finally, several critical thoughts and perspectives are provided regarding the challenges and opportunities for sustainable ZABs. Therefore, this review provides a thorough understanding of the advanced sustainable ZAB chemistry, hoping that this timely and comprehensive review can shed light on the upcoming research horizons of this prosperous area.","author":[{"dropping-particle":"","family":"Wang","given":"Qichen","non-dropping-particle":"","parse-names":false,"suffix":""},{"dropping-particle":"","family":"Kaushik","given":"Shubham","non-dropping-particle":"","parse-names":false,"suffix":""},{"dropping-particle":"","family":"Xiao","given":"Xin","non-dropping-particle":"","parse-names":false,"suffix":""},{"dropping-particle":"","family":"Xu","given":"Qiang","non-dropping-particle":"","parse-names":false,"suffix":""}],"container-title":"Chemical Society Reviews","id":"ITEM-2","issue":"17","issued":{"date-parts":[["2023","8","29"]]},"page":"6139-6190","publisher":"The Royal Society of Chemistry","title":"Sustainable zinc–air battery chemistry: advances, challenges and prospects","type":"article-journal","volume":"52"},"uris":["http://www.mendeley.com/documents/?uuid=8b534511-48a4-3ef5-a779-e5a083d49bb6"]}],"mendeley":{"formattedCitation":"&lt;sup&gt;[25,26]&lt;/sup&gt;","plainTextFormattedCitation":"[25,26]","previouslyFormattedCitation":"&lt;sup&gt;[25,26]&lt;/sup&gt;"},"properties":{"noteIndex":0},"schema":"https://github.com/citation-style-language/schema/raw/master/csl-citation.json"}</w:instrText>
      </w:r>
      <w:r w:rsidR="004C7001" w:rsidRPr="003E0254">
        <w:fldChar w:fldCharType="separate"/>
      </w:r>
      <w:r w:rsidR="0038049A" w:rsidRPr="003E0254">
        <w:rPr>
          <w:noProof/>
          <w:vertAlign w:val="superscript"/>
        </w:rPr>
        <w:t>[25,26]</w:t>
      </w:r>
      <w:r w:rsidR="004C7001" w:rsidRPr="003E0254">
        <w:fldChar w:fldCharType="end"/>
      </w:r>
      <w:r w:rsidRPr="003E0254">
        <w:t xml:space="preserve"> The reaction occurring at the anode involves the dissolution and deposition of zinc, while the cathode relies on reactions involving </w:t>
      </w:r>
      <w:r w:rsidRPr="003E0254">
        <w:lastRenderedPageBreak/>
        <w:t>oxygen gas. These batteries typically use aqueous electrolytes and can be designed as either static or flow systems,</w:t>
      </w:r>
      <w:r w:rsidR="004C7001" w:rsidRPr="003E0254">
        <w:fldChar w:fldCharType="begin" w:fldLock="1"/>
      </w:r>
      <w:r w:rsidR="0038049A" w:rsidRPr="003E0254">
        <w:instrText>ADDIN CSL_CITATION {"citationItems":[{"id":"ITEM-1","itemData":{"DOI":"10.1002/AENM.201801396","ISSN":"1614-6840","abstract":"As an emerging battery technology, metal–air flow batteries inherit the advantageous features of the unique structural design of conventional redox flow batteries and the high energy density of metal–air batteries, thus showing great potential as efficient electrochemical systems for large-scale electrical energy storage. This review summarizes the operating principles and recent progress of metal–air flow batteries from a materials and chemistry perspective, with particular emphasis on the latest advanced materials design and cell configuration engineering, which the authors divide into three categories based on the anode species: vanadium–air, zinc–air, and lithium–air flow batteries. Since some of the capabilities developed for metal–air static batteries can be leveraged for next-generation flow systems, classical works on conventional metal–air batteries are selected and compared with the metal–air flow systems, highlighting the prominent advantages of the latter in achieving high energy capacity and long cycle performance. At the end, a general perspective on current challenges/opportunities and future research directions to promote the commercial application of the metal–air flow battery technology is provided. The aim is to provide a comprehensive overview and to set up a road map for guiding development from conventional static to advanced flow technologies of metal–air batteries.","author":[{"dropping-particle":"","family":"Han","given":"Xiaopeng","non-dropping-particle":"","parse-names":false,"suffix":""},{"dropping-particle":"","family":"Li","given":"Xiaopeng","non-dropping-particle":"","parse-names":false,"suffix":""},{"dropping-particle":"","family":"White","given":"Jai","non-dropping-particle":"","parse-names":false,"suffix":""},{"dropping-particle":"","family":"Zhong","given":"Cheng","non-dropping-particle":"","parse-names":false,"suffix":""},{"dropping-particle":"","family":"Deng","given":"Yida","non-dropping-particle":"","parse-names":false,"suffix":""},{"dropping-particle":"","family":"Hu","given":"Wenbin","non-dropping-particle":"","parse-names":false,"suffix":""},{"dropping-particle":"","family":"Ma","given":"Tianyi","non-dropping-particle":"","parse-names":false,"suffix":""}],"container-title":"Advanced Energy Materials","id":"ITEM-1","issue":"27","issued":{"date-parts":[["2018","9","1"]]},"page":"1801396","publisher":"John Wiley &amp; Sons, Ltd","title":"Metal–Air Batteries: From Static to Flow System","type":"article-journal","volume":"8"},"uris":["http://www.mendeley.com/documents/?uuid=b079147f-9162-3073-b5f6-e10783c0d0f1"]}],"mendeley":{"formattedCitation":"&lt;sup&gt;[27]&lt;/sup&gt;","plainTextFormattedCitation":"[27]","previouslyFormattedCitation":"&lt;sup&gt;[27]&lt;/sup&gt;"},"properties":{"noteIndex":0},"schema":"https://github.com/citation-style-language/schema/raw/master/csl-citation.json"}</w:instrText>
      </w:r>
      <w:r w:rsidR="004C7001" w:rsidRPr="003E0254">
        <w:fldChar w:fldCharType="separate"/>
      </w:r>
      <w:r w:rsidR="0038049A" w:rsidRPr="003E0254">
        <w:rPr>
          <w:noProof/>
          <w:vertAlign w:val="superscript"/>
        </w:rPr>
        <w:t>[27]</w:t>
      </w:r>
      <w:r w:rsidR="004C7001" w:rsidRPr="003E0254">
        <w:fldChar w:fldCharType="end"/>
      </w:r>
      <w:r w:rsidRPr="003E0254">
        <w:t xml:space="preserve"> </w:t>
      </w:r>
      <w:r w:rsidR="00806B3F" w:rsidRPr="003E0254">
        <w:t>depending on</w:t>
      </w:r>
      <w:r w:rsidRPr="003E0254">
        <w:t xml:space="preserve"> the application requirements.</w:t>
      </w:r>
      <w:r w:rsidR="000F1A33" w:rsidRPr="003E0254">
        <w:t xml:space="preserve"> </w:t>
      </w:r>
      <w:r w:rsidR="00806B3F" w:rsidRPr="003E0254">
        <w:t>T</w:t>
      </w:r>
      <w:r w:rsidR="000F1A33" w:rsidRPr="003E0254">
        <w:t xml:space="preserve">he maximum voltage and capacity </w:t>
      </w:r>
      <w:r w:rsidR="00806B3F" w:rsidRPr="003E0254">
        <w:t xml:space="preserve">of these batteries </w:t>
      </w:r>
      <w:r w:rsidR="000F1A33" w:rsidRPr="003E0254">
        <w:t xml:space="preserve">are determined by the oxygen-consuming compounds at the positive electrode and the zinc metal at the negative electrode. A distinctive feature of zinc-air batteries is their open cell structure, which </w:t>
      </w:r>
      <w:r w:rsidR="00806B3F" w:rsidRPr="003E0254">
        <w:t>allows</w:t>
      </w:r>
      <w:r w:rsidR="000F1A33" w:rsidRPr="003E0254">
        <w:t xml:space="preserve"> them to use </w:t>
      </w:r>
      <w:r w:rsidR="00806B3F" w:rsidRPr="003E0254">
        <w:t xml:space="preserve">ambient </w:t>
      </w:r>
      <w:r w:rsidR="000F1A33" w:rsidRPr="003E0254">
        <w:t>oxygen as the cathode reactant, rather than requiring it to be stored within or near the cell</w:t>
      </w:r>
      <w:r w:rsidR="00806B3F" w:rsidRPr="003E0254">
        <w:t>.</w:t>
      </w:r>
    </w:p>
    <w:p w14:paraId="157C45B5" w14:textId="6767820E" w:rsidR="00725B30" w:rsidRPr="003E0254" w:rsidRDefault="00C8108D" w:rsidP="00725B30">
      <w:pPr>
        <w:pStyle w:val="Listenabsatz"/>
        <w:numPr>
          <w:ilvl w:val="0"/>
          <w:numId w:val="27"/>
        </w:numPr>
        <w:spacing w:line="276" w:lineRule="auto"/>
        <w:jc w:val="both"/>
      </w:pPr>
      <w:r w:rsidRPr="003E0254">
        <w:rPr>
          <w:b/>
          <w:bCs/>
        </w:rPr>
        <w:t>Zinc flow batteries</w:t>
      </w:r>
      <w:r w:rsidRPr="003E0254">
        <w:t xml:space="preserve"> consist of a metallic zinc anode and a cathode—usually carbon-based—separated by an ion-conductive membrane. This system features flowing anolyte and catholyte solutions</w:t>
      </w:r>
      <w:r w:rsidR="007D31BE" w:rsidRPr="003E0254">
        <w:t>, which are separately stored in tanks and pumped through the reaction chamber which contains the electrodes</w:t>
      </w:r>
      <w:r w:rsidRPr="003E0254">
        <w:t>. The anode reaction involves the dissolution and deposition of zinc, while cathode reactions often include the redox transformations of soluble species, such as metal ions or organic/inorganic compounds.</w:t>
      </w:r>
      <w:r w:rsidR="0038049A" w:rsidRPr="003E0254">
        <w:fldChar w:fldCharType="begin" w:fldLock="1"/>
      </w:r>
      <w:r w:rsidR="0038049A" w:rsidRPr="003E0254">
        <w:instrText>ADDIN CSL_CITATION {"citationItems":[{"id":"ITEM-1","itemData":{"DOI":"10.1016/J.MTENER.2017.12.012","ISSN":"2468-6069","abstract":"Zinc-based hybrid flow batteries are one of the most promising systems for medium- to large-scale energy storage applications, with particular advantages in terms of cost, cell voltage and energy density. Several of these systems are amongst the few flow battery chemistries that have been scaled up and commercialized. The existing zinc-based systems rely on zinc electrodeposition in flowing electrolytes as the negative electrode reaction, which is coupled with organic or inorganic positive active species in either solid, liquid or gaseous phases. These reactions are facilitated with specific cell architectures under certain circumstances. To improve the performance and cycle life of these batteries, this review provides fundamental information on zinc electrodeposition and summarizes recent developments in the relevant flow battery chemistries, along with recent applications. The future challenges and opportunities for this technology are discussed.","author":[{"dropping-particle":"","family":"Khor","given":"A.","non-dropping-particle":"","parse-names":false,"suffix":""},{"dropping-particle":"","family":"Leung","given":"P.","non-dropping-particle":"","parse-names":false,"suffix":""},{"dropping-particle":"","family":"Mohamed","given":"M. R.","non-dropping-particle":"","parse-names":false,"suffix":""},{"dropping-particle":"","family":"Flox","given":"C.","non-dropping-particle":"","parse-names":false,"suffix":""},{"dropping-particle":"","family":"Xu","given":"Q.","non-dropping-particle":"","parse-names":false,"suffix":""},{"dropping-particle":"","family":"An","given":"L.","non-dropping-particle":"","parse-names":false,"suffix":""},{"dropping-particle":"","family":"Wills","given":"R. G.A.","non-dropping-particle":"","parse-names":false,"suffix":""},{"dropping-particle":"","family":"Morante","given":"J. R.","non-dropping-particle":"","parse-names":false,"suffix":""},{"dropping-particle":"","family":"Shah","given":"A. A.","non-dropping-particle":"","parse-names":false,"suffix":""}],"container-title":"Materials Today Energy","id":"ITEM-1","issued":{"date-parts":[["2018","6","1"]]},"page":"80-108","publisher":"Elsevier","title":"Review of zinc-based hybrid flow batteries: From fundamentals to applications","type":"article-journal","volume":"8"},"uris":["http://www.mendeley.com/documents/?uuid=b5586916-32a7-49bc-af1b-609c094e275a"]},{"id":"ITEM-2","itemData":{"DOI":"10.1002/adma.201902025","ISSN":"1521-4095","PMID":"31475411","abstract":"Zinc-based flow batteries (ZFBs) are well suitable for stationary energy storage applications because of their high energy density and low-cost advantages. Nevertheless, their wide application is still confronted with challenges, which are mainly from advanced materials. Therefore, research on advanced materials for ZFBs in terms of electrodes, membranes, and electrolytes as well as their chemistries are of the utmost importance. Herein, the focus is on the scientific understandings of the fundamental design of these advanced materials and their chemistries in relation to the battery performance. The principles of using different materials in different ZFB technologies, the functions and structure of the materials, and further material improvements are discussed in detail. Finally, the challenges and prospects of ZFBs are summarized as well. This review provides valuable instruction on how to design and develop new materials as well as new chemistries for ZFBs.","author":[{"dropping-particle":"","family":"Yuan","given":"Zhizhang","non-dropping-particle":"","parse-names":false,"suffix":""},{"dropping-particle":"","family":"Yin","given":"Yanbin","non-dropping-particle":"","parse-names":false,"suffix":""},{"dropping-particle":"","family":"Xie","given":"Congxin","non-dropping-particle":"","parse-names":false,"suffix":""},{"dropping-particle":"","family":"Zhang","given":"Huamin","non-dropping-particle":"","parse-names":false,"suffix":""},{"dropping-particle":"","family":"Yao","given":"Yan","non-dropping-particle":"","parse-names":false,"suffix":""},{"dropping-particle":"","family":"Li","given":"Xianfeng","non-dropping-particle":"","parse-names":false,"suffix":""}],"container-title":"Advanced materials (Deerfield Beach, Fla.)","id":"ITEM-2","issue":"50","issued":{"date-parts":[["2019","12","1"]]},"page":"e1902025","publisher":"John Wiley &amp; Sons, Ltd","title":"Advanced Materials for Zinc-Based Flow Battery: Development and Challenge.","type":"article-journal","volume":"31"},"uris":["http://www.mendeley.com/documents/?uuid=73a06cb7-8410-3018-99ce-c50cdac303d8"]}],"mendeley":{"formattedCitation":"&lt;sup&gt;[13,14]&lt;/sup&gt;","plainTextFormattedCitation":"[13,14]","previouslyFormattedCitation":"&lt;sup&gt;[13,14]&lt;/sup&gt;"},"properties":{"noteIndex":0},"schema":"https://github.com/citation-style-language/schema/raw/master/csl-citation.json"}</w:instrText>
      </w:r>
      <w:r w:rsidR="0038049A" w:rsidRPr="003E0254">
        <w:fldChar w:fldCharType="separate"/>
      </w:r>
      <w:r w:rsidR="0038049A" w:rsidRPr="003E0254">
        <w:rPr>
          <w:noProof/>
          <w:vertAlign w:val="superscript"/>
        </w:rPr>
        <w:t>[13,14]</w:t>
      </w:r>
      <w:r w:rsidR="0038049A" w:rsidRPr="003E0254">
        <w:fldChar w:fldCharType="end"/>
      </w:r>
      <w:r w:rsidRPr="003E0254">
        <w:t xml:space="preserve"> </w:t>
      </w:r>
      <w:r w:rsidR="000F1A33" w:rsidRPr="003E0254">
        <w:t xml:space="preserve">The choice of liquid anolyte and catholyte can vary </w:t>
      </w:r>
      <w:r w:rsidR="00993C8D" w:rsidRPr="003E0254">
        <w:t>considerably</w:t>
      </w:r>
      <w:r w:rsidR="000F1A33" w:rsidRPr="003E0254">
        <w:t xml:space="preserve"> based on the positive counterpart to zinc, which also affects theoretically achievable performance. </w:t>
      </w:r>
    </w:p>
    <w:p w14:paraId="0A5D69D1" w14:textId="52951813" w:rsidR="00F732EA" w:rsidRPr="003E0254" w:rsidRDefault="00B85431" w:rsidP="00F732EA">
      <w:pPr>
        <w:jc w:val="both"/>
      </w:pPr>
      <w:r w:rsidRPr="003E0254">
        <w:t xml:space="preserve">The scope of this work is </w:t>
      </w:r>
      <w:r w:rsidR="00993C8D" w:rsidRPr="003E0254">
        <w:t>on</w:t>
      </w:r>
      <w:r w:rsidRPr="003E0254">
        <w:t xml:space="preserve"> </w:t>
      </w:r>
      <w:r w:rsidR="00F01D25" w:rsidRPr="003E0254">
        <w:t xml:space="preserve">zinc-based battery chemistries that employ a metallic zinc anode—specifically, </w:t>
      </w:r>
      <w:r w:rsidR="00F01D25" w:rsidRPr="003E0254">
        <w:rPr>
          <w:b/>
          <w:bCs/>
        </w:rPr>
        <w:t>zinc-metal, zinc-air, and zinc flow batteries</w:t>
      </w:r>
      <w:r w:rsidR="00F01D25" w:rsidRPr="003E0254">
        <w:t xml:space="preserve">. While all three systems share the common feature of utilizing zinc metal at the anode, they differ significantly in terms of cathode design, reaction mechanisms, and system architecture. Therefore, each chemistry </w:t>
      </w:r>
      <w:r w:rsidR="00993C8D" w:rsidRPr="003E0254">
        <w:t>is</w:t>
      </w:r>
      <w:r w:rsidR="00F01D25" w:rsidRPr="003E0254">
        <w:t xml:space="preserve"> discussed individually in this </w:t>
      </w:r>
      <w:r w:rsidR="00A06EFD" w:rsidRPr="003E0254">
        <w:t>review</w:t>
      </w:r>
      <w:r w:rsidR="00F01D25" w:rsidRPr="003E0254">
        <w:t xml:space="preserve"> to highlight </w:t>
      </w:r>
      <w:r w:rsidR="00A06EFD" w:rsidRPr="003E0254">
        <w:t>its</w:t>
      </w:r>
      <w:r w:rsidR="00F01D25" w:rsidRPr="003E0254">
        <w:t xml:space="preserve"> unique characteristics and operational challenges.</w:t>
      </w:r>
      <w:r w:rsidR="00F732EA" w:rsidRPr="003E0254">
        <w:t xml:space="preserve"> Additionally, Chapters 3 and 4 provide an economic analysis</w:t>
      </w:r>
      <w:r w:rsidR="00A65475" w:rsidRPr="003E0254">
        <w:t xml:space="preserve"> and market prospects</w:t>
      </w:r>
      <w:r w:rsidR="00F732EA" w:rsidRPr="003E0254">
        <w:t xml:space="preserve"> comparing these options to conventional lithium-ion batteries.</w:t>
      </w:r>
    </w:p>
    <w:p w14:paraId="01D9D552" w14:textId="3CB13797" w:rsidR="00F01D25" w:rsidRPr="003E0254" w:rsidRDefault="00F01D25" w:rsidP="009919E3">
      <w:pP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35D7C" w:rsidRPr="003E0254" w14:paraId="0E74B19F" w14:textId="77777777" w:rsidTr="00064C5A">
        <w:tc>
          <w:tcPr>
            <w:tcW w:w="9350" w:type="dxa"/>
          </w:tcPr>
          <w:p w14:paraId="13BB2B31" w14:textId="371C4D4A" w:rsidR="00335D7C" w:rsidRPr="003E0254" w:rsidRDefault="002A63D0" w:rsidP="00335D7C">
            <w:pPr>
              <w:jc w:val="center"/>
            </w:pPr>
            <w:r w:rsidRPr="003E0254">
              <w:rPr>
                <w:noProof/>
              </w:rPr>
              <w:drawing>
                <wp:inline distT="0" distB="0" distL="0" distR="0" wp14:anchorId="72D3922E" wp14:editId="57018779">
                  <wp:extent cx="3684843" cy="2697853"/>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3684843" cy="2697853"/>
                          </a:xfrm>
                          <a:prstGeom prst="rect">
                            <a:avLst/>
                          </a:prstGeom>
                          <a:noFill/>
                          <a:ln>
                            <a:noFill/>
                          </a:ln>
                        </pic:spPr>
                      </pic:pic>
                    </a:graphicData>
                  </a:graphic>
                </wp:inline>
              </w:drawing>
            </w:r>
          </w:p>
        </w:tc>
      </w:tr>
    </w:tbl>
    <w:p w14:paraId="6E6672A3" w14:textId="67A5DFAD" w:rsidR="00B53C39" w:rsidRPr="003E0254" w:rsidRDefault="00DA35C9" w:rsidP="008462C9">
      <w:pPr>
        <w:pStyle w:val="Beschriftung"/>
        <w:jc w:val="both"/>
      </w:pPr>
      <w:bookmarkStart w:id="1" w:name="_Ref191638981"/>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1</w:t>
      </w:r>
      <w:r w:rsidR="0054077B" w:rsidRPr="003E0254">
        <w:rPr>
          <w:noProof/>
        </w:rPr>
        <w:fldChar w:fldCharType="end"/>
      </w:r>
      <w:bookmarkEnd w:id="1"/>
      <w:r w:rsidR="00335D7C" w:rsidRPr="003E0254">
        <w:t>:</w:t>
      </w:r>
      <w:r w:rsidRPr="003E0254">
        <w:t xml:space="preserve"> Illustration on different types of zinc-based batteries.</w:t>
      </w:r>
      <w:r w:rsidR="008462C9" w:rsidRPr="003E0254">
        <w:t xml:space="preserve"> The secondary batteries are distinguished </w:t>
      </w:r>
      <w:r w:rsidR="00993C8D" w:rsidRPr="003E0254">
        <w:t>as</w:t>
      </w:r>
      <w:r w:rsidR="008462C9" w:rsidRPr="003E0254">
        <w:t xml:space="preserve"> static and flow systems with zinc-ion and zinc-metal batteries as static systems, zinc flow batteries as flow systems and zinc-air batteries as an intermediate. Zinc-metal, zinc-air and zinc flow systems all share the use of zinc metal as </w:t>
      </w:r>
      <w:r w:rsidR="00993C8D" w:rsidRPr="003E0254">
        <w:t xml:space="preserve">the </w:t>
      </w:r>
      <w:r w:rsidR="008462C9" w:rsidRPr="003E0254">
        <w:t>anode material</w:t>
      </w:r>
      <w:r w:rsidR="00993C8D" w:rsidRPr="003E0254">
        <w:t>.</w:t>
      </w:r>
    </w:p>
    <w:p w14:paraId="198D5595" w14:textId="77777777" w:rsidR="00335D7C" w:rsidRPr="003E0254" w:rsidRDefault="00335D7C">
      <w:pPr>
        <w:jc w:val="both"/>
      </w:pPr>
    </w:p>
    <w:p w14:paraId="7EDBC5B3" w14:textId="5EA1D863" w:rsidR="00B53C39" w:rsidRPr="003E0254" w:rsidRDefault="00DA35C9">
      <w:pPr>
        <w:pStyle w:val="berschrift3"/>
        <w:rPr>
          <w:b/>
          <w:bCs/>
        </w:rPr>
      </w:pPr>
      <w:r w:rsidRPr="003E0254">
        <w:rPr>
          <w:b/>
          <w:bCs/>
        </w:rPr>
        <w:lastRenderedPageBreak/>
        <w:t>2.</w:t>
      </w:r>
      <w:r w:rsidR="003E4F58" w:rsidRPr="003E0254">
        <w:rPr>
          <w:b/>
          <w:bCs/>
        </w:rPr>
        <w:t>2</w:t>
      </w:r>
      <w:r w:rsidR="00404466" w:rsidRPr="003E0254">
        <w:rPr>
          <w:b/>
          <w:bCs/>
        </w:rPr>
        <w:t>.</w:t>
      </w:r>
      <w:r w:rsidRPr="003E0254">
        <w:rPr>
          <w:b/>
          <w:bCs/>
        </w:rPr>
        <w:t xml:space="preserve"> Overview of the </w:t>
      </w:r>
      <w:r w:rsidR="00A439A1" w:rsidRPr="003E0254">
        <w:rPr>
          <w:b/>
          <w:bCs/>
        </w:rPr>
        <w:t>D</w:t>
      </w:r>
      <w:r w:rsidRPr="003E0254">
        <w:rPr>
          <w:b/>
          <w:bCs/>
        </w:rPr>
        <w:t xml:space="preserve">ifferent </w:t>
      </w:r>
      <w:r w:rsidR="00A439A1" w:rsidRPr="003E0254">
        <w:rPr>
          <w:b/>
          <w:bCs/>
        </w:rPr>
        <w:t>T</w:t>
      </w:r>
      <w:r w:rsidRPr="003E0254">
        <w:rPr>
          <w:b/>
          <w:bCs/>
        </w:rPr>
        <w:t xml:space="preserve">ypes of </w:t>
      </w:r>
      <w:r w:rsidR="00A439A1" w:rsidRPr="003E0254">
        <w:rPr>
          <w:b/>
          <w:bCs/>
        </w:rPr>
        <w:t>Z</w:t>
      </w:r>
      <w:r w:rsidRPr="003E0254">
        <w:rPr>
          <w:b/>
          <w:bCs/>
        </w:rPr>
        <w:t xml:space="preserve">inc </w:t>
      </w:r>
      <w:r w:rsidR="00A439A1" w:rsidRPr="003E0254">
        <w:rPr>
          <w:b/>
          <w:bCs/>
        </w:rPr>
        <w:t>B</w:t>
      </w:r>
      <w:r w:rsidRPr="003E0254">
        <w:rPr>
          <w:b/>
          <w:bCs/>
        </w:rPr>
        <w:t xml:space="preserve">atteries </w:t>
      </w:r>
    </w:p>
    <w:p w14:paraId="0C058A49" w14:textId="7A5BAFC0" w:rsidR="00404466" w:rsidRPr="003E0254" w:rsidRDefault="00110D87">
      <w:pPr>
        <w:spacing w:line="276" w:lineRule="auto"/>
        <w:jc w:val="both"/>
      </w:pPr>
      <w:r w:rsidRPr="003E0254">
        <w:t>An overview of the evolution of zinc batteries, starting with the Volta pile and concluding with state-of-the-art research, is illustrated in Figure 2.</w:t>
      </w:r>
    </w:p>
    <w:p w14:paraId="30670824" w14:textId="05A90BD0" w:rsidR="009755F7" w:rsidRPr="003E0254" w:rsidRDefault="00C760D8">
      <w:pPr>
        <w:spacing w:line="276" w:lineRule="auto"/>
        <w:jc w:val="both"/>
      </w:pPr>
      <w:r w:rsidRPr="003E0254">
        <w:t>In 1789, Luigi Galvani conducted his experiments on frogs, which are commonly known as the "zombie frog experiments." These experiments laid the foundation for the invention of the electric battery and the subsequent development of the physical investigation of electricity</w:t>
      </w:r>
      <w:r w:rsidR="00DA35C9" w:rsidRPr="003E0254">
        <w:t>.</w:t>
      </w:r>
      <w:r w:rsidR="00404466" w:rsidRPr="003E0254">
        <w:fldChar w:fldCharType="begin" w:fldLock="1"/>
      </w:r>
      <w:r w:rsidR="0038049A" w:rsidRPr="003E0254">
        <w:instrText>ADDIN CSL_CITATION {"citationItems":[{"id":"ITEM-1","itemData":{"DOI":"10.1016/S0166-2236(97)01101-6","ISSN":"0166-2236","PMID":"9347609","abstract":"Luigi Galvani and his famous experiments on frogs carried out in the second half of the 18th century belong more to legend than to the history of science. Galvani not only laid the foundations of a new science, electrophysiology, but also opened the way for the invention of the electric battery, and thus for the development of the physical investigations of electricity. However, in spite of the widespread celebration of his work, Galvani's scientific endeavours have been largely misrepresented in the history of science. The scholar of Bologna has a stereotyped image as an 'occasional' scientist, who started his studies by chance, largely ignored the scientific theories of his time and wandered aimlessly in mental elaborations until the physicist of Pavia, Alessandro Volta, entered the field, correctly interpreted Galvani's results and eventually developed the electric battery. With the present understanding of electrical phenomena in excitable membranes, it is now time to reconsider the real matter raised by Galvani's discoveries and by his hypothesis of an intrinsic 'animal electricity', and to make a clearer evaluation of a revolutionary phase of scientific progress.","author":[{"dropping-particle":"","family":"Piccolino","given":"Marco","non-dropping-particle":"","parse-names":false,"suffix":""}],"container-title":"Trends in Neurosciences","id":"ITEM-1","issue":"10","issued":{"date-parts":[["1997","10","1"]]},"page":"443-448","publisher":"Elsevier Current Trends","title":"Luigi Galvani and animal electricity: two centuries after the foundation of electrophysiology","type":"article-journal","volume":"20"},"uris":["http://www.mendeley.com/documents/?uuid=7858bf56-cb76-347f-a044-d6ae25bb6556"]}],"mendeley":{"formattedCitation":"&lt;sup&gt;[28]&lt;/sup&gt;","plainTextFormattedCitation":"[28]","previouslyFormattedCitation":"&lt;sup&gt;[28]&lt;/sup&gt;"},"properties":{"noteIndex":0},"schema":"https://github.com/citation-style-language/schema/raw/master/csl-citation.json"}</w:instrText>
      </w:r>
      <w:r w:rsidR="00404466" w:rsidRPr="003E0254">
        <w:fldChar w:fldCharType="separate"/>
      </w:r>
      <w:r w:rsidR="0038049A" w:rsidRPr="003E0254">
        <w:rPr>
          <w:noProof/>
          <w:vertAlign w:val="superscript"/>
        </w:rPr>
        <w:t>[28]</w:t>
      </w:r>
      <w:r w:rsidR="00404466" w:rsidRPr="003E0254">
        <w:fldChar w:fldCharType="end"/>
      </w:r>
      <w:r w:rsidR="00DA35C9" w:rsidRPr="003E0254">
        <w:t xml:space="preserve"> Alessandro Volta took over the “Galvanic” principle </w:t>
      </w:r>
      <w:r w:rsidR="00293183" w:rsidRPr="003E0254">
        <w:t>around the year</w:t>
      </w:r>
      <w:r w:rsidR="00DA35C9" w:rsidRPr="003E0254">
        <w:t xml:space="preserve"> 1800. He </w:t>
      </w:r>
      <w:r w:rsidR="008748C9" w:rsidRPr="003E0254">
        <w:t>used</w:t>
      </w:r>
      <w:r w:rsidR="00DA35C9" w:rsidRPr="003E0254">
        <w:t xml:space="preserve"> plates of copper and zinc as electrodes. In between he put paperboard soaked with salt solution as an electrolyte. With this setup he invented the first battery and also the first zinc-battery. </w:t>
      </w:r>
      <w:r w:rsidR="00293183" w:rsidRPr="003E0254">
        <w:t>As oxygen from air takes part in the discharge mechanism of the copper electrode (</w:t>
      </w:r>
      <w:r w:rsidR="00293183" w:rsidRPr="003E0254">
        <w:rPr>
          <w:i/>
        </w:rPr>
        <w:t>via</w:t>
      </w:r>
      <w:r w:rsidR="00293183" w:rsidRPr="003E0254">
        <w:t xml:space="preserve"> formation of </w:t>
      </w:r>
      <w:proofErr w:type="spellStart"/>
      <w:r w:rsidR="00293183" w:rsidRPr="003E0254">
        <w:t>CuO</w:t>
      </w:r>
      <w:proofErr w:type="spellEnd"/>
      <w:r w:rsidR="00293183" w:rsidRPr="003E0254">
        <w:t xml:space="preserve">), this battery can be considered as a first version of a zin-air battery. </w:t>
      </w:r>
      <w:r w:rsidRPr="003E0254">
        <w:t>By stacking</w:t>
      </w:r>
      <w:r w:rsidR="00DA35C9" w:rsidRPr="003E0254">
        <w:t xml:space="preserve"> several layers on top of each other</w:t>
      </w:r>
      <w:r w:rsidRPr="003E0254">
        <w:t>, a usable voltage</w:t>
      </w:r>
      <w:r w:rsidR="00DA35C9" w:rsidRPr="003E0254">
        <w:t xml:space="preserve"> </w:t>
      </w:r>
      <w:r w:rsidRPr="003E0254">
        <w:t>was gained</w:t>
      </w:r>
      <w:r w:rsidR="00DA35C9" w:rsidRPr="003E0254">
        <w:t xml:space="preserve">. This ’Voltaic’ pile is </w:t>
      </w:r>
      <w:r w:rsidR="008748C9" w:rsidRPr="003E0254">
        <w:t xml:space="preserve">considered </w:t>
      </w:r>
      <w:r w:rsidR="00DA35C9" w:rsidRPr="003E0254">
        <w:t xml:space="preserve">the first battery with continuous current, long before the discovery of the electric generator. In 1802 Ritter basically invented the first rechargeable battery. </w:t>
      </w:r>
      <w:r w:rsidRPr="003E0254">
        <w:t xml:space="preserve">The </w:t>
      </w:r>
      <w:r w:rsidR="00DA35C9" w:rsidRPr="003E0254">
        <w:t>“</w:t>
      </w:r>
      <w:proofErr w:type="spellStart"/>
      <w:r w:rsidR="00DA35C9" w:rsidRPr="003E0254">
        <w:t>Rittersche</w:t>
      </w:r>
      <w:proofErr w:type="spellEnd"/>
      <w:r w:rsidR="00DA35C9" w:rsidRPr="003E0254">
        <w:t xml:space="preserve"> </w:t>
      </w:r>
      <w:proofErr w:type="spellStart"/>
      <w:r w:rsidR="00DA35C9" w:rsidRPr="003E0254">
        <w:t>Ladungssäule</w:t>
      </w:r>
      <w:proofErr w:type="spellEnd"/>
      <w:r w:rsidR="009755F7" w:rsidRPr="003E0254">
        <w:t>”</w:t>
      </w:r>
      <w:r w:rsidR="00DA35C9" w:rsidRPr="003E0254">
        <w:t xml:space="preserve"> </w:t>
      </w:r>
      <w:r w:rsidR="008748C9" w:rsidRPr="003E0254">
        <w:t>ha</w:t>
      </w:r>
      <w:r w:rsidR="00293183" w:rsidRPr="003E0254">
        <w:t>d</w:t>
      </w:r>
      <w:r w:rsidR="008D4E6D" w:rsidRPr="003E0254">
        <w:t xml:space="preserve"> </w:t>
      </w:r>
      <w:r w:rsidR="008748C9" w:rsidRPr="003E0254">
        <w:t>a</w:t>
      </w:r>
      <w:r w:rsidRPr="003E0254">
        <w:t xml:space="preserve"> </w:t>
      </w:r>
      <w:r w:rsidR="008748C9" w:rsidRPr="003E0254">
        <w:t xml:space="preserve">similar </w:t>
      </w:r>
      <w:r w:rsidRPr="003E0254">
        <w:t xml:space="preserve">assembly </w:t>
      </w:r>
      <w:r w:rsidR="008748C9" w:rsidRPr="003E0254">
        <w:t>compared to</w:t>
      </w:r>
      <w:r w:rsidR="008D4E6D" w:rsidRPr="003E0254">
        <w:t xml:space="preserve"> a voltaic </w:t>
      </w:r>
      <w:r w:rsidR="009755F7" w:rsidRPr="003E0254">
        <w:t>pile but</w:t>
      </w:r>
      <w:r w:rsidR="008D4E6D" w:rsidRPr="003E0254">
        <w:t xml:space="preserve"> us</w:t>
      </w:r>
      <w:r w:rsidR="009755F7" w:rsidRPr="003E0254">
        <w:t>e</w:t>
      </w:r>
      <w:r w:rsidR="00293183" w:rsidRPr="003E0254">
        <w:t>d</w:t>
      </w:r>
      <w:r w:rsidR="008D4E6D" w:rsidRPr="003E0254">
        <w:t xml:space="preserve"> only copper disks</w:t>
      </w:r>
      <w:r w:rsidR="00293183" w:rsidRPr="003E0254">
        <w:t xml:space="preserve"> (i.e. no zinc!)</w:t>
      </w:r>
      <w:r w:rsidR="00DA35C9" w:rsidRPr="003E0254">
        <w:t xml:space="preserve">. Ritter combined this zero-voltage construction with a Voltaic pile. The Voltaic pile electrolyzed </w:t>
      </w:r>
      <w:r w:rsidR="008748C9" w:rsidRPr="003E0254">
        <w:t xml:space="preserve">the </w:t>
      </w:r>
      <w:r w:rsidR="00DA35C9" w:rsidRPr="003E0254">
        <w:t xml:space="preserve">water of the electrolyte and produced hydrogen and oxygen. </w:t>
      </w:r>
      <w:r w:rsidR="008748C9" w:rsidRPr="003E0254">
        <w:t>The r</w:t>
      </w:r>
      <w:r w:rsidR="00DA35C9" w:rsidRPr="003E0254">
        <w:t xml:space="preserve">ecombination of hydrogen and oxygen led to a discharge current. With this </w:t>
      </w:r>
      <w:r w:rsidR="008D4E6D" w:rsidRPr="003E0254">
        <w:t>Ritter</w:t>
      </w:r>
      <w:r w:rsidR="00DA35C9" w:rsidRPr="003E0254">
        <w:t xml:space="preserve"> laid the fundamental </w:t>
      </w:r>
      <w:r w:rsidR="007011A4" w:rsidRPr="003E0254">
        <w:t>groundwork</w:t>
      </w:r>
      <w:r w:rsidR="00DA35C9" w:rsidRPr="003E0254">
        <w:t xml:space="preserve"> for a rechargeable battery and the working principle of </w:t>
      </w:r>
      <w:r w:rsidR="00D03513" w:rsidRPr="003E0254">
        <w:t>an</w:t>
      </w:r>
      <w:r w:rsidR="00293183" w:rsidRPr="003E0254">
        <w:t xml:space="preserve"> </w:t>
      </w:r>
      <w:r w:rsidR="00DA35C9" w:rsidRPr="003E0254">
        <w:t>oxygen</w:t>
      </w:r>
      <w:r w:rsidR="00293183" w:rsidRPr="003E0254">
        <w:t>-hydrogen</w:t>
      </w:r>
      <w:r w:rsidR="00DA35C9" w:rsidRPr="003E0254">
        <w:t xml:space="preserve"> fuel cell. This was followed by the Daniell cell in 1836, which was based on a Cu</w:t>
      </w:r>
      <w:r w:rsidR="007414DA" w:rsidRPr="003E0254">
        <w:sym w:font="Symbol" w:char="F07C"/>
      </w:r>
      <w:r w:rsidR="007414DA" w:rsidRPr="003E0254">
        <w:sym w:font="Symbol" w:char="F07C"/>
      </w:r>
      <w:r w:rsidR="00293183" w:rsidRPr="003E0254">
        <w:t>Zn</w:t>
      </w:r>
      <w:r w:rsidR="00DA35C9" w:rsidRPr="003E0254">
        <w:t xml:space="preserve"> chemistry and was followed by the Grove cell (Zn</w:t>
      </w:r>
      <w:r w:rsidR="001F5E64" w:rsidRPr="003E0254">
        <w:sym w:font="Symbol" w:char="F07C"/>
      </w:r>
      <w:r w:rsidR="00DA35C9" w:rsidRPr="003E0254">
        <w:t>HNO</w:t>
      </w:r>
      <w:r w:rsidR="00DA35C9" w:rsidRPr="003E0254">
        <w:rPr>
          <w:vertAlign w:val="subscript"/>
        </w:rPr>
        <w:t>3</w:t>
      </w:r>
      <w:r w:rsidR="00DA35C9" w:rsidRPr="003E0254">
        <w:t>). The Galvanic Cell of Georges Leclanché and Carl Gassner</w:t>
      </w:r>
      <w:r w:rsidR="00293183" w:rsidRPr="003E0254">
        <w:t>, called</w:t>
      </w:r>
      <w:r w:rsidR="00DA35C9" w:rsidRPr="003E0254">
        <w:t xml:space="preserve"> the Leclanché cell</w:t>
      </w:r>
      <w:r w:rsidR="00293183" w:rsidRPr="003E0254">
        <w:t xml:space="preserve"> or dry cell</w:t>
      </w:r>
      <w:r w:rsidR="009755F7" w:rsidRPr="003E0254">
        <w:t>,</w:t>
      </w:r>
      <w:r w:rsidR="00DA35C9" w:rsidRPr="003E0254">
        <w:t xml:space="preserve"> with a </w:t>
      </w:r>
      <w:r w:rsidR="00B728BC" w:rsidRPr="003E0254">
        <w:t>voltage of</w:t>
      </w:r>
      <w:r w:rsidR="00DA35C9" w:rsidRPr="003E0254">
        <w:t xml:space="preserve"> 1.5 V consist</w:t>
      </w:r>
      <w:r w:rsidR="008748C9" w:rsidRPr="003E0254">
        <w:t>ed</w:t>
      </w:r>
      <w:r w:rsidR="00DA35C9" w:rsidRPr="003E0254">
        <w:t xml:space="preserve"> of a negative zinc electrode, an ammonium chloride</w:t>
      </w:r>
      <w:r w:rsidR="008B5022" w:rsidRPr="003E0254">
        <w:t xml:space="preserve"> (later also with addition of ZnCl</w:t>
      </w:r>
      <w:r w:rsidR="008B5022" w:rsidRPr="003E0254">
        <w:rPr>
          <w:vertAlign w:val="subscript"/>
        </w:rPr>
        <w:t>2</w:t>
      </w:r>
      <w:r w:rsidR="008B5022" w:rsidRPr="003E0254">
        <w:t>)</w:t>
      </w:r>
      <w:r w:rsidR="00DA35C9" w:rsidRPr="003E0254">
        <w:t xml:space="preserve"> </w:t>
      </w:r>
      <w:r w:rsidR="00293183" w:rsidRPr="003E0254">
        <w:t xml:space="preserve">containing aqueous </w:t>
      </w:r>
      <w:r w:rsidR="00DA35C9" w:rsidRPr="003E0254">
        <w:t xml:space="preserve">solution as electrolyte and a mixture of manganese dioxide and carbon as </w:t>
      </w:r>
      <w:r w:rsidR="008748C9" w:rsidRPr="003E0254">
        <w:t xml:space="preserve">the </w:t>
      </w:r>
      <w:r w:rsidR="00DA35C9" w:rsidRPr="003E0254">
        <w:t>positive electrode in 1866.</w:t>
      </w:r>
      <w:r w:rsidR="001F5E64" w:rsidRPr="003E0254">
        <w:t xml:space="preserve"> In </w:t>
      </w:r>
      <w:r w:rsidR="008462C9" w:rsidRPr="003E0254">
        <w:t>addition,</w:t>
      </w:r>
      <w:r w:rsidR="001F5E64" w:rsidRPr="003E0254">
        <w:t xml:space="preserve"> a carbon rod was </w:t>
      </w:r>
      <w:r w:rsidR="00997FA6" w:rsidRPr="003E0254">
        <w:t>used as</w:t>
      </w:r>
      <w:r w:rsidR="001F5E64" w:rsidRPr="003E0254">
        <w:t xml:space="preserve"> a positive electrode current collector.</w:t>
      </w:r>
      <w:r w:rsidR="00DA35C9" w:rsidRPr="003E0254">
        <w:t xml:space="preserve"> In 1878 a zinc</w:t>
      </w:r>
      <w:r w:rsidR="008748C9" w:rsidRPr="003E0254">
        <w:t>-</w:t>
      </w:r>
      <w:r w:rsidR="00DA35C9" w:rsidRPr="003E0254">
        <w:t xml:space="preserve">air cell was created by the French engineer </w:t>
      </w:r>
      <w:proofErr w:type="spellStart"/>
      <w:r w:rsidR="00DA35C9" w:rsidRPr="003E0254">
        <w:t>Maiché</w:t>
      </w:r>
      <w:proofErr w:type="spellEnd"/>
      <w:r w:rsidR="00DA35C9" w:rsidRPr="003E0254">
        <w:t xml:space="preserve">. </w:t>
      </w:r>
      <w:r w:rsidR="00293183" w:rsidRPr="003E0254">
        <w:t>While the reaction mechanism of the Volta pile</w:t>
      </w:r>
      <w:r w:rsidR="00BD5614" w:rsidRPr="003E0254">
        <w:t xml:space="preserve"> from 1800 used already the basic reaction mechanism of a zin</w:t>
      </w:r>
      <w:r w:rsidR="00997FA6" w:rsidRPr="003E0254">
        <w:t>c</w:t>
      </w:r>
      <w:r w:rsidR="00BD5614" w:rsidRPr="003E0254">
        <w:t>-air battery, t</w:t>
      </w:r>
      <w:r w:rsidR="00DA35C9" w:rsidRPr="003E0254">
        <w:t>his battery was the first</w:t>
      </w:r>
      <w:r w:rsidR="008748C9" w:rsidRPr="003E0254">
        <w:t xml:space="preserve"> energy storage device with</w:t>
      </w:r>
      <w:r w:rsidR="00DA35C9" w:rsidRPr="003E0254">
        <w:t xml:space="preserve"> a porous carbon air cathode. This </w:t>
      </w:r>
      <w:proofErr w:type="spellStart"/>
      <w:r w:rsidR="00BD5614" w:rsidRPr="003E0254">
        <w:t>Maiché</w:t>
      </w:r>
      <w:proofErr w:type="spellEnd"/>
      <w:r w:rsidR="00BD5614" w:rsidRPr="003E0254">
        <w:t xml:space="preserve"> </w:t>
      </w:r>
      <w:r w:rsidR="00DA35C9" w:rsidRPr="003E0254">
        <w:t>battery</w:t>
      </w:r>
      <w:r w:rsidR="008F4275" w:rsidRPr="003E0254">
        <w:t xml:space="preserve">, which employed ammonium chloride-based electrolyte, </w:t>
      </w:r>
      <w:r w:rsidR="00DA35C9" w:rsidRPr="003E0254">
        <w:t xml:space="preserve">did not get much attention, but it opened the way for </w:t>
      </w:r>
      <w:r w:rsidR="008748C9" w:rsidRPr="003E0254">
        <w:t xml:space="preserve">the </w:t>
      </w:r>
      <w:r w:rsidR="00DA35C9" w:rsidRPr="003E0254">
        <w:t xml:space="preserve">development of </w:t>
      </w:r>
      <w:r w:rsidR="008748C9" w:rsidRPr="003E0254">
        <w:t>other metal-</w:t>
      </w:r>
      <w:r w:rsidR="00DA35C9" w:rsidRPr="003E0254">
        <w:t xml:space="preserve">air cells. Due to electrolyte flooding, the low and </w:t>
      </w:r>
      <w:r w:rsidR="008748C9" w:rsidRPr="003E0254">
        <w:t>u</w:t>
      </w:r>
      <w:r w:rsidR="00DA35C9" w:rsidRPr="003E0254">
        <w:t>nstable cell voltage and poor cycle life</w:t>
      </w:r>
      <w:r w:rsidR="00BD5614" w:rsidRPr="003E0254">
        <w:t>,</w:t>
      </w:r>
      <w:r w:rsidR="00DA35C9" w:rsidRPr="003E0254">
        <w:t xml:space="preserve"> the research did not </w:t>
      </w:r>
      <w:r w:rsidR="009755F7" w:rsidRPr="003E0254">
        <w:t>progress</w:t>
      </w:r>
      <w:r w:rsidR="00DA35C9" w:rsidRPr="003E0254">
        <w:t xml:space="preserve"> much further. </w:t>
      </w:r>
      <w:r w:rsidR="00B728BC" w:rsidRPr="003E0254">
        <w:t>Then</w:t>
      </w:r>
      <w:r w:rsidR="00DA35C9" w:rsidRPr="003E0254">
        <w:t xml:space="preserve"> it took a long while until the first alkaline zinc-air battery</w:t>
      </w:r>
      <w:r w:rsidR="00997FA6" w:rsidRPr="003E0254">
        <w:t>, with KOH electrolyte,</w:t>
      </w:r>
      <w:r w:rsidR="00DA35C9" w:rsidRPr="003E0254">
        <w:t xml:space="preserve"> was invented in 1932 by Heise and Schumacher. Their battery design was a real breakthrough </w:t>
      </w:r>
      <w:r w:rsidR="008748C9" w:rsidRPr="003E0254">
        <w:t>for</w:t>
      </w:r>
      <w:r w:rsidR="00DA35C9" w:rsidRPr="003E0254">
        <w:t xml:space="preserve"> zinc-air battery</w:t>
      </w:r>
      <w:r w:rsidR="008748C9" w:rsidRPr="003E0254">
        <w:t xml:space="preserve"> technology</w:t>
      </w:r>
      <w:r w:rsidR="00DA35C9" w:rsidRPr="003E0254">
        <w:t>. In the 1960</w:t>
      </w:r>
      <w:r w:rsidR="00D73229" w:rsidRPr="003E0254">
        <w:t>s,</w:t>
      </w:r>
      <w:r w:rsidR="00DA35C9" w:rsidRPr="003E0254">
        <w:t xml:space="preserve"> </w:t>
      </w:r>
      <w:r w:rsidR="00F7411D" w:rsidRPr="003E0254">
        <w:t>research</w:t>
      </w:r>
      <w:r w:rsidR="00DA35C9" w:rsidRPr="003E0254">
        <w:t xml:space="preserve"> on hydrogen-oxygen (H</w:t>
      </w:r>
      <w:r w:rsidR="00DA35C9" w:rsidRPr="003E0254">
        <w:rPr>
          <w:vertAlign w:val="subscript"/>
        </w:rPr>
        <w:t>2</w:t>
      </w:r>
      <w:r w:rsidR="00DA35C9" w:rsidRPr="003E0254">
        <w:t>-O</w:t>
      </w:r>
      <w:r w:rsidR="00DA35C9" w:rsidRPr="003E0254">
        <w:rPr>
          <w:vertAlign w:val="subscript"/>
        </w:rPr>
        <w:t>2</w:t>
      </w:r>
      <w:r w:rsidR="00DA35C9" w:rsidRPr="003E0254">
        <w:t xml:space="preserve">) </w:t>
      </w:r>
      <w:r w:rsidR="008748C9" w:rsidRPr="003E0254">
        <w:t xml:space="preserve">fuel-cells </w:t>
      </w:r>
      <w:r w:rsidR="00D73229" w:rsidRPr="003E0254">
        <w:t>caught</w:t>
      </w:r>
      <w:r w:rsidR="00DA35C9" w:rsidRPr="003E0254">
        <w:t xml:space="preserve"> up, </w:t>
      </w:r>
      <w:r w:rsidR="00682078" w:rsidRPr="003E0254">
        <w:t>which</w:t>
      </w:r>
      <w:r w:rsidR="00DA35C9" w:rsidRPr="003E0254">
        <w:t xml:space="preserve"> also helped </w:t>
      </w:r>
      <w:r w:rsidR="008748C9" w:rsidRPr="003E0254">
        <w:t xml:space="preserve">with progressing </w:t>
      </w:r>
      <w:r w:rsidR="00DA35C9" w:rsidRPr="003E0254">
        <w:t>the improvement of the zinc</w:t>
      </w:r>
      <w:r w:rsidR="008748C9" w:rsidRPr="003E0254">
        <w:t>-</w:t>
      </w:r>
      <w:r w:rsidR="00DA35C9" w:rsidRPr="003E0254">
        <w:t xml:space="preserve">air battery, because </w:t>
      </w:r>
      <w:r w:rsidR="00682078" w:rsidRPr="003E0254">
        <w:t xml:space="preserve">the </w:t>
      </w:r>
      <w:r w:rsidR="00DA35C9" w:rsidRPr="003E0254">
        <w:t xml:space="preserve">gas </w:t>
      </w:r>
      <w:r w:rsidR="00DB5A7E" w:rsidRPr="003E0254">
        <w:t xml:space="preserve">diffusion electrode was improved by the ongoing research on fuel cells. This allowed stacking of the cells and </w:t>
      </w:r>
      <w:r w:rsidR="008748C9" w:rsidRPr="003E0254">
        <w:t xml:space="preserve">the </w:t>
      </w:r>
      <w:r w:rsidR="00DB5A7E" w:rsidRPr="003E0254">
        <w:t xml:space="preserve">use </w:t>
      </w:r>
      <w:r w:rsidR="008748C9" w:rsidRPr="003E0254">
        <w:t>of</w:t>
      </w:r>
      <w:r w:rsidR="00DB5A7E" w:rsidRPr="003E0254">
        <w:t xml:space="preserve"> alkaline electrolyte</w:t>
      </w:r>
      <w:r w:rsidR="008748C9" w:rsidRPr="003E0254">
        <w:t>s</w:t>
      </w:r>
      <w:r w:rsidR="00DB5A7E" w:rsidRPr="003E0254">
        <w:t xml:space="preserve"> to </w:t>
      </w:r>
      <w:r w:rsidR="008748C9" w:rsidRPr="003E0254">
        <w:t>increase</w:t>
      </w:r>
      <w:r w:rsidR="00DB5A7E" w:rsidRPr="003E0254">
        <w:t xml:space="preserve"> the energy density to 200 </w:t>
      </w:r>
      <w:proofErr w:type="spellStart"/>
      <w:r w:rsidR="00DB5A7E" w:rsidRPr="003E0254">
        <w:t>Wh</w:t>
      </w:r>
      <w:proofErr w:type="spellEnd"/>
      <w:r w:rsidR="00D73229" w:rsidRPr="003E0254">
        <w:t> </w:t>
      </w:r>
      <w:r w:rsidR="00DB5A7E" w:rsidRPr="003E0254">
        <w:t>kg</w:t>
      </w:r>
      <w:r w:rsidR="00A75A00" w:rsidRPr="003E0254">
        <w:rPr>
          <w:rFonts w:ascii="Cambria Math" w:hAnsi="Cambria Math" w:cs="Cambria Math"/>
        </w:rPr>
        <w:t>⁻</w:t>
      </w:r>
      <w:r w:rsidR="00DB5A7E" w:rsidRPr="003E0254">
        <w:rPr>
          <w:vertAlign w:val="superscript"/>
        </w:rPr>
        <w:t>1</w:t>
      </w:r>
      <w:r w:rsidR="00DB5A7E" w:rsidRPr="003E0254">
        <w:t xml:space="preserve"> in the early 1980</w:t>
      </w:r>
      <w:r w:rsidR="008748C9" w:rsidRPr="003E0254">
        <w:t>s</w:t>
      </w:r>
      <w:r w:rsidR="00DB5A7E" w:rsidRPr="003E0254">
        <w:t xml:space="preserve">. </w:t>
      </w:r>
      <w:r w:rsidR="001A4239" w:rsidRPr="003E0254">
        <w:t>Th</w:t>
      </w:r>
      <w:r w:rsidR="009755F7" w:rsidRPr="003E0254">
        <w:t>ese insights have</w:t>
      </w:r>
      <w:r w:rsidR="001A4239" w:rsidRPr="003E0254">
        <w:t xml:space="preserve"> been used to develop the so-called </w:t>
      </w:r>
      <w:proofErr w:type="spellStart"/>
      <w:r w:rsidR="001A4239" w:rsidRPr="003E0254">
        <w:t>Zoxy</w:t>
      </w:r>
      <w:proofErr w:type="spellEnd"/>
      <w:r w:rsidR="001A4239" w:rsidRPr="003E0254">
        <w:t xml:space="preserve"> Cells which have been available in various sizes like ZV320, ZV500 and ZV3000 with high capacities.</w:t>
      </w:r>
      <w:r w:rsidR="001A4239" w:rsidRPr="003E0254">
        <w:fldChar w:fldCharType="begin" w:fldLock="1"/>
      </w:r>
      <w:r w:rsidR="0038049A" w:rsidRPr="003E0254">
        <w:instrText>ADDIN CSL_CITATION {"citationItems":[{"id":"ITEM-1","itemData":{"author":[{"dropping-particle":"","family":"Linden","given":"David","non-dropping-particle":"","parse-names":false,"suffix":""}],"id":"ITEM-1","issued":{"date-parts":[["1984"]]},"publisher":"McGraw-Hill, New York","title":"Handbook of batteries and fuel cells","type":"book"},"uris":["http://www.mendeley.com/documents/?uuid=5a06a4d8-9ce3-46fd-a13e-b8b1a38fca6b"]}],"mendeley":{"formattedCitation":"&lt;sup&gt;[29]&lt;/sup&gt;","plainTextFormattedCitation":"[29]","previouslyFormattedCitation":"&lt;sup&gt;[29]&lt;/sup&gt;"},"properties":{"noteIndex":0},"schema":"https://github.com/citation-style-language/schema/raw/master/csl-citation.json"}</w:instrText>
      </w:r>
      <w:r w:rsidR="001A4239" w:rsidRPr="003E0254">
        <w:fldChar w:fldCharType="separate"/>
      </w:r>
      <w:r w:rsidR="0038049A" w:rsidRPr="003E0254">
        <w:rPr>
          <w:noProof/>
          <w:vertAlign w:val="superscript"/>
        </w:rPr>
        <w:t>[29]</w:t>
      </w:r>
      <w:r w:rsidR="001A4239" w:rsidRPr="003E0254">
        <w:fldChar w:fldCharType="end"/>
      </w:r>
      <w:r w:rsidR="001A4239" w:rsidRPr="003E0254">
        <w:t xml:space="preserve"> </w:t>
      </w:r>
      <w:r w:rsidR="00526DDF" w:rsidRPr="003E0254">
        <w:t>In the 1980s</w:t>
      </w:r>
      <w:r w:rsidR="00526DDF" w:rsidRPr="003E0254">
        <w:fldChar w:fldCharType="begin" w:fldLock="1"/>
      </w:r>
      <w:r w:rsidR="00526DDF" w:rsidRPr="003E0254">
        <w:instrText>ADDIN CSL_CITATION {"citationItems":[{"id":"ITEM-1","itemData":{"DOI":"10.1016/0378-7753(81)80027-4","ISSN":"0378-7753","abstract":"The basic principles involved in the operation of an alkaline zinc-air system are considered. Fully developed primary and mechanically rechargeable cells and their applications are reviewed. Various obstacles pertaining to the development of an electrically rechargeable zinc-air alkaline battery and possible means of overcoming them to some degree are summarized. © 1981.","author":[{"dropping-particle":"","family":"Chakkaravarthy","given":"C.","non-dropping-particle":"","parse-names":false,"suffix":""},{"dropping-particle":"","family":"Waheed","given":"A. K.Abdul","non-dropping-particle":"","parse-names":false,"suffix":""},{"dropping-particle":"","family":"Udupa","given":"H. V.K.","non-dropping-particle":"","parse-names":false,"suffix":""}],"container-title":"Journal of Power Sources","id":"ITEM-1","issue":"3","issued":{"date-parts":[["1981","12","1"]]},"page":"203-228","publisher":"Elsevier","title":"Zinc—air alkaline batteries — A review","type":"article-journal","volume":"6"},"uris":["http://www.mendeley.com/documents/?uuid=0118524a-d6fc-3c63-834d-9f935bc801da"]}],"mendeley":{"formattedCitation":"&lt;sup&gt;[30]&lt;/sup&gt;","plainTextFormattedCitation":"[30]","previouslyFormattedCitation":"&lt;sup&gt;[30]&lt;/sup&gt;"},"properties":{"noteIndex":0},"schema":"https://github.com/citation-style-language/schema/raw/master/csl-citation.json"}</w:instrText>
      </w:r>
      <w:r w:rsidR="00526DDF" w:rsidRPr="003E0254">
        <w:fldChar w:fldCharType="separate"/>
      </w:r>
      <w:r w:rsidR="00526DDF" w:rsidRPr="003E0254">
        <w:rPr>
          <w:noProof/>
          <w:vertAlign w:val="superscript"/>
        </w:rPr>
        <w:t>[30]</w:t>
      </w:r>
      <w:r w:rsidR="00526DDF" w:rsidRPr="003E0254">
        <w:fldChar w:fldCharType="end"/>
      </w:r>
      <w:r w:rsidR="00526DDF" w:rsidRPr="003E0254">
        <w:t xml:space="preserve"> and 1990s</w:t>
      </w:r>
      <w:r w:rsidR="00526DDF" w:rsidRPr="003E0254">
        <w:fldChar w:fldCharType="begin" w:fldLock="1"/>
      </w:r>
      <w:r w:rsidR="00526DDF" w:rsidRPr="003E0254">
        <w:instrText>ADDIN CSL_CITATION {"citationItems":[{"id":"ITEM-1","itemData":{"DOI":"10.1149/1.2085653/XML","ISSN":"0013-4651","abstract":"Zinc is the most commonly used battery electrode, and zinc primary batteries have found numerous applications. The zinc electrode is electrochemically reversible in alkaline electrolytes, and there is a strong incentive to develop a practical secondary battery based on this metal. However, secondary batteries that use zinc electrodes typically exhibit short lifetimes, because of problems with zinc material redistribution and undesirable zinc morphologies that form during recharge. There has been a worldwide effort to develop a long-lived secondary alkaline zinc electrode, and marked improvements in cell lifetimes have resulted. This article reviews these efforts, paying particular attention to research and development during the period 1975–1990. © 1991, The Electrochemical Society, Inc. All rights reserved.","author":[{"dropping-particle":"","family":"McLarnon","given":"Frank R.","non-dropping-particle":"","parse-names":false,"suffix":""},{"dropping-particle":"","family":"Cairns","given":"Elton J.","non-dropping-particle":"","parse-names":false,"suffix":""}],"container-title":"Journal of The Electrochemical Society","id":"ITEM-1","issue":"2","issued":{"date-parts":[["1991","2","1"]]},"page":"645-656","publisher":"The Electrochemical Society","title":"The Secondary Alkaline Zinc Electrode","type":"article-journal","volume":"138"},"uris":["http://www.mendeley.com/documents/?uuid=7b3273f3-3b25-387f-8e8a-197c6927ef47"]}],"mendeley":{"formattedCitation":"&lt;sup&gt;[31]&lt;/sup&gt;","plainTextFormattedCitation":"[31]","previouslyFormattedCitation":"&lt;sup&gt;[31]&lt;/sup&gt;"},"properties":{"noteIndex":0},"schema":"https://github.com/citation-style-language/schema/raw/master/csl-citation.json"}</w:instrText>
      </w:r>
      <w:r w:rsidR="00526DDF" w:rsidRPr="003E0254">
        <w:fldChar w:fldCharType="separate"/>
      </w:r>
      <w:r w:rsidR="00526DDF" w:rsidRPr="003E0254">
        <w:rPr>
          <w:noProof/>
          <w:vertAlign w:val="superscript"/>
        </w:rPr>
        <w:t>[31]</w:t>
      </w:r>
      <w:r w:rsidR="00526DDF" w:rsidRPr="003E0254">
        <w:fldChar w:fldCharType="end"/>
      </w:r>
      <w:r w:rsidR="00526DDF" w:rsidRPr="003E0254">
        <w:t xml:space="preserve"> , further advancements were made in the development of mechanically and electrically rechargeable zinc electrodes. The early 2000s introduced ionic liquids as alternative electrolytes.</w:t>
      </w:r>
      <w:r w:rsidR="00526DDF" w:rsidRPr="003E0254">
        <w:fldChar w:fldCharType="begin" w:fldLock="1"/>
      </w:r>
      <w:r w:rsidR="000F0B1D" w:rsidRPr="003E0254">
        <w:instrText>ADDIN CSL_CITATION {"citationItems":[{"id":"ITEM-1","itemData":{"DOI":"10.1021/BK-2003-0856.CH035","ISBN":"9780841238565","ISSN":"00976156","abstract":"Ionic liquids can be formed between ZnCl2 and a range of substituted quaternary ammonium salts. These ionic liquids are easy to prepare and are insensitive to water and air. They have conductivities comparable to other ionic liquids and as such they are suitable for electrochemical applications. The deposition of zinc is investigated and it is shown that the film formed on an electrode surface following the electroreduction of the melt is non-porous and produces an extremely effective corrosion resistant coating with very high current efficiency. The characteristics of a battery based on a zinc ionic liquid are also demonstrated. Other metals such as chromium are also shown to form ionic liquids with choline chloride and a generic method for depositing metals is demonstrated. © 2003 American Chemical Society.","author":[{"dropping-particle":"","family":"Abbott","given":"Andrew P.","non-dropping-particle":"","parse-names":false,"suffix":""},{"dropping-particle":"","family":"Capper","given":"Glen","non-dropping-particle":"","parse-names":false,"suffix":""},{"dropping-particle":"","family":"Davies","given":"David L.","non-dropping-particle":"","parse-names":false,"suffix":""},{"dropping-particle":"","family":"Munro","given":"Helen","non-dropping-particle":"","parse-names":false,"suffix":""},{"dropping-particle":"","family":"Rasheed","given":"Raymond K.","non-dropping-particle":"","parse-names":false,"suffix":""},{"dropping-particle":"","family":"Tambyrajah","given":"Vasuki","non-dropping-particle":"","parse-names":false,"suffix":""}],"container-title":"ACS Symposium Series","id":"ITEM-1","issued":{"date-parts":[["2003"]]},"page":"439-452","publisher":"American Chemical Society","title":"Electrochemical studies of ambient temperature ionic liquids based on choline chloride","type":"article-journal","volume":"856"},"uris":["http://www.mendeley.com/documents/?uuid=4ca1dea8-5d7c-35c6-bce0-095e0d0faf8d"]}],"mendeley":{"formattedCitation":"&lt;sup&gt;[32]&lt;/sup&gt;","plainTextFormattedCitation":"[32]","previouslyFormattedCitation":"&lt;sup&gt;[32]&lt;/sup&gt;"},"properties":{"noteIndex":0},"schema":"https://github.com/citation-style-language/schema/raw/master/csl-citation.json"}</w:instrText>
      </w:r>
      <w:r w:rsidR="00526DDF" w:rsidRPr="003E0254">
        <w:fldChar w:fldCharType="separate"/>
      </w:r>
      <w:r w:rsidR="00526DDF" w:rsidRPr="003E0254">
        <w:rPr>
          <w:noProof/>
          <w:vertAlign w:val="superscript"/>
        </w:rPr>
        <w:t>[32]</w:t>
      </w:r>
      <w:r w:rsidR="00526DDF" w:rsidRPr="003E0254">
        <w:fldChar w:fldCharType="end"/>
      </w:r>
      <w:r w:rsidR="00526DDF" w:rsidRPr="003E0254">
        <w:t xml:space="preserve"> In the past decade, there has been a rapid increase in research interest in zinc-based batteries, particularly focused on creating rechargeable (secondary) systems. Recent advancements in this area are summarized in Figure 2, which highlights key developments and contributions from the literature regarding the evolving landscape of zinc batteries.</w:t>
      </w:r>
    </w:p>
    <w:p w14:paraId="3CD16580" w14:textId="6CC37E81" w:rsidR="00CF71DC" w:rsidRPr="003E0254" w:rsidRDefault="002A1937" w:rsidP="00CF71DC">
      <w:pPr>
        <w:spacing w:line="276" w:lineRule="auto"/>
        <w:jc w:val="both"/>
      </w:pPr>
      <w:r w:rsidRPr="003E0254">
        <w:lastRenderedPageBreak/>
        <w:t>The turning point for zinc batteries came as Goodenough discovered lithium cobalt oxide (LCO). From 1990 until 2010, research on zinc based systems was less prominent, because of the growing interest in lithium ion batteries (LIB).</w:t>
      </w:r>
      <w:r w:rsidRPr="003E0254">
        <w:fldChar w:fldCharType="begin" w:fldLock="1"/>
      </w:r>
      <w:r w:rsidR="000F0B1D" w:rsidRPr="003E0254">
        <w:instrText>ADDIN CSL_CITATION {"citationItems":[{"id":"ITEM-1","itemData":{"DOI":"10.1149/1.2068978/XML","ISSN":"0013-4651","abstract":"In recent years consistent attention has been devoted to novel types of lithium rechargeable batteries in which themetal anode is replaced by a lithium-source anode. The general interest in these batteries, often called rocking-chairbatteries, has increased consistently; however, the idea of exploiting the rocking lithium systems for achieving improvementsin safety and cycle life is not new, but dates back to the beginning of the eighties. In this paper we critically reviewthe progress in this area and discuss the impact that rocking chair systems may have on the future of lithium batterytechnology.","author":[{"dropping-particle":"","family":"Scrosati","given":"Bruno","non-dropping-particle":"","parse-names":false,"suffix":""}],"container-title":"Journal of The Electrochemical Society","id":"ITEM-1","issue":"10","issued":{"date-parts":[["1992","10","1"]]},"page":"2776-2781","publisher":"The Electrochemical Society","title":"Lithium Rocking Chair Batteries: An Old Concept?","type":"article-journal","volume":"139"},"uris":["http://www.mendeley.com/documents/?uuid=51b2618c-89f2-398d-a020-7830520731e9"]}],"mendeley":{"formattedCitation":"&lt;sup&gt;[33]&lt;/sup&gt;","plainTextFormattedCitation":"[33]","previouslyFormattedCitation":"&lt;sup&gt;[33]&lt;/sup&gt;"},"properties":{"noteIndex":0},"schema":"https://github.com/citation-style-language/schema/raw/master/csl-citation.json"}</w:instrText>
      </w:r>
      <w:r w:rsidRPr="003E0254">
        <w:fldChar w:fldCharType="separate"/>
      </w:r>
      <w:r w:rsidR="00526DDF" w:rsidRPr="003E0254">
        <w:rPr>
          <w:noProof/>
          <w:vertAlign w:val="superscript"/>
        </w:rPr>
        <w:t>[33]</w:t>
      </w:r>
      <w:r w:rsidRPr="003E0254">
        <w:fldChar w:fldCharType="end"/>
      </w:r>
      <w:r w:rsidRPr="003E0254">
        <w:t xml:space="preserve"> Because of concerns about the toxicity and flammability of the organic electrolyte in LIB, the heavy reliance on cobalt and other transition metals, as well as other safety concerns and difficulties with respect to recycling of LIBs,</w:t>
      </w:r>
      <w:r w:rsidRPr="003E0254">
        <w:fldChar w:fldCharType="begin" w:fldLock="1"/>
      </w:r>
      <w:r w:rsidR="000F0B1D" w:rsidRPr="003E0254">
        <w:instrText>ADDIN CSL_CITATION {"citationItems":[{"id":"ITEM-1","itemData":{"DOI":"10.3390/EN14144187","ISBN":"1911084011","ISSN":"1996-1073","abstract":"To ensure optimum working conditions for lithium-ion batteries, a numerical study is carried out for three-dimensional temperature distribution of a battery liquid cooling system in this work. The effect of channel size and inlet boundary conditions are evaluated on the temperature field of the battery modules. Based on the thermal behavior of discharging battery obtained experimental measurements, two temperature control strategies are proposed and studied. The results show that the channel width of the cooling plates has a great influence on the maximum temperature in the battery module. It is also revealed that increasing inlet water flow rate can significantly improve the heat transfer capacity of the battery thermal management system, while the relationship between them is not proportional. Lowering the inlet temperature can reduce the maximum temperature predicted in the battery module significantly. However, this will also lead to additional energy consumed by the cooling system. It is also found that the Scheme 5 among various temperature control strategies can ensure the battery pack working in the best temperature range in different depths of discharge. Compared with the traditional one with a given flow rate, the parasitic energy consumption in Scheme 5 can be reduced by around 80%.","author":[{"dropping-particle":"","family":"Duan","given":"Jiabin","non-dropping-particle":"","parse-names":false,"suffix":""},{"dropping-particle":"","family":"Zhao","given":"Jiapei","non-dropping-particle":"","parse-names":false,"suffix":""},{"dropping-particle":"","family":"Li","given":"Xinke","non-dropping-particle":"","parse-names":false,"suffix":""},{"dropping-particle":"","family":"Panchal","given":"Satyam","non-dropping-particle":"","parse-names":false,"suffix":""},{"dropping-particle":"","family":"Yuan","given":"Jinliang","non-dropping-particle":"","parse-names":false,"suffix":""},{"dropping-particle":"","family":"Fraser","given":"Roydon","non-dropping-particle":"","parse-names":false,"suffix":""},{"dropping-particle":"","family":"Fowler","given":"Michael","non-dropping-particle":"","parse-names":false,"suffix":""}],"container-title":"Energies 2021, Vol. 14, Page 4187","id":"ITEM-1","issue":"14","issued":{"date-parts":[["2021","7","11"]]},"page":"4187","publisher":"Multidisciplinary Digital Publishing Institute","title":"Modeling and Analysis of Heat Dissipation for Liquid Cooling Lithium-Ion Batteries","type":"article-journal","volume":"14"},"uris":["http://www.mendeley.com/documents/?uuid=051c7085-04c7-3ce4-ab25-cc56ac5df07e"]}],"mendeley":{"formattedCitation":"&lt;sup&gt;[34]&lt;/sup&gt;","plainTextFormattedCitation":"[34]","previouslyFormattedCitation":"&lt;sup&gt;[34]&lt;/sup&gt;"},"properties":{"noteIndex":0},"schema":"https://github.com/citation-style-language/schema/raw/master/csl-citation.json"}</w:instrText>
      </w:r>
      <w:r w:rsidRPr="003E0254">
        <w:fldChar w:fldCharType="separate"/>
      </w:r>
      <w:r w:rsidR="00526DDF" w:rsidRPr="003E0254">
        <w:rPr>
          <w:noProof/>
          <w:vertAlign w:val="superscript"/>
        </w:rPr>
        <w:t>[34]</w:t>
      </w:r>
      <w:r w:rsidRPr="003E0254">
        <w:fldChar w:fldCharType="end"/>
      </w:r>
      <w:r w:rsidRPr="003E0254">
        <w:t xml:space="preserve"> research on alternative systems to LIB including zinc batteries has grown notably. </w:t>
      </w:r>
    </w:p>
    <w:p w14:paraId="24672423" w14:textId="36D5DCEC" w:rsidR="002A1937" w:rsidRPr="003E0254" w:rsidRDefault="00CF71DC" w:rsidP="002A1937">
      <w:pPr>
        <w:spacing w:line="276" w:lineRule="auto"/>
        <w:jc w:val="both"/>
      </w:pPr>
      <w:r w:rsidRPr="003E0254">
        <w:t>With this shift in focus toward zinc batteries, it is essential to explore their various configurations and the underlying electrochemical processes. An overview of the possible zinc battery configurations—zinc-metal and zinc-air—along with their key electrochemical reactions, is presented in Figure 3. In both zinc-air and zinc-metal cells, zinc undergoes electrochemical oxidation to Zn²</w:t>
      </w:r>
      <w:r w:rsidRPr="003E0254">
        <w:rPr>
          <w:rFonts w:ascii="Cambria Math" w:hAnsi="Cambria Math" w:cs="Cambria Math"/>
        </w:rPr>
        <w:t>⁺</w:t>
      </w:r>
      <w:r w:rsidRPr="003E0254">
        <w:t xml:space="preserve"> during discharge. In zinc-metal batteries, Zn²</w:t>
      </w:r>
      <w:r w:rsidRPr="003E0254">
        <w:rPr>
          <w:rFonts w:ascii="Cambria Math" w:hAnsi="Cambria Math" w:cs="Cambria Math"/>
        </w:rPr>
        <w:t>⁺</w:t>
      </w:r>
      <w:r w:rsidRPr="003E0254">
        <w:t xml:space="preserve"> ions migrate to the cathode and integrate into its structure, often through an intercalation process (proton insertion can also occur, either alongside Zn</w:t>
      </w:r>
      <w:r w:rsidRPr="003E0254">
        <w:rPr>
          <w:vertAlign w:val="superscript"/>
        </w:rPr>
        <w:t>2+</w:t>
      </w:r>
      <w:r w:rsidRPr="003E0254">
        <w:t xml:space="preserve"> ions or independently, particularly at low pH levels). In contrast, zinc-air batteries utilize oxygen from the surrounding air as the cathode reactant, eliminating the need for oxygen storage within or close to the cathode structure. This unique open-cell feature enhances the energy density of zinc-air cells. During charging Zn</w:t>
      </w:r>
      <w:r w:rsidRPr="003E0254">
        <w:rPr>
          <w:vertAlign w:val="superscript"/>
        </w:rPr>
        <w:t>2+</w:t>
      </w:r>
      <w:r w:rsidRPr="003E0254">
        <w:t xml:space="preserve"> de-intercalates from the cathode in the zinc-metal system and is deposited back onto the anode surface, whereas oxygen is produced on the zinc-air cathode while zinc is plated onto the anode.</w:t>
      </w:r>
    </w:p>
    <w:p w14:paraId="00785BD1" w14:textId="77777777" w:rsidR="002A1937" w:rsidRPr="003E0254" w:rsidRDefault="002A1937">
      <w:pP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782FD1" w:rsidRPr="003E0254" w14:paraId="2D55C0C2" w14:textId="77777777" w:rsidTr="00E877F9">
        <w:tc>
          <w:tcPr>
            <w:tcW w:w="9350" w:type="dxa"/>
          </w:tcPr>
          <w:p w14:paraId="6E9A37A6" w14:textId="3CAD61B0" w:rsidR="00782FD1" w:rsidRPr="003E0254" w:rsidRDefault="00782FD1" w:rsidP="00E877F9">
            <w:pPr>
              <w:keepNext/>
              <w:spacing w:line="276" w:lineRule="auto"/>
              <w:jc w:val="center"/>
            </w:pPr>
            <w:r w:rsidRPr="003E0254">
              <w:rPr>
                <w:noProof/>
              </w:rPr>
              <w:drawing>
                <wp:inline distT="0" distB="0" distL="0" distR="0" wp14:anchorId="591EF4B8" wp14:editId="17B3EBED">
                  <wp:extent cx="5549735" cy="3053616"/>
                  <wp:effectExtent l="0" t="0" r="0" b="0"/>
                  <wp:docPr id="145755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521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549735" cy="3053616"/>
                          </a:xfrm>
                          <a:prstGeom prst="rect">
                            <a:avLst/>
                          </a:prstGeom>
                          <a:noFill/>
                          <a:ln>
                            <a:noFill/>
                          </a:ln>
                        </pic:spPr>
                      </pic:pic>
                    </a:graphicData>
                  </a:graphic>
                </wp:inline>
              </w:drawing>
            </w:r>
          </w:p>
        </w:tc>
      </w:tr>
    </w:tbl>
    <w:p w14:paraId="4DD0AA38" w14:textId="37D4221E" w:rsidR="00782FD1" w:rsidRPr="003E0254" w:rsidRDefault="00782FD1" w:rsidP="00782FD1">
      <w:pPr>
        <w:pStyle w:val="Beschriftung"/>
      </w:pPr>
      <w:r w:rsidRPr="003E0254">
        <w:t xml:space="preserve">Figure </w:t>
      </w:r>
      <w:fldSimple w:instr=" SEQ Figure \* ARABIC ">
        <w:r w:rsidR="00481F8C" w:rsidRPr="003E0254">
          <w:rPr>
            <w:noProof/>
          </w:rPr>
          <w:t>2</w:t>
        </w:r>
      </w:fldSimple>
      <w:r w:rsidRPr="003E0254">
        <w:t xml:space="preserve">: </w:t>
      </w:r>
      <w:r w:rsidR="00CF71DC" w:rsidRPr="003E0254">
        <w:t>Evolution of zinc chemistry in battery technology. The names marked with * indicate potentially rechargeable cells. The leaves illustrate the latest advancements in zinc</w:t>
      </w:r>
      <w:r w:rsidR="000F0B1D" w:rsidRPr="003E0254">
        <w:t>-air,</w:t>
      </w:r>
      <w:r w:rsidR="000F0B1D" w:rsidRPr="003E0254">
        <w:fldChar w:fldCharType="begin" w:fldLock="1"/>
      </w:r>
      <w:r w:rsidR="000F0B1D" w:rsidRPr="003E0254">
        <w:instrText xml:space="preserve">ADDIN CSL_CITATION {"citationItems":[{"id":"ITEM-1","itemData":{"DOI":"10.1016/J.EST.2017.12.004","ISSN":"2352-152X","abstract":"The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Storage","id":"ITEM-1","issued":{"date-parts":[["2018","2","1"]]},"page":"304-328","publisher":"Elsevier","title":"An overview of progress in electrolytes for secondary zinc-air batteries and other storage systems based on zinc","type":"article-journal","volume":"15"},"uris":["http://www.mendeley.com/documents/?uuid=1c32803a-05b4-4918-a283-2a75934802d4"]},{"id":"ITEM-2","itemData":{"DOI":"10.1007/S40820-024-01328-1","ISBN":"0123456789","ISSN":"2150-5551","abstract":"Zinc–air batteries (ZABs) are gaining attention as an ideal option for various applications requiring high-capacity batteries, such as portable electronics, electric vehicles, and renewable energy storage. ZABs offer advantages such as low environmental impact, enhanced safety compared to Li-ion batteries, and cost-effectiveness due to the abundance of zinc. However, early research faced challenges due to parasitic reactions at the zinc anode and slow oxygen redox kinetics. Recent advancements in restructuring the anode, utilizing alternative electrolytes, and developing bifunctional oxygen catalysts have significantly improved ZABs. Scientists have achieved battery reversibility over thousands of cycles, introduced new electrolytes, and achieved energy efficiency records surpassing 70%. Despite these achievements, there are challenges related to lower power density, shorter lifespan, and air electrode corrosion leading to performance degradation. This review paper discusses different battery configurations, and reaction mechanisms for electrically and mechanically rechargeable ZABs, and proposes remedies to enhance overall battery performance. The paper also explores recent advancements, applications, and the future prospects of electrically/mechanically rechargeable ZABs.","author":[{"dropping-particle":"","family":"Nazir","given":"Ghazanfar","non-dropping-particle":"","parse-names":false,"suffix":""},{"dropping-particle":"","family":"Rehman","given":"Adeela","non-dropping-particle":"","parse-names":false,"suffix":""},{"dropping-particle":"","family":"Lee","given":"Jong Hoon","non-dropping-particle":"","parse-names":false,"suffix":""},{"dropping-particle":"","family":"Kim","given":"Choong Hee","non-dropping-particle":"","parse-names":false,"suffix":""},{"dropping-particle":"","family":"Gautam","given":"Jagadis","non-dropping-particle":"","parse-names":false,"suffix":""},{"dropping-particle":"","family":"Heo","given":"Kwang","non-dropping-particle":"","parse-names":false,"suffix":""},{"dropping-particle":"","family":"Hussain","given":"Sajjad","non-dropping-particle":"","parse-names":false,"suffix":""},{"dropping-particle":"","family":"Ikram","given":"Muhammad","non-dropping-particle":"","parse-names":false,"suffix":""},{"dropping-particle":"","family":"AlObaid","given":"Abeer A.","non-dropping-particle":"","parse-names":false,"suffix":""},{"dropping-particle":"","family":"Lee","given":"Seul Yi","non-dropping-particle":"","parse-names":false,"suffix":""},{"dropping-particle":"","family":"Park","given":"Soo Jin","non-dropping-particle":"","parse-names":false,"suffix":""}],"container-title":"Nano-Micro Letters 2024 16:1","id":"ITEM-2","issue":"1","issued":{"date-parts":[["2024","2","29"]]},"page":"1-44","publisher":"Springer","title":"A Review of Rechargeable Zinc–Air Batteries: Recent Progress and Future Perspectives","type":"article-journal","volume":"16"},"uris":["http://www.mendeley.com/documents/?uuid=32ece0ca-1d07-48ed-bd9b-b4c24179575a"]},{"id":"ITEM-3","itemData":{"DOI":"10.1039/D2TA09626A","ISSN":"2050-7496","abstract":"Zn–air batteries (ZABs) have developed rapidly as novel energy storage devices to replace metal-ion batteries. However, the kinetics of the air-cathode is slow, and thus it is necessary to develop highly efficient and stable bifunctional catalysts. Generally, self-supporting electrodes can avoid the use of binder; moreover, the growth of the catalyst in situ on the substrate can improve the performance of ZABs. In this review, we systematically summarize the application of non-precious metal-based self-supporting electrodes in ZABs according to the recent research progress. Firstly, the basic structure and principle of ZABs, including Zn anodes, air-cathodes and electrolytes, are proposed. Subsequently, a reasonable electrode preparation method is discussed by combining the reaction mechanism of ZABs during the charging and discharging processes. The reaction mechanism is further discussed by combining operando techniques and theoretical calculations for a deep understanding of the real active sites, which lays the foundation for the directional synthesis of highly efficient self-supporting electrodes. Then, the application progress of self-supporting electrodes in ZABs is discussed, and it is proposed that the construction of hybrid cells is an effective means to promote battery efficiency. Finally, the challenges associated with ZABs and their future directions are presented and have a guiding significance for the rapid development of related fields.","author":[{"dropping-particle":"","family":"Liu","given":"Qi","non-dropping-particle":"","parse-names":false,"suffix":""},{"dropping-particle":"","family":"Wang","given":"Lei","non-dropping-particle":"","parse-names":false,"suffix":""},{"dropping-particle":"","family":"Fu","given":"Honggang","non-dropping-particle":"","parse-names":false,"suffix":""}],"container-title":"Journal of Materials Chemistry A","id":"ITEM-3","issue":"9","issued":{"date-parts":[["2023","2","27"]]},"page":"4400-4427","publisher":"The Royal Society of Chemistry","title":"Research progress on the construction of synergistic electrocatalytic ORR/OER self-supporting cathodes for zinc–air batteries","type":"article-journal","volume":"11"},"uris":["http://www.mendeley.com/documents/?uuid=9f9c174e-482f-343d-b4cc-e88c64e21f2d"]},{"id":"ITEM-4","itemData":{"DOI":"10.1016/J.ENSM.2020.03.026","ISSN":"2405-8297","abstract":"The development of earth-abundant and cost-effective electro-catalysts at the air cathodes for both oxygen reduction and evolution reactions (ORR and OER) with sluggish kinetics are central to the overall performance of rechargeable metal-air batteries, remaining an issue that is gaining increasing interest in recent years. Herein, we report a nitrogen-doped mesoporous carbon supported clustered CoOx composite catalyst (CoOx/NMC) synthesized from the anchored atomically dispersed CoOOH species by an efficient two-step nucleation method. Due to the synergistic and size effects, CoOx/NMC exhibits an enhanced bifunctional electrocatalytic performance in alkaline media than the state of the art commercial Pt/C catalyst for ORR and the OER catalyst (Ir/C). More importantly, the advanced CoOx/NMC catalyst enables recharge Zn-air batteries (ZABs) to achieve long-term cycling performance over 400 </w:instrText>
      </w:r>
      <w:r w:rsidR="000F0B1D" w:rsidRPr="003E0254">
        <w:rPr>
          <w:rFonts w:ascii="Arial" w:hAnsi="Arial" w:cs="Arial"/>
        </w:rPr>
        <w:instrText>​</w:instrText>
      </w:r>
      <w:r w:rsidR="000F0B1D" w:rsidRPr="003E0254">
        <w:instrText xml:space="preserve">h by galvanostatic charge-discharge at current density of 10 </w:instrText>
      </w:r>
      <w:r w:rsidR="000F0B1D" w:rsidRPr="003E0254">
        <w:rPr>
          <w:rFonts w:ascii="Arial" w:hAnsi="Arial" w:cs="Arial"/>
        </w:rPr>
        <w:instrText>​</w:instrText>
      </w:r>
      <w:r w:rsidR="000F0B1D" w:rsidRPr="003E0254">
        <w:instrText xml:space="preserve">mA </w:instrText>
      </w:r>
      <w:r w:rsidR="000F0B1D" w:rsidRPr="003E0254">
        <w:rPr>
          <w:rFonts w:ascii="Arial" w:hAnsi="Arial" w:cs="Arial"/>
        </w:rPr>
        <w:instrText>​</w:instrText>
      </w:r>
      <w:r w:rsidR="000F0B1D" w:rsidRPr="003E0254">
        <w:instrText>cm</w:instrText>
      </w:r>
      <w:r w:rsidR="000F0B1D" w:rsidRPr="003E0254">
        <w:rPr>
          <w:rFonts w:ascii="Aptos" w:hAnsi="Aptos" w:cs="Aptos"/>
        </w:rPr>
        <w:instrText>−</w:instrText>
      </w:r>
      <w:r w:rsidR="000F0B1D" w:rsidRPr="003E0254">
        <w:instrText>2 with high efficiency, suggesting a very promising alternative to the conventional Pt/C and Ir/C catalysts for an air cathode.","author":[{"dropping-particle":"","family":"Huang","given":"Kai","non-dropping-particle":"","parse-names":false,"suffix":""},{"dropping-particle":"","family":"Wang","given":"Ruyue","non-dropping-particle":"","parse-names":false,"suffix":""},{"dropping-particle":"","family":"Zhao","given":"Shijing","non-dropping-particle":"","parse-names":false,"suffix":""},{"dropping-particle":"","family":"Du","given":"Peng","non-dropping-particle":"","parse-names":false,"suffix":""},{"dropping-particle":"","family":"Wang","given":"Hao","non-dropping-particle":"","parse-names":false,"suffix":""},{"dropping-particle":"","family":"Wei","given":"Hehe","non-dropping-particle":"","parse-names":false,"suffix":""},{"dropping-particle":"","family":"Long","given":"Yuanzheng","non-dropping-particle":"","parse-names":false,"suffix":""},{"dropping-particle":"","family":"Deng","given":"Bohan","non-dropping-particle":"","parse-names":false,"suffix":""},{"dropping-particle":"","family":"Lei","given":"Ming","non-dropping-particle":"","parse-names":false,"suffix":""},{"dropping-particle":"","family":"Ge","given":"Binghui","non-dropping-particle":"","parse-names":false,"suffix":""},{"dropping-particle":"","family":"Gou","given":"Huiyang","non-dropping-particle":"","parse-names":false,"suffix":""},{"dropping-particle":"","family":"Zhang","given":"Ru","non-dropping-particle":"","parse-names":false,"suffix":""},{"dropping-particle":"","family":"Wu","given":"Hui","non-dropping-particle":"","parse-names":false,"suffix":""}],"container-title":"Energy Storage Materials","id":"ITEM-4","issued":{"date-parts":[["2020","8","1"]]},"page":"156-162","publisher":"Elsevier","title":"Atomic species derived CoOx clusters on nitrogen doped mesoporous carbon as advanced bifunctional electro-catalysts for Zn-air battery","type":"article-journal","volume":"29"},"uris":["http://www.mendeley.com/documents/?uuid=1369b1fd-32e6-300e-b3d0-469f233ef7c6"]},{"id":"ITEM-5","itemData":{"DOI":"10.1016/J.JPOWSOUR.2022.231173","ISSN":"0378-7753","abstract":"Zinc (Zn) based metal-air battery has been considered as one of promising candidates for the next-generation batteries due to its high theoretical specific capacity and abundant reserve. However, Zn electrode is susceptible to dendrite growth and corrosion depravation in the long cycling process, causing capacity decline and short lifespan. Herein, a novel zinc-stannum (Zn–Sn) alloy electrode has been facilely prepared through powder sintering technology to restrain the dendrite growing and promote the corrosion resistance. Compared with pure Zn foil electrode, the optimized Zn–Sn10 alloy electrode exhibited a lower voltage hysteresis of 119 mV and a better topography with non-dendrite after cycling 400 h at 0.5 mA cm−2. Meanwhile, the Zn corrosion resistance in alkaline electrolyte has been significantly improved. Theoretical calculations also account for these superiorities by the uniform charge distribution in the superficial ZnSn layer. As a result, the assembled Zn-air battery based on Zn–Sn alloy anode electrode showed satisfactory power density, rate properties and cycling life. This research provides a facile and cost-efficient strategy to stabilize Zn anode and holds great promise in developing high-performance rechargeable Zn-based battery energy systems.","author":[{"dropping-particle":"","family":"Peng","given":"Yumeng","non-dropping-particle":"","parse-names":false,"suffix":""},{"dropping-particle":"","family":"Lai","given":"Changang","non-dropping-particle":"","parse-names":false,"suffix":""},{"dropping-particle":"","family":"Zhang","given":"Ming","non-dropping-particle":"","parse-names":false,"suffix":""},{"dropping-particle":"","family":"Liu","given":"Xianbin","non-dropping-particle":"","parse-names":false,"suffix":""},{"dropping-particle":"","family":"Yin","given":"Yanhong","non-dropping-particle":"","parse-names":false,"suffix":""},{"dropping-particle":"","family":"Li","given":"Yesheng","non-dropping-particle":"","parse-names":false,"suffix":""},{"dropping-particle":"","family":"Wu","given":"Ziping","non-dropping-particle":"","parse-names":false,"suffix":""}],"container-title":"Journal of Power Sources","id":"ITEM-5","issued":{"date-parts":[["2022","4","1"]]},"page":"231173","publisher":"Elsevier","title":"Zn–Sn alloy anode with repressible dendrite grown and meliorative corrosion resistance for Zn-air battery","type":"article-journal","volume":"526"},"uris":["http://www.mendeley.com/documents/?uuid=c2eb49fa-18b1-3d51-8502-b41b0a6d2815"]},{"id":"ITEM-6","itemData":{"DOI":"10.1016/J.JALLCOM.2023.172523","ISSN":"0925-8388","abstract":"Zinc-air batteries have garnered significant attention owing to their high energy density and substantial anode active substance storage. Despite their potential advantages, the application of zinc-air batteries has been hindered in various domains by rapid performance degradation and reduced service life caused by zinc dendrite growth during cycling. This study presents a method of alloying zinc anodes with rare earth metals, such as Ce and Yb, as well as alkaline earth metal Mg to mitigate the growth of zinc dendrites. This is achieved by altering the anisotropy modulus and intensity at the interface energy of the zinc anode. This approach was verified using a COMSOL phase-field model based on an experimental study. The findings demonstrate that the optimal suppression of zinc dendrite growth was achieved with the anisotropy modulus of 6 and the inhibition efficiency is 35%. Moreover, the degree of anisotropic intensity exhibited by the interfacial energy was inversely proportional to the inhibition of zinc dendrite growth. The most effective approach to inhibit dendrite growth involved using a zinc anode composition of 98% Zn–2% Mg and 93.5% Zn–6.5% Yb. The addition of Ce into the zinc anode was found to increase the anisotropy modulus of the anode interface energy, changing the direction and decreasing the height of zinc dendrite growth. Similarly, the addition of Yb to the zinc anode decreased the anisotropic intensity of the interface energy, thereby impeding the growth of the main stem dendrite.","author":[{"dropping-particle":"","family":"Yuan","given":"Xingping","non-dropping-particle":"","parse-names":false,"suffix":""},{"dropping-particle":"","family":"He","given":"Cuiping","non-dropping-particle":"","parse-names":false,"suffix":""},{"dropping-particle":"","family":"Wang","given":"Jianguo","non-dropping-particle":"","parse-names":false,"suffix":""},{"dropping-particle":"","family":"You","given":"Xiang","non-dropping-particle":"","parse-names":false,"suffix":""},{"dropping-particle":"","family":"Chen","given":"Yuanliang","non-dropping-particle":"","parse-names":false,"suffix":""},{"dropping-particle":"","family":"Gou","given":"Qingyi","non-dropping-particle":"","parse-names":false,"suffix":""},{"dropping-particle":"","family":"Yang","given":"Ni","non-dropping-particle":"","parse-names":false,"suffix":""},{"dropping-particle":"","family":"Xie","given":"Gang","non-dropping-particle":"","parse-names":false,"suffix":""},{"dropping-particle":"","family":"Hou","given":"Yanqing","non-dropping-particle":"","parse-names":false,"suffix":""}],"container-title":"Journal of Alloys and Compounds","id":"ITEM-6","issued":{"date-parts":[["2024","1","5"]]},"page":"172523","publisher":"Elsevier","title":"Inhibition of zinc dendrite growth in zinc-air batteries by alloying the anode with Ce and Yb","type":"article-journal","volume":"970"},"uris":["http://www.mendeley.com/documents/?uuid=ef46da8e-95a2-3794-9047-638f09096629"]}],"mendeley":{"formattedCitation":"&lt;sup&gt;[35–40]&lt;/sup&gt;","plainTextFormattedCitation":"[35–40]","previouslyFormattedCitation":"&lt;sup&gt;[35–40]&lt;/sup&gt;"},"properties":{"noteIndex":0},"schema":"https://github.com/citation-style-language/schema/raw/master/csl-citation.json"}</w:instrText>
      </w:r>
      <w:r w:rsidR="000F0B1D" w:rsidRPr="003E0254">
        <w:fldChar w:fldCharType="separate"/>
      </w:r>
      <w:r w:rsidR="000F0B1D" w:rsidRPr="003E0254">
        <w:rPr>
          <w:i w:val="0"/>
          <w:noProof/>
          <w:vertAlign w:val="superscript"/>
        </w:rPr>
        <w:t>[35–40]</w:t>
      </w:r>
      <w:r w:rsidR="000F0B1D" w:rsidRPr="003E0254">
        <w:fldChar w:fldCharType="end"/>
      </w:r>
      <w:r w:rsidR="000F0B1D" w:rsidRPr="003E0254">
        <w:t>zinc-metal,</w:t>
      </w:r>
      <w:r w:rsidR="000F0B1D" w:rsidRPr="003E0254">
        <w:fldChar w:fldCharType="begin" w:fldLock="1"/>
      </w:r>
      <w:r w:rsidR="000F0B1D" w:rsidRPr="003E0254">
        <w:instrText>ADDIN CSL_CITATION {"citationItems":[{"id":"ITEM-1","itemData":{"DOI":"10.1002/INF2.12306","ISSN":"2567-3165","abstract":"Zinc-ion batteries (ZIBs) have been extensively investigated and discussed as promising energy storage devices in recent years owing to their low cost, high energy density, inherent safety, and low environmental impact. Nevertheless, several challenges remain that need to be prioritized before realizing the widespread application of ZIBs. In particular, the development of zinc anodes has been hindered by many challenges, such as inevitable zinc dendrites, corrosion passivation, and the hydrogen evolution reaction (HER), which have severely limited the practical application of high-performance ZIBs. This review starts with a systematic discussion of the origins of zinc dendrites, corrosion passivation, and the HER, as well as their effects on battery performance. Subsequently, we discuss solutions to the above problems to protect the zinc anode, including the improvement of zinc anode materials, modification of the anode–electrolyte interface, and optimization of the electrolyte. In particular, this review emphasizes design strategies to protect zinc anodes from an integrated perspective with broad interest rather than a view with limited focus. In the final section, comments and perspectives are provided for the future design of high-performance zinc anodes. (Figure presented.).","author":[{"dropping-particle":"","family":"Zhang","given":"Xin","non-dropping-particle":"","parse-names":false,"suffix":""},{"dropping-particle":"","family":"Hu","given":"Jun Ping","non-dropping-particle":"","parse-names":false,"suffix":""},{"dropping-particle":"","family":"Fu","given":"Na","non-dropping-particle":"","parse-names":false,"suffix":""},{"dropping-particle":"Bin","family":"Zhou","given":"Wei","non-dropping-particle":"","parse-names":false,"suffix":""},{"dropping-particle":"","family":"Liu","given":"Bin","non-dropping-particle":"","parse-names":false,"suffix":""},{"dropping-particle":"","family":"Deng","given":"Qi","non-dropping-particle":"","parse-names":false,"suffix":""},{"dropping-particle":"","family":"Wu","given":"Xiong Wei","non-dropping-particle":"","parse-names":false,"suffix":""}],"container-title":"InfoMat","id":"ITEM-1","issue":"7","issued":{"date-parts":[["2022","7","1"]]},"page":"e12306","publisher":"John Wiley &amp; Sons, Ltd","title":"Comprehensive review on zinc-ion battery anode: Challenges and strategies","type":"article-journal","volume":"4"},"uris":["http://www.mendeley.com/documents/?uuid=5f8cc98f-148d-3769-95b9-b244acec0843"]},{"id":"ITEM-2","itemData":{"DOI":"10.1002/ANIE.201106307","ISSN":"1521-3773","PMID":"22170816","abstract":"Think zinc: An ideal aqueous energy storage device, referred to as a zinc ion battery, is presented. The device is characterized by high capacity, fast charge/discharge capability, safety, and environmental friendliness. It is composed of an α-MnO 2 cathode, a zinc anode, and a mild ZnSO 4 or Zn(NO 3) 2 aqueous electrolyte (see scheme). The battery chemistry is based on the migration of Zn 2+ ions between cathode and anode. Copyright © 2012 WILEY-VCH Verlag GmbH &amp; Co. KGaA, Weinheim.","author":[{"dropping-particle":"","family":"Xu","given":"Chengjun","non-dropping-particle":"","parse-names":false,"suffix":""},{"dropping-particle":"","family":"Li","given":"Baohua","non-dropping-particle":"","parse-names":false,"suffix":""},{"dropping-particle":"","family":"Du","given":"Hongda","non-dropping-particle":"","parse-names":false,"suffix":""},{"dropping-particle":"","family":"Kang","given":"Feiyu","non-dropping-particle":"","parse-names":false,"suffix":""}],"container-title":"Angewandte Chemie International Edition","id":"ITEM-2","issue":"4","issued":{"date-parts":[["2012","1","23"]]},"page":"933-935","publisher":"John Wiley &amp; Sons, Ltd","title":"Energetic Zinc Ion Chemistry: The Rechargeable Zinc Ion Battery","type":"article-journal","volume":"51"},"uris":["http://www.mendeley.com/documents/?uuid=1ceb1d34-46fa-30b7-9195-51964de553ed"]},{"id":"ITEM-3","itemData":{"DOI":"10.1016/J.JOULE.2020.03.002","ISSN":"2542-4351","abstract":"The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F.","non-dropping-particle":"","parse-names":false,"suffix":""}],"container-title":"Joule","id":"ITEM-3","issue":"4","issued":{"date-parts":[["2020","4","15"]]},"page":"771-799","publisher":"Cell Press","title":"Scientific Challenges for the Implementation of Zn-Ion Batteries","type":"article-journal","volume":"4"},"uris":["http://www.mendeley.com/documents/?uuid=5f0548df-ddf3-346b-a854-26cff83040de"]},{"id":"ITEM-4","itemData":{"DOI":"10.1039/D0TA10336E","ISSN":"2050-7496","abstract":"Aqueous zinc ion batteries employing metallic zinc anodes and aqueous electrolytes are highly attractive electrochemical energy storage devices owing to their cost effectiveness, intrinsic safety, elemental abundance and competitive gravimetric energy density. Compared with other cathode materials, vanadium-based compounds feature advantages such as higher capacity, higher power density and longer cycle life. Here, a comprehensive review is presented on recent advances of vanadium-based cathodes, focusing on the correlation between the structures and electrode performances as well as energy-storage mechanisms. The structure and electrochemical properties of vanadium-based cathode materials are discussed by categorizing Zn2+ diffusion channels including one-dimensional tunnels, two-dimensional planes, three-dimensional interpenetrating networks and zero-dimensional diffusion channels. Furthermore, the remaining issues of vanadium-based cathodes are highlighted and promising performance-enhancement strategies are overviewed from aspects such as lattice control, vacancy/defect engineering, and pre-intercalation of cations and/or molecules.","author":[{"dropping-particle":"","family":"Ding","given":"Junwei","non-dropping-particle":"","parse-names":false,"suffix":""},{"dropping-particle":"","family":"Gao","given":"Hongge","non-dropping-particle":"","parse-names":false,"suffix":""},{"dropping-particle":"","family":"Ji","given":"Dongfang","non-dropping-particle":"","parse-names":false,"suffix":""},{"dropping-particle":"","family":"Zhao","given":"Kang","non-dropping-particle":"","parse-names":false,"suffix":""},{"dropping-particle":"","family":"Wang","given":"Shiwen","non-dropping-particle":"","parse-names":false,"suffix":""},{"dropping-particle":"","family":"Cheng","given":"Fangyi","non-dropping-particle":"","parse-names":false,"suffix":""}],"container-title":"Journal of Materials Chemistry A","id":"ITEM-4","issue":"9","issued":{"date-parts":[["2021","3","9"]]},"page":"5258-5275","publisher":"The Royal Society of Chemistry","title":"Vanadium-based cathodes for aqueous zinc-ion batteries: from crystal structures, diffusion channels to storage mechanisms","type":"article-journal","volume":"9"},"uris":["http://www.mendeley.com/documents/?uuid=63c799b7-1a64-3973-a7ed-6f34be0e529e"]},{"id":"ITEM-5","itemData":{"DOI":"10.1002/smll.202400221","ISSN":"1613-6810","PMID":"38586921","abstract":"Aqueous zinc</w:instrText>
      </w:r>
      <w:r w:rsidR="000F0B1D" w:rsidRPr="003E0254">
        <w:rPr>
          <w:rFonts w:ascii="Cambria Math" w:hAnsi="Cambria Math" w:cs="Cambria Math"/>
        </w:rPr>
        <w:instrText>‐</w:instrText>
      </w:r>
      <w:r w:rsidR="000F0B1D" w:rsidRPr="003E0254">
        <w:instrText>ion batteries (ZIBs) stand out as a promising next</w:instrText>
      </w:r>
      <w:r w:rsidR="000F0B1D" w:rsidRPr="003E0254">
        <w:rPr>
          <w:rFonts w:ascii="Cambria Math" w:hAnsi="Cambria Math" w:cs="Cambria Math"/>
        </w:rPr>
        <w:instrText>‐</w:instrText>
      </w:r>
      <w:r w:rsidR="000F0B1D" w:rsidRPr="003E0254">
        <w:instrText>generation electrochemical energy storage technology, offering notable advantages such as high specific capacity, enhanced safety, and cost</w:instrText>
      </w:r>
      <w:r w:rsidR="000F0B1D" w:rsidRPr="003E0254">
        <w:rPr>
          <w:rFonts w:ascii="Cambria Math" w:hAnsi="Cambria Math" w:cs="Cambria Math"/>
        </w:rPr>
        <w:instrText>‐</w:instrText>
      </w:r>
      <w:r w:rsidR="000F0B1D" w:rsidRPr="003E0254">
        <w:instrText>effectiveness. However, the application of aqueous electrolytes introduces challenges: Zn dendrite formation and parasitic reactions at the anode, as well as dissolution, electrostatic interaction, and by</w:instrText>
      </w:r>
      <w:r w:rsidR="000F0B1D" w:rsidRPr="003E0254">
        <w:rPr>
          <w:rFonts w:ascii="Cambria Math" w:hAnsi="Cambria Math" w:cs="Cambria Math"/>
        </w:rPr>
        <w:instrText>‐</w:instrText>
      </w:r>
      <w:r w:rsidR="000F0B1D" w:rsidRPr="003E0254">
        <w:instrText>product formation at the cathode. In addressing these electrode</w:instrText>
      </w:r>
      <w:r w:rsidR="000F0B1D" w:rsidRPr="003E0254">
        <w:rPr>
          <w:rFonts w:ascii="Cambria Math" w:hAnsi="Cambria Math" w:cs="Cambria Math"/>
        </w:rPr>
        <w:instrText>‐</w:instrText>
      </w:r>
      <w:r w:rsidR="000F0B1D" w:rsidRPr="003E0254">
        <w:instrText>centric problems, additive engineering has emerged as an effective strategy. This review delves into the latest advancements in electrolyte additives for ZIBs, emphasizing their role in resolving the existing issues. Key focus areas include improving morphology and reducing side reactions during battery cycling using synergistic effects of modulating anode interface regulation, zinc facet control, and restructuring of hydrogen bonds and solvation sheaths. Special attention is given to the efficacy of amino acids and zwitterions due to their multifunction to improve the cycling performance of batteries concerning cycle stability and lifespan. Additionally, the recent additive advancements are studied for low</w:instrText>
      </w:r>
      <w:r w:rsidR="000F0B1D" w:rsidRPr="003E0254">
        <w:rPr>
          <w:rFonts w:ascii="Cambria Math" w:hAnsi="Cambria Math" w:cs="Cambria Math"/>
        </w:rPr>
        <w:instrText>‐</w:instrText>
      </w:r>
      <w:r w:rsidR="000F0B1D" w:rsidRPr="003E0254">
        <w:instrText>temperature and extreme weather applications meticulously. This review concludes with a holistic look at the future of additive engineering, underscoring its critical role in advancing ZIB performance amidst the complexities and challenges of electrolyte additives.","author":[{"dropping-particle":"","family":"Cao","given":"Jianghui","non-dropping-particle":"","parse-names":false,"suffix":""},{"dropping-particle":"","family":"Zhao","given":"Fang","non-dropping-particle":"","parse-names":false,"suffix":""},{"dropping-particle":"","family":"Guan","given":"Weixin","non-dropping-particle":"","parse-names":false,"suffix":""},{"dropping-particle":"","family":"Yang","given":"Xiaoxuan","non-dropping-particle":"","parse-names":false,"suffix":""},{"dropping-particle":"","family":"Zhao","given":"Qidong","non-dropping-particle":"","parse-names":false,"suffix":""},{"dropping-particle":"","family":"Gao","given":"Liguo","non-dropping-particle":"","parse-names":false,"suffix":""},{"dropping-particle":"","family":"Ren","given":"Xuefeng","non-dropping-particle":"","parse-names":false,"suffix":""},{"dropping-particle":"","family":"Wu","given":"Gang","non-dropping-particle":"","parse-names":false,"suffix":""},{"dropping-particle":"","family":"Liu","given":"Anmin","non-dropping-particle":"","parse-names":false,"suffix":""}],"container-title":"Small","id":"ITEM-5","issue":"33","issued":{"date-parts":[["2024","8","8"]]},"page":"2400221","publisher":"John Wiley &amp; Sons, Ltd","title":"Additives for Aqueous Zinc</w:instrText>
      </w:r>
      <w:r w:rsidR="000F0B1D" w:rsidRPr="003E0254">
        <w:rPr>
          <w:rFonts w:ascii="Cambria Math" w:hAnsi="Cambria Math" w:cs="Cambria Math"/>
        </w:rPr>
        <w:instrText>‐</w:instrText>
      </w:r>
      <w:r w:rsidR="000F0B1D" w:rsidRPr="003E0254">
        <w:instrText>Ion Batteries: Recent Progress, Mechanism Analysis, and Future Perspectives","type":"article-journal","volume":"20"},"uris":["http://www.mendeley.com/documents/?uuid=2ab27e52-fa16-39df-bb4f-020d48d0c380"]},{"id":"ITEM-6","itemData":{"DOI":"10.1021/CBE.3C00120","ISSN":"2836-967X","abstract":"Aqueous zinc-ion batteries (AZIBs) have recently attracted worldwide attention due to the natural abundance of Zn, low cost, high safety, and environmental benignity. Up to the present, several kin...","author":[{"dropping-particle":"","family":"Zhang","given":"Bao","non-dropping-particle":"","parse-names":false,"suffix":""},{"dropping-particle":"","family":"Dong","given":"Peng","non-dropping-particle":"","parse-names":false,"suffix":""},{"dropping-particle":"","family":"Yuan","given":"Shouyi","non-dropping-particle":"","parse-names":false,"suffix":""},{"dropping-particle":"","family":"Zhang","given":"Yannan","non-dropping-particle":"","parse-names":false,"suffix":""},{"dropping-particle":"","family":"Zhang","given":"Yingjie","non-dropping-particle":"","parse-names":false,"suffix":""},{"dropping-particle":"","family":"Wang","given":"Yonggang","non-dropping-particle":"","parse-names":false,"suffix":""}],"container-title":"Chem &amp; Bio Engineering","id":"ITEM-6","issue":"2","issued":{"date-parts":[["2024","3","28"]]},"page":"113-132","publisher":"Zhejiang University and American Chemical Society","title":"Manganese-Based Oxide Cathode Materials for Aqueous Zinc-Ion Batteries: Materials, Mechanism, Challenges, and Strategies","type":"article-journal","volume":"1"},"uris":["http://www.mendeley.com/documents/?uuid=44acfa81-8a6c-304d-8ae5-59578b1a356c"]},{"id":"ITEM-7","itemData":{"DOI":"10.1021/ACSENERGYLETT.0C02684/ASSET/IMAGES/LARGE/NZ0C02684_0012.JPEG","ISSN":"23808195","abstract":"With the increasing demand for large-scale energy storage, high-safety and low-cost rechargeable zinc-ion batteries (ZIBs) have been regarded as potential substitutes for lithium-ion batteries (LIBs). Exploring high-performance cathodes and a stable zinc anode is important, and fruitful achievements have been made. However, many fundamental issues still hinder the development of zinc-based energy storage systems. As a pivotal component, the electrolyte provides the basic operating environment to ensure the high compatibility and reversible cycling of each component in the battery. In this Focus Review, we present a comprehensive overview of electrolyte strategies in terms of solving or alleviating the issues of cathode dissolution, zinc dendrites and corrosion, hydrogen evolution, and so on. Furthermore, the adoption of gel electrolytes in flexible batteries is briefly introduced. Finally, the recommended future research perspectives of electrolytes are discussed, which may boost the development of this field.","author":[{"dropping-particle":"","family":"Liu","given":"Cunxin","non-dropping-particle":"","parse-names":false,"suffix":""},{"dropping-particle":"","family":"Xie","given":"Xuesong","non-dropping-particle":"","parse-names":false,"suffix":""},{"dropping-particle":"","family":"Lu","given":"Bingan","non-dropping-particle":"","parse-names":false,"suffix":""},{"dropping-particle":"","family":"Zhou","given":"Jiang","non-dropping-particle":"","parse-names":false,"suffix":""},{"dropping-particle":"","family":"Liang","given":"Shuquan","non-dropping-particle":"","parse-names":false,"suffix":""}],"container-title":"ACS Energy Letters","id":"ITEM-7","issue":"3","issued":{"date-parts":[["2021","3","12"]]},"page":"1015-1033","publisher":"American Chemical Society","title":"Electrolyte Strategies toward Better Zinc-Ion Batteries","type":"article-journal","volume":"6"},"uris":["http://www.mendeley.com/documents/?uuid=34e8bf46-68fd-35af-b3a4-acee8ab90ca0"]}],"mendeley":{"formattedCitation":"&lt;sup&gt;[41–47]&lt;/sup&gt;","plainTextFormattedCitation":"[41–47]","previouslyFormattedCitation":"&lt;sup&gt;[41–47]&lt;/sup&gt;"},"properties":{"noteIndex":0},"schema":"https://github.com/citation-style-language/schema/raw/master/csl-citation.json"}</w:instrText>
      </w:r>
      <w:r w:rsidR="000F0B1D" w:rsidRPr="003E0254">
        <w:fldChar w:fldCharType="separate"/>
      </w:r>
      <w:r w:rsidR="000F0B1D" w:rsidRPr="003E0254">
        <w:rPr>
          <w:i w:val="0"/>
          <w:noProof/>
          <w:vertAlign w:val="superscript"/>
        </w:rPr>
        <w:t>[41–47]</w:t>
      </w:r>
      <w:r w:rsidR="000F0B1D" w:rsidRPr="003E0254">
        <w:fldChar w:fldCharType="end"/>
      </w:r>
      <w:r w:rsidR="000F0B1D" w:rsidRPr="003E0254">
        <w:t xml:space="preserve"> and zinc flow</w:t>
      </w:r>
      <w:r w:rsidR="000F0B1D" w:rsidRPr="003E0254">
        <w:fldChar w:fldCharType="begin" w:fldLock="1"/>
      </w:r>
      <w:r w:rsidR="00500B8D" w:rsidRPr="003E0254">
        <w:instrText>ADDIN CSL_CITATION {"citationItems":[{"id":"ITEM-1","itemData":{"DOI":"10.3390/BATTERIES8110202","ISSN":"2313-0105","abstract":"Zinc–iron redox flow batteries (ZIRFBs) possess intrinsic safety and stability and have been the research focus of electrochemical energy storage technology due to their low electrolyte cost. This review introduces the characteristics of ZIRFBs which can be operated within a wide pH range, including the acidic ZIRFB taking advantage of Fen+ with high solubility, the alkaline ZIRFB operating at a relatively high open-circuit potential and current densities, and the neutral ZIRFB providing a non-toxic, harmless, and mild environment. No matter what kind of ZIRFB, there are always zinc dendrites limiting areal capacity on the anode, which has become an obstacle that must be considered in zinc-based RFBs. Therefore, we focus on the current research progress, especially the summarizing and analysis of zinc dendrites, Fe(III) hydrolysis, and electrolytes. Given these challenges, this review reports the optimization of the electrolyte, electrode, membrane/separator, battery structure, and numerical simulations, aiming to promote the performance and development of ZIRFBs as a practical application technology. Based on these investigations, we also provide the prospects and development direction of ZIRFBs.","author":[{"dropping-particle":"","family":"Zhang","given":"Huan","non-dropping-particle":"","parse-names":false,"suffix":""},{"dropping-particle":"","family":"Sun","given":"Chuanyu","non-dropping-particle":"","parse-names":false,"suffix":""},{"dropping-particle":"","family":"Ge","given":"Mingming","non-dropping-particle":"","parse-names":false,"suffix":""}],"container-title":"Batteries 2022, Vol. 8, Page 202","id":"ITEM-1","issue":"11","issued":{"date-parts":[["2022","10","31"]]},"page":"202","publisher":"Multidisciplinary Digital Publishing Institute","title":"Review of the Research Status of Cost-Effective Zinc–Iron Redox Flow Batteries","type":"article-journal","volume":"8"},"uris":["http://www.mendeley.com/documents/?uuid=5b182942-28c9-34b2-a69b-8f2f917a1f81"]},{"id":"ITEM-2","itemData":{"DOI":"10.1039/D5CS00174A","ISSN":"1460-4744","abstract":"Membrane-free redox flow batteries (RFBs) are promising energy-storage technologies that present an innovative solution to address the critical need for sustainable and efficient energy systems. This review provides a detailed examination of membrane-free RFBs, focusing on recent technological advances and design optimization. Moreover, it highlights the growing importance of membrane-free designs for achieving higher efficiency and scalability in energy-storage systems. These designs offer significant improvements in terms of electrolyte concentration, Coulombic efficiency, and flow management, underscoring the potential of these systems for advanced energy-storage solutions. We explore the utilization of immiscible electrolyte solvents and the engineering of laminar flow dynamics to achieve efficient electrolyte separation without traditional ion-exchange membranes. The article discusses metal-free and metal-phase aqueous/nonaqueous and nonaqueous/nonaqueous immiscible solvent-based RFBs; laminar flow-based RFBs; single-phase co-laminar flow batteries; liquid/solid membrane-free RFBs; and triphasic membrane-free RFBs, highlighting their unique design features and operational benefits, as well as their potential and challenges in energy-storage applications. Key parameters such as the coulombic efficiency, self-discharge, flow dynamics, and impedance are analyzed to provide a comprehensive understanding of the performance metrics critical for the development of next-generation membrane-free RFBs. We provide valuable references for developing membrane-free RFBs and highlight their significance, technological advancements, and implications for future energy-storage applications. In the context of global energy transitions, the research and development of membrane-free batteries will provide crucial technical support for achieving sustainable energy development.","author":[{"dropping-particle":"","family":"Wang","given":"Xiao","non-dropping-particle":"","parse-names":false,"suffix":""},{"dropping-particle":"","family":"Gautam","given":"Rajeev K.","non-dropping-particle":"","parse-names":false,"suffix":""},{"dropping-particle":"","family":"Jiang","given":"Jianbing","non-dropping-particle":"","parse-names":false,"suffix":""}],"container-title":"Chemical Society Reviews","id":"ITEM-2","issue":"12","issued":{"date-parts":[["2025","6","16"]]},"page":"5895-5911","publisher":"The Royal Society of Chemistry","title":"Recent advancements in membrane-free redox flow batteries","type":"article-journal","volume":"54"},"uris":["http://www.mendeley.com/documents/?uuid=1c08ec6b-fab5-3e92-bf07-6c58d848ca4a"]},{"id":"ITEM-3","itemData":{"DOI":"10.1038/s41467-024-50543-2","ISSN":"2041-1723","PMID":"39043688","abstract":"Zn-I2 flow batteries, with a standard voltage of 1.29</w:instrText>
      </w:r>
      <w:r w:rsidR="00500B8D" w:rsidRPr="003E0254">
        <w:rPr>
          <w:rFonts w:ascii="Arial" w:hAnsi="Arial" w:cs="Arial"/>
        </w:rPr>
        <w:instrText> </w:instrText>
      </w:r>
      <w:r w:rsidR="00500B8D" w:rsidRPr="003E0254">
        <w:instrText>V based on the redox potential gap between the Zn2+-negolyte (</w:instrText>
      </w:r>
      <w:r w:rsidR="00500B8D" w:rsidRPr="003E0254">
        <w:rPr>
          <w:rFonts w:ascii="Aptos" w:hAnsi="Aptos" w:cs="Aptos"/>
        </w:rPr>
        <w:instrText>−</w:instrText>
      </w:r>
      <w:r w:rsidR="00500B8D" w:rsidRPr="003E0254">
        <w:instrText>0.76 vs. SHE) and I2-posolyte (0.53 vs. SHE), are gaining attention for their safety, sustainability, and environmental-friendliness. However, the significant growth of Zn dendrites and the formation of dead Zn generally prevent them from being cycled at high current density (&amp;gt;80</w:instrText>
      </w:r>
      <w:r w:rsidR="00500B8D" w:rsidRPr="003E0254">
        <w:rPr>
          <w:rFonts w:ascii="Arial" w:hAnsi="Arial" w:cs="Arial"/>
        </w:rPr>
        <w:instrText> </w:instrText>
      </w:r>
      <w:r w:rsidR="00500B8D" w:rsidRPr="003E0254">
        <w:instrText>mA</w:instrText>
      </w:r>
      <w:r w:rsidR="00500B8D" w:rsidRPr="003E0254">
        <w:rPr>
          <w:rFonts w:ascii="Arial" w:hAnsi="Arial" w:cs="Arial"/>
        </w:rPr>
        <w:instrText> </w:instrText>
      </w:r>
      <w:r w:rsidR="00500B8D" w:rsidRPr="003E0254">
        <w:instrText>cm</w:instrText>
      </w:r>
      <w:r w:rsidR="00500B8D" w:rsidRPr="003E0254">
        <w:rPr>
          <w:rFonts w:ascii="Aptos" w:hAnsi="Aptos" w:cs="Aptos"/>
        </w:rPr>
        <w:instrText>−</w:instrText>
      </w:r>
      <w:r w:rsidR="00500B8D" w:rsidRPr="003E0254">
        <w:instrText>2). In addition, the crossover of Zn2+ across cation-exchange-membrane also limits their cycle stability. Herein, we propose a chelated Zn(P2O7)26- (donated as Zn(PPi)26-) negolyte, which facilitates dendrite-free Zn plating and effectively prevents Zn2+ crossover. Remarkably, the utilization of chelated Zn(PPi)26- as a negolyte shifts the Zn2+/Zn plating/stripping potential to −1.08</w:instrText>
      </w:r>
      <w:r w:rsidR="00500B8D" w:rsidRPr="003E0254">
        <w:rPr>
          <w:rFonts w:ascii="Arial" w:hAnsi="Arial" w:cs="Arial"/>
        </w:rPr>
        <w:instrText> </w:instrText>
      </w:r>
      <w:r w:rsidR="00500B8D" w:rsidRPr="003E0254">
        <w:instrText>V (vs. SHE), increasing cell voltage to 1.61</w:instrText>
      </w:r>
      <w:r w:rsidR="00500B8D" w:rsidRPr="003E0254">
        <w:rPr>
          <w:rFonts w:ascii="Arial" w:hAnsi="Arial" w:cs="Arial"/>
        </w:rPr>
        <w:instrText> </w:instrText>
      </w:r>
      <w:r w:rsidR="00500B8D" w:rsidRPr="003E0254">
        <w:instrText>V. Such high voltage Zn-I2 flow battery shows a promising stability over 250 cycles at a high current density of 200</w:instrText>
      </w:r>
      <w:r w:rsidR="00500B8D" w:rsidRPr="003E0254">
        <w:rPr>
          <w:rFonts w:ascii="Arial" w:hAnsi="Arial" w:cs="Arial"/>
        </w:rPr>
        <w:instrText> </w:instrText>
      </w:r>
      <w:r w:rsidR="00500B8D" w:rsidRPr="003E0254">
        <w:instrText>mA</w:instrText>
      </w:r>
      <w:r w:rsidR="00500B8D" w:rsidRPr="003E0254">
        <w:rPr>
          <w:rFonts w:ascii="Arial" w:hAnsi="Arial" w:cs="Arial"/>
        </w:rPr>
        <w:instrText> </w:instrText>
      </w:r>
      <w:r w:rsidR="00500B8D" w:rsidRPr="003E0254">
        <w:instrText>cm</w:instrText>
      </w:r>
      <w:r w:rsidR="00500B8D" w:rsidRPr="003E0254">
        <w:rPr>
          <w:rFonts w:ascii="Aptos" w:hAnsi="Aptos" w:cs="Aptos"/>
        </w:rPr>
        <w:instrText>−</w:instrText>
      </w:r>
      <w:r w:rsidR="00500B8D" w:rsidRPr="003E0254">
        <w:instrText>2, and a high power density up to 606.5</w:instrText>
      </w:r>
      <w:r w:rsidR="00500B8D" w:rsidRPr="003E0254">
        <w:rPr>
          <w:rFonts w:ascii="Arial" w:hAnsi="Arial" w:cs="Arial"/>
        </w:rPr>
        <w:instrText> </w:instrText>
      </w:r>
      <w:r w:rsidR="00500B8D" w:rsidRPr="003E0254">
        <w:instrText>mW</w:instrText>
      </w:r>
      <w:r w:rsidR="00500B8D" w:rsidRPr="003E0254">
        <w:rPr>
          <w:rFonts w:ascii="Arial" w:hAnsi="Arial" w:cs="Arial"/>
        </w:rPr>
        <w:instrText> </w:instrText>
      </w:r>
      <w:r w:rsidR="00500B8D" w:rsidRPr="003E0254">
        <w:instrText>cm</w:instrText>
      </w:r>
      <w:r w:rsidR="00500B8D" w:rsidRPr="003E0254">
        <w:rPr>
          <w:rFonts w:ascii="Aptos" w:hAnsi="Aptos" w:cs="Aptos"/>
        </w:rPr>
        <w:instrText>−</w:instrText>
      </w:r>
      <w:r w:rsidR="00500B8D" w:rsidRPr="003E0254">
        <w:instrText>2. Researchers reported a 1.6</w:instrText>
      </w:r>
      <w:r w:rsidR="00500B8D" w:rsidRPr="003E0254">
        <w:rPr>
          <w:rFonts w:ascii="Arial" w:hAnsi="Arial" w:cs="Arial"/>
        </w:rPr>
        <w:instrText> </w:instrText>
      </w:r>
      <w:r w:rsidR="00500B8D" w:rsidRPr="003E0254">
        <w:instrText>V dendrite-free zinc-iodine flow battery using a chelated Zn(PPi)26- negolyte. The battery demonstrated stable operation at 200 mA cm</w:instrText>
      </w:r>
      <w:r w:rsidR="00500B8D" w:rsidRPr="003E0254">
        <w:rPr>
          <w:rFonts w:ascii="Aptos" w:hAnsi="Aptos" w:cs="Aptos"/>
        </w:rPr>
        <w:instrText>−</w:instrText>
      </w:r>
      <w:r w:rsidR="00500B8D" w:rsidRPr="003E0254">
        <w:instrText>2 over 250 cycles, highlighting its potential for energy storage applications.","author":[{"dropping-particle":"","family":"Wang","given":"Caixing","non-dropping-particle":"","parse-names":false,"suffix":""},{"dropping-particle":"","family":"Gao","given":"Guoyuan","non-dropping-particle":"","parse-names":false,"suffix":""},{"dropping-particle":"","family":"Su","given":"Yaqiong","non-dropping-particle":"","parse-names":false,"suffix":""},{"dropping-particle":"","family":"Xie","given":"Ju","non-dropping-particle":"","parse-names":false,"suffix":""},{"dropping-particle":"","family":"He","given":"Dunyong","non-dropping-particle":"","parse-names":false,"suffix":""},{"dropping-particle":"","family":"Wang","given":"Xuemei","non-dropping-particle":"","parse-names":false,"suffix":""},{"dropping-particle":"","family":"Wang","given":"Yanrong","non-dropping-particle":"","parse-names":false,"suffix":""},{"dropping-particle":"","family":"Wang","given":"Yonggang","non-dropping-particle":"","parse-names":false,"suffix":""}],"container-title":"Nature Communications 2024 15:1","id":"ITEM-3","issue":"1","issued":{"date-parts":[["2024","7","24"]]},"page":"1-11","publisher":"Nature Publishing Group","title":"High-voltage and dendrite-free zinc-iodine flow battery","type":"article-journal","volume":"15"},"uris":["http://www.mendeley.com/documents/?uuid=e08758d6-2a46-30da-9d0f-317b5cd2f621"]}],"mendeley":{"formattedCitation":"&lt;sup&gt;[48–50]&lt;/sup&gt;","plainTextFormattedCitation":"[48–50]","previouslyFormattedCitation":"&lt;sup&gt;[48,49]&lt;/sup&gt;"},"properties":{"noteIndex":0},"schema":"https://github.com/citation-style-language/schema/raw/master/csl-citation.json"}</w:instrText>
      </w:r>
      <w:r w:rsidR="000F0B1D" w:rsidRPr="003E0254">
        <w:fldChar w:fldCharType="separate"/>
      </w:r>
      <w:r w:rsidR="00500B8D" w:rsidRPr="003E0254">
        <w:rPr>
          <w:i w:val="0"/>
          <w:noProof/>
          <w:vertAlign w:val="superscript"/>
        </w:rPr>
        <w:t>[48–50]</w:t>
      </w:r>
      <w:r w:rsidR="000F0B1D" w:rsidRPr="003E0254">
        <w:fldChar w:fldCharType="end"/>
      </w:r>
      <w:r w:rsidR="000F0B1D" w:rsidRPr="003E0254">
        <w:t xml:space="preserve"> batteries.</w:t>
      </w:r>
    </w:p>
    <w:p w14:paraId="459E043A" w14:textId="0D8851AE" w:rsidR="00CF71DC" w:rsidRPr="003E0254" w:rsidRDefault="00CF71DC" w:rsidP="00CF71DC">
      <w:pPr>
        <w:spacing w:line="276" w:lineRule="auto"/>
        <w:jc w:val="both"/>
      </w:pPr>
      <w:r w:rsidRPr="003E0254">
        <w:t>Zinc batteries face several key challenges that impact their performance, reversibility, and longevity. The challenges related to the zinc electrode are common for all zinc-metal-based systems and are shown in Figure 4.</w:t>
      </w:r>
      <w:r w:rsidRPr="003E0254">
        <w:fldChar w:fldCharType="begin" w:fldLock="1"/>
      </w:r>
      <w:r w:rsidR="000F0B1D" w:rsidRPr="003E0254">
        <w:instrText>ADDIN CSL_CITATION {"citationItems":[{"id":"ITEM-1","itemData":{"DOI":"10.1039/D2CS00684G","ISSN":"1460-4744","PMID":"37565571","abstract":"Sustainable zinc–air batteries (ZABs) are considered promising energy storage devices owing to their inherent safety, high energy density, wide operating temperature window, environmental friendliness, etc., showing great prospect for future large-scale applications. Thus, tremendous efforts have been devoted to addressing the critical challenges associated with sustainable ZABs, aiming to significantly improve their energy efficiency and prolong their operation lifespan. The growing interest in sustainable ZABs requires in-depth research on oxygen electrocatalysts, electrolytes, and Zn anodes, which have not been systematically reviewed to date. In this review, the fundamentals of ZABs, oxygen electrocatalysts for air cathodes, physicochemical properties of ZAB electrolytes, and issues and strategies for the stabilization of Zn anodes are systematically summarized from the perspective of fundamental characteristics and design principles. Meanwhile, significant advances in the in situ/operando characterization of ZABs are highlighted to provide insights into the reaction mechanism and dynamic evolution of the electrolyte|electrode interface. Finally, several critical thoughts and perspectives are provided regarding the challenges and opportunities for sustainable ZABs. Therefore, this review provides a thorough understanding of the advanced sustainable ZAB chemistry, hoping that this timely and comprehensive review can shed light on the upcoming research horizons of this prosperous area.","author":[{"dropping-particle":"","family":"Wang","given":"Qichen","non-dropping-particle":"","parse-names":false,"suffix":""},{"dropping-particle":"","family":"Kaushik","given":"Shubham","non-dropping-particle":"","parse-names":false,"suffix":""},{"dropping-particle":"","family":"Xiao","given":"Xin","non-dropping-particle":"","parse-names":false,"suffix":""},{"dropping-particle":"","family":"Xu","given":"Qiang","non-dropping-particle":"","parse-names":false,"suffix":""}],"container-title":"Chemical Society Reviews","id":"ITEM-1","issue":"17","issued":{"date-parts":[["2023","8","29"]]},"page":"6139-6190","publisher":"The Royal Society of Chemistry","title":"Sustainable zinc–air battery chemistry: advances, challenges and prospects","type":"article-journal","volume":"52"},"uris":["http://www.mendeley.com/documents/?uuid=8b534511-48a4-3ef5-a779-e5a083d49bb6"]},{"id":"ITEM-2","itemData":{"DOI":"10.1002/INF2.12306","ISSN":"2567-3165","abstract":"Zinc-ion batteries (ZIBs) have been extensively investigated and discussed as promising energy storage devices in recent years owing to their low cost, high energy density, inherent safety, and low environmental impact. Nevertheless, several challenges remain that need to be prioritized before realizing the widespread application of ZIBs. In particular, the development of zinc anodes has been hindered by many challenges, such as inevitable zinc dendrites, corrosion passivation, and the hydrogen evolution reaction (HER), which have severely limited the practical application of high-performance ZIBs. This review starts with a systematic discussion of the origins of zinc dendrites, corrosion passivation, and the HER, as well as their effects on battery performance. Subsequently, we discuss solutions to the above problems to protect the zinc anode, including the improvement of zinc anode materials, modification of the anode–electrolyte interface, and optimization of the electrolyte. In particular, this review emphasizes design strategies to protect zinc anodes from an integrated perspective with broad interest rather than a view with limited focus. In the final section, comments and perspectives are provided for the future design of high-performance zinc anodes. (Figure presented.).","author":[{"dropping-particle":"","family":"Zhang","given":"Xin","non-dropping-particle":"","parse-names":false,"suffix":""},{"dropping-particle":"","family":"Hu","given":"Jun Ping","non-dropping-particle":"","parse-names":false,"suffix":""},{"dropping-particle":"","family":"Fu","given":"Na","non-dropping-particle":"","parse-names":false,"suffix":""},{"dropping-particle":"Bin","family":"Zhou","given":"Wei","non-dropping-particle":"","parse-names":false,"suffix":""},{"dropping-particle":"","family":"Liu","given":"Bin","non-dropping-particle":"","parse-names":false,"suffix":""},{"dropping-particle":"","family":"Deng","given":"Qi","non-dropping-particle":"","parse-names":false,"suffix":""},{"dropping-particle":"","family":"Wu","given":"Xiong Wei","non-dropping-particle":"","parse-names":false,"suffix":""}],"container-title":"InfoMat","id":"ITEM-2","issue":"7","issued":{"date-parts":[["2022","7","1"]]},"page":"e12306","publisher":"John Wiley &amp; Sons, Ltd","title":"Comprehensive review on zinc-ion battery anode: Challenges and strategies","type":"article-journal","volume":"4"},"uris":["http://www.mendeley.com/documents/?uuid=5f8cc98f-148d-3769-95b9-b244acec0843"]},{"id":"ITEM-3","itemData":{"DOI":"10.1088/1361-6463/ac4182","ISSN":"0022-3727","abstract":"Zinc-based redox flow batteries (ZRFBs) have been considered as ones of the most promising large-scale energy storage technologies owing to their low cost, high safety, and environmental friendliness. However, their commercial application is still hindered by a few key problems. First, the hydrogen evolution and zinc dendrite formation cause poor cycling life, of which needs to ameliorated or overcome by finding suitable anolytes. Second, the stability and energy density of catholytes are unsatisfactory due to oxidation, corrosion, and low electrolyte concentration. Meanwhile, highly catalytic electrode materials remain to be explored and the ion selectivity and cost efficiency of membrane materials demands further improvement. In this review, we summarize different types of ZRFBs according to their electrolyte environments including ZRFBs using neutral, acidic, and alkaline electrolytes, then highlight the advances of key materials including electrode and membrane materials for ZRFBs, and finally discuss the challenges and perspectives for the future development of high-performance ZRFBs.","author":[{"dropping-particle":"","family":"Wang","given":"Guixiang","non-dropping-particle":"","parse-names":false,"suffix":""},{"dropping-particle":"","family":"Zou","given":"Haitao","non-dropping-particle":"","parse-names":false,"suffix":""},{"dropping-particle":"","family":"Zhu","given":"Xiaobo","non-dropping-particle":"","parse-names":false,"suffix":""},{"dropping-particle":"","family":"Ding","given":"Mei","non-dropping-particle":"","parse-names":false,"suffix":""},{"dropping-particle":"","family":"Jia","given":"Chuankun","non-dropping-particle":"","parse-names":false,"suffix":""}],"container-title":"Journal of Physics D: Applied Physics","id":"ITEM-3","issue":"16","issued":{"date-parts":[["2022","4","21"]]},"page":"163001","publisher":"IOP Publishing","title":"Recent progress in zinc-based redox flow batteries: a review","type":"article-journal","volume":"55"},"uris":["http://www.mendeley.com/documents/?uuid=b2f01424-46c9-4454-af23-112002d8a32b"]}],"mendeley":{"formattedCitation":"&lt;sup&gt;[15,26,41]&lt;/sup&gt;","plainTextFormattedCitation":"[15,26,41]","previouslyFormattedCitation":"&lt;sup&gt;[15,26,41]&lt;/sup&gt;"},"properties":{"noteIndex":0},"schema":"https://github.com/citation-style-language/schema/raw/master/csl-citation.json"}</w:instrText>
      </w:r>
      <w:r w:rsidRPr="003E0254">
        <w:fldChar w:fldCharType="separate"/>
      </w:r>
      <w:r w:rsidR="000F0B1D" w:rsidRPr="003E0254">
        <w:rPr>
          <w:noProof/>
          <w:vertAlign w:val="superscript"/>
        </w:rPr>
        <w:t>[15,26,41]</w:t>
      </w:r>
      <w:r w:rsidRPr="003E0254">
        <w:fldChar w:fldCharType="end"/>
      </w:r>
      <w:r w:rsidRPr="003E0254">
        <w:t xml:space="preserve"> They include dendrite growth, shape change, the formation of a passivation layer, corrosion, hydrogen gas evolution in aqueous electrolytes, and a high dependency on environmental </w:t>
      </w:r>
      <w:r w:rsidRPr="003E0254">
        <w:lastRenderedPageBreak/>
        <w:t xml:space="preserve">conditions (e.g., dry, humid, cold, hot environments may lead to electrolyte issues unless auxiliary units to control the air access are employed). </w:t>
      </w:r>
    </w:p>
    <w:p w14:paraId="265C7FC2" w14:textId="77777777" w:rsidR="00CF71DC" w:rsidRPr="003E0254" w:rsidRDefault="00CF71DC">
      <w:pP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620F77" w:rsidRPr="003E0254" w14:paraId="30CD2DF2" w14:textId="77777777" w:rsidTr="00064C5A">
        <w:tc>
          <w:tcPr>
            <w:tcW w:w="9350" w:type="dxa"/>
          </w:tcPr>
          <w:p w14:paraId="4E44646B" w14:textId="6FEA3F11" w:rsidR="00620F77" w:rsidRPr="003E0254" w:rsidRDefault="00E57C5A" w:rsidP="00F453FC">
            <w:pPr>
              <w:keepNext/>
              <w:spacing w:line="276" w:lineRule="auto"/>
              <w:jc w:val="both"/>
            </w:pPr>
            <w:r w:rsidRPr="003E0254">
              <w:rPr>
                <w:noProof/>
              </w:rPr>
              <w:drawing>
                <wp:inline distT="0" distB="0" distL="0" distR="0" wp14:anchorId="629EE678" wp14:editId="30F1E1EF">
                  <wp:extent cx="5763469" cy="2274807"/>
                  <wp:effectExtent l="0" t="0" r="0" b="0"/>
                  <wp:docPr id="42037097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85980" cy="2283692"/>
                          </a:xfrm>
                          <a:prstGeom prst="rect">
                            <a:avLst/>
                          </a:prstGeom>
                          <a:noFill/>
                        </pic:spPr>
                      </pic:pic>
                    </a:graphicData>
                  </a:graphic>
                </wp:inline>
              </w:drawing>
            </w:r>
          </w:p>
        </w:tc>
      </w:tr>
    </w:tbl>
    <w:p w14:paraId="3C495525" w14:textId="18269505" w:rsidR="00620F77" w:rsidRPr="003E0254" w:rsidRDefault="00F453FC" w:rsidP="00E25337">
      <w:pPr>
        <w:pStyle w:val="Beschriftung"/>
        <w:jc w:val="both"/>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3</w:t>
      </w:r>
      <w:r w:rsidR="0054077B" w:rsidRPr="003E0254">
        <w:rPr>
          <w:noProof/>
        </w:rPr>
        <w:fldChar w:fldCharType="end"/>
      </w:r>
      <w:r w:rsidRPr="003E0254">
        <w:t xml:space="preserve">: </w:t>
      </w:r>
      <w:r w:rsidR="00E25337" w:rsidRPr="003E0254">
        <w:t>Schematic diagrams of (a) zinc-metal batteries featuring a confined cell structure and (b) zinc-air batteries characterized by an open-cell structure. It is important to note that in aqueous zinc-metal batteries, proton insertion can also occur, either alongside Zn</w:t>
      </w:r>
      <w:r w:rsidR="00E25337" w:rsidRPr="003E0254">
        <w:rPr>
          <w:vertAlign w:val="superscript"/>
        </w:rPr>
        <w:t>2+</w:t>
      </w:r>
      <w:r w:rsidR="00E25337" w:rsidRPr="003E0254">
        <w:t xml:space="preserve"> ions or independently, particularly at low pH levels.</w:t>
      </w:r>
    </w:p>
    <w:p w14:paraId="0B814EE1" w14:textId="3FBD64F4" w:rsidR="00C9329B" w:rsidRPr="003E0254" w:rsidRDefault="00CF26D4" w:rsidP="004D77F5">
      <w:pPr>
        <w:spacing w:line="276" w:lineRule="auto"/>
        <w:jc w:val="both"/>
      </w:pPr>
      <w:r w:rsidRPr="003E0254">
        <w:t>Several strategies can be employed to address these challenges</w:t>
      </w:r>
      <w:r w:rsidR="00A52CC9" w:rsidRPr="003E0254">
        <w:t xml:space="preserve">, including the use of electrode or electrolyte additives, </w:t>
      </w:r>
      <w:proofErr w:type="spellStart"/>
      <w:r w:rsidR="00A52CC9" w:rsidRPr="003E0254">
        <w:t>microstructuring</w:t>
      </w:r>
      <w:proofErr w:type="spellEnd"/>
      <w:r w:rsidR="00244A65" w:rsidRPr="003E0254">
        <w:t xml:space="preserve"> and design</w:t>
      </w:r>
      <w:r w:rsidR="00A52CC9" w:rsidRPr="003E0254">
        <w:t xml:space="preserve"> of the electrodes or materials, and engineering components from chemicals to cells, as well as optimizing operating parameters. </w:t>
      </w:r>
      <w:r w:rsidR="00C9329B" w:rsidRPr="003E0254">
        <w:t xml:space="preserve">To mitigate dendrite growth and shape change, a variety of strategies are being explored. </w:t>
      </w:r>
      <w:r w:rsidR="00F8055B" w:rsidRPr="003E0254">
        <w:t>In addition to modifications on microstructure design,</w:t>
      </w:r>
      <w:r w:rsidR="007137A4" w:rsidRPr="003E0254">
        <w:fldChar w:fldCharType="begin" w:fldLock="1"/>
      </w:r>
      <w:r w:rsidR="00500B8D" w:rsidRPr="003E0254">
        <w:instrText>ADDIN CSL_CITATION {"citationItems":[{"id":"ITEM-1","itemData":{"DOI":"10.1016/J.ENSM.2025.104109","ISSN":"2405-8297","abstract":"The depletion of fossil energy and the increasingly serious environmental deterioration have jointly promoted the research and development of new energy sources, and thus facilitated the emergence and utilization of new environmentally friendly renewable energy equipment. Zinc-air battery, as a typical representative of new green battery system, is considered as an efficient rechargeable energy device because of its special advantages such as high theoretical specific capacity, intrinsic safety and stable performance. However, zinc dendrites, corrosion, passivation, poor reversibility, the weak stability of electrolyte, slow redox reaction kinetics and other factors restrict the scale popularization of zinc-air batteries. Benefiting from their unique physical and chemical properties, nanomaterials have become a feasible alternative to make up for the shortcomings of zinc-air batteries. The research on the combination of nanomaterials and zinc-air battery have made substantial achievements in the fields of zinc electrode, electrolyte and air electrode bi-functional catalysts. In this paper, the current challenges of zinc-air batteries are taken as the starting point, combined with the typical advantages of nanomaterials, the research reports on optimizing the performance of zinc-air batteries through nanomaterials are reviewed in depth, highlighting the significant advantages of nanomaterials in improving the reversibility of zinc electrodes, enhancing electrolyte stability and improving the bi-functional catalytic activity of air electrodes. On this basis, it lays a foundation for the deep integration and further research of nanomaterials and zinc-air batteries, and puts forward the prospect for future development.","author":[{"dropping-particle":"","family":"Zhang","given":"Pengfei","non-dropping-particle":"","parse-names":false,"suffix":""},{"dropping-particle":"","family":"Wei","given":"Manhui","non-dropping-particle":"","parse-names":false,"suffix":""},{"dropping-particle":"","family":"Wang","given":"Keliang","non-dropping-particle":"","parse-names":false,"suffix":""},{"dropping-particle":"","family":"Wang","given":"Hengwei","non-dropping-particle":"","parse-names":false,"suffix":""},{"dropping-particle":"","family":"Zuo","given":"Yayu","non-dropping-particle":"","parse-names":false,"suffix":""},{"dropping-particle":"","family":"Zhang","given":"Meixia","non-dropping-particle":"","parse-names":false,"suffix":""}],"container-title":"Energy Storage Materials","id":"ITEM-1","issued":{"date-parts":[["2025","2","1"]]},"page":"104109","publisher":"Elsevier","title":"Performance optimization of zinc-air batteries via nanomaterials","type":"article-journal","volume":"75"},"uris":["http://www.mendeley.com/documents/?uuid=bc3f707e-bfc0-30a5-a69e-575dd01eda62"]},{"id":"ITEM-2","itemData":{"DOI":"10.1016/J.NANOEN.2023.108858","ISSN":"2211-2855","abstract":"Aqueous zinc-ion batteries have attracted extensive attention ascribing to affordability, intrinsic safety, and environmental benignity, which have revealed ideal alternative to lithium-ion batteries for large-scale energy storage systems. Nevertheless, the design of aqueous zinc-ion batteries is plagued by obstacles, such as dissolution of cathode materials, dendrites and side reactions of anode, and electrolyte consumption as compared to commercial lithium-ion batteries. In this regard, from the perspective of predominant issues encountered with aqueous zinc-ion batteries, this comprehensive review aims to systematically summarize the design principles and optimization strategies associated with the cathode, anode, electrolyte, and separator. Meanwhile, the impact of design strategies on electrochemistry, and the relationship between issues and strategies are revealed for guiding the rational design of advanced aqueous zinc-ion batteries. Eventually, a series of critical challenges, constructive solutions, and future trends toward cathode, anode, electrolyte and separator are dedicatedly proposed. We envisage that this review would endow researchers a readily accessible means to rapidly acquaint with optimization strategies and design principles for advanced aqueous zinc-ion batteries.","author":[{"dropping-particle":"","family":"Li","given":"Xiangye","non-dropping-particle":"","parse-names":false,"suffix":""},{"dropping-particle":"","family":"Wang","given":"Lu","non-dropping-particle":"","parse-names":false,"suffix":""},{"dropping-particle":"","family":"Fu","given":"Yihan","non-dropping-particle":"","parse-names":false,"suffix":""},{"dropping-particle":"","family":"Dang","given":"Hao","non-dropping-particle":"","parse-names":false,"suffix":""},{"dropping-particle":"","family":"Wang","given":"Dahui","non-dropping-particle":"","parse-names":false,"suffix":""},{"dropping-particle":"","family":"Ran","given":"Fen","non-dropping-particle":"","parse-names":false,"suffix":""}],"container-title":"Nano Energy","id":"ITEM-2","issued":{"date-parts":[["2023","11","1"]]},"page":"108858","publisher":"Elsevier","title":"Optimization strategies toward advanced aqueous zinc-ion batteries: From facing key issues to viable solutions","type":"article-journal","volume":"116"},"uris":["http://www.mendeley.com/documents/?uuid=7d8eee3f-1929-3363-8875-17da32e3cf6c"]},{"id":"ITEM-3","itemData":{"DOI":"10.1002/adma.201902025","ISSN":"1521-4095","PMID":"31475411","abstract":"Zinc-based flow batteries (ZFBs) are well suitable for stationary energy storage applications because of their high energy density and low-cost advantages. Nevertheless, their wide application is still confronted with challenges, which are mainly from advanced materials. Therefore, research on advanced materials for ZFBs in terms of electrodes, membranes, and electrolytes as well as their chemistries are of the utmost importance. Herein, the focus is on the scientific understandings of the fundamental design of these advanced materials and their chemistries in relation to the battery performance. The principles of using different materials in different ZFB technologies, the functions and structure of the materials, and further material improvements are discussed in detail. Finally, the challenges and prospects of ZFBs are summarized as well. This review provides valuable instruction on how to design and develop new materials as well as new chemistries for ZFBs.","author":[{"dropping-particle":"","family":"Yuan","given":"Zhizhang","non-dropping-particle":"","parse-names":false,"suffix":""},{"dropping-particle":"","family":"Yin","given":"Yanbin","non-dropping-particle":"","parse-names":false,"suffix":""},{"dropping-particle":"","family":"Xie","given":"Congxin","non-dropping-particle":"","parse-names":false,"suffix":""},{"dropping-particle":"","family":"Zhang","given":"Huamin","non-dropping-particle":"","parse-names":false,"suffix":""},{"dropping-particle":"","family":"Yao","given":"Yan","non-dropping-particle":"","parse-names":false,"suffix":""},{"dropping-particle":"","family":"Li","given":"Xianfeng","non-dropping-particle":"","parse-names":false,"suffix":""}],"container-title":"Advanced materials (Deerfield Beach, Fla.)","id":"ITEM-3","issue":"50","issued":{"date-parts":[["2019","12","1"]]},"page":"e1902025","publisher":"John Wiley &amp; Sons, Ltd","title":"Advanced Materials for Zinc-Based Flow Battery: Development and Challenge.","type":"article-journal","volume":"31"},"uris":["http://www.mendeley.com/documents/?uuid=73a06cb7-8410-3018-99ce-c50cdac303d8"]}],"mendeley":{"formattedCitation":"&lt;sup&gt;[14,51,52]&lt;/sup&gt;","plainTextFormattedCitation":"[14,51,52]","previouslyFormattedCitation":"&lt;sup&gt;[14,50,51]&lt;/sup&gt;"},"properties":{"noteIndex":0},"schema":"https://github.com/citation-style-language/schema/raw/master/csl-citation.json"}</w:instrText>
      </w:r>
      <w:r w:rsidR="007137A4" w:rsidRPr="003E0254">
        <w:fldChar w:fldCharType="separate"/>
      </w:r>
      <w:r w:rsidR="00500B8D" w:rsidRPr="003E0254">
        <w:rPr>
          <w:noProof/>
          <w:vertAlign w:val="superscript"/>
        </w:rPr>
        <w:t>[14,51,52]</w:t>
      </w:r>
      <w:r w:rsidR="007137A4" w:rsidRPr="003E0254">
        <w:fldChar w:fldCharType="end"/>
      </w:r>
      <w:r w:rsidR="00F8055B" w:rsidRPr="003E0254">
        <w:t xml:space="preserve"> including the substrate, o</w:t>
      </w:r>
      <w:r w:rsidR="00E720C8" w:rsidRPr="003E0254">
        <w:t>ne effective approach involves incorporating additives in the electrode and electrolyte to promote uniform deposition of Zn</w:t>
      </w:r>
      <w:r w:rsidR="00E720C8" w:rsidRPr="003E0254">
        <w:rPr>
          <w:vertAlign w:val="superscript"/>
        </w:rPr>
        <w:t>2+</w:t>
      </w:r>
      <w:r w:rsidR="00E720C8" w:rsidRPr="003E0254">
        <w:t xml:space="preserve"> ions.</w:t>
      </w:r>
      <w:r w:rsidR="00265735" w:rsidRPr="003E0254">
        <w:fldChar w:fldCharType="begin" w:fldLock="1"/>
      </w:r>
      <w:r w:rsidR="00500B8D" w:rsidRPr="003E0254">
        <w:instrText>ADDIN CSL_CITATION {"citationItems":[{"id":"ITEM-1","itemData":{"DOI":"10.1002/AENM.202304557","ISSN":"1614-6840","abstract":"Electrolytes play a crucial role in facilitating the ionic movement between cathode and anode, which is essential for the flow of electric current during the charging and discharging process of the rechargeable batteries. In particular, electrolyte additives are considered as effective and economical approaches into the advancements of the battery technologies in both the conventional non-aqueous and burgeoning aqueous electrolyte systems. Herein, a systematic and comprehensive review of the electrolyte additives is reported for the interfacial engineering of Li and Zn metal anodes in the non-aqueous and aqueous electrolytes, respectively. The types of electrolyte additives and their corresponding functionalities for the protection of these two metal anodes are discussed along with the electrochemical features of solid electrolyte interphase (SEI) derived from electrolyte additives. The recent progress on electrolyte additives for these two battery systems are also addressed from the perspectives of electrode, electrolyte, and the associated SEI. Finally, the outlook and perspective on the current issues and future directions in the field of electrolyte additive engineering are presented for next-generation battery technologies beyond the conventional Li-ion batteries.","author":[{"dropping-particle":"","family":"Wang","given":"Guanyao","non-dropping-particle":"","parse-names":false,"suffix":""},{"dropping-particle":"","family":"Zhang","given":"Qian Kui","non-dropping-particle":"","parse-names":false,"suffix":""},{"dropping-particle":"","family":"Zhang","given":"Xue Qiang","non-dropping-particle":"","parse-names":false,"suffix":""},{"dropping-particle":"","family":"Lu","given":"Jun","non-dropping-particle":"","parse-names":false,"suffix":""},{"dropping-particle":"","family":"Pei","given":"Chengang","non-dropping-particle":"","parse-names":false,"suffix":""},{"dropping-particle":"","family":"Min","given":"Donghyun","non-dropping-particle":"","parse-names":false,"suffix":""},{"dropping-particle":"","family":"Huang","given":"Jia Qi","non-dropping-particle":"","parse-names":false,"suffix":""},{"dropping-particle":"","family":"Park","given":"Ho Seok","non-dropping-particle":"","parse-names":false,"suffix":""}],"container-title":"Advanced Energy Materials","id":"ITEM-1","issue":"2","issued":{"date-parts":[["2025","1","1"]]},"page":"2304557","publisher":"John Wiley &amp; Sons, Ltd","title":"Electrolyte Additive for Interfacial Engineering of Lithium and Zinc Metal Anodes","type":"article-journal","volume":"15"},"uris":["http://www.mendeley.com/documents/?uuid=6fb10f7d-4732-3221-a937-174c3367a15f"]},{"id":"ITEM-2","itemData":{"DOI":"10.1016/J.JECHEM.2023.03.049","ISSN":"2095-4956","abstract":"Alkaline Zn-based primary batteries have been commercialized in the past decades. However, their success has not been extended to secondary batteries due to the poor cycle reversibility of Zn anodes. Although some research has been conducted on alkaline Zn anodes, their performance is still far from commercial requirements. A variety of degradation mechanisms, including passivation, dendrites, morphological changes, and hydrogen precipitation, are claimed responsible for the failure of alkaline Zn metal anodes. What's worse, these constraints always interact with each other, which leads to a single strategy being unable to suppress all the issues. Therefore, a comprehensive evaluation of the positive and negative effects of various strategies on performance is important to promote the commercialization of alkaline Zn batteries. Herein, the recent progress and performance of improvement strategies for Zn anode in alkaline conditions are reviewed systematically. First, the principles and challenges of alkaline Zn anodes are briefly analyzed. Then, various design strategies for alkaline Zn anodes from the perspectives of ion and electron regulation are highlighted. Last, through a comprehensive summary of various performance parameters, the advantages and disadvantages of different strategies are compared and evaluated. On the basis of this assessment, we aim to provide more insights into the anode design of high-performance alkaline rechargeable Zn batteries.","author":[{"dropping-particle":"","family":"Yang","given":"Di","non-dropping-particle":"","parse-names":false,"suffix":""},{"dropping-particle":"","family":"Li","given":"Jinsheng","non-dropping-particle":"","parse-names":false,"suffix":""},{"dropping-particle":"","family":"Liu","given":"Changpeng","non-dropping-particle":"","parse-names":false,"suffix":""},{"dropping-particle":"","family":"Xing","given":"Wei","non-dropping-particle":"","parse-names":false,"suffix":""},{"dropping-particle":"","family":"Zhu","given":"Jianbing","non-dropping-particle":"","parse-names":false,"suffix":""}],"container-title":"Journal of Energy Chemistry","id":"ITEM-2","issued":{"date-parts":[["2023","7","1"]]},"page":"122-138","publisher":"Elsevier","title":"Design strategy and comprehensive performance assessment towards Zn anode for alkaline rechargeable batteries","type":"article-journal","volume":"82"},"uris":["http://www.mendeley.com/documents/?uuid=37bfda30-b6fc-4f80-9c35-7b6290b190d2"]}],"mendeley":{"formattedCitation":"&lt;sup&gt;[53,54]&lt;/sup&gt;","plainTextFormattedCitation":"[53,54]","previouslyFormattedCitation":"&lt;sup&gt;[52,53]&lt;/sup&gt;"},"properties":{"noteIndex":0},"schema":"https://github.com/citation-style-language/schema/raw/master/csl-citation.json"}</w:instrText>
      </w:r>
      <w:r w:rsidR="00265735" w:rsidRPr="003E0254">
        <w:fldChar w:fldCharType="separate"/>
      </w:r>
      <w:r w:rsidR="00500B8D" w:rsidRPr="003E0254">
        <w:rPr>
          <w:noProof/>
          <w:vertAlign w:val="superscript"/>
        </w:rPr>
        <w:t>[53,54]</w:t>
      </w:r>
      <w:r w:rsidR="00265735" w:rsidRPr="003E0254">
        <w:fldChar w:fldCharType="end"/>
      </w:r>
      <w:r w:rsidR="00E720C8" w:rsidRPr="003E0254">
        <w:t xml:space="preserve"> Additionally, advanced separators or interfacial layers, such as polymer coatings, are being investigated to physically block the propagation of dendrites while still allowing for ion transport.</w:t>
      </w:r>
      <w:r w:rsidR="00265735" w:rsidRPr="003E0254">
        <w:fldChar w:fldCharType="begin" w:fldLock="1"/>
      </w:r>
      <w:r w:rsidR="00500B8D" w:rsidRPr="003E0254">
        <w:instrText>ADDIN CSL_CITATION {"citationItems":[{"id":"ITEM-1","itemData":{"DOI":"10.1016/J.SCIB.2024.01.011","ISSN":"2095-9273","abstract":"Aqueous zinc-ion batteries (AZIBs) are attracting worldwide attention due to their multiple merits such as extreme safety, low cost, feasible assembly, and environmentally friendly enabled by water-based electrolytes. At present, AZIBs have experienced systematic advances in battery components including cathode, anode, and electrolyte, whereas research involving separators is insufficient. The separator is the crucial component of AZIBs through providing ion transport, forming contact with electrodes, serving as a container for electrolyte, and ensuring the efficient battery operation. Considering this great yet ignored significance, it is timely to present the latest advances in design strategies, the systematic classification and summary of separators. We summarize the separator optimization strategies mainly along two approaches including the modification of the frequently used glass fiber and the exploitation of new separators. The advantages and disadvantages of the two strategies are analyzed from the material types and the characteristics of different strategies. The effects and mechanisms of various materials on regulating the uniform migration and deposition of Zn2+, balancing the excessively concentrated nucleation points, inhibiting the growth of dendrites, and the occurrence of side reactions were discussed using confinement, electric field regulation, ion interaction force, desolvation, etc. Finally, potential directions for further improvement and development of AZIBs separators are proposed, aiming at providing helpful guidance for this booming field.","author":[{"dropping-particle":"","family":"Li","given":"Bin","non-dropping-particle":"","parse-names":false,"suffix":""},{"dropping-particle":"","family":"Zeng","given":"You","non-dropping-particle":"","parse-names":false,"suffix":""},{"dropping-particle":"","family":"Zhang","given":"Weisong","non-dropping-particle":"","parse-names":false,"suffix":""},{"dropping-particle":"","family":"Lu","given":"Bingan","non-dropping-particle":"","parse-names":false,"suffix":""},{"dropping-particle":"","family":"Yang","given":"Qi","non-dropping-particle":"","parse-names":false,"suffix":""},{"dropping-particle":"","family":"Zhou","given":"Jiang","non-dropping-particle":"","parse-names":false,"suffix":""},{"dropping-particle":"","family":"He","given":"Zhangxing","non-dropping-particle":"","parse-names":false,"suffix":""}],"container-title":"Science Bulletin","id":"ITEM-1","issue":"5","issued":{"date-parts":[["2024","3","15"]]},"page":"688-703","publisher":"Elsevier","title":"Separator designs for aqueous zinc-ion batteries","type":"article-journal","volume":"69"},"uris":["http://www.mendeley.com/documents/?uuid=10682254-53a7-3d89-a49e-c715fcf45d53"]},{"id":"ITEM-2","itemData":{"DOI":"10.1007/S40820-021-00764-7","ISBN":"0123456789","ISSN":"2150-5551","abstract":"Due to their high safety and low cost, rechargeable aqueous Zn-ion batteries (RAZIBs) have been receiving increased attention and are expected to be the next generation of energy storage systems. However, metal Zn anodes exhibit a limited-service life and inferior reversibility owing to the issues of Zn dendrites and side reactions, which severely hinder the further development of RAZIBs. Researchers have attempted to design high-performance Zn anodes by interfacial engineering, including surface modification and the addition of electrolyte additives, to stabilize Zn anodes. The purpose is to achieve uniform Zn nucleation and flat Zn deposition by regulating the deposition behavior of Zn ions, which effectively improves the cycling stability of the Zn anode. This review comprehensively summarizes the reaction mechanisms of interfacial modification for inhibiting the growth of Zn dendrites and the occurrence of side reactions. In addition, the research progress of interfacial engineering strategies for RAZIBs is summarized and classified. Finally, prospects and suggestions are provided for the design of highly reversible Zn anodes.","author":[{"dropping-particle":"","family":"Li","given":"Bin","non-dropping-particle":"","parse-names":false,"suffix":""},{"dropping-particle":"","family":"Zhang","given":"Xiaotan","non-dropping-particle":"","parse-names":false,"suffix":""},{"dropping-particle":"","family":"Wang","given":"Tingting","non-dropping-particle":"","parse-names":false,"suffix":""},{"dropping-particle":"","family":"He","given":"Zhangxing","non-dropping-particle":"","parse-names":false,"suffix":""},{"dropping-particle":"","family":"Lu","given":"Bingan","non-dropping-particle":"","parse-names":false,"suffix":""},{"dropping-particle":"","family":"Liang","given":"Shuquan","non-dropping-particle":"","parse-names":false,"suffix":""},{"dropping-particle":"","family":"Zhou","given":"Jiang","non-dropping-particle":"","parse-names":false,"suffix":""}],"container-title":"Nano-Micro Letters 2021 14:1","id":"ITEM-2","issue":"1","issued":{"date-parts":[["2021","12","2"]]},"page":"1-31","publisher":"Springer","title":"Interfacial Engineering Strategy for High-Performance Zn Metal Anodes","type":"article-journal","volume":"14"},"uris":["http://www.mendeley.com/documents/?uuid=124181f8-7b7e-3794-8b90-f73a6dc88484"]}],"mendeley":{"formattedCitation":"&lt;sup&gt;[55,56]&lt;/sup&gt;","plainTextFormattedCitation":"[55,56]","previouslyFormattedCitation":"&lt;sup&gt;[54,55]&lt;/sup&gt;"},"properties":{"noteIndex":0},"schema":"https://github.com/citation-style-language/schema/raw/master/csl-citation.json"}</w:instrText>
      </w:r>
      <w:r w:rsidR="00265735" w:rsidRPr="003E0254">
        <w:fldChar w:fldCharType="separate"/>
      </w:r>
      <w:r w:rsidR="00500B8D" w:rsidRPr="003E0254">
        <w:rPr>
          <w:noProof/>
          <w:vertAlign w:val="superscript"/>
        </w:rPr>
        <w:t>[55,56]</w:t>
      </w:r>
      <w:r w:rsidR="00265735" w:rsidRPr="003E0254">
        <w:fldChar w:fldCharType="end"/>
      </w:r>
      <w:r w:rsidR="00E720C8" w:rsidRPr="003E0254">
        <w:t xml:space="preserve"> </w:t>
      </w:r>
      <w:r w:rsidR="00CB0B23" w:rsidRPr="003E0254">
        <w:t xml:space="preserve">Passivation and corrosion, often resulting from parasitic side reactions with the electrolyte, can be addressed through </w:t>
      </w:r>
      <w:r w:rsidR="00993C8D" w:rsidRPr="003E0254">
        <w:t xml:space="preserve">by </w:t>
      </w:r>
      <w:r w:rsidR="00CB0B23" w:rsidRPr="003E0254">
        <w:t xml:space="preserve">adding inhibitors </w:t>
      </w:r>
      <w:r w:rsidR="009C2FF3" w:rsidRPr="003E0254">
        <w:t>to</w:t>
      </w:r>
      <w:r w:rsidR="00CB0B23" w:rsidRPr="003E0254">
        <w:t xml:space="preserve"> stabilize the zinc surface.</w:t>
      </w:r>
      <w:r w:rsidR="00265735" w:rsidRPr="003E0254">
        <w:fldChar w:fldCharType="begin" w:fldLock="1"/>
      </w:r>
      <w:r w:rsidR="00500B8D" w:rsidRPr="003E0254">
        <w:instrText>ADDIN CSL_CITATION {"citationItems":[{"id":"ITEM-1","itemData":{"DOI":"10.1016/J.ENSM.2021.10.005","ISSN":"2405-8297","abstract":"Zn batteries receive substantial commendation, due to their inherent safety, environmental benignity and low toxicity. However, poor rechargeability of Zn anode have seriously hindered the applications of rechargeable Zn batteries. The challenges induced by thermodynamic instability of Zn in aqueous electrolytes include dendrites, passivation, corrosion (H2 evolution) and shape change. Since Zn anode is the critical aspect in determining the battery performance, cycle life, energy density and capacity retentions etc. The target of this review is to devote the prominent status to Zn metal anode by firstly explicating the previously studied Zn electrochemistry in different electrolyte systems like aqueous (acidic, alkaline, mildly acidic and neutral), non-aqueous (organic, ionic liquids) electrolytes, and then suggesting some ideas to amend Zn anode reversibility and stability. Because of higher thermodynamic Zn stability in organic electrolytes and recent promisingly improved performance of Zn metal anode, we mark organic electrolytes, particularly with intrinsic safe organic solvents as a promising research direction for high-performance zinc ion batteries (ZIBs).","author":[{"dropping-particle":"","family":"Naveed","given":"Ahmad","non-dropping-particle":"","parse-names":false,"suffix":""},{"dropping-particle":"","family":"Rasheed","given":"Tahir","non-dropping-particle":"","parse-names":false,"suffix":""},{"dropping-particle":"","family":"Raza","given":"Bareera","non-dropping-particle":"","parse-names":false,"suffix":""},{"dropping-particle":"","family":"Chen","given":"Jiahang","non-dropping-particle":"","parse-names":false,"suffix":""},{"dropping-particle":"","family":"Yang","given":"Jun","non-dropping-particle":"","parse-names":false,"suffix":""},{"dropping-particle":"","family":"Yanna","given":"Nuli","non-dropping-particle":"","parse-names":false,"suffix":""},{"dropping-particle":"","family":"Wang","given":"Jiulin","non-dropping-particle":"","parse-names":false,"suffix":""}],"container-title":"Energy Storage Materials","id":"ITEM-1","issued":{"date-parts":[["2022","1","1"]]},"page":"206-230","publisher":"Elsevier","title":"Addressing thermodynamic Instability of Zn anode: classical and recent advancements","type":"article-journal","volume":"44"},"uris":["http://www.mendeley.com/documents/?uuid=3d2d78d7-d058-383a-84b8-033f22f966bb"]},{"id":"ITEM-2","itemData":{"DOI":"10.1016/J.ENSM.2021.10.020","ISSN":"2405-8297","abstract":"Rechargeable aqueous zinc (Zn) batteries have captured extensive attentions as auspicious next generation energy storage devices due to the merits of low cost, high capacity, inherent safety, and abundant resources. However, the humble poor durability and low coulombic efficiency of Zn anodes seriously hinder their wide applications. Zn batteries can be classified into two classifications: alkaline and neutral Zn batteries, according to the nature of electrolyte. Due to the different electrochemical behaviors of Zn anodes in the alkaline and neutral electrolytes, the fundamental comprehensions of Zn anodes in both electrolytes remain dubious. In this review, the fundamental reactions of Zn anodes in alkaline and neutral electrolytes were elucidated in detail. Specifically, the primary reasons (including surface passivation, dendritic growth, hydrogen evolution, and shape change in the Zn stripping/plating procedure) which lead to the pitiable durability and low coulombic efficiency of Zn anodes in both electrolytes were profoundly illuminated, respectively. Moreover, the most recent progresses about the Zn anodes protective strategies to settle the above critical problems were systematically recapitulated and clarified, including the surface modification, structural and constitution design, electrolyte modification and other protective strategies. Finally, the challenges and opportunities in high-performance Zn anodes are further expected. This review will shed light on the exploit of advanced Zn anodes for high-performance Zn batteries in both alkaline and neutral electrolytes.","author":[{"dropping-particle":"","family":"Li","given":"Chaowei","non-dropping-particle":"","parse-names":false,"suffix":""},{"dropping-particle":"","family":"Wang","given":"Litong","non-dropping-particle":"","parse-names":false,"suffix":""},{"dropping-particle":"","family":"Zhang","given":"Jingchao","non-dropping-particle":"","parse-names":false,"suffix":""},{"dropping-particle":"","family":"Zhang","given":"Daojun","non-dropping-particle":"","parse-names":false,"suffix":""},{"dropping-particle":"","family":"Du","given":"Jimin","non-dropping-particle":"","parse-names":false,"suffix":""},{"dropping-particle":"","family":"Yao","given":"Yagang","non-dropping-particle":"","parse-names":false,"suffix":""},{"dropping-particle":"","family":"Hong","given":"Guo","non-dropping-particle":"","parse-names":false,"suffix":""}],"container-title":"Energy Storage Materials","id":"ITEM-2","issued":{"date-parts":[["2022","1","1"]]},"page":"104-135","publisher":"Elsevier","title":"Roadmap on the protective strategies of zinc anodes in aqueous electrolyte","type":"article-journal","volume":"44"},"uris":["http://www.mendeley.com/documents/?uuid=65b6cc5c-0d50-3cb3-90cc-6537ce153106"]}],"mendeley":{"formattedCitation":"&lt;sup&gt;[57,58]&lt;/sup&gt;","plainTextFormattedCitation":"[57,58]","previouslyFormattedCitation":"&lt;sup&gt;[56,57]&lt;/sup&gt;"},"properties":{"noteIndex":0},"schema":"https://github.com/citation-style-language/schema/raw/master/csl-citation.json"}</w:instrText>
      </w:r>
      <w:r w:rsidR="00265735" w:rsidRPr="003E0254">
        <w:fldChar w:fldCharType="separate"/>
      </w:r>
      <w:r w:rsidR="00500B8D" w:rsidRPr="003E0254">
        <w:rPr>
          <w:noProof/>
          <w:vertAlign w:val="superscript"/>
        </w:rPr>
        <w:t>[57,58]</w:t>
      </w:r>
      <w:r w:rsidR="00265735" w:rsidRPr="003E0254">
        <w:fldChar w:fldCharType="end"/>
      </w:r>
      <w:r w:rsidR="00CB0B23" w:rsidRPr="003E0254">
        <w:t xml:space="preserve"> Hydrogen evolution, a major issue in aqueous systems, can be </w:t>
      </w:r>
      <w:r w:rsidR="000A1500" w:rsidRPr="003E0254">
        <w:t>tackled</w:t>
      </w:r>
      <w:r w:rsidR="00CB0B23" w:rsidRPr="003E0254">
        <w:t xml:space="preserve"> through electrolyte engineering</w:t>
      </w:r>
      <w:r w:rsidR="00C4202C" w:rsidRPr="003E0254">
        <w:t>. This include</w:t>
      </w:r>
      <w:r w:rsidR="00004784" w:rsidRPr="003E0254">
        <w:t>s not only the use of a</w:t>
      </w:r>
      <w:r w:rsidR="000A1500" w:rsidRPr="003E0254">
        <w:t>dditives</w:t>
      </w:r>
      <w:r w:rsidR="00004784" w:rsidRPr="003E0254">
        <w:t xml:space="preserve"> but also</w:t>
      </w:r>
      <w:r w:rsidR="000A1500" w:rsidRPr="003E0254">
        <w:t xml:space="preserve"> </w:t>
      </w:r>
      <w:r w:rsidR="00004784" w:rsidRPr="003E0254">
        <w:t xml:space="preserve">modifying the electrolyte content </w:t>
      </w:r>
      <w:r w:rsidR="00993C8D" w:rsidRPr="003E0254">
        <w:t>to</w:t>
      </w:r>
      <w:r w:rsidR="00CB0B23" w:rsidRPr="003E0254">
        <w:t xml:space="preserve"> reduce water activity and lower the overpotential for Zn plating/stripping.</w:t>
      </w:r>
      <w:r w:rsidR="00265735" w:rsidRPr="003E0254">
        <w:fldChar w:fldCharType="begin" w:fldLock="1"/>
      </w:r>
      <w:r w:rsidR="00500B8D" w:rsidRPr="003E0254">
        <w:instrText>ADDIN CSL_CITATION {"citationItems":[{"id":"ITEM-1","itemData":{"DOI":"10.1016/J.ENSM.2024.103364","ISSN":"2405-8297","abstract":"Aqueous Zn-ion batteries (ZIBs) have garnered significant interest as an important solution for large-scale energy storage due to their enhanced safety and affordability. Nevertheless, dendrites formation and side reactions faced by Zn anodes have hindered their commercial development. Electrolyte additives, among various methods to stabilize Zn anodes, have emerged as the most commercially viable technique due to their low dosage and potent effects, offering substantial economic benefits. While massive literature reviews have explored strategies for comprehensive Zn anode stabilization, there remains a lack of systematic investigation into electrolyte additives. This review commences by addressing the challenges and root causes faced by Zn anodes, providing essential context for understanding the significance of electrolyte additives. It then proceeds to offer an overview of characterization techniques applied in the analysis of electrolyte additives mechanism. Subsequently, the review provides a comprehensive examination of the various types of electrolyte additives and their respective mechanisms. Lastly, the review outlines potential future developments and challenges in this field, with the hope that it will facilitate in-depth and tangible research to promote commercialization.","author":[{"dropping-particle":"","family":"Ren","given":"Huaizheng","non-dropping-particle":"","parse-names":false,"suffix":""},{"dropping-particle":"","family":"Li","given":"Sai","non-dropping-particle":"","parse-names":false,"suffix":""},{"dropping-particle":"","family":"Wang","given":"Bo","non-dropping-particle":"","parse-names":false,"suffix":""},{"dropping-particle":"","family":"Gong","given":"Yuxin","non-dropping-particle":"","parse-names":false,"suffix":""},{"dropping-particle":"","family":"Zhang","given":"Han","non-dropping-particle":"","parse-names":false,"suffix":""},{"dropping-particle":"","family":"Wang","given":"Jianxin","non-dropping-particle":"","parse-names":false,"suffix":""},{"dropping-particle":"","family":"Lv","given":"Qiang","non-dropping-particle":"","parse-names":false,"suffix":""},{"dropping-particle":"","family":"Wang","given":"Dianlong","non-dropping-particle":"","parse-names":false,"suffix":""},{"dropping-particle":"","family":"Liu","given":"Huakun","non-dropping-particle":"","parse-names":false,"suffix":""},{"dropping-particle":"","family":"Dou","given":"Shixue","non-dropping-particle":"","parse-names":false,"suffix":""}],"container-title":"Energy Storage Materials","id":"ITEM-1","issued":{"date-parts":[["2024","4","1"]]},"page":"103364","publisher":"Elsevier","title":"Mapping the design of electrolyte additive for stabilizing zinc anode in aqueous zinc ion batteries","type":"article-journal","volume":"68"},"uris":["http://www.mendeley.com/documents/?uuid=0309ac3a-0e31-3088-a45e-462d6f56c2a9"]},{"id":"ITEM-2","itemData":{"DOI":"10.1016/J.EST.2017.12.004","ISSN":"2352-152X","abstract":"The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Storage","id":"ITEM-2","issued":{"date-parts":[["2018","2","1"]]},"page":"304-328","publisher":"Elsevier","title":"An overview of progress in electrolytes for secondary zinc-air batteries and other storage systems based on zinc","type":"article-journal","volume":"15"},"uris":["http://www.mendeley.com/documents/?uuid=1c32803a-05b4-4918-a283-2a75934802d4"]},{"id":"ITEM-3","itemData":{"DOI":"10.1002/ADFM.202304878","ISSN":"1616-3028","abstract":"In response to the need of sustainable development, there is an increasing demand for electrical energy storage, leading to a stimulated pursuit of advanced batteries. Aqueous zinc ion batteries (AZIBs) have attracted much attention due to their low cost, high safety, and environmental friendliness. Despite the great efforts made by researchers in designing and developing high-performance AZIBs, several challenges remain. Particularly for Zn anode, the growth of zinc dendrites and occurance of various side reactions significantly hinder the advancement of AZIBs. This review article aims to discuss the principles of AZIBs, the electrolyte's structure and properties, the challenges faced by AZIBs anodesm and the strategies to improve battery performance through electrolyte modification in a systematic manner. In conclusion, potential future directions aimed at enhancing the stability of zinc anodes and cathodes by electrolyte modification strategies are proposed to ensure that research efforts are geared toward achieving realistic performance targets for commercializing AZIBs.","author":[{"dropping-particle":"","family":"Liang","given":"Yuxuan","non-dropping-particle":"","parse-names":false,"suffix":""},{"dropping-particle":"","family":"Qiu","given":"Meijia","non-dropping-particle":"","parse-names":false,"suffix":""},{"dropping-particle":"","family":"Sun","given":"Peng","non-dropping-particle":"","parse-names":false,"suffix":""},{"dropping-particle":"","family":"Mai","given":"Wenjie","non-dropping-particle":"","parse-names":false,"suffix":""}],"container-title":"Advanced Functional Materials","id":"ITEM-3","issue":"51","issued":{"date-parts":[["2023","12","1"]]},"page":"2304878","publisher":"John Wiley &amp; Sons, Ltd","title":"Comprehensive Review of Electrolyte Modification Strategies for Stabilizing Zn Metal Anodes","type":"article-journal","volume":"33"},"uris":["http://www.mendeley.com/documents/?uuid=d15c388d-bd7b-3c89-b85f-f5a742ed74c4"]}],"mendeley":{"formattedCitation":"&lt;sup&gt;[35,59,60]&lt;/sup&gt;","plainTextFormattedCitation":"[35,59,60]","previouslyFormattedCitation":"&lt;sup&gt;[35,58,59]&lt;/sup&gt;"},"properties":{"noteIndex":0},"schema":"https://github.com/citation-style-language/schema/raw/master/csl-citation.json"}</w:instrText>
      </w:r>
      <w:r w:rsidR="00265735" w:rsidRPr="003E0254">
        <w:fldChar w:fldCharType="separate"/>
      </w:r>
      <w:r w:rsidR="00500B8D" w:rsidRPr="003E0254">
        <w:rPr>
          <w:noProof/>
          <w:vertAlign w:val="superscript"/>
        </w:rPr>
        <w:t>[35,59,60]</w:t>
      </w:r>
      <w:r w:rsidR="00265735" w:rsidRPr="003E0254">
        <w:fldChar w:fldCharType="end"/>
      </w:r>
      <w:r w:rsidR="00121AF0" w:rsidRPr="003E0254">
        <w:t xml:space="preserve">Additionally, optimizing operating conditions </w:t>
      </w:r>
      <w:r w:rsidR="00A95F89" w:rsidRPr="003E0254">
        <w:t xml:space="preserve">can also </w:t>
      </w:r>
      <w:r w:rsidRPr="003E0254">
        <w:t>contribute to these improvements as well</w:t>
      </w:r>
      <w:r w:rsidR="00A95F89" w:rsidRPr="003E0254">
        <w:t>.</w:t>
      </w:r>
      <w:r w:rsidR="00A95F89" w:rsidRPr="003E0254">
        <w:fldChar w:fldCharType="begin" w:fldLock="1"/>
      </w:r>
      <w:r w:rsidR="00500B8D" w:rsidRPr="003E0254">
        <w:instrText>ADDIN CSL_CITATION {"citationItems":[{"id":"ITEM-1","itemData":{"DOI":"10.1038/s41467-022-31461-7","ISSN":"2041-1723","PMID":"35760974","abstract":"Aqueous zinc metal batteries are a viable candidate for cost-effective energy storage. However, the cycle life of the cell is adversely affected by the morphological evolution of the metal electrode surface upon prolonged cycling. Here, we investigate different electrochemical protocols to favour the formation of stable zinc metal electrode surface morphologies. By coupling electrochemical and optical microscopy measurements, we demonstrate that an initial zinc deposition on the metal electrode allows homogeneous stripping and plating processes during prolonged cycling in symmetric Zn||Zn cell. Interestingly, when an initially plated zinc metal electrode is tested in combination with a manganese dioxide-based positive electrode and a two molar zinc sulfate aqueous electrolyte solution in coin cell configuration, a specific discharge capacity of about 90 mAh g−1 can be delivered after 2000 cycles at around 5.6</w:instrText>
      </w:r>
      <w:r w:rsidR="00500B8D" w:rsidRPr="003E0254">
        <w:rPr>
          <w:rFonts w:ascii="Arial" w:hAnsi="Arial" w:cs="Arial"/>
        </w:rPr>
        <w:instrText> </w:instrText>
      </w:r>
      <w:r w:rsidR="00500B8D" w:rsidRPr="003E0254">
        <w:instrText>mA</w:instrText>
      </w:r>
      <w:r w:rsidR="00500B8D" w:rsidRPr="003E0254">
        <w:rPr>
          <w:rFonts w:ascii="Arial" w:hAnsi="Arial" w:cs="Arial"/>
        </w:rPr>
        <w:instrText> </w:instrText>
      </w:r>
      <w:r w:rsidR="00500B8D" w:rsidRPr="003E0254">
        <w:instrText>cm</w:instrText>
      </w:r>
      <w:r w:rsidR="00500B8D" w:rsidRPr="003E0254">
        <w:rPr>
          <w:rFonts w:ascii="Aptos" w:hAnsi="Aptos" w:cs="Aptos"/>
        </w:rPr>
        <w:instrText>−</w:instrText>
      </w:r>
      <w:r w:rsidR="00500B8D" w:rsidRPr="003E0254">
        <w:instrText>2 and 25</w:instrText>
      </w:r>
      <w:r w:rsidR="00500B8D" w:rsidRPr="003E0254">
        <w:rPr>
          <w:rFonts w:ascii="Arial" w:hAnsi="Arial" w:cs="Arial"/>
        </w:rPr>
        <w:instrText> </w:instrText>
      </w:r>
      <w:r w:rsidR="00500B8D" w:rsidRPr="003E0254">
        <w:rPr>
          <w:rFonts w:ascii="Aptos" w:hAnsi="Aptos" w:cs="Aptos"/>
        </w:rPr>
        <w:instrText>°</w:instrText>
      </w:r>
      <w:r w:rsidR="00500B8D" w:rsidRPr="003E0254">
        <w:instrText>C. Long-lasting zinc metal electrodes are crucial in developing commercial zinc-based batteries. Here, the authors investigate the different morphology evolution between the stripping and plating process and propose electrochemical protocols to prolong the lifespan of zinc anodes.","author":[{"dropping-particle":"","family":"Li","given":"Qing","non-dropping-particle":"","parse-names":false,"suffix":""},{"dropping-particle":"","family":"Chen","given":"Ao","non-dropping-particle":"","parse-names":false,"suffix":""},{"dropping-particle":"","family":"Wang","given":"Donghong","non-dropping-particle":"","parse-names":false,"suffix":""},{"dropping-particle":"","family":"Zhao","given":"Yuwei","non-dropping-particle":"","parse-names":false,"suffix":""},{"dropping-particle":"","family":"Wang","given":"Xiaoqi","non-dropping-particle":"","parse-names":false,"suffix":""},{"dropping-particle":"","family":"Jin","given":"Xu","non-dropping-particle":"","parse-names":false,"suffix":""},{"dropping-particle":"","family":"Xiong","given":"Bo","non-dropping-particle":"","parse-names":false,"suffix":""},{"dropping-particle":"","family":"Zhi","given":"Chunyi","non-dropping-particle":"","parse-names":false,"suffix":""}],"container-title":"Nature Communications 2022 13:1","id":"ITEM-1","issue":"1","issued":{"date-parts":[["2022","6","27"]]},"page":"1-9","publisher":"Nature Publishing Group","title":"Tailoring the metal electrode morphology via electrochemical protocol optimization for long-lasting aqueous zinc batteries","type":"article-journal","volume":"13"},"uris":["http://www.mendeley.com/documents/?uuid=3c201e44-fa1a-30af-b8a9-d955903c9d8e"]},{"id":"ITEM-2","itemData":{"DOI":"10.1016/J.ESCI.2024.100331","ISSN":"2667-1417","abstract":"The invention of aqueous Zn batteries (AZBs) traces back to the eighteenth century. Recently, however, AZBs have been undergoing a renaissance due to the urgent need for renewable energy storage devices that are intrinsically safe, inexpensive, and environmentally benign. The escalating demand for high-energy, fast-charging AZBs, particularly in grid-scale energy storage systems, necessitates a profound exploration of the fundamental aspects of electrode chemistries. In particular, a comprehensive understanding from the viewpoints of thermodynamics and kinetics is crucial, with the aim of advancing the development of next-generation AZBs that have high power and energy densities. However, clarification about the fundamental issues in AZB chemistry has yet to be achieved. This review offers a thorough exploration of the thermodynamics and dynamic mechanisms at the anode and cathode, with the aim of helping researchers achieve high-performance AZBs. The inherent challenges and corresponding strategies related to electrode thermodynamic and dynamic optimization are summarized, followed by insights into future directions for developing high-energy, fast-charging AZBs. We conclude by considering the future prospects for AZBs and offering recommendations for making further advancements in discovering new redox chemistries, optimizing electrode architectures, and achieving integrated battery designs, all of which are considered essential and time-sensitive for making high-energy, fast-charging, and durable AZBs a reality.","author":[{"dropping-particle":"","family":"Zhao","given":"Yajun","non-dropping-particle":"","parse-names":false,"suffix":""},{"dropping-particle":"","family":"Wang","given":"Yueyang","non-dropping-particle":"","parse-names":false,"suffix":""},{"dropping-particle":"","family":"Li","given":"Jinze","non-dropping-particle":"","parse-names":false,"suffix":""},{"dropping-particle":"","family":"Xiong","given":"Jiawei","non-dropping-particle":"","parse-names":false,"suffix":""},{"dropping-particle":"","family":"Li","given":"Qi","non-dropping-particle":"","parse-names":false,"suffix":""},{"dropping-particle":"","family":"Abdalla","given":"Kovan Khasraw","non-dropping-particle":"","parse-names":false,"suffix":""},{"dropping-particle":"","family":"Zhao","given":"Yi","non-dropping-particle":"","parse-names":false,"suffix":""},{"dropping-particle":"","family":"Cai","given":"Zhao","non-dropping-particle":"","parse-names":false,"suffix":""},{"dropping-particle":"","family":"Sun","given":"Xiaoming","non-dropping-particle":"","parse-names":false,"suffix":""}],"container-title":"eScience","id":"ITEM-2","issued":{"date-parts":[["2024","11","5"]]},"page":"100331","publisher":"Elsevier","title":"Thermodynamic and kinetic insights for manipulating aqueous Zn battery chemistry: Towards future grid-scale renewable energy storage systems","type":"article-journal"},"uris":["http://www.mendeley.com/documents/?uuid=d972f466-fc04-3c5a-9a85-37d7386da8c4"]}],"mendeley":{"formattedCitation":"&lt;sup&gt;[61,62]&lt;/sup&gt;","plainTextFormattedCitation":"[61,62]","previouslyFormattedCitation":"&lt;sup&gt;[60,61]&lt;/sup&gt;"},"properties":{"noteIndex":0},"schema":"https://github.com/citation-style-language/schema/raw/master/csl-citation.json"}</w:instrText>
      </w:r>
      <w:r w:rsidR="00A95F89" w:rsidRPr="003E0254">
        <w:fldChar w:fldCharType="separate"/>
      </w:r>
      <w:r w:rsidR="00500B8D" w:rsidRPr="003E0254">
        <w:rPr>
          <w:noProof/>
          <w:vertAlign w:val="superscript"/>
        </w:rPr>
        <w:t>[61,62]</w:t>
      </w:r>
      <w:r w:rsidR="00A95F89" w:rsidRPr="003E0254">
        <w:fldChar w:fldCharType="end"/>
      </w:r>
    </w:p>
    <w:p w14:paraId="51746C0A" w14:textId="2219E41F" w:rsidR="00802DB2" w:rsidRPr="003E0254" w:rsidRDefault="00811E75" w:rsidP="00811E75">
      <w:pPr>
        <w:spacing w:line="276" w:lineRule="auto"/>
        <w:jc w:val="both"/>
      </w:pPr>
      <w:r w:rsidRPr="003E0254">
        <w:t xml:space="preserve">The performance and technical maturity of zinc-based batteries are influenced not only by challenges related to the zinc metal anode but also by limitations </w:t>
      </w:r>
      <w:r w:rsidR="00993C8D" w:rsidRPr="003E0254">
        <w:t>of</w:t>
      </w:r>
      <w:r w:rsidRPr="003E0254">
        <w:t xml:space="preserve"> the electrolyte and cathode components. While many of these challenges are specific to particular systems and are not discussed in detail here, a few general </w:t>
      </w:r>
      <w:r w:rsidR="00706442" w:rsidRPr="003E0254">
        <w:t>ones</w:t>
      </w:r>
      <w:r w:rsidRPr="003E0254">
        <w:t xml:space="preserve"> can be highlighted. On the cathode side, common challenges include slow reaction kinetics, poor </w:t>
      </w:r>
      <w:r w:rsidR="00706442" w:rsidRPr="003E0254">
        <w:t>chemical stability,</w:t>
      </w:r>
      <w:r w:rsidRPr="003E0254">
        <w:t xml:space="preserve"> </w:t>
      </w:r>
      <w:r w:rsidR="00706442" w:rsidRPr="003E0254">
        <w:t>unwanted side reactions and leaching of materials</w:t>
      </w:r>
      <w:r w:rsidRPr="003E0254">
        <w:t xml:space="preserve"> over time.</w:t>
      </w:r>
      <w:r w:rsidR="00EA08A8" w:rsidRPr="003E0254">
        <w:fldChar w:fldCharType="begin" w:fldLock="1"/>
      </w:r>
      <w:r w:rsidR="00500B8D" w:rsidRPr="003E0254">
        <w:instrText>ADDIN CSL_CITATION {"citationItems":[{"id":"ITEM-1","itemData":{"DOI":"10.1002/ANIE.202200598","ISSN":"1521-3773","PMID":"35104009","abstract":"In recent years, the increasing demand for high-capacity and safe energy storage has focused attention on zinc batteries featuring high voltage, high capacity, or both. Despite extensive research progress, achieving high-energy-density zinc batteries remains challenging and requires the synergistic regulation of multiple factors including reaction mechanisms, electrodes, and electrolytes. In this Review, we comprehensively summarize the rational design strategies of high-energy-density zinc batteries and critically analyze the positive effects and potential issues of these strategies in optimizing the electrochemistry, cathode materials, electrolytes, and device architecture. Finally, the challenges and perspectives for the further development of high-energy-density zinc batteries are outlined to guide research towards new-generation batteries for household appliances, low-speed electric vehicles, and large-scale energy storage systems.","author":[{"dropping-particle":"","family":"Ruan","given":"Pengchao","non-dropping-particle":"","parse-names":false,"suffix":""},{"dropping-particle":"","family":"Liang","given":"Shuquan","non-dropping-particle":"","parse-names":false,"suffix":""},{"dropping-particle":"","family":"Lu","given":"Bingan","non-dropping-particle":"","parse-names":false,"suffix":""},{"dropping-particle":"","family":"Fan","given":"Hong Jin","non-dropping-particle":"","parse-names":false,"suffix":""},{"dropping-particle":"","family":"Zhou","given":"Jiang","non-dropping-particle":"","parse-names":false,"suffix":""}],"container-title":"Angewandte Chemie International Edition","id":"ITEM-1","issue":"17","issued":{"date-parts":[["2022","4","19"]]},"page":"e202200598","publisher":"John Wiley &amp; Sons, Ltd","title":"Design Strategies for High-Energy-Density Aqueous Zinc Batteries","type":"article-journal","volume":"61"},"uris":["http://www.mendeley.com/documents/?uuid=22279574-d433-3546-90eb-f25a84c506d0"]},{"id":"ITEM-2","itemData":{"DOI":"10.1007/S40820-024-01366-9","ISBN":"0123456789","ISSN":"2150-5551","abstract":"Zinc–air batteries (ZABs) are promising energy storage systems because of high theoretical energy density, safety, low cost, and abundance of zinc. However, the slow multi-step reaction of oxygen and heavy reliance on noble-metal catalysts hinder the practical applications of ZABs. Therefore, feasible and advanced non-noble-metal electrocatalysts for air cathodes need to be identified to promote the oxygen catalytic reaction. In this review, we initially introduced the advancement of ZABs in the past two decades and provided an overview of key developments in this field. Then, we discussed the working mechanism and the design of bifunctional electrocatalysts from the perspective of morphology design, crystal structure tuning, interface strategy, and atomic engineering. We also included theoretical studies, machine learning, and advanced characterization technologies to provide a comprehensive understanding of the structure-performance relationship of electrocatalysts and the reaction pathways of the oxygen redox reactions. Finally, we discussed the challenges and prospects related to designing advanced non-noble-metal bifunctional electrocatalysts for ZABs.","author":[{"dropping-particle":"","family":"Gao","given":"Yunnan","non-dropping-particle":"","parse-names":false,"suffix":""},{"dropping-particle":"","family":"Liu","given":"Ling","non-dropping-particle":"","parse-names":false,"suffix":""},{"dropping-particle":"","family":"Jiang","given":"Yi","non-dropping-particle":"","parse-names":false,"suffix":""},{"dropping-particle":"","family":"Yu","given":"Dexin","non-dropping-particle":"","parse-names":false,"suffix":""},{"dropping-particle":"","family":"Zheng","given":"Xiaomei","non-dropping-particle":"","parse-names":false,"suffix":""},{"dropping-particle":"","family":"Wang","given":"Jiayi","non-dropping-particle":"","parse-names":false,"suffix":""},{"dropping-particle":"","family":"Liu","given":"Jingwei","non-dropping-particle":"","parse-names":false,"suffix":""},{"dropping-particle":"","family":"Luo","given":"Dan","non-dropping-particle":"","parse-names":false,"suffix":""},{"dropping-particle":"","family":"Zhang","given":"Yongguang","non-dropping-particle":"","parse-names":false,"suffix":""},{"dropping-particle":"","family":"Shi","given":"Zhenjia","non-dropping-particle":"","parse-names":false,"suffix":""},{"dropping-particle":"","family":"Wang","given":"Xin","non-dropping-particle":"","parse-names":false,"suffix":""},{"dropping-particle":"","family":"Deng","given":"Ya Ping","non-dropping-particle":"","parse-names":false,"suffix":""},{"dropping-particle":"","family":"Chen","given":"Zhongwei","non-dropping-particle":"","parse-names":false,"suffix":""}],"container-title":"Nano-Micro Letters 2024 16:1","id":"ITEM-2","issue":"1","issued":{"date-parts":[["2024","3","26"]]},"page":"1-36","publisher":"Springer","title":"Design Principles and Mechanistic Understandings of Non-Noble-Metal Bifunctional Electrocatalysts for Zinc–Air Batteries","type":"article-journal","volume":"16"},"uris":["http://www.mendeley.com/documents/?uuid=9abec01c-aa2c-3b5a-979c-9e8c82c54d8a"]},{"id":"ITEM-3","itemData":{"DOI":"10.34133/2022/9850712","ISSN":"26927640","abstract":"Bromine-based flow batteries (Br-FBs) have been one of the most promising energy storage technologies with attracting advantages of low price, wide potential window, and long cycle life, such as zi...","author":[{"dropping-particle":"","family":"Tang","given":"Luyin","non-dropping-particle":"","parse-names":false,"suffix":""},{"dropping-particle":"","family":"Lu","given":"Wenjing","non-dropping-particle":"","parse-names":false,"suffix":""},{"dropping-particle":"","family":"Zhang","given":"Huamin","non-dropping-particle":"","parse-names":false,"suffix":""},{"dropping-particle":"","family":"Li","given":"Xianfeng","non-dropping-particle":"","parse-names":false,"suffix":""}],"container-title":"Energy Material Advances","id":"ITEM-3","issued":{"date-parts":[["2022"]]},"publisher":"AAAS","title":"Progress and Perspective of the Cathode Materials towards Bromine-Based Flow Batteries","type":"article-journal","volume":"2022"},"uris":["http://www.mendeley.com/documents/?uuid=17f8ff9a-5029-3053-85ba-3f56ba5a378c"]}],"mendeley":{"formattedCitation":"&lt;sup&gt;[63–65]&lt;/sup&gt;","plainTextFormattedCitation":"[63–65]","previouslyFormattedCitation":"&lt;sup&gt;[62–64]&lt;/sup&gt;"},"properties":{"noteIndex":0},"schema":"https://github.com/citation-style-language/schema/raw/master/csl-citation.json"}</w:instrText>
      </w:r>
      <w:r w:rsidR="00EA08A8" w:rsidRPr="003E0254">
        <w:fldChar w:fldCharType="separate"/>
      </w:r>
      <w:r w:rsidR="00500B8D" w:rsidRPr="003E0254">
        <w:rPr>
          <w:noProof/>
          <w:vertAlign w:val="superscript"/>
        </w:rPr>
        <w:t>[63–65]</w:t>
      </w:r>
      <w:r w:rsidR="00EA08A8" w:rsidRPr="003E0254">
        <w:fldChar w:fldCharType="end"/>
      </w:r>
      <w:r w:rsidRPr="003E0254">
        <w:t xml:space="preserve"> Similarly, electrolytes face issues such as limited electrochemical stability windows, </w:t>
      </w:r>
      <w:r w:rsidR="00706442" w:rsidRPr="003E0254">
        <w:t xml:space="preserve">changes in species concentrations over time, side reactions, </w:t>
      </w:r>
      <w:r w:rsidRPr="003E0254">
        <w:t>sensitivity to environmental conditions, low ionic conductivity</w:t>
      </w:r>
      <w:r w:rsidR="00706442" w:rsidRPr="003E0254">
        <w:t xml:space="preserve">, and </w:t>
      </w:r>
      <w:proofErr w:type="spellStart"/>
      <w:r w:rsidR="00706442" w:rsidRPr="003E0254">
        <w:t>desolvation</w:t>
      </w:r>
      <w:proofErr w:type="spellEnd"/>
      <w:r w:rsidR="00706442" w:rsidRPr="003E0254">
        <w:t xml:space="preserve"> penalties</w:t>
      </w:r>
      <w:r w:rsidR="001E6123" w:rsidRPr="003E0254">
        <w:t xml:space="preserve"> </w:t>
      </w:r>
      <w:bookmarkStart w:id="2" w:name="_Hlk202255575"/>
      <w:r w:rsidR="001E6123" w:rsidRPr="003E0254">
        <w:t>at the interface to the electrodes</w:t>
      </w:r>
      <w:bookmarkEnd w:id="2"/>
      <w:r w:rsidRPr="003E0254">
        <w:t>.</w:t>
      </w:r>
      <w:r w:rsidR="00971512" w:rsidRPr="003E0254">
        <w:fldChar w:fldCharType="begin" w:fldLock="1"/>
      </w:r>
      <w:r w:rsidR="00500B8D" w:rsidRPr="003E0254">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Batteries","type":"article-journal","volume":"4"},"uris":["http://www.mendeley.com/documents/?uuid=5f0548df-ddf3-346b-a854-26cff83040de"]},{"id":"ITEM-2","itemData":{"DOI":"10.1002/ADMA.202006461","ISSN":"1521-4095","PMID":"34050684","abstract":"Electrically rechargeable zinc–air batteries (ERZABs) have attracted substantial research interest as one of the best candidate power sources for electric vehicles, grid-scale energy storage, and portable electronics owing to their high theoretical capacity, low cost, and environmental benignity. However, the realization of ERZABs with long cycle life and high energy and power densities is still a considerable challenge. The electrolyte, which serves as the ionic conductor, is one of the core components of ERZABs, as it plays a significant role during the discharge–charge process and greatly influences the rechargeability, operating voltage, lifespan, power density, and safety of ERZABs. Herein, the fundamental electrochemistry of electrolyte materials for ERZABs and the associated challenges are presented. Furthermore, recent advances in electrolyte materials for ERZABs, including alkaline aqueous electrolytes, nonalkaline electrolytes, ionic liquids, and semisolid-state electrolytes are discussed. This work aims to provide insights into the future exploration of high-performance electrolytes and thus promote the development of ERZABs.","author":[{"dropping-particle":"","family":"Liu","given":"Xiaorui","non-dropping-particle":"","parse-names":false,"suffix":""},{"dropping-particle":"","family":"Fan","given":"Xiayue","non-dropping-particle":"","parse-names":false,"suffix":""},{"dropping-particle":"","family":"Liu","given":"Bin","non-dropping-particle":"","parse-names":false,"suffix":""},{"dropping-particle":"","family":"Ding","given":"Jia","non-dropping-particle":"","parse-names":false,"suffix":""},{"dropping-particle":"","family":"Deng","given":"Yida","non-dropping-particle":"","parse-names":false,"suffix":""},{"dropping-particle":"","family":"Han","given":"Xiaopeng","non-dropping-particle":"","parse-names":false,"suffix":""},{"dropping-particle":"","family":"Zhong","given":"Cheng","non-dropping-particle":"","parse-names":false,"suffix":""},{"dropping-particle":"","family":"Hu Liu","given":"Wenbin X","non-dropping-particle":"","parse-names":false,"suffix":""},{"dropping-particle":"","family":"Fan","given":"X","non-dropping-particle":"","parse-names":false,"suffix":""},{"dropping-particle":"","family":"Liu","given":"B","non-dropping-particle":"","parse-names":false,"suffix":""},{"dropping-particle":"","family":"Ding","given":"J","non-dropping-particle":"","parse-names":false,"suffix":""},{"dropping-particle":"","family":"Zhong","given":"C","non-dropping-particle":"","parse-names":false,"suffix":""},{"dropping-particle":"","family":"Hu","given":"W","non-dropping-particle":"","parse-names":false,"suffix":""},{"dropping-particle":"","family":"Deng","given":"Y","non-dropping-particle":"","parse-names":false,"suffix":""},{"dropping-particle":"","family":"Han","given":"X","non-dropping-particle":"","parse-names":false,"suffix":""}],"container-title":"Advanced Materials","id":"ITEM-2","issue":"31","issued":{"date-parts":[["2021","8","1"]]},"page":"2006461","publisher":"John Wiley &amp; Sons, Ltd","title":"Mapping the Design of Electrolyte Materials for Electrically Rechargeable Zinc–Air Batteries","type":"article-journal","volume":"33"},"uris":["http://www.mendeley.com/documents/?uuid=719bcec5-1205-3a36-b741-5be6f21e2ae5"]},{"id":"ITEM-3","itemData":{"DOI":"10.1002/adma.201902025","ISSN":"1521-4095","PMID":"31475411","abstract":"Zinc-based flow batteries (ZFBs) are well suitable for stationary energy storage applications because of their high energy density and low-cost advantages. Nevertheless, their wide application is still confronted with challenges, which are mainly from advanced materials. Therefore, research on advanced materials for ZFBs in terms of electrodes, membranes, and electrolytes as well as their chemistries are of the utmost importance. Herein, the focus is on the scientific understandings of the fundamental design of these advanced materials and their chemistries in relation to the battery performance. The principles of using different materials in different ZFB technologies, the functions and structure of the materials, and further material improvements are discussed in detail. Finally, the challenges and prospects of ZFBs are summarized as well. This review provides valuable instruction on how to design and develop new materials as well as new chemistries for ZFBs.","author":[{"dropping-particle":"","family":"Yuan","given":"Zhizhang","non-dropping-particle":"","parse-names":false,"suffix":""},{"dropping-particle":"","family":"Yin","given":"Yanbin","non-dropping-particle":"","parse-names":false,"suffix":""},{"dropping-particle":"","family":"Xie","given":"Congxin","non-dropping-particle":"","parse-names":false,"suffix":""},{"dropping-particle":"","family":"Zhang","given":"Huamin","non-dropping-particle":"","parse-names":false,"suffix":""},{"dropping-particle":"","family":"Yao","given":"Yan","non-dropping-particle":"","parse-names":false,"suffix":""},{"dropping-particle":"","family":"Li","given":"Xianfeng","non-dropping-particle":"","parse-names":false,"suffix":""}],"container-title":"Advanced materials (Deerfield Beach, Fla.)","id":"ITEM-3","issue":"50","issued":{"date-parts":[["2019","12","1"]]},"page":"e1902025","publisher":"John Wiley &amp; Sons, Ltd","title":"Advanced Materials for Zinc-Based Flow Battery: Development and Challenge.","type":"article-journal","volume":"31"},"uris":["http://www.mendeley.com/documents/?uuid=73a06cb7-8410-3018-99ce-c50cdac303d8"]}],"mendeley":{"formattedCitation":"&lt;sup&gt;[14,43,66]&lt;/sup&gt;","plainTextFormattedCitation":"[14,43,66]","previouslyFormattedCitation":"&lt;sup&gt;[14,43,65]&lt;/sup&gt;"},"properties":{"noteIndex":0},"schema":"https://github.com/citation-style-language/schema/raw/master/csl-citation.json"}</w:instrText>
      </w:r>
      <w:r w:rsidR="00971512" w:rsidRPr="003E0254">
        <w:fldChar w:fldCharType="separate"/>
      </w:r>
      <w:r w:rsidR="00500B8D" w:rsidRPr="003E0254">
        <w:rPr>
          <w:noProof/>
          <w:vertAlign w:val="superscript"/>
        </w:rPr>
        <w:t>[14,43,66]</w:t>
      </w:r>
      <w:r w:rsidR="00971512" w:rsidRPr="003E0254">
        <w:fldChar w:fldCharType="end"/>
      </w:r>
      <w:r w:rsidRPr="003E0254">
        <w:t xml:space="preserve"> These challenges can greatly impact</w:t>
      </w:r>
      <w:r w:rsidR="00993C8D" w:rsidRPr="003E0254">
        <w:t xml:space="preserve"> </w:t>
      </w:r>
      <w:r w:rsidR="00993C8D" w:rsidRPr="003E0254">
        <w:lastRenderedPageBreak/>
        <w:t>the</w:t>
      </w:r>
      <w:r w:rsidRPr="003E0254">
        <w:t xml:space="preserve"> overall battery performance.</w:t>
      </w:r>
      <w:r w:rsidR="0090415E" w:rsidRPr="003E0254">
        <w:t xml:space="preserve"> </w:t>
      </w:r>
      <w:r w:rsidR="00AE6D27" w:rsidRPr="003E0254">
        <w:t>Potential solutions for many of these challenges can be found in the approaches mentioned above and also shown in Figure 4.</w:t>
      </w:r>
    </w:p>
    <w:p w14:paraId="7583385E" w14:textId="232EBD35" w:rsidR="00AC7057" w:rsidRPr="003E0254" w:rsidRDefault="004D77F5" w:rsidP="004D77F5">
      <w:pPr>
        <w:spacing w:line="276" w:lineRule="auto"/>
        <w:jc w:val="both"/>
      </w:pPr>
      <w:r w:rsidRPr="003E0254">
        <w:t xml:space="preserve">The following sections summarize the current state of research on three prominent types of zinc batteries: </w:t>
      </w:r>
      <w:r w:rsidR="00A439A1" w:rsidRPr="003E0254">
        <w:t>zinc-metal</w:t>
      </w:r>
      <w:r w:rsidRPr="003E0254">
        <w:t xml:space="preserve">, zinc-air, and zinc flow cell batteries. We delve into the essential components of each battery technology—namely the anode, cathode, and electrolyte—providing an overview of the latest advancements in research. Our findings </w:t>
      </w:r>
      <w:r w:rsidR="00230949" w:rsidRPr="003E0254">
        <w:t>are</w:t>
      </w:r>
      <w:r w:rsidRPr="003E0254">
        <w:t xml:space="preserve"> summarized in a table or matrix format for clarity. Additionally, at the conclusion of each section, we offer insights into future research directions and potential developments in the field.</w:t>
      </w:r>
    </w:p>
    <w:p w14:paraId="56BCB91B" w14:textId="0559E8D6" w:rsidR="004D77F5" w:rsidRPr="003E0254" w:rsidRDefault="004D77F5" w:rsidP="004D77F5">
      <w:pP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95C50" w:rsidRPr="003E0254" w14:paraId="78354D82" w14:textId="77777777" w:rsidTr="00064C5A">
        <w:tc>
          <w:tcPr>
            <w:tcW w:w="9350" w:type="dxa"/>
          </w:tcPr>
          <w:p w14:paraId="1DC3B64C" w14:textId="761E6C83" w:rsidR="00595C50" w:rsidRPr="003E0254" w:rsidRDefault="008F4275" w:rsidP="00595C50">
            <w:pPr>
              <w:keepNext/>
            </w:pPr>
            <w:r w:rsidRPr="003E0254">
              <w:rPr>
                <w:noProof/>
              </w:rPr>
              <w:drawing>
                <wp:inline distT="0" distB="0" distL="0" distR="0" wp14:anchorId="0835C48C" wp14:editId="63DF80C2">
                  <wp:extent cx="5812396" cy="3171546"/>
                  <wp:effectExtent l="0" t="0" r="0" b="0"/>
                  <wp:docPr id="10115802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80248"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12396" cy="3171546"/>
                          </a:xfrm>
                          <a:prstGeom prst="rect">
                            <a:avLst/>
                          </a:prstGeom>
                        </pic:spPr>
                      </pic:pic>
                    </a:graphicData>
                  </a:graphic>
                </wp:inline>
              </w:drawing>
            </w:r>
          </w:p>
        </w:tc>
      </w:tr>
    </w:tbl>
    <w:p w14:paraId="30413447" w14:textId="5BB5548A" w:rsidR="00B53C39" w:rsidRPr="003E0254" w:rsidRDefault="00595C50" w:rsidP="00595C50">
      <w:pPr>
        <w:pStyle w:val="Beschriftung"/>
      </w:pPr>
      <w:bookmarkStart w:id="3" w:name="_Hlk202278927"/>
      <w:r w:rsidRPr="003E0254">
        <w:t xml:space="preserve">Figure </w:t>
      </w:r>
      <w:fldSimple w:instr=" SEQ Figure \* ARABIC ">
        <w:r w:rsidR="00481F8C" w:rsidRPr="003E0254">
          <w:rPr>
            <w:noProof/>
          </w:rPr>
          <w:t>4</w:t>
        </w:r>
      </w:fldSimple>
      <w:r w:rsidRPr="003E0254">
        <w:t xml:space="preserve">: </w:t>
      </w:r>
      <w:r w:rsidR="002E3BC7" w:rsidRPr="003E0254">
        <w:t>Major c</w:t>
      </w:r>
      <w:r w:rsidRPr="003E0254">
        <w:t>hallenges</w:t>
      </w:r>
      <w:r w:rsidR="00D75525" w:rsidRPr="003E0254">
        <w:t xml:space="preserve"> of the zinc-based battery components </w:t>
      </w:r>
      <w:r w:rsidR="00D55E61" w:rsidRPr="003E0254">
        <w:t xml:space="preserve">are displayed on the left side while </w:t>
      </w:r>
      <w:r w:rsidR="00D75525" w:rsidRPr="003E0254">
        <w:t>potential</w:t>
      </w:r>
      <w:r w:rsidR="004B1088" w:rsidRPr="003E0254">
        <w:t xml:space="preserve"> solutions</w:t>
      </w:r>
      <w:r w:rsidR="00D75525" w:rsidRPr="003E0254">
        <w:t xml:space="preserve"> </w:t>
      </w:r>
      <w:r w:rsidR="00D55E61" w:rsidRPr="003E0254">
        <w:t xml:space="preserve">are represented </w:t>
      </w:r>
      <w:r w:rsidR="00D75525" w:rsidRPr="003E0254">
        <w:t>as gears on the right side</w:t>
      </w:r>
      <w:r w:rsidR="004B1088" w:rsidRPr="003E0254">
        <w:t>.</w:t>
      </w:r>
    </w:p>
    <w:bookmarkEnd w:id="3"/>
    <w:p w14:paraId="3D1A0BD7" w14:textId="6151D511" w:rsidR="00B53C39" w:rsidRPr="003E0254" w:rsidRDefault="00B53C39">
      <w:pPr>
        <w:rPr>
          <w:b/>
          <w:bCs/>
          <w:u w:val="single"/>
        </w:rPr>
      </w:pPr>
    </w:p>
    <w:p w14:paraId="5CC90640" w14:textId="04B2F081" w:rsidR="00C60055" w:rsidRPr="003E0254" w:rsidRDefault="00C60055" w:rsidP="00C60055">
      <w:pPr>
        <w:pStyle w:val="berschrift3"/>
        <w:spacing w:line="276" w:lineRule="auto"/>
        <w:rPr>
          <w:b/>
          <w:bCs/>
        </w:rPr>
      </w:pPr>
      <w:r w:rsidRPr="003E0254">
        <w:rPr>
          <w:b/>
          <w:bCs/>
        </w:rPr>
        <w:t>2.</w:t>
      </w:r>
      <w:r w:rsidR="003E4F58" w:rsidRPr="003E0254">
        <w:rPr>
          <w:b/>
          <w:bCs/>
        </w:rPr>
        <w:t>3</w:t>
      </w:r>
      <w:r w:rsidRPr="003E0254">
        <w:rPr>
          <w:b/>
          <w:bCs/>
        </w:rPr>
        <w:t xml:space="preserve"> </w:t>
      </w:r>
      <w:r w:rsidR="00A439A1" w:rsidRPr="003E0254">
        <w:rPr>
          <w:b/>
          <w:bCs/>
        </w:rPr>
        <w:t>Zinc-</w:t>
      </w:r>
      <w:r w:rsidR="00902AA3" w:rsidRPr="003E0254">
        <w:rPr>
          <w:b/>
          <w:bCs/>
        </w:rPr>
        <w:t>M</w:t>
      </w:r>
      <w:r w:rsidR="00A439A1" w:rsidRPr="003E0254">
        <w:rPr>
          <w:b/>
          <w:bCs/>
        </w:rPr>
        <w:t>etal</w:t>
      </w:r>
      <w:r w:rsidRPr="003E0254">
        <w:rPr>
          <w:b/>
          <w:bCs/>
        </w:rPr>
        <w:t xml:space="preserve"> </w:t>
      </w:r>
      <w:r w:rsidR="00902AA3" w:rsidRPr="003E0254">
        <w:rPr>
          <w:b/>
          <w:bCs/>
        </w:rPr>
        <w:t>B</w:t>
      </w:r>
      <w:r w:rsidRPr="003E0254">
        <w:rPr>
          <w:b/>
          <w:bCs/>
        </w:rPr>
        <w:t>atteries</w:t>
      </w:r>
    </w:p>
    <w:p w14:paraId="16DCF6F0" w14:textId="65708F86" w:rsidR="00BC083A" w:rsidRPr="003E0254" w:rsidRDefault="00C60055" w:rsidP="00BC083A">
      <w:pPr>
        <w:jc w:val="both"/>
      </w:pPr>
      <w:r w:rsidRPr="003E0254">
        <w:t xml:space="preserve">Rechargeable </w:t>
      </w:r>
      <w:r w:rsidR="00A439A1" w:rsidRPr="003E0254">
        <w:t>zinc-metal</w:t>
      </w:r>
      <w:r w:rsidRPr="003E0254">
        <w:t xml:space="preserve"> batteries (Z</w:t>
      </w:r>
      <w:r w:rsidR="00EF1735" w:rsidRPr="003E0254">
        <w:t>M</w:t>
      </w:r>
      <w:r w:rsidRPr="003E0254">
        <w:t xml:space="preserve">Bs) are a class of secondary batteries utilizing a </w:t>
      </w:r>
      <w:r w:rsidR="00A439A1" w:rsidRPr="003E0254">
        <w:t>zinc-metal</w:t>
      </w:r>
      <w:r w:rsidRPr="003E0254">
        <w:t xml:space="preserve"> anode, aqueous or sometimes organic electrolytes, and </w:t>
      </w:r>
      <w:r w:rsidR="009755F7" w:rsidRPr="003E0254">
        <w:t xml:space="preserve">mostly </w:t>
      </w:r>
      <w:r w:rsidRPr="003E0254">
        <w:t>binary transition metal oxides, such as vanadium or manganese compounds, as cathodes</w:t>
      </w:r>
      <w:r w:rsidR="00B32B13" w:rsidRPr="003E0254">
        <w:t xml:space="preserve"> (the zinc-air battery as a special case of the zinc-metal battery will be discussed in chapter 2.</w:t>
      </w:r>
      <w:r w:rsidR="00562BF7" w:rsidRPr="003E0254">
        <w:t>4</w:t>
      </w:r>
      <w:r w:rsidR="00B32B13" w:rsidRPr="003E0254">
        <w:t xml:space="preserve">). Rechargeable batteries based on manganese oxide at the cathode side and Zn metal at the anode side with an alkaline electrolyte (so-called RAM batteries) have already been patented by Edison in 1901, but were commercialized in the 1970s. However, they are now increasingly being replaced by nickel-zinc batteries, which have a slightly higher cell voltage (1.6 vs. 1.5 V). This type of battery is also cheaper and has a longer service life than the silver-zinc battery, which has also been in commercial production since the 1960s and offers the advantage of very high capacity combined with low volume and weight. </w:t>
      </w:r>
      <w:r w:rsidRPr="003E0254">
        <w:t xml:space="preserve">The concept of re-chargeable </w:t>
      </w:r>
      <w:r w:rsidR="00A439A1" w:rsidRPr="003E0254">
        <w:t>zinc-metal</w:t>
      </w:r>
      <w:r w:rsidRPr="003E0254">
        <w:t xml:space="preserve"> batteries</w:t>
      </w:r>
      <w:r w:rsidR="00B32B13" w:rsidRPr="003E0254">
        <w:t xml:space="preserve"> with slightly acidic electrolytes</w:t>
      </w:r>
      <w:r w:rsidRPr="003E0254">
        <w:t xml:space="preserve"> was </w:t>
      </w:r>
      <w:r w:rsidRPr="003E0254">
        <w:lastRenderedPageBreak/>
        <w:t>first introduced by Kang and co-workers</w:t>
      </w:r>
      <w:r w:rsidR="00BC083A" w:rsidRPr="003E0254">
        <w:t xml:space="preserve"> </w:t>
      </w:r>
      <w:r w:rsidRPr="003E0254">
        <w:rPr>
          <w:vertAlign w:val="superscript"/>
        </w:rPr>
        <w:fldChar w:fldCharType="begin" w:fldLock="1"/>
      </w:r>
      <w:r w:rsidR="000F0B1D" w:rsidRPr="003E0254">
        <w:rPr>
          <w:vertAlign w:val="superscript"/>
        </w:rPr>
        <w:instrText>ADDIN CSL_CITATION {"citationItems":[{"id":"ITEM-1","itemData":{"DOI":"10.1002/ANIE.201106307","ISSN":"1521-3773","PMID":"22170816","abstract":"Think zinc: An ideal aqueous energy storage device, referred to as a zinc ion battery, is presented. The device is characterized by high capacity, fast charge/discharge capability, safety, and environmental friendliness. It is composed of an α-MnO 2 cathode, a zinc anode, and a mild ZnSO 4 or Zn(NO 3) 2 aqueous electrolyte (see scheme). The battery chemistry is based on the migration of Zn 2+ ions between cathode and anode. Copyright © 2012 WILEY-VCH Verlag GmbH &amp; Co. KGaA, Weinheim.","author":[{"dropping-particle":"","family":"Xu","given":"Chengjun","non-dropping-particle":"","parse-names":false,"suffix":""},{"dropping-particle":"","family":"Li","given":"Baohua","non-dropping-particle":"","parse-names":false,"suffix":""},{"dropping-particle":"","family":"Du","given":"Hongda","non-dropping-particle":"","parse-names":false,"suffix":""},{"dropping-particle":"","family":"Kang","given":"Feiyu","non-dropping-particle":"","parse-names":false,"suffix":""}],"container-title":"Angewandte Chemie International Edition","id":"ITEM-1","issue":"4","issued":{"date-parts":[["2012","1","23"]]},"page":"933-935","publisher":"John Wiley &amp; Sons, Ltd","title":"Energetic Zinc Ion Chemistry: The Rechargeable Zinc Ion Battery","type":"article-journal","volume":"51"},"uris":["http://www.mendeley.com/documents/?uuid=1ceb1d34-46fa-30b7-9195-51964de553ed"]}],"mendeley":{"formattedCitation":"&lt;sup&gt;[42]&lt;/sup&gt;","plainTextFormattedCitation":"[42]","previouslyFormattedCitation":"&lt;sup&gt;[42]&lt;/sup&gt;"},"properties":{"noteIndex":0},"schema":"https://github.com/citation-style-language/schema/raw/master/csl-citation.json"}</w:instrText>
      </w:r>
      <w:r w:rsidRPr="003E0254">
        <w:rPr>
          <w:vertAlign w:val="superscript"/>
        </w:rPr>
        <w:fldChar w:fldCharType="separate"/>
      </w:r>
      <w:r w:rsidR="000F0B1D" w:rsidRPr="003E0254">
        <w:rPr>
          <w:noProof/>
          <w:vertAlign w:val="superscript"/>
        </w:rPr>
        <w:t>[42]</w:t>
      </w:r>
      <w:r w:rsidRPr="003E0254">
        <w:rPr>
          <w:vertAlign w:val="superscript"/>
        </w:rPr>
        <w:fldChar w:fldCharType="end"/>
      </w:r>
      <w:r w:rsidRPr="003E0254">
        <w:t xml:space="preserve"> in 2011 with a α-MnO</w:t>
      </w:r>
      <w:r w:rsidRPr="003E0254">
        <w:rPr>
          <w:vertAlign w:val="subscript"/>
        </w:rPr>
        <w:t>2</w:t>
      </w:r>
      <w:r w:rsidRPr="003E0254">
        <w:t xml:space="preserve"> </w:t>
      </w:r>
      <w:bookmarkStart w:id="4" w:name="_Hlk198641686"/>
      <w:r w:rsidRPr="003E0254">
        <w:t>|</w:t>
      </w:r>
      <w:bookmarkEnd w:id="4"/>
      <w:r w:rsidRPr="003E0254">
        <w:t xml:space="preserve"> 1M ZnSO</w:t>
      </w:r>
      <w:r w:rsidRPr="003E0254">
        <w:rPr>
          <w:vertAlign w:val="subscript"/>
        </w:rPr>
        <w:t>4</w:t>
      </w:r>
      <w:r w:rsidRPr="003E0254">
        <w:t xml:space="preserve"> or Zn(NO</w:t>
      </w:r>
      <w:r w:rsidRPr="003E0254">
        <w:rPr>
          <w:vertAlign w:val="subscript"/>
        </w:rPr>
        <w:t>3</w:t>
      </w:r>
      <w:r w:rsidRPr="003E0254">
        <w:t>)</w:t>
      </w:r>
      <w:r w:rsidRPr="003E0254">
        <w:rPr>
          <w:vertAlign w:val="subscript"/>
        </w:rPr>
        <w:t>2</w:t>
      </w:r>
      <w:r w:rsidRPr="003E0254">
        <w:t xml:space="preserve"> in water| Zn cell setup</w:t>
      </w:r>
      <w:r w:rsidR="00BC083A" w:rsidRPr="003E0254">
        <w:t xml:space="preserve">. </w:t>
      </w:r>
    </w:p>
    <w:p w14:paraId="2701AC47" w14:textId="52E42692" w:rsidR="00C60055" w:rsidRPr="003E0254" w:rsidRDefault="00BC083A" w:rsidP="00BC083A">
      <w:pPr>
        <w:jc w:val="both"/>
      </w:pPr>
      <w:r w:rsidRPr="003E0254">
        <w:t>All these cells have in common that d</w:t>
      </w:r>
      <w:r w:rsidR="00C60055" w:rsidRPr="003E0254">
        <w:t>uring operation, Zn²</w:t>
      </w:r>
      <w:r w:rsidR="004B35A4" w:rsidRPr="003E0254">
        <w:rPr>
          <w:rFonts w:cs="Cambria Math"/>
          <w:vertAlign w:val="superscript"/>
        </w:rPr>
        <w:t>+</w:t>
      </w:r>
      <w:r w:rsidR="00C60055" w:rsidRPr="003E0254">
        <w:t xml:space="preserve"> ions are reversibly shuttled between the electrodes: metallic Zn is oxidized at the anode during discharge, releasing Zn²</w:t>
      </w:r>
      <w:r w:rsidR="004B35A4" w:rsidRPr="003E0254">
        <w:rPr>
          <w:rFonts w:cs="Cambria Math"/>
          <w:vertAlign w:val="superscript"/>
        </w:rPr>
        <w:t>+</w:t>
      </w:r>
      <w:r w:rsidR="00C60055" w:rsidRPr="003E0254">
        <w:t xml:space="preserve"> ions into the electrolyte and electrons into the external circuit. At the cathode, these electrons reduce Zn</w:t>
      </w:r>
      <w:r w:rsidR="00C60055" w:rsidRPr="003E0254">
        <w:rPr>
          <w:rFonts w:cs="Arial"/>
        </w:rPr>
        <w:t>²</w:t>
      </w:r>
      <w:r w:rsidR="001C53C7" w:rsidRPr="003E0254">
        <w:rPr>
          <w:rFonts w:cs="Cambria Math"/>
          <w:vertAlign w:val="superscript"/>
        </w:rPr>
        <w:t>+</w:t>
      </w:r>
      <w:r w:rsidR="00C60055" w:rsidRPr="003E0254">
        <w:t xml:space="preserve"> ions, which </w:t>
      </w:r>
      <w:r w:rsidR="009755F7" w:rsidRPr="003E0254">
        <w:t>insert</w:t>
      </w:r>
      <w:r w:rsidR="00C60055" w:rsidRPr="003E0254">
        <w:t xml:space="preserve"> into the host lattice, coupled with the oxidation/reduction of transition metal ions. Charging reverses this process, restoring the original electrode states.</w:t>
      </w:r>
      <w:r w:rsidR="00C60055" w:rsidRPr="003E0254">
        <w:fldChar w:fldCharType="begin" w:fldLock="1"/>
      </w:r>
      <w:r w:rsidR="000F0B1D" w:rsidRPr="003E0254">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00C60055" w:rsidRPr="003E0254">
        <w:fldChar w:fldCharType="separate"/>
      </w:r>
      <w:r w:rsidR="000F0B1D" w:rsidRPr="003E0254">
        <w:rPr>
          <w:noProof/>
          <w:vertAlign w:val="superscript"/>
        </w:rPr>
        <w:t>[43]</w:t>
      </w:r>
      <w:r w:rsidR="00C60055" w:rsidRPr="003E0254">
        <w:fldChar w:fldCharType="end"/>
      </w:r>
      <w:r w:rsidR="00C60055" w:rsidRPr="003E0254">
        <w:t xml:space="preserve"> .</w:t>
      </w:r>
      <w:r w:rsidRPr="003E0254">
        <w:t xml:space="preserve"> In addition, especially in highly acidic environments, proton transport and (co-)insertion can play a major or even dominant role. In principle, this can also be transferred to zinc- ion batteries, where instead of a zinc-based metallic anode, another insertion/intercalation material is used to host zinc ions and/or protons. However, </w:t>
      </w:r>
      <w:r w:rsidR="004D1780" w:rsidRPr="003E0254">
        <w:t xml:space="preserve">in this </w:t>
      </w:r>
      <w:r w:rsidR="0062410A" w:rsidRPr="003E0254">
        <w:t>review</w:t>
      </w:r>
      <w:r w:rsidR="004D1780" w:rsidRPr="003E0254">
        <w:t xml:space="preserve">, </w:t>
      </w:r>
      <w:r w:rsidRPr="003E0254">
        <w:t>we will primarily focus on systems with a zinc metal anode.</w:t>
      </w:r>
    </w:p>
    <w:p w14:paraId="063AF045" w14:textId="7495CBA4" w:rsidR="00C60055" w:rsidRPr="003E0254" w:rsidRDefault="00A439A1" w:rsidP="00C60055">
      <w:pPr>
        <w:pBdr>
          <w:top w:val="none" w:sz="4" w:space="0" w:color="000000"/>
          <w:left w:val="none" w:sz="4" w:space="0" w:color="000000"/>
          <w:bottom w:val="none" w:sz="4" w:space="0" w:color="000000"/>
          <w:right w:val="none" w:sz="4" w:space="0" w:color="000000"/>
        </w:pBdr>
        <w:spacing w:line="276" w:lineRule="auto"/>
        <w:jc w:val="both"/>
      </w:pPr>
      <w:r w:rsidRPr="003E0254">
        <w:t>Zinc-metal</w:t>
      </w:r>
      <w:r w:rsidR="00C60055" w:rsidRPr="003E0254">
        <w:t xml:space="preserve"> batteries exhibit </w:t>
      </w:r>
      <w:r w:rsidR="001E5B91" w:rsidRPr="003E0254">
        <w:t>important</w:t>
      </w:r>
      <w:r w:rsidR="00C60055" w:rsidRPr="003E0254">
        <w:t xml:space="preserve"> potential for reducing the environmental impact associated with battery production and use. </w:t>
      </w:r>
      <w:r w:rsidR="002B05CA" w:rsidRPr="003E0254">
        <w:t xml:space="preserve">The possibility </w:t>
      </w:r>
      <w:r w:rsidR="00525A7F" w:rsidRPr="003E0254">
        <w:t>of using</w:t>
      </w:r>
      <w:r w:rsidR="002B05CA" w:rsidRPr="003E0254">
        <w:t xml:space="preserve"> a </w:t>
      </w:r>
      <w:r w:rsidR="00C60055" w:rsidRPr="003E0254">
        <w:t>metallic zinc</w:t>
      </w:r>
      <w:r w:rsidR="00525A7F" w:rsidRPr="003E0254">
        <w:t>-based</w:t>
      </w:r>
      <w:r w:rsidR="00C60055" w:rsidRPr="003E0254">
        <w:t xml:space="preserve"> anode</w:t>
      </w:r>
      <w:r w:rsidR="002B05CA" w:rsidRPr="003E0254">
        <w:t xml:space="preserve"> is particularly </w:t>
      </w:r>
      <w:r w:rsidR="00C60055" w:rsidRPr="003E0254">
        <w:t>favorable concerning sustainability and non-toxicity. This is primarily attributed to the utilization of aqueous electrolytes and the flexibility in cathode material selection. Vanadium-based cathodes, such as vanadium pentoxide (V</w:t>
      </w:r>
      <w:r w:rsidR="00C60055" w:rsidRPr="003E0254">
        <w:rPr>
          <w:rFonts w:ascii="Cambria Math" w:hAnsi="Cambria Math" w:cs="Cambria Math"/>
        </w:rPr>
        <w:t>₂</w:t>
      </w:r>
      <w:r w:rsidR="00C60055" w:rsidRPr="003E0254">
        <w:t>O</w:t>
      </w:r>
      <w:r w:rsidR="00C60055" w:rsidRPr="003E0254">
        <w:rPr>
          <w:rFonts w:ascii="Cambria Math" w:hAnsi="Cambria Math" w:cs="Cambria Math"/>
        </w:rPr>
        <w:t>₅</w:t>
      </w:r>
      <w:r w:rsidR="00C60055" w:rsidRPr="003E0254">
        <w:t xml:space="preserve">), are popular choices due to their high energy density and excellent cycling stability, as reported in numerous studies and </w:t>
      </w:r>
      <w:r w:rsidR="00680EBD" w:rsidRPr="003E0254">
        <w:t>have</w:t>
      </w:r>
      <w:r w:rsidR="00C60055" w:rsidRPr="003E0254">
        <w:t xml:space="preserve"> been excellently reviewed by Ding et al.</w:t>
      </w:r>
      <w:r w:rsidR="00C60055" w:rsidRPr="003E0254">
        <w:fldChar w:fldCharType="begin" w:fldLock="1"/>
      </w:r>
      <w:r w:rsidR="000F0B1D" w:rsidRPr="003E0254">
        <w:instrText>ADDIN CSL_CITATION {"citationItems":[{"id":"ITEM-1","itemData":{"DOI":"10.1039/D0TA10336E","ISSN":"2050-7496","abstract":"Aqueous zinc ion batteries employing metallic zinc anodes and aqueous electrolytes are highly attractive electrochemical energy storage devices owing to their cost effectiveness, intrinsic safety, elemental abundance and competitive gravimetric energy density. Compared with other cathode materials, vanadium-based compounds feature advantages such as higher capacity, higher power density and longer cycle life. Here, a comprehensive review is presented on recent advances of vanadium-based cathodes, focusing on the correlation between the structures and electrode performances as well as energy-storage mechanisms. The structure and electrochemical properties of vanadium-based cathode materials are discussed by categorizing Zn2+ diffusion channels including one-dimensional tunnels, two-dimensional planes, three-dimensional interpenetrating networks and zero-dimensional diffusion channels. Furthermore, the remaining issues of vanadium-based cathodes are highlighted and promising performance-enhancement strategies are overviewed from aspects such as lattice control, vacancy/defect engineering, and pre-intercalation of cations and/or molecules.","author":[{"dropping-particle":"","family":"Ding","given":"Junwei","non-dropping-particle":"","parse-names":false,"suffix":""},{"dropping-particle":"","family":"Gao","given":"Hongge","non-dropping-particle":"","parse-names":false,"suffix":""},{"dropping-particle":"","family":"Ji","given":"Dongfang","non-dropping-particle":"","parse-names":false,"suffix":""},{"dropping-particle":"","family":"Zhao","given":"Kang","non-dropping-particle":"","parse-names":false,"suffix":""},{"dropping-particle":"","family":"Wang","given":"Shiwen","non-dropping-particle":"","parse-names":false,"suffix":""},{"dropping-particle":"","family":"Cheng","given":"Fangyi","non-dropping-particle":"","parse-names":false,"suffix":""}],"container-title":"Journal of Materials Chemistry A","id":"ITEM-1","issue":"9","issued":{"date-parts":[["2021","3","9"]]},"page":"5258-5275","publisher":"The Royal Society of Chemistry","title":"Vanadium-based cathodes for aqueous zinc-ion batteries: from crystal structures, diffusion channels to storage mechanisms","type":"article-journal","volume":"9"},"uris":["http://www.mendeley.com/documents/?uuid=63c799b7-1a64-3973-a7ed-6f34be0e529e"]}],"mendeley":{"formattedCitation":"&lt;sup&gt;[44]&lt;/sup&gt;","plainTextFormattedCitation":"[44]","previouslyFormattedCitation":"&lt;sup&gt;[44]&lt;/sup&gt;"},"properties":{"noteIndex":0},"schema":"https://github.com/citation-style-language/schema/raw/master/csl-citation.json"}</w:instrText>
      </w:r>
      <w:r w:rsidR="00C60055" w:rsidRPr="003E0254">
        <w:fldChar w:fldCharType="separate"/>
      </w:r>
      <w:r w:rsidR="000F0B1D" w:rsidRPr="003E0254">
        <w:rPr>
          <w:noProof/>
          <w:vertAlign w:val="superscript"/>
        </w:rPr>
        <w:t>[44]</w:t>
      </w:r>
      <w:r w:rsidR="00C60055" w:rsidRPr="003E0254">
        <w:fldChar w:fldCharType="end"/>
      </w:r>
      <w:r w:rsidR="00C60055" w:rsidRPr="003E0254">
        <w:t xml:space="preserve"> However, they are less favorable from a sustainability standpoint compared to manganese-based cathodes and Prussian </w:t>
      </w:r>
      <w:r w:rsidR="00680EBD" w:rsidRPr="003E0254">
        <w:t>B</w:t>
      </w:r>
      <w:r w:rsidR="00C60055" w:rsidRPr="003E0254">
        <w:t>lue analogues (PBA). These alternatives have been highlighted in recent research</w:t>
      </w:r>
      <w:r w:rsidR="00015E6C" w:rsidRPr="003E0254">
        <w:t>, as they offer</w:t>
      </w:r>
      <w:r w:rsidR="00C60055" w:rsidRPr="003E0254">
        <w:t xml:space="preserve"> a more resource-efficient and non-toxic alternative</w:t>
      </w:r>
      <w:r w:rsidR="00015E6C" w:rsidRPr="003E0254">
        <w:t>. However,</w:t>
      </w:r>
      <w:r w:rsidR="00C60055" w:rsidRPr="003E0254">
        <w:t xml:space="preserve"> their long term stability </w:t>
      </w:r>
      <w:r w:rsidR="00015E6C" w:rsidRPr="003E0254">
        <w:t xml:space="preserve">and performance is compromised </w:t>
      </w:r>
      <w:r w:rsidR="00C60055" w:rsidRPr="003E0254">
        <w:t>due to Mn dissolution or lower electrochemical potentials of the PBA framework.</w:t>
      </w:r>
      <w:r w:rsidR="00C60055" w:rsidRPr="003E0254">
        <w:fldChar w:fldCharType="begin" w:fldLock="1"/>
      </w:r>
      <w:r w:rsidR="00500B8D" w:rsidRPr="003E0254">
        <w:instrText>ADDIN CSL_CITATION {"citationItems":[{"id":"ITEM-1","itemData":{"DOI":"10.1039/D3TA06641J","ISSN":"2050-7496","abstract":"Aqueous zinc-ion batteries (AZIBs) have garnered significant attention for large-scale applications due to their low cost, safety, and eco-friendliness. Among all cathode materials, Prussian blue and its analogues (PBAs) have garnered significant attention and been subjected to extensive research due to their diverse property-effectiveness, simple synthesis process, reversible Zn2+ insertion/removal capability, and other notable characteristics. However, numerous studies have revealed that the utilization of PBAs as a cathode material in AZIBs still presents certain challenges, including limited energy density and prolonged structural instability during cycling. In light of the aforementioned opportunities and challenges for PBAs, we conducted a comprehensive literature review encompassing synthesis, analysis of energy storage mechanisms, enhancement of electrolyte–electrode interfaces, and battery applications. The objective of this review is to encourage active engagement from researchers interested in AZIBs and PBA cathode materials, thereby fostering research and industrialization efforts that collectively contribute towards the advancement of safe and environmentally friendly energy storage.","author":[{"dropping-particle":"","family":"Liu","given":"Jiayi","non-dropping-particle":"","parse-names":false,"suffix":""},{"dropping-particle":"","family":"Shen","given":"Zhongrong","non-dropping-particle":"","parse-names":false,"suffix":""},{"dropping-particle":"","family":"Lu","given":"Can Zhong","non-dropping-particle":"","parse-names":false,"suffix":""}],"container-title":"Journal of Materials Chemistry A","id":"ITEM-1","issue":"5","issued":{"date-parts":[["2024","1","30"]]},"page":"2647-2672","publisher":"The Royal Society of Chemistry","title":"Research progress of Prussian blue and its analogues for cathodes of aqueous zinc ion batteries","type":"article-journal","volume":"12"},"uris":["http://www.mendeley.com/documents/?uuid=1a95d2de-d4c7-34d6-b85f-651391a561e9"]}],"mendeley":{"formattedCitation":"&lt;sup&gt;[67]&lt;/sup&gt;","plainTextFormattedCitation":"[67]","previouslyFormattedCitation":"&lt;sup&gt;[66]&lt;/sup&gt;"},"properties":{"noteIndex":0},"schema":"https://github.com/citation-style-language/schema/raw/master/csl-citation.json"}</w:instrText>
      </w:r>
      <w:r w:rsidR="00C60055" w:rsidRPr="003E0254">
        <w:fldChar w:fldCharType="separate"/>
      </w:r>
      <w:r w:rsidR="00500B8D" w:rsidRPr="003E0254">
        <w:rPr>
          <w:noProof/>
          <w:vertAlign w:val="superscript"/>
        </w:rPr>
        <w:t>[67]</w:t>
      </w:r>
      <w:r w:rsidR="00C60055" w:rsidRPr="003E0254">
        <w:fldChar w:fldCharType="end"/>
      </w:r>
    </w:p>
    <w:p w14:paraId="1E203DB1" w14:textId="479A0808" w:rsidR="00C60055" w:rsidRPr="003E0254" w:rsidRDefault="00E35302" w:rsidP="00E35302">
      <w:pPr>
        <w:spacing w:line="276" w:lineRule="auto"/>
        <w:jc w:val="both"/>
      </w:pPr>
      <w:r w:rsidRPr="003E0254">
        <w:t xml:space="preserve">The matrix shown </w:t>
      </w:r>
      <w:r w:rsidR="00E8221D" w:rsidRPr="003E0254">
        <w:t xml:space="preserve">in Table 1 </w:t>
      </w:r>
      <w:r w:rsidRPr="003E0254">
        <w:t xml:space="preserve">provides an overview </w:t>
      </w:r>
      <w:r w:rsidR="00015E6C" w:rsidRPr="003E0254">
        <w:t>of</w:t>
      </w:r>
      <w:r w:rsidRPr="003E0254">
        <w:t xml:space="preserve"> different </w:t>
      </w:r>
      <w:r w:rsidR="00A439A1" w:rsidRPr="003E0254">
        <w:t>zinc-metal</w:t>
      </w:r>
      <w:r w:rsidR="00F85920" w:rsidRPr="003E0254">
        <w:t xml:space="preserve"> and zinc-ion (with organic or sulfide anodes) </w:t>
      </w:r>
      <w:r w:rsidRPr="003E0254">
        <w:t>cell chemistries sorted by electrolyte ranging from aqueous to solid state electrolytes. A detailed discussion of selected materials is given in the next sections.</w:t>
      </w:r>
    </w:p>
    <w:p w14:paraId="55EB72BC" w14:textId="442CEDFE" w:rsidR="00C60055" w:rsidRPr="003E0254" w:rsidRDefault="00C60055" w:rsidP="0068651C">
      <w:pPr>
        <w:pStyle w:val="Beschriftung"/>
        <w:keepNext/>
        <w:jc w:val="both"/>
      </w:pPr>
      <w:r w:rsidRPr="003E0254">
        <w:t xml:space="preserve">Table </w:t>
      </w:r>
      <w:r w:rsidRPr="003E0254">
        <w:fldChar w:fldCharType="begin"/>
      </w:r>
      <w:r w:rsidRPr="003E0254">
        <w:instrText xml:space="preserve">SEQ Table \* ARABIC </w:instrText>
      </w:r>
      <w:r w:rsidRPr="003E0254">
        <w:fldChar w:fldCharType="separate"/>
      </w:r>
      <w:r w:rsidR="00BC65F2" w:rsidRPr="003E0254">
        <w:rPr>
          <w:noProof/>
        </w:rPr>
        <w:t>1</w:t>
      </w:r>
      <w:r w:rsidRPr="003E0254">
        <w:fldChar w:fldCharType="end"/>
      </w:r>
      <w:r w:rsidRPr="003E0254">
        <w:t xml:space="preserve">: </w:t>
      </w:r>
      <w:r w:rsidR="00023042" w:rsidRPr="003E0254">
        <w:rPr>
          <w:color w:val="auto"/>
        </w:rPr>
        <w:t xml:space="preserve">The matrix provides a structured overview of the various individual aspects of </w:t>
      </w:r>
      <w:r w:rsidR="00A439A1" w:rsidRPr="003E0254">
        <w:rPr>
          <w:color w:val="auto"/>
        </w:rPr>
        <w:t>zinc-metal</w:t>
      </w:r>
      <w:r w:rsidR="00F85920" w:rsidRPr="003E0254">
        <w:rPr>
          <w:color w:val="auto"/>
        </w:rPr>
        <w:t xml:space="preserve"> and zinc-ion </w:t>
      </w:r>
      <w:r w:rsidR="00023042" w:rsidRPr="003E0254">
        <w:rPr>
          <w:color w:val="auto"/>
        </w:rPr>
        <w:t>batteries. Each column and row represent specific characteristics or components of the system, while each cell within the matrix highlights a particular aspect related to these parameters. The matrix summarizes various strategies derived from successful findings in literature. Although most research has been conducted in aqueous media, these strategies can also be adapted for use with other electrolytes, as long as the stability of the materials is carefully considered.</w:t>
      </w:r>
    </w:p>
    <w:tbl>
      <w:tblPr>
        <w:tblStyle w:val="Tabellenraster"/>
        <w:tblW w:w="5000" w:type="pct"/>
        <w:tblLayout w:type="fixed"/>
        <w:tblLook w:val="04A0" w:firstRow="1" w:lastRow="0" w:firstColumn="1" w:lastColumn="0" w:noHBand="0" w:noVBand="1"/>
      </w:tblPr>
      <w:tblGrid>
        <w:gridCol w:w="950"/>
        <w:gridCol w:w="1392"/>
        <w:gridCol w:w="1433"/>
        <w:gridCol w:w="1330"/>
        <w:gridCol w:w="1329"/>
        <w:gridCol w:w="1314"/>
        <w:gridCol w:w="1582"/>
      </w:tblGrid>
      <w:tr w:rsidR="00C60055" w:rsidRPr="003E0254" w14:paraId="47E5FE84" w14:textId="77777777" w:rsidTr="00B411DE">
        <w:tc>
          <w:tcPr>
            <w:tcW w:w="509" w:type="pct"/>
            <w:tcBorders>
              <w:top w:val="single" w:sz="12" w:space="0" w:color="auto"/>
              <w:left w:val="single" w:sz="12" w:space="0" w:color="auto"/>
              <w:right w:val="single" w:sz="12" w:space="0" w:color="auto"/>
            </w:tcBorders>
          </w:tcPr>
          <w:p w14:paraId="449D826B" w14:textId="77777777" w:rsidR="00C60055" w:rsidRPr="003E0254" w:rsidRDefault="00C60055" w:rsidP="00B411DE">
            <w:pPr>
              <w:spacing w:line="276" w:lineRule="auto"/>
              <w:rPr>
                <w:b/>
                <w:bCs/>
                <w:u w:val="single"/>
              </w:rPr>
            </w:pPr>
            <w:bookmarkStart w:id="5" w:name="_Hlk192149271"/>
          </w:p>
        </w:tc>
        <w:tc>
          <w:tcPr>
            <w:tcW w:w="746" w:type="pct"/>
            <w:tcBorders>
              <w:top w:val="single" w:sz="12" w:space="0" w:color="auto"/>
              <w:left w:val="single" w:sz="12" w:space="0" w:color="auto"/>
            </w:tcBorders>
          </w:tcPr>
          <w:p w14:paraId="69A120D4" w14:textId="77777777" w:rsidR="00C60055" w:rsidRPr="003E0254" w:rsidRDefault="00C60055" w:rsidP="00B411DE">
            <w:pPr>
              <w:spacing w:line="276" w:lineRule="auto"/>
              <w:rPr>
                <w:b/>
                <w:bCs/>
                <w:sz w:val="20"/>
                <w:szCs w:val="20"/>
                <w:u w:val="single"/>
              </w:rPr>
            </w:pPr>
            <w:r w:rsidRPr="003E0254">
              <w:rPr>
                <w:b/>
                <w:bCs/>
                <w:sz w:val="20"/>
                <w:szCs w:val="20"/>
                <w:u w:val="single"/>
              </w:rPr>
              <w:t>Electrolyte</w:t>
            </w:r>
          </w:p>
        </w:tc>
        <w:tc>
          <w:tcPr>
            <w:tcW w:w="768" w:type="pct"/>
            <w:tcBorders>
              <w:top w:val="single" w:sz="12" w:space="0" w:color="auto"/>
              <w:right w:val="single" w:sz="12" w:space="0" w:color="auto"/>
            </w:tcBorders>
          </w:tcPr>
          <w:p w14:paraId="65755CAD" w14:textId="77777777" w:rsidR="00C60055" w:rsidRPr="003E0254" w:rsidRDefault="00C60055" w:rsidP="00B411DE">
            <w:pPr>
              <w:spacing w:line="276" w:lineRule="auto"/>
              <w:rPr>
                <w:b/>
                <w:bCs/>
                <w:sz w:val="20"/>
                <w:szCs w:val="20"/>
                <w:u w:val="single"/>
              </w:rPr>
            </w:pPr>
            <w:r w:rsidRPr="003E0254">
              <w:rPr>
                <w:b/>
                <w:bCs/>
                <w:sz w:val="20"/>
                <w:szCs w:val="20"/>
                <w:u w:val="single"/>
              </w:rPr>
              <w:t>Electrolyte Additives</w:t>
            </w:r>
          </w:p>
        </w:tc>
        <w:tc>
          <w:tcPr>
            <w:tcW w:w="713" w:type="pct"/>
            <w:tcBorders>
              <w:top w:val="single" w:sz="12" w:space="0" w:color="auto"/>
              <w:left w:val="single" w:sz="12" w:space="0" w:color="auto"/>
            </w:tcBorders>
          </w:tcPr>
          <w:p w14:paraId="627135C2" w14:textId="77777777" w:rsidR="00C60055" w:rsidRPr="003E0254" w:rsidRDefault="00C60055" w:rsidP="00B411DE">
            <w:pPr>
              <w:spacing w:line="276" w:lineRule="auto"/>
              <w:rPr>
                <w:b/>
                <w:bCs/>
                <w:sz w:val="20"/>
                <w:szCs w:val="20"/>
                <w:u w:val="single"/>
              </w:rPr>
            </w:pPr>
            <w:r w:rsidRPr="003E0254">
              <w:rPr>
                <w:b/>
                <w:bCs/>
                <w:sz w:val="20"/>
                <w:szCs w:val="20"/>
                <w:u w:val="single"/>
              </w:rPr>
              <w:t>Anode</w:t>
            </w:r>
          </w:p>
        </w:tc>
        <w:tc>
          <w:tcPr>
            <w:tcW w:w="712" w:type="pct"/>
            <w:tcBorders>
              <w:top w:val="single" w:sz="12" w:space="0" w:color="auto"/>
              <w:right w:val="single" w:sz="12" w:space="0" w:color="auto"/>
            </w:tcBorders>
          </w:tcPr>
          <w:p w14:paraId="2C28364F" w14:textId="77777777" w:rsidR="00C60055" w:rsidRPr="003E0254" w:rsidRDefault="00C60055" w:rsidP="00B411DE">
            <w:pPr>
              <w:spacing w:line="276" w:lineRule="auto"/>
              <w:rPr>
                <w:b/>
                <w:bCs/>
                <w:sz w:val="20"/>
                <w:szCs w:val="20"/>
                <w:u w:val="single"/>
              </w:rPr>
            </w:pPr>
            <w:r w:rsidRPr="003E0254">
              <w:rPr>
                <w:b/>
                <w:bCs/>
                <w:sz w:val="20"/>
                <w:szCs w:val="20"/>
                <w:u w:val="single"/>
              </w:rPr>
              <w:t>Anode Additives</w:t>
            </w:r>
          </w:p>
        </w:tc>
        <w:tc>
          <w:tcPr>
            <w:tcW w:w="704" w:type="pct"/>
            <w:tcBorders>
              <w:top w:val="single" w:sz="12" w:space="0" w:color="auto"/>
              <w:left w:val="single" w:sz="12" w:space="0" w:color="auto"/>
            </w:tcBorders>
          </w:tcPr>
          <w:p w14:paraId="1DB83E95" w14:textId="77777777" w:rsidR="00C60055" w:rsidRPr="003E0254" w:rsidRDefault="00C60055" w:rsidP="00B411DE">
            <w:pPr>
              <w:spacing w:line="276" w:lineRule="auto"/>
              <w:rPr>
                <w:b/>
                <w:bCs/>
                <w:sz w:val="20"/>
                <w:szCs w:val="20"/>
                <w:u w:val="single"/>
              </w:rPr>
            </w:pPr>
            <w:r w:rsidRPr="003E0254">
              <w:rPr>
                <w:b/>
                <w:bCs/>
                <w:sz w:val="20"/>
                <w:szCs w:val="20"/>
                <w:u w:val="single"/>
              </w:rPr>
              <w:t>Cathode</w:t>
            </w:r>
          </w:p>
        </w:tc>
        <w:tc>
          <w:tcPr>
            <w:tcW w:w="848" w:type="pct"/>
            <w:tcBorders>
              <w:top w:val="single" w:sz="12" w:space="0" w:color="auto"/>
              <w:right w:val="single" w:sz="12" w:space="0" w:color="auto"/>
            </w:tcBorders>
          </w:tcPr>
          <w:p w14:paraId="4045915A" w14:textId="77777777" w:rsidR="00C60055" w:rsidRPr="003E0254" w:rsidRDefault="00C60055" w:rsidP="00B411DE">
            <w:pPr>
              <w:spacing w:line="276" w:lineRule="auto"/>
              <w:rPr>
                <w:b/>
                <w:bCs/>
                <w:sz w:val="20"/>
                <w:szCs w:val="20"/>
                <w:u w:val="single"/>
              </w:rPr>
            </w:pPr>
            <w:r w:rsidRPr="003E0254">
              <w:rPr>
                <w:b/>
                <w:bCs/>
                <w:sz w:val="20"/>
                <w:szCs w:val="20"/>
                <w:u w:val="single"/>
              </w:rPr>
              <w:t>Cathode Additives/ Coatings</w:t>
            </w:r>
          </w:p>
        </w:tc>
      </w:tr>
      <w:tr w:rsidR="00C60055" w:rsidRPr="003E0254" w14:paraId="08F92869" w14:textId="77777777" w:rsidTr="00B411DE">
        <w:tc>
          <w:tcPr>
            <w:tcW w:w="509" w:type="pct"/>
            <w:vMerge w:val="restart"/>
            <w:tcBorders>
              <w:left w:val="single" w:sz="12" w:space="0" w:color="auto"/>
              <w:right w:val="single" w:sz="12" w:space="0" w:color="auto"/>
            </w:tcBorders>
            <w:shd w:val="clear" w:color="auto" w:fill="99CCFF"/>
            <w:vAlign w:val="center"/>
          </w:tcPr>
          <w:p w14:paraId="5D61D91B" w14:textId="77777777" w:rsidR="00C60055" w:rsidRPr="003E0254" w:rsidRDefault="00C60055" w:rsidP="00B411DE">
            <w:pPr>
              <w:spacing w:line="276" w:lineRule="auto"/>
              <w:jc w:val="center"/>
              <w:rPr>
                <w:b/>
                <w:bCs/>
                <w:u w:val="single"/>
              </w:rPr>
            </w:pPr>
            <w:r w:rsidRPr="003E0254">
              <w:rPr>
                <w:b/>
                <w:bCs/>
                <w:u w:val="single"/>
              </w:rPr>
              <w:t>aqueous</w:t>
            </w:r>
          </w:p>
          <w:p w14:paraId="0DD2C1C5" w14:textId="77777777" w:rsidR="00C60055" w:rsidRPr="003E0254" w:rsidRDefault="00C60055" w:rsidP="00B411DE">
            <w:pPr>
              <w:spacing w:line="276" w:lineRule="auto"/>
              <w:jc w:val="center"/>
              <w:rPr>
                <w:b/>
                <w:bCs/>
                <w:u w:val="single"/>
              </w:rPr>
            </w:pPr>
            <w:r w:rsidRPr="003E0254">
              <w:rPr>
                <w:b/>
                <w:bCs/>
                <w:u w:val="single"/>
              </w:rPr>
              <w:t xml:space="preserve">5&lt;pH&lt;7 </w:t>
            </w:r>
          </w:p>
        </w:tc>
        <w:tc>
          <w:tcPr>
            <w:tcW w:w="746" w:type="pct"/>
            <w:vMerge w:val="restart"/>
            <w:tcBorders>
              <w:left w:val="single" w:sz="12" w:space="0" w:color="auto"/>
            </w:tcBorders>
            <w:shd w:val="clear" w:color="auto" w:fill="99CCFF"/>
          </w:tcPr>
          <w:p w14:paraId="696057B0" w14:textId="696F413B" w:rsidR="00C60055" w:rsidRPr="003E0254" w:rsidRDefault="00C60055" w:rsidP="00B411DE">
            <w:pPr>
              <w:spacing w:line="276" w:lineRule="auto"/>
              <w:rPr>
                <w:bCs/>
                <w:sz w:val="20"/>
                <w:szCs w:val="20"/>
                <w:u w:val="single"/>
              </w:rPr>
            </w:pPr>
            <w:r w:rsidRPr="003E0254">
              <w:rPr>
                <w:bCs/>
                <w:sz w:val="20"/>
                <w:szCs w:val="20"/>
                <w:u w:val="single"/>
              </w:rPr>
              <w:t>Fluorinated salts</w:t>
            </w:r>
            <w:r w:rsidRPr="003E0254">
              <w:rPr>
                <w:bCs/>
                <w:sz w:val="20"/>
                <w:szCs w:val="20"/>
                <w:u w:val="single"/>
              </w:rPr>
              <w:fldChar w:fldCharType="begin" w:fldLock="1"/>
            </w:r>
            <w:r w:rsidR="002F6D4C" w:rsidRPr="003E0254">
              <w:rPr>
                <w:bCs/>
                <w:sz w:val="20"/>
                <w:szCs w:val="20"/>
                <w:u w:val="single"/>
              </w:rPr>
              <w:instrText>ADDIN CSL_CITATION {"citationItems":[{"id":"ITEM-1","itemData":{"DOI":"10.1021/ACSENERGYLETT.8B01426/ASSET/IMAGES/LARGE/NZ-2018-01426E_0016.JPEG","ISSN":"23808195","abstract":"Although current high-energy-density lithium-ion batteries (LIBs) have taken over the commercial rechargeable battery market, increasing concerns about limited lithium resources, high cost, and insecurity of organic electrolyte scale-up limit their further development. Rechargeable aqueous zinc-ion batteries (ZIBs), an alternative battery chemistry, have paved the way not only for realizing environmentally benign and safe energy storage devices but also for reducing the manufacturing costs of next-generation batteries. This Review underscores recent advances in aqueous ZIBs; these include the design of a highly reversible Zn anode, optimization of the electrolyte, and a wide range of cathode materials and their energy storage mechanisms. We also present recent advanced techniques that aim at overcoming the current issues in aqueous ZIB systems. This Review on the future perspectives and research directions will provide a guide for future aqueous ZIB study.","author":[{"dropping-particle":"","family":"Fang","given":"Guozhao","non-dropping-particle":"","parse-names":false,"suffix":""},{"dropping-particle":"","family":"Zhou","given":"Jiang","non-dropping-particle":"","parse-names":false,"suffix":""},{"dropping-particle":"","family":"Pan","given":"Anqiang","non-dropping-particle":"","parse-names":false,"suffix":""},{"dropping-particle":"","family":"Liang","given":"Shuquan","non-dropping-particle":"","parse-names":false,"suffix":""}],"container-title":"ACS Energy Letters","id":"ITEM-1","issue":"10","issued":{"date-parts":[["2018","10","12"]]},"page":"2480-2501","publisher":"American Chemical Society","title":"Recent Advances in Aqueous Zinc-Ion Batteries","type":"article-journal","volume":"3"},"uris":["http://www.mendeley.com/documents/?uuid=07c088a2-b9b5-3edb-9a72-66f19ac12f13"]}],"mendeley":{"formattedCitation":"&lt;sup&gt;[4]&lt;/sup&gt;","plainTextFormattedCitation":"[4]","previouslyFormattedCitation":"&lt;sup&gt;[4]&lt;/sup&gt;"},"properties":{"noteIndex":0},"schema":"https://github.com/citation-style-language/schema/raw/master/csl-citation.json"}</w:instrText>
            </w:r>
            <w:r w:rsidRPr="003E0254">
              <w:rPr>
                <w:bCs/>
                <w:sz w:val="20"/>
                <w:szCs w:val="20"/>
                <w:u w:val="single"/>
              </w:rPr>
              <w:fldChar w:fldCharType="separate"/>
            </w:r>
            <w:r w:rsidR="00A94915" w:rsidRPr="003E0254">
              <w:rPr>
                <w:bCs/>
                <w:noProof/>
                <w:sz w:val="20"/>
                <w:szCs w:val="20"/>
                <w:vertAlign w:val="superscript"/>
              </w:rPr>
              <w:t>[4]</w:t>
            </w:r>
            <w:r w:rsidRPr="003E0254">
              <w:rPr>
                <w:bCs/>
                <w:sz w:val="20"/>
                <w:szCs w:val="20"/>
                <w:u w:val="single"/>
              </w:rPr>
              <w:fldChar w:fldCharType="end"/>
            </w:r>
          </w:p>
          <w:p w14:paraId="5FE76646" w14:textId="77777777" w:rsidR="00C60055" w:rsidRPr="003E0254" w:rsidRDefault="00C60055" w:rsidP="008462C9">
            <w:pPr>
              <w:spacing w:line="276" w:lineRule="auto"/>
              <w:rPr>
                <w:bCs/>
                <w:sz w:val="20"/>
                <w:szCs w:val="20"/>
              </w:rPr>
            </w:pPr>
          </w:p>
        </w:tc>
        <w:tc>
          <w:tcPr>
            <w:tcW w:w="768" w:type="pct"/>
            <w:tcBorders>
              <w:right w:val="single" w:sz="12" w:space="0" w:color="auto"/>
            </w:tcBorders>
            <w:shd w:val="clear" w:color="auto" w:fill="99CCFF"/>
          </w:tcPr>
          <w:p w14:paraId="4B4B7CCC" w14:textId="604B3D4A" w:rsidR="00C60055" w:rsidRPr="003E0254" w:rsidRDefault="00C60055" w:rsidP="00B411DE">
            <w:pPr>
              <w:spacing w:line="276" w:lineRule="auto"/>
              <w:rPr>
                <w:bCs/>
                <w:sz w:val="20"/>
                <w:szCs w:val="20"/>
                <w:u w:val="single"/>
              </w:rPr>
            </w:pPr>
            <w:r w:rsidRPr="003E0254">
              <w:rPr>
                <w:bCs/>
                <w:sz w:val="20"/>
                <w:szCs w:val="20"/>
                <w:u w:val="single"/>
              </w:rPr>
              <w:t>Organic</w:t>
            </w:r>
            <w:r w:rsidRPr="003E0254">
              <w:rPr>
                <w:bCs/>
                <w:sz w:val="20"/>
                <w:szCs w:val="20"/>
                <w:u w:val="single"/>
              </w:rPr>
              <w:fldChar w:fldCharType="begin" w:fldLock="1"/>
            </w:r>
            <w:r w:rsidR="00500B8D" w:rsidRPr="003E0254">
              <w:rPr>
                <w:bCs/>
                <w:sz w:val="20"/>
                <w:szCs w:val="20"/>
                <w:u w:val="single"/>
              </w:rPr>
              <w:instrText>ADDIN CSL_CITATION {"citationItems":[{"id":"ITEM-1","itemData":{"DOI":"10.3390/BATTERIES10030097","ISSN":"2313-0105","abstract":"Despite features of cost-effectiveness, high safety, and superior capacity, aqueous zinc-ion batteries (ZIBs) have issues of uncontrolled dendritic cell failure and poor Zn utilization, resulting in inferior cycling reversibility. Herein, the environmentally friendly and naturally abundant sodium citrate (SC) was adopted as a dual-functional additive for ZnSO4-based (ZSO) electrolytes. Owing to the abundant hydrogen-bond donors and hydrogen-bond acceptors of SC, the Zn2+-solvation shell is interrupted to facilitate Zn desolvation, resulting in inhibited corrosion reactions. Additionally, sodium ions (Na+) from the SC additive with a lower effective reduction potential than that of zinc ions (Zn2+) form an electrostatic shield inhibiting the formation of initial surface protuberances and subsequent Zn dendrite growth. This assists in the Zn three-dimensional (3D) diffusion and deposition, thereby effectively enhancing cycling stability. Specifically, a long cycling lifespan (more than 760 h) of the Zn//Zn symmetric cell is achieved with a 2 M ZSO-1.0 SC electrolyte at a current density of 1 mA cm−2. When coupled with the NaV3O8·1.5 H2O (NVO) cathode, the full battery containing SC additive exhibited a capacity retention rate (40.0%) and a cycling life of 400 cycles at a current density of 1 A g−1 compared with that of pure ZnSO4 electrolyte (23.8%). This work provides a protocol for selecting an environmentally friendly and naturally abundant dual-functional electrolyte additive to achieve solvation shell regulation and Zn anode protection for the practical large-scale application of ZIBs.","author":[{"dropping-particle":"","family":"Liu","given":"Xin","non-dropping-particle":"","parse-names":false,"suffix":""},{"dropping-particle":"","family":"Yue","given":"Liang","non-dropping-particle":"","parse-names":false,"suffix":""},{"dropping-particle":"","family":"Dong","given":"Weixu","non-dropping-particle":"","parse-names":false,"suffix":""},{"dropping-particle":"","family":"Qu","given":"Yifan","non-dropping-particle":"","parse-names":false,"suffix":""},{"dropping-particle":"","family":"Sun","given":"Xianzhong","non-dropping-particle":"","parse-names":false,"suffix":""},{"dropping-particle":"","family":"Chen","given":"Lifeng","non-dropping-particle":"","parse-names":false,"suffix":""}],"container-title":"Batteries 2024, Vol. 10, Page 97","id":"ITEM-1","issue":"3","issued":{"date-parts":[["2024","3","11"]]},"page":"97","publisher":"Multidisciplinary Digital Publishing Institute","title":"Sodium Citrate Electrolyte Additive to Improve Zinc Anode Behavior in Aqueous Zinc-Ion Batteries","type":"article-journal","volume":"10"},"uris":["http://www.mendeley.com/documents/?uuid=018744cb-478f-3b13-82a9-08671a8c1b6a"]},{"id":"ITEM-2","itemData":{"DOI":"10.1002/ANIE.202216934","ISSN":"1521-3773","PMID":"36478517","abstract":"Uncontrolled dendrites growth and serious parasitic reactions in aqueous electrolytes, greatly hinder the practical application of aqueous zinc-ion battery. On the basis of in situ-chemical construction and performance-improving mechanism, multifunctional fluoroethylene carbonate (FEC) is introduced into aqueous electrolyte to construct a high-quality and ZnF2-riched inorganic/organic hybrid SEI (ZHS) layer on Zn metal anode (ZMA) surface. Notably, FEC additive can regulate the solvated structure of Zn2+ to reduce H2O molecules reactivity. Additionally, the ZHS layer with strong Zn2+ affinity can avoid dendrites formation and hinder the direct contact between the electrolyte and anode. Therefore, the dendrites growth, Zn corrosion, and H2 evolution reaction on ZMA in FEC-included ZnSO4 electrolyte are highly suppressed. Thus, ZMA in such electrolyte realize a long cycle life over 1000 h and deliver a stable coulombic efficiency of 99.1 % after 500 cycles.","author":[{"dropping-particle":"","family":"Xie","given":"Dan","non-dropping-particle":"","parse-names":false,"suffix":""},{"dropping-particle":"","family":"Sang","given":"Yuan","non-dropping-particle":"","parse-names":false,"suffix":""},{"dropping-particle":"","family":"Wang","given":"Dan Hong","non-dropping-particle":"","parse-names":false,"suffix":""},{"dropping-particle":"","family":"Diao","given":"Wan Yue","non-dropping-particle":"","parse-names":false,"suffix":""},{"dropping-particle":"","family":"Tao","given":"Fang Yu","non-dropping-particle":"","parse-names":false,"suffix":""},{"dropping-particle":"","family":"Liu","given":"Chang","non-dropping-particle":"","parse-names":false,"suffix":""},{"dropping-particle":"","family":"Wang","given":"Jia Wei","non-dropping-particle":"","parse-names":false,"suffix":""},{"dropping-particle":"","family":"Sun","given":"Hai Zhu","non-dropping-particle":"","parse-names":false,"suffix":""},{"dropping-particle":"","family":"Zhang","given":"Jing Ping","non-dropping-particle":"","parse-names":false,"suffix":""},{"dropping-particle":"","family":"Wu","given":"Xing Long","non-dropping-particle":"","parse-names":false,"suffix":""}],"container-title":"Angewandte Chemie International Edition","id":"ITEM-2","issue":"7","issued":{"date-parts":[["2023","2","6"]]},"page":"e202216934","publisher":"John Wiley &amp; Sons, Ltd","title":"ZnF2-Riched Inorganic/Organic Hybrid SEI: in situ-Chemical Construction and Performance-Improving Mechanism for Aqueous Zinc-ion Batteries","type":"article-journal","volume":"62"},"uris":["http://www.mendeley.com/documents/?uuid=acff345f-e519-3471-8d3c-a365d29a4761"]},{"id":"ITEM-3","itemData":{"DOI":"10.1002/smll.202400221","ISSN":"1613-6810","PMID":"38586921","abstract":"Aqueous zinc</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batteries (ZIBs) stand out as a promising next</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generation electrochemical energy storage technology, offering notable advantages such as high specific capacity, enhanced safety, and cost</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effectiveness. However, the application of aqueous electrolytes introduces challenges: Zn dendrite formation and parasitic reactions at the anode, as well as dissolution, electrostatic interaction, and by</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product formation at the cathode. In addressing these electrode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centric problems, additive engineering has emerged as an effective strategy. This review delves into the latest advancements in electrolyte additives for ZIBs, emphasizing their role in resolving the existing issues. Key focus areas include improving morphology and reducing side reactions during battery cycling using synergistic effects of modulating anode interface regulation, zinc facet control, and restructuring of hydrogen bonds and solvation sheaths. Special attention is given to the efficacy of amino acids and zwitterions due to their multifunction to improve the cycling performance of batteries concerning cycle stability and lifespan. Additionally, the recent additive advancements are studied for low</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temperature and extreme weather applications meticulously. This review concludes with a holistic look at the future of additive engineering, underscoring its critical role in advancing ZIB performance amidst the complexities and challenges of electrolyte additives.","author":[{"dropping-particle":"","family":"Cao","given":"Jianghui","non-dropping-particle":"","parse-names":false,"suffix":""},{"dropping-particle":"","family":"Zhao","given":"Fang","non-dropping-particle":"","parse-names":false,"suffix":""},{"dropping-particle":"","family":"Guan","given":"Weixin","non-dropping-particle":"","parse-names":false,"suffix":""},{"dropping-particle":"","family":"Yang","given":"Xiaoxuan","non-dropping-particle":"","parse-names":false,"suffix":""},{"dropping-particle":"","family":"Zhao","given":"Qidong","non-dropping-particle":"","parse-names":false,"suffix":""},{"dropping-particle":"","family":"Gao","given":"Liguo","non-dropping-particle":"","parse-names":false,"suffix":""},{"dropping-particle":"","family":"Ren","given":"Xuefeng","non-dropping-particle":"","parse-names":false,"suffix":""},{"dropping-particle":"","family":"Wu","given":"Gang","non-dropping-particle":"","parse-names":false,"suffix":""},{"dropping-particle":"","family":"Liu","given":"Anmin","non-dropping-particle":"","parse-names":false,"suffix":""}],"container-title":"Small","id":"ITEM-3","issue":"33","issued":{"date-parts":[["2024","8","8"]]},"page":"2400221","publisher":"John Wiley &amp; Sons, Ltd","title":"Additives for Aqueous Zinc</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Batteries: Recent Progress, Mechanism Analysis, and Future Perspectives","type":"article-journal","volume":"20"},"uris":["http://www.mendeley.com/documents/?uuid=2ab27e52-fa16-39df-bb4f-020d48d0c380"]},{"id":"ITEM-4","itemData":{"DOI":"10.1039/D0EE01538E","ISSN":"1754-5706","abstract":"Aqueous zinc-based energy storage (ZES) devices are promising candidates for portable and grid-scale applications owing to their intrinsically high safety, low cost, and high theoretical energy density. However, the conventional aqueous electrolytes are not capable of working at low temperature. Here we report a frigostable, cost-effective, safe and eco-friendly hybrid electrolyte with high zinc-ion conductivity (6.9 mS cm−1 at −40 °C), and high reversibility of Zn plating/stripping, which consists of water, ethylene glycol (EG) and zinc sulfate salt (ZnSO4). Experiments together with theoretical calculations demonstrated that the unique solvation interaction of Zn2+ with EG can effectively enhance the hydrogen bonding between EG and H2O and weaken the solvation interaction of Zn2+ with H2O, thus providing the hybrid electrolyte with a lower freezing point and reversible Zn/Zn2+ chemistry. As a proof-of-concept, both Zn-ion hybrid supercapacitors (ZHSCs) and Zn-ion batteries (ZIBs) with the hybrid electrolytes delivered high energy densities (36 W h kg−1 for the ZHSC and 121 W h kg−1 for the ZIB), high power densities (3.1 kW kg−1 for the ZHSC and 1.7 kW kg−1 for the ZIB) and long-cycle life (5500 cycles over 110 days for the ZHSC and 250 cycles for the ZIB) at −20 °C. This work provides a new option for low-temperature energy storage devices.","author":[{"dropping-particle":"","family":"Chang","given":"Nana","non-dropping-particle":"","parse-names":false,"suffix":""},{"dropping-particle":"","family":"Li","given":"Tianyu","non-dropping-particle":"","parse-names":false,"suffix":""},{"dropping-particle":"","family":"Li","given":"Rui","non-dropping-particle":"","parse-names":false,"suffix":""},{"dropping-particle":"","family":"Wang","given":"Shengnan","non-dropping-particle":"","parse-names":false,"suffix":""},{"dropping-particle":"","family":"Yin","given":"Yanbin","non-dropping-particle":"","parse-names":false,"suffix":""},{"dropping-particle":"","family":"Zhang","given":"Huamin","non-dropping-particle":"","parse-names":false,"suffix":""},{"dropping-particle":"","family":"Li","given":"Xianfeng","non-dropping-particle":"","parse-names":false,"suffix":""}],"container-title":"Energy &amp; Environmental Science","id":"ITEM-4","issue":"10","issued":{"date-parts":[["2020","10","14"]]},"page":"3527-3535","publisher":"The Royal Society of Chemistry","title":"An aqueous hybrid electrolyte for low-temperature zinc-based energy storage devices","type":"article-journal","volume":"13"},"uris":["http://www.mendeley.com/documents/?uuid=2c25ca70-8175-3e7b-9c12-37824064c9fd"]}],"mendeley":{"formattedCitation":"&lt;sup&gt;[45,68–70]&lt;/sup&gt;","plainTextFormattedCitation":"[45,68–70]","previouslyFormattedCitation":"&lt;sup&gt;[45,67–69]&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[45,68–70]</w:t>
            </w:r>
            <w:r w:rsidRPr="003E0254">
              <w:rPr>
                <w:bCs/>
                <w:sz w:val="20"/>
                <w:szCs w:val="20"/>
                <w:u w:val="single"/>
              </w:rPr>
              <w:fldChar w:fldCharType="end"/>
            </w:r>
          </w:p>
          <w:p w14:paraId="753D7D9D" w14:textId="2F97543B" w:rsidR="00C60055" w:rsidRPr="003E0254" w:rsidRDefault="00C60055" w:rsidP="00B411DE">
            <w:pPr>
              <w:spacing w:line="276" w:lineRule="auto"/>
              <w:rPr>
                <w:bCs/>
                <w:sz w:val="20"/>
                <w:szCs w:val="20"/>
                <w:u w:val="single"/>
              </w:rPr>
            </w:pPr>
          </w:p>
        </w:tc>
        <w:tc>
          <w:tcPr>
            <w:tcW w:w="713" w:type="pct"/>
            <w:tcBorders>
              <w:left w:val="single" w:sz="12" w:space="0" w:color="auto"/>
            </w:tcBorders>
            <w:shd w:val="clear" w:color="auto" w:fill="99CCFF"/>
          </w:tcPr>
          <w:p w14:paraId="5308E8E5" w14:textId="1550DFB3" w:rsidR="00C60055" w:rsidRPr="003E0254" w:rsidRDefault="00C60055" w:rsidP="00B411DE">
            <w:pPr>
              <w:pBdr>
                <w:top w:val="none" w:sz="4" w:space="0" w:color="000000"/>
                <w:left w:val="none" w:sz="4" w:space="0" w:color="000000"/>
                <w:bottom w:val="none" w:sz="4" w:space="0" w:color="000000"/>
                <w:right w:val="none" w:sz="4" w:space="0" w:color="000000"/>
              </w:pBdr>
              <w:shd w:val="clear" w:color="99CCFF" w:fill="99CCFF"/>
              <w:spacing w:line="276" w:lineRule="auto"/>
              <w:rPr>
                <w:bCs/>
                <w:sz w:val="20"/>
                <w:szCs w:val="20"/>
              </w:rPr>
            </w:pPr>
            <w:r w:rsidRPr="003E0254">
              <w:rPr>
                <w:bCs/>
                <w:sz w:val="20"/>
                <w:szCs w:val="20"/>
                <w:u w:val="single"/>
              </w:rPr>
              <w:t>Planar with surface textured</w:t>
            </w:r>
            <w:r w:rsidRPr="003E0254">
              <w:rPr>
                <w:bCs/>
                <w:sz w:val="20"/>
                <w:szCs w:val="20"/>
                <w:u w:val="single"/>
              </w:rPr>
              <w:fldChar w:fldCharType="begin" w:fldLock="1"/>
            </w:r>
            <w:r w:rsidR="00500B8D" w:rsidRPr="003E0254">
              <w:rPr>
                <w:bCs/>
                <w:sz w:val="20"/>
                <w:szCs w:val="20"/>
                <w:u w:val="single"/>
              </w:rPr>
              <w:instrText>ADDIN CSL_CITATION {"citationItems":[{"id":"ITEM-1","itemData":{"DOI":"10.1016/J.ESCI.2023.100120","ISSN":"2667-1417","abstract":"With their intrinsic safety and environmental benignity, aqueous Zn-ion batteries (ZIBs) have been considered the most appropriate candidates for replacing alkali metal systems. However, polycrystalline Zn anodes in aqueous environments still pose enormous issues, such as dendrite growth and side reactions. Although many efforts have been made to address these obstacles through interphase modification and electrolyte design, researchers have not been able to improve the inherent thermodynamic stability and ion deposition behavior of the Zn anode. It is imperative to understand and explore advanced anode construction methods from the perspective of crystallinity. This review delves into the feasibility of precisely regulating the crystallographic features of metallic zinc, examines the challenges and merits of reported strategies for fabricating textured zinc, and offers constructive suggestions for the large-scale production and commercial application of aqueous ZIBs.","author":[{"dropping-particle":"","family":"Wu","given":"Shuang","non-dropping-particle":"","parse-names":false,"suffix":""},{"dropping-particle":"","family":"Hu","given":"Zhenglin","non-dropping-particle":"","parse-names":false,"suffix":""},{"dropping-particle":"","family":"He","given":"Pan","non-dropping-particle":"","parse-names":false,"suffix":""},{"dropping-particle":"","family":"Ren","given":"Lingxiao","non-dropping-particle":"","parse-names":false,"suffix":""},{"dropping-particle":"","family":"Huang","given":"Jiaxing","non-dropping-particle":"","parse-names":false,"suffix":""},{"dropping-particle":"","family":"Luo","given":"Jiayan","non-dropping-particle":"","parse-names":false,"suffix":""}],"container-title":"eScience","id":"ITEM-1","issue":"3","issued":{"date-parts":[["2023","6","1"]]},"page":"100120","publisher":"Elsevier","title":"Crystallographic engineering of Zn anodes for aqueous batteries","type":"article-journal","volume":"3"},"uris":["http://www.mendeley.com/documents/?uuid=2efdf2a2-6796-4b93-8025-0b845ba3ac99"]},{"id":"ITEM-2","itemData":{"DOI":"10.1038/s41467-024-47101-1","ISSN":"2041-1723","PMID":"38548738","abstract":"The optimization of crystalline orientation of a Zn metal substrate to expose more Zn(0002) planes has been recognized as an effective strategy in pursuit of highly reversible Zn metal anodes. However, the lattice mismatch between substrate and overgrowth crystals has hampered the epitaxial sustainability of Zn metal. Herein, we discover that the presence of crystal grains deviating from [0001] orientation within a Zn(0002) metal anode leads to the failure of epitaxial mechanism. The electrodeposited [0001]-uniaxial oriented Zn metal anodes with a single (0002) texture fundamentally eliminate the lattice mismatch and achieve ultra-sustainable homoepitaxial growth. Using high-angle angular dark-filed scanning transmission electron microscopy, we elucidate the homoepitaxial growth of the deposited Zn following the “~ABABAB~” arrangement on the Zn(0002) metal from an atomic-level perspective. Such consistently epitaxial behavior of Zn metal retards dendrite formation and enables improved cycling, even in Zn||NH4V4O10 pouch cells, with a high capacity of 220</w:instrText>
            </w:r>
            <w:r w:rsidR="00500B8D" w:rsidRPr="003E0254">
              <w:rPr>
                <w:rFonts w:ascii="Arial" w:hAnsi="Arial" w:cs="Arial"/>
                <w:bCs/>
                <w:sz w:val="20"/>
                <w:szCs w:val="20"/>
                <w:u w:val="single"/>
              </w:rPr>
              <w:instrText> </w:instrText>
            </w:r>
            <w:r w:rsidR="00500B8D" w:rsidRPr="003E0254">
              <w:rPr>
                <w:bCs/>
                <w:sz w:val="20"/>
                <w:szCs w:val="20"/>
                <w:u w:val="single"/>
              </w:rPr>
              <w:instrText>mAh g</w:instrText>
            </w:r>
            <w:r w:rsidR="00500B8D" w:rsidRPr="003E0254">
              <w:rPr>
                <w:rFonts w:ascii="Aptos" w:hAnsi="Aptos" w:cs="Aptos"/>
                <w:bCs/>
                <w:sz w:val="20"/>
                <w:szCs w:val="20"/>
                <w:u w:val="single"/>
              </w:rPr>
              <w:instrText>−</w:instrText>
            </w:r>
            <w:r w:rsidR="00500B8D" w:rsidRPr="003E0254">
              <w:rPr>
                <w:bCs/>
                <w:sz w:val="20"/>
                <w:szCs w:val="20"/>
                <w:u w:val="single"/>
              </w:rPr>
              <w:instrText>1 for over 450 cycles. The insights gained from this work on the [0001]-oriented Zn metal anode and its persistently homoepitaxial mechanism pave the way for other metal electrodes with high reversibility. The authors present a single [0001]-oriented Zn metal anode with high reversibility and demonstrate the significance of the Zn(0002) metal anode, characterized by a single crystalline orientation, for promoting ultra-sustainable homoepitaxial growth.","author":[{"dropping-particle":"","family":"Zhang","given":"Xiaotan","non-dropping-particle":"","parse-names":false,"suffix":""},{"dropping-particle":"","family":"Li","given":"Jiangxu","non-dropping-particle":"","parse-names":false,"suffix":""},{"dropping-particle":"","family":"Liu","given":"Yanfen","non-dropping-particle":"","parse-names":false,"suffix":""},{"dropping-particle":"","family":"Lu","given":"Bingan","non-dropping-particle":"","parse-names":false,"suffix":""},{"dropping-particle":"","family":"Liang","given":"Shuquan","non-dropping-particle":"","parse-names":false,"suffix":""},{"dropping-particle":"","family":"Zhou","given":"Jiang","non-dropping-particle":"","parse-names":false,"suffix":""}],"container-title":"Nature Communications 2024 15:1","id":"ITEM-2","issue":"1","issued":{"date-parts":[["2024","3","28"]]},"page":"1-9","publisher":"Nature Publishing Group","title":"Single [0001]-oriented zinc metal anode enables sustainable zinc batteries","type":"article-journal","volume":"15"},"uris":["http://www.mendeley.com/documents/?uuid=c832b789-cc71-3cea-8d0c-1cca3be414f6"]},{"id":"ITEM-3","itemData":{"DOI":"10.1016/J.SCIB.2022.01.010","ISSN":"2095-9273","abstract":"Despite the advances of aqueous zinc (Zn) batteries as sustainable energy storage systems, their practical application remains challenging due to the issues of spontaneous corrosion and dendritic deposits at the Zn metal anode. In this work, conformal growth of zinc hydroxide sulfate (ZHS) with dominating (0 0 1) facet was realized on (0 0 2) plane-dominated Zn metal foil fabricated through a facile thermal annealing process. The ZHS possessed high Zn2+ conductivity (16.9 mS cm−1) and low electronic conductivity (1.28 × 104 Ω cm), and acted as a heterogeneous and robust solid electrolyte interface (SEI) layer on metallic Zn electrode, which regulated the electrochemical Zn plating behavior and suppressed side reactions simultaneously. Moreover, low self-diffusion barrier along the (0 0 2) plane promoted the 2D diffusion and horizontal electrochemical plating of metallic Zn for (0 0 2)-textured Zn electrode. Consequently, the as-achieved Zn electrode exhibited remarkable cycling stability over 7000 cycles at 2 mA cm−2 and 0.5 mAh cm−2 with a low overpotential of 25 mV in symmetric cells. Pairing with a MnO2 cathode, the as-achieved Zn electrode achieved stable cell cycling with 92.7% capacity retention after 1000 cycles at 10 C with a remarkable average Coulombic efficiency of 99.9%.","author":[{"dropping-particle":"","family":"Wang","given":"Jindi","non-dropping-particle":"","parse-names":false,"suffix":""},{"dropping-particle":"","family":"Zhang","given":"Bao","non-dropping-particle":"","parse-names":false,"suffix":""},{"dropping-particle":"","family":"Cai","given":"Zhao","non-dropping-particle":"","parse-names":false,"suffix":""},{"dropping-particle":"","family":"Zhan","given":"Renming","non-dropping-particle":"","parse-names":false,"suffix":""},{"dropping-particle":"","family":"Wang","given":"Wenyu","non-dropping-particle":"","parse-names":false,"suffix":""},{"dropping-particle":"","family":"Fu","given":"Lin","non-dropping-particle":"","parse-names":false,"suffix":""},{"dropping-particle":"","family":"Wan","given":"Mintao","non-dropping-particle":"","parse-names":false,"suffix":""},{"dropping-particle":"","family":"Xiao","given":"Run","non-dropping-particle":"","parse-names":false,"suffix":""},{"dropping-particle":"","family":"Ou","given":"Yangtao","non-dropping-particle":"","parse-names":false,"suffix":""},{"dropping-particle":"","family":"Wang","given":"Li","non-dropping-particle":"","parse-names":false,"suffix":""},{"dropping-particle":"","family":"Jiang","given":"Jianjun","non-dropping-particle":"","parse-names":false,"suffix":""},{"dropping-particle":"","family":"Seh","given":"Zhi Wei","non-dropping-particle":"","parse-names":false,"suffix":""},{"dropping-particle":"","family":"Li","given":"Hong","non-dropping-particle":"","parse-names":false,"suffix":""},{"dropping-particle":"","family":"Sun","given":"Yongming","non-dropping-particle":"","parse-names":false,"suffix":""}],"container-title":"Science Bulletin","id":"ITEM-3","issue":"7","issued":{"date-parts":[["2022","4","15"]]},"page":"716-724","publisher":"Elsevier","title":"Stable interphase chemistry of textured Zn anode for rechargeable aqueous batteries","type":"article-journal","volume":"67"},"uris":["http://www.mendeley.com/documents/?uuid=24133730-f20a-34f6-bbf2-fdb4a36e7320"]}],"mendeley":{"formattedCitation":"&lt;sup&gt;[71–73]&lt;/sup&gt;","plainTextFormattedCitation":"[71–73]","previouslyFormattedCitation":"&lt;sup&gt;[70–72]&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[71–73]</w:t>
            </w:r>
            <w:r w:rsidRPr="003E0254">
              <w:rPr>
                <w:bCs/>
                <w:sz w:val="20"/>
                <w:szCs w:val="20"/>
                <w:u w:val="single"/>
              </w:rPr>
              <w:fldChar w:fldCharType="end"/>
            </w:r>
          </w:p>
        </w:tc>
        <w:tc>
          <w:tcPr>
            <w:tcW w:w="712" w:type="pct"/>
            <w:vMerge w:val="restart"/>
            <w:tcBorders>
              <w:right w:val="single" w:sz="12" w:space="0" w:color="auto"/>
            </w:tcBorders>
            <w:shd w:val="clear" w:color="auto" w:fill="99CCFF"/>
          </w:tcPr>
          <w:p w14:paraId="17DB7295" w14:textId="6FB1A73B" w:rsidR="00C60055" w:rsidRPr="003E0254" w:rsidRDefault="00C60055" w:rsidP="00B411DE">
            <w:pPr>
              <w:spacing w:line="276" w:lineRule="auto"/>
              <w:rPr>
                <w:bCs/>
                <w:sz w:val="20"/>
                <w:szCs w:val="20"/>
                <w:u w:val="single"/>
              </w:rPr>
            </w:pPr>
            <w:r w:rsidRPr="003E0254">
              <w:rPr>
                <w:bCs/>
                <w:sz w:val="20"/>
                <w:szCs w:val="20"/>
                <w:u w:val="single"/>
              </w:rPr>
              <w:t>Interface modifications / surface coatings</w:t>
            </w:r>
            <w:r w:rsidRPr="003E0254">
              <w:rPr>
                <w:bCs/>
                <w:sz w:val="20"/>
                <w:szCs w:val="20"/>
                <w:u w:val="single"/>
              </w:rPr>
              <w:fldChar w:fldCharType="begin" w:fldLock="1"/>
            </w:r>
            <w:r w:rsidR="00500B8D" w:rsidRPr="003E0254">
              <w:rPr>
                <w:bCs/>
                <w:sz w:val="20"/>
                <w:szCs w:val="20"/>
                <w:u w:val="single"/>
              </w:rPr>
              <w:instrText>ADDIN CSL_CITATION {"citationItems":[{"id":"ITEM-1","itemData":{"DOI":"10.1002/ANIE.202308017","ISSN":"1521-3773","PMID":"37409886","abstract":"Aqueous zinc-ion batteries are inherently safe, but the severe dendrite growth and corrosion reaction on zinc anodes greatly hinder their practical applications. Most of the strategies for zinc anode modification refer to the research of lithium metal anodes on surface regulation without considering the intrinsic mechanisms of zinc anode. Herein, we first point out that surface modification cannot permanently protect zinc anodes due to the unavoidable surface damage during the stripping process by solid–liquid conversion. A bulk-phase reconstruction strategy is proposed to introduce abundant zincophilic sites both on the surface and inside the commercial zinc foils. The bulk-phase reconstructed zinc foil anodes exhibit uniform surfaces with high zincophilicity even after deep stripping, significantly improving the resistance to dendrite growth and side reactions. Our proposed strategy suggests a promising direction for the development of dendrite-free metal anodes for practical rechargeable batteries with high sustainability.","author":[{"dropping-particle":"","family":"Yang","given":"Zefang","non-dropping-particle":"","parse-names":false,"suffix":""},{"dropping-particle":"","family":"Hu","given":"Chao","non-dropping-particle":"","parse-names":false,"suffix":""},{"dropping-particle":"","family":"Zhang","given":"Qi","non-dropping-particle":"","parse-names":false,"suffix":""},{"dropping-particle":"","family":"Wu","given":"Tingqing","non-dropping-particle":"","parse-names":false,"suffix":""},{"dropping-particle":"","family":"Xie","given":"Chunlin","non-dropping-particle":"","parse-names":false,"suffix":""},{"dropping-particle":"","family":"Wang","given":"Hao","non-dropping-particle":"","parse-names":false,"suffix":""},{"dropping-particle":"","family":"Tang","given":"Yougen","non-dropping-particle":"","parse-names":false,"suffix":""},{"dropping-particle":"","family":"Ji","given":"Xiaobo","non-dropping-particle":"","parse-names":false,"suffix":""},{"dropping-particle":"","family":"Wang","given":"Haiyan","non-dropping-particle":"","parse-names":false,"suffix":""}],"container-title":"Angewandte Chemie International Edition","id":"ITEM-1","issue":"35","issued":{"date-parts":[["2023","8","28"]]},"page":"e202308017","publisher":"John Wiley &amp; Sons, Ltd","title":"Bulk-Phase Reconstruction Enables Robust Zinc Metal Anodes for Aqueous Zinc-Ion Batteries","type":"article-journal","volume":"62"},"uris":["http://www.mendeley.com/documents/?uuid=a104e182-af35-3413-a23f-d47eea6720bc"]},{"id":"ITEM-2","itemData":{"DOI":"10.1016/J.JPOWSOUR.2023.233504","ISSN":"0378-7753","abstract":"Aqueous zinc ion batteries (AZIBs) are considered as one of the most promising aqueous energy storage devices due to their advantages of low cost, high capacity, and safety. However, a series of problems such as corrosion, hydrogen evolution, and dendrite of the zinc anode significantly hinder the application of AZIBs. In this work, graphene nanoribbons (GNRs) are initiated as a novel functional interface layer via a facile self-assembly process based on the redox reaction of graphene oxide nanoribbons (GONRs) and Zn foil, which is found to be able to act as an ion buffer layer and guide Zn2+ to nucleate uniformly at the zinc anode, thus successfully prevents the formation of passivated by-products and reduces the occurrence of hydrogen evolution reaction and serious dendrite growth. As a result, GNRs@Zn exhibits lower nucleation overpotential (18.7 and 36.5 mV at 0.2 and 1 mA cm−2), higher reversibility (≈17 times higher than that of bare Zn), and dendrite-free durability compared to the original zinc in this synergy. In addition, GNRs@Zn anode exhibits excellent compatibility with the main cathodes of rechargeable AZIBs, such as ZnxV2O5 and MnO2 cathode, among which GNRs@Zn//ZnxV2O5 full battery delivers ultra-long cycle life of more than 9000 cycles with capacity retention of 105% at 5 A g−1, showing great prospect in practical application. This work provides a new idea for realizing high-performance rechargeable zinc-based battery systems.","author":[{"dropping-particle":"","family":"Wang","given":"Ronghua","non-dropping-particle":"","parse-names":false,"suffix":""},{"dropping-particle":"","family":"Zhou","given":"Minquan","non-dropping-particle":"","parse-names":false,"suffix":""},{"dropping-particle":"","family":"Xiang","given":"Yongsheng","non-dropping-particle":"","parse-names":false,"suffix":""},{"dropping-particle":"","family":"Yang","given":"Jie","non-dropping-particle":"","parse-names":false,"suffix":""},{"dropping-particle":"","family":"Xu","given":"Chaohe","non-dropping-particle":"","parse-names":false,"suffix":""},{"dropping-particle":"","family":"Li","given":"Xinlu","non-dropping-particle":"","parse-names":false,"suffix":""}],"container-title":"Journal of Power Sources","id":"ITEM-2","issued":{"date-parts":[["2023","10","30"]]},"page":"233504","publisher":"Elsevier","title":"Dendrite-free zinc anodes via self-assembly of graphene nanoribbon for long-life aqueous zinc-ion batteries","type":"article-journal","volume":"582"},"uris":["http://www.mendeley.com/documents/?uuid=67fe89d6-e4a2-36d7-bcba-01ad5ddd5648"]},{"id":"ITEM-3","itemData":{"DOI":"10.1002/ADFM.202305550","ISSN":"1616-3028","abstract":"Zinc (Zn) metal anodes of aqueous zinc-ion batteries (AZIBs) have attracted significant attention due to their high theoretical capacities, low redox potentials, and low cost. However, uncontrollable dendrite formation and side reactions can result in limited reversible cycling and quick failure of the batteries. Herein, a polyvinylidene fluoride (PVDF)-based protection layer (PVDF-MXene) with high β-phase content is built by the 3D printing method. The synergistic effect attributed to the 3D printing approach and MXene nanosheets contributes to phase transition of the PVDF polymer chains from α-phase to β-phase, improving the ferroelectric properties of the printed PVDF films. Such a protection layer can manipulate the concentration distribution of zinc ions and enable the uniform growth of zinc plates. As a result, symmetrical zinc batteries using such anodes (PVDF-MXene-Zn) exhibit reversible Zn plating/stripping with low voltage hysteresis at 1.0 mA cm−2, 1.0 mAh cm−2 for over 4200 h, and a high-rate capability up to 10 mA cm−2. When assembled with MnO2 and activated carbon, the resulting Zn-MnO2 battery and zinc-ion capacitor exhibited significantly enhanced cycling stability. The proposed strategy in this study provides a novel strategy for the protection of the zinc anode, thus promoting the practical application of ZIBs.","author":[{"dropping-particle":"","family":"Zhu","given":"Guoyin","non-dropping-particle":"","parse-names":false,"suffix":""},{"dropping-particle":"","family":"Zhang","given":"Hongcheng","non-dropping-particle":"","parse-names":false,"suffix":""},{"dropping-particle":"","family":"Lu","given":"Jingqi","non-dropping-particle":"","parse-names":false,"suffix":""},{"dropping-particle":"","family":"Hou","given":"Yanan","non-dropping-particle":"","parse-names":false,"suffix":""},{"dropping-particle":"","family":"Liu","given":"Pin","non-dropping-particle":"","parse-names":false,"suffix":""},{"dropping-particle":"","family":"Dong","given":"Shengyang","non-dropping-particle":"","parse-names":false,"suffix":""},{"dropping-particle":"","family":"Pang","given":"Huan","non-dropping-particle":"","parse-names":false,"suffix":""},{"dropping-particle":"","family":"Zhang","given":"Yizhou","non-dropping-particle":"","parse-names":false,"suffix":""}],"container-title":"Advanced Functional Materials","id":"ITEM-3","issue":"1","issued":{"date-parts":[["2024","1","1"]]},"page":"2305550","publisher":"John Wiley &amp; Sons, Ltd","title":"3D Printing of MXene-Enhanced Ferroelectric Polymer for Ultrastable Zinc Anodes","type":"article-journal","volume":"34"},"uris":["http://www.mendeley.com/documents/?uuid=f2d94d6e-e34f-3265-bef3-13307d472815"]}],"mendeley":{"formattedCitation":"&lt;sup&gt;[74–76]&lt;/sup&gt;","plainTextFormattedCitation":"[74–76]","previouslyFormattedCitation":"&lt;sup&gt;[73–75]&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[74–76]</w:t>
            </w:r>
            <w:r w:rsidRPr="003E0254">
              <w:rPr>
                <w:bCs/>
                <w:sz w:val="20"/>
                <w:szCs w:val="20"/>
                <w:u w:val="single"/>
              </w:rPr>
              <w:fldChar w:fldCharType="end"/>
            </w:r>
          </w:p>
        </w:tc>
        <w:tc>
          <w:tcPr>
            <w:tcW w:w="704" w:type="pct"/>
            <w:tcBorders>
              <w:left w:val="single" w:sz="12" w:space="0" w:color="auto"/>
            </w:tcBorders>
            <w:shd w:val="clear" w:color="auto" w:fill="99CCFF"/>
          </w:tcPr>
          <w:p w14:paraId="58C78C5A" w14:textId="379FB4CF" w:rsidR="00C60055" w:rsidRPr="003E0254" w:rsidRDefault="00C60055" w:rsidP="00B411DE">
            <w:pPr>
              <w:spacing w:line="276" w:lineRule="auto"/>
              <w:rPr>
                <w:bCs/>
                <w:sz w:val="20"/>
                <w:szCs w:val="20"/>
                <w:u w:val="single"/>
              </w:rPr>
            </w:pPr>
            <w:r w:rsidRPr="003E0254">
              <w:rPr>
                <w:bCs/>
                <w:sz w:val="20"/>
                <w:szCs w:val="20"/>
                <w:u w:val="single"/>
              </w:rPr>
              <w:t>(doped) Manganese Oxides</w:t>
            </w:r>
            <w:r w:rsidRPr="003E0254">
              <w:rPr>
                <w:bCs/>
                <w:sz w:val="20"/>
                <w:szCs w:val="20"/>
                <w:u w:val="single"/>
              </w:rPr>
              <w:fldChar w:fldCharType="begin" w:fldLock="1"/>
            </w:r>
            <w:r w:rsidR="00500B8D" w:rsidRPr="003E0254">
              <w:rPr>
                <w:bCs/>
                <w:sz w:val="20"/>
                <w:szCs w:val="20"/>
                <w:u w:val="single"/>
              </w:rPr>
              <w:instrText>ADDIN CSL_CITATION {"citationItems":[{"id":"ITEM-1","itemData":{"DOI":"10.3390/BATTERIES8120267/S1","ISSN":"23130105","abstract":"Rechargeable aqueous Zn/MnO2 batteries are very potential for large-scale energy storage applications owing to their low cost, inherent safety, and high theoretical capacity. However, the MnO2 cathode delivers unsatisfactory cycling performance owing to its low intrinsic electronic conductivity and dissolution issue. Herein, we design and synthesize a Ag-doped sea-urchin-like MnO2 material for rechargeable zinc-ion batteries (ZIBs). Doping Ag was found to reduce charge transfer resistance, increase the redox activity, and improve the cycling stability of MnO2. The unique sea-urchin-like structure maintains rich active sites for charge storage. As a result, the Ag-doped MnO2-based ZIB presents a high reversible specific capacity to 315 mA h g−1 at 50 mA g−1, excellent rate performance, and a capacity retention of 94.4% when cycling over 500 cycles. An ex situ TEM test demonstrates the low-dissolution property of Ag-doped MnO2. A flexible quasi-solid-state ZIB is successfully assembled using Ag-doped MnO2 on graphite paper, which shows a stable specific capacity of 171 mA h g−1 at 1 A g−1 when cycled over 600 cycles. Our investigation demonstrates the significant role played by Ag doping in enhancing the ZIB performance of MnO2, and gives some insight into developing advanced active materials by heteroatom doping.","author":[{"dropping-particle":"","family":"Liao","given":"Yanxin","non-dropping-particle":"","parse-names":false,"suffix":""},{"dropping-particle":"","family":"Yang","given":"Chun","non-dropping-particle":"","parse-names":false,"suffix":""},{"dropping-particle":"","family":"Xu","given":"Qimeng","non-dropping-particle":"","parse-names":false,"suffix":""},{"dropping-particle":"","family":"Zhao","given":"Wenxuan","non-dropping-particle":"","parse-names":false,"suffix":""},{"dropping-particle":"","family":"Zhao","given":"Jingwen","non-dropping-particle":"","parse-names":false,"suffix":""},{"dropping-particle":"","family":"Wang","given":"Kuikui","non-dropping-particle":"","parse-names":false,"suffix":""},{"dropping-particle":"","family":"Chen","given":"Hai Chao","non-dropping-particle":"","parse-names":false,"suffix":""}],"container-title":"Batteries","id":"ITEM-1","issue":"12","issued":{"date-parts":[["2022","12","1"]]},"page":"267","publisher":"MDPI","title":"Ag-Doping Effect on MnO2 Cathodes for Flexible Quasi-Solid-State Zinc-Ion Batteries","type":"article-journal","volume":"8"},"uris":["http://www.mendeley.com/documents/?uuid=7590f81d-af2d-3280-8604-9d6e8e5155fd"]},{"id":"ITEM-2","itemData":{"DOI":"10.1016/J.ISCI.2020.100943","ISSN":"2589-0042","abstract":"Rechargeable Zn-ion batteries working with manganese oxide cathodes and mild aqueous electrolytes suffer from notorious cathode dissolution during galvanostatic cycling. Herein, for the first time we demonstrate the dynamic self-recovery chemistry of manganese compound during charge/discharge processes, which strongly determines the battery performance. A cobalt-modified δ-MnO2 with a redox-active surface shows superior self-recovery capability as a cathode. The cobalt-containing species in the cathode enable efficient self-recovery by continuously catalyzing the electrochemical deposition of active Mn compound, which is confirmed by characterizations of both practical coin-type batteries and a new-design electrolyzer system. Under optimized condition, a high specific capacity over 500 mAh g−1 is achieved, together with a decent cycling performance with a retention rate of 63% over 5,000 cycles. With this cobalt-facilitated deposition effect, the battery with low concentration (0.02 M) of additive Mn2+ in the electrolyte (only 12 atom % to the overall Mn) maintains decent capacity retention.","author":[{"dropping-particle":"","family":"Zhong","given":"Yijun","non-dropping-particle":"","parse-names":false,"suffix":""},{"dropping-particle":"","family":"Xu","given":"Xiaomin","non-dropping-particle":"","parse-names":false,"suffix":""},{"dropping-particle":"","family":"Veder","given":"Jean Pierre","non-dropping-particle":"","parse-names":false,"suffix":""},{"dropping-particle":"","family":"Shao","given":"Zongping","non-dropping-particle":"","parse-names":false,"suffix":""}],"container-title":"iScience","id":"ITEM-2","issue":"3","issued":{"date-parts":[["2020","3","27"]]},"page":"100943","publisher":"Elsevier","title":"Self-Recovery Chemistry and Cobalt-Catalyzed Electrochemical Deposition of Cathode for Boosting Performance of Aqueous Zinc-Ion Batteries","type":"article-journal","volume":"23"},"uris":["http://www.mendeley.com/documents/?uuid=037de399-4db1-45cc-92f1-4e43d91a09e3"]},{"id":"ITEM-3","itemData":{"DOI":"10.1016/J.APSUSC.2022.153335","ISSN":"0169-4332","abstract":"The disproportionation reaction and irreversible phase transition of MnO2 cathode during charge/discharge seriously limit the cycle life of Zn–MnO2 batteries. Herein, we introduce high valence doping of Mo into the [MnO6] octahedral structure of α-MnO2 nanowires (Mo-MnO2) to inhibit the disproportionation reaction of Mn3+. The Mo-MnO2 exhibits the high specific capacities of 222.8 mAh g−1 at 100 mA g−1 and 65.8 mAh g−1 at 5.0 A g−1, as well as the excellent cycling stability with the retention of 82.6% at 2 A g−1 after 1000 cycles, which is 60.0% higher than that of pure MnO2. The EX-situ characterization technologies indicate that doping high valence Mo can effectively inhibit the dissolution of Mn3+ to improve cycle stability, and provide additional capacity due to multivalent transition of Mo. Meanwhile, the doped Mo also significantly promotes the proton migration, which won't cause lattice distortion during the proton insertion/extraction process and further improved cyclic stability. The first principle calculation shows that Mo-doped could effectively promote the proton transport and structural stability of discharge product MnOOH, which verifies the source of stability. This work provides new ideas for the design of highly reversible manganese-based oxide cathode materials for zinc-ion batteries.","author":[{"dropping-particle":"","family":"Zheng","given":"Zhaohan","non-dropping-particle":"","parse-names":false,"suffix":""},{"dropping-particle":"","family":"Yang","given":"Gaochen","non-dropping-particle":"","parse-names":false,"suffix":""},{"dropping-particle":"","family":"Yao","given":"Jia","non-dropping-particle":"","parse-names":false,"suffix":""},{"dropping-particle":"","family":"Li","given":"Jingying","non-dropping-particle":"","parse-names":false,"suffix":""},{"dropping-particle":"","family":"Zheng","given":"Junjie","non-dropping-particle":"","parse-names":false,"suffix":""},{"dropping-particle":"","family":"Wu","given":"Ziang","non-dropping-particle":"","parse-names":false,"suffix":""},{"dropping-particle":"","family":"Gan","given":"Yi","non-dropping-particle":"","parse-names":false,"suffix":""},{"dropping-particle":"","family":"Wang","given":"Cong","non-dropping-particle":"","parse-names":false,"suffix":""},{"dropping-particle":"","family":"Lv","given":"Lin","non-dropping-particle":"","parse-names":false,"suffix":""},{"dropping-particle":"","family":"Wan","given":"Houzhao","non-dropping-particle":"","parse-names":false,"suffix":""},{"dropping-particle":"","family":"Chen","given":"Chi","non-dropping-particle":"","parse-names":false,"suffix":""},{"dropping-particle":"","family":"Wang","given":"Hanbin","non-dropping-particle":"","parse-names":false,"suffix":""},{"dropping-particle":"","family":"Tao","given":"Li","non-dropping-particle":"","parse-names":false,"suffix":""},{"dropping-particle":"","family":"Zhang","given":"Jun","non-dropping-particle":"","parse-names":false,"suffix":""},{"dropping-particle":"","family":"Wang","given":"Hao","non-dropping-particle":"","parse-names":false,"suffix":""}],"container-title":"Applied Surface Science","id":"ITEM-3","issued":{"date-parts":[["2022","8","1"]]},"page":"153335","publisher":"North-Holland","title":"High-valence molybdenum promoted proton migration and inhibited dissolution for long-life aqueous Zn-MnO2 batteries","type":"article-journal","volume":"592"},"uris":["http://www.mendeley.com/documents/?uuid=7511b812-d59e-39e0-b4e0-21342518b49e"]}],"mendeley":{"formattedCitation":"&lt;sup&gt;[77–79]&lt;/sup&gt;","plainTextFormattedCitation":"[77–79]","previouslyFormattedCitation":"&lt;sup&gt;[76–78]&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[77–79]</w:t>
            </w:r>
            <w:r w:rsidRPr="003E0254">
              <w:rPr>
                <w:bCs/>
                <w:sz w:val="20"/>
                <w:szCs w:val="20"/>
                <w:u w:val="single"/>
              </w:rPr>
              <w:fldChar w:fldCharType="end"/>
            </w:r>
          </w:p>
          <w:p w14:paraId="6300642A" w14:textId="77777777" w:rsidR="00C60055" w:rsidRPr="003E0254" w:rsidRDefault="00C60055" w:rsidP="008462C9">
            <w:pPr>
              <w:spacing w:line="276" w:lineRule="auto"/>
              <w:rPr>
                <w:bCs/>
                <w:sz w:val="20"/>
                <w:szCs w:val="20"/>
                <w:u w:val="single"/>
              </w:rPr>
            </w:pPr>
          </w:p>
        </w:tc>
        <w:tc>
          <w:tcPr>
            <w:tcW w:w="848" w:type="pct"/>
            <w:tcBorders>
              <w:right w:val="single" w:sz="12" w:space="0" w:color="auto"/>
            </w:tcBorders>
            <w:shd w:val="clear" w:color="auto" w:fill="99CCFF"/>
          </w:tcPr>
          <w:p w14:paraId="210F81B7" w14:textId="663EED95" w:rsidR="00C60055" w:rsidRPr="003E0254" w:rsidRDefault="00C60055" w:rsidP="00B411DE">
            <w:pPr>
              <w:spacing w:line="276" w:lineRule="auto"/>
              <w:rPr>
                <w:bCs/>
                <w:sz w:val="20"/>
                <w:szCs w:val="20"/>
                <w:u w:val="single"/>
              </w:rPr>
            </w:pPr>
            <w:r w:rsidRPr="003E0254">
              <w:rPr>
                <w:bCs/>
                <w:sz w:val="20"/>
                <w:szCs w:val="20"/>
                <w:u w:val="single"/>
              </w:rPr>
              <w:t>Conductive Agents</w:t>
            </w:r>
            <w:r w:rsidRPr="003E0254">
              <w:rPr>
                <w:bCs/>
                <w:sz w:val="20"/>
                <w:szCs w:val="20"/>
                <w:u w:val="single"/>
              </w:rPr>
              <w:fldChar w:fldCharType="begin" w:fldLock="1"/>
            </w:r>
            <w:r w:rsidR="00500B8D" w:rsidRPr="003E0254">
              <w:rPr>
                <w:bCs/>
                <w:sz w:val="20"/>
                <w:szCs w:val="20"/>
                <w:u w:val="single"/>
              </w:rPr>
              <w:instrText>ADDIN CSL_CITATION {"citationItems":[{"id":"ITEM-1","itemData":{"DOI":"10.1039/C9TA11031C","ISSN":"2050-7496","abstract":"Energy storage devices with low-cost and high-safety features are essential because of the continued consumption of fossil fuels. Aqueous zinc ion batteries, owing to their superior safety, high abundance and high theoretic capacity, have attracted increasing attention. Herein, for the first time, the M phase VO2 integrated with carbon nanotubes as a binder-free cathode for zinc ion batteries was studied. The as-prepared binder-free cathode shows ultrahigh rate performance with 248 mA h g−1 at 2 A g−1, 232.6 mA h g−1 (93.8% maintained compared to 2 A g−1) at 20 A g−1 and 194.9 mA h g−1 at 40 A g−1. Good stability was achieved with 84.5% retention after up to 5000 cycles at 20 A g−1. This ultrahigh capacity retention at such high current densities is comparable among the reported studies. To fundamentally reveal the electrochemical mechanism, the bond valence method was employed to unravel the migration pathway of H+/Zn2+ in VO2(M). The H+ diffusion pathway was fluent, while the Zn2+ route had a narrow and blocked passage, which was consistent with the reversible deposition/dissolution of hydroxyzinc sulfate hydrate in the electrochemical process. The pseudocapacitive proton insertion mechanism can be a promising strategy to explore cathode materials for aqueous zinc ion batteries.","author":[{"dropping-particle":"","family":"Zhang","given":"Lishang","non-dropping-particle":"","parse-names":false,"suffix":""},{"dropping-particle":"","family":"Miao","given":"Ling","non-dropping-particle":"","parse-names":false,"suffix":""},{"dropping-particle":"","family":"Zhang","given":"Bao","non-dropping-particle":"","parse-names":false,"suffix":""},{"dropping-particle":"","family":"Wang","given":"Jinsong","non-dropping-particle":"","parse-names":false,"suffix":""},{"dropping-particle":"","family":"Liu","given":"Jia","non-dropping-particle":"","parse-names":false,"suffix":""},{"dropping-particle":"","family":"Tan","given":"Qiuyang","non-dropping-particle":"","parse-names":false,"suffix":""},{"dropping-particle":"","family":"Wan","given":"Houzhao","non-dropping-particle":"","parse-names":false,"suffix":""},{"dropping-particle":"","family":"Jiang","given":"Jianjun","non-dropping-particle":"","parse-names":false,"suffix":""}],"container-title":"Journal of Materials Chemistry A","id":"ITEM-1","issue":"4","issued":{"date-parts":[["2020","1","28"]]},"page":"1731-1740","publisher":"The Royal Society of Chemistry","title":"A durable VO2(M)/Zn battery with ultrahigh rate capability enabled by pseudocapacitive proton insertion","type":"article-journal","volume":"8"},"uris":["http://www.mendeley.com/documents/?uuid=5c29ec7b-a25b-3b9a-af93-be8096e3e594"]},{"id":"ITEM-2","itemData":{"DOI":"10.3390/NANO11041054","ISSN":"2079-4991","abstract":"Aqueous zinc-ion batteries (ZIBs) with the characteristics of low production costs and good safety have been regarded as ideal candidates for large-scale energy storage applications. However, the nonconductive and non-redox active polymer used as the binder in the traditional preparation of electrodes hinders the exposure of active sites and limits the diffusion of ions, compromising the energy density of the electrode in ZIBs. Herein, we fabricated vanadium pentoxide nanofibers/carbon nanotubes (V2O5/CNTs) hybrid films as binder-free cathodes for ZIBs. High ionic conductivity and electronic conductivity were enabled in the V2O5/CNTs film due to the porous structure of the film and the introduction of carbon nanotubes with high electronic conductivity. As a result, the batteries based on the V2O5/CNTs film exhibited a higher capacity of 390 mAh g?1 at 1 A g?1, as compared to batteries based on V2O5 (263 mAh g?1). Even at 5 A g?1, the battery based on the V2O5/CNTs film maintained a capacity of 250 mAh g?1 after 2000 cycles with a capacity retention of 94%. In addition, the V2O5/CNTs film electrode also showed a high energy/power density (e.g., 67 kW kg?1/267 Wh kg?1). The capacitance response and rapid diffusion coefficient of Zn2+ (~10?8 cm?2 s?1) can explain the excellent rate capability of V2O5/CNTs. The vanadium pentoxide nanofibers/carbon nanotubes hybrid film as binder-free cathodes showed a high capability and a stable cyclability, demonstrating that it is highly promising for large-scale energy storage applications.","author":[{"dropping-particle":"","family":"Liu","given":"Xianyu","non-dropping-particle":"","parse-names":false,"suffix":""},{"dropping-particle":"","family":"Ma","given":"Liwen","non-dropping-particle":"","parse-names":false,"suffix":""},{"dropping-particle":"","family":"Du","given":"Yehong","non-dropping-particle":"","parse-names":false,"suffix":""},{"dropping-particle":"","family":"Lu","given":"Qiongqiong","non-dropping-particle":"","parse-names":false,"suffix":""},{"dropping-particle":"","family":"Yang","given":"Aikai","non-dropping-particle":"","parse-names":false,"suffix":""},{"dropping-particle":"","family":"Wang","given":"Xinyu","non-dropping-particle":"","parse-names":false,"suffix":""}],"container-title":"Nanomaterials 2021, Vol. 11, Page 1054","id":"ITEM-2","issue":"4","issued":{"date-parts":[["2021","4","20"]]},"page":"1054","publisher":"Multidisciplinary Digital Publishing Institute","title":"Vanadium Pentoxide Nanofibers/Carbon Nanotubes Hybrid Film for High-Performance Aqueous Zinc-Ion Batteries","type":"article-journal","volume":"11"},"uris":["http://www.mendeley.com/documents/?uuid=54a85714-7416-3493-9698-9d7ec8d90ba9"]}],"mendeley":{"formattedCitation":"&lt;sup&gt;[80,81]&lt;/sup&gt;","plainTextFormattedCitation":"[80,81]","previouslyFormattedCitation":"&lt;sup&gt;[79,80]&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[80,81]</w:t>
            </w:r>
            <w:r w:rsidRPr="003E0254">
              <w:rPr>
                <w:bCs/>
                <w:sz w:val="20"/>
                <w:szCs w:val="20"/>
                <w:u w:val="single"/>
              </w:rPr>
              <w:fldChar w:fldCharType="end"/>
            </w:r>
          </w:p>
          <w:p w14:paraId="17AAA7EF" w14:textId="054A033D" w:rsidR="00C60055" w:rsidRPr="003E0254" w:rsidRDefault="00C60055" w:rsidP="00B411DE">
            <w:pPr>
              <w:spacing w:line="276" w:lineRule="auto"/>
              <w:rPr>
                <w:bCs/>
                <w:sz w:val="20"/>
                <w:szCs w:val="20"/>
              </w:rPr>
            </w:pPr>
          </w:p>
        </w:tc>
      </w:tr>
      <w:tr w:rsidR="00C60055" w:rsidRPr="003E0254" w14:paraId="3005CA9E" w14:textId="77777777" w:rsidTr="00B411DE">
        <w:tc>
          <w:tcPr>
            <w:tcW w:w="509" w:type="pct"/>
            <w:vMerge/>
            <w:tcBorders>
              <w:left w:val="single" w:sz="12" w:space="0" w:color="auto"/>
              <w:right w:val="single" w:sz="12" w:space="0" w:color="auto"/>
            </w:tcBorders>
            <w:shd w:val="clear" w:color="auto" w:fill="99CCFF"/>
          </w:tcPr>
          <w:p w14:paraId="598FFA8B" w14:textId="77777777" w:rsidR="00C60055" w:rsidRPr="003E0254" w:rsidRDefault="00C60055" w:rsidP="00B411DE">
            <w:pPr>
              <w:spacing w:line="276" w:lineRule="auto"/>
              <w:rPr>
                <w:b/>
                <w:bCs/>
                <w:u w:val="single"/>
              </w:rPr>
            </w:pPr>
          </w:p>
        </w:tc>
        <w:tc>
          <w:tcPr>
            <w:tcW w:w="746" w:type="pct"/>
            <w:vMerge/>
            <w:tcBorders>
              <w:left w:val="single" w:sz="12" w:space="0" w:color="auto"/>
            </w:tcBorders>
            <w:shd w:val="clear" w:color="auto" w:fill="99CCFF"/>
          </w:tcPr>
          <w:p w14:paraId="038B7B65" w14:textId="77777777" w:rsidR="00C60055" w:rsidRPr="003E0254" w:rsidRDefault="00C60055" w:rsidP="00B411DE">
            <w:pPr>
              <w:spacing w:line="276" w:lineRule="auto"/>
              <w:rPr>
                <w:bCs/>
                <w:sz w:val="20"/>
                <w:szCs w:val="20"/>
              </w:rPr>
            </w:pPr>
          </w:p>
        </w:tc>
        <w:tc>
          <w:tcPr>
            <w:tcW w:w="768" w:type="pct"/>
            <w:tcBorders>
              <w:right w:val="single" w:sz="12" w:space="0" w:color="auto"/>
            </w:tcBorders>
            <w:shd w:val="clear" w:color="auto" w:fill="99CCFF"/>
          </w:tcPr>
          <w:p w14:paraId="595F3FE5" w14:textId="6042513E" w:rsidR="00C60055" w:rsidRPr="003E0254" w:rsidRDefault="00C60055" w:rsidP="00B411DE">
            <w:pPr>
              <w:spacing w:line="276" w:lineRule="auto"/>
              <w:rPr>
                <w:bCs/>
                <w:sz w:val="20"/>
                <w:szCs w:val="20"/>
                <w:u w:val="single"/>
              </w:rPr>
            </w:pPr>
            <w:r w:rsidRPr="003E0254">
              <w:rPr>
                <w:bCs/>
                <w:sz w:val="20"/>
                <w:szCs w:val="20"/>
                <w:u w:val="single"/>
              </w:rPr>
              <w:t>Inorganic salts</w:t>
            </w:r>
            <w:r w:rsidRPr="003E0254">
              <w:rPr>
                <w:bCs/>
                <w:sz w:val="20"/>
                <w:szCs w:val="20"/>
                <w:u w:val="single"/>
              </w:rPr>
              <w:fldChar w:fldCharType="begin" w:fldLock="1"/>
            </w:r>
            <w:r w:rsidR="00500B8D" w:rsidRPr="003E0254">
              <w:rPr>
                <w:bCs/>
                <w:sz w:val="20"/>
                <w:szCs w:val="20"/>
                <w:u w:val="single"/>
              </w:rPr>
              <w:instrText>ADDIN CSL_CITATION {"citationItems":[{"id":"ITEM-1","itemData":{"DOI":"10.1002/adma.202007416","ISSN":"0935-9648","PMID":"33576130","abstract":"Rechargeable aqueous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batteries promise high capacity, low cost, high safety, and sustainability for large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scale energy storage. The Zn metal anode, however, suffers from the dendrite growth and side reactions that are mainly due to the absence of an appropriate solid electrolyte interphase (SEI) layer. Herein, the in situ formation of a dense, stable, and highly Zn 2+ </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conductive SEI layer (hopeite) in aqueous Zn chemistry is demonstrated, by introducing Zn(H 2 PO 4 ) 2 salt into the electrolyte. The hopeite SEI (</w:instrText>
            </w:r>
            <w:r w:rsidR="00500B8D" w:rsidRPr="003E0254">
              <w:rPr>
                <w:rFonts w:ascii="Aptos" w:hAnsi="Aptos" w:cs="Aptos"/>
                <w:bCs/>
                <w:sz w:val="20"/>
                <w:szCs w:val="20"/>
                <w:u w:val="single"/>
              </w:rPr>
              <w:instrText>≈</w:instrText>
            </w:r>
            <w:r w:rsidR="00500B8D" w:rsidRPr="003E0254">
              <w:rPr>
                <w:bCs/>
                <w:sz w:val="20"/>
                <w:szCs w:val="20"/>
                <w:u w:val="single"/>
              </w:rPr>
              <w:instrText>140 nm thickness) enables uniform and rapid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transport kinetics for dendrite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free Zn deposition, and restrains the side reactions via isolating active Zn from the bulk electrolyte. Under practical testing conditions with an ultrathin Zn anode (10 </w:instrText>
            </w:r>
            <w:r w:rsidR="00500B8D" w:rsidRPr="003E0254">
              <w:rPr>
                <w:rFonts w:ascii="Aptos" w:hAnsi="Aptos" w:cs="Aptos"/>
                <w:bCs/>
                <w:sz w:val="20"/>
                <w:szCs w:val="20"/>
                <w:u w:val="single"/>
              </w:rPr>
              <w:instrText>µ</w:instrText>
            </w:r>
            <w:r w:rsidR="00500B8D" w:rsidRPr="003E0254">
              <w:rPr>
                <w:bCs/>
                <w:sz w:val="20"/>
                <w:szCs w:val="20"/>
                <w:u w:val="single"/>
              </w:rPr>
              <w:instrText>m), a low negative/positive capacity ratio (</w:instrText>
            </w:r>
            <w:r w:rsidR="00500B8D" w:rsidRPr="003E0254">
              <w:rPr>
                <w:rFonts w:ascii="Aptos" w:hAnsi="Aptos" w:cs="Aptos"/>
                <w:bCs/>
                <w:sz w:val="20"/>
                <w:szCs w:val="20"/>
                <w:u w:val="single"/>
              </w:rPr>
              <w:instrText>≈</w:instrText>
            </w:r>
            <w:r w:rsidR="00500B8D" w:rsidRPr="003E0254">
              <w:rPr>
                <w:bCs/>
                <w:sz w:val="20"/>
                <w:szCs w:val="20"/>
                <w:u w:val="single"/>
              </w:rPr>
              <w:instrText xml:space="preserve">2.3), and a lean electrolyte (9 </w:instrText>
            </w:r>
            <w:r w:rsidR="00500B8D" w:rsidRPr="003E0254">
              <w:rPr>
                <w:rFonts w:ascii="Aptos" w:hAnsi="Aptos" w:cs="Aptos"/>
                <w:bCs/>
                <w:sz w:val="20"/>
                <w:szCs w:val="20"/>
                <w:u w:val="single"/>
              </w:rPr>
              <w:instrText>µ</w:instrText>
            </w:r>
            <w:r w:rsidR="00500B8D" w:rsidRPr="003E0254">
              <w:rPr>
                <w:bCs/>
                <w:sz w:val="20"/>
                <w:szCs w:val="20"/>
                <w:u w:val="single"/>
              </w:rPr>
              <w:instrText xml:space="preserve">L mAh </w:instrText>
            </w:r>
            <w:r w:rsidR="00500B8D" w:rsidRPr="003E0254">
              <w:rPr>
                <w:rFonts w:ascii="Aptos" w:hAnsi="Aptos" w:cs="Aptos"/>
                <w:bCs/>
                <w:sz w:val="20"/>
                <w:szCs w:val="20"/>
                <w:u w:val="single"/>
              </w:rPr>
              <w:instrText>−</w:instrText>
            </w:r>
            <w:r w:rsidR="00500B8D" w:rsidRPr="003E0254">
              <w:rPr>
                <w:bCs/>
                <w:sz w:val="20"/>
                <w:szCs w:val="20"/>
                <w:u w:val="single"/>
              </w:rPr>
              <w:instrText>1 ), the Zn/V 2 O 5 full cell retains 94.4% of its original capacity after 500 cycles. This work provides a simple yet practical solution to high</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performance aqueous battery technology via building in situ SEI layers.","author":[{"dropping-particle":"","family":"Zeng","given":"Xiaohui","non-dropping-particle":"","parse-names":false,"suffix":""},{"dropping-particle":"","family":"Mao","given":"Jianfeng","non-dropping-particle":"","parse-names":false,"suffix":""},{"dropping-particle":"","family":"Hao","given":"Junnan","non-dropping-particle":"","parse-names":false,"suffix":""},{"dropping-particle":"","family":"Liu","given":"Jiatu","non-dropping-particle":"","parse-names":false,"suffix":""},{"dropping-particle":"","family":"Liu","given":"Sailin","non-dropping-particle":"","parse-names":false,"suffix":""},{"dropping-particle":"","family":"Wang","given":"Zhijie","non-dropping-particle":"","parse-names":false,"suffix":""},{"dropping-particle":"","family":"Wang","given":"Yanyan","non-dropping-particle":"","parse-names":false,"suffix":""},{"dropping-particle":"","family":"Zhang","given":"Shilin","non-dropping-particle":"","parse-names":false,"suffix":""},{"dropping-particle":"","family":"Zheng","given":"Tian","non-dropping-particle":"","parse-names":false,"suffix":""},{"dropping-particle":"","family":"Liu","given":"Jianwen","non-dropping-particle":"","parse-names":false,"suffix":""},{"dropping-particle":"","family":"Rao","given":"Pinhua","non-dropping-particle":"","parse-names":false,"suffix":""},{"dropping-particle":"","family":"Guo","given":"Zaiping","non-dropping-particle":"","parse-names":false,"suffix":""}],"container-title":"Advanced Materials","id":"ITEM-1","issue":"11","issued":{"date-parts":[["2021","3","12"]]},"page":"2007416","publisher":"John Wiley &amp; Sons, Ltd","title":"Electrolyte Design for In Situ Construction of Highly Zn 2+ </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Conductive Solid Electrolyte Interphase to Enable High</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Performance Aqueous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Batteries under Practical Conditions","type":"article-journal","volume":"33"},"uris":["http://www.mendeley.com/documents/?uuid=132b529e-7748-4d8c-880f-dadc9d15e921"]},{"id":"ITEM-2","itemData":{"DOI":"10.1038/nenergy.2016.39","ISSN":"2058-7546","abstract":"Rechargeable aqueous batteries such as alkaline zinc/manganese oxide batteries are highly desirable for large-scale energy storage owing to their low cost and high safety; however, cycling stability is a major issue for their applications. Here we demonstrate a highly reversible zinc/manganese oxide system in which optimal mild aqueous ZnSO4-based solution is used as the electrolyte, and nanofibres of a manganese oxide phase, α-MnO2, are used as the cathode. We show that a chemical conversion reaction mechanism between α-MnO2 and H+ is mainly responsible for the good performance of the system. This includes an operating voltage of 1.44</w:instrText>
            </w:r>
            <w:r w:rsidR="00500B8D" w:rsidRPr="003E0254">
              <w:rPr>
                <w:rFonts w:ascii="Arial" w:hAnsi="Arial" w:cs="Arial"/>
                <w:bCs/>
                <w:sz w:val="20"/>
                <w:szCs w:val="20"/>
                <w:u w:val="single"/>
              </w:rPr>
              <w:instrText> </w:instrText>
            </w:r>
            <w:r w:rsidR="00500B8D" w:rsidRPr="003E0254">
              <w:rPr>
                <w:bCs/>
                <w:sz w:val="20"/>
                <w:szCs w:val="20"/>
                <w:u w:val="single"/>
              </w:rPr>
              <w:instrText>V, a capacity of 285</w:instrText>
            </w:r>
            <w:r w:rsidR="00500B8D" w:rsidRPr="003E0254">
              <w:rPr>
                <w:rFonts w:ascii="Arial" w:hAnsi="Arial" w:cs="Arial"/>
                <w:bCs/>
                <w:sz w:val="20"/>
                <w:szCs w:val="20"/>
                <w:u w:val="single"/>
              </w:rPr>
              <w:instrText> </w:instrText>
            </w:r>
            <w:r w:rsidR="00500B8D" w:rsidRPr="003E0254">
              <w:rPr>
                <w:bCs/>
                <w:sz w:val="20"/>
                <w:szCs w:val="20"/>
                <w:u w:val="single"/>
              </w:rPr>
              <w:instrText>mAh</w:instrText>
            </w:r>
            <w:r w:rsidR="00500B8D" w:rsidRPr="003E0254">
              <w:rPr>
                <w:rFonts w:ascii="Arial" w:hAnsi="Arial" w:cs="Arial"/>
                <w:bCs/>
                <w:sz w:val="20"/>
                <w:szCs w:val="20"/>
                <w:u w:val="single"/>
              </w:rPr>
              <w:instrText> </w:instrText>
            </w:r>
            <w:r w:rsidR="00500B8D" w:rsidRPr="003E0254">
              <w:rPr>
                <w:bCs/>
                <w:sz w:val="20"/>
                <w:szCs w:val="20"/>
                <w:u w:val="single"/>
              </w:rPr>
              <w:instrText>g</w:instrText>
            </w:r>
            <w:r w:rsidR="00500B8D" w:rsidRPr="003E0254">
              <w:rPr>
                <w:rFonts w:ascii="Aptos" w:hAnsi="Aptos" w:cs="Aptos"/>
                <w:bCs/>
                <w:sz w:val="20"/>
                <w:szCs w:val="20"/>
                <w:u w:val="single"/>
              </w:rPr>
              <w:instrText>−</w:instrText>
            </w:r>
            <w:r w:rsidR="00500B8D" w:rsidRPr="003E0254">
              <w:rPr>
                <w:bCs/>
                <w:sz w:val="20"/>
                <w:szCs w:val="20"/>
                <w:u w:val="single"/>
              </w:rPr>
              <w:instrText>1 (MnO2), and capacity retention of 92% over 5,000 cycles. The Zn metal anode also shows high stability. This finding opens new opportunities for the development of low-cost, high-performance rechargeable aqueous batteries. Rechargeable aqueous batteries are attractive owing to their relatively low cost and safety. Here the authors report an aqueous zinc/manganese oxide battery that operates via a conversion reaction mechanism and exhibits a long-term cycling stability.","author":[{"dropping-particle":"","family":"Pan","given":"Huilin","non-dropping-particle":"","parse-names":false,"suffix":""},{"dropping-particle":"","family":"Shao","given":"Yuyan","non-dropping-particle":"","parse-names":false,"suffix":""},{"dropping-particle":"","family":"Yan","given":"Pengfei","non-dropping-particle":"","parse-names":false,"suffix":""},{"dropping-particle":"","family":"Cheng","given":"Yingwen","non-dropping-particle":"","parse-names":false,"suffix":""},{"dropping-particle":"","family":"Han","given":"Kee Sung","non-dropping-particle":"","parse-names":false,"suffix":""},{"dropping-particle":"","family":"Nie","given":"Zimin","non-dropping-particle":"","parse-names":false,"suffix":""},{"dropping-particle":"","family":"Wang","given":"Chongmin","non-dropping-particle":"","parse-names":false,"suffix":""},{"dropping-particle":"","family":"Yang","given":"Jihui","non-dropping-particle":"","parse-names":false,"suffix":""},{"dropping-particle":"","family":"Li","given":"Xiaolin","non-dropping-particle":"","parse-names":false,"suffix":""},{"dropping-particle":"","family":"Bhattacharya","given":"Priyanka","non-dropping-particle":"","parse-names":false,"suffix":""},{"dropping-particle":"","family":"Mueller","given":"Karl T.","non-dropping-particle":"","parse-names":false,"suffix":""},{"dropping-particle":"","family":"Liu","given":"Jun","non-dropping-particle":"","parse-names":false,"suffix":""}],"container-title":"Nature Energy 2016 1:5","id":"ITEM-2","issue":"5","issued":{"date-parts":[["2016","4","18"]]},"page":"1-7","publisher":"Nature Publishing Group","title":"Reversible aqueous zinc/manganese oxide energy storage from conversion reactions","type":"article-journal","volume":"1"},"uris":["http://www.mendeley.com/documents/?uuid=978a2047-77bd-38aa-9c48-8f32f46101ad"]}],"mendeley":{"formattedCitation":"&lt;sup&gt;[82,83]&lt;/sup&gt;","plainTextFormattedCitation":"[82,83]","previouslyFormattedCitation":"&lt;sup&gt;[81,82]&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[82,83]</w:t>
            </w:r>
            <w:r w:rsidRPr="003E0254">
              <w:rPr>
                <w:bCs/>
                <w:sz w:val="20"/>
                <w:szCs w:val="20"/>
                <w:u w:val="single"/>
              </w:rPr>
              <w:fldChar w:fldCharType="end"/>
            </w:r>
          </w:p>
        </w:tc>
        <w:tc>
          <w:tcPr>
            <w:tcW w:w="713" w:type="pct"/>
            <w:tcBorders>
              <w:left w:val="single" w:sz="12" w:space="0" w:color="auto"/>
            </w:tcBorders>
            <w:shd w:val="clear" w:color="auto" w:fill="99CCFF"/>
          </w:tcPr>
          <w:p w14:paraId="3623288E" w14:textId="779466D6" w:rsidR="00C60055" w:rsidRPr="003E0254" w:rsidRDefault="00C60055" w:rsidP="00B411DE">
            <w:pPr>
              <w:spacing w:line="276" w:lineRule="auto"/>
              <w:rPr>
                <w:bCs/>
                <w:sz w:val="20"/>
                <w:szCs w:val="20"/>
                <w:u w:val="single"/>
              </w:rPr>
            </w:pPr>
            <w:r w:rsidRPr="003E0254">
              <w:rPr>
                <w:bCs/>
                <w:sz w:val="20"/>
                <w:szCs w:val="20"/>
                <w:u w:val="single"/>
              </w:rPr>
              <w:t>3D Anode</w:t>
            </w:r>
            <w:r w:rsidRPr="003E0254">
              <w:rPr>
                <w:bCs/>
                <w:sz w:val="20"/>
                <w:szCs w:val="20"/>
                <w:u w:val="single"/>
              </w:rPr>
              <w:fldChar w:fldCharType="begin" w:fldLock="1"/>
            </w:r>
            <w:r w:rsidR="00500B8D" w:rsidRPr="003E0254">
              <w:rPr>
                <w:bCs/>
                <w:sz w:val="20"/>
                <w:szCs w:val="20"/>
                <w:u w:val="single"/>
              </w:rPr>
              <w:instrText>ADDIN CSL_CITATION {"citationItems":[{"id":"ITEM-1","itemData":{"DOI":"10.1016/J.GEE.2022.08.009","ISSN":"2468-0257","abstract":"Aqueous zinc ion batteries (AZIBs) demonstrate tremendous competitiveness and application prospects because of their abundant resources, low cost, high safety, and environmental friendliness. Although the advanced electrochemical energy storage systems based on zinc ion batteries have been greatly developed, many severe problems associated with Zn anode impede its practical application, such as the dendrite formation, hydrogen evolution, corrosion and passivation phenomenon. To address these drawbacks, electrolytes, separators, zinc alloys, interfacial modification and structural design of Zn anode have been employed at present by scientists. Among them, the structural design for zinc anode is relatively mature, which is generally believed to enhance the electroactive surface area of zinc anode, reduce local current density, and promote the uniform distribution of zinc ions on the surface of anode. In order to explore new research directions, it is crucial to systematically summarize the structural design of anode materials. Herein, this review focuses on the challenges in Zn anode, modification strategies and the three-dimensional (3D) structure design of substrate materials for Zn anode including carbon substrate materials, metal substrate materials and other substrate materials. Finally, future directions and perspectives about the Zn anode are presented for developing high-performance AZIBs.","author":[{"dropping-particle":"","family":"Yang","given":"Sinian","non-dropping-particle":"","parse-names":false,"suffix":""},{"dropping-particle":"","family":"Du","given":"Hongxia","non-dropping-particle":"","parse-names":false,"suffix":""},{"dropping-particle":"","family":"Li","given":"Yuting","non-dropping-particle":"","parse-names":false,"suffix":""},{"dropping-particle":"","family":"Wu","given":"Xiangsi","non-dropping-particle":"","parse-names":false,"suffix":""},{"dropping-particle":"","family":"Xiao","given":"Bensheng","non-dropping-particle":"","parse-names":false,"suffix":""},{"dropping-particle":"","family":"He","given":"Zhangxing","non-dropping-particle":"","parse-names":false,"suffix":""},{"dropping-particle":"","family":"Zhang","given":"Qiaobao","non-dropping-particle":"","parse-names":false,"suffix":""},{"dropping-particle":"","family":"Wu","given":"Xianwen","non-dropping-particle":"","parse-names":false,"suffix":""}],"container-title":"Green Energy &amp; Environment","id":"ITEM-1","issue":"6","issued":{"date-parts":[["2023","12","1"]]},"page":"1531-1552","publisher":"Elsevier","title":"Advances in the structure design of substrate materials for zinc anode of aqueous zinc ion batteries","type":"article-journal","volume":"8"},"uris":["http://www.mendeley.com/documents/?uuid=36d0812e-36ee-31fa-a27c-09deb20e1693"]},{"id":"ITEM-2","itemData":{"DOI":"10.1126/SCIENCE.AAK9991/SUPPL_FILE/AAK9991_PARKER_SM.PDF","ISSN":"10959203","PMID":"28450638","abstract":"The next generation of high-performance batteries should include alternative chemistries that are inherently safer to operate than nonaqueous lithium-based batteries. Aqueous zinc-based batteries can answer that challenge because monolithic zinc sponge anodes can be cycled in nickel-zinc alkaline cells hundreds to thousands of times without undergoing passivation or macroscale dendrite formation. We demonstrate that the threedimensional (3D) zinc form-factor elevates the performance of nickel-zinc alkaline cells in three fields of use: (i) &gt;90% theoretical depth of discharge (DODZn) in primary (single-use) cells, (ii) &gt;100 high-rate cycles at 40% DODZn at lithium-ion-commensurate specific energy, and (iii) the tens of thousands of power-demanding duty cycles required for start-stop microhybrid vehicles.","author":[{"dropping-particle":"","family":"Parker","given":"Joseph F.","non-dropping-particle":"","parse-names":false,"suffix":""},{"dropping-particle":"","family":"Chervin","given":"Christopher N.","non-dropping-particle":"","parse-names":false,"suffix":""},{"dropping-particle":"","family":"Pala","given":"Irina R.","non-dropping-particle":"","parse-names":false,"suffix":""},{"dropping-particle":"","family":"Machler","given":"Meinrad","non-dropping-particle":"","parse-names":false,"suffix":""},{"dropping-particle":"","family":"Burz","given":"Michael F.","non-dropping-particle":"","parse-names":false,"suffix":""},{"dropping-particle":"","family":"Long","given":"Jeffrey W.","non-dropping-particle":"","parse-names":false,"suffix":""},{"dropping-particle":"","family":"Rolison","given":"Debra R.","non-dropping-particle":"","parse-names":false,"suffix":""}],"container-title":"Science","id":"ITEM-2","issue":"6336","issued":{"date-parts":[["2017","4","28"]]},"page":"415-418","publisher":"American Association for the Advancement of Science","title":"Rechargeable nickel-3D zinc batteries: An energy-dense, safer alternative to lithium-ion","type":"article-journal","volume":"356"},"uris":["http://www.mendeley.com/documents/?uuid=83ee90e1-8897-335e-93f9-0e6fb9501054"]},{"id":"ITEM-3","itemData":{"DOI":"10.1002/AENM.202102797","ISSN":"1614-6840","abstract":"Aqueous zinc ion batteries (AZIBs) represent a promising technology for grid-scale energy storage due to their innate safety, low cost, and environmental friendliness. However, planar Zn foil intrinsically suffers from limited ion and electron transport pathways, poor wettability, and surface passivation, preventing the homogenous deposition of metallic Zn and poor durability of AZIBs. Herein, a 3D Zn foil with hierarchical porous architecture is developed through a facile non-aqueous organic acid etching strategy. The 3D Zn anode is pore-rich and cavity-rich, leading to significantly enhanced accessibility to aqueous electrolytes. Accordingly, this 3D Zn anode enables preferential plating of Zn in the porous texture with suppressed dendrite growth, as confirmed by ex situ scanning electron microscopy and finite element analysis. The cycle life of the 3D Zn anode is sustained over 930 and 1500 h at 4.0 mA cm−2-2.0 mAh cm−2 and 1.0 mA cm−2-1.0 mAh cm−2, respectively. Furthermore, the assembled 3D Zn and α-MnO2 full batteries demonstrate a prolonged cycle life of 3000 cycles with improved rate performance. The etching strategy using non-aqueous organic acid paves a new way to fabricate 3D metal anodes for Zn and other metal anode batteries.","author":[{"dropping-particle":"","family":"Wang","given":"Wenxi","non-dropping-particle":"","parse-names":false,"suffix":""},{"dropping-particle":"","family":"Huang","given":"Gang","non-dropping-particle":"","parse-names":false,"suffix":""},{"dropping-particle":"","family":"Wang","given":"Yizhou","non-dropping-particle":"","parse-names":false,"suffix":""},{"dropping-particle":"","family":"Cao","given":"Zhen","non-dropping-particle":"","parse-names":false,"suffix":""},{"dropping-particle":"","family":"Cavallo","given":"Luigi","non-dropping-particle":"","parse-names":false,"suffix":""},{"dropping-particle":"","family":"Hedhili","given":"Mohamed N.","non-dropping-particle":"","parse-names":false,"suffix":""},{"dropping-particle":"","family":"Alshareef","given":"Husam N.","non-dropping-particle":"","parse-names":false,"suffix":""}],"container-title":"Advanced Energy Materials","id":"ITEM-3","issue":"6","issued":{"date-parts":[["2022","2","1"]]},"page":"2102797","publisher":"John Wiley &amp; Sons, Ltd","title":"Organic Acid Etching Strategy for Dendrite Suppression in Aqueous Zinc-Ion Batteries","type":"article-journal","volume":"12"},"uris":["http://www.mendeley.com/documents/?uuid=21e1acaf-f7e2-3594-8122-b7c7bb5485a1"]},{"id":"ITEM-4","itemData":{"DOI":"10.1016/J.JOULE.2019.02.012","ISSN":"2542-4351","abstract":"Zinc metal featuring low cost, high capacity, low potential, and environmental benignity is an exciting anode material for aqueous energy storage devices. Unfortunately, the dendrite growth, limited reversibility, and undesired hydrogen evolution hinder its application. Herein, we demonstrate that MOF ZIF-8 annealed at 500°C (ZIF-8-500) can be used as a host material for high-efficiency (approximately 100%) and dendrite-free Zn plating and stripping because of its porous structure, trace amount of zinc in the framework, and high over-potential for hydrogen evolution. The Zn@ZIF-8-500 anode (i.e., ZIF-8-500 pre-plated with 10.0 mAh cm−2 Zn) is coupled with an activated carbon cathode or an I2 cathode to form a hybrid supercapacitor or a rechargeable battery, respectively. The supercapacitor delivers a high energy density of 140.8 Wh kg−1 (normalized to the mass of active materials in electrodes) while retaining 72% capacity over 20,000 cycles, and the battery shows a long life of 1,600 cycles. Aqueous Zn-based batteries and supercapacitors have been considered as promising candidates for electrochemical energy storage devices because of the inherent advantages of metallic Zn. Unfortunately, the stability of the Zn anode in the mild electrolyte is still much limited by the dendrite growth, undesired hydrogen evolution, and the formation of inert “dead” Zn. Here, we report the utilization of MOF ZIF-8 treated with an optimized temperature (500°C) as a host material for the development of highly stable and dendrite-free Zn metal anodes. The ZIF-8-500 anode exhibits unprecedented reversibility of Zn plating/stripping behavior, high Coulombic efficiency (close to 100%), and dendrite-free Zn. The novel Zn@ZIF-8-500 anode coupled with an activated carbon cathode or an I2 cathode works well. This work represents a new and low-cost avenue for developing a highly reversible zinc metal anode. Zn-based MOF ZIF-8-500 (annealed at 500°C) possesses the trace amount of Zn0 in the host framework and the high over-potential for hydrogen evolution. The resulting ZIF-8-500 anode exhibits high efficiency (close to 100%) and dendrite-free Zn plating/stripping.","author":[{"dropping-particle":"","family":"Wang","given":"Zhuo","non-dropping-particle":"","parse-names":false,"suffix":""},{"dropping-particle":"","family":"Huang","given":"Jianhang","non-dropping-particle":"","parse-names":false,"suffix":""},{"dropping-particle":"","family":"Guo","given":"Zhaowei","non-dropping-particle":"","parse-names":false,"suffix":""},{"dropping-particle":"","family":"Dong","given":"Xiaoli","non-dropping-particle":"","parse-names":false,"suffix":""},{"dropping-particle":"","family":"Liu","given":"Yao","non-dropping-particle":"","parse-names":false,"suffix":""},{"dropping-particle":"","family":"Wang","given":"Yonggang","non-dropping-particle":"","parse-names":false,"suffix":""},{"dropping-particle":"","family":"Xia","given":"Yongyao","non-dropping-particle":"","parse-names":false,"suffix":""}],"container-title":"Joule","id":"ITEM-4","issue":"5","issued":{"date-parts":[["2019","5","15"]]},"page":"1289-1300","publisher":"Cell Press","title":"A Metal-Organic Framework Host for Highly Reversible Dendrite-free Zinc Metal Anodes","type":"article-journal","volume":"3"},"uris":["http://www.mendeley.com/documents/?uuid=25124414-ce41-46bc-946b-9f0833a0c36f"]},{"id":"ITEM-5","itemData":{"DOI":"10.1002/aenm.202003927","ISSN":"1614-6832","abstract":"Rechargeable Zn ion batteries are regarded as a preferable candidate for next</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generation energy storage systems owing to their merits of environmental benignity, low cost, and high safety. Nevertheless, unsatisfactory cycling stability stemming from dendrite growth and undesired side reactions of Zn anodes prevent their widespread commercial adoption. Here, a novel 3D Zn metal anode with multi</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channel lattice structures employing the combined 3D printing and electroless plating/electroplating techniques is reported. The constructed 3D Ni–Zn anode with multi</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channel lattice structure and super</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hydrophilic surface can effectively ameliorate the electric</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field distribution and induce the uniform deposition of Zn without Zn dendrite growth, as confirmed by simulation of current density distribution of the electrode in electrolyte and in situ microscopic observation of Zn plating/stripping. As expected, the 3D Ni</w:instrText>
            </w:r>
            <w:r w:rsidR="00500B8D" w:rsidRPr="003E0254">
              <w:rPr>
                <w:rFonts w:ascii="Aptos" w:hAnsi="Aptos" w:cs="Aptos"/>
                <w:bCs/>
                <w:sz w:val="20"/>
                <w:szCs w:val="20"/>
                <w:u w:val="single"/>
              </w:rPr>
              <w:instrText>–</w:instrText>
            </w:r>
            <w:r w:rsidR="00500B8D" w:rsidRPr="003E0254">
              <w:rPr>
                <w:bCs/>
                <w:sz w:val="20"/>
                <w:szCs w:val="20"/>
                <w:u w:val="single"/>
              </w:rPr>
              <w:instrText>Zn cell shows highly reversible Zn plating/stripping with satisfactory Coulombic efficiency due to the low Zn nucleation overpotential and homogeneous distribution of localized electric field. Consequently, a full cell built with a 3D printed Zn anode and polyaniline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intercalated vanadium oxide cathode exhibits remarkable performance. The simple and cost</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effective fabrication of conductive metal lattices with tunable 3D multi</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channel architecture opens up new opportunities to develop other high</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performance metal (such as Li, Na, K, Mg, Al) batteries.","author":[{"dropping-particle":"","family":"Zhang","given":"Guanhua","non-dropping-particle":"","parse-names":false,"suffix":""},{"dropping-particle":"","family":"Zhang","given":"Xianan","non-dropping-particle":"","parse-names":false,"suffix":""},{"dropping-particle":"","family":"Liu","given":"Huaizhi","non-dropping-particle":"","parse-names":false,"suffix":""},{"dropping-particle":"","family":"Li","given":"Jinhao","non-dropping-particle":"","parse-names":false,"suffix":""},{"dropping-particle":"","family":"Chen","given":"Yiqin","non-dropping-particle":"","parse-names":false,"suffix":""},{"dropping-particle":"","family":"Duan","given":"Huigao","non-dropping-particle":"","parse-names":false,"suffix":""}],"container-title":"Advanced Energy Materials","id":"ITEM-5","issue":"19","issued":{"date-parts":[["2021","5","31"]]},"page":"2003927","publisher":"John Wiley &amp; Sons, Ltd","title":"3D</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Printed Multi</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Channel Metal Lattices Enabling Localized Electric</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Field Redistribution for Dendrite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Free Aqueous Zn Ion Batteries","type":"article-journal","volume":"11"},"uris":["http://www.mendeley.com/documents/?uuid=18cfe061-451e-3fc2-be86-12455f984d37"]},{"id":"ITEM-6","itemData":{"DOI":"10.1021/ACSAEM.1C00103/ASSET/IMAGES/LARGE/AE1C00103_0006.JPEG","ISSN":"25740962","abstract":"Zinc-based batteries have ushered in the recent times due to their high theoretical capacity, low-cost, and great safety. However, the severe dendrite growth of Zn anodes has restricted their further development. In this work, an amine-functionalized carbon cloth (CC) was fabricated and adopted as the host to prepare a dendrite-free Zn anode. Experimental results and density functional theoretical calculations demonstrate that the amine functionalization not only improves the binding energy between the Zn atoms and CC but also inhibits the Zn atom adsorption-induced decrease of conductivity. As a result, the dendrite-suppressed anode enjoys stable voltage profiles over 250 h at a current density of 0.5 mA cm-2 in a symmetrical half-cell, which is nearly five times as long as that of the conventional Zn anode. Consequently, the Zn/MnO2 full-cell modified with the amine-functionalized CC shows an excellent capacity retention of 94.0% with a Coulombic efficiency of 93.6% after 6800 cycles.","author":[{"dropping-particle":"","family":"Li","given":"Yao","non-dropping-particle":"","parse-names":false,"suffix":""},{"dropping-particle":"","family":"Tan","given":"Zhixiang","non-dropping-particle":"","parse-names":false,"suffix":""},{"dropping-particle":"","family":"Liang","given":"Yongshi","non-dropping-particle":"","parse-names":false,"suffix":""},{"dropping-particle":"","family":"Xiao","given":"Yong","non-dropping-particle":"","parse-names":false,"suffix":""},{"dropping-particle":"","family":"Cen","given":"Dandan","non-dropping-particle":"","parse-names":false,"suffix":""},{"dropping-particle":"","family":"Liu","given":"Yingliang","non-dropping-particle":"","parse-names":false,"suffix":""},{"dropping-particle":"","family":"Liang","given":"Yeru","non-dropping-particle":"","parse-names":false,"suffix":""}],"container-title":"ACS Applied Energy Materials","id":"ITEM-6","issue":"5","issued":{"date-parts":[["2021","5","24"]]},"page":"4482-4488","publisher":"American Chemical Society","title":"Amine-Functionalized Carbon Cloth Host for Dendrite-Free Zn Metal Anodes","type":"article-journal","volume":"4"},"uris":["http://www.mendeley.com/documents/?uuid=4ec0369a-57a4-3f5e-8022-e605ba72947d"]},{"id":"ITEM-7","itemData":{"DOI":"10.1002/ADFM.202312664","ISSN":"1616-3028","abstract":"Porous metal current collectors (CCs) serve as key component for aqueous Zn-ion batteries (AZIBs). Herein, a lightweight 3D-Cu architecture with customizable geometries is developed to enable reversible Zn-metal cycling. The 3D-Cu is prepared by 3D-printing a crosslink-able polymer scaffold followed by Cu-metallization. The printed architecture is optimized to endow 3D-Cu with electric conductivity that is on-par with commercial Cu foam, but can reduce ≈80% of the weight and consumption of Cu. A Zn-philic graphene (Gr) coating is adopted to promote uniform and (002)-preferred Zn growth onto the 3D-Cu surface, creating a 3DP-Cu@Gr architecture that induces conformal Zn-deposition and greatly suppressed H2-evolution reaction. The 3DP-Cu@Gr||Zn shows stable 700 cycles at 4 mA cm−2 and 2 mAh cm−2, with coulombic efficiency &gt;99.6%. Zn-loaded 3D-electrodes enable symmetrical cells with stable 300 h cycling at 10 mA cm−2, delivering a specific accumulated capacity of 86.7 Ah g−1. This represents an unprecedented combination of cycle stability, high charge rate, and electrode lightweight. The all-printed pantacle-shape full pouch cells (3.6 mAh) exhibit 91.4% capacity retention after 200 cycles at 1 C. Possessing unusual design freedom, this strategy demonstrates a pathway for developing lightweight Cu CCs and customizable high-energy AZIBs.","author":[{"dropping-particle":"","family":"Shi","given":"Shaohong","non-dropping-particle":"","parse-names":false,"suffix":""},{"dropping-particle":"","family":"Zhou","given":"Dongcheng","non-dropping-particle":"","parse-names":false,"suffix":""},{"dropping-particle":"","family":"Jiang","given":"Yuheng","non-dropping-particle":"","parse-names":false,"suffix":""},{"dropping-particle":"","family":"Cheng","given":"Fangchao","non-dropping-particle":"","parse-names":false,"suffix":""},{"dropping-particle":"","family":"Sun","given":"Jianping","non-dropping-particle":"","parse-names":false,"suffix":""},{"dropping-particle":"","family":"Guo","given":"Quanquan","non-dropping-particle":"","parse-names":false,"suffix":""},{"dropping-particle":"","family":"Luo","given":"Yiteng","non-dropping-particle":"","parse-names":false,"suffix":""},{"dropping-particle":"","family":"Chen","given":"Yungui","non-dropping-particle":"","parse-names":false,"suffix":""},{"dropping-particle":"","family":"Liu","given":"Wei","non-dropping-particle":"","parse-names":false,"suffix":""}],"container-title":"Advanced Functional Materials","id":"ITEM-7","issue":"24","issued":{"date-parts":[["2024","6","1"]]},"page":"2312664","publisher":"John Wiley &amp; Sons, Ltd","title":"Lightweight Zn-Philic 3D-Cu Scaffold for Customizable Zinc Ion Batteries","type":"article-journal","volume":"34"},"uris":["http://www.mendeley.com/documents/?uuid=fdae696f-86f8-3c8f-982d-f54a9e0c99dc"]}],"mendeley":{"formattedCitation":"&lt;sup&gt;[84–90]&lt;/sup&gt;","plainTextFormattedCitation":"[84–90]","previouslyFormattedCitation":"&lt;sup&gt;[83–89]&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[84–90]</w:t>
            </w:r>
            <w:r w:rsidRPr="003E0254">
              <w:rPr>
                <w:bCs/>
                <w:sz w:val="20"/>
                <w:szCs w:val="20"/>
                <w:u w:val="single"/>
              </w:rPr>
              <w:fldChar w:fldCharType="end"/>
            </w:r>
          </w:p>
          <w:p w14:paraId="7DD7ACCB" w14:textId="5CE74541" w:rsidR="00C60055" w:rsidRPr="003E0254" w:rsidRDefault="00C60055" w:rsidP="00B411DE">
            <w:pPr>
              <w:spacing w:line="276" w:lineRule="auto"/>
              <w:rPr>
                <w:bCs/>
                <w:sz w:val="20"/>
                <w:szCs w:val="20"/>
                <w:u w:val="single"/>
              </w:rPr>
            </w:pPr>
            <w:r w:rsidRPr="003E0254">
              <w:rPr>
                <w:bCs/>
                <w:sz w:val="20"/>
                <w:szCs w:val="20"/>
                <w:u w:val="single"/>
              </w:rPr>
              <w:t>(scaffolds/</w:t>
            </w:r>
            <w:r w:rsidR="001E5B91" w:rsidRPr="003E0254">
              <w:rPr>
                <w:bCs/>
                <w:sz w:val="20"/>
                <w:szCs w:val="20"/>
                <w:u w:val="single"/>
              </w:rPr>
              <w:br/>
            </w:r>
            <w:proofErr w:type="spellStart"/>
            <w:r w:rsidRPr="003E0254">
              <w:rPr>
                <w:bCs/>
                <w:sz w:val="20"/>
                <w:szCs w:val="20"/>
                <w:u w:val="single"/>
              </w:rPr>
              <w:t>subsrates</w:t>
            </w:r>
            <w:proofErr w:type="spellEnd"/>
            <w:r w:rsidRPr="003E0254">
              <w:rPr>
                <w:bCs/>
                <w:sz w:val="20"/>
                <w:szCs w:val="20"/>
                <w:u w:val="single"/>
              </w:rPr>
              <w:t xml:space="preserve">)  </w:t>
            </w:r>
          </w:p>
        </w:tc>
        <w:tc>
          <w:tcPr>
            <w:tcW w:w="712" w:type="pct"/>
            <w:vMerge/>
            <w:tcBorders>
              <w:right w:val="single" w:sz="12" w:space="0" w:color="auto"/>
            </w:tcBorders>
            <w:shd w:val="clear" w:color="auto" w:fill="99CCFF"/>
          </w:tcPr>
          <w:p w14:paraId="560CE673" w14:textId="77777777" w:rsidR="00C60055" w:rsidRPr="003E0254" w:rsidRDefault="00C60055" w:rsidP="00B411DE">
            <w:pPr>
              <w:spacing w:line="276" w:lineRule="auto"/>
              <w:rPr>
                <w:bCs/>
                <w:sz w:val="20"/>
                <w:szCs w:val="20"/>
              </w:rPr>
            </w:pPr>
          </w:p>
        </w:tc>
        <w:tc>
          <w:tcPr>
            <w:tcW w:w="704" w:type="pct"/>
            <w:tcBorders>
              <w:left w:val="single" w:sz="12" w:space="0" w:color="auto"/>
            </w:tcBorders>
            <w:shd w:val="clear" w:color="auto" w:fill="99CCFF"/>
          </w:tcPr>
          <w:p w14:paraId="47F1A99C" w14:textId="38762E29" w:rsidR="00C60055" w:rsidRPr="003E0254" w:rsidRDefault="00C60055" w:rsidP="00B411DE">
            <w:pPr>
              <w:spacing w:line="276" w:lineRule="auto"/>
              <w:rPr>
                <w:bCs/>
                <w:sz w:val="20"/>
                <w:szCs w:val="20"/>
                <w:u w:val="single"/>
              </w:rPr>
            </w:pPr>
            <w:r w:rsidRPr="003E0254">
              <w:rPr>
                <w:bCs/>
                <w:sz w:val="20"/>
                <w:szCs w:val="20"/>
                <w:u w:val="single"/>
              </w:rPr>
              <w:t>Vanadium Oxides</w:t>
            </w:r>
            <w:r w:rsidR="004F2544" w:rsidRPr="003E0254">
              <w:rPr>
                <w:bCs/>
                <w:sz w:val="20"/>
                <w:szCs w:val="20"/>
                <w:u w:val="single"/>
              </w:rPr>
              <w:fldChar w:fldCharType="begin" w:fldLock="1"/>
            </w:r>
            <w:r w:rsidR="00500B8D" w:rsidRPr="003E0254">
              <w:rPr>
                <w:bCs/>
                <w:sz w:val="20"/>
                <w:szCs w:val="20"/>
                <w:u w:val="single"/>
              </w:rPr>
              <w:instrText>ADDIN CSL_CITATION {"citationItems":[{"id":"ITEM-1","itemData":{"DOI":"10.1021/ACSENERGYLETT.8B00565/ASSET/IMAGES/LARGE/NZ-2018-00565J_0005.JPEG","ISSN":"23808195","abstract":"We report an aqueous Zn-V2O5 battery chemistry employing commercial V2O5 cathode, Zn anode, and 3 M Zn(CF3SO3)2 electrolyte. We elucidate the Zn-storage mechanism in the V2O5 cathode to be that hydrated Zn2+ can reversibly (de)intercalate through the layered structure. The function of the co-intercalated H2O is revealed to be shielding the electrostatic interactions between Zn2+ and the host framework, accounting for the enhanced kinetics. In addition, the pristine bulk V2O5 gradually evolves into porous nanosheets upon cycling, providing more active sites for Zn2+ storage and thus rendering an initial capacity increase. As a consequence, a reversible capacity of 470 mAh g-1 at 0.2 A g-1 and a long-term cyclability with 91.1% capacity rentention over 4000 cycles at 5 A g-1 are achieved. The combination of the good battery performance, safety, scalable materials synthesis, and facile cell assembly indicates this aqueous Zn-V2O5 system is promising for stationary grid storage applications.","author":[{"dropping-particle":"","family":"Zhang","given":"Ning","non-dropping-particle":"","parse-names":false,"suffix":""},{"dropping-particle":"","family":"Dong","given":"Yang","non-dropping-particle":"","parse-names":false,"suffix":""},{"dropping-particle":"","family":"Jia","given":"Ming","non-dropping-particle":"","parse-names":false,"suffix":""},{"dropping-particle":"","family":"Bian","given":"Xu","non-dropping-particle":"","parse-names":false,"suffix":""},{"dropping-particle":"","family":"Wang","given":"Yuanyuan","non-dropping-particle":"","parse-names":false,"suffix":""},{"dropping-particle":"","family":"Qiu","given":"Mande","non-dropping-particle":"","parse-names":false,"suffix":""},{"dropping-particle":"","family":"Xu","given":"Jianzhong","non-dropping-particle":"","parse-names":false,"suffix":""},{"dropping-particle":"","family":"Liu","given":"Yongchang","non-dropping-particle":"","parse-names":false,"suffix":""},{"dropping-particle":"","family":"Jiao","given":"Lifang","non-dropping-particle":"","parse-names":false,"suffix":""},{"dropping-particle":"","family":"Cheng","given":"Fangyi","non-dropping-particle":"","parse-names":false,"suffix":""}],"container-title":"ACS Energy Letters","id":"ITEM-1","issue":"6","issued":{"date-parts":[["2018","6","8"]]},"page":"1366-1372","publisher":"American Chemical Society","title":"Rechargeable Aqueous Zn-V2O5 Battery with High Energy Density and Long Cycle Life","type":"article-journal","volume":"3"},"uris":["http://www.mendeley.com/documents/?uuid=24327705-167c-3dc3-b258-0712210b1611"]},{"id":"ITEM-2","itemData":{"DOI":"10.1021/ACS.CHEMMATER.8B03409/ASSET/IMAGES/LARGE/CM-2018-034095_0005.JPEG","ISSN":"15205002","abstract":"The aqueous zinc ion batteries (ZIBs) composed of inexpensive zinc anode and nontoxic aqueous electrolyte are attractive candidates for large-scale energy storage applications. However, their development is limited by cathode materials, which often deliver inferior rate capability and restricted cycle life. Herein, the VO2 nanorods show significant electrochemical performance when used as an intercalation cathode for aqueous ZIBs. Specifically, the VO2 nanorods display high initial capacity of 325.6 mAh g-1 at 0.05 A g-1, good rate capability, and excellent cycling stability of 5000 cycles at 3.0 A g-1. Furthermore, the VO2 unit cell expands in a, b, and c directions sequentially during the discharge process and contracts back reversibly during the charge process, and the zinc storage mechanism is revealed to be a highly reversible single-phase reaction by operando techniques and corresponding qualitative analyses. Our work not only opens a new door to the practical application of VO2 in ZIB systems but also broadens the horizon in understanding the electrochemical behavior of rechargeable ZIBs.","author":[{"dropping-particle":"","family":"Chen","given":"Lineng","non-dropping-particle":"","parse-names":false,"suffix":""},{"dropping-particle":"","family":"Ruan","given":"Yushan","non-dropping-particle":"","parse-names":false,"suffix":""},{"dropping-particle":"","family":"Zhang","given":"Guobin","non-dropping-particle":"","parse-names":false,"suffix":""},{"dropping-particle":"","family":"Wei","given":"Qiulong","non-dropping-particle":"","parse-names":false,"suffix":""},{"dropping-particle":"","family":"Jiang","given":"Yalong","non-dropping-particle":"","parse-names":false,"suffix":""},{"dropping-particle":"","family":"Xiong","given":"Tengfei","non-dropping-particle":"","parse-names":false,"suffix":""},{"dropping-particle":"","family":"He","given":"Pan","non-dropping-particle":"","parse-names":false,"suffix":""},{"dropping-particle":"","family":"Yang","given":"Wei","non-dropping-particle":"","parse-names":false,"suffix":""},{"dropping-particle":"","family":"Yan","given":"Mengyu","non-dropping-particle":"","parse-names":false,"suffix":""},{"dropping-particle":"","family":"An","given":"Qinyou","non-dropping-particle":"","parse-names":false,"suffix":""},{"dropping-particle":"","family":"Mai","given":"Liqiang","non-dropping-particle":"","parse-names":false,"suffix":""}],"container-title":"Chemistry of Materials","id":"ITEM-2","issue":"3","issued":{"date-parts":[["2019","2","12"]]},"page":"699-706","publisher":"American Chemical Society","title":"Ultrastable and High-Performance Zn/VO2 Battery Based on a Reversible Single-Phase Reaction","type":"article-journal","volume":"31"},"uris":["http://www.mendeley.com/documents/?uuid=b908c48a-9f9b-360b-8533-8c800bbe8d9e"]}],"mendeley":{"formattedCitation":"&lt;sup&gt;[91,92]&lt;/sup&gt;","plainTextFormattedCitation":"[91,92]","previouslyFormattedCitation":"&lt;sup&gt;[90,91]&lt;/sup&gt;"},"properties":{"noteIndex":0},"schema":"https://github.com/citation-style-language/schema/raw/master/csl-citation.json"}</w:instrText>
            </w:r>
            <w:r w:rsidR="004F2544" w:rsidRPr="003E0254">
              <w:rPr>
                <w:bCs/>
                <w:sz w:val="20"/>
                <w:szCs w:val="20"/>
                <w:u w:val="single"/>
              </w:rPr>
              <w:fldChar w:fldCharType="separate"/>
            </w:r>
            <w:r w:rsidR="00500B8D" w:rsidRPr="003E0254">
              <w:rPr>
                <w:bCs/>
                <w:noProof/>
                <w:sz w:val="20"/>
                <w:szCs w:val="20"/>
                <w:vertAlign w:val="superscript"/>
              </w:rPr>
              <w:t>[91,92]</w:t>
            </w:r>
            <w:r w:rsidR="004F2544" w:rsidRPr="003E0254">
              <w:rPr>
                <w:bCs/>
                <w:sz w:val="20"/>
                <w:szCs w:val="20"/>
                <w:u w:val="single"/>
              </w:rPr>
              <w:fldChar w:fldCharType="end"/>
            </w:r>
          </w:p>
          <w:p w14:paraId="573CC12E" w14:textId="036AF7A2" w:rsidR="00C60055" w:rsidRPr="003E0254" w:rsidRDefault="00C60055" w:rsidP="00B411DE">
            <w:pPr>
              <w:spacing w:line="276" w:lineRule="auto"/>
              <w:rPr>
                <w:bCs/>
                <w:sz w:val="20"/>
                <w:szCs w:val="20"/>
              </w:rPr>
            </w:pPr>
            <w:r w:rsidRPr="003E0254">
              <w:rPr>
                <w:bCs/>
                <w:sz w:val="20"/>
                <w:szCs w:val="20"/>
              </w:rPr>
              <w:t xml:space="preserve"> </w:t>
            </w:r>
          </w:p>
        </w:tc>
        <w:tc>
          <w:tcPr>
            <w:tcW w:w="848" w:type="pct"/>
            <w:tcBorders>
              <w:right w:val="single" w:sz="12" w:space="0" w:color="auto"/>
            </w:tcBorders>
            <w:shd w:val="clear" w:color="auto" w:fill="99CCFF"/>
          </w:tcPr>
          <w:p w14:paraId="50CBEDE8" w14:textId="1EBE29C3" w:rsidR="00C60055" w:rsidRPr="003E0254" w:rsidRDefault="00C60055" w:rsidP="00B411DE">
            <w:pPr>
              <w:spacing w:line="276" w:lineRule="auto"/>
              <w:rPr>
                <w:bCs/>
                <w:sz w:val="20"/>
                <w:szCs w:val="20"/>
                <w:u w:val="single"/>
              </w:rPr>
            </w:pPr>
            <w:r w:rsidRPr="003E0254">
              <w:rPr>
                <w:bCs/>
                <w:sz w:val="20"/>
                <w:szCs w:val="20"/>
                <w:u w:val="single"/>
              </w:rPr>
              <w:t>Binder</w:t>
            </w:r>
            <w:r w:rsidR="004F2544" w:rsidRPr="003E0254">
              <w:rPr>
                <w:bCs/>
                <w:sz w:val="20"/>
                <w:szCs w:val="20"/>
                <w:u w:val="single"/>
              </w:rPr>
              <w:fldChar w:fldCharType="begin" w:fldLock="1"/>
            </w:r>
            <w:r w:rsidR="00500B8D" w:rsidRPr="003E0254">
              <w:rPr>
                <w:bCs/>
                <w:sz w:val="20"/>
                <w:szCs w:val="20"/>
                <w:u w:val="single"/>
              </w:rPr>
              <w:instrText>ADDIN CSL_CITATION {"citationItems":[{"id":"ITEM-1","itemData":{"DOI":"10.1016/J.ISCI.2020.100943","ISSN":"2589-0042","abstract":"Rechargeable Zn-ion batteries working with manganese oxide cathodes and mild aqueous electrolytes suffer from notorious cathode dissolution during galvanostatic cycling. Herein, for the first time we demonstrate the dynamic self-recovery chemistry of manganese compound during charge/discharge processes, which strongly determines the battery performance. A cobalt-modified δ-MnO2 with a redox-active surface shows superior self-recovery capability as a cathode. The cobalt-containing species in the cathode enable efficient self-recovery by continuously catalyzing the electrochemical deposition of active Mn compound, which is confirmed by characterizations of both practical coin-type batteries and a new-design electrolyzer system. Under optimized condition, a high specific capacity over 500 mAh g−1 is achieved, together with a decent cycling performance with a retention rate of 63% over 5,000 cycles. With this cobalt-facilitated deposition effect, the battery with low concentration (0.02 M) of additive Mn2+ in the electrolyte (only 12 atom % to the overall Mn) maintains decent capacity retention.","author":[{"dropping-particle":"","family":"Zhong","given":"Yijun","non-dropping-particle":"","parse-names":false,"suffix":""},{"dropping-particle":"","family":"Xu","given":"Xiaomin","non-dropping-particle":"","parse-names":false,"suffix":""},{"dropping-particle":"","family":"Veder","given":"Jean Pierre","non-dropping-particle":"","parse-names":false,"suffix":""},{"dropping-particle":"","family":"Shao","given":"Zongping","non-dropping-particle":"","parse-names":false,"suffix":""}],"container-title":"iScience","id":"ITEM-1","issue":"3","issued":{"date-parts":[["2020","3","27"]]},"page":"100943","publisher":"Elsevier","title":"Self-Recovery Chemistry and Cobalt-Catalyzed Electrochemical Deposition of Cathode for Boosting Performance of Aqueous Zinc-Ion Batteries","type":"article-journal","volume":"23"},"uris":["http://www.mendeley.com/documents/?uuid=037de399-4db1-45cc-92f1-4e43d91a09e3"]},{"id":"ITEM-2","itemData":{"DOI":"10.1002/ADVS.202205084","ISSN":"2198-3844","PMID":"36526590","abstract":"A stable cathode–electrolyte interface (CEI) is crucial for aqueous zinc-ion batteries (AZIBs), but it is less investigated. Commercial binder poly(vinylidene fluoride) (PVDF) is widely used without scrutinizing its suitability and cathode-electrolyte interface (CEI) in AZIBs. A water-soluble binder is developed that facilitated the in situ formation of a CEI protecting layer tuning the interfacial morphology. By combining a polysaccharide sodium alginate (SA) with a hydrophobic polytetrafluoroethylene (PTFE), the surface morphology, and charge storage kinetics can be confined from diffusion-dominated to capacitance-controlled processes. The underpinning mechanism investigates experimentally in both kinetic and thermodynamic perspectives demonstrate that the COO− from SA acts as an anionic polyelectrolyte facilitating the adsorption of Zn2+; meanwhile fluoride atoms on PTFE backbone provide hydrophobicity to break desolvation penalty. The hybrid binder is beneficial in providing a higher areal flux of Zn2+ at the CEI, where the Zn-Birnessite MnO2 battery with the hybrid binder exhibits an average specific capacity 45.6% higher than that with conventional PVDF binders; moreover, a reduced interface activation energy attained fosters a superior rate capability and a capacity retention of 99.1% in 1000 cycles. The hybrid binder also reduces the cost compared to the PVDF/NMP, which is a universal strategy to modify interface morphology.","author":[{"dropping-particle":"","family":"Dong","given":"Haobo","non-dropping-particle":"","parse-names":false,"suffix":""},{"dropping-particle":"","family":"Liu","given":"Ruirui","non-dropping-particle":"","parse-names":false,"suffix":""},{"dropping-particle":"","family":"Hu","given":"Xueying","non-dropping-particle":"","parse-names":false,"suffix":""},{"dropping-particle":"","family":"Zhao","given":"Fangjia","non-dropping-particle":"","parse-names":false,"suffix":""},{"dropping-particle":"","family":"Kang","given":"Liqun","non-dropping-particle":"","parse-names":false,"suffix":""},{"dropping-particle":"","family":"Liu","given":"Longxiang","non-dropping-particle":"","parse-names":false,"suffix":""},{"dropping-particle":"","family":"Li","given":"Jianwei","non-dropping-particle":"","parse-names":false,"suffix":""},{"dropping-particle":"","family":"Tan","given":"Yeshu","non-dropping-particle":"","parse-names":false,"suffix":""},{"dropping-particle":"","family":"Zhou","given":"Yongquan","non-dropping-particle":"","parse-names":false,"suffix":""},{"dropping-particle":"","family":"Brett","given":"Dan J.L.","non-dropping-particle":"","parse-names":false,"suffix":""},{"dropping-particle":"","family":"He","given":"Guanjie","non-dropping-particle":"","parse-names":false,"suffix":""},{"dropping-particle":"","family":"Parkin","given":"Ivan P.","non-dropping-particle":"","parse-names":false,"suffix":""}],"container-title":"Advanced Science","id":"ITEM-2","issue":"5","issued":{"date-parts":[["2023","2","1"]]},"page":"2205084","publisher":"John Wiley &amp; Sons, Ltd","title":"Cathode–Electrolyte Interface Modification by Binder Engineering for High-Performance Aqueous Zinc-Ion Batteries","type":"article-journal","volume":"10"},"uris":["http://www.mendeley.com/documents/?uuid=b0e3c0f8-d4b2-3218-8d8f-dd014646dccb"]}],"mendeley":{"formattedCitation":"&lt;sup&gt;[78,93]&lt;/sup&gt;","plainTextFormattedCitation":"[78,93]","previouslyFormattedCitation":"&lt;sup&gt;[77,92]&lt;/sup&gt;"},"properties":{"noteIndex":0},"schema":"https://github.com/citation-style-language/schema/raw/master/csl-citation.json"}</w:instrText>
            </w:r>
            <w:r w:rsidR="004F2544" w:rsidRPr="003E0254">
              <w:rPr>
                <w:bCs/>
                <w:sz w:val="20"/>
                <w:szCs w:val="20"/>
                <w:u w:val="single"/>
              </w:rPr>
              <w:fldChar w:fldCharType="separate"/>
            </w:r>
            <w:r w:rsidR="00500B8D" w:rsidRPr="003E0254">
              <w:rPr>
                <w:bCs/>
                <w:noProof/>
                <w:sz w:val="20"/>
                <w:szCs w:val="20"/>
                <w:vertAlign w:val="superscript"/>
              </w:rPr>
              <w:t>[78,93]</w:t>
            </w:r>
            <w:r w:rsidR="004F2544" w:rsidRPr="003E0254">
              <w:rPr>
                <w:bCs/>
                <w:sz w:val="20"/>
                <w:szCs w:val="20"/>
                <w:u w:val="single"/>
              </w:rPr>
              <w:fldChar w:fldCharType="end"/>
            </w:r>
          </w:p>
          <w:p w14:paraId="64266537" w14:textId="39AAA55E" w:rsidR="00C60055" w:rsidRPr="003E0254" w:rsidRDefault="00C60055" w:rsidP="00B411DE">
            <w:pPr>
              <w:spacing w:line="276" w:lineRule="auto"/>
              <w:rPr>
                <w:bCs/>
                <w:sz w:val="20"/>
                <w:szCs w:val="20"/>
              </w:rPr>
            </w:pPr>
          </w:p>
        </w:tc>
      </w:tr>
      <w:tr w:rsidR="00C60055" w:rsidRPr="003E0254" w14:paraId="24FC28BB" w14:textId="77777777" w:rsidTr="00B411DE">
        <w:trPr>
          <w:trHeight w:val="253"/>
        </w:trPr>
        <w:tc>
          <w:tcPr>
            <w:tcW w:w="509" w:type="pct"/>
            <w:vMerge/>
            <w:tcBorders>
              <w:left w:val="single" w:sz="12" w:space="0" w:color="auto"/>
              <w:right w:val="single" w:sz="12" w:space="0" w:color="auto"/>
            </w:tcBorders>
            <w:shd w:val="clear" w:color="auto" w:fill="99CCFF"/>
          </w:tcPr>
          <w:p w14:paraId="693AEEDB" w14:textId="77777777" w:rsidR="00C60055" w:rsidRPr="003E0254" w:rsidRDefault="00C60055" w:rsidP="00B411DE">
            <w:pPr>
              <w:spacing w:line="276" w:lineRule="auto"/>
              <w:rPr>
                <w:b/>
                <w:bCs/>
                <w:u w:val="single"/>
              </w:rPr>
            </w:pPr>
          </w:p>
        </w:tc>
        <w:tc>
          <w:tcPr>
            <w:tcW w:w="746" w:type="pct"/>
            <w:vMerge w:val="restart"/>
            <w:tcBorders>
              <w:left w:val="single" w:sz="12" w:space="0" w:color="auto"/>
            </w:tcBorders>
            <w:shd w:val="clear" w:color="auto" w:fill="99CCFF"/>
          </w:tcPr>
          <w:p w14:paraId="14EA3123" w14:textId="2C621817" w:rsidR="00C60055" w:rsidRPr="003E0254" w:rsidRDefault="00C60055" w:rsidP="00B411DE">
            <w:pPr>
              <w:spacing w:line="276" w:lineRule="auto"/>
              <w:rPr>
                <w:bCs/>
                <w:sz w:val="20"/>
                <w:szCs w:val="20"/>
                <w:u w:val="single"/>
              </w:rPr>
            </w:pPr>
            <w:r w:rsidRPr="003E0254">
              <w:rPr>
                <w:bCs/>
                <w:sz w:val="20"/>
                <w:szCs w:val="20"/>
                <w:u w:val="single"/>
              </w:rPr>
              <w:t>Fluorine-free salts</w:t>
            </w:r>
            <w:r w:rsidRPr="003E0254">
              <w:rPr>
                <w:bCs/>
                <w:sz w:val="20"/>
                <w:szCs w:val="20"/>
                <w:u w:val="single"/>
              </w:rPr>
              <w:fldChar w:fldCharType="begin" w:fldLock="1"/>
            </w:r>
            <w:r w:rsidR="000F0B1D" w:rsidRPr="003E0254">
              <w:rPr>
                <w:bCs/>
                <w:sz w:val="20"/>
                <w:szCs w:val="20"/>
                <w:u w:val="single"/>
              </w:rPr>
              <w:instrText>ADDIN CSL_CITATION {"citationItems":[{"id":"ITEM-1","itemData":{"DOI":"10.1021/ACSENERGYLETT.8B01426/ASSET/IMAGES/LARGE/NZ-2018-01426E_0016.JPEG","ISSN":"23808195","abstract":"Although current high-energy-density lithium-ion batteries (LIBs) have taken over the commercial rechargeable battery market, increasing concerns about limited lithium resources, high cost, and insecurity of organic electrolyte scale-up limit their further development. Rechargeable aqueous zinc-ion batteries (ZIBs), an alternative battery chemistry, have paved the way not only for realizing environmentally benign and safe energy storage devices but also for reducing the manufacturing costs of next-generation batteries. This Review underscores recent advances in aqueous ZIBs; these include the design of a highly reversible Zn anode, optimization of the electrolyte, and a wide range of cathode materials and their energy storage mechanisms. We also present recent advanced techniques that aim at overcoming the current issues in aqueous ZIB systems. This Review on the future perspectives and research directions will provide a guide for future aqueous ZIB study.","author":[{"dropping-particle":"","family":"Fang","given":"Guozhao","non-dropping-particle":"","parse-names":false,"suffix":""},{"dropping-particle":"","family":"Zhou","given":"Jiang","non-dropping-particle":"","parse-names":false,"suffix":""},{"dropping-particle":"","family":"Pan","given":"Anqiang","non-dropping-particle":"","parse-names":false,"suffix":""},{"dropping-particle":"","family":"Liang","given":"Shuquan","non-dropping-particle":"","parse-names":false,"suffix":""}],"container-title":"ACS Energy Letters","id":"ITEM-1","issue":"10","issued":{"date-parts":[["2018","10","12"]]},"page":"2480-2501","publisher":"American Chemical Society","title":"Recent Advances in Aqueous Zinc-Ion Batteries","type":"article-journal","volume":"3"},"uris":["http://www.mendeley.com/documents/?uuid=07c088a2-b9b5-3edb-9a72-66f19ac12f13"]},{"id":"ITEM-2","itemData":{"DOI":"10.1002/ANIE.201106307","ISSN":"1521-3773","PMID":"22170816","abstract":"Think zinc: An ideal aqueous energy storage device, referred to as a zinc ion battery, is presented. The device is characterized by high capacity, fast charge/discharge capability, safety, and environmental friendliness. It is composed of an α-MnO 2 cathode, a zinc anode, and a mild ZnSO 4 or Zn(NO 3) 2 aqueous electrolyte (see scheme). The battery chemistry is based on the migration of Zn 2+ ions between cathode and anode. Copyright © 2012 WILEY-VCH Verlag GmbH &amp; Co. KGaA, Weinheim.","author":[{"dropping-particle":"","family":"Xu","given":"Chengjun","non-dropping-particle":"","parse-names":false,"suffix":""},{"dropping-particle":"","family":"Li","given":"Baohua","non-dropping-particle":"","parse-names":false,"suffix":""},{"dropping-particle":"","family":"Du","given":"Hongda","non-dropping-particle":"","parse-names":false,"suffix":""},{"dropping-particle":"","family":"Kang","given":"Feiyu","non-dropping-particle":"","parse-names":false,"suffix":""}],"container-title":"Angewandte Chemie International Edition","id":"ITEM-2","issue":"4","issued":{"date-parts":[["2012","1","23"]]},"page":"933-935","publisher":"John Wiley &amp; Sons, Ltd","title":"Energetic Zinc Ion Chemistry: The Rechargeable Zinc Ion Battery","type":"article-journal","volume":"51"},"uris":["http://www.mendeley.com/documents/?uuid=1ceb1d34-46fa-30b7-9195-51964de553ed"]}],"mendeley":{"formattedCitation":"&lt;sup&gt;[4,42]&lt;/sup&gt;","plainTextFormattedCitation":"[4,42]","previouslyFormattedCitation":"&lt;sup&gt;[4,42]&lt;/sup&gt;"},"properties":{"noteIndex":0},"schema":"https://github.com/citation-style-language/schema/raw/master/csl-citation.json"}</w:instrText>
            </w:r>
            <w:r w:rsidRPr="003E0254">
              <w:rPr>
                <w:bCs/>
                <w:sz w:val="20"/>
                <w:szCs w:val="20"/>
                <w:u w:val="single"/>
              </w:rPr>
              <w:fldChar w:fldCharType="separate"/>
            </w:r>
            <w:r w:rsidR="000F0B1D" w:rsidRPr="003E0254">
              <w:rPr>
                <w:bCs/>
                <w:noProof/>
                <w:sz w:val="20"/>
                <w:szCs w:val="20"/>
                <w:vertAlign w:val="superscript"/>
              </w:rPr>
              <w:t>[4,42]</w:t>
            </w:r>
            <w:r w:rsidRPr="003E0254">
              <w:rPr>
                <w:bCs/>
                <w:sz w:val="20"/>
                <w:szCs w:val="20"/>
                <w:u w:val="single"/>
              </w:rPr>
              <w:fldChar w:fldCharType="end"/>
            </w:r>
          </w:p>
          <w:p w14:paraId="2C835D40" w14:textId="6296E4BB" w:rsidR="00C60055" w:rsidRPr="003E0254" w:rsidRDefault="00C60055" w:rsidP="00B411DE">
            <w:pPr>
              <w:spacing w:line="276" w:lineRule="auto"/>
              <w:rPr>
                <w:bCs/>
                <w:sz w:val="20"/>
                <w:szCs w:val="20"/>
                <w:u w:val="single"/>
              </w:rPr>
            </w:pPr>
          </w:p>
        </w:tc>
        <w:tc>
          <w:tcPr>
            <w:tcW w:w="768" w:type="pct"/>
            <w:vMerge w:val="restart"/>
            <w:tcBorders>
              <w:right w:val="single" w:sz="12" w:space="0" w:color="auto"/>
            </w:tcBorders>
            <w:shd w:val="clear" w:color="auto" w:fill="99CCFF"/>
          </w:tcPr>
          <w:p w14:paraId="469D2868" w14:textId="1EF0983A" w:rsidR="00C60055" w:rsidRPr="003E0254" w:rsidRDefault="00C60055" w:rsidP="00B411DE">
            <w:pPr>
              <w:spacing w:line="276" w:lineRule="auto"/>
              <w:rPr>
                <w:bCs/>
                <w:sz w:val="20"/>
                <w:szCs w:val="20"/>
                <w:u w:val="single"/>
              </w:rPr>
            </w:pPr>
            <w:r w:rsidRPr="003E0254">
              <w:rPr>
                <w:bCs/>
                <w:sz w:val="20"/>
                <w:szCs w:val="20"/>
                <w:u w:val="single"/>
              </w:rPr>
              <w:lastRenderedPageBreak/>
              <w:t>Gelling agents</w:t>
            </w:r>
            <w:r w:rsidRPr="003E0254">
              <w:rPr>
                <w:bCs/>
                <w:sz w:val="20"/>
                <w:szCs w:val="20"/>
                <w:u w:val="single"/>
              </w:rPr>
              <w:fldChar w:fldCharType="begin" w:fldLock="1"/>
            </w:r>
            <w:r w:rsidR="00500B8D" w:rsidRPr="003E0254">
              <w:rPr>
                <w:bCs/>
                <w:sz w:val="20"/>
                <w:szCs w:val="20"/>
                <w:u w:val="single"/>
              </w:rPr>
              <w:instrText>ADDIN CSL_CITATION {"citationItems":[{"id":"ITEM-1","itemData":{"DOI":"10.1039/C9RA01120J","ISSN":"2046-2069","abstract":"Flexible Zn–MnO2 batteries as wearable electronic power source have attracted much attention in recent years due to their low cost and high safety. To promote the practical application of flexible Zn–MnO2 batteries, it is imperative to develop flexible, mechanically robust and high performance solid state electrolyte. Herein, we construct a rechargeable quasi-solid-state zinc ion battery using kappa-carrageenan bio-polymer electrolyte. The kappa-carrageenan electrolyte is eco-friendly, low cost, and highly conductive (3.32 × 10−2 S cm−1 at room temperature). The mechanical robustness of kappa-carrageenan electrolyte is further reinforced by using a rice paper as scaffold. Benefiting from high ionic conductivity of the bio-polymer electrolyte, our zinc ion battery delivers a significant high energy density and power density (400 W h kg−1 and 7.9 kW kg−1, respectively), high specific capacity (291.5 mA h g−1 at 0.15 A g−1), fast charging and discharging capability (120.0 mA h g−1 at 6.0 A g−1). The zinc ion battery with bio-polymer electrolyte also shows excellent cycling stability and high bending durability. This work brings new research opportunities in developing low-cost flexible solid-state zinc ion batteries using green natural polymer.","author":[{"dropping-particle":"","family":"Huang","given":"Yuan","non-dropping-particle":"","parse-names":false,"suffix":""},{"dropping-particle":"","family":"Liu","given":"Jiuwei","non-dropping-particle":"","parse-names":false,"suffix":""},{"dropping-particle":"","family":"Zhang","given":"Jiyan","non-dropping-particle":"","parse-names":false,"suffix":""},{"dropping-particle":"","family":"Jin","given":"Shunyu","non-dropping-particle":"","parse-names":false,"suffix":""},{"dropping-particle":"","family":"Jiang","given":"Yixiang","non-dropping-particle":"","parse-names":false,"suffix":""},{"dropping-particle":"","family":"Zhang","given":"Shengdong","non-dropping-particle":"","parse-names":false,"suffix":""},{"dropping-particle":"","family":"Li","given":"Zigang","non-dropping-particle":"","parse-names":false,"suffix":""},{"dropping-particle":"","family":"Zhi","given":"Chunyi","non-dropping-particle":"","parse-names":false,"suffix":""},{"dropping-particle":"","family":"Du","given":"Guoqing","non-dropping-particle":"","parse-names":false,"suffix":""},{"dropping-particle":"","family":"Zhou","given":"Hang","non-dropping-particle":"","parse-names":false,"suffix":""}],"container-title":"RSC Advances","id":"ITEM-1","issue":"29","issued":{"date-parts":[["2019","5","24"]]},"page":"16313-16319","publisher":"The Royal Society of Chemistry","title":"Flexible quasi-solid-state zinc ion batteries enabled by highly conductive carrageenan bio-polymer electrolyte","type":"article-journal","volume":"9"},"uris":["http://www.mendeley.com/documents/?uuid=02923081-3de7-34bd-8f07-6cd503d0c253"]},{"id":"ITEM-2","itemData":{"DOI":"10.1021/ACSAEM.0C01452/ASSET/IMAGES/LARGE/AE0C01452_0008.JPEG","ISSN":"25740962","abstract":"The emerging zinc-ion rechargeable batteries have attracted much attention because of their intrinsic safety and low cost resulting from the use of aqueous electrolytes and zinc anodes that come from abundant sources. However, it is impossible to use zinc-ion batteries in frigid environments because of their liquid aqueous electrolytes. Herein, we have prepared a quasi-solid-state zinc-ion battery employing an anti-freezing quasi-solid-state electrolyte and a high-capacity NH4V3O8·1.9H2O cathode. High-concentration zinc salts are used in the electrolyte to depress its freezing point, and xanthan gum is employed to convert the electrolyte into the quasi-solid state, for operations at subzero temperatures and maintaining good performance while mechanically bent. When cycled at 0.2 A g-1, the quasi-solid-state battery cells exhibit a discharge capacity of 283 mAh g-1 at 20 °C, 215 mAh g-1 at 0 °C, and 119 mAh g-1 at -20 °C. The capacity retention can reach 90.3% and 90.7% at 20 and 0 °C after 800 cycles when cycled at 1.5 A g-1. The battery can still exhibit 83% of the initial capacity over 450 cycles at -20 °C when cycled at 0.5 A g-1. In addition, the battery well maintains its capacity while being bent at 90 and 180°at either 20 or -20 °C. Hence, this work is a creative effort to achieve quasi-solid-state ZIBs that can be used either in cold environments or as power sources in wearable electronics, purely based on safe aqueous electrolytes without using any organic compounds or organic synthesis other than commercial edible xanthan gum.","author":[{"dropping-particle":"","family":"Chen","given":"Yehong","non-dropping-particle":"","parse-names":false,"suffix":""},{"dropping-particle":"","family":"Zhao","given":"Jianqing","non-dropping-particle":"","parse-names":false,"suffix":""},{"dropping-particle":"","family":"Wang","given":"Ying","non-dropping-particle":"","parse-names":false,"suffix":""}],"container-title":"ACS Applied Energy Materials","id":"ITEM-2","issue":"9","issued":{"date-parts":[["2020","9","28"]]},"page":"9058-9065","publisher":"American Chemical Society","title":"Quasi-Solid-State Zinc Ion Rechargeable Batteries for Subzero Temperature Applications","type":"article-journal","volume":"3"},"uris":["http://www.mendeley.com/documents/?uuid=d4eca344-87d2-3fad-8790-9384a03a5c57"]},{"id":"ITEM-3","itemData":{"DOI":"10.1016/J.ELECTACTA.2021.139178","ISSN":"0013-4686","abstract":"The emerging aqueous zinc-ion rechargeable batteries have attracted much attention, owing to their intrinsic safety and low cost. However, it is not practical to use zinc-ion batteries in frigid environments due to their liquid water-based electrolytes. To alleviate this issue, we have developed a flexible zinc-ion battery consisting of an optimized concentrated hydrogel electrolyte sandwiched between an ultrathin zinc anode and a NH4V3O8•1•9H2O cathode for enhanced performance at subzero temperature. The hydrogel electrolytes, synthesized by simply mixing xanthan gum and aqueous ZnCl2 solution, are examined via various characterizations, such as thermogravimetric analysis, tensile tests, adhesion tests, and impedance measurements, for understanding their fundamental properties. The contents of the xanthan gum and the zinc salt can be facilely tuned and optimized for maximized battery performance. It is found that when a concentrated hydrogel electrolyte is prepared using 1.2 g xanthan gum mixed in 4 m ZnCl2 solution, the resulted flexible battery delivers the best performance, exhibiting a very high capacity of 201 mAh g −1 and 83 mAh g −1 under 0.2 A g −1 at -20 °C and -40 °C, respectively. The battery also exhibits remarkable cyclability over 1500 cycles at -20 °C. Additionally, the battery shows capacity retention of 92% capacity over 100 cycles while being bent by 90° then 180° at -20 °C. As such, this battery demonstrates excellent electrochemical performance and mechanical durability/flexibility as well as anti-freezing property, showing high potential to be used to power wearable electronics in cold environments or where safety is most crucial.","author":[{"dropping-particle":"","family":"Wang","given":"Ying","non-dropping-particle":"","parse-names":false,"suffix":""},{"dropping-particle":"","family":"Chen","given":"Yehong","non-dropping-particle":"","parse-names":false,"suffix":""}],"container-title":"Electrochimica Acta","id":"ITEM-3","issued":{"date-parts":[["2021","11","1"]]},"page":"139178","publisher":"Pergamon","title":"A flexible zinc-ion battery based on the optimized concentrated hydrogel electrolyte for enhanced performance at subzero temperature","type":"article-journal","volume":"395"},"uris":["http://www.mendeley.com/documents/?uuid=8ee7d838-fb1d-3072-ab43-454c779c306b"]},{"id":"ITEM-4","itemData":{"DOI":"10.1039/C8EE01415A","ISSN":"1754-5692","abstract":"Rechargeable aqueous zinc–cobalt oxide batteries with high voltage, excellent rate capability and long-cycling life.","author":[{"dropping-particle":"","family":"Ma","given":"Longtao","non-dropping-particle":"","parse-names":false,"suffix":""},{"dropping-particle":"","family":"Chen","given":"Shengmei","non-dropping-particle":"","parse-names":false,"suffix":""},{"dropping-particle":"","family":"Li","given":"Hongfei","non-dropping-particle":"","parse-names":false,"suffix":""},{"dropping-particle":"","family":"Ruan","given":"Zhaoheng","non-dropping-particle":"","parse-names":false,"suffix":""},{"dropping-particle":"","family":"Tang","given":"Zijie","non-dropping-particle":"","parse-names":false,"suffix":""},{"dropping-particle":"","family":"Liu","given":"Zhuoxin","non-dropping-particle":"","parse-names":false,"suffix":""},{"dropping-particle":"","family":"Wang","given":"Zifeng","non-dropping-particle":"","parse-names":false,"suffix":""},{"dropping-particle":"","family":"Huang","given":"Yan","non-dropping-particle":"","parse-names":false,"suffix":""},{"dropping-particle":"","family":"Pei","given":"Zengxia","non-dropping-particle":"","parse-names":false,"suffix":""},{"dropping-particle":"","family":"Zapien","given":"Juan Antonio","non-dropping-particle":"","parse-names":false,"suffix":""},{"dropping-particle":"","family":"Zhi","given":"Chunyi","non-dropping-particle":"","parse-names":false,"suffix":""}],"container-title":"Energy &amp; Environmental Science","id":"ITEM-4","issue":"9","issued":{"date-parts":[["2018","9","12"]]},"page":"2521-2530","publisher":"The Royal Society of Chemistry","title":"Initiating a mild aqueous electrolyte Co 3 O 4 /Zn battery with 2.2 V-high voltage and 5000-cycle lifespan by a Co( iii ) rich-electrode","type":"article-journal","volume":"11"},"uris":["http://www.mendeley.com/documents/?uuid=a16977e1-e140-345b-8bfc-dd7b742c395c"]}],"mendeley":{"formattedCitation":"&lt;sup&gt;[94–97]&lt;/sup&gt;","plainTextFormattedCitation":"[94–97]","previouslyFormattedCitation":"&lt;sup&gt;[93–96]&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[94–97]</w:t>
            </w:r>
            <w:r w:rsidRPr="003E0254">
              <w:rPr>
                <w:bCs/>
                <w:sz w:val="20"/>
                <w:szCs w:val="20"/>
                <w:u w:val="single"/>
              </w:rPr>
              <w:fldChar w:fldCharType="end"/>
            </w:r>
          </w:p>
          <w:p w14:paraId="773C6632" w14:textId="51D1D51D" w:rsidR="00C60055" w:rsidRPr="003E0254" w:rsidRDefault="00C60055" w:rsidP="00B411DE">
            <w:pPr>
              <w:spacing w:line="276" w:lineRule="auto"/>
              <w:rPr>
                <w:bCs/>
                <w:sz w:val="20"/>
                <w:szCs w:val="20"/>
                <w:u w:val="single"/>
              </w:rPr>
            </w:pPr>
          </w:p>
        </w:tc>
        <w:tc>
          <w:tcPr>
            <w:tcW w:w="713" w:type="pct"/>
            <w:tcBorders>
              <w:left w:val="single" w:sz="12" w:space="0" w:color="auto"/>
            </w:tcBorders>
            <w:shd w:val="clear" w:color="auto" w:fill="99CCFF"/>
          </w:tcPr>
          <w:p w14:paraId="63297164" w14:textId="57BD0834" w:rsidR="00C60055" w:rsidRPr="003E0254" w:rsidRDefault="00C60055" w:rsidP="00B411DE">
            <w:pPr>
              <w:spacing w:line="276" w:lineRule="auto"/>
              <w:rPr>
                <w:bCs/>
                <w:sz w:val="20"/>
                <w:szCs w:val="20"/>
                <w:u w:val="single"/>
              </w:rPr>
            </w:pPr>
            <w:r w:rsidRPr="003E0254">
              <w:rPr>
                <w:bCs/>
                <w:sz w:val="20"/>
                <w:szCs w:val="20"/>
                <w:u w:val="single"/>
              </w:rPr>
              <w:lastRenderedPageBreak/>
              <w:t>Powder-based</w:t>
            </w:r>
            <w:r w:rsidRPr="003E0254">
              <w:rPr>
                <w:bCs/>
                <w:sz w:val="20"/>
                <w:szCs w:val="20"/>
                <w:u w:val="single"/>
              </w:rPr>
              <w:fldChar w:fldCharType="begin" w:fldLock="1"/>
            </w:r>
            <w:r w:rsidR="00500B8D" w:rsidRPr="003E0254">
              <w:rPr>
                <w:bCs/>
                <w:sz w:val="20"/>
                <w:szCs w:val="20"/>
                <w:u w:val="single"/>
              </w:rPr>
              <w:instrText>ADDIN CSL_CITATION {"citationItems":[{"id":"ITEM-1","itemData":{"DOI":"10.1016/J.ENSM.2021.12.007","ISSN":"2405-8297","abstract":"Uncontrollable dendrite growth and side reactions that arise at the Zn anode severely impede the commercial applications of Zinc ion batteries. In particular, the low utilization rate of Zinc metal often results in low energy density. Herein, a more practicable non-dendrite zinc anode was designed to replace traditional zinc foils by hybridization of commercial zinc powders and pristine graphene (PG). The formed three-dimensional PG network not only enhance adhesion between zinc powder particles forming stable Zn powder/PG hybrid electrode with enough mechanical strength but also uniformize the local electrical field as a redistributor, leading to non-dendritic Zinc metal plating/stripping in combination with crystalline plane induce effect of PG. As a result, extremely low voltage hysteresis of 89 mV and long cycle life over 360 h (vs. 349 mV and 30 h for zinc foil) at large current density of 5 mA cm−2 are achieved for the Zn powder/PG anode. Notably, the Zn powder/PG anode can obviously enhance the rate performance and entire energy density of Zn||MnO2 full battery by nearly two times because of the higher utilization of Zn powder/PG anode. Therefore, this work provides new insight for designing practical zinc anode for high specific energy ZIB devices.","author":[{"dropping-particle":"","family":"Du","given":"Wencheng","non-dropping-particle":"","parse-names":false,"suffix":""},{"dropping-particle":"","family":"Huang","given":"Song","non-dropping-particle":"","parse-names":false,"suffix":""},{"dropping-particle":"","family":"Zhang","given":"Yufei","non-dropping-particle":"","parse-names":false,"suffix":""},{"dropping-particle":"","family":"Ye","given":"Minghui","non-dropping-particle":"","parse-names":false,"suffix":""},{"dropping-particle":"","family":"Li","given":"Cheng Chao","non-dropping-particle":"","parse-names":false,"suffix":""}],"container-title":"Energy Storage Materials","id":"ITEM-1","issued":{"date-parts":[["2022","3","1"]]},"page":"465-473","publisher":"Elsevier","title":"Enable commercial Zinc powders for dendrite-free Zinc anode with improved utilization rate by pristine graphene hybridization","type":"article-journal","volume":"45"},"uris":["http://www.mendeley.com/documents/?uuid=ae05642d-d0e5-4184-b766-dcfa459e67aa"]},{"id":"ITEM-2","itemData":{"DOI":"10.1002/adma.202200860","ISSN":"0935-9648","PMID":"35262983","abstract":"Zn powder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based anodes are considered ideal candidates for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based batteries because they enable a positive synergistic integration of safety and energy density. However,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based anodes still experience easy corrosion, uncontrolled dendrite growth, and poor mechanical strength, which restrict their further application. Herein, a mixed ionic</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electronic conducting scaffold is introduced into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 to successfully fabricate anti</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corrosive, flexible, and dendrite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free Zn anodes using a scalable tape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casting strategy. The as</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established scaffold is characterized by robust flexibility, facile scale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up synthesis methodology, and exceptional anti</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corrosive characteristics, and it can effectively homogenize the Zn 2+ flux during Zn plating/stripping, thus allowing stable Zn cycling. Benefiting from these comprehensive attributes, the as</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prepared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based anode provides superior electrochemical performance, including long</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life cycling stability and high rate capability in practical coin and flexible pouch cells; thus, it holds great potential for developing advanced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batteries. The findings of this study provide insights for a promising scalable pathway to fabricate highly efficient and reliable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based anodes and will aid in the realization of advanced flexible energy</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storage devices.","author":[{"dropping-particle":"","family":"Zhang","given":"Min","non-dropping-particle":"","parse-names":false,"suffix":""},{"dropping-particle":"","family":"Yu","given":"Peifeng","non-dropping-particle":"","parse-names":false,"suffix":""},{"dropping-particle":"","family":"Xiong","given":"Kairong","non-dropping-particle":"","parse-names":false,"suffix":""},{"dropping-particle":"","family":"Wang","given":"Yongyin","non-dropping-particle":"","parse-names":false,"suffix":""},{"dropping-particle":"","family":"Liu","given":"Yingliang","non-dropping-particle":"","parse-names":false,"suffix":""},{"dropping-particle":"","family":"Liang","given":"Yeru","non-dropping-particle":"","parse-names":false,"suffix":""}],"container-title":"Advanced Materials","id":"ITEM-2","issue":"19","issued":{"date-parts":[["2022","5","5"]]},"page":"2200860","publisher":"John Wiley &amp; Sons, Ltd","title":"Construction of Mixed Ionic</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Electronic Conducting Scaffolds in Zn Powder: A Scalable Route to Dendrite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Free and Flexible Zn Anodes","type":"article-journal","volume":"34"},"uris":["http://www.mendeley.com/documents/?uuid=99efa170-de06-3a02-bb54-e8e27d976edd"]},{"id":"ITEM-3","itemData":{"DOI":"10.1021/ACSNANO.1C04354/ASSET/IMAGES/MEDIUM/NN1C04354_M001.GIF","ISSN":"1936086X","PMID":"34478265","abstract":"The renaissance of aqueous Zn ion batteries has drawn intense attention to Zn metal anode issues, including dendrites growth, dead Zn, low efficiency, and other parasitic reactions. However, against the widely used 2D Zn foil, in fact, the Zn powder anode is a more practical choice for Zn-based batteries in industrial applications, but the related solutions are rarely investigated. Herein, we focus on the Zn powder anode and disclose its unknown failure mechanism different from Zn foils. By utilization of 2D flexible conductive Ti3C2Tx MXene flakes with hexagonal close-packed lattice as electrons and ions redistributor, a stable and highly reversible Zn powder anode without dendrite growth and low polarization is constructed. Low lattice mismatch (</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10%) enables a coherent heterogeneous interface between the (0002) plane of deposited Zn and (0002) plane of the Ti3C2Tx MXene. Thus, the Zn2+ ions are induced to undergo rapid uniform nucleation and sustained reversible stripping/plating with low energy barriers via the internally bridged shuttle channels. Paired with cyano group iron hexacyanoferrate (FeHCF) cathode, the FeHCF//MXene@Zn full battery delivers superior cycle durability and rate capability, whose service life with a CE of near 100% touches 850% of bare Zn powder counterparts. The proposed Ti3C2Tx MXene redistributor strategy concerning high-speed electrons/ions channel, low-barrier heterogeneous interface, is expected to be widely applied to other alkali metal anodes.","author":[{"dropping-particle":"","family":"Li","given":"Xinliang","non-dropping-particle":"","parse-names":false,"suffix":""},{"dropping-particle":"","family":"Li","given":"Qing","non-dropping-particle":"","parse-names":false,"suffix":""},{"dropping-particle":"","family":"Hou","given":"Yue","non-dropping-particle":"","parse-names":false,"suffix":""},{"dropping-particle":"","family":"Yang","given":"Qi","non-dropping-particle":"","parse-names":false,"suffix":""},{"dropping-particle":"","family":"Chen","given":"Ze","non-dropping-particle":"","parse-names":false,"suffix":""},{"dropping-particle":"","family":"Huang","given":"Zhaodong","non-dropping-particle":"","parse-names":false,"suffix":""},{"dropping-particle":"","family":"Liang","given":"Guojin","non-dropping-particle":"","parse-names":false,"suffix":""},{"dropping-particle":"","family":"Zhao","given":"Yuwei","non-dropping-particle":"","parse-names":false,"suffix":""},{"dropping-particle":"","family":"Ma","given":"Longtao","non-dropping-particle":"","parse-names":false,"suffix":""},{"dropping-particle":"","family":"Li","given":"Mian","non-dropping-particle":"","parse-names":false,"suffix":""},{"dropping-particle":"","family":"Huang","given":"Qing","non-dropping-particle":"","parse-names":false,"suffix":""},{"dropping-particle":"","family":"Zhi","given":"Chunyi","non-dropping-particle":"","parse-names":false,"suffix":""}],"container-title":"ACS Nano","id":"ITEM-3","issue":"9","issued":{"date-parts":[["2021","9","28"]]},"page":"14631-14642","publisher":"American Chemical Society","title":"Toward a Practical Zn Powder Anode: Ti3C2Tx MXene as a Lattice-Match Electrons/Ions Redistributor","type":"article-journal","volume":"15"},"uris":["http://www.mendeley.com/documents/?uuid=3a12eb2e-023a-3c5f-a299-73d1c4380552"]}],"mendeley":{"formattedCitation":"&lt;sup&gt;[98–100]&lt;/sup&gt;","plainTextFormattedCitation":"[98–100]","previouslyFormattedCitation":"&lt;sup&gt;[97–99]&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[98–100]</w:t>
            </w:r>
            <w:r w:rsidRPr="003E0254">
              <w:rPr>
                <w:bCs/>
                <w:sz w:val="20"/>
                <w:szCs w:val="20"/>
                <w:u w:val="single"/>
              </w:rPr>
              <w:fldChar w:fldCharType="end"/>
            </w:r>
          </w:p>
        </w:tc>
        <w:tc>
          <w:tcPr>
            <w:tcW w:w="712" w:type="pct"/>
            <w:vMerge/>
            <w:tcBorders>
              <w:right w:val="single" w:sz="12" w:space="0" w:color="auto"/>
            </w:tcBorders>
            <w:shd w:val="clear" w:color="auto" w:fill="99CCFF"/>
          </w:tcPr>
          <w:p w14:paraId="47EFF274" w14:textId="77777777" w:rsidR="00C60055" w:rsidRPr="003E0254" w:rsidRDefault="00C60055" w:rsidP="00B411DE">
            <w:pPr>
              <w:spacing w:line="276" w:lineRule="auto"/>
              <w:rPr>
                <w:bCs/>
                <w:sz w:val="20"/>
                <w:szCs w:val="20"/>
              </w:rPr>
            </w:pPr>
          </w:p>
        </w:tc>
        <w:tc>
          <w:tcPr>
            <w:tcW w:w="704" w:type="pct"/>
            <w:tcBorders>
              <w:left w:val="single" w:sz="12" w:space="0" w:color="auto"/>
            </w:tcBorders>
            <w:shd w:val="clear" w:color="auto" w:fill="99CCFF"/>
          </w:tcPr>
          <w:p w14:paraId="5B351FE9" w14:textId="3786EAAA" w:rsidR="00C60055" w:rsidRPr="003E0254" w:rsidRDefault="00C60055" w:rsidP="00B411DE">
            <w:pPr>
              <w:spacing w:line="276" w:lineRule="auto"/>
              <w:rPr>
                <w:bCs/>
                <w:sz w:val="20"/>
                <w:szCs w:val="20"/>
                <w:u w:val="single"/>
              </w:rPr>
            </w:pPr>
            <w:proofErr w:type="spellStart"/>
            <w:r w:rsidRPr="003E0254">
              <w:rPr>
                <w:bCs/>
                <w:sz w:val="20"/>
                <w:szCs w:val="20"/>
                <w:u w:val="single"/>
              </w:rPr>
              <w:t>Spinels</w:t>
            </w:r>
            <w:proofErr w:type="spellEnd"/>
            <w:r w:rsidR="004F2544" w:rsidRPr="003E0254">
              <w:rPr>
                <w:bCs/>
                <w:sz w:val="20"/>
                <w:szCs w:val="20"/>
                <w:u w:val="single"/>
              </w:rPr>
              <w:fldChar w:fldCharType="begin" w:fldLock="1"/>
            </w:r>
            <w:r w:rsidR="00500B8D" w:rsidRPr="003E0254">
              <w:rPr>
                <w:bCs/>
                <w:sz w:val="20"/>
                <w:szCs w:val="20"/>
                <w:u w:val="single"/>
              </w:rPr>
              <w:instrText>ADDIN CSL_CITATION {"citationItems":[{"id":"ITEM-1","itemData":{"DOI":"10.1002/TCR.202100169","ISSN":"1528-0691","PMID":"34418292","abstract":"Zinc metal is abundant in nature, non-toxic, harmless, and cheap. Zinc-ion batteries (ZIBs) have also emerged as the times require, which has attracted scholars′ research interest. In the zinc-ion batteries, the cathode material is indispensable. Manganese oxides are widely used in electrode materials because of their various valence states (+2, +3, +4, +7). ZnMn2O4 (ZMO) is a mixed metal oxide with a spinel structure similar to LiMn2O4. Due to the synergistic effect of Zn and Mn, it has the advantages of high theoretical capacity. In recent years, researchers have gradually applied ZnMn2O4 to zinc ion batteries. In order to obtain high-energy-density zinc ion batteries, it is also very important to match electrolytes with a wide operating voltage window and develop a highly reversible anode. In the first instance, we investigate the research progress of spinel ZnMn2O4 as a reliable candidate material for zinc ion batteries. Later on, we review the optimization and modification measures of anode and electrolyte to improve the electrochemical properties of spinel ZnMn2O4. On this basis, we propose the reasonable research direction and development prospects for this material. It is hoped that there will be a help to researchers in this field.","author":[{"dropping-particle":"","family":"Cai","given":"Kexing","non-dropping-particle":"","parse-names":false,"suffix":""},{"dropping-particle":"","family":"Luo","given":"Shao hua","non-dropping-particle":"","parse-names":false,"suffix":""},{"dropping-particle":"","family":"Feng","given":"Jie","non-dropping-particle":"","parse-names":false,"suffix":""},{"dropping-particle":"","family":"Wang","given":"Jiachen","non-dropping-particle":"","parse-names":false,"suffix":""},{"dropping-particle":"","family":"Zhan","given":"Yang","non-dropping-particle":"","parse-names":false,"suffix":""},{"dropping-particle":"","family":"Wang","given":"Qing","non-dropping-particle":"","parse-names":false,"suffix":""},{"dropping-particle":"","family":"Zhang","given":"Yahui","non-dropping-particle":"","parse-names":false,"suffix":""},{"dropping-particle":"","family":"Liu","given":"Xin","non-dropping-particle":"","parse-names":false,"suffix":""}],"container-title":"The Chemical Record","id":"ITEM-1","issue":"1","issued":{"date-parts":[["2022","1","1"]]},"page":"e202100169","publisher":"John Wiley &amp; Sons, Ltd","title":"Recent Advances on Spinel Zinc Manganate Cathode Materials for Zinc-Ion Batteries","type":"article-journal","volume":"22"},"uris":["http://www.mendeley.com/documents/?uuid=c8d70932-df9a-38b2-9c1d-cdc581292d88"]},{"id":"ITEM-2","itemData":{"DOI":"10.1002/CHEM.202402859","ISSN":"1521-3765","abstract":"Zinc-ion batteries have emerged as strong candidates for replacing Li/Na-ion batteries owing to their high safety and environmental friendliness. However, the large electrostatic repulsion between the cathode and Zn2+, the irreversible growth of zinc dendrites at the anode, and the hydrogen precipitation side reaction in the aqueous electrolyte have hindered the practical application of zinc ion batteries. Fortunately, the emergence of the revolutionary concept of high entropy has provided new opportunities for the development of battery materials. High-entropy materials, with their unique atomic structures and uniform distribution of multiple elements, offer flexible options for material compositions and electronic structures, thus attracting significant attention in battery systems. In this concept article, we summarize the definitions and intrinsic structural characteristics of high-entropy materials and provide a detailed overview of the latest design concepts from the perspectives of cathodes, anodes, and electrolytes. Finally, we outline the challenges faced by high-entropy materials and potential solutions to guide researchers in developing efficient and stable zinc-ion batteries.","author":[{"dropping-particle":"","family":"Sun","given":"Kaisheng","non-dropping-particle":"","parse-names":false,"suffix":""},{"dropping-particle":"","family":"Li","given":"Jiaru","non-dropping-particle":"","parse-names":false,"suffix":""},{"dropping-particle":"","family":"Li","given":"Liang","non-dropping-particle":"","parse-names":false,"suffix":""},{"dropping-particle":"","family":"Chao","given":"Danming","non-dropping-particle":"","parse-names":false,"suffix":""}],"container-title":"Chemistry – A European Journal","id":"ITEM-2","issue":"2","issued":{"date-parts":[["2025","1","9"]]},"page":"e202402859","publisher":"John Wiley &amp; Sons, Ltd","title":"Design Concepts of High-Entropy Materials for Zinc Ion Batteries","type":"article-journal","volume":"31"},"uris":["http://www.mendeley.com/documents/?uuid=14c2871c-0857-3f01-b2d5-d40e82655af2"]}],"mendeley":{"formattedCitation":"&lt;sup&gt;[101,102]&lt;/sup&gt;","plainTextFormattedCitation":"[101,102]","previouslyFormattedCitation":"&lt;sup&gt;[100,101]&lt;/sup&gt;"},"properties":{"noteIndex":0},"schema":"https://github.com/citation-style-language/schema/raw/master/csl-citation.json"}</w:instrText>
            </w:r>
            <w:r w:rsidR="004F2544" w:rsidRPr="003E0254">
              <w:rPr>
                <w:bCs/>
                <w:sz w:val="20"/>
                <w:szCs w:val="20"/>
                <w:u w:val="single"/>
              </w:rPr>
              <w:fldChar w:fldCharType="separate"/>
            </w:r>
            <w:r w:rsidR="00500B8D" w:rsidRPr="003E0254">
              <w:rPr>
                <w:bCs/>
                <w:noProof/>
                <w:sz w:val="20"/>
                <w:szCs w:val="20"/>
                <w:vertAlign w:val="superscript"/>
              </w:rPr>
              <w:t>[101,102]</w:t>
            </w:r>
            <w:r w:rsidR="004F2544" w:rsidRPr="003E0254">
              <w:rPr>
                <w:bCs/>
                <w:sz w:val="20"/>
                <w:szCs w:val="20"/>
                <w:u w:val="single"/>
              </w:rPr>
              <w:fldChar w:fldCharType="end"/>
            </w:r>
          </w:p>
          <w:p w14:paraId="20160A55" w14:textId="79E9AB0C" w:rsidR="00C60055" w:rsidRPr="003E0254" w:rsidRDefault="00C60055" w:rsidP="00B411DE">
            <w:pPr>
              <w:spacing w:line="276" w:lineRule="auto"/>
              <w:rPr>
                <w:bCs/>
                <w:sz w:val="20"/>
                <w:szCs w:val="20"/>
              </w:rPr>
            </w:pPr>
          </w:p>
        </w:tc>
        <w:tc>
          <w:tcPr>
            <w:tcW w:w="848" w:type="pct"/>
            <w:vMerge w:val="restart"/>
            <w:tcBorders>
              <w:right w:val="single" w:sz="12" w:space="0" w:color="auto"/>
            </w:tcBorders>
            <w:shd w:val="clear" w:color="auto" w:fill="99CCFF"/>
          </w:tcPr>
          <w:p w14:paraId="08972CCF" w14:textId="77777777" w:rsidR="00C60055" w:rsidRPr="003E0254" w:rsidRDefault="00C60055" w:rsidP="00B411DE">
            <w:pPr>
              <w:spacing w:line="276" w:lineRule="auto"/>
              <w:rPr>
                <w:bCs/>
                <w:sz w:val="20"/>
                <w:szCs w:val="20"/>
                <w:u w:val="single"/>
              </w:rPr>
            </w:pPr>
            <w:r w:rsidRPr="003E0254">
              <w:rPr>
                <w:bCs/>
                <w:sz w:val="20"/>
                <w:szCs w:val="20"/>
                <w:u w:val="single"/>
              </w:rPr>
              <w:t>Artificial CEI:</w:t>
            </w:r>
          </w:p>
          <w:p w14:paraId="2A9EB114" w14:textId="3967B265" w:rsidR="00C60055" w:rsidRPr="003E0254" w:rsidRDefault="00C60055" w:rsidP="00B411DE">
            <w:pPr>
              <w:spacing w:line="276" w:lineRule="auto"/>
              <w:rPr>
                <w:bCs/>
                <w:sz w:val="20"/>
                <w:szCs w:val="20"/>
                <w:u w:val="single"/>
              </w:rPr>
            </w:pPr>
          </w:p>
        </w:tc>
      </w:tr>
      <w:tr w:rsidR="00C60055" w:rsidRPr="003E0254" w14:paraId="1552EC80" w14:textId="77777777" w:rsidTr="00B411DE">
        <w:tc>
          <w:tcPr>
            <w:tcW w:w="509" w:type="pct"/>
            <w:vMerge/>
            <w:tcBorders>
              <w:left w:val="single" w:sz="12" w:space="0" w:color="auto"/>
              <w:right w:val="single" w:sz="12" w:space="0" w:color="auto"/>
            </w:tcBorders>
            <w:shd w:val="clear" w:color="auto" w:fill="99CCFF"/>
          </w:tcPr>
          <w:p w14:paraId="78B346F3" w14:textId="77777777" w:rsidR="00C60055" w:rsidRPr="003E0254" w:rsidRDefault="00C60055" w:rsidP="00B411DE">
            <w:pPr>
              <w:spacing w:line="276" w:lineRule="auto"/>
              <w:rPr>
                <w:b/>
                <w:bCs/>
                <w:u w:val="single"/>
              </w:rPr>
            </w:pPr>
          </w:p>
        </w:tc>
        <w:tc>
          <w:tcPr>
            <w:tcW w:w="746" w:type="pct"/>
            <w:vMerge/>
            <w:tcBorders>
              <w:left w:val="single" w:sz="12" w:space="0" w:color="auto"/>
            </w:tcBorders>
            <w:shd w:val="clear" w:color="auto" w:fill="99CCFF"/>
          </w:tcPr>
          <w:p w14:paraId="10B5E140" w14:textId="77777777" w:rsidR="00C60055" w:rsidRPr="003E0254" w:rsidRDefault="00C60055" w:rsidP="00B411DE">
            <w:pPr>
              <w:spacing w:line="276" w:lineRule="auto"/>
              <w:rPr>
                <w:bCs/>
                <w:sz w:val="20"/>
                <w:szCs w:val="20"/>
                <w:u w:val="single"/>
              </w:rPr>
            </w:pPr>
          </w:p>
        </w:tc>
        <w:tc>
          <w:tcPr>
            <w:tcW w:w="768" w:type="pct"/>
            <w:vMerge/>
            <w:tcBorders>
              <w:right w:val="single" w:sz="12" w:space="0" w:color="auto"/>
            </w:tcBorders>
            <w:shd w:val="clear" w:color="auto" w:fill="99CCFF"/>
          </w:tcPr>
          <w:p w14:paraId="2C8F093A" w14:textId="77777777" w:rsidR="00C60055" w:rsidRPr="003E0254" w:rsidRDefault="00C60055" w:rsidP="00B411DE">
            <w:pPr>
              <w:spacing w:line="276" w:lineRule="auto"/>
              <w:rPr>
                <w:bCs/>
                <w:sz w:val="20"/>
                <w:szCs w:val="20"/>
                <w:u w:val="single"/>
              </w:rPr>
            </w:pPr>
          </w:p>
        </w:tc>
        <w:tc>
          <w:tcPr>
            <w:tcW w:w="713" w:type="pct"/>
            <w:tcBorders>
              <w:left w:val="single" w:sz="12" w:space="0" w:color="auto"/>
            </w:tcBorders>
            <w:shd w:val="clear" w:color="auto" w:fill="99CCFF"/>
          </w:tcPr>
          <w:p w14:paraId="0661B9A9" w14:textId="68D0EFB0" w:rsidR="00C60055" w:rsidRPr="003E0254" w:rsidRDefault="00C60055" w:rsidP="00B411DE">
            <w:pPr>
              <w:spacing w:line="276" w:lineRule="auto"/>
              <w:rPr>
                <w:bCs/>
                <w:sz w:val="20"/>
                <w:szCs w:val="20"/>
                <w:u w:val="single"/>
              </w:rPr>
            </w:pPr>
            <w:r w:rsidRPr="003E0254">
              <w:rPr>
                <w:bCs/>
                <w:sz w:val="20"/>
                <w:szCs w:val="20"/>
                <w:u w:val="single"/>
              </w:rPr>
              <w:t>Alloy</w:t>
            </w:r>
            <w:r w:rsidRPr="003E0254">
              <w:rPr>
                <w:bCs/>
                <w:sz w:val="20"/>
                <w:szCs w:val="20"/>
                <w:u w:val="single"/>
              </w:rPr>
              <w:fldChar w:fldCharType="begin" w:fldLock="1"/>
            </w:r>
            <w:r w:rsidR="00500B8D" w:rsidRPr="003E0254">
              <w:rPr>
                <w:bCs/>
                <w:sz w:val="20"/>
                <w:szCs w:val="20"/>
                <w:u w:val="single"/>
              </w:rPr>
              <w:instrText>ADDIN CSL_CITATION {"citationItems":[{"id":"ITEM-1","itemData":{"DOI":"10.1007/S40820-022-00867-9/FIGURES/4","ISSN":"21505551","abstract":"Metallic zinc (Zn) is one of the most attractive multivalent-metal anode materials in post-lithium batteries because of its high abundance, low cost and high theoretical capacity. However, it usually suffers from large voltage polarization, low Coulombic efficiency and high propensity for dendritic failure during Zn stripping/plating, hindering the practical application in aqueous rechargeable zinc-metal batteries (AR-ZMBs). Here we demonstrate that anionic surfactant-assisted in situ surface alloying of Cu and Zn remarkably improves Zn reversibility of 3D nanoporous Zn electrodes for potential use as high-performance AR-ZMB anode materials. As a result of the zincophilic ZnxCuy alloy shell guiding uniform Zn deposition with a zero nucleation overpotential and facilitating Zn stripping via the ZnxCuy/Zn galvanic couples, the self-supported nanoporous ZnxCuy/Zn electrodes exhibit superior dendrite-free Zn stripping/plating behaviors in ambient aqueous electrolyte, with ultralow polarizations under current densities up to 50 mA cm</w:instrText>
            </w:r>
            <w:r w:rsidR="00500B8D" w:rsidRPr="003E0254">
              <w:rPr>
                <w:rFonts w:ascii="Arial" w:hAnsi="Arial" w:cs="Arial"/>
                <w:bCs/>
                <w:sz w:val="20"/>
                <w:szCs w:val="20"/>
                <w:u w:val="single"/>
              </w:rPr>
              <w:instrText>‒</w:instrText>
            </w:r>
            <w:r w:rsidR="00500B8D" w:rsidRPr="003E0254">
              <w:rPr>
                <w:bCs/>
                <w:sz w:val="20"/>
                <w:szCs w:val="20"/>
                <w:u w:val="single"/>
              </w:rPr>
              <w:instrText>2, exceptional stability for 1900</w:instrText>
            </w:r>
            <w:r w:rsidR="00500B8D" w:rsidRPr="003E0254">
              <w:rPr>
                <w:rFonts w:ascii="Aptos" w:hAnsi="Aptos" w:cs="Aptos"/>
                <w:bCs/>
                <w:sz w:val="20"/>
                <w:szCs w:val="20"/>
                <w:u w:val="single"/>
              </w:rPr>
              <w:instrText> </w:instrText>
            </w:r>
            <w:r w:rsidR="00500B8D" w:rsidRPr="003E0254">
              <w:rPr>
                <w:bCs/>
                <w:sz w:val="20"/>
                <w:szCs w:val="20"/>
                <w:u w:val="single"/>
              </w:rPr>
              <w:instrText>h and high Zn utilization. This enables AR-ZMB full cells constructed with nanoporous ZnxCuy/Zn anode and KzMnO2 cathode to achieve specific energy of as high as ~ 430 Wh kg</w:instrText>
            </w:r>
            <w:r w:rsidR="00500B8D" w:rsidRPr="003E0254">
              <w:rPr>
                <w:rFonts w:ascii="Arial" w:hAnsi="Arial" w:cs="Arial"/>
                <w:bCs/>
                <w:sz w:val="20"/>
                <w:szCs w:val="20"/>
                <w:u w:val="single"/>
              </w:rPr>
              <w:instrText>‒</w:instrText>
            </w:r>
            <w:r w:rsidR="00500B8D" w:rsidRPr="003E0254">
              <w:rPr>
                <w:bCs/>
                <w:sz w:val="20"/>
                <w:szCs w:val="20"/>
                <w:u w:val="single"/>
              </w:rPr>
              <w:instrText>1 with ~ 99.8% Coulombic efficiency, and retain ~ 86% after long-term cycles for &gt; 700</w:instrText>
            </w:r>
            <w:r w:rsidR="00500B8D" w:rsidRPr="003E0254">
              <w:rPr>
                <w:rFonts w:ascii="Aptos" w:hAnsi="Aptos" w:cs="Aptos"/>
                <w:bCs/>
                <w:sz w:val="20"/>
                <w:szCs w:val="20"/>
                <w:u w:val="single"/>
              </w:rPr>
              <w:instrText> </w:instrText>
            </w:r>
            <w:r w:rsidR="00500B8D" w:rsidRPr="003E0254">
              <w:rPr>
                <w:bCs/>
                <w:sz w:val="20"/>
                <w:szCs w:val="20"/>
                <w:u w:val="single"/>
              </w:rPr>
              <w:instrText>h. [Figure not available: see fulltext.]","author":[{"dropping-particle":"","family":"Meng","given":"Huan","non-dropping-particle":"","parse-names":false,"suffix":""},{"dropping-particle":"","family":"Ran","given":"Qing","non-dropping-particle":"","parse-names":false,"suffix":""},{"dropping-particle":"","family":"Dai","given":"Tian Yi","non-dropping-particle":"","parse-names":false,"suffix":""},{"dropping-particle":"","family":"Shi","given":"Hang","non-dropping-particle":"","parse-names":false,"suffix":""},{"dropping-particle":"","family":"Zeng","given":"Shu Pei","non-dropping-particle":"","parse-names":false,"suffix":""},{"dropping-particle":"","family":"Zhu","given":"Yong Fu","non-dropping-particle":"","parse-names":false,"suffix":""},{"dropping-particle":"","family":"Wen","given":"Zi","non-dropping-particle":"","parse-names":false,"suffix":""},{"dropping-particle":"","family":"Zhang","given":"Wei","non-dropping-particle":"","parse-names":false,"suffix":""},{"dropping-particle":"","family":"Lang","given":"Xing You","non-dropping-particle":"","parse-names":false,"suffix":""},{"dropping-particle":"","family":"Zheng","given":"Wei Tao","non-dropping-particle":"","parse-names":false,"suffix":""},{"dropping-particle":"","family":"Jiang","given":"Qing","non-dropping-particle":"","parse-names":false,"suffix":""}],"container-title":"Nano-Micro Letters","id":"ITEM-1","issue":"1","issued":{"date-parts":[["2022","12","1"]]},"page":"1-14","publisher":"Springer Science and Business Media B.V.","title":"Surface-Alloyed Nanoporous Zinc as Reversible and Stable Anodes for High-Performance Aqueous Zinc-Ion Battery","type":"article-journal","volume":"14"},"uris":["http://www.mendeley.com/documents/?uuid=3e884fed-3dc3-3a70-9e06-cb56c840cdb5"]},{"id":"ITEM-2","itemData":{"DOI":"10.1039/D0TA12177K","ISSN":"2050-7496","abstract":"Rechargeable aqueous zinc-ion batteries (ZIBs) are attractive candidates for next-generation batteries. However, the challenge of uneven zinc electroplating/electrostripping on bare Zn anodes has severely restrained the practical application of ZIBs. To address this problem, a straightforward strategy of sliver particle-coated zinc plate (designated as Zn@Ag) via the metallic replacement reaction as the zinc metal anode has been employed to facilitate uniform and stable Zn-plating/stripping. The newly formed AgZn3 alloy from silver particles at the first zinc-plating cycle with good zinc affinity can effectively lower the energy barrier of zinc nucleation and promote uniform electric field distribution for the flow of Zn ions, resulting in stable zinc deposition. Benefiting from the in situ formed alloy phase, the Zn@Ag anode achieves stable cycling for over 1700 h with a very low polarization voltage of about 21 mV at 0.25 mA cm−2 and 0.25 mA h cm−2, while the bare Zn anode just exhibits less than 150 cycles with large voltage fluctuation and polarization under same conditions. As a consequence, greatly improved performance of the Zn@Ag//CNT/MnO2 full-cell with twice the capacity (177 mA h g−1) than that of bare Zn//CNT/MnO2 full-cell (71 mA h g−1) after 400 cycles at 0.6 A g−1 can be realized. This work provides a facile and effective approach to regulate Zn deposition for the achievement of long-life rechargeable ZIBs.","author":[{"dropping-particle":"","family":"Wang","given":"Yunyun","non-dropping-particle":"","parse-names":false,"suffix":""},{"dropping-particle":"","family":"Chen","given":"Yuejiao","non-dropping-particle":"","parse-names":false,"suffix":""},{"dropping-particle":"","family":"Liu","given":"Wen","non-dropping-particle":"","parse-names":false,"suffix":""},{"dropping-particle":"","family":"Ni","given":"Xuyan","non-dropping-particle":"","parse-names":false,"suffix":""},{"dropping-particle":"","family":"Qing","given":"Piao","non-dropping-particle":"","parse-names":false,"suffix":""},{"dropping-particle":"","family":"Zhao","given":"Qiwen","non-dropping-particle":"","parse-names":false,"suffix":""},{"dropping-particle":"","family":"Wei","given":"Weifeng","non-dropping-particle":"","parse-names":false,"suffix":""},{"dropping-particle":"","family":"Ji","given":"Xiaobo","non-dropping-particle":"","parse-names":false,"suffix":""},{"dropping-particle":"","family":"Ma","given":"Jianmin","non-dropping-particle":"","parse-names":false,"suffix":""},{"dropping-particle":"","family":"Chen","given":"Libao","non-dropping-particle":"","parse-names":false,"suffix":""}],"container-title":"Journal of Materials Chemistry A","id":"ITEM-2","issue":"13","issued":{"date-parts":[["2021","4","6"]]},"page":"8452-8461","publisher":"The Royal Society of Chemistry","title":"Uniform and dendrite-free zinc deposition enabled by in situ formed AgZn3 for the zinc metal anode","type":"article-journal","volume":"9"},"uris":["http://www.mendeley.com/documents/?uuid=97aa585f-88d7-3c28-883b-49295bf445fb"]},{"id":"ITEM-3","itemData":{"DOI":"10.1002/SMLL.202307848","ISSN":"1613-6829","PMID":"38054768","abstract":"Reconfiguration of zinc anodes efficiently mitigates dendrite formation and undesirable side reactions, thus favoring the long-term cycling performance of aqueous zinc ion batteries (AZIBs). This study synthesizes a Zn@Bi alloy anode (Zn@Bi) using the fusion method, and find that the anode surfaces synthesized using this method have an extremely high percentage of Zn(002) crystalline surfaces. Experimental results indicate that the addition of bismuth inhibits the hydrogen evolution reaction and corrosion of zinc anodes. The finite-element simulation results indicate that Zn@Bi can effectively achieve a uniform anodic electric field, thereby regulating the homogeneous depositions of zinc ions and reducing the production of Zn dendrite. Theoretical calculations reveal that the incorporation of Bi favors the anode structure stabilization and higher adsorption energy of Zn@Bi corresponds to better Zn deposition kinetics. The Zn@Bi//Zn@Bi symmetric cell demonstrates an extended cycle life of 1000 h. Furthermore, when pairing Zn@Bi with an α-MnO2 cathode to construct a Zn@Bi//MnO2 cell, a specific capacity of 119.3 mAh g−1 is maintained even after 1700 cycles at 1.2 A g−1. This study sheds light on the development of dendrite-free anodes for advanced AZIBs.","author":[{"dropping-particle":"","family":"Du","given":"Yingxiao","non-dropping-particle":"","parse-names":false,"suffix":""},{"dropping-particle":"","family":"Feng","given":"Yang","non-dropping-particle":"","parse-names":false,"suffix":""},{"dropping-particle":"","family":"Li","given":"Ruotong","non-dropping-particle":"","parse-names":false,"suffix":""},{"dropping-particle":"","family":"Peng","given":"Zhi","non-dropping-particle":"","parse-names":false,"suffix":""},{"dropping-particle":"","family":"Yao","given":"Xinyue","non-dropping-particle":"","parse-names":false,"suffix":""},{"dropping-particle":"","family":"Duan","given":"Siying","non-dropping-particle":"","parse-names":false,"suffix":""},{"dropping-particle":"","family":"Liu","given":"Shude","non-dropping-particle":"","parse-names":false,"suffix":""},{"dropping-particle":"","family":"Jun","given":"Seong Chan","non-dropping-particle":"","parse-names":false,"suffix":""},{"dropping-particle":"","family":"Zhu","given":"Jing","non-dropping-particle":"","parse-names":false,"suffix":""},{"dropping-particle":"","family":"Dai","given":"Lei","non-dropping-particle":"","parse-names":false,"suffix":""},{"dropping-particle":"","family":"Yang","given":"Qi","non-dropping-particle":"","parse-names":false,"suffix":""},{"dropping-particle":"","family":"Wang","given":"Ling","non-dropping-particle":"","parse-names":false,"suffix":""},{"dropping-particle":"","family":"He","given":"Zhangxing","non-dropping-particle":"","parse-names":false,"suffix":""}],"container-title":"Small","id":"ITEM-3","issue":"17","issued":{"date-parts":[["2024","4","1"]]},"page":"2307848","publisher":"John Wiley &amp; Sons, Ltd","title":"Zinc-Bismuth Binary Alloy Enabling High-Performance Aqueous Zinc Ion Batteries","type":"article-journal","volume":"20"},"uris":["http://www.mendeley.com/documents/?uuid=d127ff56-f1cb-3bff-803a-fa9a288b1e5f"]},{"id":"ITEM-4","itemData":{"DOI":"10.1038/s41467-020-15478-4","ISSN":"2041-1723","PMID":"32242024","abstract":"Metallic zinc is an attractive anode material for aqueous rechargeable batteries because of its high theoretical capacity and low cost. However, state-of-the-art zinc anodes suffer from low coulombic efficiency and severe dendrite growth during stripping/plating processes, hampering their practical applications. Here we show that eutectic-composition alloying of zinc and aluminum as an effective strategy substantially tackles these irreversibility issues by making use of their lamellar structure, composed of alternating zinc and aluminum nanolamellas. The lamellar nanostructure not only promotes zinc stripping from precursor eutectic Zn88Al12 (at%) alloys, but produces core/shell aluminum/aluminum sesquioxide interlamellar nanopatterns in situ&amp;nbsp;to in turn guide subsequent growth of zinc, enabling dendrite-free zinc stripping/plating for more than 2000</w:instrText>
            </w:r>
            <w:r w:rsidR="00500B8D" w:rsidRPr="003E0254">
              <w:rPr>
                <w:rFonts w:ascii="Arial" w:hAnsi="Arial" w:cs="Arial"/>
                <w:bCs/>
                <w:sz w:val="20"/>
                <w:szCs w:val="20"/>
                <w:u w:val="single"/>
              </w:rPr>
              <w:instrText> </w:instrText>
            </w:r>
            <w:r w:rsidR="00500B8D" w:rsidRPr="003E0254">
              <w:rPr>
                <w:bCs/>
                <w:sz w:val="20"/>
                <w:szCs w:val="20"/>
                <w:u w:val="single"/>
              </w:rPr>
              <w:instrText>h in oxygen-absent aqueous electrolyte. These outstanding electrochemical properties enlist zinc-ion batteries constructed with Zn88Al12 alloy anode and KxMnO2 cathode to deliver high-density energy at high levels of electrical power and retain 100% capacity after 200</w:instrText>
            </w:r>
            <w:r w:rsidR="00500B8D" w:rsidRPr="003E0254">
              <w:rPr>
                <w:rFonts w:ascii="Arial" w:hAnsi="Arial" w:cs="Arial"/>
                <w:bCs/>
                <w:sz w:val="20"/>
                <w:szCs w:val="20"/>
                <w:u w:val="single"/>
              </w:rPr>
              <w:instrText> </w:instrText>
            </w:r>
            <w:r w:rsidR="00500B8D" w:rsidRPr="003E0254">
              <w:rPr>
                <w:bCs/>
                <w:sz w:val="20"/>
                <w:szCs w:val="20"/>
                <w:u w:val="single"/>
              </w:rPr>
              <w:instrText>hours. Aqueous rechargeable Zn-ion batteries are attractive energy storage devices, but their wide adoption is impeded by the&amp;nbsp;irreversible metallic Zn anode. Here the authors report lamellar-nanostructured eutectic Zn/Al alloys as reversible and dendrite-free anodes for improved battery performance.","author":[{"dropping-particle":"","family":"Wang","given":"Sheng Bo","non-dropping-particle":"","parse-names":false,"suffix":""},{"dropping-particle":"","family":"Ran","given":"Qing","non-dropping-particle":"","parse-names":false,"suffix":""},{"dropping-particle":"","family":"Yao","given":"Rui Qi","non-dropping-particle":"","parse-names":false,"suffix":""},{"dropping-particle":"","family":"Shi","given":"Hang","non-dropping-particle":"","parse-names":false,"suffix":""},{"dropping-particle":"","family":"Wen","given":"Zi","non-dropping-particle":"","parse-names":false,"suffix":""},{"dropping-particle":"","family":"Zhao","given":"Ming","non-dropping-particle":"","parse-names":false,"suffix":""},{"dropping-particle":"","family":"Lang","given":"Xing You","non-dropping-particle":"","parse-names":false,"suffix":""},{"dropping-particle":"","family":"Jiang","given":"Qing","non-dropping-particle":"","parse-names":false,"suffix":""}],"container-title":"Nature Communications 2020 11:1","id":"ITEM-4","issue":"1","issued":{"date-parts":[["2020","4","2"]]},"page":"1-9","publisher":"Nature Publishing Group","title":"Lamella-nanostructured eutectic zinc–aluminum alloys as reversible and dendrite-free anodes for aqueous rechargeable batteries","type":"article-journal","volume":"11"},"uris":["http://www.mendeley.com/documents/?uuid=af329f28-1193-3362-bb99-417e57248a41"]}],"mendeley":{"formattedCitation":"&lt;sup&gt;[103–106]&lt;/sup&gt;","plainTextFormattedCitation":"[103–106]","previouslyFormattedCitation":"&lt;sup&gt;[102–105]&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[103–106]</w:t>
            </w:r>
            <w:r w:rsidRPr="003E0254">
              <w:rPr>
                <w:bCs/>
                <w:sz w:val="20"/>
                <w:szCs w:val="20"/>
                <w:u w:val="single"/>
              </w:rPr>
              <w:fldChar w:fldCharType="end"/>
            </w:r>
          </w:p>
        </w:tc>
        <w:tc>
          <w:tcPr>
            <w:tcW w:w="712" w:type="pct"/>
            <w:vMerge/>
            <w:tcBorders>
              <w:right w:val="single" w:sz="12" w:space="0" w:color="auto"/>
            </w:tcBorders>
            <w:shd w:val="clear" w:color="auto" w:fill="99CCFF"/>
          </w:tcPr>
          <w:p w14:paraId="6E1C35B9" w14:textId="77777777" w:rsidR="00C60055" w:rsidRPr="003E0254" w:rsidRDefault="00C60055" w:rsidP="00B411DE">
            <w:pPr>
              <w:spacing w:line="276" w:lineRule="auto"/>
              <w:rPr>
                <w:bCs/>
                <w:sz w:val="20"/>
                <w:szCs w:val="20"/>
                <w:u w:val="single"/>
              </w:rPr>
            </w:pPr>
          </w:p>
        </w:tc>
        <w:tc>
          <w:tcPr>
            <w:tcW w:w="704" w:type="pct"/>
            <w:tcBorders>
              <w:left w:val="single" w:sz="12" w:space="0" w:color="auto"/>
            </w:tcBorders>
            <w:shd w:val="clear" w:color="auto" w:fill="99CCFF"/>
          </w:tcPr>
          <w:p w14:paraId="4B45F64A" w14:textId="3E96490D" w:rsidR="00C60055" w:rsidRPr="003E0254" w:rsidRDefault="00C60055" w:rsidP="00B411DE">
            <w:pPr>
              <w:spacing w:line="276" w:lineRule="auto"/>
              <w:rPr>
                <w:bCs/>
                <w:sz w:val="20"/>
                <w:szCs w:val="20"/>
                <w:u w:val="single"/>
              </w:rPr>
            </w:pPr>
            <w:r w:rsidRPr="003E0254">
              <w:rPr>
                <w:bCs/>
                <w:sz w:val="20"/>
                <w:szCs w:val="20"/>
                <w:u w:val="single"/>
              </w:rPr>
              <w:t>Cobal</w:t>
            </w:r>
            <w:r w:rsidR="001E5B91" w:rsidRPr="003E0254">
              <w:rPr>
                <w:bCs/>
                <w:sz w:val="20"/>
                <w:szCs w:val="20"/>
                <w:u w:val="single"/>
              </w:rPr>
              <w:t>t</w:t>
            </w:r>
            <w:r w:rsidRPr="003E0254">
              <w:rPr>
                <w:bCs/>
                <w:sz w:val="20"/>
                <w:szCs w:val="20"/>
                <w:u w:val="single"/>
              </w:rPr>
              <w:t xml:space="preserve"> Oxides</w:t>
            </w:r>
            <w:r w:rsidR="00E35302" w:rsidRPr="003E0254">
              <w:rPr>
                <w:bCs/>
                <w:sz w:val="20"/>
                <w:szCs w:val="20"/>
                <w:u w:val="single"/>
              </w:rPr>
              <w:fldChar w:fldCharType="begin" w:fldLock="1"/>
            </w:r>
            <w:r w:rsidR="00500B8D" w:rsidRPr="003E0254">
              <w:rPr>
                <w:bCs/>
                <w:sz w:val="20"/>
                <w:szCs w:val="20"/>
                <w:u w:val="single"/>
              </w:rPr>
              <w:instrText>ADDIN CSL_CITATION {"citationItems":[{"id":"ITEM-1","itemData":{"DOI":"10.1039/C8EE01415A","ISSN":"1754-5692","abstract":"Rechargeable aqueous zinc–cobalt oxide batteries with high voltage, excellent rate capability and long-cycling life.","author":[{"dropping-particle":"","family":"Ma","given":"Longtao","non-dropping-particle":"","parse-names":false,"suffix":""},{"dropping-particle":"","family":"Chen","given":"Shengmei","non-dropping-particle":"","parse-names":false,"suffix":""},{"dropping-particle":"","family":"Li","given":"Hongfei","non-dropping-particle":"","parse-names":false,"suffix":""},{"dropping-particle":"","family":"Ruan","given":"Zhaoheng","non-dropping-particle":"","parse-names":false,"suffix":""},{"dropping-particle":"","family":"Tang","given":"Zijie","non-dropping-particle":"","parse-names":false,"suffix":""},{"dropping-particle":"","family":"Liu","given":"Zhuoxin","non-dropping-particle":"","parse-names":false,"suffix":""},{"dropping-particle":"","family":"Wang","given":"Zifeng","non-dropping-particle":"","parse-names":false,"suffix":""},{"dropping-particle":"","family":"Huang","given":"Yan","non-dropping-particle":"","parse-names":false,"suffix":""},{"dropping-particle":"","family":"Pei","given":"Zengxia","non-dropping-particle":"","parse-names":false,"suffix":""},{"dropping-particle":"","family":"Zapien","given":"Juan Antonio","non-dropping-particle":"","parse-names":false,"suffix":""},{"dropping-particle":"","family":"Zhi","given":"Chunyi","non-dropping-particle":"","parse-names":false,"suffix":""}],"container-title":"Energy &amp; Environmental Science","id":"ITEM-1","issue":"9","issued":{"date-parts":[["2018","9","12"]]},"page":"2521-2530","publisher":"The Royal Society of Chemistry","title":"Initiating a mild aqueous electrolyte Co 3 O 4 /Zn battery with 2.2 V-high voltage and 5000-cycle lifespan by a Co( iii ) rich-electrode","type":"article-journal","volume":"11"},"uris":["http://www.mendeley.com/documents/?uuid=a16977e1-e140-345b-8bfc-dd7b742c395c"]}],"mendeley":{"formattedCitation":"&lt;sup&gt;[97]&lt;/sup&gt;","plainTextFormattedCitation":"[97]","previouslyFormattedCitation":"&lt;sup&gt;[96]&lt;/sup&gt;"},"properties":{"noteIndex":0},"schema":"https://github.com/citation-style-language/schema/raw/master/csl-citation.json"}</w:instrText>
            </w:r>
            <w:r w:rsidR="00E35302" w:rsidRPr="003E0254">
              <w:rPr>
                <w:bCs/>
                <w:sz w:val="20"/>
                <w:szCs w:val="20"/>
                <w:u w:val="single"/>
              </w:rPr>
              <w:fldChar w:fldCharType="separate"/>
            </w:r>
            <w:r w:rsidR="00500B8D" w:rsidRPr="003E0254">
              <w:rPr>
                <w:bCs/>
                <w:noProof/>
                <w:sz w:val="20"/>
                <w:szCs w:val="20"/>
                <w:vertAlign w:val="superscript"/>
              </w:rPr>
              <w:t>[97]</w:t>
            </w:r>
            <w:r w:rsidR="00E35302" w:rsidRPr="003E0254">
              <w:rPr>
                <w:bCs/>
                <w:sz w:val="20"/>
                <w:szCs w:val="20"/>
                <w:u w:val="single"/>
              </w:rPr>
              <w:fldChar w:fldCharType="end"/>
            </w:r>
          </w:p>
          <w:p w14:paraId="560646EE" w14:textId="32ECDB77" w:rsidR="00C60055" w:rsidRPr="003E0254" w:rsidRDefault="00C60055" w:rsidP="00B411DE">
            <w:pPr>
              <w:spacing w:line="276" w:lineRule="auto"/>
              <w:rPr>
                <w:bCs/>
                <w:sz w:val="20"/>
                <w:szCs w:val="20"/>
              </w:rPr>
            </w:pPr>
          </w:p>
        </w:tc>
        <w:tc>
          <w:tcPr>
            <w:tcW w:w="848" w:type="pct"/>
            <w:vMerge/>
            <w:tcBorders>
              <w:right w:val="single" w:sz="12" w:space="0" w:color="auto"/>
            </w:tcBorders>
            <w:shd w:val="clear" w:color="auto" w:fill="99CCFF"/>
          </w:tcPr>
          <w:p w14:paraId="49DBEE54" w14:textId="77777777" w:rsidR="00C60055" w:rsidRPr="003E0254" w:rsidRDefault="00C60055" w:rsidP="00B411DE">
            <w:pPr>
              <w:spacing w:line="276" w:lineRule="auto"/>
              <w:rPr>
                <w:bCs/>
                <w:sz w:val="20"/>
                <w:szCs w:val="20"/>
                <w:u w:val="single"/>
              </w:rPr>
            </w:pPr>
          </w:p>
        </w:tc>
      </w:tr>
      <w:tr w:rsidR="00C26F5C" w:rsidRPr="003E0254" w14:paraId="17A3A7B9" w14:textId="77777777" w:rsidTr="00B411DE">
        <w:trPr>
          <w:trHeight w:val="399"/>
        </w:trPr>
        <w:tc>
          <w:tcPr>
            <w:tcW w:w="509" w:type="pct"/>
            <w:vMerge/>
            <w:tcBorders>
              <w:left w:val="single" w:sz="12" w:space="0" w:color="auto"/>
              <w:right w:val="single" w:sz="12" w:space="0" w:color="auto"/>
            </w:tcBorders>
            <w:shd w:val="clear" w:color="auto" w:fill="99CCFF"/>
          </w:tcPr>
          <w:p w14:paraId="2947B821" w14:textId="77777777" w:rsidR="00C26F5C" w:rsidRPr="003E0254" w:rsidRDefault="00C26F5C" w:rsidP="00B411DE">
            <w:pPr>
              <w:spacing w:line="276" w:lineRule="auto"/>
              <w:rPr>
                <w:b/>
                <w:bCs/>
                <w:u w:val="single"/>
              </w:rPr>
            </w:pPr>
          </w:p>
        </w:tc>
        <w:tc>
          <w:tcPr>
            <w:tcW w:w="746" w:type="pct"/>
            <w:vMerge/>
            <w:tcBorders>
              <w:left w:val="single" w:sz="12" w:space="0" w:color="auto"/>
            </w:tcBorders>
            <w:shd w:val="clear" w:color="auto" w:fill="99CCFF"/>
          </w:tcPr>
          <w:p w14:paraId="3F6F845C" w14:textId="77777777" w:rsidR="00C26F5C" w:rsidRPr="003E0254" w:rsidRDefault="00C26F5C" w:rsidP="00B411DE">
            <w:pPr>
              <w:spacing w:line="276" w:lineRule="auto"/>
              <w:rPr>
                <w:bCs/>
                <w:sz w:val="20"/>
                <w:szCs w:val="20"/>
                <w:u w:val="single"/>
              </w:rPr>
            </w:pPr>
          </w:p>
        </w:tc>
        <w:tc>
          <w:tcPr>
            <w:tcW w:w="768" w:type="pct"/>
            <w:vMerge/>
            <w:tcBorders>
              <w:right w:val="single" w:sz="12" w:space="0" w:color="auto"/>
            </w:tcBorders>
            <w:shd w:val="clear" w:color="auto" w:fill="99CCFF"/>
          </w:tcPr>
          <w:p w14:paraId="34358401" w14:textId="77777777" w:rsidR="00C26F5C" w:rsidRPr="003E0254" w:rsidRDefault="00C26F5C" w:rsidP="00B411DE">
            <w:pPr>
              <w:spacing w:line="276" w:lineRule="auto"/>
              <w:rPr>
                <w:bCs/>
                <w:sz w:val="20"/>
                <w:szCs w:val="20"/>
                <w:u w:val="single"/>
              </w:rPr>
            </w:pPr>
          </w:p>
        </w:tc>
        <w:tc>
          <w:tcPr>
            <w:tcW w:w="713" w:type="pct"/>
            <w:tcBorders>
              <w:left w:val="single" w:sz="12" w:space="0" w:color="auto"/>
            </w:tcBorders>
            <w:shd w:val="clear" w:color="auto" w:fill="99CCFF"/>
          </w:tcPr>
          <w:p w14:paraId="0415F841" w14:textId="758EE3A2" w:rsidR="00C26F5C" w:rsidRPr="003E0254" w:rsidRDefault="00C26F5C" w:rsidP="00B411DE">
            <w:pPr>
              <w:spacing w:line="276" w:lineRule="auto"/>
              <w:rPr>
                <w:bCs/>
                <w:sz w:val="20"/>
                <w:szCs w:val="20"/>
                <w:u w:val="single"/>
              </w:rPr>
            </w:pPr>
            <w:r w:rsidRPr="003E0254">
              <w:rPr>
                <w:bCs/>
                <w:sz w:val="20"/>
                <w:szCs w:val="20"/>
                <w:u w:val="single"/>
              </w:rPr>
              <w:t>Organic, Zn-free</w:t>
            </w:r>
            <w:r w:rsidRPr="003E0254">
              <w:rPr>
                <w:bCs/>
                <w:sz w:val="20"/>
                <w:szCs w:val="20"/>
                <w:u w:val="single"/>
              </w:rPr>
              <w:fldChar w:fldCharType="begin" w:fldLock="1"/>
            </w:r>
            <w:r w:rsidR="00500B8D" w:rsidRPr="003E0254">
              <w:rPr>
                <w:bCs/>
                <w:sz w:val="20"/>
                <w:szCs w:val="20"/>
                <w:u w:val="single"/>
              </w:rPr>
              <w:instrText>ADDIN CSL_CITATION {"citationItems":[{"id":"ITEM-1","itemData":{"DOI":"10.1016/J.MTENER.2019.06.011","ISSN":"2468-6069","abstract":"Graphite was reported by J.O. Besenhard as the reservoir for alkali ions in 1974. The booming period of lithium-ion batteries arrived after the graphite patent issued by Sony Co. in 1991. The flourish development is due to the address of lithium dendrite issue through the substitution from lithium metal to graphite. Currently, the zinc dendrite formation in zinc-ion batteries is one of the major issues. Herein, we fabricate a zinc-ion full battery by replacing zinc metal with organic quinone, which is a zinc dendrite free material. This novel zinc-ion full battery exhibits excellent cycling stability with capacity retention of 94.4% and high specific capacity of 189.5 mA h g−1 after 500 cycles. Ascribed to the low cost of quinone and long cycle performance, this work could inaugurate a new era for rechargeable aqueous zinc-ion batteries.","author":[{"dropping-particle":"","family":"Yan","given":"Lijing","non-dropping-particle":"","parse-names":false,"suffix":""},{"dropping-particle":"","family":"Zeng","given":"Xiaomin","non-dropping-particle":"","parse-names":false,"suffix":""},{"dropping-particle":"","family":"Li","given":"Zeheng","non-dropping-particle":"","parse-names":false,"suffix":""},{"dropping-particle":"","family":"Meng","given":"Xiangjuan","non-dropping-particle":"","parse-names":false,"suffix":""},{"dropping-particle":"","family":"Wei","given":"Di","non-dropping-particle":"","parse-names":false,"suffix":""},{"dropping-particle":"","family":"Liu","given":"Tiefeng","non-dropping-particle":"","parse-names":false,"suffix":""},{"dropping-particle":"","family":"Ling","given":"Min","non-dropping-particle":"","parse-names":false,"suffix":""},{"dropping-particle":"","family":"Lin","given":"Zhan","non-dropping-particle":"","parse-names":false,"suffix":""},{"dropping-particle":"","family":"Liang","given":"Chengdu","non-dropping-particle":"","parse-names":false,"suffix":""}],"container-title":"Materials Today Energy","id":"ITEM-1","issued":{"date-parts":[["2019","9","1"]]},"page":"323-330","publisher":"Elsevier","title":"An innovation: Dendrite free quinone paired with ZnMn2O4 for zinc ion storage","type":"article-journal","volume":"13"},"uris":["http://www.mendeley.com/documents/?uuid=88a99abb-4ecb-3f66-b1a7-6774af6cbd61"]}],"mendeley":{"formattedCitation":"&lt;sup&gt;[107]&lt;/sup&gt;","plainTextFormattedCitation":"[107]","previouslyFormattedCitation":"&lt;sup&gt;[106]&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[107]</w:t>
            </w:r>
            <w:r w:rsidRPr="003E0254">
              <w:rPr>
                <w:bCs/>
                <w:sz w:val="20"/>
                <w:szCs w:val="20"/>
                <w:u w:val="single"/>
              </w:rPr>
              <w:fldChar w:fldCharType="end"/>
            </w:r>
          </w:p>
          <w:p w14:paraId="59E17994" w14:textId="474211C0" w:rsidR="00C26F5C" w:rsidRPr="003E0254" w:rsidRDefault="00C26F5C" w:rsidP="00B411DE">
            <w:pPr>
              <w:spacing w:line="276" w:lineRule="auto"/>
              <w:rPr>
                <w:bCs/>
                <w:sz w:val="20"/>
                <w:szCs w:val="20"/>
                <w:u w:val="single"/>
              </w:rPr>
            </w:pPr>
          </w:p>
        </w:tc>
        <w:tc>
          <w:tcPr>
            <w:tcW w:w="712" w:type="pct"/>
            <w:vMerge w:val="restart"/>
            <w:tcBorders>
              <w:right w:val="single" w:sz="12" w:space="0" w:color="auto"/>
            </w:tcBorders>
            <w:shd w:val="clear" w:color="auto" w:fill="99CCFF"/>
          </w:tcPr>
          <w:p w14:paraId="3A0203CC" w14:textId="6ACF3AF2" w:rsidR="00C26F5C" w:rsidRPr="003E0254" w:rsidRDefault="00C26F5C" w:rsidP="00B411DE">
            <w:pPr>
              <w:spacing w:line="276" w:lineRule="auto"/>
              <w:rPr>
                <w:bCs/>
                <w:sz w:val="20"/>
                <w:szCs w:val="20"/>
                <w:u w:val="single"/>
              </w:rPr>
            </w:pPr>
            <w:r w:rsidRPr="003E0254">
              <w:rPr>
                <w:bCs/>
                <w:sz w:val="20"/>
                <w:szCs w:val="20"/>
                <w:u w:val="single"/>
              </w:rPr>
              <w:t>Artificial SEI</w:t>
            </w:r>
            <w:r w:rsidRPr="003E0254">
              <w:rPr>
                <w:bCs/>
                <w:sz w:val="20"/>
                <w:szCs w:val="20"/>
                <w:u w:val="single"/>
              </w:rPr>
              <w:fldChar w:fldCharType="begin" w:fldLock="1"/>
            </w:r>
            <w:r w:rsidR="00500B8D" w:rsidRPr="003E0254">
              <w:rPr>
                <w:bCs/>
                <w:sz w:val="20"/>
                <w:szCs w:val="20"/>
                <w:u w:val="single"/>
              </w:rPr>
              <w:instrText>ADDIN CSL_CITATION {"citationItems":[{"id":"ITEM-1","itemData":{"DOI":"10.1002/adma.202007416","ISSN":"0935-9648","PMID":"33576130","abstract":"Rechargeable aqueous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batteries promise high capacity, low cost, high safety, and sustainability for large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scale energy storage. The Zn metal anode, however, suffers from the dendrite growth and side reactions that are mainly due to the absence of an appropriate solid electrolyte interphase (SEI) layer. Herein, the in situ formation of a dense, stable, and highly Zn 2+ </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conductive SEI layer (hopeite) in aqueous Zn chemistry is demonstrated, by introducing Zn(H 2 PO 4 ) 2 salt into the electrolyte. The hopeite SEI (</w:instrText>
            </w:r>
            <w:r w:rsidR="00500B8D" w:rsidRPr="003E0254">
              <w:rPr>
                <w:rFonts w:ascii="Aptos" w:hAnsi="Aptos" w:cs="Aptos"/>
                <w:bCs/>
                <w:sz w:val="20"/>
                <w:szCs w:val="20"/>
                <w:u w:val="single"/>
              </w:rPr>
              <w:instrText>≈</w:instrText>
            </w:r>
            <w:r w:rsidR="00500B8D" w:rsidRPr="003E0254">
              <w:rPr>
                <w:bCs/>
                <w:sz w:val="20"/>
                <w:szCs w:val="20"/>
                <w:u w:val="single"/>
              </w:rPr>
              <w:instrText>140 nm thickness) enables uniform and rapid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transport kinetics for dendrite</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free Zn deposition, and restrains the side reactions via isolating active Zn from the bulk electrolyte. Under practical testing conditions with an ultrathin Zn anode (10 </w:instrText>
            </w:r>
            <w:r w:rsidR="00500B8D" w:rsidRPr="003E0254">
              <w:rPr>
                <w:rFonts w:ascii="Aptos" w:hAnsi="Aptos" w:cs="Aptos"/>
                <w:bCs/>
                <w:sz w:val="20"/>
                <w:szCs w:val="20"/>
                <w:u w:val="single"/>
              </w:rPr>
              <w:instrText>µ</w:instrText>
            </w:r>
            <w:r w:rsidR="00500B8D" w:rsidRPr="003E0254">
              <w:rPr>
                <w:bCs/>
                <w:sz w:val="20"/>
                <w:szCs w:val="20"/>
                <w:u w:val="single"/>
              </w:rPr>
              <w:instrText>m), a low negative/positive capacity ratio (</w:instrText>
            </w:r>
            <w:r w:rsidR="00500B8D" w:rsidRPr="003E0254">
              <w:rPr>
                <w:rFonts w:ascii="Aptos" w:hAnsi="Aptos" w:cs="Aptos"/>
                <w:bCs/>
                <w:sz w:val="20"/>
                <w:szCs w:val="20"/>
                <w:u w:val="single"/>
              </w:rPr>
              <w:instrText>≈</w:instrText>
            </w:r>
            <w:r w:rsidR="00500B8D" w:rsidRPr="003E0254">
              <w:rPr>
                <w:bCs/>
                <w:sz w:val="20"/>
                <w:szCs w:val="20"/>
                <w:u w:val="single"/>
              </w:rPr>
              <w:instrText xml:space="preserve">2.3), and a lean electrolyte (9 </w:instrText>
            </w:r>
            <w:r w:rsidR="00500B8D" w:rsidRPr="003E0254">
              <w:rPr>
                <w:rFonts w:ascii="Aptos" w:hAnsi="Aptos" w:cs="Aptos"/>
                <w:bCs/>
                <w:sz w:val="20"/>
                <w:szCs w:val="20"/>
                <w:u w:val="single"/>
              </w:rPr>
              <w:instrText>µ</w:instrText>
            </w:r>
            <w:r w:rsidR="00500B8D" w:rsidRPr="003E0254">
              <w:rPr>
                <w:bCs/>
                <w:sz w:val="20"/>
                <w:szCs w:val="20"/>
                <w:u w:val="single"/>
              </w:rPr>
              <w:instrText xml:space="preserve">L mAh </w:instrText>
            </w:r>
            <w:r w:rsidR="00500B8D" w:rsidRPr="003E0254">
              <w:rPr>
                <w:rFonts w:ascii="Aptos" w:hAnsi="Aptos" w:cs="Aptos"/>
                <w:bCs/>
                <w:sz w:val="20"/>
                <w:szCs w:val="20"/>
                <w:u w:val="single"/>
              </w:rPr>
              <w:instrText>−</w:instrText>
            </w:r>
            <w:r w:rsidR="00500B8D" w:rsidRPr="003E0254">
              <w:rPr>
                <w:bCs/>
                <w:sz w:val="20"/>
                <w:szCs w:val="20"/>
                <w:u w:val="single"/>
              </w:rPr>
              <w:instrText>1 ), the Zn/V 2 O 5 full cell retains 94.4% of its original capacity after 500 cycles. This work provides a simple yet practical solution to high</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performance aqueous battery technology via building in situ SEI layers.","author":[{"dropping-particle":"","family":"Zeng","given":"Xiaohui","non-dropping-particle":"","parse-names":false,"suffix":""},{"dropping-particle":"","family":"Mao","given":"Jianfeng","non-dropping-particle":"","parse-names":false,"suffix":""},{"dropping-particle":"","family":"Hao","given":"Junnan","non-dropping-particle":"","parse-names":false,"suffix":""},{"dropping-particle":"","family":"Liu","given":"Jiatu","non-dropping-particle":"","parse-names":false,"suffix":""},{"dropping-particle":"","family":"Liu","given":"Sailin","non-dropping-particle":"","parse-names":false,"suffix":""},{"dropping-particle":"","family":"Wang","given":"Zhijie","non-dropping-particle":"","parse-names":false,"suffix":""},{"dropping-particle":"","family":"Wang","given":"Yanyan","non-dropping-particle":"","parse-names":false,"suffix":""},{"dropping-particle":"","family":"Zhang","given":"Shilin","non-dropping-particle":"","parse-names":false,"suffix":""},{"dropping-particle":"","family":"Zheng","given":"Tian","non-dropping-particle":"","parse-names":false,"suffix":""},{"dropping-particle":"","family":"Liu","given":"Jianwen","non-dropping-particle":"","parse-names":false,"suffix":""},{"dropping-particle":"","family":"Rao","given":"Pinhua","non-dropping-particle":"","parse-names":false,"suffix":""},{"dropping-particle":"","family":"Guo","given":"Zaiping","non-dropping-particle":"","parse-names":false,"suffix":""}],"container-title":"Advanced Materials","id":"ITEM-1","issue":"11","issued":{"date-parts":[["2021","3","12"]]},"page":"2007416","publisher":"John Wiley &amp; Sons, Ltd","title":"Electrolyte Design for In Situ Construction of Highly Zn 2+ </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Conductive Solid Electrolyte Interphase to Enable High</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Performance Aqueous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Batteries under Practical Conditions","type":"article-journal","volume":"33"},"uris":["http://www.mendeley.com/documents/?uuid=132b529e-7748-4d8c-880f-dadc9d15e921"]}],"mendeley":{"formattedCitation":"&lt;sup&gt;[82]&lt;/sup&gt;","plainTextFormattedCitation":"[82]","previouslyFormattedCitation":"&lt;sup&gt;[81]&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[82]</w:t>
            </w:r>
            <w:r w:rsidRPr="003E0254">
              <w:rPr>
                <w:bCs/>
                <w:sz w:val="20"/>
                <w:szCs w:val="20"/>
                <w:u w:val="single"/>
              </w:rPr>
              <w:fldChar w:fldCharType="end"/>
            </w:r>
            <w:r w:rsidRPr="003E0254">
              <w:rPr>
                <w:bCs/>
                <w:sz w:val="20"/>
                <w:szCs w:val="20"/>
                <w:u w:val="single"/>
              </w:rPr>
              <w:t>:</w:t>
            </w:r>
          </w:p>
          <w:p w14:paraId="31EF0714" w14:textId="77777777" w:rsidR="00C26F5C" w:rsidRPr="003E0254" w:rsidRDefault="00C26F5C" w:rsidP="008462C9">
            <w:pPr>
              <w:spacing w:line="276" w:lineRule="auto"/>
              <w:rPr>
                <w:bCs/>
                <w:sz w:val="20"/>
                <w:szCs w:val="20"/>
                <w:u w:val="single"/>
              </w:rPr>
            </w:pPr>
          </w:p>
        </w:tc>
        <w:tc>
          <w:tcPr>
            <w:tcW w:w="704" w:type="pct"/>
            <w:tcBorders>
              <w:left w:val="single" w:sz="12" w:space="0" w:color="auto"/>
            </w:tcBorders>
            <w:shd w:val="clear" w:color="auto" w:fill="99CCFF"/>
          </w:tcPr>
          <w:p w14:paraId="39EF562B" w14:textId="6682EA64" w:rsidR="00C26F5C" w:rsidRPr="003E0254" w:rsidRDefault="00C26F5C" w:rsidP="00B411DE">
            <w:pPr>
              <w:spacing w:line="276" w:lineRule="auto"/>
              <w:rPr>
                <w:bCs/>
                <w:sz w:val="20"/>
                <w:szCs w:val="20"/>
                <w:u w:val="single"/>
              </w:rPr>
            </w:pPr>
            <w:r w:rsidRPr="003E0254">
              <w:rPr>
                <w:bCs/>
                <w:sz w:val="20"/>
                <w:szCs w:val="20"/>
                <w:u w:val="single"/>
              </w:rPr>
              <w:t>PBA:</w:t>
            </w:r>
            <w:r w:rsidRPr="003E0254">
              <w:rPr>
                <w:bCs/>
                <w:sz w:val="20"/>
                <w:szCs w:val="20"/>
                <w:u w:val="single"/>
              </w:rPr>
              <w:fldChar w:fldCharType="begin" w:fldLock="1"/>
            </w:r>
            <w:r w:rsidR="000F0B1D" w:rsidRPr="003E0254">
              <w:rPr>
                <w:bCs/>
                <w:sz w:val="20"/>
                <w:szCs w:val="20"/>
                <w:u w:val="single"/>
              </w:rPr>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Pr="003E0254">
              <w:rPr>
                <w:bCs/>
                <w:sz w:val="20"/>
                <w:szCs w:val="20"/>
                <w:u w:val="single"/>
              </w:rPr>
              <w:fldChar w:fldCharType="separate"/>
            </w:r>
            <w:r w:rsidR="000F0B1D" w:rsidRPr="003E0254">
              <w:rPr>
                <w:bCs/>
                <w:noProof/>
                <w:sz w:val="20"/>
                <w:szCs w:val="20"/>
                <w:vertAlign w:val="superscript"/>
              </w:rPr>
              <w:t>[43]</w:t>
            </w:r>
            <w:r w:rsidRPr="003E0254">
              <w:rPr>
                <w:bCs/>
                <w:sz w:val="20"/>
                <w:szCs w:val="20"/>
                <w:u w:val="single"/>
              </w:rPr>
              <w:fldChar w:fldCharType="end"/>
            </w:r>
          </w:p>
          <w:p w14:paraId="722E6D2C" w14:textId="4967EC9B" w:rsidR="00C26F5C" w:rsidRPr="003E0254" w:rsidRDefault="00C26F5C" w:rsidP="00B411DE">
            <w:pPr>
              <w:spacing w:line="276" w:lineRule="auto"/>
              <w:rPr>
                <w:bCs/>
                <w:sz w:val="20"/>
                <w:szCs w:val="20"/>
              </w:rPr>
            </w:pPr>
          </w:p>
        </w:tc>
        <w:tc>
          <w:tcPr>
            <w:tcW w:w="848" w:type="pct"/>
            <w:vMerge/>
            <w:tcBorders>
              <w:right w:val="single" w:sz="12" w:space="0" w:color="auto"/>
            </w:tcBorders>
            <w:shd w:val="clear" w:color="auto" w:fill="99CCFF"/>
          </w:tcPr>
          <w:p w14:paraId="7A1F238C" w14:textId="77777777" w:rsidR="00C26F5C" w:rsidRPr="003E0254" w:rsidRDefault="00C26F5C" w:rsidP="00B411DE">
            <w:pPr>
              <w:spacing w:line="276" w:lineRule="auto"/>
              <w:rPr>
                <w:bCs/>
                <w:sz w:val="20"/>
                <w:szCs w:val="20"/>
                <w:u w:val="single"/>
              </w:rPr>
            </w:pPr>
          </w:p>
        </w:tc>
      </w:tr>
      <w:tr w:rsidR="00C26F5C" w:rsidRPr="003E0254" w14:paraId="39BCB5A9" w14:textId="77777777" w:rsidTr="00B411DE">
        <w:trPr>
          <w:trHeight w:val="398"/>
        </w:trPr>
        <w:tc>
          <w:tcPr>
            <w:tcW w:w="509" w:type="pct"/>
            <w:vMerge/>
            <w:tcBorders>
              <w:left w:val="single" w:sz="12" w:space="0" w:color="auto"/>
              <w:bottom w:val="single" w:sz="12" w:space="0" w:color="auto"/>
              <w:right w:val="single" w:sz="12" w:space="0" w:color="auto"/>
            </w:tcBorders>
            <w:shd w:val="clear" w:color="auto" w:fill="99CCFF"/>
          </w:tcPr>
          <w:p w14:paraId="7C663367" w14:textId="77777777" w:rsidR="00C26F5C" w:rsidRPr="003E0254" w:rsidRDefault="00C26F5C" w:rsidP="00C26F5C">
            <w:pPr>
              <w:spacing w:line="276" w:lineRule="auto"/>
              <w:rPr>
                <w:b/>
                <w:bCs/>
                <w:u w:val="single"/>
              </w:rPr>
            </w:pPr>
          </w:p>
        </w:tc>
        <w:tc>
          <w:tcPr>
            <w:tcW w:w="746" w:type="pct"/>
            <w:vMerge/>
            <w:tcBorders>
              <w:left w:val="single" w:sz="12" w:space="0" w:color="auto"/>
              <w:bottom w:val="single" w:sz="12" w:space="0" w:color="auto"/>
            </w:tcBorders>
            <w:shd w:val="clear" w:color="auto" w:fill="99CCFF"/>
          </w:tcPr>
          <w:p w14:paraId="77CEF664" w14:textId="77777777" w:rsidR="00C26F5C" w:rsidRPr="003E0254" w:rsidRDefault="00C26F5C" w:rsidP="00C26F5C">
            <w:pPr>
              <w:spacing w:line="276" w:lineRule="auto"/>
              <w:rPr>
                <w:bCs/>
                <w:sz w:val="20"/>
                <w:szCs w:val="20"/>
                <w:u w:val="single"/>
              </w:rPr>
            </w:pPr>
          </w:p>
        </w:tc>
        <w:tc>
          <w:tcPr>
            <w:tcW w:w="768" w:type="pct"/>
            <w:vMerge/>
            <w:tcBorders>
              <w:bottom w:val="single" w:sz="12" w:space="0" w:color="auto"/>
              <w:right w:val="single" w:sz="12" w:space="0" w:color="auto"/>
            </w:tcBorders>
            <w:shd w:val="clear" w:color="auto" w:fill="99CCFF"/>
          </w:tcPr>
          <w:p w14:paraId="59CF63D2" w14:textId="77777777" w:rsidR="00C26F5C" w:rsidRPr="003E0254" w:rsidRDefault="00C26F5C" w:rsidP="00C26F5C">
            <w:pPr>
              <w:spacing w:line="276" w:lineRule="auto"/>
              <w:rPr>
                <w:bCs/>
                <w:sz w:val="20"/>
                <w:szCs w:val="20"/>
                <w:u w:val="single"/>
              </w:rPr>
            </w:pPr>
          </w:p>
        </w:tc>
        <w:tc>
          <w:tcPr>
            <w:tcW w:w="713" w:type="pct"/>
            <w:tcBorders>
              <w:left w:val="single" w:sz="12" w:space="0" w:color="auto"/>
              <w:bottom w:val="single" w:sz="12" w:space="0" w:color="auto"/>
            </w:tcBorders>
            <w:shd w:val="clear" w:color="auto" w:fill="99CCFF"/>
          </w:tcPr>
          <w:p w14:paraId="0435551F" w14:textId="73D0113C" w:rsidR="00C26F5C" w:rsidRPr="003E0254" w:rsidRDefault="00C26F5C" w:rsidP="00C26F5C">
            <w:pPr>
              <w:spacing w:line="276" w:lineRule="auto"/>
              <w:rPr>
                <w:bCs/>
                <w:sz w:val="20"/>
                <w:szCs w:val="20"/>
                <w:u w:val="single"/>
              </w:rPr>
            </w:pPr>
            <w:r w:rsidRPr="003E0254">
              <w:rPr>
                <w:bCs/>
                <w:sz w:val="20"/>
                <w:szCs w:val="20"/>
                <w:u w:val="single"/>
              </w:rPr>
              <w:t>Sulfides</w:t>
            </w:r>
            <w:r w:rsidRPr="003E0254">
              <w:rPr>
                <w:bCs/>
                <w:sz w:val="20"/>
                <w:szCs w:val="20"/>
                <w:u w:val="single"/>
              </w:rPr>
              <w:fldChar w:fldCharType="begin" w:fldLock="1"/>
            </w:r>
            <w:r w:rsidR="00500B8D" w:rsidRPr="003E0254">
              <w:rPr>
                <w:bCs/>
                <w:sz w:val="20"/>
                <w:szCs w:val="20"/>
                <w:u w:val="single"/>
              </w:rPr>
              <w:instrText xml:space="preserve">ADDIN CSL_CITATION {"citationItems":[{"id":"ITEM-1","itemData":{"DOI":"10.1021/acs.inorgchem.5b02362","ISSN":"0020-1669","abstract":"The crystal structures and electrochemical properties of ZnxMo6S8 Chevrel phases (x = 1, 2) prepared via electrochemical Zn2+-ion intercalation into the Mo6S8 host material, in an aqueous electrolyte, were characterized. Mo6S8 [trigonal, R3, a = 9.1910(6) Å, c = 10.8785(10) Å, Z = 3] was first prepared via the chemical extraction of Cu ions from Cu2Mo6S8, which was synthesized via a solid-state reaction for 24 h at 1000 °C. The electrochemical zinc-ion insertion into Mo6S8 occurred stepwise, and two separate potential regions were depicted in the cyclic voltammogram (CV) and galvanostatic profile. ZnMo6S8 first formed from Mo6S8 in the higher-voltage region around 0.45-0.50 V in the CV, through a pseudo two-phase reaction. The inserted zinc ions occupied the interstitial sites in cavities surrounded by sulfur atoms (Zn1 sites). A significant number of the inserted zinc ions were trapped in these Zn1 sites, giving rise to the first-cycle irreversible capacity of </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46 mAh g-1 out of the discharge capacity of 134 mAh g-1 at a rate of 0.05 C. In the lower-voltage region, further insertion occurred to form Zn2Mo6S8 at around 0.35 V in the CV, also involving a two-phase reaction. The electrochemical insertion and extraction into the Zn2 sites appeared to be relatively reversible and fast. The crystal structures of Mo6S8, ZnMo6S8, and Zn2Mo6S8 were refined using X-ray Rietveld refinement techniques, while the new structure of Zn2Mo6S8 was determined for the first time in this study using the technique of structure determination from powder X-ray diffraction data. With the zinc ions inserted into Mo6S8 forming Zn2Mo6S8, the cell volume and a parameter increased by 5.3% and 5.9%, respectively, but the c parameter decreased by 6.0%. The average Mo-Mo distance in the Mo6 cluster decreased from 2.81 to 2.62 Å.","author":[{"dropping-particle":"","family":"Chae","given":"Munseok S.","non-dropping-particle":"","parse-names":false,"suffix":""},{"dropping-particle":"","family":"Heo","given":"Jongwook W.","non-dropping-particle":"","parse-names":false,"suffix":""},{"dropping-particle":"","family":"Lim","given":"Sung-Chul","non-dropping-particle":"","parse-names":false,"suffix":""},{"dropping-particle":"","family":"Hong","given":"Seung-Tae","non-dropping-particle":"","parse-names":false,"suffix":""}],"container-title":"Inorganic Chemistry","id":"ITEM-1","issue":"7","issued":{"date-parts":[["2016","4","4"]]},"page":"3294-3301","title":"Electrochemical Zinc-Ion Intercalation Properties and Crystal Structures of ZnMo6S8 and Zn2Mo6S8 Chevrel Phases in Aqueous Electrolytes","type":"article-journal","volume":"55"},"uris":["http://www.mendeley.com/documents/?uuid=3343d42d-1738-4943-a9f3-867aa512e87e"]},{"id":"ITEM-2","itemData":{"DOI":"10.1021/acsami.6b03197","ISSN":"1944-8244","abstract":"This work describes the synthesis of Chevrel phase Mo6S8 nanocubes and its application as the anode material for rechargeable Zn-ion batteries. Mo6S8 can host Zn2+ ions reversibly in both aqueous and nonaqueous electrolytes with specific capacities around 90 mAh/g, and exhibited remarkable intercalation kinetics and cyclic stability. In addition, we assembled full cells by integrating Mo6S8 anodes with zinc-polyiodide (I-/I3-)-based catholytes, and demonstrated that such full cells were also able to deliver outstanding rate performance and cyclic stability. This first demonstration of a zinc-intercalating anode could inspire the design of advanced Zn-ion batteries.","author":[{"dropping-particle":"","family":"Cheng","given":"Yingwen","non-dropping-particle":"","parse-names":false,"suffix":""},{"dropping-particle":"","family":"Luo","given":"Langli","non-dropping-particle":"","parse-names":false,"suffix":""},{"dropping-particle":"","family":"Zhong","given":"Li","non-dropping-particle":"","parse-names":false,"suffix":""},{"dropping-particle":"","family":"Chen","given":"Junzheng","non-dropping-particle":"","parse-names":false,"suffix":""},{"dropping-particle":"","family":"Li","given":"Bin","non-dropping-particle":"","parse-names":false,"suffix":""},{"dropping-particle":"","family":"Wang","given":"Wei","non-dropping-particle":"","parse-names":false,"suffix":""},{"dropping-particle":"","family":"Mao","given":"Scott X.","non-dropping-particle":"","parse-names":false,"suffix":""},{"dropping-particle":"","family":"Wang","given":"Chongmin","non-dropping-particle":"","parse-names":false,"suffix":""},{"dropping-particle":"","family":"Sprenkle","given":"Vincent L.","non-dropping-particle":"","parse-names":false,"suffix":""},{"dropping-particle":"","family":"Li","given":"Guosheng","non-dropping-particle":"","parse-names":false,"suffix":""},{"dropping-particle":"","family":"Liu","given":"Jun","non-dropping-particle":"","parse-names":false,"suffix":""}],"container-title":"ACS Applied Materials &amp; Interfaces","id":"ITEM-2","issue":"22","issued":{"date-parts":[["2016","6","8"]]},"page":"13673-13677","publisher":"American Chemical Society","title":"Highly Reversible Zinc-Ion Intercalation into Chevrel Phase Mo 6 S 8 Nanocubes and Applications for Advanced Zinc-Ion Batteries","type":"article-journal","volume":"8"},"uris":["http://www.mendeley.com/documents/?uuid=b63e481d-7493-4da8-9554-e6c8c73790b2"]},{"id":"ITEM-3","itemData":{"DOI":"10.1002/aenm.201900993","ISSN":"1614-6832","abstract":"Rechargeable aqueous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based batteries are attractive candidates as energy storage technology, but the uncontrollable Zn dendrites, low stripping/plating coulombic efficiency, and inefficient utilization of Zn metal limit the battery reliability and energy density. Herein, for the first time, a novel presodiated TiS 2 (Na 0.14 TiS 2 ) is proposed and investigated as an intercalated anode for aqueous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ion batteries, showing a capacity of 140 mAh g </w:instrText>
            </w:r>
            <w:r w:rsidR="00500B8D" w:rsidRPr="003E0254">
              <w:rPr>
                <w:rFonts w:ascii="Aptos" w:hAnsi="Aptos" w:cs="Aptos"/>
                <w:bCs/>
                <w:sz w:val="20"/>
                <w:szCs w:val="20"/>
                <w:u w:val="single"/>
              </w:rPr>
              <w:instrText>−</w:instrText>
            </w:r>
            <w:r w:rsidR="00500B8D" w:rsidRPr="003E0254">
              <w:rPr>
                <w:bCs/>
                <w:sz w:val="20"/>
                <w:szCs w:val="20"/>
                <w:u w:val="single"/>
              </w:rPr>
              <w:instrText xml:space="preserve">1 with a suitable potential of 0.3 V (vs Zn 2+ /Zn) at 0.05 A g </w:instrText>
            </w:r>
            <w:r w:rsidR="00500B8D" w:rsidRPr="003E0254">
              <w:rPr>
                <w:rFonts w:ascii="Aptos" w:hAnsi="Aptos" w:cs="Aptos"/>
                <w:bCs/>
                <w:sz w:val="20"/>
                <w:szCs w:val="20"/>
                <w:u w:val="single"/>
              </w:rPr>
              <w:instrText>−</w:instrText>
            </w:r>
            <w:r w:rsidR="00500B8D" w:rsidRPr="003E0254">
              <w:rPr>
                <w:bCs/>
                <w:sz w:val="20"/>
                <w:szCs w:val="20"/>
                <w:u w:val="single"/>
              </w:rPr>
              <w:instrText xml:space="preserve">1 and superior cyclability of 77% retention over 5000 cycles at 0.5 A g </w:instrText>
            </w:r>
            <w:r w:rsidR="00500B8D" w:rsidRPr="003E0254">
              <w:rPr>
                <w:rFonts w:ascii="Aptos" w:hAnsi="Aptos" w:cs="Aptos"/>
                <w:bCs/>
                <w:sz w:val="20"/>
                <w:szCs w:val="20"/>
                <w:u w:val="single"/>
              </w:rPr>
              <w:instrText>−</w:instrText>
            </w:r>
            <w:r w:rsidR="00500B8D" w:rsidRPr="003E0254">
              <w:rPr>
                <w:bCs/>
                <w:sz w:val="20"/>
                <w:szCs w:val="20"/>
                <w:u w:val="single"/>
              </w:rPr>
              <w:instrText>1 . The remarkable performance originates from the buffer phase formation of Na 0.14 TiS 2 after chemically presodiating TiS 2 , which not only improves the structural reversibility and stability but also enhances the diffusion coefficient and electronic conductivity, and lowers cation migration barrier, as evidenced by a series of experimental and theoretical studies. Moreover, an aqueous “rocking</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chair</w:instrText>
            </w:r>
            <w:r w:rsidR="00500B8D" w:rsidRPr="003E0254">
              <w:rPr>
                <w:rFonts w:ascii="Aptos" w:hAnsi="Aptos" w:cs="Aptos"/>
                <w:bCs/>
                <w:sz w:val="20"/>
                <w:szCs w:val="20"/>
                <w:u w:val="single"/>
              </w:rPr>
              <w:instrText>”</w:instrText>
            </w:r>
            <w:r w:rsidR="00500B8D" w:rsidRPr="003E0254">
              <w:rPr>
                <w:bCs/>
                <w:sz w:val="20"/>
                <w:szCs w:val="20"/>
                <w:u w:val="single"/>
              </w:rPr>
              <w:instrText xml:space="preserve">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ion full battery is successfully demonstrated by this Na 0.14 TiS 2 anode and ZnMn 2 O 4 cathode, which delivers a capacity of 105 mAh g </w:instrText>
            </w:r>
            <w:r w:rsidR="00500B8D" w:rsidRPr="003E0254">
              <w:rPr>
                <w:rFonts w:ascii="Aptos" w:hAnsi="Aptos" w:cs="Aptos"/>
                <w:bCs/>
                <w:sz w:val="20"/>
                <w:szCs w:val="20"/>
                <w:u w:val="single"/>
              </w:rPr>
              <w:instrText>−</w:instrText>
            </w:r>
            <w:r w:rsidR="00500B8D" w:rsidRPr="003E0254">
              <w:rPr>
                <w:bCs/>
                <w:sz w:val="20"/>
                <w:szCs w:val="20"/>
                <w:u w:val="single"/>
              </w:rPr>
              <w:instrText>1 (for anode) with an average voltage of 0.95 V at 0.05 A g −1 and preserves 74% retention after 100 cycles at 0.2 A g −1 , demonstrating the feasibility of Zn</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ion full batteries for energy storage applications.","author":[{"dropping-particle":"","family":"Li","given":"Wei","non-dropping-particle":"","parse-names":false,"suffix":""},{"dropping-particle":"","family":"Wang","given":"Kangli","non-dropping-particle":"","parse-names":false,"suffix":""},{"dropping-particle":"","family":"Cheng","given":"Shijie","non-dropping-particle":"","parse-names":false,"suffix":""},{"dropping-particle":"","family":"Jiang","given":"Kai","non-dropping-particle":"","parse-names":false,"suffix":""}],"container-title":"Advanced Energy Materials","id":"ITEM-3","issue":"27","issued":{"date-parts":[["2019","7","4"]]},"page":"1-10","title":"An Ultrastable Presodiated Titanium Disulfide Anode for Aqueous “Rocking</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Chair</w:instrText>
            </w:r>
            <w:r w:rsidR="00500B8D" w:rsidRPr="003E0254">
              <w:rPr>
                <w:rFonts w:ascii="Aptos" w:hAnsi="Aptos" w:cs="Aptos"/>
                <w:bCs/>
                <w:sz w:val="20"/>
                <w:szCs w:val="20"/>
                <w:u w:val="single"/>
              </w:rPr>
              <w:instrText>”</w:instrText>
            </w:r>
            <w:r w:rsidR="00500B8D" w:rsidRPr="003E0254">
              <w:rPr>
                <w:bCs/>
                <w:sz w:val="20"/>
                <w:szCs w:val="20"/>
                <w:u w:val="single"/>
              </w:rPr>
              <w:instrText xml:space="preserve"> Zinc Ion Battery","type":"article-journal","volume":"9"},"uris":["http://www.mendeley.com/documents/?uuid=09d9e36f-d399-4481-be2d-ec369d90ac0d"]}],"mendeley":{"formattedCitation":"&lt;sup&gt;[108–110]&lt;/sup&gt;","plainTextFormattedCitation":"[108–110]","previouslyFormattedCitation":"&lt;sup&gt;[107–109]&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[108–110]</w:t>
            </w:r>
            <w:r w:rsidRPr="003E0254">
              <w:rPr>
                <w:bCs/>
                <w:sz w:val="20"/>
                <w:szCs w:val="20"/>
                <w:u w:val="single"/>
              </w:rPr>
              <w:fldChar w:fldCharType="end"/>
            </w:r>
          </w:p>
        </w:tc>
        <w:tc>
          <w:tcPr>
            <w:tcW w:w="712" w:type="pct"/>
            <w:vMerge/>
            <w:tcBorders>
              <w:bottom w:val="single" w:sz="12" w:space="0" w:color="auto"/>
              <w:right w:val="single" w:sz="12" w:space="0" w:color="auto"/>
            </w:tcBorders>
            <w:shd w:val="clear" w:color="auto" w:fill="99CCFF"/>
          </w:tcPr>
          <w:p w14:paraId="0D0F33F9" w14:textId="77777777" w:rsidR="00C26F5C" w:rsidRPr="003E0254" w:rsidRDefault="00C26F5C" w:rsidP="00C26F5C">
            <w:pPr>
              <w:spacing w:line="276" w:lineRule="auto"/>
              <w:rPr>
                <w:bCs/>
                <w:sz w:val="20"/>
                <w:szCs w:val="20"/>
                <w:u w:val="single"/>
              </w:rPr>
            </w:pPr>
          </w:p>
        </w:tc>
        <w:tc>
          <w:tcPr>
            <w:tcW w:w="704" w:type="pct"/>
            <w:tcBorders>
              <w:left w:val="single" w:sz="12" w:space="0" w:color="auto"/>
              <w:bottom w:val="single" w:sz="12" w:space="0" w:color="auto"/>
            </w:tcBorders>
            <w:shd w:val="clear" w:color="auto" w:fill="99CCFF"/>
          </w:tcPr>
          <w:p w14:paraId="1B49834B" w14:textId="72535883" w:rsidR="00C26F5C" w:rsidRPr="003E0254" w:rsidRDefault="00C26F5C" w:rsidP="00C26F5C">
            <w:pPr>
              <w:spacing w:line="276" w:lineRule="auto"/>
              <w:rPr>
                <w:bCs/>
                <w:sz w:val="20"/>
                <w:szCs w:val="20"/>
                <w:u w:val="single"/>
              </w:rPr>
            </w:pPr>
            <w:r w:rsidRPr="003E0254">
              <w:rPr>
                <w:bCs/>
                <w:sz w:val="20"/>
                <w:szCs w:val="20"/>
                <w:u w:val="single"/>
              </w:rPr>
              <w:t>Organic</w:t>
            </w:r>
            <w:r w:rsidRPr="003E0254">
              <w:rPr>
                <w:bCs/>
                <w:sz w:val="20"/>
                <w:szCs w:val="20"/>
                <w:u w:val="single"/>
              </w:rPr>
              <w:fldChar w:fldCharType="begin" w:fldLock="1"/>
            </w:r>
            <w:r w:rsidR="00500B8D" w:rsidRPr="003E0254">
              <w:rPr>
                <w:bCs/>
                <w:sz w:val="20"/>
                <w:szCs w:val="20"/>
                <w:u w:val="single"/>
              </w:rPr>
              <w:instrText>ADDIN CSL_CITATION {"citationItems":[{"id":"ITEM-1","itemData":{"DOI":"10.1016/J.JPOWSOUR.2023.233896","ISSN":"0378-7753","abstract":"Aqueous zinc ion batteries (AZIBs) have received widespread consideration owing to non-toxicity, proper capacity, and abundant reserves. Among numerous cathode materials, organics with adjustable structures are prospective campaigners. Naphtha [2, 3-h] naphtha [2', 3': 7, 8] quinoxalino [2, 3-a] naphtha [2', 3': 7, 8] quinoxalino [2, 3-c] phenazine-5, 10, 15, 20, 25, 30-hexaone (AQPH) with large conjugated structure is synthesized through convenient condensation reaction. As an organic cathode of AZIBs, multiple active sites endow AQPH with a decent capacity (297.7 mAh g−1 under 0.05 A g−1) and a brilliant cycling life (over 10,000 cycles under 10 A g−1). Simultaneously, large conjugated structure supplies AQPH with a rapid electron transfer rate, inducing a high Zn2+ diffusion coefficient (3.3 × 10−10</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 xml:space="preserve">2.6 </w:instrText>
            </w:r>
            <w:r w:rsidR="00500B8D" w:rsidRPr="003E0254">
              <w:rPr>
                <w:rFonts w:ascii="Aptos" w:hAnsi="Aptos" w:cs="Aptos"/>
                <w:bCs/>
                <w:sz w:val="20"/>
                <w:szCs w:val="20"/>
                <w:u w:val="single"/>
              </w:rPr>
              <w:instrText>×</w:instrText>
            </w:r>
            <w:r w:rsidR="00500B8D" w:rsidRPr="003E0254">
              <w:rPr>
                <w:bCs/>
                <w:sz w:val="20"/>
                <w:szCs w:val="20"/>
                <w:u w:val="single"/>
              </w:rPr>
              <w:instrText xml:space="preserve"> 10</w:instrText>
            </w:r>
            <w:r w:rsidR="00500B8D" w:rsidRPr="003E0254">
              <w:rPr>
                <w:rFonts w:ascii="Aptos" w:hAnsi="Aptos" w:cs="Aptos"/>
                <w:bCs/>
                <w:sz w:val="20"/>
                <w:szCs w:val="20"/>
                <w:u w:val="single"/>
              </w:rPr>
              <w:instrText>−</w:instrText>
            </w:r>
            <w:r w:rsidR="00500B8D" w:rsidRPr="003E0254">
              <w:rPr>
                <w:bCs/>
                <w:sz w:val="20"/>
                <w:szCs w:val="20"/>
                <w:u w:val="single"/>
              </w:rPr>
              <w:instrText>8 cm2 s</w:instrText>
            </w:r>
            <w:r w:rsidR="00500B8D" w:rsidRPr="003E0254">
              <w:rPr>
                <w:rFonts w:ascii="Aptos" w:hAnsi="Aptos" w:cs="Aptos"/>
                <w:bCs/>
                <w:sz w:val="20"/>
                <w:szCs w:val="20"/>
                <w:u w:val="single"/>
              </w:rPr>
              <w:instrText>−</w:instrText>
            </w:r>
            <w:r w:rsidR="00500B8D" w:rsidRPr="003E0254">
              <w:rPr>
                <w:bCs/>
                <w:sz w:val="20"/>
                <w:szCs w:val="20"/>
                <w:u w:val="single"/>
              </w:rPr>
              <w:instrText>1) and an outstanding rate ability (96.7 mAh g</w:instrText>
            </w:r>
            <w:r w:rsidR="00500B8D" w:rsidRPr="003E0254">
              <w:rPr>
                <w:rFonts w:ascii="Aptos" w:hAnsi="Aptos" w:cs="Aptos"/>
                <w:bCs/>
                <w:sz w:val="20"/>
                <w:szCs w:val="20"/>
                <w:u w:val="single"/>
              </w:rPr>
              <w:instrText>−</w:instrText>
            </w:r>
            <w:r w:rsidR="00500B8D" w:rsidRPr="003E0254">
              <w:rPr>
                <w:bCs/>
                <w:sz w:val="20"/>
                <w:szCs w:val="20"/>
                <w:u w:val="single"/>
              </w:rPr>
              <w:instrText>1 under 20 A g−1). Furthermore, theoretical calculations and ex-situ characterizations prove that C[dbnd]O and C[dbnd]N are the active sites of Zn2+ storage. This work demonstrates that expanded conjugated structure and increased active centers of organic molecules are beneficial for accomplishing sustainable high-performance AZIBs.","author":[{"dropping-particle":"","family":"Huang","given":"Lulu","non-dropping-particle":"","parse-names":false,"suffix":""},{"dropping-particle":"","family":"Li","given":"Jiahao","non-dropping-particle":"","parse-names":false,"suffix":""},{"dropping-particle":"","family":"Gao","given":"Xinyu","non-dropping-particle":"","parse-names":false,"suffix":""},{"dropping-particle":"","family":"Wang","given":"Jiali","non-dropping-particle":"","parse-names":false,"suffix":""},{"dropping-particle":"","family":"Lv","given":"Heng","non-dropping-particle":"","parse-names":false,"suffix":""},{"dropping-particle":"","family":"Xie","given":"Haijiao","non-dropping-particle":"","parse-names":false,"suffix":""},{"dropping-particle":"","family":"Liu","given":"Yanyan","non-dropping-particle":"","parse-names":false,"suffix":""},{"dropping-particle":"","family":"Gu","given":"Tiantian","non-dropping-particle":"","parse-names":false,"suffix":""},{"dropping-particle":"","family":"Wang","given":"Gang","non-dropping-particle":"","parse-names":false,"suffix":""}],"container-title":"Journal of Power Sources","id":"ITEM-1","issued":{"date-parts":[["2024","1","30"]]},"page":"233896","publisher":"Elsevier","title":"Realizing high-performance of quinone-based cathode via multiple active centers for aqueous zinc ion batteries","type":"article-journal","volume":"591"},"uris":["http://www.mendeley.com/documents/?uuid=b7870717-2182-362f-a858-043df1f7e581"]}],"mendeley":{"formattedCitation":"&lt;sup&gt;[111]&lt;/sup&gt;","plainTextFormattedCitation":"[111]","previouslyFormattedCitation":"&lt;sup&gt;[110]&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[111]</w:t>
            </w:r>
            <w:r w:rsidRPr="003E0254">
              <w:rPr>
                <w:bCs/>
                <w:sz w:val="20"/>
                <w:szCs w:val="20"/>
                <w:u w:val="single"/>
              </w:rPr>
              <w:fldChar w:fldCharType="end"/>
            </w:r>
          </w:p>
          <w:p w14:paraId="6E3E91AF" w14:textId="77777777" w:rsidR="00C26F5C" w:rsidRPr="003E0254" w:rsidRDefault="00C26F5C" w:rsidP="00C26F5C">
            <w:pPr>
              <w:spacing w:line="276" w:lineRule="auto"/>
              <w:rPr>
                <w:bCs/>
                <w:sz w:val="20"/>
                <w:szCs w:val="20"/>
              </w:rPr>
            </w:pPr>
            <w:r w:rsidRPr="003E0254">
              <w:rPr>
                <w:bCs/>
                <w:sz w:val="20"/>
                <w:szCs w:val="20"/>
              </w:rPr>
              <w:t>Quinone (AQPH)</w:t>
            </w:r>
          </w:p>
        </w:tc>
        <w:tc>
          <w:tcPr>
            <w:tcW w:w="848" w:type="pct"/>
            <w:vMerge/>
            <w:tcBorders>
              <w:bottom w:val="single" w:sz="12" w:space="0" w:color="auto"/>
              <w:right w:val="single" w:sz="12" w:space="0" w:color="auto"/>
            </w:tcBorders>
            <w:shd w:val="clear" w:color="auto" w:fill="99CCFF"/>
          </w:tcPr>
          <w:p w14:paraId="7167E4AD" w14:textId="77777777" w:rsidR="00C26F5C" w:rsidRPr="003E0254" w:rsidRDefault="00C26F5C" w:rsidP="00C26F5C">
            <w:pPr>
              <w:spacing w:line="276" w:lineRule="auto"/>
              <w:rPr>
                <w:bCs/>
                <w:sz w:val="20"/>
                <w:szCs w:val="20"/>
                <w:u w:val="single"/>
              </w:rPr>
            </w:pPr>
          </w:p>
        </w:tc>
      </w:tr>
      <w:tr w:rsidR="00C26F5C" w:rsidRPr="003E0254" w14:paraId="69D0C4F5" w14:textId="77777777" w:rsidTr="00B411DE">
        <w:tc>
          <w:tcPr>
            <w:tcW w:w="509" w:type="pct"/>
            <w:vMerge w:val="restart"/>
            <w:tcBorders>
              <w:top w:val="single" w:sz="12" w:space="0" w:color="auto"/>
              <w:left w:val="single" w:sz="12" w:space="0" w:color="auto"/>
              <w:right w:val="single" w:sz="12" w:space="0" w:color="auto"/>
            </w:tcBorders>
            <w:shd w:val="clear" w:color="auto" w:fill="F1A983" w:themeFill="accent2" w:themeFillTint="99"/>
            <w:vAlign w:val="center"/>
          </w:tcPr>
          <w:p w14:paraId="1791F521" w14:textId="77777777" w:rsidR="00C26F5C" w:rsidRPr="003E0254" w:rsidRDefault="00C26F5C" w:rsidP="00C26F5C">
            <w:pPr>
              <w:spacing w:line="276" w:lineRule="auto"/>
              <w:jc w:val="center"/>
              <w:rPr>
                <w:b/>
                <w:bCs/>
                <w:u w:val="single"/>
              </w:rPr>
            </w:pPr>
            <w:r w:rsidRPr="003E0254">
              <w:rPr>
                <w:b/>
                <w:bCs/>
                <w:u w:val="single"/>
              </w:rPr>
              <w:t>Aprotic</w:t>
            </w:r>
          </w:p>
        </w:tc>
        <w:tc>
          <w:tcPr>
            <w:tcW w:w="746" w:type="pct"/>
            <w:tcBorders>
              <w:top w:val="single" w:sz="12" w:space="0" w:color="auto"/>
              <w:left w:val="single" w:sz="12" w:space="0" w:color="auto"/>
            </w:tcBorders>
            <w:shd w:val="clear" w:color="auto" w:fill="F1A983" w:themeFill="accent2" w:themeFillTint="99"/>
          </w:tcPr>
          <w:p w14:paraId="5575B992" w14:textId="7C0B3BF8" w:rsidR="00C26F5C" w:rsidRPr="003E0254" w:rsidRDefault="00C26F5C" w:rsidP="00C26F5C">
            <w:pPr>
              <w:spacing w:line="276" w:lineRule="auto"/>
              <w:rPr>
                <w:bCs/>
                <w:sz w:val="20"/>
                <w:szCs w:val="20"/>
                <w:u w:val="single"/>
              </w:rPr>
            </w:pPr>
            <w:r w:rsidRPr="003E0254">
              <w:rPr>
                <w:bCs/>
                <w:sz w:val="20"/>
                <w:szCs w:val="20"/>
                <w:u w:val="single"/>
              </w:rPr>
              <w:t>(Gel-) Polymer</w:t>
            </w:r>
            <w:r w:rsidRPr="003E0254">
              <w:rPr>
                <w:bCs/>
                <w:sz w:val="20"/>
                <w:szCs w:val="20"/>
                <w:u w:val="single"/>
              </w:rPr>
              <w:fldChar w:fldCharType="begin" w:fldLock="1"/>
            </w:r>
            <w:r w:rsidR="00500B8D" w:rsidRPr="003E0254">
              <w:rPr>
                <w:bCs/>
                <w:sz w:val="20"/>
                <w:szCs w:val="20"/>
                <w:u w:val="single"/>
              </w:rPr>
              <w:instrText>ADDIN CSL_CITATION {"citationItems":[{"id":"ITEM-1","itemData":{"DOI":"10.1021/ACSAMI.2C06793/ASSET/IMAGES/LARGE/AM2C06793_0005.JPEG","ISSN":"19448252","abstract":"Using solid polymer electrolytes has been proven to be an efficient strategy to address the metal dendrites and pursuing high-voltage performance. Polyethylene oxide (PEO), as a popular polymer matrix, hardly works for zinc ion batteries due to its poor zinc ionic conductivity and the poor interfacial adhesion. Here, an ionic liquid, 1-ethyl-3-methylimidazolium trifluoromethanesulfonate ([Emim]OTF), was applied as a plasticizer to tune the room-temperature ionic conductivity and mechanical properties of PEO membrane electrolyte. Additional nanofillers ZnO were utilized to enhance the plasticity and modulus. With an optimized composition, the membrane exhibits a high modulus and soft mechanics, which can facilitate the reversible stripping/plating of Zn without formation of Zn dendrites. The optimized polymer electrolyte achieved an ionic conductivity of 2.3 × 10-3S cm-1at room temperature with a softness of 5.1 mm. By applying the resulted soft membrane electrolyte for a Zn-MnO2battery, a capacity of 137 mAh g-1is achieved at 30 mA g-1even without the contribution from H+. Such an electrolyte also works for Prussian blue analogue cathodes. Importantly, the addition of [Emim]OTF can enhance the soft contact with the electrodes, and a stable output is delivered under severe deformations for the assembled flexible devices.","author":[{"dropping-particle":"","family":"Wang","given":"Donghong","non-dropping-particle":"","parse-names":false,"suffix":""},{"dropping-particle":"","family":"Guo","given":"Xun","non-dropping-particle":"","parse-names":false,"suffix":""},{"dropping-particle":"","family":"Chen","given":"Ze","non-dropping-particle":"","parse-names":false,"suffix":""},{"dropping-particle":"","family":"Zhao","given":"Yuwei","non-dropping-particle":"","parse-names":false,"suffix":""},{"dropping-particle":"","family":"Li","given":"Qing","non-dropping-particle":"","parse-names":false,"suffix":""},{"dropping-particle":"","family":"Zhi","given":"Chunyi","non-dropping-particle":"","parse-names":false,"suffix":""}],"container-title":"ACS Applied Materials and Interfaces","id":"ITEM-1","issue":"23","issued":{"date-parts":[["2022","6","15"]]},"page":"27287-27293","publisher":"American Chemical Society","title":"Ionic Liquid-Softened Polymer Electrolyte for Anti-Drying Flexible Zinc Ion Batteries","type":"article-journal","volume":"14"},"uris":["http://www.mendeley.com/documents/?uuid=d0f5f9e5-f34a-46b9-b2d4-daae269ac14a"]}],"mendeley":{"formattedCitation":"&lt;sup&gt;[112]&lt;/sup&gt;","plainTextFormattedCitation":"[112]","previouslyFormattedCitation":"&lt;sup&gt;[111]&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[112]</w:t>
            </w:r>
            <w:r w:rsidRPr="003E0254">
              <w:rPr>
                <w:bCs/>
                <w:sz w:val="20"/>
                <w:szCs w:val="20"/>
                <w:u w:val="single"/>
              </w:rPr>
              <w:fldChar w:fldCharType="end"/>
            </w:r>
          </w:p>
          <w:p w14:paraId="2906956E" w14:textId="060126CA" w:rsidR="00C26F5C" w:rsidRPr="003E0254" w:rsidRDefault="00C26F5C" w:rsidP="00C26F5C">
            <w:pPr>
              <w:spacing w:line="276" w:lineRule="auto"/>
              <w:rPr>
                <w:bCs/>
                <w:sz w:val="20"/>
                <w:szCs w:val="20"/>
              </w:rPr>
            </w:pPr>
          </w:p>
        </w:tc>
        <w:tc>
          <w:tcPr>
            <w:tcW w:w="768" w:type="pct"/>
            <w:vMerge w:val="restart"/>
            <w:tcBorders>
              <w:top w:val="single" w:sz="12" w:space="0" w:color="auto"/>
              <w:right w:val="single" w:sz="12" w:space="0" w:color="auto"/>
            </w:tcBorders>
            <w:shd w:val="clear" w:color="auto" w:fill="F1A983" w:themeFill="accent2" w:themeFillTint="99"/>
          </w:tcPr>
          <w:p w14:paraId="7C9F57A0" w14:textId="58D70B03" w:rsidR="00C26F5C" w:rsidRPr="003E0254" w:rsidRDefault="00C26F5C" w:rsidP="00C26F5C">
            <w:pPr>
              <w:spacing w:line="276" w:lineRule="auto"/>
              <w:rPr>
                <w:bCs/>
                <w:sz w:val="20"/>
                <w:szCs w:val="20"/>
                <w:u w:val="single"/>
              </w:rPr>
            </w:pPr>
            <w:r w:rsidRPr="003E0254">
              <w:rPr>
                <w:bCs/>
                <w:sz w:val="20"/>
                <w:szCs w:val="20"/>
                <w:u w:val="single"/>
              </w:rPr>
              <w:t>Salts</w:t>
            </w:r>
            <w:r w:rsidRPr="003E0254">
              <w:rPr>
                <w:bCs/>
                <w:sz w:val="20"/>
                <w:szCs w:val="20"/>
                <w:u w:val="single"/>
              </w:rPr>
              <w:fldChar w:fldCharType="begin" w:fldLock="1"/>
            </w:r>
            <w:r w:rsidR="00500B8D" w:rsidRPr="003E0254">
              <w:rPr>
                <w:bCs/>
                <w:sz w:val="20"/>
                <w:szCs w:val="20"/>
                <w:u w:val="single"/>
              </w:rPr>
              <w:instrText>ADDIN CSL_CITATION {"citationItems":[{"id":"ITEM-1","itemData":{"DOI":"10.1021/ACSAMI.2C06793/ASSET/IMAGES/LARGE/AM2C06793_0005.JPEG","ISSN":"19448252","abstract":"Using solid polymer electrolytes has been proven to be an efficient strategy to address the metal dendrites and pursuing high-voltage performance. Polyethylene oxide (PEO), as a popular polymer matrix, hardly works for zinc ion batteries due to its poor zinc ionic conductivity and the poor interfacial adhesion. Here, an ionic liquid, 1-ethyl-3-methylimidazolium trifluoromethanesulfonate ([Emim]OTF), was applied as a plasticizer to tune the room-temperature ionic conductivity and mechanical properties of PEO membrane electrolyte. Additional nanofillers ZnO were utilized to enhance the plasticity and modulus. With an optimized composition, the membrane exhibits a high modulus and soft mechanics, which can facilitate the reversible stripping/plating of Zn without formation of Zn dendrites. The optimized polymer electrolyte achieved an ionic conductivity of 2.3 × 10-3S cm-1at room temperature with a softness of 5.1 mm. By applying the resulted soft membrane electrolyte for a Zn-MnO2battery, a capacity of 137 mAh g-1is achieved at 30 mA g-1even without the contribution from H+. Such an electrolyte also works for Prussian blue analogue cathodes. Importantly, the addition of [Emim]OTF can enhance the soft contact with the electrodes, and a stable output is delivered under severe deformations for the assembled flexible devices.","author":[{"dropping-particle":"","family":"Wang","given":"Donghong","non-dropping-particle":"","parse-names":false,"suffix":""},{"dropping-particle":"","family":"Guo","given":"Xun","non-dropping-particle":"","parse-names":false,"suffix":""},{"dropping-particle":"","family":"Chen","given":"Ze","non-dropping-particle":"","parse-names":false,"suffix":""},{"dropping-particle":"","family":"Zhao","given":"Yuwei","non-dropping-particle":"","parse-names":false,"suffix":""},{"dropping-particle":"","family":"Li","given":"Qing","non-dropping-particle":"","parse-names":false,"suffix":""},{"dropping-particle":"","family":"Zhi","given":"Chunyi","non-dropping-particle":"","parse-names":false,"suffix":""}],"container-title":"ACS Applied Materials and Interfaces","id":"ITEM-1","issue":"23","issued":{"date-parts":[["2022","6","15"]]},"page":"27287-27293","publisher":"American Chemical Society","title":"Ionic Liquid-Softened Polymer Electrolyte for Anti-Drying Flexible Zinc Ion Batteries","type":"article-journal","volume":"14"},"uris":["http://www.mendeley.com/documents/?uuid=d0f5f9e5-f34a-46b9-b2d4-daae269ac14a"]},{"id":"ITEM-2","itemData":{"DOI":"10.1021/ACSAMI.9B10399/ASSET/IMAGES/LARGE/AM9B10399_0002.JPEG","ISSN":"19448252","PMID":"31418545","abstract":"Zinc-based battery chemistries have lately drawn great attention for grid-scale energy storage due to their material abundance and high safety. However, the low Coulombic efficiency (CE) and dendrite growth of zinc (Zn) anodes and the limited working voltage of current oxide cathodes are the major barriers hindering the development of rechargeable Zn-based batteries (RZBs). Here, we report an ultrafast and high-voltage Zn battery in a new cell configuration employing a graphite cathode, a Zn anode, and nonaqueous 1 M zinc bis(trifluoromethylsulfonyl)imide (Zn(TFSI)2) in acetonitrile (AN) electrolyte. This RZB operates through the (de)intercalation of TFSI- anions into the graphite and the electrochemical Zn2+ plating/stripping at the anode. The optimized Zn(TFSI)2/AN electrolyte features high reductive/oxidative stability, good ionic conductivity (â28 mS cm-1), and low viscosity (â0.4 mPa·s), enabling the unprecedented cycling stability (over 1000 h) of the Zn anode with a dendrite-free morphology, the ultrafast Zn plating/stripping with a high CE (&gt;99%), and the good compatibility with the graphite cathode. Consequently, this RZB exhibits a high average output voltage (2.2 V), a high energy/power density (86.5 Wh kg-1 at 4400 W kg-1), and a long cycle life (97.3% capacity retention after 1000 cycles). The present work offers new insights and opportunities to the Zn-based electrochemistry.","author":[{"dropping-particle":"","family":"Zhang","given":"Ning","non-dropping-particle":"","parse-names":false,"suffix":""},{"dropping-particle":"","family":"Dong","given":"Yang","non-dropping-particle":"","parse-names":false,"suffix":""},{"dropping-particle":"","family":"Wang","given":"Yuanyuan","non-dropping-particle":"","parse-names":false,"suffix":""},{"dropping-particle":"","family":"Wang","given":"Yixuan","non-dropping-particle":"","parse-names":false,"suffix":""},{"dropping-particle":"","family":"Li","given":"Jiajun","non-dropping-particle":"","parse-names":false,"suffix":""},{"dropping-particle":"","family":"Xu","given":"Jianzhong","non-dropping-particle":"","parse-names":false,"suffix":""},{"dropping-particle":"","family":"Liu","given":"Yongchang","non-dropping-particle":"","parse-names":false,"suffix":""},{"dropping-particle":"","family":"Jiao","given":"Lifang","non-dropping-particle":"","parse-names":false,"suffix":""},{"dropping-particle":"","family":"Cheng","given":"Fangyi","non-dropping-particle":"","parse-names":false,"suffix":""}],"container-title":"ACS Applied Materials and Interfaces","id":"ITEM-2","issue":"36","issued":{"date-parts":[["2019","9","11"]]},"page":"32978-32986","publisher":"American Chemical Society","title":"Ultrafast Rechargeable Zinc Battery Based on High-Voltage Graphite Cathode and Stable Nonaqueous Electrolyte","type":"article-journal","volume":"11"},"uris":["http://www.mendeley.com/documents/?uuid=c24e132c-cdb6-3b2d-adfb-dd6027b1cc3c"]}],"mendeley":{"formattedCitation":"&lt;sup&gt;[112,113]&lt;/sup&gt;","plainTextFormattedCitation":"[112,113]","previouslyFormattedCitation":"&lt;sup&gt;[111,112]&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[112,113]</w:t>
            </w:r>
            <w:r w:rsidRPr="003E0254">
              <w:rPr>
                <w:bCs/>
                <w:sz w:val="20"/>
                <w:szCs w:val="20"/>
                <w:u w:val="single"/>
              </w:rPr>
              <w:fldChar w:fldCharType="end"/>
            </w:r>
          </w:p>
          <w:p w14:paraId="05152100" w14:textId="11265114" w:rsidR="00C26F5C" w:rsidRPr="003E0254" w:rsidRDefault="00C26F5C" w:rsidP="00C26F5C">
            <w:pPr>
              <w:spacing w:line="276" w:lineRule="auto"/>
              <w:rPr>
                <w:bCs/>
                <w:sz w:val="20"/>
                <w:szCs w:val="20"/>
              </w:rPr>
            </w:pPr>
          </w:p>
        </w:tc>
        <w:tc>
          <w:tcPr>
            <w:tcW w:w="713" w:type="pct"/>
            <w:tcBorders>
              <w:top w:val="single" w:sz="12" w:space="0" w:color="auto"/>
              <w:left w:val="single" w:sz="12" w:space="0" w:color="auto"/>
            </w:tcBorders>
            <w:shd w:val="clear" w:color="auto" w:fill="F1A983" w:themeFill="accent2" w:themeFillTint="99"/>
          </w:tcPr>
          <w:p w14:paraId="169FA158" w14:textId="77777777" w:rsidR="00C26F5C" w:rsidRPr="003E0254" w:rsidRDefault="00C26F5C" w:rsidP="00C26F5C">
            <w:pPr>
              <w:spacing w:line="276" w:lineRule="auto"/>
              <w:rPr>
                <w:bCs/>
                <w:sz w:val="20"/>
                <w:szCs w:val="20"/>
                <w:u w:val="single"/>
              </w:rPr>
            </w:pPr>
          </w:p>
        </w:tc>
        <w:tc>
          <w:tcPr>
            <w:tcW w:w="712" w:type="pct"/>
            <w:tcBorders>
              <w:top w:val="single" w:sz="12" w:space="0" w:color="auto"/>
              <w:right w:val="single" w:sz="12" w:space="0" w:color="auto"/>
            </w:tcBorders>
            <w:shd w:val="clear" w:color="auto" w:fill="F1A983" w:themeFill="accent2" w:themeFillTint="99"/>
          </w:tcPr>
          <w:p w14:paraId="04FD641F" w14:textId="77777777" w:rsidR="00C26F5C" w:rsidRPr="003E0254" w:rsidRDefault="00C26F5C" w:rsidP="00C26F5C">
            <w:pPr>
              <w:spacing w:line="276" w:lineRule="auto"/>
              <w:rPr>
                <w:bCs/>
                <w:sz w:val="20"/>
                <w:szCs w:val="20"/>
                <w:u w:val="single"/>
              </w:rPr>
            </w:pPr>
          </w:p>
        </w:tc>
        <w:tc>
          <w:tcPr>
            <w:tcW w:w="704" w:type="pct"/>
            <w:tcBorders>
              <w:top w:val="single" w:sz="12" w:space="0" w:color="auto"/>
              <w:left w:val="single" w:sz="12" w:space="0" w:color="auto"/>
            </w:tcBorders>
            <w:shd w:val="clear" w:color="auto" w:fill="F1A983" w:themeFill="accent2" w:themeFillTint="99"/>
          </w:tcPr>
          <w:p w14:paraId="07F6A0C1" w14:textId="4D8C07BD" w:rsidR="00C26F5C" w:rsidRPr="003E0254" w:rsidRDefault="00C26F5C" w:rsidP="00C26F5C">
            <w:pPr>
              <w:spacing w:line="276" w:lineRule="auto"/>
              <w:rPr>
                <w:bCs/>
                <w:sz w:val="20"/>
                <w:szCs w:val="20"/>
                <w:u w:val="single"/>
                <w:lang w:val="de-DE"/>
              </w:rPr>
            </w:pPr>
            <w:proofErr w:type="spellStart"/>
            <w:r w:rsidRPr="003E0254">
              <w:rPr>
                <w:bCs/>
                <w:sz w:val="20"/>
                <w:szCs w:val="20"/>
                <w:u w:val="single"/>
                <w:lang w:val="de-DE"/>
              </w:rPr>
              <w:t>Manganese</w:t>
            </w:r>
            <w:proofErr w:type="spellEnd"/>
            <w:r w:rsidRPr="003E0254">
              <w:rPr>
                <w:bCs/>
                <w:sz w:val="20"/>
                <w:szCs w:val="20"/>
                <w:u w:val="single"/>
                <w:lang w:val="de-DE"/>
              </w:rPr>
              <w:t xml:space="preserve"> Oxides</w:t>
            </w:r>
            <w:r w:rsidRPr="003E0254">
              <w:rPr>
                <w:bCs/>
                <w:sz w:val="20"/>
                <w:szCs w:val="20"/>
                <w:u w:val="single"/>
              </w:rPr>
              <w:fldChar w:fldCharType="begin" w:fldLock="1"/>
            </w:r>
            <w:r w:rsidR="00500B8D" w:rsidRPr="003E0254">
              <w:rPr>
                <w:bCs/>
                <w:sz w:val="20"/>
                <w:szCs w:val="20"/>
                <w:u w:val="single"/>
                <w:lang w:val="de-DE"/>
              </w:rPr>
              <w:instrText>ADDIN CSL_CITATION {"citationItems":[{"id":"ITEM-1","itemData":{"DOI":"10.1002/ADMA.202106409","ISSN":"1521-4095","PMID":"34806240","abstract":"With the growing demands for large-scale energy storage, Zn-ion batteries (ZIBs) with distinct advantages, including resource abundance, low-cost, high-safety, and acceptable energy density, are considered as potential substitutes for Li-ion batteries. Although numerous efforts are devoted to design and develop high performance cathodes and aqueous electrolytes for ZIBs, many challenges, such as hydrogen evolution reaction, water evaporation, and liquid leakage, have greatly hindered the development of aqueous ZIBs. Developing “beyond aqueous” electrolytes can be able to avoid these issues due to the absence of water, which are beneficial for the achieving of highly efficient ZIBs. In this review, the recent development of the “beyond aqueous” electrolytes, including conventional organic electrolytes, ionic liquid, all-solid-state, quasi-solid-state electrolytes, and deep eutectic electrolytes are presented. The critical issues and the corresponding strategies of the designing of “beyond aqueous” electrolytes for ZIBs are also summarized.","author":[{"dropping-particle":"","family":"Lv","given":"Yanqun","non-dropping-particle":"","parse-names":false,"suffix":""},{"dropping-particle":"","family":"Xiao","given":"Ying","non-dropping-particle":"","parse-names":false,"suffix":""},{"dropping-particle":"","family":"Ma","given":"Longtao","non-dropping-particle":"","parse-names":false,"suffix":""},{"dropping-particle":"","family":"Zhi","given":"Chunyi","non-dropping-particle":"","parse-names":false,"suffix":""},{"dropping-particle":"","family":"Chen","given":"Shimou","non-dropping-particle":"","parse-names":false,"suffix":""},{"dropping-particle":"","family":"Lv","given":"Y","non-dropping-particle":"","parse-names":false,"suffix":""},{"dropping-particle":"","family":"Xiao","given":"Y","non-dropping-particle":"","parse-names":false,"suffix":""},{"dropping-particle":"","family":"Chen","given":"S","non-dropping-particle":"","parse-names":false,"suffix":""},{"dropping-particle":"","family":"Ma","given":"L","non-dropping-particle":"","parse-names":false,"suffix":""},{"dropping-particle":"","family":"Zhi","given":"C","non-dropping-particle":"","parse-names":false,"suffix":""}],"container-title":"Advanced Materials","id":"ITEM-1","issue":"4","issued":{"date-parts":[["2022","1","1"]]},"page":"2106409","publisher":"John Wiley &amp; Sons, Ltd","title":"Recent Advances in Electrolytes for “Beyond Aqueous” Zinc-Ion Batteries","type":"article-journal","volume":"34"},"uris":["http://www.mendeley.com/documents/?uuid=63592d54-d1e7-395c-9f1f-92acbe189ad2"]}],"mendeley":{"formattedCitation":"&lt;sup&gt;[114]&lt;/sup&gt;","plainTextFormattedCitation":"[114]","previouslyFormattedCitation":"&lt;sup&gt;[113]&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lang w:val="de-DE"/>
              </w:rPr>
              <w:t>[114]</w:t>
            </w:r>
            <w:r w:rsidRPr="003E0254">
              <w:rPr>
                <w:bCs/>
                <w:sz w:val="20"/>
                <w:szCs w:val="20"/>
                <w:u w:val="single"/>
              </w:rPr>
              <w:fldChar w:fldCharType="end"/>
            </w:r>
          </w:p>
          <w:p w14:paraId="5A0A87C3" w14:textId="69323C59" w:rsidR="00C26F5C" w:rsidRPr="003E0254" w:rsidRDefault="00C26F5C" w:rsidP="00C26F5C">
            <w:pPr>
              <w:spacing w:line="276" w:lineRule="auto"/>
              <w:rPr>
                <w:bCs/>
                <w:sz w:val="20"/>
                <w:szCs w:val="20"/>
                <w:lang w:val="de-DE"/>
              </w:rPr>
            </w:pPr>
          </w:p>
        </w:tc>
        <w:tc>
          <w:tcPr>
            <w:tcW w:w="848" w:type="pct"/>
            <w:tcBorders>
              <w:top w:val="single" w:sz="12" w:space="0" w:color="auto"/>
              <w:right w:val="single" w:sz="12" w:space="0" w:color="auto"/>
            </w:tcBorders>
            <w:shd w:val="clear" w:color="auto" w:fill="F1A983" w:themeFill="accent2" w:themeFillTint="99"/>
          </w:tcPr>
          <w:p w14:paraId="610722D9" w14:textId="77777777" w:rsidR="00C26F5C" w:rsidRPr="003E0254" w:rsidRDefault="00C26F5C" w:rsidP="00C26F5C">
            <w:pPr>
              <w:spacing w:line="276" w:lineRule="auto"/>
              <w:rPr>
                <w:bCs/>
                <w:sz w:val="20"/>
                <w:szCs w:val="20"/>
                <w:u w:val="single"/>
                <w:lang w:val="de-DE"/>
              </w:rPr>
            </w:pPr>
          </w:p>
        </w:tc>
      </w:tr>
      <w:tr w:rsidR="00C26F5C" w:rsidRPr="003E0254" w14:paraId="2A58A052" w14:textId="77777777" w:rsidTr="00B411DE">
        <w:tc>
          <w:tcPr>
            <w:tcW w:w="509" w:type="pct"/>
            <w:vMerge/>
            <w:tcBorders>
              <w:left w:val="single" w:sz="12" w:space="0" w:color="auto"/>
              <w:right w:val="single" w:sz="12" w:space="0" w:color="auto"/>
            </w:tcBorders>
            <w:shd w:val="clear" w:color="auto" w:fill="F1A983" w:themeFill="accent2" w:themeFillTint="99"/>
            <w:vAlign w:val="center"/>
          </w:tcPr>
          <w:p w14:paraId="0920DAF3" w14:textId="77777777" w:rsidR="00C26F5C" w:rsidRPr="003E0254" w:rsidRDefault="00C26F5C" w:rsidP="00C26F5C">
            <w:pPr>
              <w:spacing w:line="276" w:lineRule="auto"/>
              <w:jc w:val="center"/>
              <w:rPr>
                <w:b/>
                <w:bCs/>
                <w:u w:val="single"/>
                <w:lang w:val="de-DE"/>
              </w:rPr>
            </w:pPr>
          </w:p>
        </w:tc>
        <w:tc>
          <w:tcPr>
            <w:tcW w:w="746" w:type="pct"/>
            <w:tcBorders>
              <w:left w:val="single" w:sz="12" w:space="0" w:color="auto"/>
            </w:tcBorders>
            <w:shd w:val="clear" w:color="auto" w:fill="F1A983" w:themeFill="accent2" w:themeFillTint="99"/>
          </w:tcPr>
          <w:p w14:paraId="4C7C5DFD" w14:textId="6D4CF599" w:rsidR="00C26F5C" w:rsidRPr="003E0254" w:rsidRDefault="00C26F5C" w:rsidP="00C26F5C">
            <w:pPr>
              <w:spacing w:line="276" w:lineRule="auto"/>
              <w:rPr>
                <w:bCs/>
                <w:sz w:val="20"/>
                <w:szCs w:val="20"/>
                <w:u w:val="single"/>
              </w:rPr>
            </w:pPr>
            <w:r w:rsidRPr="003E0254">
              <w:rPr>
                <w:bCs/>
                <w:sz w:val="20"/>
                <w:szCs w:val="20"/>
                <w:u w:val="single"/>
              </w:rPr>
              <w:t>Liquid</w:t>
            </w:r>
            <w:r w:rsidRPr="003E0254">
              <w:rPr>
                <w:bCs/>
                <w:sz w:val="20"/>
                <w:szCs w:val="20"/>
                <w:u w:val="single"/>
              </w:rPr>
              <w:fldChar w:fldCharType="begin" w:fldLock="1"/>
            </w:r>
            <w:r w:rsidR="00500B8D" w:rsidRPr="003E0254">
              <w:rPr>
                <w:bCs/>
                <w:sz w:val="20"/>
                <w:szCs w:val="20"/>
                <w:u w:val="single"/>
              </w:rPr>
              <w:instrText xml:space="preserve">ADDIN CSL_CITATION {"citationItems":[{"id":"ITEM-1","itemData":{"DOI":"10.1021/ACSAMI.5B10024/ASSET/IMAGES/LARGE/AM-2015-10024S_0008.JPEG","ISSN":"19448252","abstract":"Through coupled experimental analysis and computational techniques, we uncover the origin of anodic stability for a range of nonaqueous zinc electrolytes. By examination of electrochemical, structural, and transport properties of nonaqueous zinc electrolytes with varying concentrations, it is demonstrated that the acetonitrile-Zn(TFSI)2, acetonitrile-Zn(CF3SO3)2, and propylene carbonate-Zn(TFSI)2 electrolytes can not only support highly reversible Zn deposition behavior on a Zn metal anode (≥99% of Coulombic efficiency) but also provide high anodic stability (up to </w:instrText>
            </w:r>
            <w:r w:rsidR="00500B8D" w:rsidRPr="003E0254">
              <w:rPr>
                <w:rFonts w:ascii="Cambria Math" w:hAnsi="Cambria Math" w:cs="Cambria Math"/>
                <w:bCs/>
                <w:sz w:val="20"/>
                <w:szCs w:val="20"/>
                <w:u w:val="single"/>
              </w:rPr>
              <w:instrText>∼</w:instrText>
            </w:r>
            <w:r w:rsidR="00500B8D" w:rsidRPr="003E0254">
              <w:rPr>
                <w:bCs/>
                <w:sz w:val="20"/>
                <w:szCs w:val="20"/>
                <w:u w:val="single"/>
              </w:rPr>
              <w:instrText>3.8 V vs Zn/Zn2+). The predicted anodic stability from DFT calculations is well in accordance with experimental results, and elucidates that the solvents play an important role in anodic stability of most electrolytes. Molecular dynamics (MD) simulations were used to understand the solvation structure (e.g., ion solvation and ionic association) and its effect on dynamics and transport properties (e.g., diffusion coefficient and ionic conductivity) of the electrolytes. The combination of these techniques provides unprecedented insight into the origin of the electrochemical, structural, and transport properties in nonaqueous zinc electrolytes.","author":[{"dropping-particle":"","family":"Han","given":"Sang Don","non-dropping-particle":"","parse-names":false,"suffix":""},{"dropping-particle":"","family":"Rajput","given":"Nav Nidhi","non-dropping-particle":"","parse-names":false,"suffix":""},{"dropping-particle":"","family":"Qu","given":"Xiaohui","non-dropping-particle":"","parse-names":false,"suffix":""},{"dropping-particle":"","family":"Pan","given":"Baofei","non-dropping-particle":"","parse-names":false,"suffix":""},{"dropping-particle":"","family":"He","given":"Meinan","non-dropping-particle":"","parse-names":false,"suffix":""},{"dropping-particle":"","family":"Ferrandon","given":"Magali S.","non-dropping-particle":"","parse-names":false,"suffix":""},{"dropping-particle":"","family":"Liao","given":"Chen","non-dropping-particle":"","parse-names":false,"suffix":""},{"dropping-particle":"","family":"Persson","given":"Kristin A.","non-dropping-particle":"","parse-names":false,"suffix":""},{"dropping-particle":"","family":"Burrell","given":"Anthony K.","non-dropping-particle":"","parse-names":false,"suffix":""}],"container-title":"ACS Applied Materials and Interfaces","id":"ITEM-1","issue":"5","issued":{"date-parts":[["2016","2","17"]]},"page":"3021-3031","publisher":"American Chemical Society","title":"Origin of Electrochemical, Structural, and Transport Properties in Nonaqueous Zinc Electrolytes","type":"article-journal","volume":"8"},"uris":["http://www.mendeley.com/documents/?uuid=7db7635c-ad00-3d5a-9799-3eda66cb6d08"]}],"mendeley":{"formattedCitation":"&lt;sup&gt;[115]&lt;/sup&gt;","plainTextFormattedCitation":"[115]","previouslyFormattedCitation":"&lt;sup&gt;[114]&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[115]</w:t>
            </w:r>
            <w:r w:rsidRPr="003E0254">
              <w:rPr>
                <w:bCs/>
                <w:sz w:val="20"/>
                <w:szCs w:val="20"/>
                <w:u w:val="single"/>
              </w:rPr>
              <w:fldChar w:fldCharType="end"/>
            </w:r>
          </w:p>
          <w:p w14:paraId="48923FA3" w14:textId="7539C189" w:rsidR="00C26F5C" w:rsidRPr="003E0254" w:rsidRDefault="00C26F5C" w:rsidP="00C26F5C">
            <w:pPr>
              <w:spacing w:line="276" w:lineRule="auto"/>
              <w:rPr>
                <w:bCs/>
                <w:sz w:val="20"/>
                <w:szCs w:val="20"/>
              </w:rPr>
            </w:pPr>
          </w:p>
        </w:tc>
        <w:tc>
          <w:tcPr>
            <w:tcW w:w="768" w:type="pct"/>
            <w:vMerge/>
            <w:tcBorders>
              <w:right w:val="single" w:sz="12" w:space="0" w:color="auto"/>
            </w:tcBorders>
            <w:shd w:val="clear" w:color="auto" w:fill="F1A983" w:themeFill="accent2" w:themeFillTint="99"/>
          </w:tcPr>
          <w:p w14:paraId="2DA018E6" w14:textId="77777777" w:rsidR="00C26F5C" w:rsidRPr="003E0254" w:rsidRDefault="00C26F5C" w:rsidP="00C26F5C">
            <w:pPr>
              <w:spacing w:line="276" w:lineRule="auto"/>
              <w:rPr>
                <w:bCs/>
                <w:sz w:val="20"/>
                <w:szCs w:val="20"/>
                <w:u w:val="single"/>
              </w:rPr>
            </w:pPr>
          </w:p>
        </w:tc>
        <w:tc>
          <w:tcPr>
            <w:tcW w:w="713" w:type="pct"/>
            <w:tcBorders>
              <w:left w:val="single" w:sz="12" w:space="0" w:color="auto"/>
            </w:tcBorders>
            <w:shd w:val="clear" w:color="auto" w:fill="F1A983" w:themeFill="accent2" w:themeFillTint="99"/>
          </w:tcPr>
          <w:p w14:paraId="71E7EA5F" w14:textId="77777777" w:rsidR="00C26F5C" w:rsidRPr="003E0254" w:rsidRDefault="00C26F5C" w:rsidP="00C26F5C">
            <w:pPr>
              <w:spacing w:line="276" w:lineRule="auto"/>
              <w:rPr>
                <w:bCs/>
                <w:sz w:val="20"/>
                <w:szCs w:val="20"/>
                <w:u w:val="single"/>
              </w:rPr>
            </w:pPr>
          </w:p>
        </w:tc>
        <w:tc>
          <w:tcPr>
            <w:tcW w:w="712" w:type="pct"/>
            <w:tcBorders>
              <w:right w:val="single" w:sz="12" w:space="0" w:color="auto"/>
            </w:tcBorders>
            <w:shd w:val="clear" w:color="auto" w:fill="F1A983" w:themeFill="accent2" w:themeFillTint="99"/>
          </w:tcPr>
          <w:p w14:paraId="69172EE7" w14:textId="77777777" w:rsidR="00C26F5C" w:rsidRPr="003E0254" w:rsidRDefault="00C26F5C" w:rsidP="00C26F5C">
            <w:pPr>
              <w:spacing w:line="276" w:lineRule="auto"/>
              <w:rPr>
                <w:bCs/>
                <w:sz w:val="20"/>
                <w:szCs w:val="20"/>
                <w:u w:val="single"/>
              </w:rPr>
            </w:pPr>
          </w:p>
        </w:tc>
        <w:tc>
          <w:tcPr>
            <w:tcW w:w="704" w:type="pct"/>
            <w:tcBorders>
              <w:left w:val="single" w:sz="12" w:space="0" w:color="auto"/>
            </w:tcBorders>
            <w:shd w:val="clear" w:color="auto" w:fill="F1A983" w:themeFill="accent2" w:themeFillTint="99"/>
          </w:tcPr>
          <w:p w14:paraId="396F3F71" w14:textId="1D72D775" w:rsidR="00C26F5C" w:rsidRPr="003E0254" w:rsidRDefault="00C26F5C" w:rsidP="00C26F5C">
            <w:pPr>
              <w:spacing w:line="276" w:lineRule="auto"/>
              <w:rPr>
                <w:bCs/>
                <w:sz w:val="20"/>
                <w:szCs w:val="20"/>
                <w:u w:val="single"/>
              </w:rPr>
            </w:pPr>
            <w:r w:rsidRPr="003E0254">
              <w:rPr>
                <w:bCs/>
                <w:sz w:val="20"/>
                <w:szCs w:val="20"/>
                <w:u w:val="single"/>
              </w:rPr>
              <w:t>Vanadium Oxides</w:t>
            </w:r>
            <w:r w:rsidRPr="003E0254">
              <w:rPr>
                <w:bCs/>
                <w:sz w:val="20"/>
                <w:szCs w:val="20"/>
                <w:u w:val="single"/>
              </w:rPr>
              <w:fldChar w:fldCharType="begin" w:fldLock="1"/>
            </w:r>
            <w:r w:rsidR="00500B8D" w:rsidRPr="003E0254">
              <w:rPr>
                <w:bCs/>
                <w:sz w:val="20"/>
                <w:szCs w:val="20"/>
                <w:u w:val="single"/>
              </w:rPr>
              <w:instrText>ADDIN CSL_CITATION {"citationItems":[{"id":"ITEM-1","itemData":{"DOI":"10.1016/J.CEJ.2024.158827","ISSN":"1385-8947","abstract":"Due to high safety and low-cost, aqueous Zn-ion batteries (ZIBs) are expected to be a promising next-generation energy storage technology. Exploiting high capacity and stable cathode materials are extremely important for the development of aqueous ZIBs. However, commercial V2O5 despite its high theoretical specific capacity, suffers from structural instability during charging and discharging, and strong electrostatic forces seriously limit the diffusion of Zn2+. Herein, a novel dynamic transport mechanism of Zn2+ is designed by intercalating organic cations (C8H15N2+) from ionic liquids into the interlayers of V2O5. The electrostatic interaction between the C8H15N2+ and the V-O layers enhance the structure stability of the layers and increase the interlayer spacing. Meanwhile, the C8H15N2+ between the V-O layers reduce the diffusion energy barrier of Zn2+ and enable the rapid dynamically transport of Zn2+. The diffusion coefficient is enhanced by an order of magnitude. The optimized V2O5 cathode exhibits a high capacity of 268 mA h/g at 100 mA/g and excellent cycling stability (over 500 cycles at 200 mA/g with nearly 100 % coulombic efficiency). The home-made pouch cells deliver a high energy density of 310 W h kg−1. This interesting idea opens up a new research direction for high-energy secondary batteries.","author":[{"dropping-particle":"","family":"Su","given":"Wenzhe","non-dropping-particle":"","parse-names":false,"suffix":""},{"dropping-particle":"","family":"Chen","given":"Zanyu","non-dropping-particle":"","parse-names":false,"suffix":""},{"dropping-particle":"","family":"Wang","given":"Xingkai","non-dropping-particle":"","parse-names":false,"suffix":""},{"dropping-particle":"","family":"Cui","given":"Peng","non-dropping-particle":"","parse-names":false,"suffix":""},{"dropping-particle":"","family":"Yao","given":"Minjie","non-dropping-particle":"","parse-names":false,"suffix":""},{"dropping-particle":"","family":"Sun","given":"Hui","non-dropping-particle":"","parse-names":false,"suffix":""},{"dropping-particle":"","family":"Zhang","given":"Hong","non-dropping-particle":"","parse-names":false,"suffix":""},{"dropping-particle":"","family":"Deng","given":"Yida","non-dropping-particle":"","parse-names":false,"suffix":""},{"dropping-particle":"","family":"Han","given":"Xiaopeng","non-dropping-particle":"","parse-names":false,"suffix":""},{"dropping-particle":"","family":"Hu","given":"Wenbin","non-dropping-particle":"","parse-names":false,"suffix":""}],"container-title":"Chemical Engineering Journal","id":"ITEM-1","issued":{"date-parts":[["2025","1","15"]]},"page":"158827","publisher":"Elsevier","title":"Dynamic transport of Zn2+ in ionic liquid intercalated V2O5 cathode for high-performance aqueous Zn-ion batteries","type":"article-journal","volume":"504"},"uris":["http://www.mendeley.com/documents/?uuid=1e5f6ed3-ffe4-3d82-8503-8855f4b3e282"]}],"mendeley":{"formattedCitation":"&lt;sup&gt;[116]&lt;/sup&gt;","plainTextFormattedCitation":"[116]","previouslyFormattedCitation":"&lt;sup&gt;[115]&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[116]</w:t>
            </w:r>
            <w:r w:rsidRPr="003E0254">
              <w:rPr>
                <w:bCs/>
                <w:sz w:val="20"/>
                <w:szCs w:val="20"/>
                <w:u w:val="single"/>
              </w:rPr>
              <w:fldChar w:fldCharType="end"/>
            </w:r>
          </w:p>
          <w:p w14:paraId="7BE19EA0" w14:textId="155A0467" w:rsidR="00C26F5C" w:rsidRPr="003E0254" w:rsidRDefault="00C26F5C" w:rsidP="00C26F5C">
            <w:pPr>
              <w:spacing w:line="276" w:lineRule="auto"/>
              <w:rPr>
                <w:bCs/>
                <w:sz w:val="20"/>
                <w:szCs w:val="20"/>
                <w:u w:val="single"/>
              </w:rPr>
            </w:pPr>
          </w:p>
        </w:tc>
        <w:tc>
          <w:tcPr>
            <w:tcW w:w="848" w:type="pct"/>
            <w:tcBorders>
              <w:right w:val="single" w:sz="12" w:space="0" w:color="auto"/>
            </w:tcBorders>
            <w:shd w:val="clear" w:color="auto" w:fill="F1A983" w:themeFill="accent2" w:themeFillTint="99"/>
          </w:tcPr>
          <w:p w14:paraId="198F5265" w14:textId="77777777" w:rsidR="00C26F5C" w:rsidRPr="003E0254" w:rsidRDefault="00C26F5C" w:rsidP="00C26F5C">
            <w:pPr>
              <w:spacing w:line="276" w:lineRule="auto"/>
              <w:rPr>
                <w:bCs/>
                <w:sz w:val="20"/>
                <w:szCs w:val="20"/>
                <w:u w:val="single"/>
              </w:rPr>
            </w:pPr>
          </w:p>
        </w:tc>
      </w:tr>
      <w:tr w:rsidR="00C26F5C" w:rsidRPr="003E0254" w14:paraId="35244221" w14:textId="77777777" w:rsidTr="00B411DE">
        <w:trPr>
          <w:trHeight w:val="253"/>
        </w:trPr>
        <w:tc>
          <w:tcPr>
            <w:tcW w:w="509" w:type="pct"/>
            <w:vMerge/>
            <w:tcBorders>
              <w:left w:val="single" w:sz="12" w:space="0" w:color="auto"/>
              <w:right w:val="single" w:sz="12" w:space="0" w:color="auto"/>
            </w:tcBorders>
            <w:shd w:val="clear" w:color="auto" w:fill="F1A983" w:themeFill="accent2" w:themeFillTint="99"/>
            <w:vAlign w:val="center"/>
          </w:tcPr>
          <w:p w14:paraId="250B2309" w14:textId="77777777" w:rsidR="00C26F5C" w:rsidRPr="003E0254" w:rsidRDefault="00C26F5C" w:rsidP="00C26F5C">
            <w:pPr>
              <w:spacing w:line="276" w:lineRule="auto"/>
              <w:jc w:val="center"/>
              <w:rPr>
                <w:b/>
                <w:bCs/>
                <w:u w:val="single"/>
              </w:rPr>
            </w:pPr>
          </w:p>
        </w:tc>
        <w:tc>
          <w:tcPr>
            <w:tcW w:w="746" w:type="pct"/>
            <w:vMerge w:val="restart"/>
            <w:tcBorders>
              <w:left w:val="single" w:sz="12" w:space="0" w:color="auto"/>
            </w:tcBorders>
            <w:shd w:val="clear" w:color="auto" w:fill="F1A983" w:themeFill="accent2" w:themeFillTint="99"/>
          </w:tcPr>
          <w:p w14:paraId="751394D8" w14:textId="2A06C069" w:rsidR="00C26F5C" w:rsidRPr="003E0254" w:rsidRDefault="00C26F5C" w:rsidP="00C26F5C">
            <w:pPr>
              <w:spacing w:line="276" w:lineRule="auto"/>
              <w:rPr>
                <w:bCs/>
                <w:sz w:val="20"/>
                <w:szCs w:val="20"/>
                <w:u w:val="single"/>
              </w:rPr>
            </w:pPr>
            <w:r w:rsidRPr="003E0254">
              <w:rPr>
                <w:bCs/>
                <w:sz w:val="20"/>
                <w:szCs w:val="20"/>
                <w:u w:val="single"/>
              </w:rPr>
              <w:t>Ionic liquids</w:t>
            </w:r>
            <w:r w:rsidRPr="003E0254">
              <w:rPr>
                <w:bCs/>
                <w:sz w:val="20"/>
                <w:szCs w:val="20"/>
                <w:u w:val="single"/>
              </w:rPr>
              <w:fldChar w:fldCharType="begin" w:fldLock="1"/>
            </w:r>
            <w:r w:rsidR="00500B8D" w:rsidRPr="003E0254">
              <w:rPr>
                <w:bCs/>
                <w:sz w:val="20"/>
                <w:szCs w:val="20"/>
                <w:u w:val="single"/>
              </w:rPr>
              <w:instrText>ADDIN CSL_CITATION {"citationItems":[{"id":"ITEM-1","itemData":{"DOI":"10.1039/D2RA00298A","ISSN":"2046-2069","abstract":"Triazolium-based ionic liquids (T1, T2 and T3) with or without terminal hydroxyl groups were prepared via Cu(I) catalysed azide–alkyne click chemistry and their properties were investigated using various technologies. The hydroxyl groups obviously affected their physicochemical properties, where with a decrease in the number of hydroxyl groups, their stability and conductivity were enhanced. T1, T2 and T3 showed relatively high thermal stability, and their electrochemical stability windows (ESWs) were 4.76, 4.11 and 3.52 V, respectively. T1S-20 was obtained via the addition of zinc trifluoromethanesulfonic acid (Zn(CF3SO3)2) and lithium bis(trifluoromethanesulfonyl)imide (LiTFSI) to T1, displaying conductivity and ESW values of 1.55 × 10−3 S cm−1 and 6.36 V at 30 °C, respectively. Subsequently, a Zn/Li3V2(PO4)3 battery was assembled using T1S-20 as the electrolyte and its performances at 30 °C and 80 °C were investigated. The battery showed a capacity of 81 mA h g−1 at 30 °C, and its capacity retention rate was 89% after 50 cycles. After increasing the temperature to 80 °C, its initial capacity increased to 111 mA h g−1 with a capacity retention rate of 93.6% after 100 cycles, which was much higher than that of the aqueous electrolyte (WS-20)-based zinc ion battery (71.8%). Simultaneously, the T1S-20 electrolyte-based battery exhibited a good charge/discharge efficiency, and its Coulomb efficiency was 99%. Consequently, the T1S-20 electrolyte displayed a better performance in the Zn/Li3V2(PO4)3 battery than that with the aqueous electrolyte, especially at high temperature.","author":[{"dropping-particle":"","family":"Li","given":"Xun","non-dropping-particle":"","parse-names":false,"suffix":""},{"dropping-particle":"","family":"Ning","given":"Fawen","non-dropping-particle":"","parse-names":false,"suffix":""},{"dropping-particle":"","family":"Luo","given":"Lin","non-dropping-particle":"","parse-names":false,"suffix":""},{"dropping-particle":"","family":"Wu","given":"Jianhua","non-dropping-particle":"","parse-names":false,"suffix":""},{"dropping-particle":"","family":"Xiang","given":"Yanhong","non-dropping-particle":"","parse-names":false,"suffix":""},{"dropping-particle":"","family":"Wu","given":"Xianwen","non-dropping-particle":"","parse-names":false,"suffix":""},{"dropping-particle":"","family":"Xiong","given":"Lizhi","non-dropping-particle":"","parse-names":false,"suffix":""},{"dropping-particle":"","family":"Peng","given":"Xiaochun","non-dropping-particle":"","parse-names":false,"suffix":""}],"container-title":"RSC Advances","id":"ITEM-1","issue":"14","issued":{"date-parts":[["2022","3","15"]]},"page":"8394-8403","publisher":"The Royal Society of Chemistry","title":"Initiating a high-temperature zinc ion battery through a triazolium-based ionic liquid","type":"article-journal","volume":"12"},"uris":["http://www.mendeley.com/documents/?uuid=c20e1e0c-06f7-32e0-90d5-2891d2b73c31"]},{"id":"ITEM-2","itemData":{"DOI":"10.1039/D3GC02916F","ISSN":"1463-9270","abstract":"Despite the enormous potential of zinc metal as an anode material for cost-competitive and safer power sources, the practical application of aqueous zinc batteries (AZIBs) has been plagued by uncontrollable detrimental side reactions and dendrite growth. To tackle these challenges, we propose a novel design strategy that focuses on balancing the hydrophobicity and zincophilicity of poly(ionic liquid) (PIL) solid–electrolyte interphases (SEIs). PILs with the same cation ([VBIm]+) but different anions (BF4−, TFO−, TFSI−) were polymerized on Zn electrodes to form artificial SEI layers with adjustable hydrophobicity. The hydrophobicity of the PIL SEIs leads to the formation of a uniform surface, which is beneficial for eliminating dendrites and inhibiting side reactions. As a result, the Zn</w:instrText>
            </w:r>
            <w:r w:rsidR="00500B8D" w:rsidRPr="003E0254">
              <w:rPr>
                <w:rFonts w:ascii="Arial" w:hAnsi="Arial" w:cs="Arial"/>
                <w:bCs/>
                <w:sz w:val="20"/>
                <w:szCs w:val="20"/>
                <w:u w:val="single"/>
              </w:rPr>
              <w:instrText>‖</w:instrText>
            </w:r>
            <w:r w:rsidR="00500B8D" w:rsidRPr="003E0254">
              <w:rPr>
                <w:bCs/>
                <w:sz w:val="20"/>
                <w:szCs w:val="20"/>
                <w:u w:val="single"/>
              </w:rPr>
              <w:instrText>[PVBIm][TFSI]@Ti cell exhibits a significantly improved coulombic efficiency of 99.61%. Nevertheless, it is important to note that the enhanced hydrophobicity, which contributes to benefits such as better coulombic efficiency, also introduces an inevitable risk of compromised zinc kinetics. To address this trade-off, a zwitterionic PIL, [PVIPS][Zn(TFSI)2], with a zincophilicity group (–SO3−) was proposed. This approach substantially improves the reversibility and long-term stability of Zn anodes, as evidenced by the outstanding capacity retention of the [PVIPS][Zn(TFSI)2]@Zn</w:instrText>
            </w:r>
            <w:r w:rsidR="00500B8D" w:rsidRPr="003E0254">
              <w:rPr>
                <w:rFonts w:ascii="Arial" w:hAnsi="Arial" w:cs="Arial"/>
                <w:bCs/>
                <w:sz w:val="20"/>
                <w:szCs w:val="20"/>
                <w:u w:val="single"/>
              </w:rPr>
              <w:instrText>‖</w:instrText>
            </w:r>
            <w:r w:rsidR="00500B8D" w:rsidRPr="003E0254">
              <w:rPr>
                <w:bCs/>
                <w:sz w:val="20"/>
                <w:szCs w:val="20"/>
                <w:u w:val="single"/>
              </w:rPr>
              <w:instrText>PANI full cell (81.32% after 2000 cycles) and 13 times longer life of symmetrical cells (over 1950 h at 1.0 mA cm−2/1.0 mA h cm−2) compared to bare Zn symmetrical cells.","author":[{"dropping-particle":"","family":"Zhang","given":"Xiao","non-dropping-particle":"","parse-names":false,"suffix":""},{"dropping-particle":"","family":"Su","given":"Long","non-dropping-particle":"","parse-names":false,"suffix":""},{"dropping-particle":"","family":"Lu","given":"Fei","non-dropping-particle":"","parse-names":false,"suffix":""},{"dropping-particle":"","family":"Tian","given":"Ye","non-dropping-particle":"","parse-names":false,"suffix":""},{"dropping-particle":"","family":"Xie","given":"Fengjin","non-dropping-particle":"","parse-names":false,"suffix":""},{"dropping-particle":"","family":"Liang","given":"Liping","non-dropping-particle":"","parse-names":false,"suffix":""},{"dropping-particle":"","family":"Zheng","given":"Liqiang","non-dropping-particle":"","parse-names":false,"suffix":""},{"dropping-particle":"","family":"Gao","given":"Xinpei","non-dropping-particle":"","parse-names":false,"suffix":""}],"container-title":"Green Chemistry","id":"ITEM-2","issue":"21","issued":{"date-parts":[["2023","10","30"]]},"page":"8759-8769","publisher":"The Royal Society of Chemistry","title":"Tailoring the hydrophobicity and zincophilicity of poly(ionic liquid) solid–electrolyte interphases for ultra-stable aqueous zinc batteries","type":"article-journal","volume":"25"},"uris":["http://www.mendeley.com/documents/?uuid=9b44027f-3608-3ee0-9927-a12a03ac0c3c"]}],"mendeley":{"formattedCitation":"&lt;sup&gt;[117,118]&lt;/sup&gt;","plainTextFormattedCitation":"[117,118]","previouslyFormattedCitation":"&lt;sup&gt;[116,117]&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[117,118]</w:t>
            </w:r>
            <w:r w:rsidRPr="003E0254">
              <w:rPr>
                <w:bCs/>
                <w:sz w:val="20"/>
                <w:szCs w:val="20"/>
                <w:u w:val="single"/>
              </w:rPr>
              <w:fldChar w:fldCharType="end"/>
            </w:r>
          </w:p>
        </w:tc>
        <w:tc>
          <w:tcPr>
            <w:tcW w:w="768" w:type="pct"/>
            <w:vMerge/>
            <w:tcBorders>
              <w:right w:val="single" w:sz="12" w:space="0" w:color="auto"/>
            </w:tcBorders>
            <w:shd w:val="clear" w:color="auto" w:fill="F1A983" w:themeFill="accent2" w:themeFillTint="99"/>
          </w:tcPr>
          <w:p w14:paraId="0B420D8B" w14:textId="77777777" w:rsidR="00C26F5C" w:rsidRPr="003E0254" w:rsidRDefault="00C26F5C" w:rsidP="00C26F5C">
            <w:pPr>
              <w:spacing w:line="276" w:lineRule="auto"/>
              <w:rPr>
                <w:bCs/>
                <w:sz w:val="20"/>
                <w:szCs w:val="20"/>
                <w:u w:val="single"/>
              </w:rPr>
            </w:pPr>
          </w:p>
        </w:tc>
        <w:tc>
          <w:tcPr>
            <w:tcW w:w="713" w:type="pct"/>
            <w:tcBorders>
              <w:left w:val="single" w:sz="12" w:space="0" w:color="auto"/>
            </w:tcBorders>
            <w:shd w:val="clear" w:color="auto" w:fill="F1A983" w:themeFill="accent2" w:themeFillTint="99"/>
          </w:tcPr>
          <w:p w14:paraId="000E56B5" w14:textId="77777777" w:rsidR="00C26F5C" w:rsidRPr="003E0254" w:rsidRDefault="00C26F5C" w:rsidP="00C26F5C">
            <w:pPr>
              <w:spacing w:line="276" w:lineRule="auto"/>
              <w:rPr>
                <w:bCs/>
                <w:sz w:val="20"/>
                <w:szCs w:val="20"/>
                <w:u w:val="single"/>
              </w:rPr>
            </w:pPr>
          </w:p>
        </w:tc>
        <w:tc>
          <w:tcPr>
            <w:tcW w:w="712" w:type="pct"/>
            <w:tcBorders>
              <w:right w:val="single" w:sz="12" w:space="0" w:color="auto"/>
            </w:tcBorders>
            <w:shd w:val="clear" w:color="auto" w:fill="F1A983" w:themeFill="accent2" w:themeFillTint="99"/>
          </w:tcPr>
          <w:p w14:paraId="4120FCA0" w14:textId="77777777" w:rsidR="00C26F5C" w:rsidRPr="003E0254" w:rsidRDefault="00C26F5C" w:rsidP="00C26F5C">
            <w:pPr>
              <w:spacing w:line="276" w:lineRule="auto"/>
              <w:rPr>
                <w:bCs/>
                <w:sz w:val="20"/>
                <w:szCs w:val="20"/>
                <w:u w:val="single"/>
              </w:rPr>
            </w:pPr>
          </w:p>
        </w:tc>
        <w:tc>
          <w:tcPr>
            <w:tcW w:w="704" w:type="pct"/>
            <w:tcBorders>
              <w:left w:val="single" w:sz="12" w:space="0" w:color="auto"/>
            </w:tcBorders>
            <w:shd w:val="clear" w:color="auto" w:fill="F1A983" w:themeFill="accent2" w:themeFillTint="99"/>
          </w:tcPr>
          <w:p w14:paraId="298859AC" w14:textId="51826E65" w:rsidR="00C26F5C" w:rsidRPr="003E0254" w:rsidRDefault="00C26F5C" w:rsidP="00C26F5C">
            <w:pPr>
              <w:spacing w:line="276" w:lineRule="auto"/>
              <w:rPr>
                <w:bCs/>
                <w:sz w:val="20"/>
                <w:szCs w:val="20"/>
                <w:u w:val="single"/>
              </w:rPr>
            </w:pPr>
            <w:r w:rsidRPr="003E0254">
              <w:rPr>
                <w:bCs/>
                <w:sz w:val="20"/>
                <w:szCs w:val="20"/>
                <w:u w:val="single"/>
              </w:rPr>
              <w:t>PBA:</w:t>
            </w:r>
            <w:r w:rsidRPr="003E0254">
              <w:rPr>
                <w:bCs/>
                <w:sz w:val="20"/>
                <w:szCs w:val="20"/>
                <w:u w:val="single"/>
              </w:rPr>
              <w:fldChar w:fldCharType="begin" w:fldLock="1"/>
            </w:r>
            <w:r w:rsidR="000F0B1D" w:rsidRPr="003E0254">
              <w:rPr>
                <w:bCs/>
                <w:sz w:val="20"/>
                <w:szCs w:val="20"/>
                <w:u w:val="single"/>
              </w:rPr>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Pr="003E0254">
              <w:rPr>
                <w:bCs/>
                <w:sz w:val="20"/>
                <w:szCs w:val="20"/>
                <w:u w:val="single"/>
              </w:rPr>
              <w:fldChar w:fldCharType="separate"/>
            </w:r>
            <w:r w:rsidR="000F0B1D" w:rsidRPr="003E0254">
              <w:rPr>
                <w:bCs/>
                <w:noProof/>
                <w:sz w:val="20"/>
                <w:szCs w:val="20"/>
                <w:vertAlign w:val="superscript"/>
              </w:rPr>
              <w:t>[43]</w:t>
            </w:r>
            <w:r w:rsidRPr="003E0254">
              <w:rPr>
                <w:bCs/>
                <w:sz w:val="20"/>
                <w:szCs w:val="20"/>
                <w:u w:val="single"/>
              </w:rPr>
              <w:fldChar w:fldCharType="end"/>
            </w:r>
          </w:p>
          <w:p w14:paraId="5FFAAA74" w14:textId="77777777" w:rsidR="00C26F5C" w:rsidRPr="003E0254" w:rsidRDefault="00C26F5C" w:rsidP="008462C9">
            <w:pPr>
              <w:spacing w:line="276" w:lineRule="auto"/>
              <w:rPr>
                <w:bCs/>
                <w:sz w:val="20"/>
                <w:szCs w:val="20"/>
                <w:u w:val="single"/>
              </w:rPr>
            </w:pPr>
          </w:p>
        </w:tc>
        <w:tc>
          <w:tcPr>
            <w:tcW w:w="848" w:type="pct"/>
            <w:tcBorders>
              <w:right w:val="single" w:sz="12" w:space="0" w:color="auto"/>
            </w:tcBorders>
            <w:shd w:val="clear" w:color="auto" w:fill="F1A983" w:themeFill="accent2" w:themeFillTint="99"/>
          </w:tcPr>
          <w:p w14:paraId="2E6A0A92" w14:textId="77777777" w:rsidR="00C26F5C" w:rsidRPr="003E0254" w:rsidRDefault="00C26F5C" w:rsidP="00C26F5C">
            <w:pPr>
              <w:spacing w:line="276" w:lineRule="auto"/>
              <w:rPr>
                <w:bCs/>
                <w:sz w:val="20"/>
                <w:szCs w:val="20"/>
                <w:u w:val="single"/>
              </w:rPr>
            </w:pPr>
          </w:p>
        </w:tc>
      </w:tr>
      <w:tr w:rsidR="00C26F5C" w:rsidRPr="003E0254" w14:paraId="17F3901B" w14:textId="77777777" w:rsidTr="00B411DE">
        <w:tc>
          <w:tcPr>
            <w:tcW w:w="509" w:type="pct"/>
            <w:vMerge/>
            <w:tcBorders>
              <w:left w:val="single" w:sz="12" w:space="0" w:color="auto"/>
              <w:bottom w:val="single" w:sz="12" w:space="0" w:color="auto"/>
              <w:right w:val="single" w:sz="12" w:space="0" w:color="auto"/>
            </w:tcBorders>
            <w:shd w:val="clear" w:color="auto" w:fill="F1A983" w:themeFill="accent2" w:themeFillTint="99"/>
            <w:vAlign w:val="center"/>
          </w:tcPr>
          <w:p w14:paraId="4B09C394" w14:textId="77777777" w:rsidR="00C26F5C" w:rsidRPr="003E0254" w:rsidRDefault="00C26F5C" w:rsidP="00C26F5C">
            <w:pPr>
              <w:spacing w:line="276" w:lineRule="auto"/>
              <w:jc w:val="center"/>
              <w:rPr>
                <w:b/>
                <w:bCs/>
                <w:u w:val="single"/>
              </w:rPr>
            </w:pPr>
          </w:p>
        </w:tc>
        <w:tc>
          <w:tcPr>
            <w:tcW w:w="746" w:type="pct"/>
            <w:vMerge/>
            <w:tcBorders>
              <w:left w:val="single" w:sz="12" w:space="0" w:color="auto"/>
              <w:bottom w:val="single" w:sz="12" w:space="0" w:color="auto"/>
            </w:tcBorders>
            <w:shd w:val="clear" w:color="auto" w:fill="D9F2D0" w:themeFill="accent6" w:themeFillTint="33"/>
          </w:tcPr>
          <w:p w14:paraId="50A0EB91" w14:textId="77777777" w:rsidR="00C26F5C" w:rsidRPr="003E0254" w:rsidRDefault="00C26F5C" w:rsidP="00C26F5C">
            <w:pPr>
              <w:spacing w:line="276" w:lineRule="auto"/>
              <w:rPr>
                <w:bCs/>
                <w:sz w:val="20"/>
                <w:szCs w:val="20"/>
                <w:u w:val="single"/>
              </w:rPr>
            </w:pPr>
          </w:p>
        </w:tc>
        <w:tc>
          <w:tcPr>
            <w:tcW w:w="768" w:type="pct"/>
            <w:vMerge/>
            <w:tcBorders>
              <w:bottom w:val="single" w:sz="12" w:space="0" w:color="auto"/>
              <w:right w:val="single" w:sz="12" w:space="0" w:color="auto"/>
            </w:tcBorders>
            <w:shd w:val="clear" w:color="auto" w:fill="F1A983" w:themeFill="accent2" w:themeFillTint="99"/>
          </w:tcPr>
          <w:p w14:paraId="4879FB9B" w14:textId="77777777" w:rsidR="00C26F5C" w:rsidRPr="003E0254" w:rsidRDefault="00C26F5C" w:rsidP="00C26F5C">
            <w:pPr>
              <w:spacing w:line="276" w:lineRule="auto"/>
              <w:rPr>
                <w:bCs/>
                <w:sz w:val="20"/>
                <w:szCs w:val="20"/>
                <w:u w:val="single"/>
              </w:rPr>
            </w:pPr>
          </w:p>
        </w:tc>
        <w:tc>
          <w:tcPr>
            <w:tcW w:w="713" w:type="pct"/>
            <w:tcBorders>
              <w:left w:val="single" w:sz="12" w:space="0" w:color="auto"/>
              <w:bottom w:val="single" w:sz="12" w:space="0" w:color="auto"/>
            </w:tcBorders>
            <w:shd w:val="clear" w:color="auto" w:fill="F1A983" w:themeFill="accent2" w:themeFillTint="99"/>
          </w:tcPr>
          <w:p w14:paraId="0AB652A9" w14:textId="77777777" w:rsidR="00C26F5C" w:rsidRPr="003E0254" w:rsidRDefault="00C26F5C" w:rsidP="00C26F5C">
            <w:pPr>
              <w:spacing w:line="276" w:lineRule="auto"/>
              <w:rPr>
                <w:bCs/>
                <w:sz w:val="20"/>
                <w:szCs w:val="20"/>
                <w:u w:val="single"/>
              </w:rPr>
            </w:pPr>
          </w:p>
        </w:tc>
        <w:tc>
          <w:tcPr>
            <w:tcW w:w="712" w:type="pct"/>
            <w:tcBorders>
              <w:bottom w:val="single" w:sz="12" w:space="0" w:color="auto"/>
              <w:right w:val="single" w:sz="12" w:space="0" w:color="auto"/>
            </w:tcBorders>
            <w:shd w:val="clear" w:color="auto" w:fill="F1A983" w:themeFill="accent2" w:themeFillTint="99"/>
          </w:tcPr>
          <w:p w14:paraId="0F8DDFB6" w14:textId="77777777" w:rsidR="00C26F5C" w:rsidRPr="003E0254" w:rsidRDefault="00C26F5C" w:rsidP="00C26F5C">
            <w:pPr>
              <w:spacing w:line="276" w:lineRule="auto"/>
              <w:rPr>
                <w:bCs/>
                <w:sz w:val="20"/>
                <w:szCs w:val="20"/>
                <w:u w:val="single"/>
              </w:rPr>
            </w:pPr>
          </w:p>
        </w:tc>
        <w:tc>
          <w:tcPr>
            <w:tcW w:w="704" w:type="pct"/>
            <w:tcBorders>
              <w:left w:val="single" w:sz="12" w:space="0" w:color="auto"/>
              <w:bottom w:val="single" w:sz="12" w:space="0" w:color="auto"/>
            </w:tcBorders>
            <w:shd w:val="clear" w:color="auto" w:fill="F1A983" w:themeFill="accent2" w:themeFillTint="99"/>
          </w:tcPr>
          <w:p w14:paraId="50CBF314" w14:textId="1B5365FC" w:rsidR="00C26F5C" w:rsidRPr="003E0254" w:rsidRDefault="00C26F5C" w:rsidP="00C26F5C">
            <w:pPr>
              <w:spacing w:line="276" w:lineRule="auto"/>
              <w:rPr>
                <w:bCs/>
                <w:sz w:val="20"/>
                <w:szCs w:val="20"/>
                <w:u w:val="single"/>
              </w:rPr>
            </w:pPr>
            <w:proofErr w:type="spellStart"/>
            <w:r w:rsidRPr="003E0254">
              <w:rPr>
                <w:bCs/>
                <w:sz w:val="20"/>
                <w:szCs w:val="20"/>
                <w:u w:val="single"/>
              </w:rPr>
              <w:t>Spinels</w:t>
            </w:r>
            <w:proofErr w:type="spellEnd"/>
            <w:r w:rsidRPr="003E0254">
              <w:rPr>
                <w:bCs/>
                <w:sz w:val="20"/>
                <w:szCs w:val="20"/>
                <w:u w:val="single"/>
              </w:rPr>
              <w:fldChar w:fldCharType="begin" w:fldLock="1"/>
            </w:r>
            <w:r w:rsidR="00500B8D" w:rsidRPr="003E0254">
              <w:rPr>
                <w:bCs/>
                <w:sz w:val="20"/>
                <w:szCs w:val="20"/>
                <w:u w:val="single"/>
              </w:rPr>
              <w:instrText>ADDIN CSL_CITATION {"citationItems":[{"id":"ITEM-1","itemData":{"DOI":"10.1039/D4YA00134F","ISSN":"2753-1457","abstract":"In this work, the suitability of the spinel material ZnFe2O4, which has already been widely investigated in the context of its magnetic and photocatalytic properties, for use as active material for the cathode side in zinc ion batteries is presented. In addition to pure ZnFe2O4, part of the Fe3+ was doped with Ti4+ to achieve stabilization of Zn vacancies in the material and increase ionic conductivity as indicated by previous modelling results. Ceramic samples with the composition ZnFe2−xTixO4 (x = 0 to 0.25) were prepared via a Pechini synthesis route and investigated regarding their optical, structural and electrochemical characteristics. It has been successfully demonstrated that both pure and Ti doped ZnFe2O4 can be used as active material in the positive electrodes of zinc metal batteries or in an “anode-free” setup with Sn metal. Cells with calcined ZnFe2xTixO4 (x = 0.09)|0.5 M zinc triflate in acetonitrile|Zn showed a stable cycling behavior over 1000 cycles and an average initial specific capacity of 55 mA h g−1.","author":[{"dropping-particle":"","family":"Krämer","given":"S.","non-dropping-particle":"","parse-names":false,"suffix":""},{"dropping-particle":"","family":"Hopster","given":"J.","non-dropping-particle":"","parse-names":false,"suffix":""},{"dropping-particle":"","family":"Windmüller","given":"A.","non-dropping-particle":"","parse-names":false,"suffix":""},{"dropping-particle":"","family":"Eichel","given":"R. A.","non-dropping-particle":"","parse-names":false,"suffix":""},{"dropping-particle":"","family":"Grünebaum","given":"M.","non-dropping-particle":"","parse-names":false,"suffix":""},{"dropping-particle":"","family":"Jüstel","given":"T.","non-dropping-particle":"","parse-names":false,"suffix":""},{"dropping-particle":"","family":"Winter","given":"M.","non-dropping-particle":"","parse-names":false,"suffix":""},{"dropping-particle":"","family":"Neuhaus","given":"K.","non-dropping-particle":"","parse-names":false,"suffix":""}],"container-title":"Energy Advances","id":"ITEM-1","issue":"9","issued":{"date-parts":[["2024","9","12"]]},"page":"2175-2185","publisher":"RSC","title":"Teaching an old dog new tricks: Ti-doped ZnFe2O4 as active material in zinc ion batteries – a proof of concept","type":"article-journal","volume":"3"},"uris":["http://www.mendeley.com/documents/?uuid=7c899041-0ed3-34b3-87f9-8a48f746af94"]}],"mendeley":{"formattedCitation":"&lt;sup&gt;[119]&lt;/sup&gt;","plainTextFormattedCitation":"[119]","previouslyFormattedCitation":"&lt;sup&gt;[118]&lt;/sup&gt;"},"properties":{"noteIndex":0},"schema":"https://github.com/citation-style-language/schema/raw/master/csl-citation.json"}</w:instrText>
            </w:r>
            <w:r w:rsidRPr="003E0254">
              <w:rPr>
                <w:bCs/>
                <w:sz w:val="20"/>
                <w:szCs w:val="20"/>
                <w:u w:val="single"/>
              </w:rPr>
              <w:fldChar w:fldCharType="separate"/>
            </w:r>
            <w:r w:rsidR="00500B8D" w:rsidRPr="003E0254">
              <w:rPr>
                <w:bCs/>
                <w:noProof/>
                <w:sz w:val="20"/>
                <w:szCs w:val="20"/>
                <w:vertAlign w:val="superscript"/>
              </w:rPr>
              <w:t>[119]</w:t>
            </w:r>
            <w:r w:rsidRPr="003E0254">
              <w:rPr>
                <w:bCs/>
                <w:sz w:val="20"/>
                <w:szCs w:val="20"/>
                <w:u w:val="single"/>
              </w:rPr>
              <w:fldChar w:fldCharType="end"/>
            </w:r>
          </w:p>
        </w:tc>
        <w:tc>
          <w:tcPr>
            <w:tcW w:w="848" w:type="pct"/>
            <w:tcBorders>
              <w:bottom w:val="single" w:sz="12" w:space="0" w:color="auto"/>
              <w:right w:val="single" w:sz="12" w:space="0" w:color="auto"/>
            </w:tcBorders>
            <w:shd w:val="clear" w:color="auto" w:fill="F1A983" w:themeFill="accent2" w:themeFillTint="99"/>
          </w:tcPr>
          <w:p w14:paraId="3B391551" w14:textId="77777777" w:rsidR="00C26F5C" w:rsidRPr="003E0254" w:rsidRDefault="00C26F5C" w:rsidP="00C26F5C">
            <w:pPr>
              <w:spacing w:line="276" w:lineRule="auto"/>
              <w:rPr>
                <w:bCs/>
                <w:sz w:val="20"/>
                <w:szCs w:val="20"/>
                <w:u w:val="single"/>
              </w:rPr>
            </w:pPr>
          </w:p>
        </w:tc>
      </w:tr>
      <w:tr w:rsidR="00C26F5C" w:rsidRPr="003E0254" w14:paraId="5779DCC5" w14:textId="77777777" w:rsidTr="00B411DE">
        <w:tc>
          <w:tcPr>
            <w:tcW w:w="509" w:type="pct"/>
            <w:tcBorders>
              <w:top w:val="single" w:sz="12" w:space="0" w:color="auto"/>
              <w:left w:val="single" w:sz="12" w:space="0" w:color="auto"/>
              <w:bottom w:val="single" w:sz="12" w:space="0" w:color="auto"/>
              <w:right w:val="single" w:sz="12" w:space="0" w:color="auto"/>
            </w:tcBorders>
            <w:shd w:val="clear" w:color="auto" w:fill="D9F2D0" w:themeFill="accent6" w:themeFillTint="33"/>
            <w:vAlign w:val="center"/>
          </w:tcPr>
          <w:p w14:paraId="75EC20D1" w14:textId="03B9E8D8" w:rsidR="00C26F5C" w:rsidRPr="003E0254" w:rsidRDefault="00C26F5C" w:rsidP="00C26F5C">
            <w:pPr>
              <w:spacing w:line="276" w:lineRule="auto"/>
              <w:jc w:val="center"/>
              <w:rPr>
                <w:b/>
                <w:bCs/>
                <w:sz w:val="20"/>
                <w:szCs w:val="20"/>
                <w:u w:val="single"/>
              </w:rPr>
            </w:pPr>
            <w:r w:rsidRPr="003E0254">
              <w:rPr>
                <w:b/>
                <w:bCs/>
                <w:sz w:val="20"/>
                <w:szCs w:val="20"/>
                <w:u w:val="single"/>
              </w:rPr>
              <w:t>Solid</w:t>
            </w:r>
          </w:p>
        </w:tc>
        <w:tc>
          <w:tcPr>
            <w:tcW w:w="1514" w:type="pct"/>
            <w:gridSpan w:val="2"/>
            <w:tcBorders>
              <w:top w:val="single" w:sz="12" w:space="0" w:color="auto"/>
              <w:left w:val="single" w:sz="12" w:space="0" w:color="auto"/>
              <w:bottom w:val="single" w:sz="12" w:space="0" w:color="auto"/>
              <w:right w:val="single" w:sz="12" w:space="0" w:color="auto"/>
            </w:tcBorders>
            <w:shd w:val="clear" w:color="auto" w:fill="D9F2D0" w:themeFill="accent6" w:themeFillTint="33"/>
          </w:tcPr>
          <w:p w14:paraId="7EB3D6ED" w14:textId="033225C9" w:rsidR="00C26F5C" w:rsidRPr="003E0254" w:rsidRDefault="008462C9" w:rsidP="00C26F5C">
            <w:pPr>
              <w:spacing w:line="276" w:lineRule="auto"/>
              <w:rPr>
                <w:bCs/>
                <w:i/>
                <w:iCs/>
                <w:sz w:val="20"/>
                <w:szCs w:val="20"/>
              </w:rPr>
            </w:pPr>
            <w:r w:rsidRPr="003E0254">
              <w:rPr>
                <w:bCs/>
                <w:sz w:val="20"/>
                <w:szCs w:val="20"/>
              </w:rPr>
              <w:t>Crystalline</w:t>
            </w:r>
            <w:r w:rsidR="00C26F5C" w:rsidRPr="003E0254">
              <w:rPr>
                <w:bCs/>
                <w:sz w:val="20"/>
                <w:szCs w:val="20"/>
              </w:rPr>
              <w:fldChar w:fldCharType="begin" w:fldLock="1"/>
            </w:r>
            <w:r w:rsidR="00500B8D" w:rsidRPr="003E0254">
              <w:rPr>
                <w:bCs/>
                <w:sz w:val="20"/>
                <w:szCs w:val="20"/>
              </w:rPr>
              <w:instrText>ADDIN CSL_CITATION {"citationItems":[{"id":"ITEM-1","itemData":{"DOI":"10.1126/SCIADV.ADE2217/SUPPL_FILE/SCIADV.ADE2217_SM.PDF","ISSN":"23752548","PMID":"36706189","abstract":"A solid-state zinc-ion battery can fundamentally eliminate dendrite formation and hydrogen evolution on the zinc anode from aqueous systems. However, enabling fast zinc ion + conduction in solid crystals is thought to be impossible. Here, we demonstrated a fluorine-doping approach to achieving fast Zn2+ transport in mesoporous ZnyS1−xFx. The substitutional doping of fluoride ion with sulfide substantially reduces Zn2+ migration barrier in a crystalline phase, while mesopore channels with bounded dimethylformamide enable nondestructive Zn2+ conduction along inner pore surface. This mesoporous conductor features a high room-temperature Zn2+ conductivity (0.66 millisiemens per centimeter, compared with 0.01 to 1 millisiemens per centimeter for lithium solid-state electrolyte) with a superior cycling performance (89.5% capacity retention over 5000 cycles) in a solid zinc-ion battery and energy density (0.04 watt-hour per cubic centimeter) in a solid zinc-ion capacitor. The universality of this crystal engineering approach was also verified in other mesoporous zinc chalcogenide materials, which implies various types of potential Zn2+-conducting solid electrolytes.","author":[{"dropping-particle":"","family":"Zhi","given":"Jian","non-dropping-particle":"","parse-names":false,"suffix":""},{"dropping-particle":"","family":"Zhao","given":"Siwei","non-dropping-particle":"","parse-names":false,"suffix":""},{"dropping-particle":"","family":"Zhou","given":"Min","non-dropping-particle":"","parse-names":false,"suffix":""},{"dropping-particle":"","family":"Wang","given":"Ruiqi","non-dropping-particle":"","parse-names":false,"suffix":""},{"dropping-particle":"","family":"Huang","given":"Fuqiang","non-dropping-particle":"","parse-names":false,"suffix":""}],"container-title":"Science Advances","id":"ITEM-1","issue":"4","issued":{"date-parts":[["2023","1","27"]]},"publisher":"American Association for the Advancement of Science","title":"A zinc-conducting chalcogenide electrolyte","type":"article-journal","volume":"9"},"uris":["http://www.mendeley.com/documents/?uuid=64362b64-eb7d-3835-933e-c8f5e569bb82"]}],"mendeley":{"formattedCitation":"&lt;sup&gt;[120]&lt;/sup&gt;","plainTextFormattedCitation":"[120]","previouslyFormattedCitation":"&lt;sup&gt;[119]&lt;/sup&gt;"},"properties":{"noteIndex":0},"schema":"https://github.com/citation-style-language/schema/raw/master/csl-citation.json"}</w:instrText>
            </w:r>
            <w:r w:rsidR="00C26F5C" w:rsidRPr="003E0254">
              <w:rPr>
                <w:bCs/>
                <w:sz w:val="20"/>
                <w:szCs w:val="20"/>
              </w:rPr>
              <w:fldChar w:fldCharType="separate"/>
            </w:r>
            <w:r w:rsidR="00500B8D" w:rsidRPr="003E0254">
              <w:rPr>
                <w:bCs/>
                <w:noProof/>
                <w:sz w:val="20"/>
                <w:szCs w:val="20"/>
                <w:vertAlign w:val="superscript"/>
              </w:rPr>
              <w:t>[120]</w:t>
            </w:r>
            <w:r w:rsidR="00C26F5C" w:rsidRPr="003E0254">
              <w:rPr>
                <w:bCs/>
                <w:sz w:val="20"/>
                <w:szCs w:val="20"/>
              </w:rPr>
              <w:fldChar w:fldCharType="end"/>
            </w:r>
            <w:r w:rsidR="00C26F5C" w:rsidRPr="003E0254">
              <w:rPr>
                <w:bCs/>
                <w:sz w:val="20"/>
                <w:szCs w:val="20"/>
              </w:rPr>
              <w:t xml:space="preserve"> </w:t>
            </w:r>
          </w:p>
          <w:p w14:paraId="54493C9B" w14:textId="10D69F60" w:rsidR="00C26F5C" w:rsidRPr="003E0254" w:rsidRDefault="00C26F5C" w:rsidP="00C26F5C">
            <w:pPr>
              <w:spacing w:line="276" w:lineRule="auto"/>
              <w:rPr>
                <w:bCs/>
                <w:sz w:val="20"/>
                <w:szCs w:val="20"/>
              </w:rPr>
            </w:pPr>
          </w:p>
        </w:tc>
        <w:tc>
          <w:tcPr>
            <w:tcW w:w="713" w:type="pct"/>
            <w:tcBorders>
              <w:top w:val="single" w:sz="12" w:space="0" w:color="auto"/>
              <w:left w:val="single" w:sz="12" w:space="0" w:color="auto"/>
              <w:bottom w:val="single" w:sz="12" w:space="0" w:color="auto"/>
            </w:tcBorders>
            <w:shd w:val="clear" w:color="auto" w:fill="D9F2D0" w:themeFill="accent6" w:themeFillTint="33"/>
          </w:tcPr>
          <w:p w14:paraId="18A6DF8D" w14:textId="4407723F" w:rsidR="00C26F5C" w:rsidRPr="003E0254" w:rsidRDefault="00C26F5C" w:rsidP="00C26F5C">
            <w:pPr>
              <w:spacing w:line="276" w:lineRule="auto"/>
              <w:rPr>
                <w:bCs/>
                <w:sz w:val="20"/>
                <w:szCs w:val="20"/>
                <w:u w:val="single"/>
              </w:rPr>
            </w:pPr>
            <w:r w:rsidRPr="003E0254">
              <w:rPr>
                <w:bCs/>
                <w:sz w:val="20"/>
                <w:szCs w:val="20"/>
              </w:rPr>
              <w:t>Zn foil</w:t>
            </w:r>
            <w:r w:rsidRPr="003E0254">
              <w:rPr>
                <w:bCs/>
                <w:sz w:val="20"/>
                <w:szCs w:val="20"/>
              </w:rPr>
              <w:fldChar w:fldCharType="begin" w:fldLock="1"/>
            </w:r>
            <w:r w:rsidR="00500B8D" w:rsidRPr="003E0254">
              <w:rPr>
                <w:bCs/>
                <w:sz w:val="20"/>
                <w:szCs w:val="20"/>
              </w:rPr>
              <w:instrText>ADDIN CSL_CITATION {"citationItems":[{"id":"ITEM-1","itemData":{"DOI":"10.1126/SCIADV.ADE2217/SUPPL_FILE/SCIADV.ADE2217_SM.PDF","ISSN":"23752548","PMID":"36706189","abstract":"A solid-state zinc-ion battery can fundamentally eliminate dendrite formation and hydrogen evolution on the zinc anode from aqueous systems. However, enabling fast zinc ion + conduction in solid crystals is thought to be impossible. Here, we demonstrated a fluorine-doping approach to achieving fast Zn2+ transport in mesoporous ZnyS1−xFx. The substitutional doping of fluoride ion with sulfide substantially reduces Zn2+ migration barrier in a crystalline phase, while mesopore channels with bounded dimethylformamide enable nondestructive Zn2+ conduction along inner pore surface. This mesoporous conductor features a high room-temperature Zn2+ conductivity (0.66 millisiemens per centimeter, compared with 0.01 to 1 millisiemens per centimeter for lithium solid-state electrolyte) with a superior cycling performance (89.5% capacity retention over 5000 cycles) in a solid zinc-ion battery and energy density (0.04 watt-hour per cubic centimeter) in a solid zinc-ion capacitor. The universality of this crystal engineering approach was also verified in other mesoporous zinc chalcogenide materials, which implies various types of potential Zn2+-conducting solid electrolytes.","author":[{"dropping-particle":"","family":"Zhi","given":"Jian","non-dropping-particle":"","parse-names":false,"suffix":""},{"dropping-particle":"","family":"Zhao","given":"Siwei","non-dropping-particle":"","parse-names":false,"suffix":""},{"dropping-particle":"","family":"Zhou","given":"Min","non-dropping-particle":"","parse-names":false,"suffix":""},{"dropping-particle":"","family":"Wang","given":"Ruiqi","non-dropping-particle":"","parse-names":false,"suffix":""},{"dropping-particle":"","family":"Huang","given":"Fuqiang","non-dropping-particle":"","parse-names":false,"suffix":""}],"container-title":"Science Advances","id":"ITEM-1","issue":"4","issued":{"date-parts":[["2023","1","27"]]},"publisher":"American Association for the Advancement of Science","title":"A zinc-conducting chalcogenide electrolyte","type":"article-journal","volume":"9"},"uris":["http://www.mendeley.com/documents/?uuid=64362b64-eb7d-3835-933e-c8f5e569bb82"]}],"mendeley":{"formattedCitation":"&lt;sup&gt;[120]&lt;/sup&gt;","plainTextFormattedCitation":"[120]","previouslyFormattedCitation":"&lt;sup&gt;[119]&lt;/sup&gt;"},"properties":{"noteIndex":0},"schema":"https://github.com/citation-style-language/schema/raw/master/csl-citation.json"}</w:instrText>
            </w:r>
            <w:r w:rsidRPr="003E0254">
              <w:rPr>
                <w:bCs/>
                <w:sz w:val="20"/>
                <w:szCs w:val="20"/>
              </w:rPr>
              <w:fldChar w:fldCharType="separate"/>
            </w:r>
            <w:r w:rsidR="00500B8D" w:rsidRPr="003E0254">
              <w:rPr>
                <w:bCs/>
                <w:noProof/>
                <w:sz w:val="20"/>
                <w:szCs w:val="20"/>
                <w:vertAlign w:val="superscript"/>
              </w:rPr>
              <w:t>[120]</w:t>
            </w:r>
            <w:r w:rsidRPr="003E0254">
              <w:rPr>
                <w:bCs/>
                <w:sz w:val="20"/>
                <w:szCs w:val="20"/>
              </w:rPr>
              <w:fldChar w:fldCharType="end"/>
            </w:r>
          </w:p>
        </w:tc>
        <w:tc>
          <w:tcPr>
            <w:tcW w:w="712" w:type="pct"/>
            <w:tcBorders>
              <w:top w:val="single" w:sz="12" w:space="0" w:color="auto"/>
              <w:bottom w:val="single" w:sz="12" w:space="0" w:color="auto"/>
              <w:right w:val="single" w:sz="12" w:space="0" w:color="auto"/>
            </w:tcBorders>
            <w:shd w:val="clear" w:color="auto" w:fill="D9F2D0" w:themeFill="accent6" w:themeFillTint="33"/>
          </w:tcPr>
          <w:p w14:paraId="54DAE483" w14:textId="77777777" w:rsidR="00C26F5C" w:rsidRPr="003E0254" w:rsidRDefault="00C26F5C" w:rsidP="00C26F5C">
            <w:pPr>
              <w:spacing w:line="276" w:lineRule="auto"/>
              <w:rPr>
                <w:bCs/>
                <w:sz w:val="20"/>
                <w:szCs w:val="20"/>
                <w:u w:val="single"/>
              </w:rPr>
            </w:pPr>
          </w:p>
        </w:tc>
        <w:tc>
          <w:tcPr>
            <w:tcW w:w="704" w:type="pct"/>
            <w:tcBorders>
              <w:top w:val="single" w:sz="12" w:space="0" w:color="auto"/>
              <w:left w:val="single" w:sz="12" w:space="0" w:color="auto"/>
              <w:bottom w:val="single" w:sz="12" w:space="0" w:color="auto"/>
            </w:tcBorders>
            <w:shd w:val="clear" w:color="auto" w:fill="D9F2D0" w:themeFill="accent6" w:themeFillTint="33"/>
          </w:tcPr>
          <w:p w14:paraId="6C7D4995" w14:textId="6BCD6BD9" w:rsidR="00C26F5C" w:rsidRPr="003E0254" w:rsidRDefault="00C26F5C" w:rsidP="00C26F5C">
            <w:pPr>
              <w:spacing w:line="276" w:lineRule="auto"/>
              <w:rPr>
                <w:bCs/>
                <w:sz w:val="20"/>
                <w:szCs w:val="20"/>
              </w:rPr>
            </w:pPr>
            <w:r w:rsidRPr="003E0254">
              <w:rPr>
                <w:bCs/>
                <w:sz w:val="20"/>
                <w:szCs w:val="20"/>
              </w:rPr>
              <w:t>Carbon</w:t>
            </w:r>
            <w:r w:rsidRPr="003E0254">
              <w:rPr>
                <w:bCs/>
                <w:sz w:val="20"/>
                <w:szCs w:val="20"/>
              </w:rPr>
              <w:fldChar w:fldCharType="begin" w:fldLock="1"/>
            </w:r>
            <w:r w:rsidR="00500B8D" w:rsidRPr="003E0254">
              <w:rPr>
                <w:bCs/>
                <w:sz w:val="20"/>
                <w:szCs w:val="20"/>
              </w:rPr>
              <w:instrText>ADDIN CSL_CITATION {"citationItems":[{"id":"ITEM-1","itemData":{"DOI":"10.1126/SCIADV.ADE2217/SUPPL_FILE/SCIADV.ADE2217_SM.PDF","ISSN":"23752548","PMID":"36706189","abstract":"A solid-state zinc-ion battery can fundamentally eliminate dendrite formation and hydrogen evolution on the zinc anode from aqueous systems. However, enabling fast zinc ion + conduction in solid crystals is thought to be impossible. Here, we demonstrated a fluorine-doping approach to achieving fast Zn2+ transport in mesoporous ZnyS1−xFx. The substitutional doping of fluoride ion with sulfide substantially reduces Zn2+ migration barrier in a crystalline phase, while mesopore channels with bounded dimethylformamide enable nondestructive Zn2+ conduction along inner pore surface. This mesoporous conductor features a high room-temperature Zn2+ conductivity (0.66 millisiemens per centimeter, compared with 0.01 to 1 millisiemens per centimeter for lithium solid-state electrolyte) with a superior cycling performance (89.5% capacity retention over 5000 cycles) in a solid zinc-ion battery and energy density (0.04 watt-hour per cubic centimeter) in a solid zinc-ion capacitor. The universality of this crystal engineering approach was also verified in other mesoporous zinc chalcogenide materials, which implies various types of potential Zn2+-conducting solid electrolytes.","author":[{"dropping-particle":"","family":"Zhi","given":"Jian","non-dropping-particle":"","parse-names":false,"suffix":""},{"dropping-particle":"","family":"Zhao","given":"Siwei","non-dropping-particle":"","parse-names":false,"suffix":""},{"dropping-particle":"","family":"Zhou","given":"Min","non-dropping-particle":"","parse-names":false,"suffix":""},{"dropping-particle":"","family":"Wang","given":"Ruiqi","non-dropping-particle":"","parse-names":false,"suffix":""},{"dropping-particle":"","family":"Huang","given":"Fuqiang","non-dropping-particle":"","parse-names":false,"suffix":""}],"container-title":"Science Advances","id":"ITEM-1","issue":"4","issued":{"date-parts":[["2023","1","27"]]},"publisher":"American Association for the Advancement of Science","title":"A zinc-conducting chalcogenide electrolyte","type":"article-journal","volume":"9"},"uris":["http://www.mendeley.com/documents/?uuid=64362b64-eb7d-3835-933e-c8f5e569bb82"]}],"mendeley":{"formattedCitation":"&lt;sup&gt;[120]&lt;/sup&gt;","plainTextFormattedCitation":"[120]","previouslyFormattedCitation":"&lt;sup&gt;[119]&lt;/sup&gt;"},"properties":{"noteIndex":0},"schema":"https://github.com/citation-style-language/schema/raw/master/csl-citation.json"}</w:instrText>
            </w:r>
            <w:r w:rsidRPr="003E0254">
              <w:rPr>
                <w:bCs/>
                <w:sz w:val="20"/>
                <w:szCs w:val="20"/>
              </w:rPr>
              <w:fldChar w:fldCharType="separate"/>
            </w:r>
            <w:r w:rsidR="00500B8D" w:rsidRPr="003E0254">
              <w:rPr>
                <w:bCs/>
                <w:noProof/>
                <w:sz w:val="20"/>
                <w:szCs w:val="20"/>
                <w:vertAlign w:val="superscript"/>
              </w:rPr>
              <w:t>[120]</w:t>
            </w:r>
            <w:r w:rsidRPr="003E0254">
              <w:rPr>
                <w:bCs/>
                <w:sz w:val="20"/>
                <w:szCs w:val="20"/>
              </w:rPr>
              <w:fldChar w:fldCharType="end"/>
            </w:r>
          </w:p>
        </w:tc>
        <w:tc>
          <w:tcPr>
            <w:tcW w:w="848" w:type="pct"/>
            <w:tcBorders>
              <w:top w:val="single" w:sz="12" w:space="0" w:color="auto"/>
              <w:bottom w:val="single" w:sz="12" w:space="0" w:color="auto"/>
              <w:right w:val="single" w:sz="12" w:space="0" w:color="auto"/>
            </w:tcBorders>
            <w:shd w:val="clear" w:color="auto" w:fill="D9F2D0" w:themeFill="accent6" w:themeFillTint="33"/>
          </w:tcPr>
          <w:p w14:paraId="1D7CCAB9" w14:textId="77777777" w:rsidR="00C26F5C" w:rsidRPr="003E0254" w:rsidRDefault="00C26F5C" w:rsidP="00C26F5C">
            <w:pPr>
              <w:spacing w:line="276" w:lineRule="auto"/>
              <w:rPr>
                <w:bCs/>
                <w:sz w:val="20"/>
                <w:szCs w:val="20"/>
                <w:u w:val="single"/>
              </w:rPr>
            </w:pPr>
          </w:p>
        </w:tc>
      </w:tr>
      <w:bookmarkEnd w:id="5"/>
    </w:tbl>
    <w:p w14:paraId="791748EE" w14:textId="77777777" w:rsidR="00C60055" w:rsidRPr="003E0254" w:rsidRDefault="00C60055" w:rsidP="00C60055"/>
    <w:p w14:paraId="2F4EE337" w14:textId="0FBB6B62" w:rsidR="00C60055" w:rsidRPr="003E0254" w:rsidRDefault="00C60055" w:rsidP="00C60055">
      <w:pPr>
        <w:pStyle w:val="berschrift4"/>
        <w:spacing w:line="276" w:lineRule="auto"/>
        <w:rPr>
          <w:b/>
          <w:bCs/>
          <w:i w:val="0"/>
          <w:iCs w:val="0"/>
        </w:rPr>
      </w:pPr>
      <w:r w:rsidRPr="003E0254">
        <w:rPr>
          <w:b/>
          <w:bCs/>
          <w:i w:val="0"/>
          <w:iCs w:val="0"/>
        </w:rPr>
        <w:t>2.</w:t>
      </w:r>
      <w:r w:rsidR="003E4F58" w:rsidRPr="003E0254">
        <w:rPr>
          <w:b/>
          <w:bCs/>
          <w:i w:val="0"/>
          <w:iCs w:val="0"/>
        </w:rPr>
        <w:t>3</w:t>
      </w:r>
      <w:r w:rsidRPr="003E0254">
        <w:rPr>
          <w:b/>
          <w:bCs/>
          <w:i w:val="0"/>
          <w:iCs w:val="0"/>
        </w:rPr>
        <w:t>.1 Anode</w:t>
      </w:r>
    </w:p>
    <w:p w14:paraId="006F7DD1" w14:textId="6187120F" w:rsidR="00C60055" w:rsidRPr="003E0254" w:rsidRDefault="00C60055" w:rsidP="00C60055">
      <w:pPr>
        <w:spacing w:line="276" w:lineRule="auto"/>
        <w:jc w:val="both"/>
      </w:pPr>
      <w:r w:rsidRPr="003E0254">
        <w:t>Z</w:t>
      </w:r>
      <w:r w:rsidR="00296E07" w:rsidRPr="003E0254">
        <w:t>i</w:t>
      </w:r>
      <w:r w:rsidRPr="003E0254">
        <w:t>n</w:t>
      </w:r>
      <w:r w:rsidR="00296E07" w:rsidRPr="003E0254">
        <w:t>c</w:t>
      </w:r>
      <w:r w:rsidRPr="003E0254">
        <w:t xml:space="preserve"> </w:t>
      </w:r>
      <w:r w:rsidR="00296E07" w:rsidRPr="003E0254">
        <w:t xml:space="preserve">(Zn) </w:t>
      </w:r>
      <w:r w:rsidRPr="003E0254">
        <w:t xml:space="preserve">anodes are a vital component of </w:t>
      </w:r>
      <w:r w:rsidR="00A439A1" w:rsidRPr="003E0254">
        <w:t>zinc-metal</w:t>
      </w:r>
      <w:r w:rsidRPr="003E0254">
        <w:t xml:space="preserve"> batteries and play a crucial role in determining the battery’s performance. While the anodes are </w:t>
      </w:r>
      <w:r w:rsidR="00C14B7C" w:rsidRPr="003E0254">
        <w:t xml:space="preserve">made of </w:t>
      </w:r>
      <w:r w:rsidRPr="003E0254">
        <w:t>Zn</w:t>
      </w:r>
      <w:r w:rsidR="00C14B7C" w:rsidRPr="003E0254">
        <w:t>-based metal (mostly with additives)</w:t>
      </w:r>
      <w:r w:rsidRPr="003E0254">
        <w:t xml:space="preserve">, various preparation methods and electrode structures exist that can modify their specific properties. </w:t>
      </w:r>
      <w:r w:rsidR="002428CD" w:rsidRPr="003E0254">
        <w:t xml:space="preserve">Table 1 summarizes different strategies from the literature that aim to enhance the performance of </w:t>
      </w:r>
      <w:r w:rsidR="001E5B91" w:rsidRPr="003E0254">
        <w:t xml:space="preserve">Zn </w:t>
      </w:r>
      <w:r w:rsidR="002428CD" w:rsidRPr="003E0254">
        <w:t>electrodes. While most research</w:t>
      </w:r>
      <w:r w:rsidR="00C02C06" w:rsidRPr="003E0254">
        <w:t xml:space="preserve"> to date</w:t>
      </w:r>
      <w:r w:rsidR="002428CD" w:rsidRPr="003E0254">
        <w:t xml:space="preserve"> has </w:t>
      </w:r>
      <w:r w:rsidR="00C02C06" w:rsidRPr="003E0254">
        <w:t>focused</w:t>
      </w:r>
      <w:r w:rsidR="002428CD" w:rsidRPr="003E0254">
        <w:t xml:space="preserve"> on aqueous electrolytes, these strategies can also be adapted for other electrolyte systems, provided that the stability of the materials is carefully evaluated.</w:t>
      </w:r>
      <w:r w:rsidR="00FB50B3" w:rsidRPr="003E0254">
        <w:t xml:space="preserve"> </w:t>
      </w:r>
    </w:p>
    <w:p w14:paraId="503A5D51" w14:textId="25B8A964" w:rsidR="00C60055" w:rsidRPr="003E0254" w:rsidRDefault="00C60055" w:rsidP="00C60055">
      <w:pPr>
        <w:spacing w:line="276" w:lineRule="auto"/>
        <w:jc w:val="both"/>
      </w:pPr>
      <w:r w:rsidRPr="003E0254">
        <w:t xml:space="preserve">Most research on </w:t>
      </w:r>
      <w:r w:rsidR="00EF1735" w:rsidRPr="003E0254">
        <w:t>ZMB</w:t>
      </w:r>
      <w:r w:rsidRPr="003E0254">
        <w:t>s utilizes planar zinc foils or plates as anodes, primarily due to their commercial availability and user-friendliness. However, these commonly used Zn foils typically have a thickness of &gt;80 µm, resulting in low utilization rates and specific energies, despite the frequently reported high Coulombic efficiencies. In addition to the production related issues,</w:t>
      </w:r>
      <w:r w:rsidR="00D63408" w:rsidRPr="003E0254">
        <w:fldChar w:fldCharType="begin" w:fldLock="1"/>
      </w:r>
      <w:r w:rsidR="00500B8D" w:rsidRPr="003E0254">
        <w:instrText>ADDIN CSL_CITATION {"citationItems":[{"id":"ITEM-1","itemData":{"DOI":"10.1002/SMLL.202408124","ISSN":"1613-6829","abstract":"Aqueous zinc metal batteries (AZMBs) are emerging as a powerful contender in the realm of large-scale intermittent energy storage systems, presenting a compelling alternative to existing ion battery technologies. They harness the benefits of metal zinc's high safety, natural abundance, and favorable electrochemical potential (−0.762 V vs Standard hydrogen electrode, SHE), alongside an impressive theoretical capacity (820 mAh g−1 and 5655 mAh cm−3). However, the electrochemical performance of ZMBs is impeded by several challenges, including poor compatibility with high-loading cathodes and persistent side reactions. These issues are intricately linked to the inherent physicochemical properties of the zinc metal anodes (ZMAs). Here, this review delves into the traditional methods of ZMAs production, encompassing extraction, electrodeposition, and rolling processes. The discussion then progresses to an exploration of cutting-edge methodologies designed to enhance the electrochemical performance of ZMAs. These methods are categorized into alloying, pre-treatment of substrate, advanced electrodeposition techniques, and the development of composite anodes utilizing zinc powder. The review offers a comparative analysis of the merits and drawbacks of various optimization strategies, highlighting the beneficial outcomes achieved. It aspires to inspire novel concepts for the advancement and innovation of next-generation zinc-based energy storage solutions.","author":[{"dropping-particle":"","family":"Chang","given":"Linhui","non-dropping-particle":"","parse-names":false,"suffix":""},{"dropping-particle":"","family":"Li","given":"Jiamin","non-dropping-particle":"","parse-names":false,"suffix":""},{"dropping-particle":"","family":"Sun","given":"Qiangchao","non-dropping-particle":"","parse-names":false,"suffix":""},{"dropping-particle":"","family":"Liu","given":"Xijun","non-dropping-particle":"","parse-names":false,"suffix":""},{"dropping-particle":"","family":"Lu","given":"Xionggang","non-dropping-particle":"","parse-names":false,"suffix":""},{"dropping-particle":"","family":"Cheng","given":"Hongwei","non-dropping-particle":"","parse-names":false,"suffix":""}],"container-title":"Small","id":"ITEM-1","issue":"52","issued":{"date-parts":[["2024","12","1"]]},"page":"2408124","publisher":"John Wiley &amp; Sons, Ltd","title":"Innovative Zinc Anodes: Advancing Metallurgy Methods to Battery Applications","type":"article-journal","volume":"20"},"uris":["http://www.mendeley.com/documents/?uuid=25a9c8c4-a53c-3035-81b2-706f56368203"]}],"mendeley":{"formattedCitation":"&lt;sup&gt;[121]&lt;/sup&gt;","plainTextFormattedCitation":"[121]","previouslyFormattedCitation":"&lt;sup&gt;[120]&lt;/sup&gt;"},"properties":{"noteIndex":0},"schema":"https://github.com/citation-style-language/schema/raw/master/csl-citation.json"}</w:instrText>
      </w:r>
      <w:r w:rsidR="00D63408" w:rsidRPr="003E0254">
        <w:fldChar w:fldCharType="separate"/>
      </w:r>
      <w:r w:rsidR="00500B8D" w:rsidRPr="003E0254">
        <w:rPr>
          <w:noProof/>
          <w:vertAlign w:val="superscript"/>
        </w:rPr>
        <w:t>[121]</w:t>
      </w:r>
      <w:r w:rsidR="00D63408" w:rsidRPr="003E0254">
        <w:fldChar w:fldCharType="end"/>
      </w:r>
      <w:r w:rsidRPr="003E0254">
        <w:t xml:space="preserve"> challenges such as limited active surface area, surface defects, corrosion, passivation, non-uniform electric field distribution, and dendrite growth</w:t>
      </w:r>
      <w:r w:rsidR="00D63408" w:rsidRPr="003E0254">
        <w:fldChar w:fldCharType="begin" w:fldLock="1"/>
      </w:r>
      <w:r w:rsidR="00500B8D" w:rsidRPr="003E0254">
        <w:instrText>ADDIN CSL_CITATION {"citationItems":[{"id":"ITEM-1","itemData":{"DOI":"10.1002/CEY2.67","ISSN":"2637-9368","abstract":"Aqueous zinc-ion batteries (ZIBs) have been intensively investigated as potential energy storage devices on account of their low cost, environmental benignity, and intrinsically safe merits. With the exploitation of high-performance cathode materials, electrolyte systems, and in-depth mechanism investigation, the electrochemical performances of ZIBs have been greatly enhanced. However, there are still some challenges that need to be overcome before its commercialization. Among them, the obstinate dendrites, corrosion, and hydrogen evolution reaction (HER) on Zn anodes are critical issues that severely limit the practical applications of ZIBs. To address these issues, various strategies have been proposed, and tremendous progress has been achieved in the past few years. In this article, we analyze the origins and effects of the dendrites, corrosion, and HER on Zn anodes in neutral and mildly acid aqueous solutions at first. And then, a scientific understanding of the fundamental design principles and strategies to suppress these problems are emphasized. Apart from these, this article also puts forward some requirements for the practical applications of Zn anodes as well as several cost-effective-modifying strategies. Finally, perspectives on the future development of Zn anodes in aqueous solutions are also briefly anticipated. This article provides pertinent insights into the challenges on anodes for the development of high-performance ZIBs, which will greatly contribute to their practical applications.","author":[{"dropping-particle":"","family":"Xie","given":"Chunlin","non-dropping-particle":"","parse-names":false,"suffix":""},{"dropping-particle":"","family":"Li","given":"Yihu","non-dropping-particle":"","parse-names":false,"suffix":""},{"dropping-particle":"","family":"Wang","given":"Qi","non-dropping-particle":"","parse-names":false,"suffix":""},{"dropping-particle":"","family":"Sun","given":"Dan","non-dropping-particle":"","parse-names":false,"suffix":""},{"dropping-particle":"","family":"Tang","given":"Yougen","non-dropping-particle":"","parse-names":false,"suffix":""},{"dropping-particle":"","family":"Wang","given":"Haiyan","non-dropping-particle":"","parse-names":false,"suffix":""}],"container-title":"Carbon Energy","id":"ITEM-1","issue":"4","issued":{"date-parts":[["2020","12","1"]]},"page":"540-560","publisher":"John Wiley &amp; Sons, Ltd","title":"Issues and solutions toward zinc anode in aqueous zinc-ion batteries: A mini review","type":"article-journal","volume":"2"},"uris":["http://www.mendeley.com/documents/?uuid=740afceb-6135-4d29-864b-f3c978db1665"]}],"mendeley":{"formattedCitation":"&lt;sup&gt;[122]&lt;/sup&gt;","plainTextFormattedCitation":"[122]","previouslyFormattedCitation":"&lt;sup&gt;[121]&lt;/sup&gt;"},"properties":{"noteIndex":0},"schema":"https://github.com/citation-style-language/schema/raw/master/csl-citation.json"}</w:instrText>
      </w:r>
      <w:r w:rsidR="00D63408" w:rsidRPr="003E0254">
        <w:fldChar w:fldCharType="separate"/>
      </w:r>
      <w:r w:rsidR="00500B8D" w:rsidRPr="003E0254">
        <w:rPr>
          <w:noProof/>
          <w:vertAlign w:val="superscript"/>
        </w:rPr>
        <w:t>[122]</w:t>
      </w:r>
      <w:r w:rsidR="00D63408" w:rsidRPr="003E0254">
        <w:fldChar w:fldCharType="end"/>
      </w:r>
      <w:r w:rsidRPr="003E0254">
        <w:t xml:space="preserve"> </w:t>
      </w:r>
      <w:r w:rsidR="00D63408" w:rsidRPr="003E0254">
        <w:t>n</w:t>
      </w:r>
      <w:r w:rsidRPr="003E0254">
        <w:t>ecessitate the exploration of alternative approaches including surface modifications or different types of anode structures.</w:t>
      </w:r>
      <w:r w:rsidR="00D63408" w:rsidRPr="003E0254">
        <w:fldChar w:fldCharType="begin" w:fldLock="1"/>
      </w:r>
      <w:r w:rsidR="00500B8D" w:rsidRPr="003E0254">
        <w:instrText>ADDIN CSL_CITATION {"citationItems":[{"id":"ITEM-1","itemData":{"DOI":"10.1002/SMTD.202201572","ISSN":"2366-9608","PMID":"36840645","abstract":"Rechargeable aqueous Zn-ion batteries (AZIBs) are one of the most promising alternatives for traditional energy-storage devices because of their low cost, abundant resources, environmental friendliness, and inherent safety. However, several detrimental issues with Zn metal anodes including Zn dendrite formation, hydrogen evolution, corrosion and passivation, should be considered when designing advanced AZIBs. Moreover, these thorny issues are not independent but mutually reinforcing, covering many technical and processing parameters. Therefore, it is necessary to comprehensively summarize the issues facing Zn anodes and the corresponding strategies to develop roadmaps for the development of high-performance Zn anodes. Herein, the failure mechanisms of Zn anodes and their corresponding impacts are outlined. Recent progress on improving the stability of Zn anode is summarized, including structurally designed Zn anodes, Zn alloy anodes, surface modification, electrolyte optimization, and separator design. Finally, this review provides brilliant and insightful perspectives for stable Zn metal anodes and promotes the large-scale application of AZIBs in power grid systems.","author":[{"dropping-particle":"","family":"Nie","given":"Wei","non-dropping-particle":"","parse-names":false,"suffix":""},{"dropping-particle":"","family":"Cheng","given":"Hongwei","non-dropping-particle":"","parse-names":false,"suffix":""},{"dropping-particle":"","family":"Sun","given":"Qiangchao","non-dropping-particle":"","parse-names":false,"suffix":""},{"dropping-particle":"","family":"Liang","given":"Shuquan","non-dropping-particle":"","parse-names":false,"suffix":""},{"dropping-particle":"","family":"Lu","given":"Xionggang","non-dropping-particle":"","parse-names":false,"suffix":""},{"dropping-particle":"","family":"Lu","given":"Bingan","non-dropping-particle":"","parse-names":false,"suffix":""},{"dropping-particle":"","family":"Zhou","given":"Jiang","non-dropping-particle":"","parse-names":false,"suffix":""}],"container-title":"Small Methods","id":"ITEM-1","issue":"6","issued":{"date-parts":[["2024","6","1"]]},"page":"2201572","publisher":"John Wiley &amp; Sons, Ltd","title":"Design Strategies toward High-Performance Zn Metal Anode","type":"article-journal","volume":"8"},"uris":["http://www.mendeley.com/documents/?uuid=b343908d-16c0-3c44-8326-d847736ca58b"]},{"id":"ITEM-2","itemData":{"DOI":"10.1021/ACSENERGYLETT.4C01123/ASSET/IMAGES/LARGE/NZ4C01123_0012.JPEG","ISSN":"23808195","abstract":"Zinc metal batteries have emerged as promising candidates for next-generation energy storage devices due to their high capacities, high safety, and cost-effectiveness. However, the implementation of Zn metal anodes (ZMAs) faces significant challenges, including uncontrollable dendrite growth, pronounced corrosion, and notable side reactions. To address these issues, extensive research efforts are underway, focusing on tailored structures, compositions, and interfaces for ZMAs, supported by multi-level engineering approaches. Various efficient solutions have been proposed and verified, including homogenizing the ion flux/electric field, enriching the nucleation site number, reducing nucleation energy barriers, and providing sufficient space for Zn deposition. This Review provides a thorough summary of recent advancements in the innovative design of ZMAs, from the viewpoints of structural and interfacial engineering strategies. Key design concepts and functional mechanisms in resolving the aforementioned issues of ZMAs are highlighted. Furthermore, the remaining issues and challenges are discussed, and future research directions are also identified.","author":[{"dropping-particle":"","family":"Li","given":"Liyuan","non-dropping-particle":"","parse-names":false,"suffix":""},{"dropping-particle":"","family":"Zheng","given":"Yushuang","non-dropping-particle":"","parse-names":false,"suffix":""},{"dropping-particle":"","family":"Xu","given":"Jie","non-dropping-particle":"","parse-names":false,"suffix":""},{"dropping-particle":"","family":"Peng","given":"Bo","non-dropping-particle":"","parse-names":false,"suffix":""},{"dropping-particle":"","family":"Zhu","given":"Guoyin","non-dropping-particle":"","parse-names":false,"suffix":""},{"dropping-particle":"","family":"Wu","given":"Junxiong","non-dropping-particle":"","parse-names":false,"suffix":""},{"dropping-particle":"","family":"Ma","given":"Lianbo","non-dropping-particle":"","parse-names":false,"suffix":""},{"dropping-particle":"","family":"Jin","given":"Zhong","non-dropping-particle":"","parse-names":false,"suffix":""}],"container-title":"ACS Energy Letters","id":"ITEM-2","issue":"7","issued":{"date-parts":[["2024","7","12"]]},"page":"3269-3289","publisher":"American Chemical Society","title":"Structural and Interfacial Engineering Strategies for Constructing Dendrite-Free Zinc Metal Anodes","type":"article-journal","volume":"9"},"uris":["http://www.mendeley.com/documents/?uuid=0141d184-6998-3a04-ae21-c7513df5e0ad"]}],"mendeley":{"formattedCitation":"&lt;sup&gt;[123,124]&lt;/sup&gt;","plainTextFormattedCitation":"[123,124]","previouslyFormattedCitation":"&lt;sup&gt;[122,123]&lt;/sup&gt;"},"properties":{"noteIndex":0},"schema":"https://github.com/citation-style-language/schema/raw/master/csl-citation.json"}</w:instrText>
      </w:r>
      <w:r w:rsidR="00D63408" w:rsidRPr="003E0254">
        <w:fldChar w:fldCharType="separate"/>
      </w:r>
      <w:r w:rsidR="00500B8D" w:rsidRPr="003E0254">
        <w:rPr>
          <w:noProof/>
          <w:vertAlign w:val="superscript"/>
        </w:rPr>
        <w:t>[123,124]</w:t>
      </w:r>
      <w:r w:rsidR="00D63408" w:rsidRPr="003E0254">
        <w:fldChar w:fldCharType="end"/>
      </w:r>
      <w:r w:rsidRPr="003E0254">
        <w:t xml:space="preserve"> </w:t>
      </w:r>
    </w:p>
    <w:p w14:paraId="6A1AD493" w14:textId="5F2D1D00" w:rsidR="00C60055" w:rsidRPr="003E0254" w:rsidRDefault="00C60055" w:rsidP="00C60055">
      <w:pPr>
        <w:spacing w:line="276" w:lineRule="auto"/>
        <w:jc w:val="both"/>
      </w:pPr>
      <w:r w:rsidRPr="003E0254">
        <w:t>To address the issue of non-uniform Zn deposition on planar Zn surfaces, which can result in dendrite growth, a common approach is to texture the Zn surface to expose specific crystal planes – such as (002) over (001) – that have varying surface energies, surface diffusivities, and chemical stabilities.</w:t>
      </w:r>
      <w:r w:rsidR="00D63408" w:rsidRPr="003E0254">
        <w:fldChar w:fldCharType="begin" w:fldLock="1"/>
      </w:r>
      <w:r w:rsidR="00500B8D" w:rsidRPr="003E0254">
        <w:instrText>ADDIN CSL_CITATION {"citationItems":[{"id":"ITEM-1","itemData":{"DOI":"10.1016/J.ESCI.2023.100120","ISSN":"2667-1417","abstract":"With their intrinsic safety and environmental benignity, aqueous Zn-ion batteries (ZIBs) have been considered the most appropriate candidates for replacing alkali metal systems. However, polycrystalline Zn anodes in aqueous environments still pose enormous issues, such as dendrite growth and side reactions. Although many efforts have been made to address these obstacles through interphase modification and electrolyte design, researchers have not been able to improve the inherent thermodynamic stability and ion deposition behavior of the Zn anode. It is imperative to understand and explore advanced anode construction methods from the perspective of crystallinity. This review delves into the feasibility of precisely regulating the crystallographic features of metallic zinc, examines the challenges and merits of reported strategies for fabricating textured zinc, and offers constructive suggestions for the large-scale production and commercial application of aqueous ZIBs.","author":[{"dropping-particle":"","family":"Wu","given":"Shuang","non-dropping-particle":"","parse-names":false,"suffix":""},{"dropping-particle":"","family":"Hu","given":"Zhenglin","non-dropping-particle":"","parse-names":false,"suffix":""},{"dropping-particle":"","family":"He","given":"Pan","non-dropping-particle":"","parse-names":false,"suffix":""},{"dropping-particle":"","family":"Ren","given":"Lingxiao","non-dropping-particle":"","parse-names":false,"suffix":""},{"dropping-particle":"","family":"Huang","given":"Jiaxing","non-dropping-particle":"","parse-names":false,"suffix":""},{"dropping-particle":"","family":"Luo","given":"Jiayan","non-dropping-particle":"","parse-names":false,"suffix":""}],"container-title":"eScience","id":"ITEM-1","issue":"3","issued":{"date-parts":[["2023","6","1"]]},"page":"100120","publisher":"Elsevier","title":"Crystallographic engineering of Zn anodes for aqueous batteries","type":"article-journal","volume":"3"},"uris":["http://www.mendeley.com/documents/?uuid=2efdf2a2-6796-4b93-8025-0b845ba3ac99"]},{"id":"ITEM-2","itemData":{"DOI":"10.1002/adma.202100187","ISSN":"0935-9648","PMID":"33864653","abstract":"Aqueous zinc</w:instrText>
      </w:r>
      <w:r w:rsidR="00500B8D" w:rsidRPr="003E0254">
        <w:rPr>
          <w:rFonts w:ascii="Cambria Math" w:hAnsi="Cambria Math" w:cs="Cambria Math"/>
        </w:rPr>
        <w:instrText>‐</w:instrText>
      </w:r>
      <w:r w:rsidR="00500B8D" w:rsidRPr="003E0254">
        <w:instrText>ion batteries are largely restricted by the unsatisfactory performance of zinc (Zn) anodes, including their poor stability and irreversibility. In particular, the mechanism behind the electrochemical contrast caused by the surface crystal plane, which is a decisive factor of the electrochemical characteristics of the hostless Zn anode, is still relatively indistinct. Hence, new insight into a novel anode with a surface</w:instrText>
      </w:r>
      <w:r w:rsidR="00500B8D" w:rsidRPr="003E0254">
        <w:rPr>
          <w:rFonts w:ascii="Cambria Math" w:hAnsi="Cambria Math" w:cs="Cambria Math"/>
        </w:rPr>
        <w:instrText>‐</w:instrText>
      </w:r>
      <w:r w:rsidR="00500B8D" w:rsidRPr="003E0254">
        <w:instrText>preferred (002) crystal plane is provided. The interfacial reaction and morphology evolution are revealed by theoretical analysis and post</w:instrText>
      </w:r>
      <w:r w:rsidR="00500B8D" w:rsidRPr="003E0254">
        <w:rPr>
          <w:rFonts w:ascii="Cambria Math" w:hAnsi="Cambria Math" w:cs="Cambria Math"/>
        </w:rPr>
        <w:instrText>‐</w:instrText>
      </w:r>
      <w:r w:rsidR="00500B8D" w:rsidRPr="003E0254">
        <w:instrText>mortem/operando experimental techniques, indicating that Zn anodes with more exposed (002) basal planes exhibit free dendrites, no by</w:instrText>
      </w:r>
      <w:r w:rsidR="00500B8D" w:rsidRPr="003E0254">
        <w:rPr>
          <w:rFonts w:ascii="Cambria Math" w:hAnsi="Cambria Math" w:cs="Cambria Math"/>
        </w:rPr>
        <w:instrText>‐</w:instrText>
      </w:r>
      <w:r w:rsidR="00500B8D" w:rsidRPr="003E0254">
        <w:instrText>products, and weak hydrogen evolution, in sharp contrast to the (100) plane. These features benefit the Zn (002) anode by enabling a long cyclic life of more than 500 h and a high average coulombic efficiency of 97.71% for symmetric batteries, along with delivering long cycling stability and reversibility with life spans of over 2000 cycles for full batteries. This work provides new insights into the design of high</w:instrText>
      </w:r>
      <w:r w:rsidR="00500B8D" w:rsidRPr="003E0254">
        <w:rPr>
          <w:rFonts w:ascii="Cambria Math" w:hAnsi="Cambria Math" w:cs="Cambria Math"/>
        </w:rPr>
        <w:instrText>‐</w:instrText>
      </w:r>
      <w:r w:rsidR="00500B8D" w:rsidRPr="003E0254">
        <w:instrText>performance Zn anodes for large</w:instrText>
      </w:r>
      <w:r w:rsidR="00500B8D" w:rsidRPr="003E0254">
        <w:rPr>
          <w:rFonts w:ascii="Cambria Math" w:hAnsi="Cambria Math" w:cs="Cambria Math"/>
        </w:rPr>
        <w:instrText>‐</w:instrText>
      </w:r>
      <w:r w:rsidR="00500B8D" w:rsidRPr="003E0254">
        <w:instrText>scale energy storage and can potentially be applied to other metal anodes suffering from instability and irreversibility.","author":[{"dropping-particle":"","family":"Zhou","given":"Miao","non-dropping-particle":"","parse-names":false,"suffix":""},{"dropping-particle":"","family":"Guo","given":"Shan","non-dropping-particle":"","parse-names":false,"suffix":""},{"dropping-particle":"","family":"Li","given":"Jialin","non-dropping-particle":"","parse-names":false,"suffix":""},{"dropping-particle":"","family":"Luo","given":"Xiongbin","non-dropping-particle":"","parse-names":false,"suffix":""},{"dropping-particle":"","family":"Liu","given":"Zhexuan","non-dropping-particle":"","parse-names":false,"suffix":""},{"dropping-particle":"","family":"Zhang","given":"Tengsheng","non-dropping-particle":"","parse-names":false,"suffix":""},{"dropping-particle":"","family":"Cao","given":"Xinxin","non-dropping-particle":"","parse-names":false,"suffix":""},{"dropping-particle":"","family":"Long","given":"Mengqiu","non-dropping-particle":"","parse-names":false,"suffix":""},{"dropping-particle":"","family":"Lu","given":"Bingan","non-dropping-particle":"","parse-names":false,"suffix":""},{"dropping-particle":"","family":"Pan","given":"Anqiang","non-dropping-particle":"","parse-names":false,"suffix":""},{"dropping-particle":"","family":"Fang","given":"Guozhao","non-dropping-particle":"","parse-names":false,"suffix":""},{"dropping-particle":"","family":"Zhou","given":"Jiang","non-dropping-particle":"","parse-names":false,"suffix":""},{"dropping-particle":"","family":"Liang","given":"Shuquan","non-dropping-particle":"","parse-names":false,"suffix":""}],"container-title":"Advanced Materials","id":"ITEM-2","issue":"21","issued":{"date-parts":[["2021","5","17"]]},"page":"2100187","publisher":"John Wiley &amp; Sons, Ltd","title":"Surface</w:instrText>
      </w:r>
      <w:r w:rsidR="00500B8D" w:rsidRPr="003E0254">
        <w:rPr>
          <w:rFonts w:ascii="Cambria Math" w:hAnsi="Cambria Math" w:cs="Cambria Math"/>
        </w:rPr>
        <w:instrText>‐</w:instrText>
      </w:r>
      <w:r w:rsidR="00500B8D" w:rsidRPr="003E0254">
        <w:instrText>Preferred Crystal Plane for a Stable and Reversible Zinc Anode","type":"article-journal","volume":"33"},"uris":["http://www.mendeley.com/documents/?uuid=5a5f650e-be64-3906-88be-3be755b830ac"]}],"mendeley":{"formattedCitation":"&lt;sup&gt;[71,125]&lt;/sup&gt;","plainTextFormattedCitation":"[71,125]","previouslyFormattedCitation":"&lt;sup&gt;[70,124]&lt;/sup&gt;"},"properties":{"noteIndex":0},"schema":"https://github.com/citation-style-language/schema/raw/master/csl-citation.json"}</w:instrText>
      </w:r>
      <w:r w:rsidR="00D63408" w:rsidRPr="003E0254">
        <w:fldChar w:fldCharType="separate"/>
      </w:r>
      <w:r w:rsidR="00500B8D" w:rsidRPr="003E0254">
        <w:rPr>
          <w:noProof/>
          <w:vertAlign w:val="superscript"/>
        </w:rPr>
        <w:t>[71,125]</w:t>
      </w:r>
      <w:r w:rsidR="00D63408" w:rsidRPr="003E0254">
        <w:fldChar w:fldCharType="end"/>
      </w:r>
      <w:r w:rsidRPr="003E0254">
        <w:t xml:space="preserve"> For example, a Zn foil electrode with </w:t>
      </w:r>
      <w:r w:rsidR="00466E09" w:rsidRPr="003E0254">
        <w:t xml:space="preserve">a </w:t>
      </w:r>
      <w:r w:rsidRPr="003E0254">
        <w:t xml:space="preserve">(002) texture was prepared through thermal annealing and </w:t>
      </w:r>
      <w:r w:rsidR="00466E09" w:rsidRPr="003E0254">
        <w:t>thus</w:t>
      </w:r>
      <w:r w:rsidRPr="003E0254">
        <w:t xml:space="preserve"> exhibited stable cycling for 3500 h </w:t>
      </w:r>
      <w:r w:rsidR="00466E09" w:rsidRPr="003E0254">
        <w:t>at</w:t>
      </w:r>
      <w:r w:rsidRPr="003E0254">
        <w:t xml:space="preserve"> 2 mA</w:t>
      </w:r>
      <w:r w:rsidR="00466E09" w:rsidRPr="003E0254">
        <w:t> </w:t>
      </w:r>
      <w:r w:rsidRPr="003E0254">
        <w:t>cm</w:t>
      </w:r>
      <w:r w:rsidR="00466E09" w:rsidRPr="003E0254">
        <w:rPr>
          <w:vertAlign w:val="superscript"/>
        </w:rPr>
        <w:t>-2</w:t>
      </w:r>
      <w:r w:rsidRPr="003E0254">
        <w:t xml:space="preserve"> in a symmetric cell</w:t>
      </w:r>
      <w:r w:rsidR="001E5B91" w:rsidRPr="003E0254">
        <w:t>,</w:t>
      </w:r>
      <w:r w:rsidRPr="003E0254">
        <w:t xml:space="preserve"> while the pristine Zn electrode lasted only </w:t>
      </w:r>
      <w:r w:rsidR="00466E09" w:rsidRPr="003E0254">
        <w:t xml:space="preserve">for </w:t>
      </w:r>
      <w:r w:rsidRPr="003E0254">
        <w:t>200</w:t>
      </w:r>
      <w:r w:rsidR="00466E09" w:rsidRPr="003E0254">
        <w:t> </w:t>
      </w:r>
      <w:r w:rsidRPr="003E0254">
        <w:t>h.</w:t>
      </w:r>
      <w:r w:rsidR="00466E09" w:rsidRPr="003E0254">
        <w:t xml:space="preserve"> </w:t>
      </w:r>
      <w:r w:rsidRPr="003E0254">
        <w:t>A MnO</w:t>
      </w:r>
      <w:r w:rsidRPr="003E0254">
        <w:rPr>
          <w:sz w:val="18"/>
          <w:vertAlign w:val="subscript"/>
        </w:rPr>
        <w:t>2</w:t>
      </w:r>
      <w:r w:rsidRPr="003E0254">
        <w:t xml:space="preserve">||Zn (000) full-cell also demonstrated remarkable cycling stability, achieving up to </w:t>
      </w:r>
      <w:r w:rsidRPr="003E0254">
        <w:lastRenderedPageBreak/>
        <w:t xml:space="preserve">1000 cycles </w:t>
      </w:r>
      <w:r w:rsidR="00466E09" w:rsidRPr="003E0254">
        <w:t>at a</w:t>
      </w:r>
      <w:r w:rsidRPr="003E0254">
        <w:t xml:space="preserve"> 10C rate with 92.7% capacity retention.</w:t>
      </w:r>
      <w:r w:rsidR="00D63408" w:rsidRPr="003E0254">
        <w:fldChar w:fldCharType="begin" w:fldLock="1"/>
      </w:r>
      <w:r w:rsidR="00500B8D" w:rsidRPr="003E0254">
        <w:instrText>ADDIN CSL_CITATION {"citationItems":[{"id":"ITEM-1","itemData":{"DOI":"10.1016/J.SCIB.2022.01.010","ISSN":"2095-9273","abstract":"Despite the advances of aqueous zinc (Zn) batteries as sustainable energy storage systems, their practical application remains challenging due to the issues of spontaneous corrosion and dendritic deposits at the Zn metal anode. In this work, conformal growth of zinc hydroxide sulfate (ZHS) with dominating (0 0 1) facet was realized on (0 0 2) plane-dominated Zn metal foil fabricated through a facile thermal annealing process. The ZHS possessed high Zn2+ conductivity (16.9 mS cm−1) and low electronic conductivity (1.28 × 104 Ω cm), and acted as a heterogeneous and robust solid electrolyte interface (SEI) layer on metallic Zn electrode, which regulated the electrochemical Zn plating behavior and suppressed side reactions simultaneously. Moreover, low self-diffusion barrier along the (0 0 2) plane promoted the 2D diffusion and horizontal electrochemical plating of metallic Zn for (0 0 2)-textured Zn electrode. Consequently, the as-achieved Zn electrode exhibited remarkable cycling stability over 7000 cycles at 2 mA cm−2 and 0.5 mAh cm−2 with a low overpotential of 25 mV in symmetric cells. Pairing with a MnO2 cathode, the as-achieved Zn electrode achieved stable cell cycling with 92.7% capacity retention after 1000 cycles at 10 C with a remarkable average Coulombic efficiency of 99.9%.","author":[{"dropping-particle":"","family":"Wang","given":"Jindi","non-dropping-particle":"","parse-names":false,"suffix":""},{"dropping-particle":"","family":"Zhang","given":"Bao","non-dropping-particle":"","parse-names":false,"suffix":""},{"dropping-particle":"","family":"Cai","given":"Zhao","non-dropping-particle":"","parse-names":false,"suffix":""},{"dropping-particle":"","family":"Zhan","given":"Renming","non-dropping-particle":"","parse-names":false,"suffix":""},{"dropping-particle":"","family":"Wang","given":"Wenyu","non-dropping-particle":"","parse-names":false,"suffix":""},{"dropping-particle":"","family":"Fu","given":"Lin","non-dropping-particle":"","parse-names":false,"suffix":""},{"dropping-particle":"","family":"Wan","given":"Mintao","non-dropping-particle":"","parse-names":false,"suffix":""},{"dropping-particle":"","family":"Xiao","given":"Run","non-dropping-particle":"","parse-names":false,"suffix":""},{"dropping-particle":"","family":"Ou","given":"Yangtao","non-dropping-particle":"","parse-names":false,"suffix":""},{"dropping-particle":"","family":"Wang","given":"Li","non-dropping-particle":"","parse-names":false,"suffix":""},{"dropping-particle":"","family":"Jiang","given":"Jianjun","non-dropping-particle":"","parse-names":false,"suffix":""},{"dropping-particle":"","family":"Seh","given":"Zhi Wei","non-dropping-particle":"","parse-names":false,"suffix":""},{"dropping-particle":"","family":"Li","given":"Hong","non-dropping-particle":"","parse-names":false,"suffix":""},{"dropping-particle":"","family":"Sun","given":"Yongming","non-dropping-particle":"","parse-names":false,"suffix":""}],"container-title":"Science Bulletin","id":"ITEM-1","issue":"7","issued":{"date-parts":[["2022","4","15"]]},"page":"716-724","publisher":"Elsevier","title":"Stable interphase chemistry of textured Zn anode for rechargeable aqueous batteries","type":"article-journal","volume":"67"},"uris":["http://www.mendeley.com/documents/?uuid=24133730-f20a-34f6-bbf2-fdb4a36e7320"]}],"mendeley":{"formattedCitation":"&lt;sup&gt;[73]&lt;/sup&gt;","plainTextFormattedCitation":"[73]","previouslyFormattedCitation":"&lt;sup&gt;[72]&lt;/sup&gt;"},"properties":{"noteIndex":0},"schema":"https://github.com/citation-style-language/schema/raw/master/csl-citation.json"}</w:instrText>
      </w:r>
      <w:r w:rsidR="00D63408" w:rsidRPr="003E0254">
        <w:fldChar w:fldCharType="separate"/>
      </w:r>
      <w:r w:rsidR="00500B8D" w:rsidRPr="003E0254">
        <w:rPr>
          <w:noProof/>
          <w:vertAlign w:val="superscript"/>
        </w:rPr>
        <w:t>[73]</w:t>
      </w:r>
      <w:r w:rsidR="00D63408" w:rsidRPr="003E0254">
        <w:fldChar w:fldCharType="end"/>
      </w:r>
      <w:r w:rsidRPr="003E0254">
        <w:t xml:space="preserve"> The substrate used for texturing the electrode is not limited to Zn foils</w:t>
      </w:r>
      <w:r w:rsidR="00C02C06" w:rsidRPr="003E0254">
        <w:t>,</w:t>
      </w:r>
      <w:r w:rsidRPr="003E0254">
        <w:t xml:space="preserve"> </w:t>
      </w:r>
      <w:r w:rsidR="00C02C06" w:rsidRPr="003E0254">
        <w:t xml:space="preserve">as </w:t>
      </w:r>
      <w:r w:rsidRPr="003E0254">
        <w:t xml:space="preserve">other metal foils can also be used. By </w:t>
      </w:r>
      <w:r w:rsidR="00E44E67" w:rsidRPr="003E0254">
        <w:t xml:space="preserve">applying a </w:t>
      </w:r>
      <w:r w:rsidRPr="003E0254">
        <w:t>direct-current electrodeposition technique, Zhang et al. successfully prepared [0001]-uniaxial oriented Zn anodes with a single (0002) texture. This approach eliminates lattice mismatches and enables ultra-sustainable homoepitaxial growth during cycling.</w:t>
      </w:r>
      <w:r w:rsidR="00D63408" w:rsidRPr="003E0254">
        <w:fldChar w:fldCharType="begin" w:fldLock="1"/>
      </w:r>
      <w:r w:rsidR="00500B8D" w:rsidRPr="003E0254">
        <w:instrText>ADDIN CSL_CITATION {"citationItems":[{"id":"ITEM-1","itemData":{"DOI":"10.1038/s41467-024-47101-1","ISSN":"2041-1723","PMID":"38548738","abstract":"The optimization of crystalline orientation of a Zn metal substrate to expose more Zn(0002) planes has been recognized as an effective strategy in pursuit of highly reversible Zn metal anodes. However, the lattice mismatch between substrate and overgrowth crystals has hampered the epitaxial sustainability of Zn metal. Herein, we discover that the presence of crystal grains deviating from [0001] orientation within a Zn(0002) metal anode leads to the failure of epitaxial mechanism. The electrodeposited [0001]-uniaxial oriented Zn metal anodes with a single (0002) texture fundamentally eliminate the lattice mismatch and achieve ultra-sustainable homoepitaxial growth. Using high-angle angular dark-filed scanning transmission electron microscopy, we elucidate the homoepitaxial growth of the deposited Zn following the “~ABABAB~” arrangement on the Zn(0002) metal from an atomic-level perspective. Such consistently epitaxial behavior of Zn metal retards dendrite formation and enables improved cycling, even in Zn||NH4V4O10 pouch cells, with a high capacity of 220</w:instrText>
      </w:r>
      <w:r w:rsidR="00500B8D" w:rsidRPr="003E0254">
        <w:rPr>
          <w:rFonts w:ascii="Arial" w:hAnsi="Arial" w:cs="Arial"/>
        </w:rPr>
        <w:instrText> </w:instrText>
      </w:r>
      <w:r w:rsidR="00500B8D" w:rsidRPr="003E0254">
        <w:instrText>mAh g</w:instrText>
      </w:r>
      <w:r w:rsidR="00500B8D" w:rsidRPr="003E0254">
        <w:rPr>
          <w:rFonts w:ascii="Aptos" w:hAnsi="Aptos" w:cs="Aptos"/>
        </w:rPr>
        <w:instrText>−</w:instrText>
      </w:r>
      <w:r w:rsidR="00500B8D" w:rsidRPr="003E0254">
        <w:instrText>1 for over 450 cycles. The insights gained from this work on the [0001]-oriented Zn metal anode and its persistently homoepitaxial mechanism pave the way for other metal electrodes with high reversibility. The authors present a single [0001]-oriented Zn metal anode with high reversibility and demonstrate the significance of the Zn(0002) metal anode, characterized by a single crystalline orientation, for promoting ultra-sustainable homoepitaxial growth.","author":[{"dropping-particle":"","family":"Zhang","given":"Xiaotan","non-dropping-particle":"","parse-names":false,"suffix":""},{"dropping-particle":"","family":"Li","given":"Jiangxu","non-dropping-particle":"","parse-names":false,"suffix":""},{"dropping-particle":"","family":"Liu","given":"Yanfen","non-dropping-particle":"","parse-names":false,"suffix":""},{"dropping-particle":"","family":"Lu","given":"Bingan","non-dropping-particle":"","parse-names":false,"suffix":""},{"dropping-particle":"","family":"Liang","given":"Shuquan","non-dropping-particle":"","parse-names":false,"suffix":""},{"dropping-particle":"","family":"Zhou","given":"Jiang","non-dropping-particle":"","parse-names":false,"suffix":""}],"container-title":"Nature Communications 2024 15:1","id":"ITEM-1","issue":"1","issued":{"date-parts":[["2024","3","28"]]},"page":"1-9","publisher":"Nature Publishing Group","title":"Single [0001]-oriented zinc metal anode enables sustainable zinc batteries","type":"article-journal","volume":"15"},"uris":["http://www.mendeley.com/documents/?uuid=c832b789-cc71-3cea-8d0c-1cca3be414f6"]}],"mendeley":{"formattedCitation":"&lt;sup&gt;[72]&lt;/sup&gt;","plainTextFormattedCitation":"[72]","previouslyFormattedCitation":"&lt;sup&gt;[71]&lt;/sup&gt;"},"properties":{"noteIndex":0},"schema":"https://github.com/citation-style-language/schema/raw/master/csl-citation.json"}</w:instrText>
      </w:r>
      <w:r w:rsidR="00D63408" w:rsidRPr="003E0254">
        <w:fldChar w:fldCharType="separate"/>
      </w:r>
      <w:r w:rsidR="00500B8D" w:rsidRPr="003E0254">
        <w:rPr>
          <w:noProof/>
          <w:vertAlign w:val="superscript"/>
        </w:rPr>
        <w:t>[72]</w:t>
      </w:r>
      <w:r w:rsidR="00D63408" w:rsidRPr="003E0254">
        <w:fldChar w:fldCharType="end"/>
      </w:r>
      <w:r w:rsidRPr="003E0254">
        <w:t xml:space="preserve"> The Zn electrodes exhibited remarkable cycling stability, achieving up to 3500 cycles with a capacity retention of up to 98% at 5 A</w:t>
      </w:r>
      <w:r w:rsidR="00E44E67" w:rsidRPr="003E0254">
        <w:t> </w:t>
      </w:r>
      <w:r w:rsidRPr="003E0254">
        <w:t>g</w:t>
      </w:r>
      <w:r w:rsidR="00E44E67" w:rsidRPr="003E0254">
        <w:rPr>
          <w:vertAlign w:val="superscript"/>
        </w:rPr>
        <w:t>-1</w:t>
      </w:r>
      <w:r w:rsidRPr="003E0254">
        <w:t xml:space="preserve"> in coin cell configuration. </w:t>
      </w:r>
    </w:p>
    <w:p w14:paraId="225A0324" w14:textId="62ED7C2E" w:rsidR="00C60055" w:rsidRPr="003E0254" w:rsidRDefault="00C60055" w:rsidP="00C60055">
      <w:pPr>
        <w:spacing w:line="276" w:lineRule="auto"/>
        <w:jc w:val="both"/>
      </w:pPr>
      <w:r w:rsidRPr="003E0254">
        <w:t xml:space="preserve">An alternative strategy to enhance the electrochemical performance of </w:t>
      </w:r>
      <w:r w:rsidR="00EF1735" w:rsidRPr="003E0254">
        <w:t>ZMB</w:t>
      </w:r>
      <w:r w:rsidRPr="003E0254">
        <w:t xml:space="preserve">s involves expanding the anode structure into three-dimensional (3D) configurations. This approach effectively increases surface areas, modulates nucleation sites, reduces local current densities and promotes </w:t>
      </w:r>
      <w:r w:rsidR="00917951" w:rsidRPr="003E0254">
        <w:t xml:space="preserve">a </w:t>
      </w:r>
      <w:r w:rsidRPr="003E0254">
        <w:t>more uniform electric field distribution.</w:t>
      </w:r>
      <w:r w:rsidR="00D63408" w:rsidRPr="003E0254">
        <w:fldChar w:fldCharType="begin" w:fldLock="1"/>
      </w:r>
      <w:r w:rsidR="00500B8D" w:rsidRPr="003E0254">
        <w:instrText>ADDIN CSL_CITATION {"citationItems":[{"id":"ITEM-1","itemData":{"DOI":"10.1002/smtd.202200597","ISSN":"2366-9608","PMID":"35853247","abstract":"Zinc ion batteries (ZIBs) have been gradually developed in recent years due to their abundant resources, low cost, and environmental friendliness. Therefore, ZIBs have received a great deal of attention from researchers, which are considered as the next generation of portable energy storage systems. However, poor overall performance of ZIBs restricts their development, which is attributed to zinc dendrites and a series of side reactions. Constructing 3D zinc anodes has proven to be an effective way to significantly improve their electrochemical performance. In this review, the challenges of zinc anodes in ZIBs, including zinc dendrites, hydrogen evolution and corrosion, as well as passivation, are comprehensively summarized and the energy storage mechanisms of the zinc anodes and 3D zinc anodes are discussed. 3D zinc anodes with different structures including fiberous, porous, ridge</w:instrText>
      </w:r>
      <w:r w:rsidR="00500B8D" w:rsidRPr="003E0254">
        <w:rPr>
          <w:rFonts w:ascii="Cambria Math" w:hAnsi="Cambria Math" w:cs="Cambria Math"/>
        </w:rPr>
        <w:instrText>‐</w:instrText>
      </w:r>
      <w:r w:rsidR="00500B8D" w:rsidRPr="003E0254">
        <w:instrText>like structures, plated zinc anodes on different substrates and other 3D zinc anodes, are subsequently discussed in detail. Finally, emerging opportunities and perspectives on the material design of 3D zinc anodes are highlighted and challenges that need to be solved in future practical applications are discussed, hopefully illuminating the way forward for the development of ZIBs.","author":[{"dropping-particle":"","family":"Guo","given":"Na","non-dropping-particle":"","parse-names":false,"suffix":""},{"dropping-particle":"","family":"Huo","given":"Wenjie","non-dropping-particle":"","parse-names":false,"suffix":""},{"dropping-particle":"","family":"Dong","given":"Xiaoyu","non-dropping-particle":"","parse-names":false,"suffix":""},{"dropping-particle":"","family":"Sun","given":"Zhefei","non-dropping-particle":"","parse-names":false,"suffix":""},{"dropping-particle":"","family":"Lu","given":"Yutao","non-dropping-particle":"","parse-names":false,"suffix":""},{"dropping-particle":"","family":"Wu","given":"Xianwen","non-dropping-particle":"","parse-names":false,"suffix":""},{"dropping-particle":"","family":"Dai","given":"Lei","non-dropping-particle":"","parse-names":false,"suffix":""},{"dropping-particle":"","family":"Wang","given":"Ling","non-dropping-particle":"","parse-names":false,"suffix":""},{"dropping-particle":"","family":"Lin","given":"Haichen","non-dropping-particle":"","parse-names":false,"suffix":""},{"dropping-particle":"","family":"Liu","given":"Haodong","non-dropping-particle":"","parse-names":false,"suffix":""},{"dropping-particle":"","family":"Liang","given":"Hanfeng","non-dropping-particle":"","parse-names":false,"suffix":""},{"dropping-particle":"","family":"He","given":"Zhangxing","non-dropping-particle":"","parse-names":false,"suffix":""},{"dropping-particle":"","family":"Zhang","given":"Qiaobao","non-dropping-particle":"","parse-names":false,"suffix":""}],"container-title":"Small Methods","id":"ITEM-1","issue":"9","issued":{"date-parts":[["2022","9","19"]]},"page":"2200597","publisher":"John Wiley &amp; Sons, Ltd","title":"A Review on 3D Zinc Anodes for Zinc Ion Batteries","type":"article-journal","volume":"6"},"uris":["http://www.mendeley.com/documents/?uuid=627d6f03-a50c-3444-b36e-d3ed793e4654"]},{"id":"ITEM-2","itemData":{"DOI":"10.1002/INF2.12485","ISSN":"25673165","abstract":"Aqueous zinc (Zn) ion batteries (AZIBs) are regarded as one of the promising candidates for next-generation electrochemical energy storage systems due to their low cost, high safety, and environmental friendliness. However, the commercialization of AZIBs has been severely restricted by the growth of dendrite at the Zn metal anode. Tailoring the planar-structured Zn anodes into three-dimensional (3D) structures has proven to be an effective way to modulate the plating/stripping behavior of Zn anodes, resulting in the suppression of dendrite formation. This review provides an up-to-date review of 3D structured Zn metal anodes, including working principles, design, current status, and future prospects. We aim to give the readers a comprehensive understanding of 3D-structured Zn anodes and their effective usage to enhance AZIB performance.","author":[{"dropping-particle":"","family":"Chen","given":"Jianyu","non-dropping-particle":"","parse-names":false,"suffix":""},{"dropping-particle":"","family":"Wang","given":"Yizhou","non-dropping-particle":"","parse-names":false,"suffix":""},{"dropping-particle":"","family":"Tian","given":"Zhengnan","non-dropping-particle":"","parse-names":false,"suffix":""},{"dropping-particle":"","family":"Zhao","given":"Jin","non-dropping-particle":"","parse-names":false,"suffix":""},{"dropping-particle":"","family":"Ma","given":"Yanwen","non-dropping-particle":"","parse-names":false,"suffix":""},{"dropping-particle":"","family":"Alshareef","given":"Husam N.","non-dropping-particle":"","parse-names":false,"suffix":""}],"container-title":"InfoMat","id":"ITEM-2","issue":"1","issued":{"date-parts":[["2024","1","1"]]},"publisher":"John Wiley and Sons Inc","title":"Recent developments in three-dimensional Zn metal anodes for battery applications","type":"article-journal","volume":"6"},"uris":["http://www.mendeley.com/documents/?uuid=55375192-0861-31eb-8d91-339657fe9913"]}],"mendeley":{"formattedCitation":"&lt;sup&gt;[126,127]&lt;/sup&gt;","plainTextFormattedCitation":"[126,127]","previouslyFormattedCitation":"&lt;sup&gt;[125,126]&lt;/sup&gt;"},"properties":{"noteIndex":0},"schema":"https://github.com/citation-style-language/schema/raw/master/csl-citation.json"}</w:instrText>
      </w:r>
      <w:r w:rsidR="00D63408" w:rsidRPr="003E0254">
        <w:fldChar w:fldCharType="separate"/>
      </w:r>
      <w:r w:rsidR="00500B8D" w:rsidRPr="003E0254">
        <w:rPr>
          <w:noProof/>
          <w:vertAlign w:val="superscript"/>
        </w:rPr>
        <w:t>[126,127]</w:t>
      </w:r>
      <w:r w:rsidR="00D63408" w:rsidRPr="003E0254">
        <w:fldChar w:fldCharType="end"/>
      </w:r>
      <w:r w:rsidRPr="003E0254">
        <w:t xml:space="preserve"> 3D anodes can be categorized into two main types: those composed entirely of zinc and those utilizing zinc-free substrate structures. For example, Parker et al. fabricated a 3D zinc sponge electrode and managed to </w:t>
      </w:r>
      <w:r w:rsidR="00C02C06" w:rsidRPr="003E0254">
        <w:t>achieve</w:t>
      </w:r>
      <w:r w:rsidRPr="003E0254">
        <w:t xml:space="preserve"> up to 90% </w:t>
      </w:r>
      <w:r w:rsidR="00917951" w:rsidRPr="003E0254">
        <w:t>depth of discharge (</w:t>
      </w:r>
      <w:r w:rsidRPr="003E0254">
        <w:t>DOD</w:t>
      </w:r>
      <w:r w:rsidR="00917951" w:rsidRPr="003E0254">
        <w:t>)</w:t>
      </w:r>
      <w:r w:rsidRPr="003E0254">
        <w:t>.</w:t>
      </w:r>
      <w:r w:rsidR="00D63408" w:rsidRPr="003E0254">
        <w:fldChar w:fldCharType="begin" w:fldLock="1"/>
      </w:r>
      <w:r w:rsidR="00500B8D" w:rsidRPr="003E0254">
        <w:instrText>ADDIN CSL_CITATION {"citationItems":[{"id":"ITEM-1","itemData":{"DOI":"10.1126/SCIENCE.AAK9991/SUPPL_FILE/AAK9991_PARKER_SM.PDF","ISSN":"10959203","PMID":"28450638","abstract":"The next generation of high-performance batteries should include alternative chemistries that are inherently safer to operate than nonaqueous lithium-based batteries. Aqueous zinc-based batteries can answer that challenge because monolithic zinc sponge anodes can be cycled in nickel-zinc alkaline cells hundreds to thousands of times without undergoing passivation or macroscale dendrite formation. We demonstrate that the threedimensional (3D) zinc form-factor elevates the performance of nickel-zinc alkaline cells in three fields of use: (i) &gt;90% theoretical depth of discharge (DODZn) in primary (single-use) cells, (ii) &gt;100 high-rate cycles at 40% DODZn at lithium-ion-commensurate specific energy, and (iii) the tens of thousands of power-demanding duty cycles required for start-stop microhybrid vehicles.","author":[{"dropping-particle":"","family":"Parker","given":"Joseph F.","non-dropping-particle":"","parse-names":false,"suffix":""},{"dropping-particle":"","family":"Chervin","given":"Christopher N.","non-dropping-particle":"","parse-names":false,"suffix":""},{"dropping-particle":"","family":"Pala","given":"Irina R.","non-dropping-particle":"","parse-names":false,"suffix":""},{"dropping-particle":"","family":"Machler","given":"Meinrad","non-dropping-particle":"","parse-names":false,"suffix":""},{"dropping-particle":"","family":"Burz","given":"Michael F.","non-dropping-particle":"","parse-names":false,"suffix":""},{"dropping-particle":"","family":"Long","given":"Jeffrey W.","non-dropping-particle":"","parse-names":false,"suffix":""},{"dropping-particle":"","family":"Rolison","given":"Debra R.","non-dropping-particle":"","parse-names":false,"suffix":""}],"container-title":"Science","id":"ITEM-1","issue":"6336","issued":{"date-parts":[["2017","4","28"]]},"page":"415-418","publisher":"American Association for the Advancement of Science","title":"Rechargeable nickel-3D zinc batteries: An energy-dense, safer alternative to lithium-ion","type":"article-journal","volume":"356"},"uris":["http://www.mendeley.com/documents/?uuid=83ee90e1-8897-335e-93f9-0e6fb9501054"]}],"mendeley":{"formattedCitation":"&lt;sup&gt;[85]&lt;/sup&gt;","plainTextFormattedCitation":"[85]","previouslyFormattedCitation":"&lt;sup&gt;[84]&lt;/sup&gt;"},"properties":{"noteIndex":0},"schema":"https://github.com/citation-style-language/schema/raw/master/csl-citation.json"}</w:instrText>
      </w:r>
      <w:r w:rsidR="00D63408" w:rsidRPr="003E0254">
        <w:fldChar w:fldCharType="separate"/>
      </w:r>
      <w:r w:rsidR="00500B8D" w:rsidRPr="003E0254">
        <w:rPr>
          <w:noProof/>
          <w:vertAlign w:val="superscript"/>
        </w:rPr>
        <w:t>[85]</w:t>
      </w:r>
      <w:r w:rsidR="00D63408" w:rsidRPr="003E0254">
        <w:fldChar w:fldCharType="end"/>
      </w:r>
      <w:r w:rsidRPr="003E0254">
        <w:t xml:space="preserve"> In a follow up study, Wang et al. demonstrated a prolonged cycle life of </w:t>
      </w:r>
      <w:r w:rsidR="0057047C" w:rsidRPr="003E0254">
        <w:t>MnO</w:t>
      </w:r>
      <w:r w:rsidR="0057047C" w:rsidRPr="003E0254">
        <w:rPr>
          <w:sz w:val="18"/>
          <w:vertAlign w:val="subscript"/>
        </w:rPr>
        <w:t>2</w:t>
      </w:r>
      <w:r w:rsidR="0057047C" w:rsidRPr="003E0254">
        <w:t>||Zn</w:t>
      </w:r>
      <w:r w:rsidRPr="003E0254">
        <w:t xml:space="preserve"> cells up to 3000 cycles with improved rate performance when utilizing 3D Zn foil electrodes.</w:t>
      </w:r>
      <w:r w:rsidR="00D63408" w:rsidRPr="003E0254">
        <w:fldChar w:fldCharType="begin" w:fldLock="1"/>
      </w:r>
      <w:r w:rsidR="00500B8D" w:rsidRPr="003E0254">
        <w:instrText>ADDIN CSL_CITATION {"citationItems":[{"id":"ITEM-1","itemData":{"DOI":"10.1002/AENM.202102797","ISSN":"1614-6840","abstract":"Aqueous zinc ion batteries (AZIBs) represent a promising technology for grid-scale energy storage due to their innate safety, low cost, and environmental friendliness. However, planar Zn foil intrinsically suffers from limited ion and electron transport pathways, poor wettability, and surface passivation, preventing the homogenous deposition of metallic Zn and poor durability of AZIBs. Herein, a 3D Zn foil with hierarchical porous architecture is developed through a facile non-aqueous organic acid etching strategy. The 3D Zn anode is pore-rich and cavity-rich, leading to significantly enhanced accessibility to aqueous electrolytes. Accordingly, this 3D Zn anode enables preferential plating of Zn in the porous texture with suppressed dendrite growth, as confirmed by ex situ scanning electron microscopy and finite element analysis. The cycle life of the 3D Zn anode is sustained over 930 and 1500 h at 4.0 mA cm−2-2.0 mAh cm−2 and 1.0 mA cm−2-1.0 mAh cm−2, respectively. Furthermore, the assembled 3D Zn and α-MnO2 full batteries demonstrate a prolonged cycle life of 3000 cycles with improved rate performance. The etching strategy using non-aqueous organic acid paves a new way to fabricate 3D metal anodes for Zn and other metal anode batteries.","author":[{"dropping-particle":"","family":"Wang","given":"Wenxi","non-dropping-particle":"","parse-names":false,"suffix":""},{"dropping-particle":"","family":"Huang","given":"Gang","non-dropping-particle":"","parse-names":false,"suffix":""},{"dropping-particle":"","family":"Wang","given":"Yizhou","non-dropping-particle":"","parse-names":false,"suffix":""},{"dropping-particle":"","family":"Cao","given":"Zhen","non-dropping-particle":"","parse-names":false,"suffix":""},{"dropping-particle":"","family":"Cavallo","given":"Luigi","non-dropping-particle":"","parse-names":false,"suffix":""},{"dropping-particle":"","family":"Hedhili","given":"Mohamed N.","non-dropping-particle":"","parse-names":false,"suffix":""},{"dropping-particle":"","family":"Alshareef","given":"Husam N.","non-dropping-particle":"","parse-names":false,"suffix":""}],"container-title":"Advanced Energy Materials","id":"ITEM-1","issue":"6","issued":{"date-parts":[["2022","2","1"]]},"page":"2102797","publisher":"John Wiley &amp; Sons, Ltd","title":"Organic Acid Etching Strategy for Dendrite Suppression in Aqueous Zinc-Ion Batteries","type":"article-journal","volume":"12"},"uris":["http://www.mendeley.com/documents/?uuid=21e1acaf-f7e2-3594-8122-b7c7bb5485a1"]}],"mendeley":{"formattedCitation":"&lt;sup&gt;[86]&lt;/sup&gt;","plainTextFormattedCitation":"[86]","previouslyFormattedCitation":"&lt;sup&gt;[85]&lt;/sup&gt;"},"properties":{"noteIndex":0},"schema":"https://github.com/citation-style-language/schema/raw/master/csl-citation.json"}</w:instrText>
      </w:r>
      <w:r w:rsidR="00D63408" w:rsidRPr="003E0254">
        <w:fldChar w:fldCharType="separate"/>
      </w:r>
      <w:r w:rsidR="00500B8D" w:rsidRPr="003E0254">
        <w:rPr>
          <w:noProof/>
          <w:vertAlign w:val="superscript"/>
        </w:rPr>
        <w:t>[86]</w:t>
      </w:r>
      <w:r w:rsidR="00D63408" w:rsidRPr="003E0254">
        <w:fldChar w:fldCharType="end"/>
      </w:r>
      <w:r w:rsidRPr="003E0254">
        <w:t xml:space="preserve"> In order to improve the structural integrity, conductivity, and chemical stability of the Zn electrode even further, substrate structures are employed including carbon-, metal-, or metal-organic framework-based</w:t>
      </w:r>
      <w:r w:rsidR="00917951" w:rsidRPr="003E0254">
        <w:t xml:space="preserve"> variants</w:t>
      </w:r>
      <w:r w:rsidRPr="003E0254">
        <w:t>.</w:t>
      </w:r>
      <w:r w:rsidR="00D63408" w:rsidRPr="003E0254">
        <w:fldChar w:fldCharType="begin" w:fldLock="1"/>
      </w:r>
      <w:r w:rsidR="00500B8D" w:rsidRPr="003E0254">
        <w:instrText>ADDIN CSL_CITATION {"citationItems":[{"id":"ITEM-1","itemData":{"DOI":"10.1016/J.GEE.2022.08.009","ISSN":"2468-0257","abstract":"Aqueous zinc ion batteries (AZIBs) demonstrate tremendous competitiveness and application prospects because of their abundant resources, low cost, high safety, and environmental friendliness. Although the advanced electrochemical energy storage systems based on zinc ion batteries have been greatly developed, many severe problems associated with Zn anode impede its practical application, such as the dendrite formation, hydrogen evolution, corrosion and passivation phenomenon. To address these drawbacks, electrolytes, separators, zinc alloys, interfacial modification and structural design of Zn anode have been employed at present by scientists. Among them, the structural design for zinc anode is relatively mature, which is generally believed to enhance the electroactive surface area of zinc anode, reduce local current density, and promote the uniform distribution of zinc ions on the surface of anode. In order to explore new research directions, it is crucial to systematically summarize the structural design of anode materials. Herein, this review focuses on the challenges in Zn anode, modification strategies and the three-dimensional (3D) structure design of substrate materials for Zn anode including carbon substrate materials, metal substrate materials and other substrate materials. Finally, future directions and perspectives about the Zn anode are presented for developing high-performance AZIBs.","author":[{"dropping-particle":"","family":"Yang","given":"Sinian","non-dropping-particle":"","parse-names":false,"suffix":""},{"dropping-particle":"","family":"Du","given":"Hongxia","non-dropping-particle":"","parse-names":false,"suffix":""},{"dropping-particle":"","family":"Li","given":"Yuting","non-dropping-particle":"","parse-names":false,"suffix":""},{"dropping-particle":"","family":"Wu","given":"Xiangsi","non-dropping-particle":"","parse-names":false,"suffix":""},{"dropping-particle":"","family":"Xiao","given":"Bensheng","non-dropping-particle":"","parse-names":false,"suffix":""},{"dropping-particle":"","family":"He","given":"Zhangxing","non-dropping-particle":"","parse-names":false,"suffix":""},{"dropping-particle":"","family":"Zhang","given":"Qiaobao","non-dropping-particle":"","parse-names":false,"suffix":""},{"dropping-particle":"","family":"Wu","given":"Xianwen","non-dropping-particle":"","parse-names":false,"suffix":""}],"container-title":"Green Energy &amp; Environment","id":"ITEM-1","issue":"6","issued":{"date-parts":[["2023","12","1"]]},"page":"1531-1552","publisher":"Elsevier","title":"Advances in the structure design of substrate materials for zinc anode of aqueous zinc ion batteries","type":"article-journal","volume":"8"},"uris":["http://www.mendeley.com/documents/?uuid=36d0812e-36ee-31fa-a27c-09deb20e1693"]}],"mendeley":{"formattedCitation":"&lt;sup&gt;[84]&lt;/sup&gt;","plainTextFormattedCitation":"[84]","previouslyFormattedCitation":"&lt;sup&gt;[83]&lt;/sup&gt;"},"properties":{"noteIndex":0},"schema":"https://github.com/citation-style-language/schema/raw/master/csl-citation.json"}</w:instrText>
      </w:r>
      <w:r w:rsidR="00D63408" w:rsidRPr="003E0254">
        <w:fldChar w:fldCharType="separate"/>
      </w:r>
      <w:r w:rsidR="00500B8D" w:rsidRPr="003E0254">
        <w:rPr>
          <w:noProof/>
          <w:vertAlign w:val="superscript"/>
        </w:rPr>
        <w:t>[84]</w:t>
      </w:r>
      <w:r w:rsidR="00D63408" w:rsidRPr="003E0254">
        <w:fldChar w:fldCharType="end"/>
      </w:r>
      <w:r w:rsidRPr="003E0254">
        <w:t xml:space="preserve"> Employing amine-functionalized carbon cloth as the host to prepare </w:t>
      </w:r>
      <w:r w:rsidR="00917951" w:rsidRPr="003E0254">
        <w:t xml:space="preserve">a </w:t>
      </w:r>
      <w:r w:rsidRPr="003E0254">
        <w:t xml:space="preserve">Zn anode via electrodeposition resulted in a remarkable capacity retention of 94% </w:t>
      </w:r>
      <w:r w:rsidR="00917951" w:rsidRPr="003E0254">
        <w:t>over</w:t>
      </w:r>
      <w:r w:rsidRPr="003E0254">
        <w:t xml:space="preserve"> 6800 cycles.</w:t>
      </w:r>
      <w:r w:rsidR="00D63408" w:rsidRPr="003E0254">
        <w:fldChar w:fldCharType="begin" w:fldLock="1"/>
      </w:r>
      <w:r w:rsidR="00500B8D" w:rsidRPr="003E0254">
        <w:instrText>ADDIN CSL_CITATION {"citationItems":[{"id":"ITEM-1","itemData":{"DOI":"10.1021/ACSAEM.1C00103/ASSET/IMAGES/LARGE/AE1C00103_0006.JPEG","ISSN":"25740962","abstract":"Zinc-based batteries have ushered in the recent times due to their high theoretical capacity, low-cost, and great safety. However, the severe dendrite growth of Zn anodes has restricted their further development. In this work, an amine-functionalized carbon cloth (CC) was fabricated and adopted as the host to prepare a dendrite-free Zn anode. Experimental results and density functional theoretical calculations demonstrate that the amine functionalization not only improves the binding energy between the Zn atoms and CC but also inhibits the Zn atom adsorption-induced decrease of conductivity. As a result, the dendrite-suppressed anode enjoys stable voltage profiles over 250 h at a current density of 0.5 mA cm-2 in a symmetrical half-cell, which is nearly five times as long as that of the conventional Zn anode. Consequently, the Zn/MnO2 full-cell modified with the amine-functionalized CC shows an excellent capacity retention of 94.0% with a Coulombic efficiency of 93.6% after 6800 cycles.","author":[{"dropping-particle":"","family":"Li","given":"Yao","non-dropping-particle":"","parse-names":false,"suffix":""},{"dropping-particle":"","family":"Tan","given":"Zhixiang","non-dropping-particle":"","parse-names":false,"suffix":""},{"dropping-particle":"","family":"Liang","given":"Yongshi","non-dropping-particle":"","parse-names":false,"suffix":""},{"dropping-particle":"","family":"Xiao","given":"Yong","non-dropping-particle":"","parse-names":false,"suffix":""},{"dropping-particle":"","family":"Cen","given":"Dandan","non-dropping-particle":"","parse-names":false,"suffix":""},{"dropping-particle":"","family":"Liu","given":"Yingliang","non-dropping-particle":"","parse-names":false,"suffix":""},{"dropping-particle":"","family":"Liang","given":"Yeru","non-dropping-particle":"","parse-names":false,"suffix":""}],"container-title":"ACS Applied Energy Materials","id":"ITEM-1","issue":"5","issued":{"date-parts":[["2021","5","24"]]},"page":"4482-4488","publisher":"American Chemical Society","title":"Amine-Functionalized Carbon Cloth Host for Dendrite-Free Zn Metal Anodes","type":"article-journal","volume":"4"},"uris":["http://www.mendeley.com/documents/?uuid=4ec0369a-57a4-3f5e-8022-e605ba72947d"]}],"mendeley":{"formattedCitation":"&lt;sup&gt;[89]&lt;/sup&gt;","plainTextFormattedCitation":"[89]","previouslyFormattedCitation":"&lt;sup&gt;[88]&lt;/sup&gt;"},"properties":{"noteIndex":0},"schema":"https://github.com/citation-style-language/schema/raw/master/csl-citation.json"}</w:instrText>
      </w:r>
      <w:r w:rsidR="00D63408" w:rsidRPr="003E0254">
        <w:fldChar w:fldCharType="separate"/>
      </w:r>
      <w:r w:rsidR="00500B8D" w:rsidRPr="003E0254">
        <w:rPr>
          <w:noProof/>
          <w:vertAlign w:val="superscript"/>
        </w:rPr>
        <w:t>[89]</w:t>
      </w:r>
      <w:r w:rsidR="00D63408" w:rsidRPr="003E0254">
        <w:fldChar w:fldCharType="end"/>
      </w:r>
      <w:r w:rsidRPr="003E0254">
        <w:t xml:space="preserve"> Replacing the host with a 3D printed nickel or copper current collector to fabricate 3D Zn anodes by deposition resulted in impressive cycling stabilities, e.g. up to 1000 cycles at 10</w:t>
      </w:r>
      <w:r w:rsidR="00917951" w:rsidRPr="003E0254">
        <w:t> </w:t>
      </w:r>
      <w:r w:rsidRPr="003E0254">
        <w:t>A</w:t>
      </w:r>
      <w:r w:rsidR="00917951" w:rsidRPr="003E0254">
        <w:t> </w:t>
      </w:r>
      <w:r w:rsidRPr="003E0254">
        <w:t>g</w:t>
      </w:r>
      <w:r w:rsidR="00917951" w:rsidRPr="003E0254">
        <w:rPr>
          <w:vertAlign w:val="superscript"/>
        </w:rPr>
        <w:t>-1</w:t>
      </w:r>
      <w:r w:rsidRPr="003E0254">
        <w:t xml:space="preserve"> along with 80% capacity retention.</w:t>
      </w:r>
      <w:r w:rsidR="00D63408" w:rsidRPr="003E0254">
        <w:fldChar w:fldCharType="begin" w:fldLock="1"/>
      </w:r>
      <w:r w:rsidR="00500B8D" w:rsidRPr="003E0254">
        <w:instrText>ADDIN CSL_CITATION {"citationItems":[{"id":"ITEM-1","itemData":{"DOI":"10.1002/aenm.202003927","ISSN":"1614-6832","abstract":"Rechargeable Zn ion batteries are regarded as a preferable candidate for next</w:instrText>
      </w:r>
      <w:r w:rsidR="00500B8D" w:rsidRPr="003E0254">
        <w:rPr>
          <w:rFonts w:ascii="Cambria Math" w:hAnsi="Cambria Math" w:cs="Cambria Math"/>
        </w:rPr>
        <w:instrText>‐</w:instrText>
      </w:r>
      <w:r w:rsidR="00500B8D" w:rsidRPr="003E0254">
        <w:instrText>generation energy storage systems owing to their merits of environmental benignity, low cost, and high safety. Nevertheless, unsatisfactory cycling stability stemming from dendrite growth and undesired side reactions of Zn anodes prevent their widespread commercial adoption. Here, a novel 3D Zn metal anode with multi</w:instrText>
      </w:r>
      <w:r w:rsidR="00500B8D" w:rsidRPr="003E0254">
        <w:rPr>
          <w:rFonts w:ascii="Cambria Math" w:hAnsi="Cambria Math" w:cs="Cambria Math"/>
        </w:rPr>
        <w:instrText>‐</w:instrText>
      </w:r>
      <w:r w:rsidR="00500B8D" w:rsidRPr="003E0254">
        <w:instrText>channel lattice structures employing the combined 3D printing and electroless plating/electroplating techniques is reported. The constructed 3D Ni</w:instrText>
      </w:r>
      <w:r w:rsidR="00500B8D" w:rsidRPr="003E0254">
        <w:rPr>
          <w:rFonts w:ascii="Aptos" w:hAnsi="Aptos" w:cs="Aptos"/>
        </w:rPr>
        <w:instrText>–</w:instrText>
      </w:r>
      <w:r w:rsidR="00500B8D" w:rsidRPr="003E0254">
        <w:instrText>Zn anode with multi</w:instrText>
      </w:r>
      <w:r w:rsidR="00500B8D" w:rsidRPr="003E0254">
        <w:rPr>
          <w:rFonts w:ascii="Cambria Math" w:hAnsi="Cambria Math" w:cs="Cambria Math"/>
        </w:rPr>
        <w:instrText>‐</w:instrText>
      </w:r>
      <w:r w:rsidR="00500B8D" w:rsidRPr="003E0254">
        <w:instrText>channel lattice structure and super</w:instrText>
      </w:r>
      <w:r w:rsidR="00500B8D" w:rsidRPr="003E0254">
        <w:rPr>
          <w:rFonts w:ascii="Cambria Math" w:hAnsi="Cambria Math" w:cs="Cambria Math"/>
        </w:rPr>
        <w:instrText>‐</w:instrText>
      </w:r>
      <w:r w:rsidR="00500B8D" w:rsidRPr="003E0254">
        <w:instrText>hydrophilic surface can effectively ameliorate the electric</w:instrText>
      </w:r>
      <w:r w:rsidR="00500B8D" w:rsidRPr="003E0254">
        <w:rPr>
          <w:rFonts w:ascii="Cambria Math" w:hAnsi="Cambria Math" w:cs="Cambria Math"/>
        </w:rPr>
        <w:instrText>‐</w:instrText>
      </w:r>
      <w:r w:rsidR="00500B8D" w:rsidRPr="003E0254">
        <w:instrText>field distribution and induce the uniform deposition of Zn without Zn dendrite growth, as confirmed by simulation of current density distribution of the electrode in electrolyte and in situ microscopic observation of Zn plating/stripping. As expected, the 3D Ni–Zn cell shows highly reversible Zn plating/stripping with satisfactory Coulombic efficiency due to the low Zn nucleation overpotential and homogeneous distribution of localized electric field. Consequently, a full cell built with a 3D printed Zn anode and polyaniline</w:instrText>
      </w:r>
      <w:r w:rsidR="00500B8D" w:rsidRPr="003E0254">
        <w:rPr>
          <w:rFonts w:ascii="Cambria Math" w:hAnsi="Cambria Math" w:cs="Cambria Math"/>
        </w:rPr>
        <w:instrText>‐</w:instrText>
      </w:r>
      <w:r w:rsidR="00500B8D" w:rsidRPr="003E0254">
        <w:instrText>intercalated vanadium oxide cathode exhibits remarkable performance. The simple and cost</w:instrText>
      </w:r>
      <w:r w:rsidR="00500B8D" w:rsidRPr="003E0254">
        <w:rPr>
          <w:rFonts w:ascii="Cambria Math" w:hAnsi="Cambria Math" w:cs="Cambria Math"/>
        </w:rPr>
        <w:instrText>‐</w:instrText>
      </w:r>
      <w:r w:rsidR="00500B8D" w:rsidRPr="003E0254">
        <w:instrText>effective fabrication of conductive metal lattices with tunable 3D multi</w:instrText>
      </w:r>
      <w:r w:rsidR="00500B8D" w:rsidRPr="003E0254">
        <w:rPr>
          <w:rFonts w:ascii="Cambria Math" w:hAnsi="Cambria Math" w:cs="Cambria Math"/>
        </w:rPr>
        <w:instrText>‐</w:instrText>
      </w:r>
      <w:r w:rsidR="00500B8D" w:rsidRPr="003E0254">
        <w:instrText>channel architecture opens up new opportunities to develop other high</w:instrText>
      </w:r>
      <w:r w:rsidR="00500B8D" w:rsidRPr="003E0254">
        <w:rPr>
          <w:rFonts w:ascii="Cambria Math" w:hAnsi="Cambria Math" w:cs="Cambria Math"/>
        </w:rPr>
        <w:instrText>‐</w:instrText>
      </w:r>
      <w:r w:rsidR="00500B8D" w:rsidRPr="003E0254">
        <w:instrText>performance metal (such as Li, Na, K, Mg, Al) batteries.","author":[{"dropping-particle":"","family":"Zhang","given":"Guanhua","non-dropping-particle":"","parse-names":false,"suffix":""},{"dropping-particle":"","family":"Zhang","given":"Xianan","non-dropping-particle":"","parse-names":false,"suffix":""},{"dropping-particle":"","family":"Liu","given":"Huaizhi","non-dropping-particle":"","parse-names":false,"suffix":""},{"dropping-particle":"","family":"Li","given":"Jinhao","non-dropping-particle":"","parse-names":false,"suffix":""},{"dropping-particle":"","family":"Chen","given":"Yiqin","non-dropping-particle":"","parse-names":false,"suffix":""},{"dropping-particle":"","family":"Duan","given":"Huigao","non-dropping-particle":"","parse-names":false,"suffix":""}],"container-title":"Advanced Energy Materials","id":"ITEM-1","issue":"19","issued":{"date-parts":[["2021","5","31"]]},"page":"2003927","publisher":"John Wiley &amp; Sons, Ltd","title":"3D</w:instrText>
      </w:r>
      <w:r w:rsidR="00500B8D" w:rsidRPr="003E0254">
        <w:rPr>
          <w:rFonts w:ascii="Cambria Math" w:hAnsi="Cambria Math" w:cs="Cambria Math"/>
        </w:rPr>
        <w:instrText>‐</w:instrText>
      </w:r>
      <w:r w:rsidR="00500B8D" w:rsidRPr="003E0254">
        <w:instrText>Printed Multi</w:instrText>
      </w:r>
      <w:r w:rsidR="00500B8D" w:rsidRPr="003E0254">
        <w:rPr>
          <w:rFonts w:ascii="Cambria Math" w:hAnsi="Cambria Math" w:cs="Cambria Math"/>
        </w:rPr>
        <w:instrText>‐</w:instrText>
      </w:r>
      <w:r w:rsidR="00500B8D" w:rsidRPr="003E0254">
        <w:instrText>Channel Metal Lattices Enabling Localized Electric</w:instrText>
      </w:r>
      <w:r w:rsidR="00500B8D" w:rsidRPr="003E0254">
        <w:rPr>
          <w:rFonts w:ascii="Cambria Math" w:hAnsi="Cambria Math" w:cs="Cambria Math"/>
        </w:rPr>
        <w:instrText>‐</w:instrText>
      </w:r>
      <w:r w:rsidR="00500B8D" w:rsidRPr="003E0254">
        <w:instrText>Field Redistribution for Dendrite</w:instrText>
      </w:r>
      <w:r w:rsidR="00500B8D" w:rsidRPr="003E0254">
        <w:rPr>
          <w:rFonts w:ascii="Cambria Math" w:hAnsi="Cambria Math" w:cs="Cambria Math"/>
        </w:rPr>
        <w:instrText>‐</w:instrText>
      </w:r>
      <w:r w:rsidR="00500B8D" w:rsidRPr="003E0254">
        <w:instrText>Free Aqueous Zn Ion Batteries","type":"article-journal","volume":"11"},"uris":["http://www.mendeley.com/documents/?uuid=18cfe061-451e-3fc2-be86-12455f984d37"]},{"id":"ITEM-2","itemData":{"DOI":"10.1002/ADFM.202312664","ISSN":"1616-3028","abstract":"Porous metal current collectors (CCs) serve as key component for aqueous Zn-ion batteries (AZIBs). Herein, a lightweight 3D-Cu architecture with customizable geometries is developed to enable reversible Zn-metal cycling. The 3D-Cu is prepared by 3D-printing a crosslink-able polymer scaffold followed by Cu-metallization. The printed architecture is optimized to endow 3D-Cu with electric conductivity that is on-par with commercial Cu foam, but can reduce ≈80% of the weight and consumption of Cu. A Zn-philic graphene (Gr) coating is adopted to promote uniform and (002)-preferred Zn growth onto the 3D-Cu surface, creating a 3DP-Cu@Gr architecture that induces conformal Zn-deposition and greatly suppressed H2-evolution reaction. The 3DP-Cu@Gr||Zn shows stable 700 cycles at 4 mA cm−2 and 2 mAh cm−2, with coulombic efficiency &gt;99.6%. Zn-loaded 3D-electrodes enable symmetrical cells with stable 300 h cycling at 10 mA cm−2, delivering a specific accumulated capacity of 86.7 Ah g−1. This represents an unprecedented combination of cycle stability, high charge rate, and electrode lightweight. The all-printed pantacle-shape full pouch cells (3.6 mAh) exhibit 91.4% capacity retention after 200 cycles at 1 C. Possessing unusual design freedom, this strategy demonstrates a pathway for developing lightweight Cu CCs and customizable high-energy AZIBs.","author":[{"dropping-particle":"","family":"Shi","given":"Shaohong","non-dropping-particle":"","parse-names":false,"suffix":""},{"dropping-particle":"","family":"Zhou","given":"Dongcheng","non-dropping-particle":"","parse-names":false,"suffix":""},{"dropping-particle":"","family":"Jiang","given":"Yuheng","non-dropping-particle":"","parse-names":false,"suffix":""},{"dropping-particle":"","family":"Cheng","given":"Fangchao","non-dropping-particle":"","parse-names":false,"suffix":""},{"dropping-particle":"","family":"Sun","given":"Jianping","non-dropping-particle":"","parse-names":false,"suffix":""},{"dropping-particle":"","family":"Guo","given":"Quanquan","non-dropping-particle":"","parse-names":false,"suffix":""},{"dropping-particle":"","family":"Luo","given":"Yiteng","non-dropping-particle":"","parse-names":false,"suffix":""},{"dropping-particle":"","family":"Chen","given":"Yungui","non-dropping-particle":"","parse-names":false,"suffix":""},{"dropping-particle":"","family":"Liu","given":"Wei","non-dropping-particle":"","parse-names":false,"suffix":""}],"container-title":"Advanced Functional Materials","id":"ITEM-2","issue":"24","issued":{"date-parts":[["2024","6","1"]]},"page":"2312664","publisher":"John Wiley &amp; Sons, Ltd","title":"Lightweight Zn-Philic 3D-Cu Scaffold for Customizable Zinc Ion Batteries","type":"article-journal","volume":"34"},"uris":["http://www.mendeley.com/documents/?uuid=fdae696f-86f8-3c8f-982d-f54a9e0c99dc"]}],"mendeley":{"formattedCitation":"&lt;sup&gt;[88,90]&lt;/sup&gt;","plainTextFormattedCitation":"[88,90]","previouslyFormattedCitation":"&lt;sup&gt;[87,89]&lt;/sup&gt;"},"properties":{"noteIndex":0},"schema":"https://github.com/citation-style-language/schema/raw/master/csl-citation.json"}</w:instrText>
      </w:r>
      <w:r w:rsidR="00D63408" w:rsidRPr="003E0254">
        <w:fldChar w:fldCharType="separate"/>
      </w:r>
      <w:r w:rsidR="00500B8D" w:rsidRPr="003E0254">
        <w:rPr>
          <w:noProof/>
          <w:vertAlign w:val="superscript"/>
        </w:rPr>
        <w:t>[88,90]</w:t>
      </w:r>
      <w:r w:rsidR="00D63408" w:rsidRPr="003E0254">
        <w:fldChar w:fldCharType="end"/>
      </w:r>
      <w:r w:rsidRPr="003E0254">
        <w:t xml:space="preserve"> Lately, metal-organic frameworks have also become an emerging substrate due to </w:t>
      </w:r>
      <w:r w:rsidR="00917951" w:rsidRPr="003E0254">
        <w:t>their</w:t>
      </w:r>
      <w:r w:rsidRPr="003E0254">
        <w:t xml:space="preserve"> unique properties that allow controlling the physical and chemical characteristics of the electrode.</w:t>
      </w:r>
      <w:r w:rsidR="00704816" w:rsidRPr="003E0254">
        <w:fldChar w:fldCharType="begin" w:fldLock="1"/>
      </w:r>
      <w:r w:rsidR="00500B8D" w:rsidRPr="003E0254">
        <w:instrText>ADDIN CSL_CITATION {"citationItems":[{"id":"ITEM-1","itemData":{"DOI":"10.1021/ACS.CHEMREV.1C00978/ASSET/IMAGES/LARGE/CR1C00978_0023.JPEG","ISSN":"15206890","PMID":"35446541","abstract":"Metal-organic frameworks (MOFs) have recently emerged as ideal electrode materials and precursors for electrochemical energy storage and conversion (EESC) owing to their large specific surface areas, highly tunable porosities, abundant active sites, and diversified choices of metal nodes and organic linkers. Both MOF-based and MOF-derived materials in powder form have been widely investigated in relation to their synthesis methods, structure and morphology controls, and performance advantages in targeted applications. However, to engage them for energy applications, both binders and additives would be required to form postprocessed electrodes, fundamentally eliminating some of the active sites and thus degrading the superior effects of the MOF-based/derived materials. The advancement of freestanding electrodes provides a new promising platform for MOF-based/derived materials in EESC thanks to their apparent merits, including fast electron/charge transmission and seamless contact between active materials and current collectors. Benefiting from the synergistic effect of freestanding structures and MOF-based/derived materials, outstanding electrochemical performance in EESC can be achieved, stimulating the increasing enthusiasm in recent years. This review provides a timely and comprehensive overview on the structural features and fabrication techniques of freestanding MOF-based/derived electrodes. Then, the latest advances in freestanding MOF-based/derived electrodes are summarized from electrochemical energy storage devices to electrocatalysis. Finally, insights into the currently faced challenges and further perspectives on these feasible solutions of freestanding MOF-based/derived electrodes for EESC are discussed, aiming at providing a new set of guidance to promote their further development in scale-up production and commercial applications.","author":[{"dropping-particle":"","family":"He","given":"Bing","non-dropping-particle":"","parse-names":false,"suffix":""},{"dropping-particle":"","family":"Zhang","given":"Qichong","non-dropping-particle":"","parse-names":false,"suffix":""},{"dropping-particle":"","family":"Pan","given":"Zhenghui","non-dropping-particle":"","parse-names":false,"suffix":""},{"dropping-particle":"","family":"Li","given":"Lei","non-dropping-particle":"","parse-names":false,"suffix":""},{"dropping-particle":"","family":"Li","given":"Chaowei","non-dropping-particle":"","parse-names":false,"suffix":""},{"dropping-particle":"","family":"Ling","given":"Ying","non-dropping-particle":"","parse-names":false,"suffix":""},{"dropping-particle":"","family":"Wang","given":"Zhixun","non-dropping-particle":"","parse-names":false,"suffix":""},{"dropping-particle":"","family":"Chen","given":"Mengxiao","non-dropping-particle":"","parse-names":false,"suffix":""},{"dropping-particle":"","family":"Wang","given":"Zhe","non-dropping-particle":"","parse-names":false,"suffix":""},{"dropping-particle":"","family":"Yao","given":"Yagang","non-dropping-particle":"","parse-names":false,"suffix":""},{"dropping-particle":"","family":"Li","given":"Qingwen","non-dropping-particle":"","parse-names":false,"suffix":""},{"dropping-particle":"","family":"Sun","given":"Litao","non-dropping-particle":"","parse-names":false,"suffix":""},{"dropping-particle":"","family":"Wang","given":"John","non-dropping-particle":"","parse-names":false,"suffix":""},{"dropping-particle":"","family":"Wei","given":"Lei","non-dropping-particle":"","parse-names":false,"suffix":""}],"container-title":"Chemical Reviews","id":"ITEM-1","issue":"11","issued":{"date-parts":[["2022","6","8"]]},"page":"10087-10125","publisher":"American Chemical Society","title":"Freestanding Metal-Organic Frameworks and Their Derivatives: An Emerging Platform for Electrochemical Energy Storage and Conversion","type":"article-journal","volume":"122"},"uris":["http://www.mendeley.com/documents/?uuid=c7869f40-ff06-3a57-8015-b668f0beae51"]}],"mendeley":{"formattedCitation":"&lt;sup&gt;[128]&lt;/sup&gt;","plainTextFormattedCitation":"[128]","previouslyFormattedCitation":"&lt;sup&gt;[127]&lt;/sup&gt;"},"properties":{"noteIndex":0},"schema":"https://github.com/citation-style-language/schema/raw/master/csl-citation.json"}</w:instrText>
      </w:r>
      <w:r w:rsidR="00704816" w:rsidRPr="003E0254">
        <w:fldChar w:fldCharType="separate"/>
      </w:r>
      <w:r w:rsidR="00500B8D" w:rsidRPr="003E0254">
        <w:rPr>
          <w:noProof/>
          <w:vertAlign w:val="superscript"/>
        </w:rPr>
        <w:t>[128]</w:t>
      </w:r>
      <w:r w:rsidR="00704816" w:rsidRPr="003E0254">
        <w:fldChar w:fldCharType="end"/>
      </w:r>
      <w:r w:rsidRPr="003E0254">
        <w:t xml:space="preserve"> Utilizing ZIF-8-500 as a Zn anode substrate, the Zn@ZIF-8-500 electrode could be cycled for many thousands </w:t>
      </w:r>
      <w:r w:rsidR="00917951" w:rsidRPr="003E0254">
        <w:t xml:space="preserve">of hours </w:t>
      </w:r>
      <w:r w:rsidRPr="003E0254">
        <w:t>while retaining 72</w:t>
      </w:r>
      <w:r w:rsidR="00562882" w:rsidRPr="003E0254">
        <w:t>%</w:t>
      </w:r>
      <w:r w:rsidRPr="003E0254">
        <w:t xml:space="preserve"> capacity.</w:t>
      </w:r>
      <w:r w:rsidR="00C5589B" w:rsidRPr="003E0254">
        <w:fldChar w:fldCharType="begin" w:fldLock="1"/>
      </w:r>
      <w:r w:rsidR="00500B8D" w:rsidRPr="003E0254">
        <w:instrText>ADDIN CSL_CITATION {"citationItems":[{"id":"ITEM-1","itemData":{"DOI":"10.1016/J.JOULE.2019.02.012","ISSN":"2542-4351","abstract":"Zinc metal featuring low cost, high capacity, low potential, and environmental benignity is an exciting anode material for aqueous energy storage devices. Unfortunately, the dendrite growth, limited reversibility, and undesired hydrogen evolution hinder its application. Herein, we demonstrate that MOF ZIF-8 annealed at 500°C (ZIF-8-500) can be used as a host material for high-efficiency (approximately 100%) and dendrite-free Zn plating and stripping because of its porous structure, trace amount of zinc in the framework, and high over-potential for hydrogen evolution. The Zn@ZIF-8-500 anode (i.e., ZIF-8-500 pre-plated with 10.0 mAh cm−2 Zn) is coupled with an activated carbon cathode or an I2 cathode to form a hybrid supercapacitor or a rechargeable battery, respectively. The supercapacitor delivers a high energy density of 140.8 Wh kg−1 (normalized to the mass of active materials in electrodes) while retaining 72% capacity over 20,000 cycles, and the battery shows a long life of 1,600 cycles. Aqueous Zn-based batteries and supercapacitors have been considered as promising candidates for electrochemical energy storage devices because of the inherent advantages of metallic Zn. Unfortunately, the stability of the Zn anode in the mild electrolyte is still much limited by the dendrite growth, undesired hydrogen evolution, and the formation of inert “dead” Zn. Here, we report the utilization of MOF ZIF-8 treated with an optimized temperature (500°C) as a host material for the development of highly stable and dendrite-free Zn metal anodes. The ZIF-8-500 anode exhibits unprecedented reversibility of Zn plating/stripping behavior, high Coulombic efficiency (close to 100%), and dendrite-free Zn. The novel Zn@ZIF-8-500 anode coupled with an activated carbon cathode or an I2 cathode works well. This work represents a new and low-cost avenue for developing a highly reversible zinc metal anode. Zn-based MOF ZIF-8-500 (annealed at 500°C) possesses the trace amount of Zn0 in the host framework and the high over-potential for hydrogen evolution. The resulting ZIF-8-500 anode exhibits high efficiency (close to 100%) and dendrite-free Zn plating/stripping.","author":[{"dropping-particle":"","family":"Wang","given":"Zhuo","non-dropping-particle":"","parse-names":false,"suffix":""},{"dropping-particle":"","family":"Huang","given":"Jianhang","non-dropping-particle":"","parse-names":false,"suffix":""},{"dropping-particle":"","family":"Guo","given":"Zhaowei","non-dropping-particle":"","parse-names":false,"suffix":""},{"dropping-particle":"","family":"Dong","given":"Xiaoli","non-dropping-particle":"","parse-names":false,"suffix":""},{"dropping-particle":"","family":"Liu","given":"Yao","non-dropping-particle":"","parse-names":false,"suffix":""},{"dropping-particle":"","family":"Wang","given":"Yonggang","non-dropping-particle":"","parse-names":false,"suffix":""},{"dropping-particle":"","family":"Xia","given":"Yongyao","non-dropping-particle":"","parse-names":false,"suffix":""}],"container-title":"Joule","id":"ITEM-1","issue":"5","issued":{"date-parts":[["2019","5","15"]]},"page":"1289-1300","publisher":"Cell Press","title":"A Metal-Organic Framework Host for Highly Reversible Dendrite-free Zinc Metal Anodes","type":"article-journal","volume":"3"},"uris":["http://www.mendeley.com/documents/?uuid=25124414-ce41-46bc-946b-9f0833a0c36f"]}],"mendeley":{"formattedCitation":"&lt;sup&gt;[87]&lt;/sup&gt;","plainTextFormattedCitation":"[87]","previouslyFormattedCitation":"&lt;sup&gt;[86]&lt;/sup&gt;"},"properties":{"noteIndex":0},"schema":"https://github.com/citation-style-language/schema/raw/master/csl-citation.json"}</w:instrText>
      </w:r>
      <w:r w:rsidR="00C5589B" w:rsidRPr="003E0254">
        <w:fldChar w:fldCharType="separate"/>
      </w:r>
      <w:r w:rsidR="00500B8D" w:rsidRPr="003E0254">
        <w:rPr>
          <w:noProof/>
          <w:vertAlign w:val="superscript"/>
        </w:rPr>
        <w:t>[87]</w:t>
      </w:r>
      <w:r w:rsidR="00C5589B" w:rsidRPr="003E0254">
        <w:fldChar w:fldCharType="end"/>
      </w:r>
      <w:r w:rsidRPr="003E0254">
        <w:t xml:space="preserve"> </w:t>
      </w:r>
    </w:p>
    <w:p w14:paraId="72373997" w14:textId="43C904BE" w:rsidR="00C60055" w:rsidRPr="003E0254" w:rsidRDefault="00C60055" w:rsidP="00C60055">
      <w:pPr>
        <w:spacing w:line="276" w:lineRule="auto"/>
        <w:jc w:val="both"/>
      </w:pPr>
      <w:r w:rsidRPr="003E0254">
        <w:t xml:space="preserve">Despite their many attractive properties and numerous reports demonstrating high performance metrics, most 3D electrodes face challenges such as low active material mass loadings or compromised structural integrity during long-term cycling. One potential solution to enhance mass loading involves direct incorporation of zinc powder into the anode mixture instead of relying on plating. This approach also enables the use of composite materials, allowing for </w:t>
      </w:r>
      <w:r w:rsidR="00917951" w:rsidRPr="003E0254">
        <w:t xml:space="preserve">the </w:t>
      </w:r>
      <w:r w:rsidRPr="003E0254">
        <w:t>modification of Zn powder properties by tailoring their intrinsic properties.</w:t>
      </w:r>
      <w:r w:rsidR="00C5589B" w:rsidRPr="003E0254">
        <w:fldChar w:fldCharType="begin" w:fldLock="1"/>
      </w:r>
      <w:r w:rsidR="00500B8D" w:rsidRPr="003E0254">
        <w:instrText>ADDIN CSL_CITATION {"citationItems":[{"id":"ITEM-1","itemData":{"DOI":"10.1016/J.ENSM.2024.103934","ISSN":"2405-8297","abstract":"Rechargeable Zn-based batteries are gaining increased interest for use in energy storage systems due to their inherent safety, affordability, and eco-friendliness. Zn powder is highly regarded as a promising material for Zn-based batteries due to its cost-effectiveness, superior electrochemical performance and ease of processing, as well as customizable utilization rate, which holds great potential in increasing overall energy density of Zn-based batteries. However, the commercialization of Zn powder anodes still remains great challenges such as more severe hydrogen evolution, volume effect caused electrical contact failure, poor macroscopic mechanical strength in comparison with zinc foils and additional short circuits due to dendrite growth. This topical review focuses on the recent research advance of Zn power-based anodes. A comprehensive organization of the previously reported benefits and challenges in Zn powder anode is firstly provided. Then, the advancements in structural design strategies of Zn powder anodes, and the corresponding electrochemical performance are discussed in detail. Finally, the future challenges in developing practical Zn powder anode based on crystallography, mechanics, electrode process engineering and other related fields are examined. This review offers a fresh perspective on designing Zn powder anodes for use in commercial Zn-based energy storage systems in the future.","author":[{"dropping-particle":"","family":"Huang","given":"Jingyu","non-dropping-particle":"","parse-names":false,"suffix":""},{"dropping-particle":"","family":"Feng","given":"Runqian","non-dropping-particle":"","parse-names":false,"suffix":""},{"dropping-particle":"","family":"Wu","given":"Jiacheng","non-dropping-particle":"","parse-names":false,"suffix":""},{"dropping-particle":"","family":"Lin","given":"Weijia","non-dropping-particle":"","parse-names":false,"suffix":""},{"dropping-particle":"","family":"Du","given":"Wencheng","non-dropping-particle":"","parse-names":false,"suffix":""},{"dropping-particle":"","family":"Li","given":"Cheng Chao","non-dropping-particle":"","parse-names":false,"suffix":""}],"container-title":"Energy Storage Materials","id":"ITEM-1","issued":{"date-parts":[["2025","1","1"]]},"page":"103934","publisher":"Elsevier","title":"Structural design strategies of zinc powder anode towards rechargeable zinc-based batteries","type":"article-journal","volume":"74"},"uris":["http://www.mendeley.com/documents/?uuid=f37383da-da05-393e-8951-288194168784"]},{"id":"ITEM-2","itemData":{"DOI":"10.1021/ACSENERGYLETT.4C00628/ASSET/IMAGES/LARGE/NZ4C00628_0009.JPEG","ISSN":"23808195","abstract":"Aqueous zinc metal batteries (ZMBs) have attracted much attention in the field of grid-scale energy storage due to their high safety, low cost, and abundant resources. Zn powders exhibit the unique advantages of high specific surface area, mature scaled-up manufacturing ability, and structural tunability, which can meet the large-scale energy storage devices, and even the special-shaped devices. However, Zn powder-based anodes are at an early stage and far from the practical industrial application. With the pursuit of comprehensive electrochemical performances of Zn powder-based anodes, this review focus on the advances, issues, and optimized strategies, which are discussed systematically from the previous reports of Zn powder-based anodes. Meanwhile, we also added many supplementary discussions of some important strategies in relevant content but not yet reported. Finally, future prospects toward high performance and practicability of Zn powder-based anodes are proposed, which will provide scientific guidance for the practical application of ZMBs.","author":[{"dropping-particle":"","family":"Fu","given":"Biao","non-dropping-particle":"","parse-names":false,"suffix":""},{"dropping-particle":"","family":"Liu","given":"Guanqun","non-dropping-particle":"","parse-names":false,"suffix":""},{"dropping-particle":"","family":"Zhang","given":"Yajue","non-dropping-particle":"","parse-names":false,"suffix":""},{"dropping-particle":"","family":"Liu","given":"Zhexuan","non-dropping-particle":"","parse-names":false,"suffix":""},{"dropping-particle":"","family":"Xie","given":"Xuefang","non-dropping-particle":"","parse-names":false,"suffix":""},{"dropping-particle":"","family":"Fang","given":"Guozhao","non-dropping-particle":"","parse-names":false,"suffix":""},{"dropping-particle":"","family":"Liang","given":"Shuquan","non-dropping-particle":"","parse-names":false,"suffix":""}],"container-title":"ACS Energy Letters","id":"ITEM-2","issue":"7","issued":{"date-parts":[["2024","7","12"]]},"page":"3292-3307","publisher":"American Chemical Society","title":"Zn Powder-Based Anodes for Aqueous Zn Metal Batteries: Strategies, Structures, and Perspectives","type":"article-journal","volume":"9"},"uris":["http://www.mendeley.com/documents/?uuid=1facfb5a-5a1e-3dc8-be53-e4a82789ffee"]}],"mendeley":{"formattedCitation":"&lt;sup&gt;[129,130]&lt;/sup&gt;","plainTextFormattedCitation":"[129,130]","previouslyFormattedCitation":"&lt;sup&gt;[128,129]&lt;/sup&gt;"},"properties":{"noteIndex":0},"schema":"https://github.com/citation-style-language/schema/raw/master/csl-citation.json"}</w:instrText>
      </w:r>
      <w:r w:rsidR="00C5589B" w:rsidRPr="003E0254">
        <w:fldChar w:fldCharType="separate"/>
      </w:r>
      <w:r w:rsidR="00500B8D" w:rsidRPr="003E0254">
        <w:rPr>
          <w:noProof/>
          <w:vertAlign w:val="superscript"/>
        </w:rPr>
        <w:t>[129,130]</w:t>
      </w:r>
      <w:r w:rsidR="00C5589B" w:rsidRPr="003E0254">
        <w:fldChar w:fldCharType="end"/>
      </w:r>
      <w:r w:rsidRPr="003E0254">
        <w:t xml:space="preserve"> Recently, binder-free Zn electrodes were developed by combining commercial Zn powders with a pristine graphene substrate, leading to improved electrochemical performance of MnO</w:t>
      </w:r>
      <w:r w:rsidRPr="003E0254">
        <w:rPr>
          <w:sz w:val="18"/>
          <w:vertAlign w:val="subscript"/>
        </w:rPr>
        <w:t>2</w:t>
      </w:r>
      <w:r w:rsidRPr="003E0254">
        <w:t>||Zn batteries.</w:t>
      </w:r>
      <w:r w:rsidR="004A1382" w:rsidRPr="003E0254">
        <w:fldChar w:fldCharType="begin" w:fldLock="1"/>
      </w:r>
      <w:r w:rsidR="00500B8D" w:rsidRPr="003E0254">
        <w:instrText>ADDIN CSL_CITATION {"citationItems":[{"id":"ITEM-1","itemData":{"DOI":"10.1016/J.ENSM.2021.12.007","ISSN":"2405-8297","abstract":"Uncontrollable dendrite growth and side reactions that arise at the Zn anode severely impede the commercial applications of Zinc ion batteries. In particular, the low utilization rate of Zinc metal often results in low energy density. Herein, a more practicable non-dendrite zinc anode was designed to replace traditional zinc foils by hybridization of commercial zinc powders and pristine graphene (PG). The formed three-dimensional PG network not only enhance adhesion between zinc powder particles forming stable Zn powder/PG hybrid electrode with enough mechanical strength but also uniformize the local electrical field as a redistributor, leading to non-dendritic Zinc metal plating/stripping in combination with crystalline plane induce effect of PG. As a result, extremely low voltage hysteresis of 89 mV and long cycle life over 360 h (vs. 349 mV and 30 h for zinc foil) at large current density of 5 mA cm−2 are achieved for the Zn powder/PG anode. Notably, the Zn powder/PG anode can obviously enhance the rate performance and entire energy density of Zn||MnO2 full battery by nearly two times because of the higher utilization of Zn powder/PG anode. Therefore, this work provides new insight for designing practical zinc anode for high specific energy ZIB devices.","author":[{"dropping-particle":"","family":"Du","given":"Wencheng","non-dropping-particle":"","parse-names":false,"suffix":""},{"dropping-particle":"","family":"Huang","given":"Song","non-dropping-particle":"","parse-names":false,"suffix":""},{"dropping-particle":"","family":"Zhang","given":"Yufei","non-dropping-particle":"","parse-names":false,"suffix":""},{"dropping-particle":"","family":"Ye","given":"Minghui","non-dropping-particle":"","parse-names":false,"suffix":""},{"dropping-particle":"","family":"Li","given":"Cheng Chao","non-dropping-particle":"","parse-names":false,"suffix":""}],"container-title":"Energy Storage Materials","id":"ITEM-1","issued":{"date-parts":[["2022","3","1"]]},"page":"465-473","publisher":"Elsevier","title":"Enable commercial Zinc powders for dendrite-free Zinc anode with improved utilization rate by pristine graphene hybridization","type":"article-journal","volume":"45"},"uris":["http://www.mendeley.com/documents/?uuid=ae05642d-d0e5-4184-b766-dcfa459e67aa"]}],"mendeley":{"formattedCitation":"&lt;sup&gt;[98]&lt;/sup&gt;","plainTextFormattedCitation":"[98]","previouslyFormattedCitation":"&lt;sup&gt;[97]&lt;/sup&gt;"},"properties":{"noteIndex":0},"schema":"https://github.com/citation-style-language/schema/raw/master/csl-citation.json"}</w:instrText>
      </w:r>
      <w:r w:rsidR="004A1382" w:rsidRPr="003E0254">
        <w:fldChar w:fldCharType="separate"/>
      </w:r>
      <w:r w:rsidR="00500B8D" w:rsidRPr="003E0254">
        <w:rPr>
          <w:noProof/>
          <w:vertAlign w:val="superscript"/>
        </w:rPr>
        <w:t>[98]</w:t>
      </w:r>
      <w:r w:rsidR="004A1382" w:rsidRPr="003E0254">
        <w:fldChar w:fldCharType="end"/>
      </w:r>
      <w:r w:rsidRPr="003E0254">
        <w:t xml:space="preserve"> Similar performance improvements were also achieved using alternative substrate materials, such as </w:t>
      </w:r>
      <w:proofErr w:type="spellStart"/>
      <w:r w:rsidRPr="003E0254">
        <w:t>MXene</w:t>
      </w:r>
      <w:proofErr w:type="spellEnd"/>
      <w:r w:rsidR="004A1382" w:rsidRPr="003E0254">
        <w:fldChar w:fldCharType="begin" w:fldLock="1"/>
      </w:r>
      <w:r w:rsidR="00500B8D" w:rsidRPr="003E0254">
        <w:instrText>ADDIN CSL_CITATION {"citationItems":[{"id":"ITEM-1","itemData":{"DOI":"10.1021/ACSNANO.1C04354/ASSET/IMAGES/MEDIUM/NN1C04354_M001.GIF","ISSN":"1936086X","PMID":"34478265","abstract":"The renaissance of aqueous Zn ion batteries has drawn intense attention to Zn metal anode issues, including dendrites growth, dead Zn, low efficiency, and other parasitic reactions. However, against the widely used 2D Zn foil, in fact, the Zn powder anode is a more practical choice for Zn-based batteries in industrial applications, but the related solutions are rarely investigated. Herein, we focus on the Zn powder anode and disclose its unknown failure mechanism different from Zn foils. By utilization of 2D flexible conductive Ti3C2Tx MXene flakes with hexagonal close-packed lattice as electrons and ions redistributor, a stable and highly reversible Zn powder anode without dendrite growth and low polarization is constructed. Low lattice mismatch (</w:instrText>
      </w:r>
      <w:r w:rsidR="00500B8D" w:rsidRPr="003E0254">
        <w:rPr>
          <w:rFonts w:ascii="Cambria Math" w:hAnsi="Cambria Math" w:cs="Cambria Math"/>
        </w:rPr>
        <w:instrText>∼</w:instrText>
      </w:r>
      <w:r w:rsidR="00500B8D" w:rsidRPr="003E0254">
        <w:instrText>10%) enables a coherent heterogeneous interface between the (0002) plane of deposited Zn and (0002) plane of the Ti3C2Tx MXene. Thus, the Zn2+ ions are induced to undergo rapid uniform nucleation and sustained reversible stripping/plating with low energy barriers via the internally bridged shuttle channels. Paired with cyano group iron hexacyanoferrate (FeHCF) cathode, the FeHCF//MXene@Zn full battery delivers superior cycle durability and rate capability, whose service life with a CE of near 100% touches 850% of bare Zn powder counterparts. The proposed Ti3C2Tx MXene redistributor strategy concerning high-speed electrons/ions channel, low-barrier heterogeneous interface, is expected to be widely applied to other alkali metal anodes.","author":[{"dropping-particle":"","family":"Li","given":"Xinliang","non-dropping-particle":"","parse-names":false,"suffix":""},{"dropping-particle":"","family":"Li","given":"Qing","non-dropping-particle":"","parse-names":false,"suffix":""},{"dropping-particle":"","family":"Hou","given":"Yue","non-dropping-particle":"","parse-names":false,"suffix":""},{"dropping-particle":"","family":"Yang","given":"Qi","non-dropping-particle":"","parse-names":false,"suffix":""},{"dropping-particle":"","family":"Chen","given":"Ze","non-dropping-particle":"","parse-names":false,"suffix":""},{"dropping-particle":"","family":"Huang","given":"Zhaodong","non-dropping-particle":"","parse-names":false,"suffix":""},{"dropping-particle":"","family":"Liang","given":"Guojin","non-dropping-particle":"","parse-names":false,"suffix":""},{"dropping-particle":"","family":"Zhao","given":"Yuwei","non-dropping-particle":"","parse-names":false,"suffix":""},{"dropping-particle":"","family":"Ma","given":"Longtao","non-dropping-particle":"","parse-names":false,"suffix":""},{"dropping-particle":"","family":"Li","given":"Mian","non-dropping-particle":"","parse-names":false,"suffix":""},{"dropping-particle":"","family":"Huang","given":"Qing","non-dropping-particle":"","parse-names":false,"suffix":""},{"dropping-particle":"","family":"Zhi","given":"Chunyi","non-dropping-particle":"","parse-names":false,"suffix":""}],"container-title":"ACS Nano","id":"ITEM-1","issue":"9","issued":{"date-parts":[["2021","9","28"]]},"page":"14631-14642","publisher":"American Chemical Society","title":"Toward a Practical Zn Powder Anode: Ti3C2Tx MXene as a Lattice-Match Electrons/Ions Redistributor","type":"article-journal","volume":"15"},"uris":["http://www.mendeley.com/documents/?uuid=3a12eb2e-023a-3c5f-a299-73d1c4380552"]}],"mendeley":{"formattedCitation":"&lt;sup&gt;[100]&lt;/sup&gt;","plainTextFormattedCitation":"[100]","previouslyFormattedCitation":"&lt;sup&gt;[99]&lt;/sup&gt;"},"properties":{"noteIndex":0},"schema":"https://github.com/citation-style-language/schema/raw/master/csl-citation.json"}</w:instrText>
      </w:r>
      <w:r w:rsidR="004A1382" w:rsidRPr="003E0254">
        <w:fldChar w:fldCharType="separate"/>
      </w:r>
      <w:r w:rsidR="00500B8D" w:rsidRPr="003E0254">
        <w:rPr>
          <w:noProof/>
          <w:vertAlign w:val="superscript"/>
        </w:rPr>
        <w:t>[100]</w:t>
      </w:r>
      <w:r w:rsidR="004A1382" w:rsidRPr="003E0254">
        <w:fldChar w:fldCharType="end"/>
      </w:r>
      <w:r w:rsidRPr="003E0254">
        <w:t xml:space="preserve"> or mixed ionic-electronic conductors</w:t>
      </w:r>
      <w:r w:rsidR="004A1382" w:rsidRPr="003E0254">
        <w:fldChar w:fldCharType="begin" w:fldLock="1"/>
      </w:r>
      <w:r w:rsidR="00500B8D" w:rsidRPr="003E0254">
        <w:instrText>ADDIN CSL_CITATION {"citationItems":[{"id":"ITEM-1","itemData":{"DOI":"10.1002/adma.202200860","ISSN":"0935-9648","PMID":"35262983","abstract":"Zn powder (Zn</w:instrText>
      </w:r>
      <w:r w:rsidR="00500B8D" w:rsidRPr="003E0254">
        <w:rPr>
          <w:rFonts w:ascii="Cambria Math" w:hAnsi="Cambria Math" w:cs="Cambria Math"/>
        </w:rPr>
        <w:instrText>‐</w:instrText>
      </w:r>
      <w:r w:rsidR="00500B8D" w:rsidRPr="003E0254">
        <w:instrText>P)</w:instrText>
      </w:r>
      <w:r w:rsidR="00500B8D" w:rsidRPr="003E0254">
        <w:rPr>
          <w:rFonts w:ascii="Cambria Math" w:hAnsi="Cambria Math" w:cs="Cambria Math"/>
        </w:rPr>
        <w:instrText>‐</w:instrText>
      </w:r>
      <w:r w:rsidR="00500B8D" w:rsidRPr="003E0254">
        <w:instrText>based anodes are considered ideal candidates for Zn</w:instrText>
      </w:r>
      <w:r w:rsidR="00500B8D" w:rsidRPr="003E0254">
        <w:rPr>
          <w:rFonts w:ascii="Cambria Math" w:hAnsi="Cambria Math" w:cs="Cambria Math"/>
        </w:rPr>
        <w:instrText>‐</w:instrText>
      </w:r>
      <w:r w:rsidR="00500B8D" w:rsidRPr="003E0254">
        <w:instrText>based batteries because they enable a positive synergistic integration of safety and energy density. However, Zn</w:instrText>
      </w:r>
      <w:r w:rsidR="00500B8D" w:rsidRPr="003E0254">
        <w:rPr>
          <w:rFonts w:ascii="Cambria Math" w:hAnsi="Cambria Math" w:cs="Cambria Math"/>
        </w:rPr>
        <w:instrText>‐</w:instrText>
      </w:r>
      <w:r w:rsidR="00500B8D" w:rsidRPr="003E0254">
        <w:instrText>P</w:instrText>
      </w:r>
      <w:r w:rsidR="00500B8D" w:rsidRPr="003E0254">
        <w:rPr>
          <w:rFonts w:ascii="Cambria Math" w:hAnsi="Cambria Math" w:cs="Cambria Math"/>
        </w:rPr>
        <w:instrText>‐</w:instrText>
      </w:r>
      <w:r w:rsidR="00500B8D" w:rsidRPr="003E0254">
        <w:instrText>based anodes still experience easy corrosion, uncontrolled dendrite growth, and poor mechanical strength, which restrict their further application. Herein, a mixed ionic</w:instrText>
      </w:r>
      <w:r w:rsidR="00500B8D" w:rsidRPr="003E0254">
        <w:rPr>
          <w:rFonts w:ascii="Cambria Math" w:hAnsi="Cambria Math" w:cs="Cambria Math"/>
        </w:rPr>
        <w:instrText>‐</w:instrText>
      </w:r>
      <w:r w:rsidR="00500B8D" w:rsidRPr="003E0254">
        <w:instrText>electronic conducting scaffold is introduced into Zn</w:instrText>
      </w:r>
      <w:r w:rsidR="00500B8D" w:rsidRPr="003E0254">
        <w:rPr>
          <w:rFonts w:ascii="Cambria Math" w:hAnsi="Cambria Math" w:cs="Cambria Math"/>
        </w:rPr>
        <w:instrText>‐</w:instrText>
      </w:r>
      <w:r w:rsidR="00500B8D" w:rsidRPr="003E0254">
        <w:instrText>P to successfully fabricate anti</w:instrText>
      </w:r>
      <w:r w:rsidR="00500B8D" w:rsidRPr="003E0254">
        <w:rPr>
          <w:rFonts w:ascii="Cambria Math" w:hAnsi="Cambria Math" w:cs="Cambria Math"/>
        </w:rPr>
        <w:instrText>‐</w:instrText>
      </w:r>
      <w:r w:rsidR="00500B8D" w:rsidRPr="003E0254">
        <w:instrText>corrosive, flexible, and dendrite</w:instrText>
      </w:r>
      <w:r w:rsidR="00500B8D" w:rsidRPr="003E0254">
        <w:rPr>
          <w:rFonts w:ascii="Cambria Math" w:hAnsi="Cambria Math" w:cs="Cambria Math"/>
        </w:rPr>
        <w:instrText>‐</w:instrText>
      </w:r>
      <w:r w:rsidR="00500B8D" w:rsidRPr="003E0254">
        <w:instrText>free Zn anodes using a scalable tape</w:instrText>
      </w:r>
      <w:r w:rsidR="00500B8D" w:rsidRPr="003E0254">
        <w:rPr>
          <w:rFonts w:ascii="Cambria Math" w:hAnsi="Cambria Math" w:cs="Cambria Math"/>
        </w:rPr>
        <w:instrText>‐</w:instrText>
      </w:r>
      <w:r w:rsidR="00500B8D" w:rsidRPr="003E0254">
        <w:instrText>casting strategy. The as</w:instrText>
      </w:r>
      <w:r w:rsidR="00500B8D" w:rsidRPr="003E0254">
        <w:rPr>
          <w:rFonts w:ascii="Cambria Math" w:hAnsi="Cambria Math" w:cs="Cambria Math"/>
        </w:rPr>
        <w:instrText>‐</w:instrText>
      </w:r>
      <w:r w:rsidR="00500B8D" w:rsidRPr="003E0254">
        <w:instrText>established scaffold is characterized by robust flexibility, facile scale</w:instrText>
      </w:r>
      <w:r w:rsidR="00500B8D" w:rsidRPr="003E0254">
        <w:rPr>
          <w:rFonts w:ascii="Cambria Math" w:hAnsi="Cambria Math" w:cs="Cambria Math"/>
        </w:rPr>
        <w:instrText>‐</w:instrText>
      </w:r>
      <w:r w:rsidR="00500B8D" w:rsidRPr="003E0254">
        <w:instrText>up synthesis methodology, and exceptional anti</w:instrText>
      </w:r>
      <w:r w:rsidR="00500B8D" w:rsidRPr="003E0254">
        <w:rPr>
          <w:rFonts w:ascii="Cambria Math" w:hAnsi="Cambria Math" w:cs="Cambria Math"/>
        </w:rPr>
        <w:instrText>‐</w:instrText>
      </w:r>
      <w:r w:rsidR="00500B8D" w:rsidRPr="003E0254">
        <w:instrText>corrosive characteristics, and it can effectively homogenize the Zn 2+ flux during Zn plating/stripping, thus allowing stable Zn cycling. Benefiting from these comprehensive attributes, the as</w:instrText>
      </w:r>
      <w:r w:rsidR="00500B8D" w:rsidRPr="003E0254">
        <w:rPr>
          <w:rFonts w:ascii="Cambria Math" w:hAnsi="Cambria Math" w:cs="Cambria Math"/>
        </w:rPr>
        <w:instrText>‐</w:instrText>
      </w:r>
      <w:r w:rsidR="00500B8D" w:rsidRPr="003E0254">
        <w:instrText>prepared Zn</w:instrText>
      </w:r>
      <w:r w:rsidR="00500B8D" w:rsidRPr="003E0254">
        <w:rPr>
          <w:rFonts w:ascii="Cambria Math" w:hAnsi="Cambria Math" w:cs="Cambria Math"/>
        </w:rPr>
        <w:instrText>‐</w:instrText>
      </w:r>
      <w:r w:rsidR="00500B8D" w:rsidRPr="003E0254">
        <w:instrText>P</w:instrText>
      </w:r>
      <w:r w:rsidR="00500B8D" w:rsidRPr="003E0254">
        <w:rPr>
          <w:rFonts w:ascii="Cambria Math" w:hAnsi="Cambria Math" w:cs="Cambria Math"/>
        </w:rPr>
        <w:instrText>‐</w:instrText>
      </w:r>
      <w:r w:rsidR="00500B8D" w:rsidRPr="003E0254">
        <w:instrText>based anode provides superior electrochemical performance, including long</w:instrText>
      </w:r>
      <w:r w:rsidR="00500B8D" w:rsidRPr="003E0254">
        <w:rPr>
          <w:rFonts w:ascii="Cambria Math" w:hAnsi="Cambria Math" w:cs="Cambria Math"/>
        </w:rPr>
        <w:instrText>‐</w:instrText>
      </w:r>
      <w:r w:rsidR="00500B8D" w:rsidRPr="003E0254">
        <w:instrText>life cycling stability and high rate capability in practical coin and flexible pouch cells; thus, it holds great potential for developing advanced Zn</w:instrText>
      </w:r>
      <w:r w:rsidR="00500B8D" w:rsidRPr="003E0254">
        <w:rPr>
          <w:rFonts w:ascii="Cambria Math" w:hAnsi="Cambria Math" w:cs="Cambria Math"/>
        </w:rPr>
        <w:instrText>‐</w:instrText>
      </w:r>
      <w:r w:rsidR="00500B8D" w:rsidRPr="003E0254">
        <w:instrText>ion batteries. The findings of this study provide insights for a promising scalable pathway to fabricate highly efficient and reliable Zn</w:instrText>
      </w:r>
      <w:r w:rsidR="00500B8D" w:rsidRPr="003E0254">
        <w:rPr>
          <w:rFonts w:ascii="Cambria Math" w:hAnsi="Cambria Math" w:cs="Cambria Math"/>
        </w:rPr>
        <w:instrText>‐</w:instrText>
      </w:r>
      <w:r w:rsidR="00500B8D" w:rsidRPr="003E0254">
        <w:instrText>based anodes and will aid in the realization of advanced flexible energy</w:instrText>
      </w:r>
      <w:r w:rsidR="00500B8D" w:rsidRPr="003E0254">
        <w:rPr>
          <w:rFonts w:ascii="Cambria Math" w:hAnsi="Cambria Math" w:cs="Cambria Math"/>
        </w:rPr>
        <w:instrText>‐</w:instrText>
      </w:r>
      <w:r w:rsidR="00500B8D" w:rsidRPr="003E0254">
        <w:instrText>storage devices.","author":[{"dropping-particle":"","family":"Zhang","given":"Min","non-dropping-particle":"","parse-names":false,"suffix":""},{"dropping-particle":"","family":"Yu","given":"Peifeng","non-dropping-particle":"","parse-names":false,"suffix":""},{"dropping-particle":"","family":"Xiong","given":"Kairong","non-dropping-particle":"","parse-names":false,"suffix":""},{"dropping-particle":"","family":"Wang","given":"Yongyin","non-dropping-particle":"","parse-names":false,"suffix":""},{"dropping-particle":"","family":"Liu","given":"Yingliang","non-dropping-particle":"","parse-names":false,"suffix":""},{"dropping-particle":"","family":"Liang","given":"Yeru","non-dropping-particle":"","parse-names":false,"suffix":""}],"container-title":"Advanced Materials","id":"ITEM-1","issue":"19","issued":{"date-parts":[["2022","5","5"]]},"page":"2200860","publisher":"John Wiley &amp; Sons, Ltd","title":"Construction of Mixed Ionic</w:instrText>
      </w:r>
      <w:r w:rsidR="00500B8D" w:rsidRPr="003E0254">
        <w:rPr>
          <w:rFonts w:ascii="Cambria Math" w:hAnsi="Cambria Math" w:cs="Cambria Math"/>
        </w:rPr>
        <w:instrText>‐</w:instrText>
      </w:r>
      <w:r w:rsidR="00500B8D" w:rsidRPr="003E0254">
        <w:instrText>Electronic Conducting Scaffolds in Zn Powder: A Scalable Route to Dendrite</w:instrText>
      </w:r>
      <w:r w:rsidR="00500B8D" w:rsidRPr="003E0254">
        <w:rPr>
          <w:rFonts w:ascii="Cambria Math" w:hAnsi="Cambria Math" w:cs="Cambria Math"/>
        </w:rPr>
        <w:instrText>‐</w:instrText>
      </w:r>
      <w:r w:rsidR="00500B8D" w:rsidRPr="003E0254">
        <w:instrText>Free and Flexible Zn Anodes","type":"article-journal","volume":"34"},"uris":["http://www.mendeley.com/documents/?uuid=99efa170-de06-3a02-bb54-e8e27d976edd"]}],"mendeley":{"formattedCitation":"&lt;sup&gt;[99]&lt;/sup&gt;","plainTextFormattedCitation":"[99]","previouslyFormattedCitation":"&lt;sup&gt;[98]&lt;/sup&gt;"},"properties":{"noteIndex":0},"schema":"https://github.com/citation-style-language/schema/raw/master/csl-citation.json"}</w:instrText>
      </w:r>
      <w:r w:rsidR="004A1382" w:rsidRPr="003E0254">
        <w:fldChar w:fldCharType="separate"/>
      </w:r>
      <w:r w:rsidR="00500B8D" w:rsidRPr="003E0254">
        <w:rPr>
          <w:noProof/>
          <w:vertAlign w:val="superscript"/>
        </w:rPr>
        <w:t>[99]</w:t>
      </w:r>
      <w:r w:rsidR="004A1382" w:rsidRPr="003E0254">
        <w:fldChar w:fldCharType="end"/>
      </w:r>
      <w:r w:rsidRPr="003E0254">
        <w:t xml:space="preserve">, with Zn powder serving as the active material. </w:t>
      </w:r>
    </w:p>
    <w:p w14:paraId="4BA95AED" w14:textId="31D08A1E" w:rsidR="00C60055" w:rsidRPr="003E0254" w:rsidRDefault="00C60055" w:rsidP="00C60055">
      <w:pPr>
        <w:spacing w:line="276" w:lineRule="auto"/>
        <w:jc w:val="both"/>
      </w:pPr>
      <w:r w:rsidRPr="003E0254">
        <w:t>Alloying represents another promising strategy for fine-tuning the electrochemical behavior of zinc, enabling the modification of its properties.</w:t>
      </w:r>
      <w:r w:rsidR="004A1382" w:rsidRPr="003E0254">
        <w:fldChar w:fldCharType="begin" w:fldLock="1"/>
      </w:r>
      <w:r w:rsidR="00500B8D" w:rsidRPr="003E0254">
        <w:instrText>ADDIN CSL_CITATION {"citationItems":[{"id":"ITEM-1","itemData":{"DOI":"10.1021/ACSENERGYLETT.2C01960/ASSET/IMAGES/LARGE/NZ2C01960_0014.JPEG","ISSN":"23808195","abstract":"Owing to the advantages of low cost, high energy density, and environment friendly, aqueous zinc ion batteries (AZIBs) are considered as promising energy storage devices. Inevitable zinc dendrites, corrosion, passivation, and hydrogen evolution reactions of zinc anodes have seriously hampered the practical application of AZIBs. To address the above-mentioned issues, zinc anode alloying is proposed as an emerging modification strategy. Therefore, it is essential to systematically summarize the obtained research results on zinc alloying strategies and analyze new perspectives. Based on the presented studies on zinc alloying anode, different improvement mechanisms are described, such as an artificial interface alloy protective layer, an electrostatic shielding effect, heterogeneous seeds as zincophilic sites, vertical plane matching strategy, etc. According to the different synthesis methods and mechanisms of action, recent advances have been summarized. Finally, the potential development prospects for further upgrading the alloying of zinc anodes are presented.","author":[{"dropping-particle":"","family":"Li","given":"Ruotong","non-dropping-particle":"","parse-names":false,"suffix":""},{"dropping-particle":"","family":"Du","given":"Yingxiao","non-dropping-particle":"","parse-names":false,"suffix":""},{"dropping-particle":"","family":"Li","given":"Yuehua","non-dropping-particle":"","parse-names":false,"suffix":""},{"dropping-particle":"","family":"He","given":"Zhangxing","non-dropping-particle":"","parse-names":false,"suffix":""},{"dropping-particle":"","family":"Dai","given":"Lei","non-dropping-particle":"","parse-names":false,"suffix":""},{"dropping-particle":"","family":"Wang","given":"Ling","non-dropping-particle":"","parse-names":false,"suffix":""},{"dropping-particle":"","family":"Wu","given":"Xianwen","non-dropping-particle":"","parse-names":false,"suffix":""},{"dropping-particle":"","family":"Zhang","given":"Jiujun","non-dropping-particle":"","parse-names":false,"suffix":""},{"dropping-particle":"","family":"Yi","given":"Jin","non-dropping-particle":"","parse-names":false,"suffix":""}],"container-title":"ACS Energy Letters","id":"ITEM-1","issue":"1","issued":{"date-parts":[["2023","1","13"]]},"page":"457-476","publisher":"American Chemical Society","title":"Alloying Strategy for High-Performance Zinc Metal Anodes","type":"article-journal","volume":"8"},"uris":["http://www.mendeley.com/documents/?uuid=a0001f92-b138-3789-bcf6-59db74535613"]}],"mendeley":{"formattedCitation":"&lt;sup&gt;[131]&lt;/sup&gt;","plainTextFormattedCitation":"[131]","previouslyFormattedCitation":"&lt;sup&gt;[130]&lt;/sup&gt;"},"properties":{"noteIndex":0},"schema":"https://github.com/citation-style-language/schema/raw/master/csl-citation.json"}</w:instrText>
      </w:r>
      <w:r w:rsidR="004A1382" w:rsidRPr="003E0254">
        <w:fldChar w:fldCharType="separate"/>
      </w:r>
      <w:r w:rsidR="00500B8D" w:rsidRPr="003E0254">
        <w:rPr>
          <w:noProof/>
          <w:vertAlign w:val="superscript"/>
        </w:rPr>
        <w:t>[131]</w:t>
      </w:r>
      <w:r w:rsidR="004A1382" w:rsidRPr="003E0254">
        <w:fldChar w:fldCharType="end"/>
      </w:r>
      <w:r w:rsidRPr="003E0254">
        <w:t xml:space="preserve"> By selecting suitable alloying elements, both the corrosion resistance and cycling properties of the electrode can be improved. For instance, alloying zinc with copper</w:t>
      </w:r>
      <w:r w:rsidR="009A49FC" w:rsidRPr="003E0254">
        <w:fldChar w:fldCharType="begin" w:fldLock="1"/>
      </w:r>
      <w:r w:rsidR="00500B8D" w:rsidRPr="003E0254">
        <w:instrText>ADDIN CSL_CITATION {"citationItems":[{"id":"ITEM-1","itemData":{"DOI":"10.1007/S40820-022-00867-9/FIGURES/4","ISSN":"21505551","abstract":"Metallic zinc (Zn) is one of the most attractive multivalent-metal anode materials in post-lithium batteries because of its high abundance, low cost and high theoretical capacity. However, it usually suffers from large voltage polarization, low Coulombic efficiency and high propensity for dendritic failure during Zn stripping/plating, hindering the practical application in aqueous rechargeable zinc-metal batteries (AR-ZMBs). Here we demonstrate that anionic surfactant-assisted in situ surface alloying of Cu and Zn remarkably improves Zn reversibility of 3D nanoporous Zn electrodes for potential use as high-performance AR-ZMB anode materials. As a result of the zincophilic ZnxCuy alloy shell guiding uniform Zn deposition with a zero nucleation overpotential and facilitating Zn stripping via the ZnxCuy/Zn galvanic couples, the self-supported nanoporous ZnxCuy/Zn electrodes exhibit superior dendrite-free Zn stripping/plating behaviors in ambient aqueous electrolyte, with ultralow polarizations under current densities up to 50 mA cm</w:instrText>
      </w:r>
      <w:r w:rsidR="00500B8D" w:rsidRPr="003E0254">
        <w:rPr>
          <w:rFonts w:ascii="Arial" w:hAnsi="Arial" w:cs="Arial"/>
        </w:rPr>
        <w:instrText>‒</w:instrText>
      </w:r>
      <w:r w:rsidR="00500B8D" w:rsidRPr="003E0254">
        <w:instrText>2, exceptional stability for 1900</w:instrText>
      </w:r>
      <w:r w:rsidR="00500B8D" w:rsidRPr="003E0254">
        <w:rPr>
          <w:rFonts w:ascii="Aptos" w:hAnsi="Aptos" w:cs="Aptos"/>
        </w:rPr>
        <w:instrText> </w:instrText>
      </w:r>
      <w:r w:rsidR="00500B8D" w:rsidRPr="003E0254">
        <w:instrText>h and high Zn utilization. This enables AR-ZMB full cells constructed with nanoporous ZnxCuy/Zn anode and KzMnO2 cathode to achieve specific energy of as high as ~ 430 Wh kg</w:instrText>
      </w:r>
      <w:r w:rsidR="00500B8D" w:rsidRPr="003E0254">
        <w:rPr>
          <w:rFonts w:ascii="Arial" w:hAnsi="Arial" w:cs="Arial"/>
        </w:rPr>
        <w:instrText>‒</w:instrText>
      </w:r>
      <w:r w:rsidR="00500B8D" w:rsidRPr="003E0254">
        <w:instrText>1 with ~ 99.8% Coulombic efficiency, and retain ~ 86% after long-term cycles for &gt; 700</w:instrText>
      </w:r>
      <w:r w:rsidR="00500B8D" w:rsidRPr="003E0254">
        <w:rPr>
          <w:rFonts w:ascii="Aptos" w:hAnsi="Aptos" w:cs="Aptos"/>
        </w:rPr>
        <w:instrText> </w:instrText>
      </w:r>
      <w:r w:rsidR="00500B8D" w:rsidRPr="003E0254">
        <w:instrText>h. [Figure not available: see fulltext.]","author":[{"dropping-particle":"","family":"Meng","given":"Huan","non-dropping-particle":"","parse-names":false,"suffix":""},{"dropping-particle":"","family":"Ran","given":"Qing","non-dropping-particle":"","parse-names":false,"suffix":""},{"dropping-particle":"","family":"Dai","given":"Tian Yi","non-dropping-particle":"","parse-names":false,"suffix":""},{"dropping-particle":"","family":"Shi","given":"Hang","non-dropping-particle":"","parse-names":false,"suffix":""},{"dropping-particle":"","family":"Zeng","given":"Shu Pei","non-dropping-particle":"","parse-names":false,"suffix":""},{"dropping-particle":"","family":"Zhu","given":"Yong Fu","non-dropping-particle":"","parse-names":false,"suffix":""},{"dropping-particle":"","family":"Wen","given":"Zi","non-dropping-particle":"","parse-names":false,"suffix":""},{"dropping-particle":"","family":"Zhang","given":"Wei","non-dropping-particle":"","parse-names":false,"suffix":""},{"dropping-particle":"","family":"Lang","given":"Xing You","non-dropping-particle":"","parse-names":false,"suffix":""},{"dropping-particle":"","family":"Zheng","given":"Wei Tao","non-dropping-particle":"","parse-names":false,"suffix":""},{"dropping-particle":"","family":"Jiang","given":"Qing","non-dropping-particle":"","parse-names":false,"suffix":""}],"container-title":"Nano-Micro Letters","id":"ITEM-1","issue":"1","issued":{"date-parts":[["2022","12","1"]]},"page":"1-14","publisher":"Springer Science and Business Media B.V.","title":"Surface-Alloyed Nanoporous Zinc as Reversible and Stable Anodes for High-Performance Aqueous Zinc-Ion Battery","type":"article-journal","volume":"14"},"uris":["http://www.mendeley.com/documents/?uuid=3e884fed-3dc3-3a70-9e06-cb56c840cdb5"]}],"mendeley":{"formattedCitation":"&lt;sup&gt;[103]&lt;/sup&gt;","plainTextFormattedCitation":"[103]","previouslyFormattedCitation":"&lt;sup&gt;[102]&lt;/sup&gt;"},"properties":{"noteIndex":0},"schema":"https://github.com/citation-style-language/schema/raw/master/csl-citation.json"}</w:instrText>
      </w:r>
      <w:r w:rsidR="009A49FC" w:rsidRPr="003E0254">
        <w:fldChar w:fldCharType="separate"/>
      </w:r>
      <w:r w:rsidR="00500B8D" w:rsidRPr="003E0254">
        <w:rPr>
          <w:noProof/>
          <w:vertAlign w:val="superscript"/>
        </w:rPr>
        <w:t>[103]</w:t>
      </w:r>
      <w:r w:rsidR="009A49FC" w:rsidRPr="003E0254">
        <w:fldChar w:fldCharType="end"/>
      </w:r>
      <w:r w:rsidR="009A49FC" w:rsidRPr="003E0254">
        <w:t xml:space="preserve"> </w:t>
      </w:r>
      <w:r w:rsidRPr="003E0254">
        <w:t>or aluminum</w:t>
      </w:r>
      <w:r w:rsidR="009A49FC" w:rsidRPr="003E0254">
        <w:fldChar w:fldCharType="begin" w:fldLock="1"/>
      </w:r>
      <w:r w:rsidR="00500B8D" w:rsidRPr="003E0254">
        <w:instrText>ADDIN CSL_CITATION {"citationItems":[{"id":"ITEM-1","itemData":{"DOI":"10.1038/s41467-020-15478-4","ISSN":"2041-1723","PMID":"32242024","abstract":"Metallic zinc is an attractive anode material for aqueous rechargeable batteries because of its high theoretical capacity and low cost. However, state-of-the-art zinc anodes suffer from low coulombic efficiency and severe dendrite growth during stripping/plating processes, hampering their practical applications. Here we show that eutectic-composition alloying of zinc and aluminum as an effective strategy substantially tackles these irreversibility issues by making use of their lamellar structure, composed of alternating zinc and aluminum nanolamellas. The lamellar nanostructure not only promotes zinc stripping from precursor eutectic Zn88Al12 (at%) alloys, but produces core/shell aluminum/aluminum sesquioxide interlamellar nanopatterns in situ&amp;nbsp;to in turn guide subsequent growth of zinc, enabling dendrite-free zinc stripping/plating for more than 2000</w:instrText>
      </w:r>
      <w:r w:rsidR="00500B8D" w:rsidRPr="003E0254">
        <w:rPr>
          <w:rFonts w:ascii="Arial" w:hAnsi="Arial" w:cs="Arial"/>
        </w:rPr>
        <w:instrText> </w:instrText>
      </w:r>
      <w:r w:rsidR="00500B8D" w:rsidRPr="003E0254">
        <w:instrText>h in oxygen-absent aqueous electrolyte. These outstanding electrochemical properties enlist zinc-ion batteries constructed with Zn88Al12 alloy anode and KxMnO2 cathode to deliver high-density energy at high levels of electrical power and retain 100% capacity after 200</w:instrText>
      </w:r>
      <w:r w:rsidR="00500B8D" w:rsidRPr="003E0254">
        <w:rPr>
          <w:rFonts w:ascii="Arial" w:hAnsi="Arial" w:cs="Arial"/>
        </w:rPr>
        <w:instrText> </w:instrText>
      </w:r>
      <w:r w:rsidR="00500B8D" w:rsidRPr="003E0254">
        <w:instrText>hours. Aqueous rechargeable Zn-ion batteries are attractive energy storage devices, but their wide adoption is impeded by the&amp;nbsp;irreversible metallic Zn anode. Here the authors report lamellar-nanostructured eutectic Zn/Al alloys as reversible and dendrite-free anodes for improved battery performance.","author":[{"dropping-particle":"","family":"Wang","given":"Sheng Bo","non-dropping-particle":"","parse-names":false,"suffix":""},{"dropping-particle":"","family":"Ran","given":"Qing","non-dropping-particle":"","parse-names":false,"suffix":""},{"dropping-particle":"","family":"Yao","given":"Rui Qi","non-dropping-particle":"","parse-names":false,"suffix":""},{"dropping-particle":"","family":"Shi","given":"Hang","non-dropping-particle":"","parse-names":false,"suffix":""},{"dropping-particle":"","family":"Wen","given":"Zi","non-dropping-particle":"","parse-names":false,"suffix":""},{"dropping-particle":"","family":"Zhao","given":"Ming","non-dropping-particle":"","parse-names":false,"suffix":""},{"dropping-particle":"","family":"Lang","given":"Xing You","non-dropping-particle":"","parse-names":false,"suffix":""},{"dropping-particle":"","family":"Jiang","given":"Qing","non-dropping-particle":"","parse-names":false,"suffix":""}],"container-title":"Nature Communications 2020 11:1","id":"ITEM-1","issue":"1","issued":{"date-parts":[["2020","4","2"]]},"page":"1-9","publisher":"Nature Publishing Group","title":"Lamella-nanostructured eutectic zinc–aluminum alloys as reversible and dendrite-free anodes for aqueous rechargeable batteries","type":"article-journal","volume":"11"},"uris":["http://www.mendeley.com/documents/?uuid=af329f28-1193-3362-bb99-417e57248a41"]}],"mendeley":{"formattedCitation":"&lt;sup&gt;[106]&lt;/sup&gt;","plainTextFormattedCitation":"[106]","previouslyFormattedCitation":"&lt;sup&gt;[105]&lt;/sup&gt;"},"properties":{"noteIndex":0},"schema":"https://github.com/citation-style-language/schema/raw/master/csl-citation.json"}</w:instrText>
      </w:r>
      <w:r w:rsidR="009A49FC" w:rsidRPr="003E0254">
        <w:fldChar w:fldCharType="separate"/>
      </w:r>
      <w:r w:rsidR="00500B8D" w:rsidRPr="003E0254">
        <w:rPr>
          <w:noProof/>
          <w:vertAlign w:val="superscript"/>
        </w:rPr>
        <w:t>[106]</w:t>
      </w:r>
      <w:r w:rsidR="009A49FC" w:rsidRPr="003E0254">
        <w:fldChar w:fldCharType="end"/>
      </w:r>
      <w:r w:rsidRPr="003E0254">
        <w:t xml:space="preserve"> has demonstrated remarkably stable cycling performance, achieving up to 40000 cycles or over 2000</w:t>
      </w:r>
      <w:r w:rsidR="00EC14AC" w:rsidRPr="003E0254">
        <w:t> </w:t>
      </w:r>
      <w:r w:rsidRPr="003E0254">
        <w:t xml:space="preserve">h in symmetric cells. Similarly, alloying zinc with </w:t>
      </w:r>
      <w:r w:rsidR="00EC14AC" w:rsidRPr="003E0254">
        <w:t>b</w:t>
      </w:r>
      <w:r w:rsidRPr="003E0254">
        <w:t>ismuth</w:t>
      </w:r>
      <w:r w:rsidR="009A49FC" w:rsidRPr="003E0254">
        <w:fldChar w:fldCharType="begin" w:fldLock="1"/>
      </w:r>
      <w:r w:rsidR="00500B8D" w:rsidRPr="003E0254">
        <w:instrText>ADDIN CSL_CITATION {"citationItems":[{"id":"ITEM-1","itemData":{"DOI":"10.1002/SMLL.202307848","ISSN":"1613-6829","PMID":"38054768","abstract":"Reconfiguration of zinc anodes efficiently mitigates dendrite formation and undesirable side reactions, thus favoring the long-term cycling performance of aqueous zinc ion batteries (AZIBs). This study synthesizes a Zn@Bi alloy anode (Zn@Bi) using the fusion method, and find that the anode surfaces synthesized using this method have an extremely high percentage of Zn(002) crystalline surfaces. Experimental results indicate that the addition of bismuth inhibits the hydrogen evolution reaction and corrosion of zinc anodes. The finite-element simulation results indicate that Zn@Bi can effectively achieve a uniform anodic electric field, thereby regulating the homogeneous depositions of zinc ions and reducing the production of Zn dendrite. Theoretical calculations reveal that the incorporation of Bi favors the anode structure stabilization and higher adsorption energy of Zn@Bi corresponds to better Zn deposition kinetics. The Zn@Bi//Zn@Bi symmetric cell demonstrates an extended cycle life of 1000 h. Furthermore, when pairing Zn@Bi with an α-MnO2 cathode to construct a Zn@Bi//MnO2 cell, a specific capacity of 119.3 mAh g−1 is maintained even after 1700 cycles at 1.2 A g−1. This study sheds light on the development of dendrite-free anodes for advanced AZIBs.","author":[{"dropping-particle":"","family":"Du","given":"Yingxiao","non-dropping-particle":"","parse-names":false,"suffix":""},{"dropping-particle":"","family":"Feng","given":"Yang","non-dropping-particle":"","parse-names":false,"suffix":""},{"dropping-particle":"","family":"Li","given":"Ruotong","non-dropping-particle":"","parse-names":false,"suffix":""},{"dropping-particle":"","family":"Peng","given":"Zhi","non-dropping-particle":"","parse-names":false,"suffix":""},{"dropping-particle":"","family":"Yao","given":"Xinyue","non-dropping-particle":"","parse-names":false,"suffix":""},{"dropping-particle":"","family":"Duan","given":"Siying","non-dropping-particle":"","parse-names":false,"suffix":""},{"dropping-particle":"","family":"Liu","given":"Shude","non-dropping-particle":"","parse-names":false,"suffix":""},{"dropping-particle":"","family":"Jun","given":"Seong Chan","non-dropping-particle":"","parse-names":false,"suffix":""},{"dropping-particle":"","family":"Zhu","given":"Jing","non-dropping-particle":"","parse-names":false,"suffix":""},{"dropping-particle":"","family":"Dai","given":"Lei","non-dropping-particle":"","parse-names":false,"suffix":""},{"dropping-particle":"","family":"Yang","given":"Qi","non-dropping-particle":"","parse-names":false,"suffix":""},{"dropping-particle":"","family":"Wang","given":"Ling","non-dropping-particle":"","parse-names":false,"suffix":""},{"dropping-particle":"","family":"He","given":"Zhangxing","non-dropping-particle":"","parse-names":false,"suffix":""}],"container-title":"Small","id":"ITEM-1","issue":"17","issued":{"date-parts":[["2024","4","1"]]},"page":"2307848","publisher":"John Wiley &amp; Sons, Ltd","title":"Zinc-Bismuth Binary Alloy Enabling High-Performance Aqueous Zinc Ion Batteries","type":"article-journal","volume":"20"},"uris":["http://www.mendeley.com/documents/?uuid=d127ff56-f1cb-3bff-803a-fa9a288b1e5f"]}],"mendeley":{"formattedCitation":"&lt;sup&gt;[105]&lt;/sup&gt;","plainTextFormattedCitation":"[105]","previouslyFormattedCitation":"&lt;sup&gt;[104]&lt;/sup&gt;"},"properties":{"noteIndex":0},"schema":"https://github.com/citation-style-language/schema/raw/master/csl-citation.json"}</w:instrText>
      </w:r>
      <w:r w:rsidR="009A49FC" w:rsidRPr="003E0254">
        <w:fldChar w:fldCharType="separate"/>
      </w:r>
      <w:r w:rsidR="00500B8D" w:rsidRPr="003E0254">
        <w:rPr>
          <w:noProof/>
          <w:vertAlign w:val="superscript"/>
        </w:rPr>
        <w:t>[105]</w:t>
      </w:r>
      <w:r w:rsidR="009A49FC" w:rsidRPr="003E0254">
        <w:fldChar w:fldCharType="end"/>
      </w:r>
      <w:r w:rsidR="009A49FC" w:rsidRPr="003E0254">
        <w:t xml:space="preserve"> </w:t>
      </w:r>
      <w:r w:rsidRPr="003E0254">
        <w:t xml:space="preserve">or </w:t>
      </w:r>
      <w:r w:rsidR="00EC14AC" w:rsidRPr="003E0254">
        <w:t>s</w:t>
      </w:r>
      <w:r w:rsidRPr="003E0254">
        <w:t>ilver</w:t>
      </w:r>
      <w:r w:rsidR="009A49FC" w:rsidRPr="003E0254">
        <w:fldChar w:fldCharType="begin" w:fldLock="1"/>
      </w:r>
      <w:r w:rsidR="00500B8D" w:rsidRPr="003E0254">
        <w:instrText>ADDIN CSL_CITATION {"citationItems":[{"id":"ITEM-1","itemData":{"DOI":"10.1039/D0TA12177K","ISSN":"2050-7496","abstract":"Rechargeable aqueous zinc-ion batteries (ZIBs) are attractive candidates for next-generation batteries. However, the challenge of uneven zinc electroplating/electrostripping on bare Zn anodes has severely restrained the practical application of ZIBs. To address this problem, a straightforward strategy of sliver particle-coated zinc plate (designated as Zn@Ag) via the metallic replacement reaction as the zinc metal anode has been employed to facilitate uniform and stable Zn-plating/stripping. The newly formed AgZn3 alloy from silver particles at the first zinc-plating cycle with good zinc affinity can effectively lower the energy barrier of zinc nucleation and promote uniform electric field distribution for the flow of Zn ions, resulting in stable zinc deposition. Benefiting from the in situ formed alloy phase, the Zn@Ag anode achieves stable cycling for over 1700 h with a very low polarization voltage of about 21 mV at 0.25 mA cm−2 and 0.25 mA h cm−2, while the bare Zn anode just exhibits less than 150 cycles with large voltage fluctuation and polarization under same conditions. As a consequence, greatly improved performance of the Zn@Ag//CNT/MnO2 full-cell with twice the capacity (177 mA h g−1) than that of bare Zn//CNT/MnO2 full-cell (71 mA h g−1) after 400 cycles at 0.6 A g−1 can be realized. This work provides a facile and effective approach to regulate Zn deposition for the achievement of long-life rechargeable ZIBs.","author":[{"dropping-particle":"","family":"Wang","given":"Yunyun","non-dropping-particle":"","parse-names":false,"suffix":""},{"dropping-particle":"","family":"Chen","given":"Yuejiao","non-dropping-particle":"","parse-names":false,"suffix":""},{"dropping-particle":"","family":"Liu","given":"Wen","non-dropping-particle":"","parse-names":false,"suffix":""},{"dropping-particle":"","family":"Ni","given":"Xuyan","non-dropping-particle":"","parse-names":false,"suffix":""},{"dropping-particle":"","family":"Qing","given":"Piao","non-dropping-particle":"","parse-names":false,"suffix":""},{"dropping-particle":"","family":"Zhao","given":"Qiwen","non-dropping-particle":"","parse-names":false,"suffix":""},{"dropping-particle":"","family":"Wei","given":"Weifeng","non-dropping-particle":"","parse-names":false,"suffix":""},{"dropping-particle":"","family":"Ji","given":"Xiaobo","non-dropping-particle":"","parse-names":false,"suffix":""},{"dropping-particle":"","family":"Ma","given":"Jianmin","non-dropping-particle":"","parse-names":false,"suffix":""},{"dropping-particle":"","family":"Chen","given":"Libao","non-dropping-particle":"","parse-names":false,"suffix":""}],"container-title":"Journal of Materials Chemistry A","id":"ITEM-1","issue":"13","issued":{"date-parts":[["2021","4","6"]]},"page":"8452-8461","publisher":"The Royal Society of Chemistry","title":"Uniform and dendrite-free zinc deposition enabled by in situ formed AgZn3 for the zinc metal anode","type":"article-journal","volume":"9"},"uris":["http://www.mendeley.com/documents/?uuid=97aa585f-88d7-3c28-883b-49295bf445fb"]}],"mendeley":{"formattedCitation":"&lt;sup&gt;[104]&lt;/sup&gt;","plainTextFormattedCitation":"[104]","previouslyFormattedCitation":"&lt;sup&gt;[103]&lt;/sup&gt;"},"properties":{"noteIndex":0},"schema":"https://github.com/citation-style-language/schema/raw/master/csl-citation.json"}</w:instrText>
      </w:r>
      <w:r w:rsidR="009A49FC" w:rsidRPr="003E0254">
        <w:fldChar w:fldCharType="separate"/>
      </w:r>
      <w:r w:rsidR="00500B8D" w:rsidRPr="003E0254">
        <w:rPr>
          <w:noProof/>
          <w:vertAlign w:val="superscript"/>
        </w:rPr>
        <w:t>[104]</w:t>
      </w:r>
      <w:r w:rsidR="009A49FC" w:rsidRPr="003E0254">
        <w:fldChar w:fldCharType="end"/>
      </w:r>
      <w:r w:rsidR="009A49FC" w:rsidRPr="003E0254">
        <w:t xml:space="preserve"> </w:t>
      </w:r>
      <w:r w:rsidR="00EC14AC" w:rsidRPr="003E0254">
        <w:t>was</w:t>
      </w:r>
      <w:r w:rsidRPr="003E0254">
        <w:t xml:space="preserve"> proven </w:t>
      </w:r>
      <w:r w:rsidR="00EC14AC" w:rsidRPr="003E0254">
        <w:t xml:space="preserve">to be </w:t>
      </w:r>
      <w:r w:rsidRPr="003E0254">
        <w:t xml:space="preserve">effective in regulating </w:t>
      </w:r>
      <w:r w:rsidR="00EC14AC" w:rsidRPr="003E0254">
        <w:t xml:space="preserve">the </w:t>
      </w:r>
      <w:r w:rsidRPr="003E0254">
        <w:t xml:space="preserve">hydrogen evolution overpotential or enhancing </w:t>
      </w:r>
      <w:r w:rsidR="00EC14AC" w:rsidRPr="003E0254">
        <w:t xml:space="preserve">the </w:t>
      </w:r>
      <w:proofErr w:type="spellStart"/>
      <w:r w:rsidRPr="003E0254">
        <w:t>zincophilicity</w:t>
      </w:r>
      <w:proofErr w:type="spellEnd"/>
      <w:r w:rsidRPr="003E0254">
        <w:t xml:space="preserve"> of the surface, also leading to improved cycling behavior. However, many alloying approaches yield planar </w:t>
      </w:r>
      <w:r w:rsidRPr="003E0254">
        <w:lastRenderedPageBreak/>
        <w:t>surfaces, which introduce additional challenges for practical applications. Moreover, structur</w:t>
      </w:r>
      <w:r w:rsidR="00EC14AC" w:rsidRPr="003E0254">
        <w:t>al</w:t>
      </w:r>
      <w:r w:rsidRPr="003E0254">
        <w:t xml:space="preserve"> integrity </w:t>
      </w:r>
      <w:r w:rsidR="00EC14AC" w:rsidRPr="003E0254">
        <w:t xml:space="preserve">upon long-term operation </w:t>
      </w:r>
      <w:r w:rsidRPr="003E0254">
        <w:t>is another issue to be improved</w:t>
      </w:r>
      <w:r w:rsidR="00C02C06" w:rsidRPr="003E0254">
        <w:t xml:space="preserve"> in order to avoid the</w:t>
      </w:r>
      <w:r w:rsidRPr="003E0254">
        <w:t xml:space="preserve"> collapse of the alloy microstructure. To overcome this limitation, the alloying process should be adapted </w:t>
      </w:r>
      <w:r w:rsidR="00C02C06" w:rsidRPr="003E0254">
        <w:t>at</w:t>
      </w:r>
      <w:r w:rsidRPr="003E0254">
        <w:t xml:space="preserve"> particle level. Such a strategy could enable the preparation of 3D electrodes that integrate various substrate materials, resulting in highly promising practical electrodes.  </w:t>
      </w:r>
    </w:p>
    <w:p w14:paraId="3B1226B7" w14:textId="3DD0B15A" w:rsidR="00C60055" w:rsidRPr="003E0254" w:rsidRDefault="00C60055" w:rsidP="00C60055">
      <w:pPr>
        <w:pBdr>
          <w:top w:val="none" w:sz="4" w:space="0" w:color="000000"/>
          <w:left w:val="none" w:sz="4" w:space="0" w:color="000000"/>
          <w:bottom w:val="none" w:sz="4" w:space="0" w:color="000000"/>
          <w:right w:val="none" w:sz="4" w:space="0" w:color="000000"/>
        </w:pBdr>
        <w:spacing w:line="276" w:lineRule="auto"/>
        <w:jc w:val="both"/>
      </w:pPr>
      <w:r w:rsidRPr="003E0254">
        <w:t>In addition to structural modification strategies for Zn electrodes, improving their electrochemical behavior through interface engineering is also a viable option.</w:t>
      </w:r>
      <w:r w:rsidR="009A49FC" w:rsidRPr="003E0254">
        <w:fldChar w:fldCharType="begin" w:fldLock="1"/>
      </w:r>
      <w:r w:rsidR="00500B8D" w:rsidRPr="003E0254">
        <w:instrText>ADDIN CSL_CITATION {"citationItems":[{"id":"ITEM-1","itemData":{"DOI":"10.1007/S40820-021-00764-7","ISBN":"0123456789","ISSN":"2150-5551","abstract":"Due to their high safety and low cost, rechargeable aqueous Zn-ion batteries (RAZIBs) have been receiving increased attention and are expected to be the next generation of energy storage systems. However, metal Zn anodes exhibit a limited-service life and inferior reversibility owing to the issues of Zn dendrites and side reactions, which severely hinder the further development of RAZIBs. Researchers have attempted to design high-performance Zn anodes by interfacial engineering, including surface modification and the addition of electrolyte additives, to stabilize Zn anodes. The purpose is to achieve uniform Zn nucleation and flat Zn deposition by regulating the deposition behavior of Zn ions, which effectively improves the cycling stability of the Zn anode. This review comprehensively summarizes the reaction mechanisms of interfacial modification for inhibiting the growth of Zn dendrites and the occurrence of side reactions. In addition, the research progress of interfacial engineering strategies for RAZIBs is summarized and classified. Finally, prospects and suggestions are provided for the design of highly reversible Zn anodes.","author":[{"dropping-particle":"","family":"Li","given":"Bin","non-dropping-particle":"","parse-names":false,"suffix":""},{"dropping-particle":"","family":"Zhang","given":"Xiaotan","non-dropping-particle":"","parse-names":false,"suffix":""},{"dropping-particle":"","family":"Wang","given":"Tingting","non-dropping-particle":"","parse-names":false,"suffix":""},{"dropping-particle":"","family":"He","given":"Zhangxing","non-dropping-particle":"","parse-names":false,"suffix":""},{"dropping-particle":"","family":"Lu","given":"Bingan","non-dropping-particle":"","parse-names":false,"suffix":""},{"dropping-particle":"","family":"Liang","given":"Shuquan","non-dropping-particle":"","parse-names":false,"suffix":""},{"dropping-particle":"","family":"Zhou","given":"Jiang","non-dropping-particle":"","parse-names":false,"suffix":""}],"container-title":"Nano-Micro Letters 2021 14:1","id":"ITEM-1","issue":"1","issued":{"date-parts":[["2021","12","2"]]},"page":"1-31","publisher":"Springer","title":"Interfacial Engineering Strategy for High-Performance Zn Metal Anodes","type":"article-journal","volume":"14"},"uris":["http://www.mendeley.com/documents/?uuid=124181f8-7b7e-3794-8b90-f73a6dc88484"]}],"mendeley":{"formattedCitation":"&lt;sup&gt;[56]&lt;/sup&gt;","plainTextFormattedCitation":"[56]","previouslyFormattedCitation":"&lt;sup&gt;[55]&lt;/sup&gt;"},"properties":{"noteIndex":0},"schema":"https://github.com/citation-style-language/schema/raw/master/csl-citation.json"}</w:instrText>
      </w:r>
      <w:r w:rsidR="009A49FC" w:rsidRPr="003E0254">
        <w:fldChar w:fldCharType="separate"/>
      </w:r>
      <w:r w:rsidR="00500B8D" w:rsidRPr="003E0254">
        <w:rPr>
          <w:noProof/>
          <w:vertAlign w:val="superscript"/>
        </w:rPr>
        <w:t>[56]</w:t>
      </w:r>
      <w:r w:rsidR="009A49FC" w:rsidRPr="003E0254">
        <w:fldChar w:fldCharType="end"/>
      </w:r>
      <w:r w:rsidRPr="003E0254">
        <w:t xml:space="preserve"> This approach can regulate uniform Zn deposition and reduce side reactions by creating a stable interface. There are several methods to modify the interface of the Zn electrode, including surface functionalization or surface protection using anode additives</w:t>
      </w:r>
      <w:r w:rsidR="009A49FC" w:rsidRPr="003E0254">
        <w:fldChar w:fldCharType="begin" w:fldLock="1"/>
      </w:r>
      <w:r w:rsidR="00500B8D" w:rsidRPr="003E0254">
        <w:instrText>ADDIN CSL_CITATION {"citationItems":[{"id":"ITEM-1","itemData":{"DOI":"10.1021/ACSENERGYLETT.4C01123/ASSET/IMAGES/LARGE/NZ4C01123_0012.JPEG","ISSN":"23808195","abstract":"Zinc metal batteries have emerged as promising candidates for next-generation energy storage devices due to their high capacities, high safety, and cost-effectiveness. However, the implementation of Zn metal anodes (ZMAs) faces significant challenges, including uncontrollable dendrite growth, pronounced corrosion, and notable side reactions. To address these issues, extensive research efforts are underway, focusing on tailored structures, compositions, and interfaces for ZMAs, supported by multi-level engineering approaches. Various efficient solutions have been proposed and verified, including homogenizing the ion flux/electric field, enriching the nucleation site number, reducing nucleation energy barriers, and providing sufficient space for Zn deposition. This Review provides a thorough summary of recent advancements in the innovative design of ZMAs, from the viewpoints of structural and interfacial engineering strategies. Key design concepts and functional mechanisms in resolving the aforementioned issues of ZMAs are highlighted. Furthermore, the remaining issues and challenges are discussed, and future research directions are also identified.","author":[{"dropping-particle":"","family":"Li","given":"Liyuan","non-dropping-particle":"","parse-names":false,"suffix":""},{"dropping-particle":"","family":"Zheng","given":"Yushuang","non-dropping-particle":"","parse-names":false,"suffix":""},{"dropping-particle":"","family":"Xu","given":"Jie","non-dropping-particle":"","parse-names":false,"suffix":""},{"dropping-particle":"","family":"Peng","given":"Bo","non-dropping-particle":"","parse-names":false,"suffix":""},{"dropping-particle":"","family":"Zhu","given":"Guoyin","non-dropping-particle":"","parse-names":false,"suffix":""},{"dropping-particle":"","family":"Wu","given":"Junxiong","non-dropping-particle":"","parse-names":false,"suffix":""},{"dropping-particle":"","family":"Ma","given":"Lianbo","non-dropping-particle":"","parse-names":false,"suffix":""},{"dropping-particle":"","family":"Jin","given":"Zhong","non-dropping-particle":"","parse-names":false,"suffix":""}],"container-title":"ACS Energy Letters","id":"ITEM-1","issue":"7","issued":{"date-parts":[["2024","7","12"]]},"page":"3269-3289","publisher":"American Chemical Society","title":"Structural and Interfacial Engineering Strategies for Constructing Dendrite-Free Zinc Metal Anodes","type":"article-journal","volume":"9"},"uris":["http://www.mendeley.com/documents/?uuid=0141d184-6998-3a04-ae21-c7513df5e0ad"]}],"mendeley":{"formattedCitation":"&lt;sup&gt;[124]&lt;/sup&gt;","plainTextFormattedCitation":"[124]","previouslyFormattedCitation":"&lt;sup&gt;[123]&lt;/sup&gt;"},"properties":{"noteIndex":0},"schema":"https://github.com/citation-style-language/schema/raw/master/csl-citation.json"}</w:instrText>
      </w:r>
      <w:r w:rsidR="009A49FC" w:rsidRPr="003E0254">
        <w:fldChar w:fldCharType="separate"/>
      </w:r>
      <w:r w:rsidR="00500B8D" w:rsidRPr="003E0254">
        <w:rPr>
          <w:noProof/>
          <w:vertAlign w:val="superscript"/>
        </w:rPr>
        <w:t>[124]</w:t>
      </w:r>
      <w:r w:rsidR="009A49FC" w:rsidRPr="003E0254">
        <w:fldChar w:fldCharType="end"/>
      </w:r>
      <w:r w:rsidRPr="003E0254">
        <w:t xml:space="preserve"> or electrolyte additives</w:t>
      </w:r>
      <w:r w:rsidR="009A49FC" w:rsidRPr="003E0254">
        <w:fldChar w:fldCharType="begin" w:fldLock="1"/>
      </w:r>
      <w:r w:rsidR="00500B8D" w:rsidRPr="003E0254">
        <w:instrText>ADDIN CSL_CITATION {"citationItems":[{"id":"ITEM-1","itemData":{"DOI":"10.1002/AENM.202304557","ISSN":"1614-6840","abstract":"Electrolytes play a crucial role in facilitating the ionic movement between cathode and anode, which is essential for the flow of electric current during the charging and discharging process of the rechargeable batteries. In particular, electrolyte additives are considered as effective and economical approaches into the advancements of the battery technologies in both the conventional non-aqueous and burgeoning aqueous electrolyte systems. Herein, a systematic and comprehensive review of the electrolyte additives is reported for the interfacial engineering of Li and Zn metal anodes in the non-aqueous and aqueous electrolytes, respectively. The types of electrolyte additives and their corresponding functionalities for the protection of these two metal anodes are discussed along with the electrochemical features of solid electrolyte interphase (SEI) derived from electrolyte additives. The recent progress on electrolyte additives for these two battery systems are also addressed from the perspectives of electrode, electrolyte, and the associated SEI. Finally, the outlook and perspective on the current issues and future directions in the field of electrolyte additive engineering are presented for next-generation battery technologies beyond the conventional Li-ion batteries.","author":[{"dropping-particle":"","family":"Wang","given":"Guanyao","non-dropping-particle":"","parse-names":false,"suffix":""},{"dropping-particle":"","family":"Zhang","given":"Qian Kui","non-dropping-particle":"","parse-names":false,"suffix":""},{"dropping-particle":"","family":"Zhang","given":"Xue Qiang","non-dropping-particle":"","parse-names":false,"suffix":""},{"dropping-particle":"","family":"Lu","given":"Jun","non-dropping-particle":"","parse-names":false,"suffix":""},{"dropping-particle":"","family":"Pei","given":"Chengang","non-dropping-particle":"","parse-names":false,"suffix":""},{"dropping-particle":"","family":"Min","given":"Donghyun","non-dropping-particle":"","parse-names":false,"suffix":""},{"dropping-particle":"","family":"Huang","given":"Jia Qi","non-dropping-particle":"","parse-names":false,"suffix":""},{"dropping-particle":"","family":"Park","given":"Ho Seok","non-dropping-particle":"","parse-names":false,"suffix":""}],"container-title":"Advanced Energy Materials","id":"ITEM-1","issue":"2","issued":{"date-parts":[["2025","1","1"]]},"page":"2304557","publisher":"John Wiley &amp; Sons, Ltd","title":"Electrolyte Additive for Interfacial Engineering of Lithium and Zinc Metal Anodes","type":"article-journal","volume":"15"},"uris":["http://www.mendeley.com/documents/?uuid=6fb10f7d-4732-3221-a937-174c3367a15f"]}],"mendeley":{"formattedCitation":"&lt;sup&gt;[53]&lt;/sup&gt;","plainTextFormattedCitation":"[53]","previouslyFormattedCitation":"&lt;sup&gt;[52]&lt;/sup&gt;"},"properties":{"noteIndex":0},"schema":"https://github.com/citation-style-language/schema/raw/master/csl-citation.json"}</w:instrText>
      </w:r>
      <w:r w:rsidR="009A49FC" w:rsidRPr="003E0254">
        <w:fldChar w:fldCharType="separate"/>
      </w:r>
      <w:r w:rsidR="00500B8D" w:rsidRPr="003E0254">
        <w:rPr>
          <w:noProof/>
          <w:vertAlign w:val="superscript"/>
        </w:rPr>
        <w:t>[53]</w:t>
      </w:r>
      <w:r w:rsidR="009A49FC" w:rsidRPr="003E0254">
        <w:fldChar w:fldCharType="end"/>
      </w:r>
      <w:r w:rsidRPr="003E0254">
        <w:t>. For example, Wang et al. demonstrated that by modifying the Zn anode surface with graphene nanoribbons, they achieved a dendrite-free system capable of operating up to 9000 cycles while maintaining high</w:t>
      </w:r>
      <w:r w:rsidR="00C02C06" w:rsidRPr="003E0254">
        <w:t xml:space="preserve"> </w:t>
      </w:r>
      <w:r w:rsidRPr="003E0254">
        <w:t>capacity retention.</w:t>
      </w:r>
      <w:r w:rsidR="009A49FC" w:rsidRPr="003E0254">
        <w:fldChar w:fldCharType="begin" w:fldLock="1"/>
      </w:r>
      <w:r w:rsidR="00500B8D" w:rsidRPr="003E0254">
        <w:instrText>ADDIN CSL_CITATION {"citationItems":[{"id":"ITEM-1","itemData":{"DOI":"10.1016/J.JPOWSOUR.2023.233504","ISSN":"0378-7753","abstract":"Aqueous zinc ion batteries (AZIBs) are considered as one of the most promising aqueous energy storage devices due to their advantages of low cost, high capacity, and safety. However, a series of problems such as corrosion, hydrogen evolution, and dendrite of the zinc anode significantly hinder the application of AZIBs. In this work, graphene nanoribbons (GNRs) are initiated as a novel functional interface layer via a facile self-assembly process based on the redox reaction of graphene oxide nanoribbons (GONRs) and Zn foil, which is found to be able to act as an ion buffer layer and guide Zn2+ to nucleate uniformly at the zinc anode, thus successfully prevents the formation of passivated by-products and reduces the occurrence of hydrogen evolution reaction and serious dendrite growth. As a result, GNRs@Zn exhibits lower nucleation overpotential (18.7 and 36.5 mV at 0.2 and 1 mA cm−2), higher reversibility (≈17 times higher than that of bare Zn), and dendrite-free durability compared to the original zinc in this synergy. In addition, GNRs@Zn anode exhibits excellent compatibility with the main cathodes of rechargeable AZIBs, such as ZnxV2O5 and MnO2 cathode, among which GNRs@Zn//ZnxV2O5 full battery delivers ultra-long cycle life of more than 9000 cycles with capacity retention of 105% at 5 A g−1, showing great prospect in practical application. This work provides a new idea for realizing high-performance rechargeable zinc-based battery systems.","author":[{"dropping-particle":"","family":"Wang","given":"Ronghua","non-dropping-particle":"","parse-names":false,"suffix":""},{"dropping-particle":"","family":"Zhou","given":"Minquan","non-dropping-particle":"","parse-names":false,"suffix":""},{"dropping-particle":"","family":"Xiang","given":"Yongsheng","non-dropping-particle":"","parse-names":false,"suffix":""},{"dropping-particle":"","family":"Yang","given":"Jie","non-dropping-particle":"","parse-names":false,"suffix":""},{"dropping-particle":"","family":"Xu","given":"Chaohe","non-dropping-particle":"","parse-names":false,"suffix":""},{"dropping-particle":"","family":"Li","given":"Xinlu","non-dropping-particle":"","parse-names":false,"suffix":""}],"container-title":"Journal of Power Sources","id":"ITEM-1","issued":{"date-parts":[["2023","10","30"]]},"page":"233504","publisher":"Elsevier","title":"Dendrite-free zinc anodes via self-assembly of graphene nanoribbon for long-life aqueous zinc-ion batteries","type":"article-journal","volume":"582"},"uris":["http://www.mendeley.com/documents/?uuid=67fe89d6-e4a2-36d7-bcba-01ad5ddd5648"]}],"mendeley":{"formattedCitation":"&lt;sup&gt;[75]&lt;/sup&gt;","plainTextFormattedCitation":"[75]","previouslyFormattedCitation":"&lt;sup&gt;[74]&lt;/sup&gt;"},"properties":{"noteIndex":0},"schema":"https://github.com/citation-style-language/schema/raw/master/csl-citation.json"}</w:instrText>
      </w:r>
      <w:r w:rsidR="009A49FC" w:rsidRPr="003E0254">
        <w:fldChar w:fldCharType="separate"/>
      </w:r>
      <w:r w:rsidR="00500B8D" w:rsidRPr="003E0254">
        <w:rPr>
          <w:noProof/>
          <w:vertAlign w:val="superscript"/>
        </w:rPr>
        <w:t>[75]</w:t>
      </w:r>
      <w:r w:rsidR="009A49FC" w:rsidRPr="003E0254">
        <w:fldChar w:fldCharType="end"/>
      </w:r>
      <w:r w:rsidRPr="003E0254">
        <w:t xml:space="preserve"> Similarly, Yang et al. functionalized the Zn metal surface by using nitrogen plasma and thermal treatment, which created numerous active sites extending up to 8.5</w:t>
      </w:r>
      <w:r w:rsidR="00733BD3" w:rsidRPr="003E0254">
        <w:t> </w:t>
      </w:r>
      <w:r w:rsidRPr="003E0254">
        <w:t>µm in depth.</w:t>
      </w:r>
      <w:r w:rsidR="009A49FC" w:rsidRPr="003E0254">
        <w:fldChar w:fldCharType="begin" w:fldLock="1"/>
      </w:r>
      <w:r w:rsidR="00500B8D" w:rsidRPr="003E0254">
        <w:instrText>ADDIN CSL_CITATION {"citationItems":[{"id":"ITEM-1","itemData":{"DOI":"10.1002/ANIE.202308017","ISSN":"1521-3773","PMID":"37409886","abstract":"Aqueous zinc-ion batteries are inherently safe, but the severe dendrite growth and corrosion reaction on zinc anodes greatly hinder their practical applications. Most of the strategies for zinc anode modification refer to the research of lithium metal anodes on surface regulation without considering the intrinsic mechanisms of zinc anode. Herein, we first point out that surface modification cannot permanently protect zinc anodes due to the unavoidable surface damage during the stripping process by solid–liquid conversion. A bulk-phase reconstruction strategy is proposed to introduce abundant zincophilic sites both on the surface and inside the commercial zinc foils. The bulk-phase reconstructed zinc foil anodes exhibit uniform surfaces with high zincophilicity even after deep stripping, significantly improving the resistance to dendrite growth and side reactions. Our proposed strategy suggests a promising direction for the development of dendrite-free metal anodes for practical rechargeable batteries with high sustainability.","author":[{"dropping-particle":"","family":"Yang","given":"Zefang","non-dropping-particle":"","parse-names":false,"suffix":""},{"dropping-particle":"","family":"Hu","given":"Chao","non-dropping-particle":"","parse-names":false,"suffix":""},{"dropping-particle":"","family":"Zhang","given":"Qi","non-dropping-particle":"","parse-names":false,"suffix":""},{"dropping-particle":"","family":"Wu","given":"Tingqing","non-dropping-particle":"","parse-names":false,"suffix":""},{"dropping-particle":"","family":"Xie","given":"Chunlin","non-dropping-particle":"","parse-names":false,"suffix":""},{"dropping-particle":"","family":"Wang","given":"Hao","non-dropping-particle":"","parse-names":false,"suffix":""},{"dropping-particle":"","family":"Tang","given":"Yougen","non-dropping-particle":"","parse-names":false,"suffix":""},{"dropping-particle":"","family":"Ji","given":"Xiaobo","non-dropping-particle":"","parse-names":false,"suffix":""},{"dropping-particle":"","family":"Wang","given":"Haiyan","non-dropping-particle":"","parse-names":false,"suffix":""}],"container-title":"Angewandte Chemie International Edition","id":"ITEM-1","issue":"35","issued":{"date-parts":[["2023","8","28"]]},"page":"e202308017","publisher":"John Wiley &amp; Sons, Ltd","title":"Bulk-Phase Reconstruction Enables Robust Zinc Metal Anodes for Aqueous Zinc-Ion Batteries","type":"article-journal","volume":"62"},"uris":["http://www.mendeley.com/documents/?uuid=a104e182-af35-3413-a23f-d47eea6720bc"]}],"mendeley":{"formattedCitation":"&lt;sup&gt;[74]&lt;/sup&gt;","plainTextFormattedCitation":"[74]","previouslyFormattedCitation":"&lt;sup&gt;[73]&lt;/sup&gt;"},"properties":{"noteIndex":0},"schema":"https://github.com/citation-style-language/schema/raw/master/csl-citation.json"}</w:instrText>
      </w:r>
      <w:r w:rsidR="009A49FC" w:rsidRPr="003E0254">
        <w:fldChar w:fldCharType="separate"/>
      </w:r>
      <w:r w:rsidR="00500B8D" w:rsidRPr="003E0254">
        <w:rPr>
          <w:noProof/>
          <w:vertAlign w:val="superscript"/>
        </w:rPr>
        <w:t>[74]</w:t>
      </w:r>
      <w:r w:rsidR="009A49FC" w:rsidRPr="003E0254">
        <w:fldChar w:fldCharType="end"/>
      </w:r>
      <w:r w:rsidRPr="003E0254">
        <w:t xml:space="preserve"> Such </w:t>
      </w:r>
      <w:r w:rsidR="00733BD3" w:rsidRPr="003E0254">
        <w:t xml:space="preserve">a </w:t>
      </w:r>
      <w:r w:rsidRPr="003E0254">
        <w:t>bulk-phase reconstructed Zn electrode facilitated uniform Zn deposition, resulting in stable cycling behavior for up to 2000</w:t>
      </w:r>
      <w:r w:rsidR="00733BD3" w:rsidRPr="003E0254">
        <w:t> </w:t>
      </w:r>
      <w:r w:rsidRPr="003E0254">
        <w:t xml:space="preserve">h </w:t>
      </w:r>
      <w:r w:rsidR="00733BD3" w:rsidRPr="003E0254">
        <w:t>at</w:t>
      </w:r>
      <w:r w:rsidRPr="003E0254">
        <w:t xml:space="preserve"> a current density of 5</w:t>
      </w:r>
      <w:r w:rsidR="00733BD3" w:rsidRPr="003E0254">
        <w:t> </w:t>
      </w:r>
      <w:r w:rsidRPr="003E0254">
        <w:t>mA</w:t>
      </w:r>
      <w:r w:rsidR="00733BD3" w:rsidRPr="003E0254">
        <w:t> </w:t>
      </w:r>
      <w:r w:rsidRPr="003E0254">
        <w:t>cm</w:t>
      </w:r>
      <w:r w:rsidR="00733BD3" w:rsidRPr="003E0254">
        <w:rPr>
          <w:vertAlign w:val="superscript"/>
        </w:rPr>
        <w:t>-</w:t>
      </w:r>
      <w:r w:rsidRPr="003E0254">
        <w:rPr>
          <w:vertAlign w:val="superscript"/>
        </w:rPr>
        <w:t>2</w:t>
      </w:r>
      <w:r w:rsidRPr="003E0254">
        <w:t>. Furthermore, Zn surface protection can also be accomplished through 3D printing of a polyvinylidene fluoride (PVDF)-based protection layer (PVDF-</w:t>
      </w:r>
      <w:proofErr w:type="spellStart"/>
      <w:r w:rsidRPr="003E0254">
        <w:t>MXene</w:t>
      </w:r>
      <w:proofErr w:type="spellEnd"/>
      <w:r w:rsidRPr="003E0254">
        <w:t>), which manipulates the concentration distribution of Zn</w:t>
      </w:r>
      <w:r w:rsidR="00733BD3" w:rsidRPr="003E0254">
        <w:rPr>
          <w:vertAlign w:val="superscript"/>
        </w:rPr>
        <w:t>2+</w:t>
      </w:r>
      <w:r w:rsidRPr="003E0254">
        <w:t xml:space="preserve"> ions, leading to homogenous deposition.</w:t>
      </w:r>
      <w:r w:rsidR="009A49FC" w:rsidRPr="003E0254">
        <w:fldChar w:fldCharType="begin" w:fldLock="1"/>
      </w:r>
      <w:r w:rsidR="00500B8D" w:rsidRPr="003E0254">
        <w:instrText>ADDIN CSL_CITATION {"citationItems":[{"id":"ITEM-1","itemData":{"DOI":"10.1002/ADFM.202305550","ISSN":"1616-3028","abstract":"Zinc (Zn) metal anodes of aqueous zinc-ion batteries (AZIBs) have attracted significant attention due to their high theoretical capacities, low redox potentials, and low cost. However, uncontrollable dendrite formation and side reactions can result in limited reversible cycling and quick failure of the batteries. Herein, a polyvinylidene fluoride (PVDF)-based protection layer (PVDF-MXene) with high β-phase content is built by the 3D printing method. The synergistic effect attributed to the 3D printing approach and MXene nanosheets contributes to phase transition of the PVDF polymer chains from α-phase to β-phase, improving the ferroelectric properties of the printed PVDF films. Such a protection layer can manipulate the concentration distribution of zinc ions and enable the uniform growth of zinc plates. As a result, symmetrical zinc batteries using such anodes (PVDF-MXene-Zn) exhibit reversible Zn plating/stripping with low voltage hysteresis at 1.0 mA cm−2, 1.0 mAh cm−2 for over 4200 h, and a high-rate capability up to 10 mA cm−2. When assembled with MnO2 and activated carbon, the resulting Zn-MnO2 battery and zinc-ion capacitor exhibited significantly enhanced cycling stability. The proposed strategy in this study provides a novel strategy for the protection of the zinc anode, thus promoting the practical application of ZIBs.","author":[{"dropping-particle":"","family":"Zhu","given":"Guoyin","non-dropping-particle":"","parse-names":false,"suffix":""},{"dropping-particle":"","family":"Zhang","given":"Hongcheng","non-dropping-particle":"","parse-names":false,"suffix":""},{"dropping-particle":"","family":"Lu","given":"Jingqi","non-dropping-particle":"","parse-names":false,"suffix":""},{"dropping-particle":"","family":"Hou","given":"Yanan","non-dropping-particle":"","parse-names":false,"suffix":""},{"dropping-particle":"","family":"Liu","given":"Pin","non-dropping-particle":"","parse-names":false,"suffix":""},{"dropping-particle":"","family":"Dong","given":"Shengyang","non-dropping-particle":"","parse-names":false,"suffix":""},{"dropping-particle":"","family":"Pang","given":"Huan","non-dropping-particle":"","parse-names":false,"suffix":""},{"dropping-particle":"","family":"Zhang","given":"Yizhou","non-dropping-particle":"","parse-names":false,"suffix":""}],"container-title":"Advanced Functional Materials","id":"ITEM-1","issue":"1","issued":{"date-parts":[["2024","1","1"]]},"page":"2305550","publisher":"John Wiley &amp; Sons, Ltd","title":"3D Printing of MXene-Enhanced Ferroelectric Polymer for Ultrastable Zinc Anodes","type":"article-journal","volume":"34"},"uris":["http://www.mendeley.com/documents/?uuid=f2d94d6e-e34f-3265-bef3-13307d472815"]}],"mendeley":{"formattedCitation":"&lt;sup&gt;[76]&lt;/sup&gt;","plainTextFormattedCitation":"[76]","previouslyFormattedCitation":"&lt;sup&gt;[75]&lt;/sup&gt;"},"properties":{"noteIndex":0},"schema":"https://github.com/citation-style-language/schema/raw/master/csl-citation.json"}</w:instrText>
      </w:r>
      <w:r w:rsidR="009A49FC" w:rsidRPr="003E0254">
        <w:fldChar w:fldCharType="separate"/>
      </w:r>
      <w:r w:rsidR="00500B8D" w:rsidRPr="003E0254">
        <w:rPr>
          <w:noProof/>
          <w:vertAlign w:val="superscript"/>
        </w:rPr>
        <w:t>[76]</w:t>
      </w:r>
      <w:r w:rsidR="009A49FC" w:rsidRPr="003E0254">
        <w:fldChar w:fldCharType="end"/>
      </w:r>
      <w:r w:rsidRPr="003E0254">
        <w:t xml:space="preserve"> At a current density of </w:t>
      </w:r>
      <w:r w:rsidR="00733BD3" w:rsidRPr="003E0254">
        <w:t>6 mA cm</w:t>
      </w:r>
      <w:r w:rsidR="00733BD3" w:rsidRPr="003E0254">
        <w:rPr>
          <w:vertAlign w:val="superscript"/>
        </w:rPr>
        <w:t>-2</w:t>
      </w:r>
      <w:r w:rsidRPr="003E0254">
        <w:t xml:space="preserve">, such </w:t>
      </w:r>
      <w:r w:rsidR="00733BD3" w:rsidRPr="003E0254">
        <w:t xml:space="preserve">an </w:t>
      </w:r>
      <w:r w:rsidRPr="003E0254">
        <w:t>anode exhibited excellent stable full-cell operation for up to 15000 cycles. Utilizing such additives to modify the anode surface and anode-electrolyte interface represents a promising complementary strategy. However, the long-term stability of these layers or coatings remains a concern, especially during high rate cycling and deep discharge.</w:t>
      </w:r>
    </w:p>
    <w:p w14:paraId="4264148B" w14:textId="6D281274" w:rsidR="00C60055" w:rsidRPr="003E0254" w:rsidRDefault="00FC56D0" w:rsidP="0082630F">
      <w:pPr>
        <w:spacing w:line="276" w:lineRule="auto"/>
        <w:jc w:val="both"/>
      </w:pPr>
      <w:r w:rsidRPr="003E0254">
        <w:t xml:space="preserve">In recent years, </w:t>
      </w:r>
      <w:r w:rsidR="00563DAD" w:rsidRPr="003E0254">
        <w:t xml:space="preserve">there have been </w:t>
      </w:r>
      <w:r w:rsidRPr="003E0254">
        <w:t xml:space="preserve">efforts to develop zinc metal-free anodes to </w:t>
      </w:r>
      <w:r w:rsidR="00563DAD" w:rsidRPr="003E0254">
        <w:t>tackle</w:t>
      </w:r>
      <w:r w:rsidRPr="003E0254">
        <w:t xml:space="preserve"> the challenges </w:t>
      </w:r>
      <w:r w:rsidR="00563DAD" w:rsidRPr="003E0254">
        <w:t xml:space="preserve">associated with </w:t>
      </w:r>
      <w:r w:rsidRPr="003E0254">
        <w:t>Zn-metal anodes.</w:t>
      </w:r>
      <w:r w:rsidR="002F6D4C" w:rsidRPr="003E0254">
        <w:fldChar w:fldCharType="begin" w:fldLock="1"/>
      </w:r>
      <w:r w:rsidR="00500B8D" w:rsidRPr="003E0254">
        <w:instrText>ADDIN CSL_CITATION {"citationItems":[{"id":"ITEM-1","itemData":{"DOI":"10.1021/ACSSUSCHEMENG.4C06019/ASSET/IMAGES/LARGE/SC4C06019_0019.JPEG","ISSN":"21680485","abstract":"Conventional aqueous zinc-ion batteries (ZIBs) face significant challenges due to the Zn metal anode such as dendrite formation, hydrogen evolution, corrosion, passivation, and low utilization of Zn metal. Zn metal-free ZIBs (ZF-ZIBs) present a promising alternative, garnering increasing research attention to address these fundamental issues. However, reviews on this emerging field remain scarce, resulting in a limited understanding of ZF-ZIBs and a lack of robust methods for developing high-performance anode materials. This Perspective provides a comprehensive introduction to the fundamental principles and requirements of ZF-ZIBs. It summarizes recent advancements in Zn metal-free anode materials based on various Zn2+ storage mechanisms, including intercalation, conversion, and coordination. Finally, it offers personal perspectives for the further development of high-performance Zn metal-free anode materials.","author":[{"dropping-particle":"","family":"Liao","given":"Yanxin","non-dropping-particle":"","parse-names":false,"suffix":""},{"dropping-particle":"","family":"Yang","given":"Chun","non-dropping-particle":"","parse-names":false,"suffix":""},{"dropping-particle":"","family":"Bai","given":"Jie","non-dropping-particle":"","parse-names":false,"suffix":""},{"dropping-particle":"","family":"Sun","given":"Linghao","non-dropping-particle":"","parse-names":false,"suffix":""},{"dropping-particle":"","family":"Chen","given":"Lingyun","non-dropping-particle":"","parse-names":false,"suffix":""}],"container-title":"ACS Sustainable Chemistry and Engineering","id":"ITEM-1","issued":{"date-parts":[["2024","11","25"]]},"page":"17044-17068","publisher":"American Chemical Society","title":"Zinc Metal-Free Anode Materials for High-Performance Aqueous Zinc-Ion Batteries: Recent Advances, Mechanisms, Challenges and Perspectives","type":"article-journal","volume":"12"},"uris":["http://www.mendeley.com/documents/?uuid=4f5a7dba-d896-3719-b833-0f4b4e3033ef"]}],"mendeley":{"formattedCitation":"&lt;sup&gt;[132]&lt;/sup&gt;","plainTextFormattedCitation":"[132]","previouslyFormattedCitation":"&lt;sup&gt;[131]&lt;/sup&gt;"},"properties":{"noteIndex":0},"schema":"https://github.com/citation-style-language/schema/raw/master/csl-citation.json"}</w:instrText>
      </w:r>
      <w:r w:rsidR="002F6D4C" w:rsidRPr="003E0254">
        <w:fldChar w:fldCharType="separate"/>
      </w:r>
      <w:r w:rsidR="00500B8D" w:rsidRPr="003E0254">
        <w:rPr>
          <w:noProof/>
          <w:vertAlign w:val="superscript"/>
        </w:rPr>
        <w:t>[132]</w:t>
      </w:r>
      <w:r w:rsidR="002F6D4C" w:rsidRPr="003E0254">
        <w:fldChar w:fldCharType="end"/>
      </w:r>
      <w:r w:rsidRPr="003E0254">
        <w:t xml:space="preserve"> </w:t>
      </w:r>
      <w:r w:rsidR="002F6D4C" w:rsidRPr="003E0254">
        <w:t>Depending o</w:t>
      </w:r>
      <w:r w:rsidR="00563DAD" w:rsidRPr="003E0254">
        <w:t>n</w:t>
      </w:r>
      <w:r w:rsidR="002F6D4C" w:rsidRPr="003E0254">
        <w:t xml:space="preserve"> the choice of material, </w:t>
      </w:r>
      <w:r w:rsidR="00563DAD" w:rsidRPr="003E0254">
        <w:t xml:space="preserve">there are primarily </w:t>
      </w:r>
      <w:r w:rsidR="002F6D4C" w:rsidRPr="003E0254">
        <w:t xml:space="preserve">three different types of </w:t>
      </w:r>
      <w:r w:rsidR="0012244F" w:rsidRPr="003E0254">
        <w:t>Zn</w:t>
      </w:r>
      <w:r w:rsidR="0012244F" w:rsidRPr="003E0254">
        <w:rPr>
          <w:vertAlign w:val="superscript"/>
        </w:rPr>
        <w:t>2+</w:t>
      </w:r>
      <w:r w:rsidR="0012244F" w:rsidRPr="003E0254">
        <w:t xml:space="preserve"> </w:t>
      </w:r>
      <w:r w:rsidR="002F6D4C" w:rsidRPr="003E0254">
        <w:t>charge storage mechanisms</w:t>
      </w:r>
      <w:r w:rsidR="00563DAD" w:rsidRPr="003E0254">
        <w:t>:</w:t>
      </w:r>
      <w:r w:rsidR="002F6D4C" w:rsidRPr="003E0254">
        <w:t xml:space="preserve"> conversion,</w:t>
      </w:r>
      <w:r w:rsidR="00CD77B2" w:rsidRPr="003E0254">
        <w:fldChar w:fldCharType="begin" w:fldLock="1"/>
      </w:r>
      <w:r w:rsidR="00500B8D" w:rsidRPr="003E0254">
        <w:instrText>ADDIN CSL_CITATION {"citationItems":[{"id":"ITEM-1","itemData":{"DOI":"10.1021/ACSNANO.1C05725/ASSET/IMAGES/LARGE/NN1C05725_0005.JPEG","ISSN":"1936086X","PMID":"34714615","abstract":"Rechargeable aqueous zinc ion batteries (AZIBs) are attracting extensive attention owing to environmental friendliness and high safety. However, its practical applications are limited to the poor Coulombic efficiency and stability of a Zn anode. Herein, we demonstrate a periodically stacked CuS-CTAB superlattice, as a competitive conversion-type anode for AZIBs with greatly improved specific capacity, rate performance, and stability. The CuS layers react with Zn2+ to endow high capacity, while CTAB layers serve to stabilize the structure and facilitate Zn2+ diffusion kinetics. Accordingly, CuS-CTAB shows superior rate performance (225.3 mA h g-1 at 0.1 A g-1 with 144.4 mA h g-1 at 10 A g-1) and a respectable cyclability of 87.6% capacity retention over 3400 cycles at 10 A g-1. In view of the outstanding electrochemical properties, full batteries constructed with a CuS-CTAB anode and cathode (ZnxFeCo(CN)6 and ZnxMnO2) are evaluated in coin cells, which demonstrate impressive full-battery performance.","author":[{"dropping-particle":"","family":"Zhang","given":"Jiaqian","non-dropping-particle":"","parse-names":false,"suffix":""},{"dropping-particle":"","family":"Lei","given":"Qi","non-dropping-particle":"","parse-names":false,"suffix":""},{"dropping-particle":"","family":"Ren","given":"Zhiguo","non-dropping-particle":"","parse-names":false,"suffix":""},{"dropping-particle":"","family":"Zhu","given":"Xiaohui","non-dropping-particle":"","parse-names":false,"suffix":""},{"dropping-particle":"","family":"Li","given":"Ji","non-dropping-particle":"","parse-names":false,"suffix":""},{"dropping-particle":"","family":"Li","given":"Zhao","non-dropping-particle":"","parse-names":false,"suffix":""},{"dropping-particle":"","family":"Liu","given":"Shilei","non-dropping-particle":"","parse-names":false,"suffix":""},{"dropping-particle":"","family":"Ding","given":"Yiran","non-dropping-particle":"","parse-names":false,"suffix":""},{"dropping-particle":"","family":"Jiang","given":"Zheng","non-dropping-particle":"","parse-names":false,"suffix":""},{"dropping-particle":"","family":"Li","given":"Jiong","non-dropping-particle":"","parse-names":false,"suffix":""},{"dropping-particle":"","family":"Huang","given":"Yaobo","non-dropping-particle":"","parse-names":false,"suffix":""},{"dropping-particle":"","family":"Li","given":"Xiaolong","non-dropping-particle":"","parse-names":false,"suffix":""},{"dropping-particle":"","family":"Zhou","given":"Xingtai","non-dropping-particle":"","parse-names":false,"suffix":""},{"dropping-particle":"","family":"Wang","given":"Yong","non-dropping-particle":"","parse-names":false,"suffix":""},{"dropping-particle":"","family":"Zhu","given":"Daming","non-dropping-particle":"","parse-names":false,"suffix":""},{"dropping-particle":"","family":"Zeng","given":"Mengqi","non-dropping-particle":"","parse-names":false,"suffix":""},{"dropping-particle":"","family":"Fu","given":"Lei","non-dropping-particle":"","parse-names":false,"suffix":""}],"container-title":"ACS Nano","id":"ITEM-1","issue":"11","issued":{"date-parts":[["2021","11","23"]]},"page":"17748-17756","publisher":"American Chemical Society","title":"A Superlattice-Stabilized Layered CuS Anode for High-Performance Aqueous Zinc-Ion Batteries","type":"article-journal","volume":"15"},"uris":["http://www.mendeley.com/documents/?uuid=843d4340-7a48-3644-a64c-f33416a300ad"]},{"id":"ITEM-2","itemData":{"DOI":"10.1002/AENM.202202182","ISSN":"1614-6840","abstract":"The practical application of infancy-stage rocking-chair Zn-ion batteries is predominately retarded by the strong electrostatic interaction between traditional anode materials with bivalent Zn2+, resulting in irreversible serious structural damage, unsatisfactory cycling stabilities, and poor rate performances. Herein, an advanced dual electric field in situ induced intercalation/conversion dual-mechanism Na1.6TiS2/CuSe2 heterointerface anode towards ultrastable aqueous rocking-chair zinc-ion batteries is successfully constructed. The rational constructions of huge heterointerfaces between different phases generate built-in electric fields, reducing the energy barrier for ion migration, facilitating electron/ion diffusion, decreasing charge transfer resistances, and establishing an excellent conducting network. The enhanced interactions of different atoms at the phase interface alleviate the tensile strain and stabilize the lattice, achieving superior Zn2+ diffusion kinetics. The dual-mechanism Na1.6TiS2/CuSe2 heterostructures can reach a discharge capacity of 142 mAh g−1 at 0.2 A g−1. It still reaches a discharge capacity of 133 mAh g−1 when the current density recovers to 0.2 A g−1 after a high current evaluation of 10 A g−1 with remarkable capacity retention (83.8% at 5A g−1 after 12</w:instrText>
      </w:r>
      <w:r w:rsidR="00500B8D" w:rsidRPr="003E0254">
        <w:rPr>
          <w:rFonts w:ascii="Arial" w:hAnsi="Arial" w:cs="Arial"/>
        </w:rPr>
        <w:instrText> </w:instrText>
      </w:r>
      <w:r w:rsidR="00500B8D" w:rsidRPr="003E0254">
        <w:instrText>000 cycles). This breakthrough opens a new avenue for the targeted design of rocking-chair zinc-ion batteries and provides insights into the evolution of heterointerfaces.","author":[{"dropping-particle":"","family":"Cai","given":"Peng","non-dropping-particle":"","parse-names":false,"suffix":""},{"dropping-particle":"","family":"Wang","given":"Kangli","non-dropping-particle":"","parse-names":false,"suffix":""},{"dropping-particle":"","family":"Ning","given":"Jing","non-dropping-particle":"","parse-names":false,"suffix":""},{"dropping-particle":"","family":"He","given":"Xin","non-dropping-particle":"","parse-names":false,"suffix":""},{"dropping-particle":"","family":"Chen","given":"Manlin","non-dropping-particle":"","parse-names":false,"suffix":""},{"dropping-particle":"","family":"Li","given":"Qixing","non-dropping-particle":"","parse-names":false,"suffix":""},{"dropping-particle":"","family":"Li","given":"Haomiao","non-dropping-particle":"","parse-names":false,"suffix":""},{"dropping-particle":"","family":"Zhou","given":"Min","non-dropping-particle":"","parse-names":false,"suffix":""},{"dropping-particle":"","family":"Wang","given":"Wei","non-dropping-particle":"","parse-names":false,"suffix":""},{"dropping-particle":"","family":"Jiang","given":"Kai","non-dropping-particle":"","parse-names":false,"suffix":""}],"container-title":"Advanced Energy Materials","id":"ITEM-2","issue":"41","issued":{"date-parts":[["2022","11","1"]]},"page":"2202182","publisher":"John Wiley &amp; Sons, Ltd","title":"Advanced In Situ Induced Dual-Mechanism Heterointerface Towards Ultrastable Aqueous Rocking-Chair Zinc-Ion Batteries","type":"article-journal","volume":"12"},"uris":["http://www.mendeley.com/documents/?uuid=a9b9b2cb-af7d-3512-97b3-599013dac3ca"]}],"mendeley":{"formattedCitation":"&lt;sup&gt;[133,134]&lt;/sup&gt;","plainTextFormattedCitation":"[133,134]","previouslyFormattedCitation":"&lt;sup&gt;[132,133]&lt;/sup&gt;"},"properties":{"noteIndex":0},"schema":"https://github.com/citation-style-language/schema/raw/master/csl-citation.json"}</w:instrText>
      </w:r>
      <w:r w:rsidR="00CD77B2" w:rsidRPr="003E0254">
        <w:fldChar w:fldCharType="separate"/>
      </w:r>
      <w:r w:rsidR="00500B8D" w:rsidRPr="003E0254">
        <w:rPr>
          <w:noProof/>
          <w:vertAlign w:val="superscript"/>
        </w:rPr>
        <w:t>[133,134]</w:t>
      </w:r>
      <w:r w:rsidR="00CD77B2" w:rsidRPr="003E0254">
        <w:fldChar w:fldCharType="end"/>
      </w:r>
      <w:r w:rsidR="002F6D4C" w:rsidRPr="003E0254">
        <w:t xml:space="preserve"> intercalation,</w:t>
      </w:r>
      <w:r w:rsidR="00CD77B2" w:rsidRPr="003E0254">
        <w:fldChar w:fldCharType="begin" w:fldLock="1"/>
      </w:r>
      <w:r w:rsidR="00500B8D" w:rsidRPr="003E0254">
        <w:instrText>ADDIN CSL_CITATION {"citationItems":[{"id":"ITEM-1","itemData":{"DOI":"10.1002/ADFM.202005092","ISSN":"1616-3028","abstract":"Environment-friendly and low-cost aqueous zinc-ion batteries (ZIBs) have received considerable attention for large-scale energy storage. However, the low coulombic efficiency and potential safety hazards of Zn-metal anodes severely hinder their practical implementations. Herein, for the first time, mixed-valence Cu2−xSe is proposed as a new intercalation anode to construct Zn-metal-free rocking-chair ZIBs with a long lifespan. It is found that the introduction of low-valence Cu not only modify active sites for Zn2+ ion storage, but also optimizes the electronic interaction between the active sites and the intercalated Zn2+ ion, leading to a favorable intercalation formation energy (−0.68 eV) and reduced diffusion barrier, as demonstrated by first-principles calculation. Ex situ X-ray diffraction, ex situ transmission electron microscopy and galvanostatic intermittent titration technique measurements reveal the reversible insertion/extraction of Zn2+ in Cu2−xSe via an intercalation reaction mechanism. Owing to the rigid host structure and facile Zn2+ diffusion kinetics, the Cu2−xSe nanorod anode shows an enhanced coulombic efficiency (above 99.5%), outstanding rate capability and excellent cycling stability. The as-fabricated ZnxMnO2||Cu2−xSe Zn-ion full battery exhibits an impressive electrochemical performance, particularly an ultralong cycle life of over 20</w:instrText>
      </w:r>
      <w:r w:rsidR="00500B8D" w:rsidRPr="003E0254">
        <w:rPr>
          <w:rFonts w:ascii="Arial" w:hAnsi="Arial" w:cs="Arial"/>
        </w:rPr>
        <w:instrText> </w:instrText>
      </w:r>
      <w:r w:rsidR="00500B8D" w:rsidRPr="003E0254">
        <w:instrText>000 cycles at 2 A g</w:instrText>
      </w:r>
      <w:r w:rsidR="00500B8D" w:rsidRPr="003E0254">
        <w:rPr>
          <w:rFonts w:ascii="Aptos" w:hAnsi="Aptos" w:cs="Aptos"/>
        </w:rPr>
        <w:instrText>−</w:instrText>
      </w:r>
      <w:r w:rsidR="00500B8D" w:rsidRPr="003E0254">
        <w:instrText>1. This study is expected to provide new opportunities for developing high-performance rechargeable aqueous ZIBs.","author":[{"dropping-particle":"","family":"Yang","given":"Yang","non-dropping-particle":"","parse-names":false,"suffix":""},{"dropping-particle":"","family":"Xiao","given":"Jinfei","non-dropping-particle":"","parse-names":false,"suffix":""},{"dropping-particle":"","family":"Cai","given":"Jinyan","non-dropping-particle":"","parse-names":false,"suffix":""},{"dropping-particle":"","family":"Wang","given":"Gongming","non-dropping-particle":"","parse-names":false,"suffix":""},{"dropping-particle":"","family":"Du","given":"Wencheng","non-dropping-particle":"","parse-names":false,"suffix":""},{"dropping-particle":"","family":"Zhang","given":"Yufei","non-dropping-particle":"","parse-names":false,"suffix":""},{"dropping-particle":"","family":"Lu","given":"Xihong","non-dropping-particle":"","parse-names":false,"suffix":""},{"dropping-particle":"","family":"Chao Li","given":"Cheng","non-dropping-particle":"","parse-names":false,"suffix":""},{"dropping-particle":"","family":"Yang","given":"Y","non-dropping-particle":"","parse-names":false,"suffix":""},{"dropping-particle":"","family":"Xiao","given":"J F","non-dropping-particle":"","parse-names":false,"suffix":""},{"dropping-particle":"","family":"Du","given":"W C","non-dropping-particle":"","parse-names":false,"suffix":""},{"dropping-particle":"","family":"Zhang","given":"Y F","non-dropping-particle":"","parse-names":false,"suffix":""},{"dropping-particle":"","family":"Li","given":"C C","non-dropping-particle":"","parse-names":false,"suffix":""},{"dropping-particle":"","family":"Cai","given":"J Y","non-dropping-particle":"","parse-names":false,"suffix":""},{"dropping-particle":"","family":"Wang","given":"G M","non-dropping-particle":"","parse-names":false,"suffix":""},{"dropping-particle":"","family":"Lu","given":"X H","non-dropping-particle":"","parse-names":false,"suffix":""}],"container-title":"Advanced Functional Materials","id":"ITEM-1","issue":"3","issued":{"date-parts":[["2021","1","1"]]},"page":"2005092","publisher":"John Wiley &amp; Sons, Ltd","title":"Mixed-Valence Copper Selenide as an Anode for Ultralong Lifespan Rocking-Chair Zn-Ion Batteries: An Insight into its Intercalation/Extraction Kinetics and Charge Storage Mechanism","type":"article-journal","volume":"31"},"uris":["http://www.mendeley.com/documents/?uuid=00fc4cdc-e87f-3c63-b1d5-22d5fdcb7c2a"]},{"id":"ITEM-2","itemData":{"DOI":"10.1021/acsami.6b03197","ISSN":"1944-8244","abstract":"This work describes the synthesis of Chevrel phase Mo6S8 nanocubes and its application as the anode material for rechargeable Zn-ion batteries. Mo6S8 can host Zn2+ ions reversibly in both aqueous and nonaqueous electrolytes with specific capacities around 90 mAh/g, and exhibited remarkable intercalation kinetics and cyclic stability. In addition, we assembled full cells by integrating Mo6S8 anodes with zinc-polyiodide (I-/I3-)-based catholytes, and demonstrated that such full cells were also able to deliver outstanding rate performance and cyclic stability. This first demonstration of a zinc-intercalating anode could inspire the design of advanced Zn-ion batteries.","author":[{"dropping-particle":"","family":"Cheng","given":"Yingwen","non-dropping-particle":"","parse-names":false,"suffix":""},{"dropping-particle":"","family":"Luo","given":"Langli","non-dropping-particle":"","parse-names":false,"suffix":""},{"dropping-particle":"","family":"Zhong","given":"Li","non-dropping-particle":"","parse-names":false,"suffix":""},{"dropping-particle":"","family":"Chen","given":"Junzheng","non-dropping-particle":"","parse-names":false,"suffix":""},{"dropping-particle":"","family":"Li","given":"Bin","non-dropping-particle":"","parse-names":false,"suffix":""},{"dropping-particle":"","family":"Wang","given":"Wei","non-dropping-particle":"","parse-names":false,"suffix":""},{"dropping-particle":"","family":"Mao","given":"Scott X.","non-dropping-particle":"","parse-names":false,"suffix":""},{"dropping-particle":"","family":"Wang","given":"Chongmin","non-dropping-particle":"","parse-names":false,"suffix":""},{"dropping-particle":"","family":"Sprenkle","given":"Vincent L.","non-dropping-particle":"","parse-names":false,"suffix":""},{"dropping-particle":"","family":"Li","given":"Guosheng","non-dropping-particle":"","parse-names":false,"suffix":""},{"dropping-particle":"","family":"Liu","given":"Jun","non-dropping-particle":"","parse-names":false,"suffix":""}],"container-title":"ACS Applied Materials &amp; Interfaces","id":"ITEM-2","issue":"22","issued":{"date-parts":[["2016","6","8"]]},"page":"13673-13677","publisher":"American Chemical Society","title":"Highly Reversible Zinc-Ion Intercalation into Chevrel Phase Mo 6 S 8 Nanocubes and Applications for Advanced Zinc-Ion Batteries","type":"article-journal","volume":"8"},"uris":["http://www.mendeley.com/documents/?uuid=b63e481d-7493-4da8-9554-e6c8c73790b2"]}],"mendeley":{"formattedCitation":"&lt;sup&gt;[109,135]&lt;/sup&gt;","plainTextFormattedCitation":"[109,135]","previouslyFormattedCitation":"&lt;sup&gt;[108,134]&lt;/sup&gt;"},"properties":{"noteIndex":0},"schema":"https://github.com/citation-style-language/schema/raw/master/csl-citation.json"}</w:instrText>
      </w:r>
      <w:r w:rsidR="00CD77B2" w:rsidRPr="003E0254">
        <w:fldChar w:fldCharType="separate"/>
      </w:r>
      <w:r w:rsidR="00500B8D" w:rsidRPr="003E0254">
        <w:rPr>
          <w:noProof/>
          <w:vertAlign w:val="superscript"/>
        </w:rPr>
        <w:t>[109,135]</w:t>
      </w:r>
      <w:r w:rsidR="00CD77B2" w:rsidRPr="003E0254">
        <w:fldChar w:fldCharType="end"/>
      </w:r>
      <w:r w:rsidR="002F6D4C" w:rsidRPr="003E0254">
        <w:t xml:space="preserve"> or coordination</w:t>
      </w:r>
      <w:r w:rsidR="0082630F" w:rsidRPr="003E0254">
        <w:rPr>
          <w:b/>
          <w:bCs/>
          <w:u w:val="single"/>
        </w:rPr>
        <w:fldChar w:fldCharType="begin" w:fldLock="1"/>
      </w:r>
      <w:r w:rsidR="00500B8D" w:rsidRPr="003E0254">
        <w:rPr>
          <w:b/>
          <w:bCs/>
          <w:u w:val="single"/>
        </w:rPr>
        <w:instrText>ADDIN CSL_CITATION {"citationItems":[{"id":"ITEM-1","itemData":{"DOI":"10.1016/J.MTENER.2019.06.011","ISSN":"2468-6069","abstract":"Graphite was reported by J.O. Besenhard as the reservoir for alkali ions in 1974. The booming period of lithium-ion batteries arrived after the graphite patent issued by Sony Co. in 1991. The flourish development is due to the address of lithium dendrite issue through the substitution from lithium metal to graphite. Currently, the zinc dendrite formation in zinc-ion batteries is one of the major issues. Herein, we fabricate a zinc-ion full battery by replacing zinc metal with organic quinone, which is a zinc dendrite free material. This novel zinc-ion full battery exhibits excellent cycling stability with capacity retention of 94.4% and high specific capacity of 189.5 mA h g−1 after 500 cycles. Ascribed to the low cost of quinone and long cycle performance, this work could inaugurate a new era for rechargeable aqueous zinc-ion batteries.","author":[{"dropping-particle":"","family":"Yan","given":"Lijing","non-dropping-particle":"","parse-names":false,"suffix":""},{"dropping-particle":"","family":"Zeng","given":"Xiaomin","non-dropping-particle":"","parse-names":false,"suffix":""},{"dropping-particle":"","family":"Li","given":"Zeheng","non-dropping-particle":"","parse-names":false,"suffix":""},{"dropping-particle":"","family":"Meng","given":"Xiangjuan","non-dropping-particle":"","parse-names":false,"suffix":""},{"dropping-particle":"","family":"Wei","given":"Di","non-dropping-particle":"","parse-names":false,"suffix":""},{"dropping-particle":"","family":"Liu","given":"Tiefeng","non-dropping-particle":"","parse-names":false,"suffix":""},{"dropping-particle":"","family":"Ling","given":"Min","non-dropping-particle":"","parse-names":false,"suffix":""},{"dropping-particle":"","family":"Lin","given":"Zhan","non-dropping-particle":"","parse-names":false,"suffix":""},{"dropping-particle":"","family":"Liang","given":"Chengdu","non-dropping-particle":"","parse-names":false,"suffix":""}],"container-title":"Materials Today Energy","id":"ITEM-1","issued":{"date-parts":[["2019","9","1"]]},"page":"323-330","publisher":"Elsevier","title":"An innovation: Dendrite free quinone paired with ZnMn2O4 for zinc ion storage","type":"article-journal","volume":"13"},"uris":["http://www.mendeley.com/documents/?uuid=88a99abb-4ecb-3f66-b1a7-6774af6cbd61"]},{"id":"ITEM-2","itemData":{"DOI":"10.1002/ADVS.202000146","ISSN":"2198-3844","abstract":"Aqueous zinc-ion batteries (ZIBs) are an alternative energy storage system for large-scale grid applications compared with lithium-ion batteries, when the low cost, safety, and durability are taken into consideration. However, the reliability of the battery systems always suffers from the serious challenge of the large Zn dendrite formation and “dead Zn,” thus bringing out the inferior cycling stability, and even cell shorting. Herein, a dendrite-free organic anode, perylene-3,4,9,10-tetracarboxylic diimide (PTCDI) polymerized on the surface of reduced graphene oxide (PTCDI/rGO) utilized in ZIBs is reported. Moreover, the theoretical calculations prove the reason for the low redox potential. Due to the protons and zinc ions coparticipant phase transfer mechanism and the high charge transfer capability, the PTCDI/rGO electrode provides superior rate capability (121 mA h g−1 at 5000 mA g−1, retaining the 95% capacity of that compared with 50 mA g−1) and a long cycling life span (96% capacity retention after 1500 cycles at 3000 mA g−1). In addition, the proton coparticipation energy storage mechanism of active materials is elucidated by various ex-situ methods.","author":[{"dropping-particle":"","family":"Liu","given":"Nannan","non-dropping-particle":"","parse-names":false,"suffix":""},{"dropping-particle":"","family":"Wu","given":"Xian","non-dropping-particle":"","parse-names":false,"suffix":""},{"dropping-particle":"","family":"Zhang","given":"Yu","non-dropping-particle":"","parse-names":false,"suffix":""},{"dropping-particle":"","family":"Yin","given":"Yanyou","non-dropping-particle":"","parse-names":false,"suffix":""},{"dropping-particle":"","family":"Sun","given":"Chengzhi","non-dropping-particle":"","parse-names":false,"suffix":""},{"dropping-particle":"","family":"Mao","given":"Yachun","non-dropping-particle":"","parse-names":false,"suffix":""},{"dropping-particle":"","family":"Fan","given":"Lishuang","non-dropping-particle":"","parse-names":false,"suffix":""},{"dropping-particle":"","family":"Zhang","given":"Naiqing","non-dropping-particle":"","parse-names":false,"suffix":""},{"dropping-particle":"","family":"Liu","given":"N","non-dropping-particle":"","parse-names":false,"suffix":""},{"dropping-particle":"","family":"Wu","given":"X","non-dropping-particle":"","parse-names":false,"suffix":""},{"dropping-particle":"","family":"Zhang","given":"Y","non-dropping-particle":"","parse-names":false,"suffix":""},{"dropping-particle":"","family":"Yin","given":"Y","non-dropping-particle":"","parse-names":false,"suffix":""},{"dropping-particle":"","family":"Sun","given":"C","non-dropping-particle":"","parse-names":false,"suffix":""},{"dropping-particle":"","family":"Mao","given":"Y","non-dropping-particle":"","parse-names":false,"suffix":""},{"dropping-particle":"","family":"Fan","given":"L","non-dropping-particle":"","parse-names":false,"suffix":""},{"dropping-particle":"","family":"Zhang","given":"N","non-dropping-particle":"","parse-names":false,"suffix":""}],"container-title":"Advanced Science","id":"ITEM-2","issue":"14","issued":{"date-parts":[["2020","7","1"]]},"page":"2000146","publisher":"John Wiley &amp; Sons, Ltd","title":"Building High Rate Capability and Ultrastable Dendrite-Free Organic Anode for Rechargeable Aqueous Zinc Batteries","type":"article-journal","volume":"7"},"uris":["http://www.mendeley.com/documents/?uuid=9ad7d756-4e43-3d3f-b8cc-9d431bd911f7"]}],"mendeley":{"formattedCitation":"&lt;sup&gt;[107,136]&lt;/sup&gt;","plainTextFormattedCitation":"[107,136]","previouslyFormattedCitation":"&lt;sup&gt;[106,135]&lt;/sup&gt;"},"properties":{"noteIndex":0},"schema":"https://github.com/citation-style-language/schema/raw/master/csl-citation.json"}</w:instrText>
      </w:r>
      <w:r w:rsidR="0082630F" w:rsidRPr="003E0254">
        <w:rPr>
          <w:b/>
          <w:bCs/>
          <w:u w:val="single"/>
        </w:rPr>
        <w:fldChar w:fldCharType="separate"/>
      </w:r>
      <w:r w:rsidR="00500B8D" w:rsidRPr="003E0254">
        <w:rPr>
          <w:bCs/>
          <w:noProof/>
          <w:vertAlign w:val="superscript"/>
        </w:rPr>
        <w:t>[107,136]</w:t>
      </w:r>
      <w:r w:rsidR="0082630F" w:rsidRPr="003E0254">
        <w:rPr>
          <w:b/>
          <w:bCs/>
          <w:u w:val="single"/>
        </w:rPr>
        <w:fldChar w:fldCharType="end"/>
      </w:r>
      <w:r w:rsidR="002F6D4C" w:rsidRPr="003E0254">
        <w:t xml:space="preserve">. </w:t>
      </w:r>
      <w:r w:rsidR="00703A5E" w:rsidRPr="003E0254">
        <w:t xml:space="preserve">Among </w:t>
      </w:r>
      <w:r w:rsidR="00563DAD" w:rsidRPr="003E0254">
        <w:t>these</w:t>
      </w:r>
      <w:r w:rsidR="00703A5E" w:rsidRPr="003E0254">
        <w:t>, batteries employ</w:t>
      </w:r>
      <w:r w:rsidR="00563DAD" w:rsidRPr="003E0254">
        <w:t>ing</w:t>
      </w:r>
      <w:r w:rsidR="00703A5E" w:rsidRPr="003E0254">
        <w:t xml:space="preserve"> intercalation</w:t>
      </w:r>
      <w:r w:rsidR="00563DAD" w:rsidRPr="003E0254">
        <w:t>-type</w:t>
      </w:r>
      <w:r w:rsidR="00703A5E" w:rsidRPr="003E0254">
        <w:t xml:space="preserve"> anodes </w:t>
      </w:r>
      <w:r w:rsidR="00563DAD" w:rsidRPr="003E0254">
        <w:t>and</w:t>
      </w:r>
      <w:r w:rsidR="00703A5E" w:rsidRPr="003E0254">
        <w:t xml:space="preserve"> cathodes </w:t>
      </w:r>
      <w:r w:rsidR="00563DAD" w:rsidRPr="003E0254">
        <w:t>are</w:t>
      </w:r>
      <w:r w:rsidR="00703A5E" w:rsidRPr="003E0254">
        <w:t xml:space="preserve"> </w:t>
      </w:r>
      <w:r w:rsidR="00563DAD" w:rsidRPr="003E0254">
        <w:t>known</w:t>
      </w:r>
      <w:r w:rsidR="00703A5E" w:rsidRPr="003E0254">
        <w:t xml:space="preserve"> as “zinc-ion batteries”. </w:t>
      </w:r>
      <w:r w:rsidR="00563DAD" w:rsidRPr="003E0254">
        <w:t>While</w:t>
      </w:r>
      <w:r w:rsidR="0051270F" w:rsidRPr="003E0254">
        <w:t xml:space="preserve"> zinc metal-free anodes offer </w:t>
      </w:r>
      <w:r w:rsidR="00563DAD" w:rsidRPr="003E0254">
        <w:t>several</w:t>
      </w:r>
      <w:r w:rsidR="0051270F" w:rsidRPr="003E0254">
        <w:t xml:space="preserve"> advantages</w:t>
      </w:r>
      <w:r w:rsidR="00563DAD" w:rsidRPr="003E0254">
        <w:t>, such as</w:t>
      </w:r>
      <w:r w:rsidR="0051270F" w:rsidRPr="003E0254">
        <w:t xml:space="preserve"> good cycling stability, high specific capacities, fast reaction kinetics, they also </w:t>
      </w:r>
      <w:r w:rsidR="00563DAD" w:rsidRPr="003E0254">
        <w:t>face some drawbacks. These can include</w:t>
      </w:r>
      <w:r w:rsidR="0051270F" w:rsidRPr="003E0254">
        <w:t xml:space="preserve"> low cycling stabilities, sluggish kinetics, poor conductivit</w:t>
      </w:r>
      <w:r w:rsidR="00563DAD" w:rsidRPr="003E0254">
        <w:t>y</w:t>
      </w:r>
      <w:r w:rsidR="0051270F" w:rsidRPr="003E0254">
        <w:t xml:space="preserve">, </w:t>
      </w:r>
      <w:r w:rsidR="00563DAD" w:rsidRPr="003E0254">
        <w:t>and limited</w:t>
      </w:r>
      <w:r w:rsidR="0051270F" w:rsidRPr="003E0254">
        <w:t xml:space="preserve"> rate capabilities</w:t>
      </w:r>
      <w:r w:rsidR="00563DAD" w:rsidRPr="003E0254">
        <w:t>, depending on the type of material used.</w:t>
      </w:r>
      <w:r w:rsidR="0051270F" w:rsidRPr="003E0254">
        <w:t xml:space="preserve"> </w:t>
      </w:r>
    </w:p>
    <w:p w14:paraId="0DCD047D" w14:textId="77777777" w:rsidR="0012244F" w:rsidRPr="003E0254" w:rsidRDefault="0012244F" w:rsidP="00C60055">
      <w:pPr>
        <w:spacing w:line="276" w:lineRule="auto"/>
      </w:pPr>
    </w:p>
    <w:p w14:paraId="1474FF13" w14:textId="110334A4" w:rsidR="00C60055" w:rsidRPr="003E0254" w:rsidRDefault="00C60055" w:rsidP="00C60055">
      <w:pPr>
        <w:pStyle w:val="berschrift4"/>
        <w:spacing w:line="276" w:lineRule="auto"/>
        <w:rPr>
          <w:b/>
          <w:bCs/>
          <w:i w:val="0"/>
          <w:iCs w:val="0"/>
        </w:rPr>
      </w:pPr>
      <w:r w:rsidRPr="003E0254">
        <w:rPr>
          <w:b/>
          <w:bCs/>
          <w:i w:val="0"/>
          <w:iCs w:val="0"/>
        </w:rPr>
        <w:t>2.</w:t>
      </w:r>
      <w:r w:rsidR="003E4F58" w:rsidRPr="003E0254">
        <w:rPr>
          <w:b/>
          <w:bCs/>
          <w:i w:val="0"/>
          <w:iCs w:val="0"/>
        </w:rPr>
        <w:t>3</w:t>
      </w:r>
      <w:r w:rsidRPr="003E0254">
        <w:rPr>
          <w:b/>
          <w:bCs/>
          <w:i w:val="0"/>
          <w:iCs w:val="0"/>
        </w:rPr>
        <w:t>.2 Cathode:</w:t>
      </w:r>
    </w:p>
    <w:p w14:paraId="676A48ED" w14:textId="2F5B366B" w:rsidR="00C60055" w:rsidRPr="003E0254" w:rsidRDefault="00E35302" w:rsidP="00C60055">
      <w:pPr>
        <w:pBdr>
          <w:top w:val="none" w:sz="4" w:space="0" w:color="000000"/>
          <w:left w:val="none" w:sz="4" w:space="0" w:color="000000"/>
          <w:bottom w:val="none" w:sz="4" w:space="0" w:color="000000"/>
          <w:right w:val="none" w:sz="4" w:space="0" w:color="000000"/>
        </w:pBdr>
        <w:spacing w:line="276" w:lineRule="auto"/>
        <w:jc w:val="both"/>
      </w:pPr>
      <w:r w:rsidRPr="003E0254">
        <w:t xml:space="preserve">Unlike the anode, where </w:t>
      </w:r>
      <w:r w:rsidR="00A439A1" w:rsidRPr="003E0254">
        <w:t>zinc-metal</w:t>
      </w:r>
      <w:r w:rsidRPr="003E0254">
        <w:t xml:space="preserve"> in some form is almost always the material of choice, there </w:t>
      </w:r>
      <w:r w:rsidR="00C02C06" w:rsidRPr="003E0254">
        <w:t>is</w:t>
      </w:r>
      <w:r w:rsidRPr="003E0254">
        <w:t xml:space="preserve"> </w:t>
      </w:r>
      <w:r w:rsidR="00C02C06" w:rsidRPr="003E0254">
        <w:t xml:space="preserve">a </w:t>
      </w:r>
      <w:r w:rsidR="009755F7" w:rsidRPr="003E0254">
        <w:t>plethora of</w:t>
      </w:r>
      <w:r w:rsidRPr="003E0254">
        <w:t xml:space="preserve"> different cathode </w:t>
      </w:r>
      <w:r w:rsidR="009755F7" w:rsidRPr="003E0254">
        <w:t xml:space="preserve">active </w:t>
      </w:r>
      <w:r w:rsidRPr="003E0254">
        <w:t>materials, all of which have their advantages and disadvantages.</w:t>
      </w:r>
      <w:r w:rsidR="008E5138" w:rsidRPr="003E0254">
        <w:t xml:space="preserve"> For slightly acidic batteries, in </w:t>
      </w:r>
      <w:r w:rsidR="000D0BA2" w:rsidRPr="003E0254">
        <w:t>particular</w:t>
      </w:r>
      <w:r w:rsidR="008E5138" w:rsidRPr="003E0254">
        <w:t xml:space="preserve"> </w:t>
      </w:r>
      <w:r w:rsidR="000D0BA2" w:rsidRPr="003E0254">
        <w:t>manganese- or vanadium-based oxides are</w:t>
      </w:r>
      <w:r w:rsidR="00C60055" w:rsidRPr="003E0254">
        <w:t xml:space="preserve"> frequently applied, </w:t>
      </w:r>
      <w:r w:rsidR="0089107B" w:rsidRPr="003E0254">
        <w:t xml:space="preserve">in </w:t>
      </w:r>
      <w:r w:rsidR="00C60055" w:rsidRPr="003E0254">
        <w:t>part for historical reasons</w:t>
      </w:r>
      <w:r w:rsidR="008E5138" w:rsidRPr="003E0254">
        <w:t xml:space="preserve">, while for rechargeable alkaline batteries, nickel hydroxide has been </w:t>
      </w:r>
      <w:r w:rsidR="003C13B3" w:rsidRPr="003E0254">
        <w:t>successfully commercialized</w:t>
      </w:r>
      <w:r w:rsidR="00C60055" w:rsidRPr="003E0254">
        <w:t xml:space="preserve">. However, as can be seen in the matrix, work is also being carried out to investigate and optimize </w:t>
      </w:r>
      <w:r w:rsidR="0089107B" w:rsidRPr="003E0254">
        <w:t>P</w:t>
      </w:r>
      <w:r w:rsidR="00C60055" w:rsidRPr="003E0254">
        <w:t xml:space="preserve">russian </w:t>
      </w:r>
      <w:r w:rsidR="0089107B" w:rsidRPr="003E0254">
        <w:t>B</w:t>
      </w:r>
      <w:r w:rsidR="00C60055" w:rsidRPr="003E0254">
        <w:t xml:space="preserve">lue analogues and polyanionic compounds. A few research projects are also looking </w:t>
      </w:r>
      <w:r w:rsidR="00C02C06" w:rsidRPr="003E0254">
        <w:lastRenderedPageBreak/>
        <w:t>into</w:t>
      </w:r>
      <w:r w:rsidR="00C60055" w:rsidRPr="003E0254">
        <w:t xml:space="preserve"> iron-</w:t>
      </w:r>
      <w:r w:rsidR="00333F04" w:rsidRPr="003E0254">
        <w:fldChar w:fldCharType="begin" w:fldLock="1"/>
      </w:r>
      <w:r w:rsidR="00500B8D" w:rsidRPr="003E0254">
        <w:instrText>ADDIN CSL_CITATION {"citationItems":[{"id":"ITEM-1","itemData":{"DOI":"10.1039/D4YA00134F","ISSN":"2753-1457","abstract":"In this work, the suitability of the spinel material ZnFe2O4, which has already been widely investigated in the context of its magnetic and photocatalytic properties, for use as active material for the cathode side in zinc ion batteries is presented. In addition to pure ZnFe2O4, part of the Fe3+ was doped with Ti4+ to achieve stabilization of Zn vacancies in the material and increase ionic conductivity as indicated by previous modelling results. Ceramic samples with the composition ZnFe2−xTixO4 (x = 0 to 0.25) were prepared via a Pechini synthesis route and investigated regarding their optical, structural and electrochemical characteristics. It has been successfully demonstrated that both pure and Ti doped ZnFe2O4 can be used as active material in the positive electrodes of zinc metal batteries or in an “anode-free” setup with Sn metal. Cells with calcined ZnFe2xTixO4 (x = 0.09)|0.5 M zinc triflate in acetonitrile|Zn showed a stable cycling behavior over 1000 cycles and an average initial specific capacity of 55 mA h g−1.","author":[{"dropping-particle":"","family":"Krämer","given":"S.","non-dropping-particle":"","parse-names":false,"suffix":""},{"dropping-particle":"","family":"Hopster","given":"J.","non-dropping-particle":"","parse-names":false,"suffix":""},{"dropping-particle":"","family":"Windmüller","given":"A.","non-dropping-particle":"","parse-names":false,"suffix":""},{"dropping-particle":"","family":"Eichel","given":"R. A.","non-dropping-particle":"","parse-names":false,"suffix":""},{"dropping-particle":"","family":"Grünebaum","given":"M.","non-dropping-particle":"","parse-names":false,"suffix":""},{"dropping-particle":"","family":"Jüstel","given":"T.","non-dropping-particle":"","parse-names":false,"suffix":""},{"dropping-particle":"","family":"Winter","given":"M.","non-dropping-particle":"","parse-names":false,"suffix":""},{"dropping-particle":"","family":"Neuhaus","given":"K.","non-dropping-particle":"","parse-names":false,"suffix":""}],"container-title":"Energy Advances","id":"ITEM-1","issue":"9","issued":{"date-parts":[["2024","9","12"]]},"page":"2175-2185","publisher":"RSC","title":"Teaching an old dog new tricks: Ti-doped ZnFe2O4 as active material in zinc ion batteries – a proof of concept","type":"article-journal","volume":"3"},"uris":["http://www.mendeley.com/documents/?uuid=7c899041-0ed3-34b3-87f9-8a48f746af94"]}],"mendeley":{"formattedCitation":"&lt;sup&gt;[119]&lt;/sup&gt;","plainTextFormattedCitation":"[119]","previouslyFormattedCitation":"&lt;sup&gt;[118]&lt;/sup&gt;"},"properties":{"noteIndex":0},"schema":"https://github.com/citation-style-language/schema/raw/master/csl-citation.json"}</w:instrText>
      </w:r>
      <w:r w:rsidR="00333F04" w:rsidRPr="003E0254">
        <w:fldChar w:fldCharType="separate"/>
      </w:r>
      <w:r w:rsidR="00500B8D" w:rsidRPr="003E0254">
        <w:rPr>
          <w:noProof/>
          <w:vertAlign w:val="superscript"/>
        </w:rPr>
        <w:t>[119]</w:t>
      </w:r>
      <w:r w:rsidR="00333F04" w:rsidRPr="003E0254">
        <w:fldChar w:fldCharType="end"/>
      </w:r>
      <w:r w:rsidR="00C60055" w:rsidRPr="003E0254">
        <w:t xml:space="preserve"> or cobalt-based</w:t>
      </w:r>
      <w:r w:rsidR="00333F04" w:rsidRPr="003E0254">
        <w:fldChar w:fldCharType="begin" w:fldLock="1"/>
      </w:r>
      <w:r w:rsidR="00500B8D" w:rsidRPr="003E0254">
        <w:instrText>ADDIN CSL_CITATION {"citationItems":[{"id":"ITEM-1","itemData":{"DOI":"10.1039/C8EE01415A","ISSN":"1754-5692","abstract":"Rechargeable aqueous zinc–cobalt oxide batteries with high voltage, excellent rate capability and long-cycling life.","author":[{"dropping-particle":"","family":"Ma","given":"Longtao","non-dropping-particle":"","parse-names":false,"suffix":""},{"dropping-particle":"","family":"Chen","given":"Shengmei","non-dropping-particle":"","parse-names":false,"suffix":""},{"dropping-particle":"","family":"Li","given":"Hongfei","non-dropping-particle":"","parse-names":false,"suffix":""},{"dropping-particle":"","family":"Ruan","given":"Zhaoheng","non-dropping-particle":"","parse-names":false,"suffix":""},{"dropping-particle":"","family":"Tang","given":"Zijie","non-dropping-particle":"","parse-names":false,"suffix":""},{"dropping-particle":"","family":"Liu","given":"Zhuoxin","non-dropping-particle":"","parse-names":false,"suffix":""},{"dropping-particle":"","family":"Wang","given":"Zifeng","non-dropping-particle":"","parse-names":false,"suffix":""},{"dropping-particle":"","family":"Huang","given":"Yan","non-dropping-particle":"","parse-names":false,"suffix":""},{"dropping-particle":"","family":"Pei","given":"Zengxia","non-dropping-particle":"","parse-names":false,"suffix":""},{"dropping-particle":"","family":"Zapien","given":"Juan Antonio","non-dropping-particle":"","parse-names":false,"suffix":""},{"dropping-particle":"","family":"Zhi","given":"Chunyi","non-dropping-particle":"","parse-names":false,"suffix":""}],"container-title":"Energy &amp; Environmental Science","id":"ITEM-1","issue":"9","issued":{"date-parts":[["2018","9","12"]]},"page":"2521-2530","publisher":"The Royal Society of Chemistry","title":"Initiating a mild aqueous electrolyte Co 3 O 4 /Zn battery with 2.2 V-high voltage and 5000-cycle lifespan by a Co( iii ) rich-electrode","type":"article-journal","volume":"11"},"uris":["http://www.mendeley.com/documents/?uuid=a16977e1-e140-345b-8bfc-dd7b742c395c"]}],"mendeley":{"formattedCitation":"&lt;sup&gt;[97]&lt;/sup&gt;","plainTextFormattedCitation":"[97]","previouslyFormattedCitation":"&lt;sup&gt;[96]&lt;/sup&gt;"},"properties":{"noteIndex":0},"schema":"https://github.com/citation-style-language/schema/raw/master/csl-citation.json"}</w:instrText>
      </w:r>
      <w:r w:rsidR="00333F04" w:rsidRPr="003E0254">
        <w:fldChar w:fldCharType="separate"/>
      </w:r>
      <w:r w:rsidR="00500B8D" w:rsidRPr="003E0254">
        <w:rPr>
          <w:noProof/>
          <w:vertAlign w:val="superscript"/>
        </w:rPr>
        <w:t>[97]</w:t>
      </w:r>
      <w:r w:rsidR="00333F04" w:rsidRPr="003E0254">
        <w:fldChar w:fldCharType="end"/>
      </w:r>
      <w:r w:rsidR="00C60055" w:rsidRPr="003E0254">
        <w:t xml:space="preserve"> systems. A schematic overview of the reported </w:t>
      </w:r>
      <w:r w:rsidR="00333F04" w:rsidRPr="003E0254">
        <w:t xml:space="preserve">theoretical </w:t>
      </w:r>
      <w:r w:rsidR="00BB0BE7" w:rsidRPr="003E0254">
        <w:t xml:space="preserve">electrode </w:t>
      </w:r>
      <w:r w:rsidR="00C60055" w:rsidRPr="003E0254">
        <w:t xml:space="preserve">potentials and specific capacities can be found in </w:t>
      </w:r>
      <w:r w:rsidR="001058AB" w:rsidRPr="003E0254">
        <w:t>Figure 5.</w:t>
      </w:r>
    </w:p>
    <w:p w14:paraId="45B10D7A" w14:textId="11B186A0" w:rsidR="003C13B3" w:rsidRPr="003E0254" w:rsidRDefault="003C13B3" w:rsidP="003C13B3">
      <w:pPr>
        <w:spacing w:line="276" w:lineRule="auto"/>
        <w:jc w:val="both"/>
      </w:pPr>
      <w:r w:rsidRPr="003E0254">
        <w:t>Even though transporting and inserting Zn</w:t>
      </w:r>
      <w:r w:rsidRPr="003E0254">
        <w:rPr>
          <w:vertAlign w:val="superscript"/>
        </w:rPr>
        <w:t>2+</w:t>
      </w:r>
      <w:r w:rsidRPr="003E0254">
        <w:t xml:space="preserve"> would be the preferable reaction for effective ZIB/ZMB, proton insertion is the dominant (e.g. in case of </w:t>
      </w:r>
      <w:r w:rsidRPr="003E0254">
        <w:rPr>
          <w:rFonts w:ascii="Calibri" w:hAnsi="Calibri" w:cs="Calibri"/>
        </w:rPr>
        <w:t>α</w:t>
      </w:r>
      <w:r w:rsidRPr="003E0254">
        <w:t>-MnO</w:t>
      </w:r>
      <w:r w:rsidRPr="003E0254">
        <w:rPr>
          <w:vertAlign w:val="subscript"/>
        </w:rPr>
        <w:t>2</w:t>
      </w:r>
      <w:r w:rsidR="00CC790A" w:rsidRPr="003E0254">
        <w:rPr>
          <w:vertAlign w:val="subscript"/>
        </w:rPr>
        <w:fldChar w:fldCharType="begin" w:fldLock="1"/>
      </w:r>
      <w:r w:rsidR="00500B8D" w:rsidRPr="003E0254">
        <w:rPr>
          <w:vertAlign w:val="subscript"/>
        </w:rPr>
        <w:instrText>ADDIN CSL_CITATION {"citationItems":[{"id":"ITEM-1","itemData":{"DOI":"10.1038/s41893-022-00919-3","ISSN":"23989629","abstract":"Rechargeable aqueous Zn–MnO2 technology combines one of the oldest battery chemistries with favourable sustainability characteristics, including safety, cost and environmental compatibility. However, the ambiguous charge storage mechanism presents a challenge to fulfil the great potential of this energy technology. Here we leverage on advanced electron microscopy, electrochemical analysis and theoretical calculations to look into the intercalation chemistry within the cathode material, or α-MnO2 more specifically. We show that Zn2+ insertion into the cathode is unlikely in the aqueous system; rather, the charge storage process is dominated by proton intercalation to form α-HxMnO2. We further reveal anisotropic lattice change as a result of entering protons proceeding from the surface into the bulk of α-MnO2, which accounts for the structural failure and capacity decay of the electrode upon cycling. Our work not only advances the fundamental understanding of rechargeable zinc batteries but also suggests the possibility to optimize proton intercalation kinetics for better-performing cell designs.","author":[{"dropping-particle":"","family":"Yuan","given":"Yifei","non-dropping-particle":"","parse-names":false,"suffix":""},{"dropping-particle":"","family":"Sharpe","given":"Ryan","non-dropping-particle":"","parse-names":false,"suffix":""},{"dropping-particle":"","family":"He","given":"Kun","non-dropping-particle":"","parse-names":false,"suffix":""},{"dropping-particle":"","family":"Li","given":"Chenghang","non-dropping-particle":"","parse-names":false,"suffix":""},{"dropping-particle":"","family":"Saray","given":"Mahmoud Tamadoni","non-dropping-particle":"","parse-names":false,"suffix":""},{"dropping-particle":"","family":"Liu","given":"Tongchao","non-dropping-particle":"","parse-names":false,"suffix":""},{"dropping-particle":"","family":"Yao","given":"Wentao","non-dropping-particle":"","parse-names":false,"suffix":""},{"dropping-particle":"","family":"Cheng","given":"Meng","non-dropping-particle":"","parse-names":false,"suffix":""},{"dropping-particle":"","family":"Jin","given":"Huile","non-dropping-particle":"","parse-names":false,"suffix":""},{"dropping-particle":"","family":"Wang","given":"Shun","non-dropping-particle":"","parse-names":false,"suffix":""},{"dropping-particle":"","family":"Amine","given":"Khalil","non-dropping-particle":"","parse-names":false,"suffix":""},{"dropping-particle":"","family":"Shahbazian-Yassar","given":"Reza","non-dropping-particle":"","parse-names":false,"suffix":""},{"dropping-particle":"","family":"Islam","given":"M. Saiful","non-dropping-particle":"","parse-names":false,"suffix":""},{"dropping-particle":"","family":"Lu","given":"Jun","non-dropping-particle":"","parse-names":false,"suffix":""}],"container-title":"Nature Sustainability","id":"ITEM-1","issue":"10","issued":{"date-parts":[["2022"]]},"page":"890-898","publisher":"Springer US","title":"Understanding intercalation chemistry for sustainable aqueous zinc–manganese dioxide batteries","type":"article-journal","volume":"5"},"uris":["http://www.mendeley.com/documents/?uuid=19c48db7-4619-4dbd-a2e9-567f63ebf03e"]}],"mendeley":{"formattedCitation":"&lt;sup&gt;[137]&lt;/sup&gt;","plainTextFormattedCitation":"[137]","previouslyFormattedCitation":"&lt;sup&gt;[136]&lt;/sup&gt;"},"properties":{"noteIndex":0},"schema":"https://github.com/citation-style-language/schema/raw/master/csl-citation.json"}</w:instrText>
      </w:r>
      <w:r w:rsidR="00CC790A" w:rsidRPr="003E0254">
        <w:rPr>
          <w:vertAlign w:val="subscript"/>
        </w:rPr>
        <w:fldChar w:fldCharType="separate"/>
      </w:r>
      <w:r w:rsidR="00500B8D" w:rsidRPr="003E0254">
        <w:rPr>
          <w:noProof/>
          <w:vertAlign w:val="superscript"/>
        </w:rPr>
        <w:t>[137]</w:t>
      </w:r>
      <w:r w:rsidR="00CC790A" w:rsidRPr="003E0254">
        <w:rPr>
          <w:vertAlign w:val="subscript"/>
        </w:rPr>
        <w:fldChar w:fldCharType="end"/>
      </w:r>
      <w:r w:rsidRPr="003E0254">
        <w:t xml:space="preserve">) or even sole reaction, in particular in Zn-ion free electrolytes, neutral and alkaline. </w:t>
      </w:r>
      <w:r w:rsidRPr="003E0254">
        <w:rPr>
          <w:lang w:eastAsia="de-DE"/>
        </w:rPr>
        <w:t>Proton co-insertion together with Zn</w:t>
      </w:r>
      <w:r w:rsidRPr="003E0254">
        <w:rPr>
          <w:vertAlign w:val="superscript"/>
          <w:lang w:eastAsia="de-DE"/>
        </w:rPr>
        <w:t>2+</w:t>
      </w:r>
      <w:r w:rsidRPr="003E0254">
        <w:rPr>
          <w:lang w:eastAsia="de-DE"/>
        </w:rPr>
        <w:t xml:space="preserve"> can improve the electrochemical performance of ZIB/ZMB by enabling fast kinetics and additional capacity. For example, in MoS</w:t>
      </w:r>
      <w:r w:rsidRPr="003E0254">
        <w:rPr>
          <w:vertAlign w:val="subscript"/>
          <w:lang w:eastAsia="de-DE"/>
        </w:rPr>
        <w:t>2</w:t>
      </w:r>
      <w:r w:rsidRPr="003E0254">
        <w:rPr>
          <w:lang w:eastAsia="de-DE"/>
        </w:rPr>
        <w:t>-based systems, protons reduce electrostatic interactions and accelerate ion diffusion.</w:t>
      </w:r>
      <w:r w:rsidR="009F4F59" w:rsidRPr="003E0254">
        <w:rPr>
          <w:lang w:eastAsia="de-DE"/>
        </w:rPr>
        <w:fldChar w:fldCharType="begin" w:fldLock="1"/>
      </w:r>
      <w:r w:rsidR="00500B8D" w:rsidRPr="003E0254">
        <w:rPr>
          <w:lang w:eastAsia="de-DE"/>
        </w:rPr>
        <w:instrText>ADDIN CSL_CITATION {"citationItems":[{"id":"ITEM-1","itemData":{"DOI":"10.1002/ANIE.202211478","ISSN":"1521-3773","PMID":"36260436","abstract":"Proton insertion chemistry in aqueous zinc-ion batteries (AZIBs) is becoming a research hotspot owing to its fast kinetics and additional capacities. However, H+ storage mechanism has not been deciphered in the popular MoS2-based AZIBs. Herein, we innovatively prepared a MoS2/poly(3,4-ethylenedioxythiophene) (MoS2/PEDOT) hybrid, where the intercalated PEDOT not only increases the interlayer spacing (from 0.62 to 1.29 nm) and electronic conductivity of MoS2, but also activates the proton insertion chemistry. Thus, highly efficient and reversible H+/Zn2+ co-insertion/extraction behaviors are demonstrated for the first time in aqueous Zn-MoS2 batteries. More intriguingly, the co-inserted protons can act as lubricants to effectively shield the electrostatic interactions between MoS2/PEDOT host and divalent Zn2+, enabling the accelerated ion-diffusion kinetics and exceptional rate performance. This work proposes a new concept of “proton lubricant” driving Zn2+ transport and broadens the horizons of Zn-MoS2 batteries.","author":[{"dropping-particle":"","family":"Li","given":"Shengwei","non-dropping-particle":"","parse-names":false,"suffix":""},{"dropping-particle":"","family":"Huang","given":"Chao","non-dropping-particle":"","parse-names":false,"suffix":""},{"dropping-particle":"","family":"Gao","given":"Lei","non-dropping-particle":"","parse-names":false,"suffix":""},{"dropping-particle":"","family":"Shen","given":"Qiuyu","non-dropping-particle":"","parse-names":false,"suffix":""},{"dropping-particle":"","family":"Li","given":"Ping","non-dropping-particle":"","parse-names":false,"suffix":""},{"dropping-particle":"","family":"Qu","given":"Xuanhui","non-dropping-particle":"","parse-names":false,"suffix":""},{"dropping-particle":"","family":"Jiao","given":"Lifang","non-dropping-particle":"","parse-names":false,"suffix":""},{"dropping-particle":"","family":"Liu","given":"Yongchang","non-dropping-particle":"","parse-names":false,"suffix":""},{"dropping-particle":"","family":"Li","given":"S","non-dropping-particle":"","parse-names":false,"suffix":""},{"dropping-particle":"","family":"Huang","given":"C","non-dropping-particle":"","parse-names":false,"suffix":""},{"dropping-particle":"","family":"Gao","given":"L","non-dropping-particle":"","parse-names":false,"suffix":""},{"dropping-particle":"","family":"Shen","given":"Q","non-dropping-particle":"","parse-names":false,"suffix":""},{"dropping-particle":"","family":"Li","given":"P","non-dropping-particle":"","parse-names":false,"suffix":""},{"dropping-particle":"","family":"Qu","given":"X","non-dropping-particle":"","parse-names":false,"suffix":""},{"dropping-particle":"","family":"Liu","given":"Y","non-dropping-particle":"","parse-names":false,"suffix":""},{"dropping-particle":"","family":"Jiao","given":"L","non-dropping-particle":"","parse-names":false,"suffix":""}],"container-title":"Angewandte Chemie International Edition","id":"ITEM-1","issue":"50","issued":{"date-parts":[["2022","12","12"]]},"page":"e202211478","publisher":"John Wiley &amp; Sons, Ltd","title":"Unveiling the “Proton Lubricant” Chemistry in Aqueous Zinc-MoS2 Batteries","type":"article-journal","volume":"61"},"uris":["http://www.mendeley.com/documents/?uuid=2f22592b-fb9f-3e02-900c-38e9b8004ab7"]}],"mendeley":{"formattedCitation":"&lt;sup&gt;[138]&lt;/sup&gt;","plainTextFormattedCitation":"[138]","previouslyFormattedCitation":"&lt;sup&gt;[137]&lt;/sup&gt;"},"properties":{"noteIndex":0},"schema":"https://github.com/citation-style-language/schema/raw/master/csl-citation.json"}</w:instrText>
      </w:r>
      <w:r w:rsidR="009F4F59" w:rsidRPr="003E0254">
        <w:rPr>
          <w:lang w:eastAsia="de-DE"/>
        </w:rPr>
        <w:fldChar w:fldCharType="separate"/>
      </w:r>
      <w:r w:rsidR="00500B8D" w:rsidRPr="003E0254">
        <w:rPr>
          <w:noProof/>
          <w:vertAlign w:val="superscript"/>
          <w:lang w:eastAsia="de-DE"/>
        </w:rPr>
        <w:t>[138]</w:t>
      </w:r>
      <w:r w:rsidR="009F4F59" w:rsidRPr="003E0254">
        <w:rPr>
          <w:lang w:eastAsia="de-DE"/>
        </w:rPr>
        <w:fldChar w:fldCharType="end"/>
      </w:r>
      <w:r w:rsidRPr="003E0254">
        <w:rPr>
          <w:lang w:eastAsia="de-DE"/>
        </w:rPr>
        <w:t xml:space="preserve"> Proton insertion in VO</w:t>
      </w:r>
      <w:r w:rsidRPr="003E0254">
        <w:rPr>
          <w:vertAlign w:val="subscript"/>
          <w:lang w:eastAsia="de-DE"/>
        </w:rPr>
        <w:t>2</w:t>
      </w:r>
      <w:r w:rsidRPr="003E0254">
        <w:rPr>
          <w:lang w:eastAsia="de-DE"/>
        </w:rPr>
        <w:t xml:space="preserve"> cathodes (along with a reversible deposition of </w:t>
      </w:r>
      <w:r w:rsidRPr="003E0254">
        <w:t>Zn</w:t>
      </w:r>
      <w:r w:rsidRPr="003E0254">
        <w:rPr>
          <w:vertAlign w:val="subscript"/>
        </w:rPr>
        <w:t>4</w:t>
      </w:r>
      <w:r w:rsidRPr="003E0254">
        <w:t>(OH)</w:t>
      </w:r>
      <w:r w:rsidRPr="003E0254">
        <w:rPr>
          <w:vertAlign w:val="subscript"/>
        </w:rPr>
        <w:t>6</w:t>
      </w:r>
      <w:r w:rsidRPr="003E0254">
        <w:t>SO</w:t>
      </w:r>
      <w:r w:rsidRPr="003E0254">
        <w:rPr>
          <w:vertAlign w:val="subscript"/>
        </w:rPr>
        <w:t>4</w:t>
      </w:r>
      <w:r w:rsidRPr="003E0254">
        <w:t>·5H</w:t>
      </w:r>
      <w:r w:rsidRPr="003E0254">
        <w:rPr>
          <w:vertAlign w:val="subscript"/>
        </w:rPr>
        <w:t>2</w:t>
      </w:r>
      <w:r w:rsidRPr="003E0254">
        <w:t>O on the cathode surface)</w:t>
      </w:r>
      <w:r w:rsidRPr="003E0254">
        <w:rPr>
          <w:lang w:eastAsia="de-DE"/>
        </w:rPr>
        <w:t xml:space="preserve"> has also been shown to minimize structural distortion, leading to long cycle life and high rate capability.</w:t>
      </w:r>
      <w:r w:rsidR="009F4F59" w:rsidRPr="003E0254">
        <w:rPr>
          <w:lang w:eastAsia="de-DE"/>
        </w:rPr>
        <w:fldChar w:fldCharType="begin" w:fldLock="1"/>
      </w:r>
      <w:r w:rsidR="00500B8D" w:rsidRPr="003E0254">
        <w:rPr>
          <w:lang w:eastAsia="de-DE"/>
        </w:rPr>
        <w:instrText>ADDIN CSL_CITATION {"citationItems":[{"id":"ITEM-1","itemData":{"DOI":"10.1002/AENM.201900237","ISSN":"1614-6840","abstract":"Rechargeable aqueous zinc-ion batteries (ZIBs) are promising for cheap stationary energy storage. Challenges for Zn-ion insertion hosts are the large structural changes of the host structure upon Zn-ion insertion and the divalent Zn-ion transport, challenging cycle life and power density respectively. Here a new mechanism is demonstrated for the VO2 cathode toward proton insertion accompanied by Zn-ion storage through the reversible deposition of Zn4(OH)6SO4·5H2O on the cathode surface, supported by operando X-ray diffraction, X-ray photoelectron spectroscopy, neutron activation analysis, and density functional theory simulations. This leads to an initial discharge capacity of 272 mAh g−1 at a current density of 3.0 A g−1, of which 75.5% is maintained after 945 cycles. It is proposed that the competition between proton and Zn-ion insertion in the VO2 host is determined by the solvation energy of the salt anion and proton insertion energetics, where proton insertion has the advantage of minimal structural distortion leading to a long cycle life. As the discharge kinetics are capacitive for the first half of the process and diffusion limited for the second half, the VO2 cathode takes the middle road possessing both fast kinetics and high practical capacities revealing a reaction mechanism that provides new perspective for the development of aqueous ZIBs.","author":[{"dropping-particle":"","family":"Li","given":"Zhaolong","non-dropping-particle":"","parse-names":false,"suffix":""},{"dropping-particle":"","family":"Ganapathy","given":"Swapna","non-dropping-particle":"","parse-names":false,"suffix":""},{"dropping-particle":"","family":"Xu","given":"Yaolin","non-dropping-particle":"","parse-names":false,"suffix":""},{"dropping-particle":"","family":"Zhou","given":"Zhou","non-dropping-particle":"","parse-names":false,"suffix":""},{"dropping-particle":"","family":"Sarilar","given":"Mehmet","non-dropping-particle":"","parse-names":false,"suffix":""},{"dropping-particle":"","family":"Wagemaker","given":"Marnix","non-dropping-particle":"","parse-names":false,"suffix":""},{"dropping-particle":"","family":"Li","given":"Z","non-dropping-particle":"","parse-names":false,"suffix":""},{"dropping-particle":"","family":"Ganapathy","given":"S","non-dropping-particle":"","parse-names":false,"suffix":""},{"dropping-particle":"","family":"Xu","given":"Y","non-dropping-particle":"","parse-names":false,"suffix":""},{"dropping-particle":"","family":"Zhou","given":"Z","non-dropping-particle":"","parse-names":false,"suffix":""},{"dropping-particle":"","family":"Sarilar","given":"M","non-dropping-particle":"","parse-names":false,"suffix":""},{"dropping-particle":"","family":"Wagemaker","given":"M","non-dropping-particle":"","parse-names":false,"suffix":""}],"container-title":"Advanced Energy Materials","id":"ITEM-1","issue":"22","issued":{"date-parts":[["2019","6","1"]]},"page":"1900237","publisher":"John Wiley &amp; Sons, Ltd","title":"Mechanistic Insight into the Electrochemical Performance of Zn/VO2 Batteries with an Aqueous ZnSO4 Electrolyte","type":"article-journal","volume":"9"},"uris":["http://www.mendeley.com/documents/?uuid=62bce32d-6305-3369-9289-88950f19484c"]}],"mendeley":{"formattedCitation":"&lt;sup&gt;[139]&lt;/sup&gt;","plainTextFormattedCitation":"[139]","previouslyFormattedCitation":"&lt;sup&gt;[138]&lt;/sup&gt;"},"properties":{"noteIndex":0},"schema":"https://github.com/citation-style-language/schema/raw/master/csl-citation.json"}</w:instrText>
      </w:r>
      <w:r w:rsidR="009F4F59" w:rsidRPr="003E0254">
        <w:rPr>
          <w:lang w:eastAsia="de-DE"/>
        </w:rPr>
        <w:fldChar w:fldCharType="separate"/>
      </w:r>
      <w:r w:rsidR="00500B8D" w:rsidRPr="003E0254">
        <w:rPr>
          <w:noProof/>
          <w:vertAlign w:val="superscript"/>
          <w:lang w:eastAsia="de-DE"/>
        </w:rPr>
        <w:t>[139]</w:t>
      </w:r>
      <w:r w:rsidR="009F4F59" w:rsidRPr="003E0254">
        <w:rPr>
          <w:lang w:eastAsia="de-DE"/>
        </w:rPr>
        <w:fldChar w:fldCharType="end"/>
      </w:r>
      <w:r w:rsidRPr="003E0254">
        <w:rPr>
          <w:lang w:eastAsia="de-DE"/>
        </w:rPr>
        <w:t xml:space="preserve"> However, proton insertion a</w:t>
      </w:r>
      <w:r w:rsidRPr="003E0254">
        <w:t>lso leads to a local change of the pH of the electrolyte, which can strongly impact transition metal dissolution, and lead to hydroxide formation, or gas formation.</w:t>
      </w:r>
      <w:r w:rsidR="00B81C8E" w:rsidRPr="003E0254">
        <w:fldChar w:fldCharType="begin" w:fldLock="1"/>
      </w:r>
      <w:r w:rsidR="00500B8D" w:rsidRPr="003E0254">
        <w:instrText>ADDIN CSL_CITATION {"citationItems":[{"id":"ITEM-1","itemData":{"DOI":"10.1149/1945-7111/ab6c57","ISSN":"19457111","abstract":"The research on aqueous zinc ion batteries (AZIB) is getting more attention as the energy transition continues to develop and the need for inexpensive and safe stationary storage batteries is growing. As the detailed reaction mechanisms are not conclusively revealed, we …","author":[{"dropping-particle":"","family":"Bischoff","given":"Christian Friedrich","non-dropping-particle":"","parse-names":false,"suffix":""},{"dropping-particle":"","family":"Fitz","given":"Oliver Sebastian","non-dropping-particle":"","parse-names":false,"suffix":""},{"dropping-particle":"","family":"Burns","given":"Jordan","non-dropping-particle":"","parse-names":false,"suffix":""},{"dropping-particle":"","family":"Bauer","given":"Manuel","non-dropping-particle":"","parse-names":false,"suffix":""},{"dropping-particle":"","family":"Gentischer","given":"Harald","non-dropping-particle":"","parse-names":false,"suffix":""},{"dropping-particle":"","family":"Birke","given":"Kai Peter","non-dropping-particle":"","parse-names":false,"suffix":""},{"dropping-particle":"","family":"Henning","given":"Hans-Martin","non-dropping-particle":"","parse-names":false,"suffix":""},{"dropping-particle":"","family":"Biro","given":"Daniel","non-dropping-particle":"","parse-names":false,"suffix":""}],"container-title":"Journal of The Electrochemical Society","id":"ITEM-1","issue":"2","issued":{"date-parts":[["2020"]]},"page":"020545","publisher":"IOP Publishing","title":"Revealing the Local pH Value Changes of Acidic Aqueous Zinc Ion Batteries with a Manganese Dioxide Electrode during Cycling","type":"article-journal","volume":"167"},"uris":["http://www.mendeley.com/documents/?uuid=f0a22da7-a554-4562-b8ff-5a94cc13ad09"]}],"mendeley":{"formattedCitation":"&lt;sup&gt;[140]&lt;/sup&gt;","plainTextFormattedCitation":"[140]","previouslyFormattedCitation":"&lt;sup&gt;[139]&lt;/sup&gt;"},"properties":{"noteIndex":0},"schema":"https://github.com/citation-style-language/schema/raw/master/csl-citation.json"}</w:instrText>
      </w:r>
      <w:r w:rsidR="00B81C8E" w:rsidRPr="003E0254">
        <w:fldChar w:fldCharType="separate"/>
      </w:r>
      <w:r w:rsidR="00500B8D" w:rsidRPr="003E0254">
        <w:rPr>
          <w:noProof/>
          <w:vertAlign w:val="superscript"/>
        </w:rPr>
        <w:t>[140]</w:t>
      </w:r>
      <w:r w:rsidR="00B81C8E" w:rsidRPr="003E0254">
        <w:fldChar w:fldCharType="end"/>
      </w:r>
      <w:r w:rsidR="00B81C8E" w:rsidRPr="003E0254">
        <w:t xml:space="preserve"> </w:t>
      </w:r>
      <w:r w:rsidRPr="003E0254">
        <w:t>This leads to  issues such as capacity fading, self-discharge, and electrode degradation, which can be at least partly inhibited by active material modification and electrolyte optimization.</w:t>
      </w:r>
    </w:p>
    <w:p w14:paraId="1E7A4F33" w14:textId="52D87030" w:rsidR="00E34BFC" w:rsidRPr="003E0254" w:rsidRDefault="000F4472" w:rsidP="00E34BFC">
      <w:pPr>
        <w:spacing w:line="276" w:lineRule="auto"/>
        <w:jc w:val="both"/>
      </w:pPr>
      <w:r w:rsidRPr="003E0254">
        <w:t xml:space="preserve">Manganese oxides, with tunnel-like structures, layered or 3-dimensional structures are extensively studied due to their high theoretical capacity (between ~300 </w:t>
      </w:r>
      <w:proofErr w:type="spellStart"/>
      <w:r w:rsidRPr="003E0254">
        <w:t>mAh</w:t>
      </w:r>
      <w:proofErr w:type="spellEnd"/>
      <w:r w:rsidRPr="003E0254">
        <w:t xml:space="preserve"> g</w:t>
      </w:r>
      <w:r w:rsidRPr="003E0254">
        <w:rPr>
          <w:vertAlign w:val="superscript"/>
        </w:rPr>
        <w:t>-1</w:t>
      </w:r>
      <w:r w:rsidRPr="003E0254">
        <w:t xml:space="preserve"> for MnO</w:t>
      </w:r>
      <w:r w:rsidRPr="003E0254">
        <w:rPr>
          <w:vertAlign w:val="subscript"/>
        </w:rPr>
        <w:t>2</w:t>
      </w:r>
      <w:r w:rsidRPr="003E0254">
        <w:t xml:space="preserve"> materials to up to 755 </w:t>
      </w:r>
      <w:proofErr w:type="spellStart"/>
      <w:r w:rsidRPr="003E0254">
        <w:t>mAh</w:t>
      </w:r>
      <w:proofErr w:type="spellEnd"/>
      <w:r w:rsidRPr="003E0254">
        <w:t xml:space="preserve"> g</w:t>
      </w:r>
      <w:r w:rsidRPr="003E0254">
        <w:rPr>
          <w:vertAlign w:val="superscript"/>
        </w:rPr>
        <w:t>–1</w:t>
      </w:r>
      <w:r w:rsidRPr="003E0254">
        <w:t xml:space="preserve"> for </w:t>
      </w:r>
      <w:proofErr w:type="spellStart"/>
      <w:r w:rsidRPr="003E0254">
        <w:t>MnO</w:t>
      </w:r>
      <w:proofErr w:type="spellEnd"/>
      <w:r w:rsidRPr="003E0254">
        <w:t>)</w:t>
      </w:r>
      <w:r w:rsidRPr="003E0254">
        <w:fldChar w:fldCharType="begin" w:fldLock="1"/>
      </w:r>
      <w:r w:rsidR="000F0B1D" w:rsidRPr="003E0254">
        <w:instrText>ADDIN CSL_CITATION {"citationItems":[{"id":"ITEM-1","itemData":{"DOI":"10.1021/CBE.3C00120","ISSN":"2836-967X","abstract":"Aqueous zinc-ion batteries (AZIBs) have recently attracted worldwide attention due to the natural abundance of Zn, low cost, high safety, and environmental benignity. Up to the present, several kin...","author":[{"dropping-particle":"","family":"Zhang","given":"Bao","non-dropping-particle":"","parse-names":false,"suffix":""},{"dropping-particle":"","family":"Dong","given":"Peng","non-dropping-particle":"","parse-names":false,"suffix":""},{"dropping-particle":"","family":"Yuan","given":"Shouyi","non-dropping-particle":"","parse-names":false,"suffix":""},{"dropping-particle":"","family":"Zhang","given":"Yannan","non-dropping-particle":"","parse-names":false,"suffix":""},{"dropping-particle":"","family":"Zhang","given":"Yingjie","non-dropping-particle":"","parse-names":false,"suffix":""},{"dropping-particle":"","family":"Wang","given":"Yonggang","non-dropping-particle":"","parse-names":false,"suffix":""}],"container-title":"Chem &amp; Bio Engineering","id":"ITEM-1","issue":"2","issued":{"date-parts":[["2024","3","28"]]},"page":"113-132","publisher":"Zhejiang University and American Chemical Society","title":"Manganese-Based Oxide Cathode Materials for Aqueous Zinc-Ion Batteries: Materials, Mechanism, Challenges, and Strategies","type":"article-journal","volume":"1"},"uris":["http://www.mendeley.com/documents/?uuid=44acfa81-8a6c-304d-8ae5-59578b1a356c"]}],"mendeley":{"formattedCitation":"&lt;sup&gt;[46]&lt;/sup&gt;","plainTextFormattedCitation":"[46]","previouslyFormattedCitation":"&lt;sup&gt;[46]&lt;/sup&gt;"},"properties":{"noteIndex":0},"schema":"https://github.com/citation-style-language/schema/raw/master/csl-citation.json"}</w:instrText>
      </w:r>
      <w:r w:rsidRPr="003E0254">
        <w:fldChar w:fldCharType="separate"/>
      </w:r>
      <w:r w:rsidR="000F0B1D" w:rsidRPr="003E0254">
        <w:rPr>
          <w:noProof/>
          <w:vertAlign w:val="superscript"/>
        </w:rPr>
        <w:t>[46]</w:t>
      </w:r>
      <w:r w:rsidRPr="003E0254">
        <w:fldChar w:fldCharType="end"/>
      </w:r>
      <w:r w:rsidRPr="003E0254">
        <w:t>, cost-effectiveness, and reliance on zinc-ion and/or proton intercalation coupled with Mn</w:t>
      </w:r>
      <w:r w:rsidRPr="003E0254">
        <w:rPr>
          <w:vertAlign w:val="superscript"/>
        </w:rPr>
        <w:t>4+</w:t>
      </w:r>
      <w:r w:rsidRPr="003E0254">
        <w:sym w:font="Symbol" w:char="F07C"/>
      </w:r>
      <w:r w:rsidRPr="003E0254">
        <w:t>Mn</w:t>
      </w:r>
      <w:r w:rsidRPr="003E0254">
        <w:rPr>
          <w:vertAlign w:val="superscript"/>
        </w:rPr>
        <w:t>3+</w:t>
      </w:r>
      <w:r w:rsidRPr="003E0254">
        <w:t xml:space="preserve"> redox reactions. </w:t>
      </w:r>
      <w:r w:rsidRPr="003E0254">
        <w:fldChar w:fldCharType="begin" w:fldLock="1"/>
      </w:r>
      <w:r w:rsidR="00500B8D" w:rsidRPr="003E0254">
        <w:instrText>ADDIN CSL_CITATION {"citationItems":[{"id":"ITEM-1","itemData":{"DOI":"10.1039/d2nr01149b","ISSN":"20403372","PMID":"35389398","abstract":"Protons and zinc ions are generally regarded as charge carriers for rechargeable Zn/MnO2 batteries relying on cation coinsertion for their two-step redox energy storage. However, the irreversibility of H+ insertion and especially Zn2+ insertion unlocks the innate advantages of this scalable aqueous battery system such as high safety and low cost. Herein, an encapsulated structure with manganese hexacyanoferrate(ii)-polypyrrole (MnHCF-PPy) composite thin films was in situ constructed within α-MnO2 nanofibers to modulate the interfacial charge transfer process and direct the consequent reversible H+ and Zn2+ insertion/extraction via a synergistic action. The PPy film promotes interfacial proton transfer for the fast conversion of MnO2 to MnOOH and suppresses cathode dissolution, whereas MnHCF with abundant interconnected open ion channels serves as a cation reservoir to facilitate continuous and reversible zinc ion transfer without the aggregation of ZnMn2O4 nanocrystals, leading to protected MnO2 cathodes with recorded high discharge capacity (263 mA h g−1 at 0.5 C), remarkable rate capability (179 mA h g−1 at 5 C), and long lifespan in ZnSO4 electrolyte. Moreover, a flexible solid-state Zn/MnO2 full cell was further demonstrated, which delivers a preferable energy density of 220 W h kgcathode−1, opening a new modus operandi towards advanced flexible batteries through interfacial engineering and device optimization.","author":[{"dropping-particle":"","family":"Shang","given":"Zhoutai","non-dropping-particle":"","parse-names":false,"suffix":""},{"dropping-particle":"","family":"Zhang","given":"Hong","non-dropping-particle":"","parse-names":false,"suffix":""},{"dropping-particle":"","family":"Wang","given":"Mingli","non-dropping-particle":"","parse-names":false,"suffix":""},{"dropping-particle":"","family":"Chen","given":"Qianwang","non-dropping-particle":"","parse-names":false,"suffix":""},{"dropping-particle":"","family":"Lu","given":"Ke","non-dropping-particle":"","parse-names":false,"suffix":""}],"container-title":"Nanoscale","id":"ITEM-1","issue":"16","issued":{"date-parts":[["2022"]]},"page":"6085-6093","publisher":"Royal Society of Chemistry","title":"Simultaneous reversible tuning of H+ and Zn2+ coinsertion in MnO2 cathode for high-capacity aqueous Zn-ion battery","type":"article-journal","volume":"14"},"uris":["http://www.mendeley.com/documents/?uuid=4b381e42-33c6-4cfe-a846-caa5c03ef04c"]},{"id":"ITEM-2","itemData":{"DOI":"10.1016/j.cej.2023.144158","ISSN":"13858947","abstract":"Aqueous proton batteries (APBs) have attracted considerable attention due to the small size and fast kinetics of protons. However, the study of the cathode materials for APBs is unsatisfactory due to either low specific capacity or poor stability in acidic electrolytes, which greatly hinders the development of APBs. In this work, for the first time, six kinds of MnO2 polymorphs (α-, β-, δ-, γ-, λ-, and R-MnO2) are synthesized and systematically investigated to evaluate their potential as cathodes for APBs, among which the λ-MnO2 stands out by virtue of the 235 mAh g−1 specific capacity and 85% capacity retention rate over 500 cycles. To explain the reason for the stability of the λ-MnO2, DFT calculations are conducted, and the results indicate that the λ-MnO2 sustains minute volume expansion after proton insertion due to the slight Jahn-Teller distortion and robust all edge-sharing structure. The full battery performance shows the potential of the λ-MnO2 as a promising cathode for APBs with an excellent capacity of 202 mAh g−1 at 0.1 A g−1 and an outstanding retention rate of 80% after 1000 cycles. These results broaden the range of cathode materials and shed new light on the performance improvement of APBs.","author":[{"dropping-particle":"","family":"Dai","given":"Yujie","non-dropping-particle":"","parse-names":false,"suffix":""},{"dropping-particle":"","family":"Zhang","given":"Jianze","non-dropping-particle":"","parse-names":false,"suffix":""},{"dropping-particle":"","family":"Yan","given":"Xiaorong","non-dropping-particle":"","parse-names":false,"suffix":""},{"dropping-particle":"","family":"Zhao","given":"Guoqing","non-dropping-particle":"","parse-names":false,"suffix":""},{"dropping-particle":"","family":"Yang","given":"Mingsheng","non-dropping-particle":"","parse-names":false,"suffix":""},{"dropping-particle":"","family":"Xiong","given":"Jiakui","non-dropping-particle":"","parse-names":false,"suffix":""},{"dropping-particle":"","family":"Li","given":"Rui","non-dropping-particle":"","parse-names":false,"suffix":""},{"dropping-particle":"","family":"Miao","given":"Naihua","non-dropping-particle":"","parse-names":false,"suffix":""},{"dropping-particle":"","family":"Yu","given":"Haiping","non-dropping-particle":"","parse-names":false,"suffix":""},{"dropping-particle":"","family":"Hu","given":"Mingjun","non-dropping-particle":"","parse-names":false,"suffix":""},{"dropping-particle":"","family":"Liu","given":"Jingru","non-dropping-particle":"","parse-names":false,"suffix":""},{"dropping-particle":"","family":"Yang","given":"Jun","non-dropping-particle":"","parse-names":false,"suffix":""}],"container-title":"Chemical Engineering Journal","id":"ITEM-2","issue":"April","issued":{"date-parts":[["2023"]]},"page":"144158","publisher":"Elsevier B.V.","title":"Investigating the electrochemical performance of MnO2 polymorphs as cathode materials for aqueous proton batteries","type":"article-journal","volume":"471"},"uris":["http://www.mendeley.com/documents/?uuid=9554945d-a846-4261-854c-43dc3793a68c"]}],"mendeley":{"formattedCitation":"&lt;sup&gt;[141,142]&lt;/sup&gt;","plainTextFormattedCitation":"[141,142]","previouslyFormattedCitation":"&lt;sup&gt;[140,141]&lt;/sup&gt;"},"properties":{"noteIndex":0},"schema":"https://github.com/citation-style-language/schema/raw/master/csl-citation.json"}</w:instrText>
      </w:r>
      <w:r w:rsidRPr="003E0254">
        <w:fldChar w:fldCharType="separate"/>
      </w:r>
      <w:r w:rsidR="00500B8D" w:rsidRPr="003E0254">
        <w:rPr>
          <w:noProof/>
          <w:vertAlign w:val="superscript"/>
        </w:rPr>
        <w:t>[141,142]</w:t>
      </w:r>
      <w:r w:rsidRPr="003E0254">
        <w:fldChar w:fldCharType="end"/>
      </w:r>
      <w:r w:rsidRPr="003E0254">
        <w:t xml:space="preserve"> </w:t>
      </w:r>
      <w:r w:rsidRPr="003E0254">
        <w:rPr>
          <w:rFonts w:ascii="Cambria" w:hAnsi="Cambria"/>
        </w:rPr>
        <w:t>α</w:t>
      </w:r>
      <w:r w:rsidRPr="003E0254">
        <w:t>-MnO</w:t>
      </w:r>
      <w:r w:rsidRPr="003E0254">
        <w:rPr>
          <w:vertAlign w:val="subscript"/>
        </w:rPr>
        <w:t>2</w:t>
      </w:r>
      <w:r w:rsidRPr="003E0254">
        <w:t xml:space="preserve"> was actually the first active material to be used in a secondary zinc-metal battery</w:t>
      </w:r>
      <w:r w:rsidRPr="003E0254">
        <w:fldChar w:fldCharType="begin" w:fldLock="1"/>
      </w:r>
      <w:r w:rsidR="000F0B1D" w:rsidRPr="003E0254">
        <w:instrText>ADDIN CSL_CITATION {"citationItems":[{"id":"ITEM-1","itemData":{"DOI":"10.1002/ANIE.201106307","ISSN":"1521-3773","PMID":"22170816","abstract":"Think zinc: An ideal aqueous energy storage device, referred to as a zinc ion battery, is presented. The device is characterized by high capacity, fast charge/discharge capability, safety, and environmental friendliness. It is composed of an α-MnO 2 cathode, a zinc anode, and a mild ZnSO 4 or Zn(NO 3) 2 aqueous electrolyte (see scheme). The battery chemistry is based on the migration of Zn 2+ ions between cathode and anode. Copyright © 2012 WILEY-VCH Verlag GmbH &amp; Co. KGaA, Weinheim.","author":[{"dropping-particle":"","family":"Xu","given":"Chengjun","non-dropping-particle":"","parse-names":false,"suffix":""},{"dropping-particle":"","family":"Li","given":"Baohua","non-dropping-particle":"","parse-names":false,"suffix":""},{"dropping-particle":"","family":"Du","given":"Hongda","non-dropping-particle":"","parse-names":false,"suffix":""},{"dropping-particle":"","family":"Kang","given":"Feiyu","non-dropping-particle":"","parse-names":false,"suffix":""}],"container-title":"Angewandte Chemie International Edition","id":"ITEM-1","issue":"4","issued":{"date-parts":[["2012","1","23"]]},"page":"933-935","publisher":"John Wiley &amp; Sons, Ltd","title":"Energetic Zinc Ion Chemistry: The Rechargeable Zinc Ion Battery","type":"article-journal","volume":"51"},"uris":["http://www.mendeley.com/documents/?uuid=1ceb1d34-46fa-30b7-9195-51964de553ed"]}],"mendeley":{"formattedCitation":"&lt;sup&gt;[42]&lt;/sup&gt;","plainTextFormattedCitation":"[42]","previouslyFormattedCitation":"&lt;sup&gt;[42]&lt;/sup&gt;"},"properties":{"noteIndex":0},"schema":"https://github.com/citation-style-language/schema/raw/master/csl-citation.json"}</w:instrText>
      </w:r>
      <w:r w:rsidRPr="003E0254">
        <w:fldChar w:fldCharType="separate"/>
      </w:r>
      <w:r w:rsidR="000F0B1D" w:rsidRPr="003E0254">
        <w:rPr>
          <w:noProof/>
          <w:vertAlign w:val="superscript"/>
        </w:rPr>
        <w:t>[42]</w:t>
      </w:r>
      <w:r w:rsidRPr="003E0254">
        <w:fldChar w:fldCharType="end"/>
      </w:r>
      <w:r w:rsidR="00E34BFC" w:rsidRPr="003E0254">
        <w:t xml:space="preserve"> with slightly acidic electrolyte</w:t>
      </w:r>
      <w:r w:rsidRPr="003E0254">
        <w:t>, and manganese oxides have also been part of the commercialized rechargeable alkaline manganese (RAM) batteries, which were first introduced in the 1970s.</w:t>
      </w:r>
      <w:r w:rsidRPr="003E0254">
        <w:fldChar w:fldCharType="begin" w:fldLock="1"/>
      </w:r>
      <w:r w:rsidR="00500B8D" w:rsidRPr="003E0254">
        <w:instrText>ADDIN CSL_CITATION {"citationItems":[{"id":"ITEM-1","itemData":{"DOI":"10.1016/0378-7753(94)01955-X","ISSN":"03787753","author":[{"dropping-particle":"","family":"Kordesh","given":"K.","non-dropping-particle":"","parse-names":false,"suffix":""},{"dropping-particle":"","family":"Weissenbacher","given":"M.","non-dropping-particle":"","parse-names":false,"suffix":""}],"container-title":"Journal of Power Sources","id":"ITEM-1","issue":"1-2","issued":{"date-parts":[["1994","8"]]},"page":"61-78","title":"Rechargeable alkaline manganese dioxide/zinc batteries","type":"article-journal","volume":"51"},"uris":["http://www.mendeley.com/documents/?uuid=5d30218d-60a2-43a5-8c88-f6fc037ed577"]}],"mendeley":{"formattedCitation":"&lt;sup&gt;[143]&lt;/sup&gt;","plainTextFormattedCitation":"[143]","previouslyFormattedCitation":"&lt;sup&gt;[142]&lt;/sup&gt;"},"properties":{"noteIndex":0},"schema":"https://github.com/citation-style-language/schema/raw/master/csl-citation.json"}</w:instrText>
      </w:r>
      <w:r w:rsidRPr="003E0254">
        <w:fldChar w:fldCharType="separate"/>
      </w:r>
      <w:r w:rsidR="00500B8D" w:rsidRPr="003E0254">
        <w:rPr>
          <w:noProof/>
          <w:vertAlign w:val="superscript"/>
        </w:rPr>
        <w:t>[143]</w:t>
      </w:r>
      <w:r w:rsidRPr="003E0254">
        <w:fldChar w:fldCharType="end"/>
      </w:r>
      <w:r w:rsidRPr="003E0254">
        <w:t xml:space="preserve"> However, their practical applications are hindered by the dissolution of Mn</w:t>
      </w:r>
      <w:r w:rsidRPr="003E0254">
        <w:rPr>
          <w:vertAlign w:val="superscript"/>
        </w:rPr>
        <w:t>2+</w:t>
      </w:r>
      <w:r w:rsidRPr="003E0254">
        <w:t xml:space="preserve"> into the electrolyte and structural degradation caused by volume changes during cycling, which result in capacity fading.</w:t>
      </w:r>
      <w:r w:rsidRPr="003E0254">
        <w:fldChar w:fldCharType="begin" w:fldLock="1"/>
      </w:r>
      <w:r w:rsidR="000F0B1D" w:rsidRPr="003E0254">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Pr="003E0254">
        <w:fldChar w:fldCharType="separate"/>
      </w:r>
      <w:r w:rsidR="000F0B1D" w:rsidRPr="003E0254">
        <w:rPr>
          <w:noProof/>
          <w:vertAlign w:val="superscript"/>
        </w:rPr>
        <w:t>[43]</w:t>
      </w:r>
      <w:r w:rsidRPr="003E0254">
        <w:fldChar w:fldCharType="end"/>
      </w:r>
      <w:r w:rsidRPr="003E0254">
        <w:t xml:space="preserve"> </w:t>
      </w:r>
    </w:p>
    <w:p w14:paraId="3A2C0463" w14:textId="77777777" w:rsidR="003C13B3" w:rsidRPr="003E0254" w:rsidRDefault="003C13B3" w:rsidP="00C60055">
      <w:pPr>
        <w:pBdr>
          <w:top w:val="none" w:sz="4" w:space="0" w:color="000000"/>
          <w:left w:val="none" w:sz="4" w:space="0" w:color="000000"/>
          <w:bottom w:val="none" w:sz="4" w:space="0" w:color="000000"/>
          <w:right w:val="none" w:sz="4" w:space="0" w:color="000000"/>
        </w:pBd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58AB" w:rsidRPr="003E0254" w14:paraId="05927635" w14:textId="77777777" w:rsidTr="003C03B5">
        <w:tc>
          <w:tcPr>
            <w:tcW w:w="9350" w:type="dxa"/>
          </w:tcPr>
          <w:p w14:paraId="3E52B264" w14:textId="0F879F27" w:rsidR="001058AB" w:rsidRPr="003E0254" w:rsidRDefault="0062410A" w:rsidP="001058AB">
            <w:pPr>
              <w:spacing w:line="276" w:lineRule="auto"/>
              <w:jc w:val="center"/>
            </w:pPr>
            <w:r w:rsidRPr="003E0254">
              <w:rPr>
                <w:noProof/>
              </w:rPr>
              <w:drawing>
                <wp:inline distT="0" distB="0" distL="0" distR="0" wp14:anchorId="60F161D3" wp14:editId="2742C082">
                  <wp:extent cx="2603608" cy="2880000"/>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608" cy="2880000"/>
                          </a:xfrm>
                          <a:prstGeom prst="rect">
                            <a:avLst/>
                          </a:prstGeom>
                          <a:noFill/>
                          <a:ln>
                            <a:noFill/>
                          </a:ln>
                        </pic:spPr>
                      </pic:pic>
                    </a:graphicData>
                  </a:graphic>
                </wp:inline>
              </w:drawing>
            </w:r>
          </w:p>
        </w:tc>
      </w:tr>
    </w:tbl>
    <w:p w14:paraId="0F5869C1" w14:textId="1B4C153F" w:rsidR="00C60055" w:rsidRPr="003E0254" w:rsidRDefault="00C60055" w:rsidP="00C60055">
      <w:pPr>
        <w:pStyle w:val="Beschriftung"/>
        <w:spacing w:line="276" w:lineRule="auto"/>
      </w:pPr>
      <w:bookmarkStart w:id="6" w:name="_Ref189650502"/>
      <w:r w:rsidRPr="003E0254">
        <w:lastRenderedPageBreak/>
        <w:t xml:space="preserve">Figure </w:t>
      </w:r>
      <w:r w:rsidRPr="003E0254">
        <w:fldChar w:fldCharType="begin"/>
      </w:r>
      <w:r w:rsidRPr="003E0254">
        <w:instrText xml:space="preserve">SEQ Figure \* ARABIC </w:instrText>
      </w:r>
      <w:r w:rsidRPr="003E0254">
        <w:fldChar w:fldCharType="separate"/>
      </w:r>
      <w:r w:rsidR="00481F8C" w:rsidRPr="003E0254">
        <w:rPr>
          <w:noProof/>
        </w:rPr>
        <w:t>5</w:t>
      </w:r>
      <w:r w:rsidRPr="003E0254">
        <w:fldChar w:fldCharType="end"/>
      </w:r>
      <w:bookmarkEnd w:id="6"/>
      <w:r w:rsidR="001058AB" w:rsidRPr="003E0254">
        <w:t>:</w:t>
      </w:r>
      <w:r w:rsidRPr="003E0254">
        <w:t xml:space="preserve"> </w:t>
      </w:r>
      <w:r w:rsidR="0089107B" w:rsidRPr="003E0254">
        <w:t>S</w:t>
      </w:r>
      <w:r w:rsidRPr="003E0254">
        <w:t xml:space="preserve">chematic overview of specific capacities and </w:t>
      </w:r>
      <w:r w:rsidR="00BB0BE7" w:rsidRPr="003E0254">
        <w:t xml:space="preserve">electrode </w:t>
      </w:r>
      <w:r w:rsidRPr="003E0254">
        <w:t xml:space="preserve">potential ranges of different possible cathode materials for </w:t>
      </w:r>
      <w:r w:rsidR="00A439A1" w:rsidRPr="003E0254">
        <w:t>zinc-metal</w:t>
      </w:r>
      <w:r w:rsidR="00C26F5C" w:rsidRPr="003E0254">
        <w:t xml:space="preserve"> and zinc-ion</w:t>
      </w:r>
      <w:r w:rsidRPr="003E0254">
        <w:t xml:space="preserve"> batteries in comparison to lithium iron phosphate .</w:t>
      </w:r>
      <w:r w:rsidR="001058AB" w:rsidRPr="003E0254">
        <w:fldChar w:fldCharType="begin" w:fldLock="1"/>
      </w:r>
      <w:r w:rsidR="00500B8D" w:rsidRPr="003E0254">
        <w:instrText>ADDIN CSL_CITATION {"citationItems":[{"id":"ITEM-1","itemData":{"DOI":"10.1021/ACSENERGYLETT.8B01426/ASSET/IMAGES/LARGE/NZ-2018-01426E_0016.JPEG","ISSN":"23808195","abstract":"Although current high-energy-density lithium-ion batteries (LIBs) have taken over the commercial rechargeable battery market, increasing concerns about limited lithium resources, high cost, and insecurity of organic electrolyte scale-up limit their further development. Rechargeable aqueous zinc-ion batteries (ZIBs), an alternative battery chemistry, have paved the way not only for realizing environmentally benign and safe energy storage devices but also for reducing the manufacturing costs of next-generation batteries. This Review underscores recent advances in aqueous ZIBs; these include the design of a highly reversible Zn anode, optimization of the electrolyte, and a wide range of cathode materials and their energy storage mechanisms. We also present recent advanced techniques that aim at overcoming the current issues in aqueous ZIB systems. This Review on the future perspectives and research directions will provide a guide for future aqueous ZIB study.","author":[{"dropping-particle":"","family":"Fang","given":"Guozhao","non-dropping-particle":"","parse-names":false,"suffix":""},{"dropping-particle":"","family":"Zhou","given":"Jiang","non-dropping-particle":"","parse-names":false,"suffix":""},{"dropping-particle":"","family":"Pan","given":"Anqiang","non-dropping-particle":"","parse-names":false,"suffix":""},{"dropping-particle":"","family":"Liang","given":"Shuquan","non-dropping-particle":"","parse-names":false,"suffix":""}],"container-title":"ACS Energy Letters","id":"ITEM-1","issue":"10","issued":{"date-parts":[["2018","10","12"]]},"page":"2480-2501","publisher":"American Chemical Society","title":"Recent Advances in Aqueous Zinc-Ion Batteries","type":"article-journal","volume":"3"},"uris":["http://www.mendeley.com/documents/?uuid=07c088a2-b9b5-3edb-9a72-66f19ac12f13"]},{"id":"ITEM-2","itemData":{"DOI":"10.1016/J.MTENER.2022.101095","ISSN":"2468-6069","abstract":"Aqueous zinc ion batteries (AZIBs) with high theoretical capacity, low cost, and highly safety that have been considered as one of the most promising candidates for the next generation of electrochemical energy storage applications. However, the hydrated zinc ions have strong electrostatic force with the host material, causing the low output voltage and poor reversibility. Thus, exploiting suitable cathode materials with high voltage, specific capacity, and stable cycling performance is still a challenge. Recently, the development of cathode materials mainly focuses on manganese-based, vanadium-based, organic, and Prussian blue analog (PBAs) materials. Among these cathodes’ materials, PBAs have attracted great attention for AZIBs owing to their high working voltage, tunable chemical composition and microstructure, open 3D frameworks, low cost, and ease of synthesis. To record the recent rapid development PBAs materials toward high-performance AZIBs, we provide fundamental insights into the structure characteristics and synthesis control of PBAs and present an overview of recent developments of PBAs as promising cathodes for AZIBs. Finally, the key challenges and future opportunities in this rapidly developing field are also presented in this review.","author":[{"dropping-particle":"","family":"Li","given":"Yuanxia","non-dropping-particle":"","parse-names":false,"suffix":""},{"dropping-particle":"","family":"Zhao","given":"Jingxin","non-dropping-particle":"","parse-names":false,"suffix":""},{"dropping-particle":"","family":"Hu","given":"Qiang","non-dropping-particle":"","parse-names":false,"suffix":""},{"dropping-particle":"","family":"Hao","given":"Tianwei","non-dropping-particle":"","parse-names":false,"suffix":""},{"dropping-particle":"","family":"Cao","given":"Heng","non-dropping-particle":"","parse-names":false,"suffix":""},{"dropping-particle":"","family":"Huang","given":"Xiaomin","non-dropping-particle":"","parse-names":false,"suffix":""},{"dropping-particle":"","family":"Liu","given":"Yu","non-dropping-particle":"","parse-names":false,"suffix":""},{"dropping-particle":"","family":"Zhang","given":"Yanyan","non-dropping-particle":"","parse-names":false,"suffix":""},{"dropping-particle":"","family":"Lin","given":"Dunmin","non-dropping-particle":"","parse-names":false,"suffix":""},{"dropping-particle":"","family":"Tang","given":"Yuxin","non-dropping-particle":"","parse-names":false,"suffix":""},{"dropping-particle":"","family":"Cai","given":"Yongqing","non-dropping-particle":"","parse-names":false,"suffix":""}],"container-title":"Materials Today Energy","id":"ITEM-2","issued":{"date-parts":[["2022","10","1"]]},"page":"101095","publisher":"Elsevier","title":"Prussian blue analogs cathodes for aqueous zinc ion batteries","type":"article-journal","volume":"29"},"uris":["http://www.mendeley.com/documents/?uuid=a09d2fdf-0c75-36ef-bc9b-f1543974485c"]},{"id":"ITEM-3","itemData":{"DOI":"10.1016/J.JOULE.2020.03.002","ISSN":"2542-4351","abstract":"The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F.","non-dropping-particle":"","parse-names":false,"suffix":""}],"container-title":"Joule","id":"ITEM-3","issue":"4","issued":{"date-parts":[["2020","4","15"]]},"page":"771-799","publisher":"Cell Press","title":"Scientific Challenges for the Implementation of Zn-Ion Batteries","type":"article-journal","volume":"4"},"uris":["http://www.mendeley.com/documents/?uuid=5f0548df-ddf3-346b-a854-26cff83040de"]},{"id":"ITEM-4","itemData":{"DOI":"10.1016/J.IJOES.2023.100268","ISSN":"1452-3981","abstract":"The increasing demand for advanced energy-storage systems have led to extensive research on Co3O4//Zn batteries because of their high theoretical capacity, low cost, and environment friendliness. However, the capacity of Co3O4//Zn batteries is decreased by the volume change of Co3O4 cathode in practical application, so its advantages are not fully utilised. To improve the capacity of Co3O4 cathode, a cathode of Zn-doped Co3O4 based on carbon cloth with zeolite imidazole-67 (ZIF-67) precursor in aqueous zinc-ion battery was successfully prepared. The Zn-doped Co3O4 cathode had a uniform arrangement in mild aqueous electrolyte, The battery had a high charge/discharge voltage of 2.2 V, a high specific capacity of 196 mA h/g at 1 A/g, outstanding rate capability, and superior cycle stability of 93.2 % capacity retention over 1000 cycles at 5 A/g. The improvement in electrode material provided a new idea for preparing rechargeable aqueous Zn-ion batteries.","author":[{"dropping-particle":"","family":"Zhang","given":"Yichen","non-dropping-particle":"","parse-names":false,"suffix":""},{"dropping-particle":"","family":"Zhang","given":"Youfeng","non-dropping-particle":"","parse-names":false,"suffix":""},{"dropping-particle":"","family":"Feng","given":"Yaping","non-dropping-particle":"","parse-names":false,"suffix":""},{"dropping-particle":"","family":"Wang","given":"Yinling","non-dropping-particle":"","parse-names":false,"suffix":""},{"dropping-particle":"","family":"Zhang","given":"Liang","non-dropping-particle":"","parse-names":false,"suffix":""}],"container-title":"International Journal of Electrochemical Science","id":"ITEM-4","issue":"9","issued":{"date-parts":[["2023","9","1"]]},"page":"100268","publisher":"Elsevier","title":"Fabrication of Zn-doped Co3O4 as cathode material for aqueous rechargeable Zn-ion batteries","type":"article-journal","volume":"18"},"uris":["http://www.mendeley.com/documents/?uuid=38063440-3204-3027-8b77-3931ecf0c84e"]},{"id":"ITEM-5","itemData":{"DOI":"10.1021/ACSENERGYLETT.4C00628/ASSET/IMAGES/LARGE/NZ4C00628_0009.JPEG","ISSN":"23808195","abstract":"Aqueous zinc metal batteries (ZMBs) have attracted much attention in the field of grid-scale energy storage due to their high safety, low cost, and abundant resources. Zn powders exhibit the unique advantages of high specific surface area, mature scaled-up manufacturing ability, and structural tunability, which can meet the large-scale energy storage devices, and even the special-shaped devices. However, Zn powder-based anodes are at an early stage and far from the practical industrial application. With the pursuit of comprehensive electrochemical performances of Zn powder-based anodes, this review focus on the advances, issues, and optimized strategies, which are discussed systematically from the previous reports of Zn powder-based anodes. Meanwhile, we also added many supplementary discussions of some important strategies in relevant content but not yet reported. Finally, future prospects toward high performance and practicability of Zn powder-based anodes are proposed, which will provide scientific guidance for the practical application of ZMBs.","author":[{"dropping-particle":"","family":"Fu","given":"Biao","non-dropping-particle":"","parse-names":false,"suffix":""},{"dropping-particle":"","family":"Liu","given":"Guanqun","non-dropping-particle":"","parse-names":false,"suffix":""},{"dropping-particle":"","family":"Zhang","given":"Yajue","non-dropping-particle":"","parse-names":false,"suffix":""},{"dropping-particle":"","family":"Liu","given":"Zhexuan","non-dropping-particle":"","parse-names":false,"suffix":""},{"dropping-particle":"","family":"Xie","given":"Xuefang","non-dropping-particle":"","parse-names":false,"suffix":""},{"dropping-particle":"","family":"Fang","given":"Guozhao","non-dropping-particle":"","parse-names":false,"suffix":""},{"dropping-particle":"","family":"Liang","given":"Shuquan","non-dropping-particle":"","parse-names":false,"suffix":""}],"container-title":"ACS Energy Letters","id":"ITEM-5","issue":"7","issued":{"date-parts":[["2024","7","12"]]},"page":"3292-3307","publisher":"American Chemical Society","title":"Zn Powder-Based Anodes for Aqueous Zn Metal Batteries: Strategies, Structures, and Perspectives","type":"article-journal","volume":"9"},"uris":["http://www.mendeley.com/documents/?uuid=1facfb5a-5a1e-3dc8-be53-e4a82789ffee"]}],"mendeley":{"formattedCitation":"&lt;sup&gt;[4,43,130,144,145]&lt;/sup&gt;","plainTextFormattedCitation":"[4,43,130,144,145]","previouslyFormattedCitation":"&lt;sup&gt;[4,43,129,143,144]&lt;/sup&gt;"},"properties":{"noteIndex":0},"schema":"https://github.com/citation-style-language/schema/raw/master/csl-citation.json"}</w:instrText>
      </w:r>
      <w:r w:rsidR="001058AB" w:rsidRPr="003E0254">
        <w:fldChar w:fldCharType="separate"/>
      </w:r>
      <w:r w:rsidR="00500B8D" w:rsidRPr="003E0254">
        <w:rPr>
          <w:i w:val="0"/>
          <w:noProof/>
          <w:vertAlign w:val="superscript"/>
        </w:rPr>
        <w:t>[4,43,130,144,145]</w:t>
      </w:r>
      <w:r w:rsidR="001058AB" w:rsidRPr="003E0254">
        <w:fldChar w:fldCharType="end"/>
      </w:r>
      <w:r w:rsidRPr="003E0254">
        <w:t xml:space="preserve"> Note that the</w:t>
      </w:r>
      <w:r w:rsidR="008C3EC8" w:rsidRPr="003E0254">
        <w:t xml:space="preserve"> theoretical</w:t>
      </w:r>
      <w:r w:rsidRPr="003E0254">
        <w:t xml:space="preserve"> specific capacity found for Mn-based compounds can be even higher than the shown range.</w:t>
      </w:r>
    </w:p>
    <w:p w14:paraId="37E7E1F5" w14:textId="11C720B8" w:rsidR="008B6F61" w:rsidRPr="003E0254" w:rsidRDefault="00966B18" w:rsidP="007F58E8">
      <w:pPr>
        <w:spacing w:line="276" w:lineRule="auto"/>
        <w:jc w:val="both"/>
        <w:rPr>
          <w:lang w:eastAsia="de-DE"/>
        </w:rPr>
      </w:pPr>
      <w:r w:rsidRPr="003E0254">
        <w:t>Apart from manganese</w:t>
      </w:r>
      <w:r w:rsidR="008B6F61" w:rsidRPr="003E0254">
        <w:t xml:space="preserve"> systems, </w:t>
      </w:r>
      <w:r w:rsidRPr="003E0254">
        <w:t>nickel zinc batteries</w:t>
      </w:r>
      <w:r w:rsidR="008B6F61" w:rsidRPr="003E0254">
        <w:t xml:space="preserve"> (Ni</w:t>
      </w:r>
      <w:r w:rsidR="00112096" w:rsidRPr="003E0254">
        <w:t>||</w:t>
      </w:r>
      <w:r w:rsidR="008B6F61" w:rsidRPr="003E0254">
        <w:t>Zn)</w:t>
      </w:r>
      <w:r w:rsidRPr="003E0254">
        <w:t xml:space="preserve"> </w:t>
      </w:r>
      <w:r w:rsidR="008B6F61" w:rsidRPr="003E0254">
        <w:t>have been widely used as rechargeable batteries. Ni</w:t>
      </w:r>
      <w:r w:rsidR="00112096" w:rsidRPr="003E0254">
        <w:t>||</w:t>
      </w:r>
      <w:r w:rsidR="008B6F61" w:rsidRPr="003E0254">
        <w:t>Zn cells typically operate based on electrochemical reactions between a zinc anode and a nickel hydroxide cathode in an alkaline electrolyte, typically potassium hydroxide (KOH). The first Ni</w:t>
      </w:r>
      <w:r w:rsidR="00112096" w:rsidRPr="003E0254">
        <w:t>||</w:t>
      </w:r>
      <w:r w:rsidR="008B6F61" w:rsidRPr="003E0254">
        <w:t>Zn were already patented by Thomas Edison in 1901. However, their widespread adoption was limited due to challenges with cyclic stability and rechargeable system durability. Recent advancements have improved their performance, making them suitable for applications such as telecommunications and reserve power systems.</w:t>
      </w:r>
      <w:r w:rsidR="00EA3E3D" w:rsidRPr="003E0254">
        <w:fldChar w:fldCharType="begin" w:fldLock="1"/>
      </w:r>
      <w:r w:rsidR="00500B8D" w:rsidRPr="003E0254">
        <w:instrText>ADDIN CSL_CITATION {"citationItems":[{"id":"ITEM-1","itemData":{"DOI":"10.1109/INTLEC.2015.7572385","ISBN":"978-1-4799-6582-3","ISSN":"02750473","abstract":"Nickel Zinc technology was originally developed &amp; patented in 1901 by Thomas Edison. The historical performance limitation has been the cyclic capability and stability of the rechargeable system. Recently, technological advancement and development activities made in several key areas have addressed this issue. The advanced Nickel Zinc electrochemical system we have been evaluating and developing offers operators of telecommunications systems very attractive energy and power densities, combined with good cyclic capability across a broad and flat electrical discharge spectrum. The energy and power performance metrics of today's advanced nickel zinc technology offer significant improvement compared to lead acid battery configurations and approach the metrics of Lithium ion battery systems. In consideration of these advancements, EnerSys has focused on the development of Nickel Zinc cells and batteries to evaluate the performance for reserve power applications. At this stage of our activity, it has become increasingly apparent that Nickel zinc electrochemical systems can offer several very attractive performance attributes that align well to the telecommunications market (e.g. Radio base station and central office requirements). Our paper will focus on results of electrical testing to some general telecom application requirements and will extend upon results of selected abuse / safety tests.","author":[{"dropping-particle":"","family":"Evans","given":"Rhodri W.","non-dropping-particle":"","parse-names":false,"suffix":""},{"dropping-particle":"","family":"Vechy","given":"Stephen L.","non-dropping-particle":"","parse-names":false,"suffix":""},{"dropping-particle":"","family":"Loyns","given":"Andrew C.","non-dropping-particle":"","parse-names":false,"suffix":""},{"dropping-particle":"","family":"Oettel","given":"Christian","non-dropping-particle":"","parse-names":false,"suffix":""},{"dropping-particle":"","family":"Pensado","given":"Alfonso S.","non-dropping-particle":"","parse-names":false,"suffix":""},{"dropping-particle":"","family":"Leshtanski","given":"Borislav S.","non-dropping-particle":"","parse-names":false,"suffix":""}],"container-title":"2015 IEEE International Telecommunications Energy Conference (INTELEC)","id":"ITEM-1","issued":{"date-parts":[["2015","10"]]},"page":"1-6","publisher":"IEEE","title":"Development of Nickel Zinc technology for reserve power industrial applications — Part 1","type":"paper-conference","volume":"2016-Septe"},"uris":["http://www.mendeley.com/documents/?uuid=c5537ef7-73eb-4189-be09-62018ffd723a"]}],"mendeley":{"formattedCitation":"&lt;sup&gt;[146]&lt;/sup&gt;","plainTextFormattedCitation":"[146]","previouslyFormattedCitation":"&lt;sup&gt;[145]&lt;/sup&gt;"},"properties":{"noteIndex":0},"schema":"https://github.com/citation-style-language/schema/raw/master/csl-citation.json"}</w:instrText>
      </w:r>
      <w:r w:rsidR="00EA3E3D" w:rsidRPr="003E0254">
        <w:fldChar w:fldCharType="separate"/>
      </w:r>
      <w:r w:rsidR="00500B8D" w:rsidRPr="003E0254">
        <w:rPr>
          <w:noProof/>
          <w:vertAlign w:val="superscript"/>
        </w:rPr>
        <w:t>[146]</w:t>
      </w:r>
      <w:r w:rsidR="00EA3E3D" w:rsidRPr="003E0254">
        <w:fldChar w:fldCharType="end"/>
      </w:r>
      <w:r w:rsidR="008B6F61" w:rsidRPr="003E0254">
        <w:t xml:space="preserve"> </w:t>
      </w:r>
      <w:r w:rsidR="008B6F61" w:rsidRPr="003E0254">
        <w:rPr>
          <w:lang w:eastAsia="de-DE"/>
        </w:rPr>
        <w:t>In the 1980s, Ni</w:t>
      </w:r>
      <w:r w:rsidR="00112096" w:rsidRPr="003E0254">
        <w:t>||</w:t>
      </w:r>
      <w:r w:rsidR="008B6F61" w:rsidRPr="003E0254">
        <w:rPr>
          <w:lang w:eastAsia="de-DE"/>
        </w:rPr>
        <w:t>Zn batteries were actively developed for electric vehicle applications under the U.S. Department of Energy's Near-Term Electric Vehicle Battery Program. These batteries demonstrated specific energy levels of nearly 70</w:t>
      </w:r>
      <w:r w:rsidR="007F58E8" w:rsidRPr="003E0254">
        <w:rPr>
          <w:lang w:eastAsia="de-DE"/>
        </w:rPr>
        <w:t> </w:t>
      </w:r>
      <w:proofErr w:type="spellStart"/>
      <w:r w:rsidR="008B6F61" w:rsidRPr="003E0254">
        <w:rPr>
          <w:lang w:eastAsia="de-DE"/>
        </w:rPr>
        <w:t>Wh</w:t>
      </w:r>
      <w:proofErr w:type="spellEnd"/>
      <w:r w:rsidR="007F58E8" w:rsidRPr="003E0254">
        <w:rPr>
          <w:lang w:eastAsia="de-DE"/>
        </w:rPr>
        <w:t> </w:t>
      </w:r>
      <w:r w:rsidR="008B6F61" w:rsidRPr="003E0254">
        <w:rPr>
          <w:lang w:eastAsia="de-DE"/>
        </w:rPr>
        <w:t>kg</w:t>
      </w:r>
      <w:r w:rsidR="007F58E8" w:rsidRPr="003E0254">
        <w:rPr>
          <w:vertAlign w:val="superscript"/>
        </w:rPr>
        <w:t>–1</w:t>
      </w:r>
      <w:r w:rsidR="008B6F61" w:rsidRPr="003E0254">
        <w:rPr>
          <w:lang w:eastAsia="de-DE"/>
        </w:rPr>
        <w:t xml:space="preserve"> and specific power of 130 W</w:t>
      </w:r>
      <w:r w:rsidR="007F58E8" w:rsidRPr="003E0254">
        <w:rPr>
          <w:lang w:eastAsia="de-DE"/>
        </w:rPr>
        <w:t> </w:t>
      </w:r>
      <w:r w:rsidR="008B6F61" w:rsidRPr="003E0254">
        <w:rPr>
          <w:lang w:eastAsia="de-DE"/>
        </w:rPr>
        <w:t>kg</w:t>
      </w:r>
      <w:r w:rsidR="007F58E8" w:rsidRPr="003E0254">
        <w:rPr>
          <w:vertAlign w:val="superscript"/>
        </w:rPr>
        <w:t>–1</w:t>
      </w:r>
      <w:r w:rsidR="008B6F61" w:rsidRPr="003E0254">
        <w:rPr>
          <w:lang w:eastAsia="de-DE"/>
        </w:rPr>
        <w:t>, though cycle life improvements were still needed at the time.</w:t>
      </w:r>
      <w:r w:rsidR="00EA3E3D" w:rsidRPr="003E0254">
        <w:rPr>
          <w:lang w:eastAsia="de-DE"/>
        </w:rPr>
        <w:fldChar w:fldCharType="begin" w:fldLock="1"/>
      </w:r>
      <w:r w:rsidR="00500B8D" w:rsidRPr="003E0254">
        <w:rPr>
          <w:lang w:eastAsia="de-DE"/>
        </w:rPr>
        <w:instrText>ADDIN CSL_CITATION {"citationItems":[{"id":"ITEM-1","itemData":{"author":[{"dropping-particle":"","family":"Yao","given":"Neng Ping","non-dropping-particle":"","parse-names":false,"suffix":""},{"dropping-particle":"","family":"Christianson","given":"C. C.","non-dropping-particle":"","parse-names":false,"suffix":""},{"dropping-particle":"","family":"Elliott","given":"R. C.","non-dropping-particle":"","parse-names":false,"suffix":""},{"dropping-particle":"","family":"Lee","given":"T. S.","non-dropping-particle":"","parse-names":false,"suffix":""},{"dropping-particle":"","family":"Miller","given":"J. F.","non-dropping-particle":"","parse-names":false,"suffix":""}],"container-title":"Prepared for Third International Electric Vehicle Exposition and Conference","id":"ITEM-1","issued":{"date-parts":[["1980"]]},"title":"DOE's near-term electric vehicle battery program. Status of improved lead-acid, nickel/iron, and nickel/zinc battery developments","type":"paper-conference"},"uris":["http://www.mendeley.com/documents/?uuid=0cd539c6-ab36-4829-b2ea-c0ac4515f09c"]}],"mendeley":{"formattedCitation":"&lt;sup&gt;[147]&lt;/sup&gt;","plainTextFormattedCitation":"[147]","previouslyFormattedCitation":"&lt;sup&gt;[146]&lt;/sup&gt;"},"properties":{"noteIndex":0},"schema":"https://github.com/citation-style-language/schema/raw/master/csl-citation.json"}</w:instrText>
      </w:r>
      <w:r w:rsidR="00EA3E3D" w:rsidRPr="003E0254">
        <w:rPr>
          <w:lang w:eastAsia="de-DE"/>
        </w:rPr>
        <w:fldChar w:fldCharType="separate"/>
      </w:r>
      <w:r w:rsidR="00500B8D" w:rsidRPr="003E0254">
        <w:rPr>
          <w:noProof/>
          <w:vertAlign w:val="superscript"/>
          <w:lang w:eastAsia="de-DE"/>
        </w:rPr>
        <w:t>[147]</w:t>
      </w:r>
      <w:r w:rsidR="00EA3E3D" w:rsidRPr="003E0254">
        <w:rPr>
          <w:lang w:eastAsia="de-DE"/>
        </w:rPr>
        <w:fldChar w:fldCharType="end"/>
      </w:r>
      <w:r w:rsidR="008B6F61" w:rsidRPr="003E0254">
        <w:rPr>
          <w:lang w:eastAsia="de-DE"/>
        </w:rPr>
        <w:t xml:space="preserve"> Modern developments have focused on enhancing energy density, cyclic durability, and safety, making Ni</w:t>
      </w:r>
      <w:r w:rsidR="00112096" w:rsidRPr="003E0254">
        <w:t>||</w:t>
      </w:r>
      <w:r w:rsidR="008B6F61" w:rsidRPr="003E0254">
        <w:rPr>
          <w:lang w:eastAsia="de-DE"/>
        </w:rPr>
        <w:t>Zn batteries competitive with lithium-ion systems in certain applications.</w:t>
      </w:r>
      <w:r w:rsidR="00017023" w:rsidRPr="003E0254">
        <w:rPr>
          <w:lang w:eastAsia="de-DE"/>
        </w:rPr>
        <w:fldChar w:fldCharType="begin" w:fldLock="1"/>
      </w:r>
      <w:r w:rsidR="00500B8D" w:rsidRPr="003E0254">
        <w:rPr>
          <w:lang w:eastAsia="de-DE"/>
        </w:rPr>
        <w:instrText>ADDIN CSL_CITATION {"citationItems":[{"id":"ITEM-1","itemData":{"DOI":"10.1021/acsami.9b04006","ISSN":"19448252","PMID":"30938148","abstract":"Aqueous rechargeable nickel-zinc batteries are highly attractive for large-scale energy storage for their high output voltage, low cost, and excellent safety; however, their inferior cycling durability due to the degradation of the Ni-based cathode is a major obstacle for their applications. In this context, we develop a new kind of porous electrochemically activated Ni nanoparticle/nitrogen-doped carbon (Ni/NC) composite material as ultrastable cathodes for advanced aqueous rechargeable nickel-zinc batteries. The in situ formation of a highly active NiO x (OH) y layer on Ni nanoparticles and a unique hydrophilic porous architecture endow the activated Ni/NC composite with high accessible area, abundant active sites, easy electrolyte permeation, and shortened charge/ion transport pathway. Consequently, a high capacity of 381.2 μAh cm -3 with an outstanding rate capability is achieved by the Ni-Zn battery using the optimized activated Ni/NC composite as the cathode (about 30-fold enhancement compared to that with the pristine Ni/NC composite as the cathode). More impressively, the as-assembled Ni-Zn battery achieves an unprecedented cyclic stability with no capacity loss after 36 000 charge/discharge cycles. This is the highest cyclic durability ever for Ni-Zn batteries and other aqueous rechargeable batteries. This novel efficient electrochemical activation strategy to achieve a high-performance cathode and demonstration of an ultrastable aqueous rechargeable Ni-Zn battery may open up new vistas on the development of more advanced and reliable energy storage materials and devices.","author":[{"dropping-particle":"","family":"Meng","given":"Lingyi","non-dropping-particle":"","parse-names":false,"suffix":""},{"dropping-particle":"","family":"Lin","given":"Dun","non-dropping-particle":"","parse-names":false,"suffix":""},{"dropping-particle":"","family":"Wang","given":"Jing","non-dropping-particle":"","parse-names":false,"suffix":""},{"dropping-particle":"","family":"Zeng","given":"Yinxiang","non-dropping-particle":"","parse-names":false,"suffix":""},{"dropping-particle":"","family":"Liu","given":"Yi","non-dropping-particle":"","parse-names":false,"suffix":""},{"dropping-particle":"","family":"Lu","given":"Xihong","non-dropping-particle":"","parse-names":false,"suffix":""}],"container-title":"ACS Applied Materials and Interfaces","id":"ITEM-1","issue":"16","issued":{"date-parts":[["2019"]]},"page":"14854-14861","title":"Electrochemically Activated Nickel-Carbon Composite as Ultrastable Cathodes for Rechargeable Nickel-Zinc Batteries","type":"article-journal","volume":"11"},"uris":["http://www.mendeley.com/documents/?uuid=80dd1bf6-353a-489f-afb3-70736e0ddbc0"]}],"mendeley":{"formattedCitation":"&lt;sup&gt;[148]&lt;/sup&gt;","plainTextFormattedCitation":"[148]","previouslyFormattedCitation":"&lt;sup&gt;[147]&lt;/sup&gt;"},"properties":{"noteIndex":0},"schema":"https://github.com/citation-style-language/schema/raw/master/csl-citation.json"}</w:instrText>
      </w:r>
      <w:r w:rsidR="00017023" w:rsidRPr="003E0254">
        <w:rPr>
          <w:lang w:eastAsia="de-DE"/>
        </w:rPr>
        <w:fldChar w:fldCharType="separate"/>
      </w:r>
      <w:r w:rsidR="00500B8D" w:rsidRPr="003E0254">
        <w:rPr>
          <w:noProof/>
          <w:vertAlign w:val="superscript"/>
          <w:lang w:eastAsia="de-DE"/>
        </w:rPr>
        <w:t>[148]</w:t>
      </w:r>
      <w:r w:rsidR="00017023" w:rsidRPr="003E0254">
        <w:rPr>
          <w:lang w:eastAsia="de-DE"/>
        </w:rPr>
        <w:fldChar w:fldCharType="end"/>
      </w:r>
    </w:p>
    <w:p w14:paraId="4DDDC5CA" w14:textId="3A772B05" w:rsidR="00C60055" w:rsidRPr="003E0254" w:rsidRDefault="008B6F61" w:rsidP="00C60055">
      <w:pPr>
        <w:spacing w:line="276" w:lineRule="auto"/>
        <w:jc w:val="both"/>
      </w:pPr>
      <w:r w:rsidRPr="003E0254">
        <w:t>Another typical cathode material are v</w:t>
      </w:r>
      <w:r w:rsidR="00C60055" w:rsidRPr="003E0254">
        <w:t>anadium oxides, including V</w:t>
      </w:r>
      <w:r w:rsidR="00C60055" w:rsidRPr="003E0254">
        <w:rPr>
          <w:vertAlign w:val="subscript"/>
        </w:rPr>
        <w:t>2</w:t>
      </w:r>
      <w:r w:rsidR="00C60055" w:rsidRPr="003E0254">
        <w:t>O</w:t>
      </w:r>
      <w:r w:rsidR="00C60055" w:rsidRPr="003E0254">
        <w:rPr>
          <w:vertAlign w:val="subscript"/>
        </w:rPr>
        <w:t>5</w:t>
      </w:r>
      <w:r w:rsidR="00C60055" w:rsidRPr="003E0254">
        <w:t xml:space="preserve"> and hydrated vanadium bronzes, </w:t>
      </w:r>
      <w:r w:rsidRPr="003E0254">
        <w:t xml:space="preserve">which </w:t>
      </w:r>
      <w:r w:rsidR="00C60055" w:rsidRPr="003E0254">
        <w:t xml:space="preserve">offer higher capacities (~350 </w:t>
      </w:r>
      <w:proofErr w:type="spellStart"/>
      <w:r w:rsidR="00C60055" w:rsidRPr="003E0254">
        <w:t>mAh</w:t>
      </w:r>
      <w:proofErr w:type="spellEnd"/>
      <w:r w:rsidR="00C60055" w:rsidRPr="003E0254">
        <w:t xml:space="preserve"> g</w:t>
      </w:r>
      <w:r w:rsidR="00C60055" w:rsidRPr="003E0254">
        <w:rPr>
          <w:vertAlign w:val="superscript"/>
        </w:rPr>
        <w:t>-1</w:t>
      </w:r>
      <w:r w:rsidR="00C60055" w:rsidRPr="003E0254">
        <w:t>) and superior rate performance, enabled by the multi-valence states of vanadium (V</w:t>
      </w:r>
      <w:r w:rsidR="00C60055" w:rsidRPr="003E0254">
        <w:rPr>
          <w:vertAlign w:val="superscript"/>
        </w:rPr>
        <w:t>5+</w:t>
      </w:r>
      <w:r w:rsidR="00C60055" w:rsidRPr="003E0254">
        <w:t>/V</w:t>
      </w:r>
      <w:r w:rsidR="00C60055" w:rsidRPr="003E0254">
        <w:rPr>
          <w:vertAlign w:val="superscript"/>
        </w:rPr>
        <w:t>4+</w:t>
      </w:r>
      <w:r w:rsidR="00C60055" w:rsidRPr="003E0254">
        <w:t>/V</w:t>
      </w:r>
      <w:r w:rsidR="00C60055" w:rsidRPr="003E0254">
        <w:rPr>
          <w:vertAlign w:val="superscript"/>
        </w:rPr>
        <w:t>3+</w:t>
      </w:r>
      <w:r w:rsidR="00C60055" w:rsidRPr="003E0254">
        <w:t>) and their layered or tunneled structures, which facilitate efficient Zn</w:t>
      </w:r>
      <w:r w:rsidR="00C60055" w:rsidRPr="003E0254">
        <w:rPr>
          <w:vertAlign w:val="superscript"/>
        </w:rPr>
        <w:t>2+</w:t>
      </w:r>
      <w:r w:rsidR="00C60055" w:rsidRPr="003E0254">
        <w:t xml:space="preserve"> ion </w:t>
      </w:r>
      <w:r w:rsidR="003C13B3" w:rsidRPr="003E0254">
        <w:t xml:space="preserve">and proton </w:t>
      </w:r>
      <w:r w:rsidR="00C60055" w:rsidRPr="003E0254">
        <w:t xml:space="preserve">diffusion. Despite these advantages, vanadium oxides face challenges related to structural instability under prolonged cycling and relatively high costs, though advances in hydration, defect engineering, and </w:t>
      </w:r>
      <w:r w:rsidR="00F55A98" w:rsidRPr="003E0254">
        <w:t>nano-structuring</w:t>
      </w:r>
      <w:r w:rsidR="00C60055" w:rsidRPr="003E0254">
        <w:t xml:space="preserve"> have shown promise in addressing these limitations.</w:t>
      </w:r>
      <w:r w:rsidR="00DA47ED" w:rsidRPr="003E0254">
        <w:fldChar w:fldCharType="begin" w:fldLock="1"/>
      </w:r>
      <w:r w:rsidR="000F0B1D" w:rsidRPr="003E0254">
        <w:instrText>ADDIN CSL_CITATION {"citationItems":[{"id":"ITEM-1","itemData":{"DOI":"10.1039/D0TA10336E","ISSN":"2050-7496","abstract":"Aqueous zinc ion batteries employing metallic zinc anodes and aqueous electrolytes are highly attractive electrochemical energy storage devices owing to their cost effectiveness, intrinsic safety, elemental abundance and competitive gravimetric energy density. Compared with other cathode materials, vanadium-based compounds feature advantages such as higher capacity, higher power density and longer cycle life. Here, a comprehensive review is presented on recent advances of vanadium-based cathodes, focusing on the correlation between the structures and electrode performances as well as energy-storage mechanisms. The structure and electrochemical properties of vanadium-based cathode materials are discussed by categorizing Zn2+ diffusion channels including one-dimensional tunnels, two-dimensional planes, three-dimensional interpenetrating networks and zero-dimensional diffusion channels. Furthermore, the remaining issues of vanadium-based cathodes are highlighted and promising performance-enhancement strategies are overviewed from aspects such as lattice control, vacancy/defect engineering, and pre-intercalation of cations and/or molecules.","author":[{"dropping-particle":"","family":"Ding","given":"Junwei","non-dropping-particle":"","parse-names":false,"suffix":""},{"dropping-particle":"","family":"Gao","given":"Hongge","non-dropping-particle":"","parse-names":false,"suffix":""},{"dropping-particle":"","family":"Ji","given":"Dongfang","non-dropping-particle":"","parse-names":false,"suffix":""},{"dropping-particle":"","family":"Zhao","given":"Kang","non-dropping-particle":"","parse-names":false,"suffix":""},{"dropping-particle":"","family":"Wang","given":"Shiwen","non-dropping-particle":"","parse-names":false,"suffix":""},{"dropping-particle":"","family":"Cheng","given":"Fangyi","non-dropping-particle":"","parse-names":false,"suffix":""}],"container-title":"Journal of Materials Chemistry A","id":"ITEM-1","issue":"9","issued":{"date-parts":[["2021","3","9"]]},"page":"5258-5275","publisher":"The Royal Society of Chemistry","title":"Vanadium-based cathodes for aqueous zinc-ion batteries: from crystal structures, diffusion channels to storage mechanisms","type":"article-journal","volume":"9"},"uris":["http://www.mendeley.com/documents/?uuid=63c799b7-1a64-3973-a7ed-6f34be0e529e"]}],"mendeley":{"formattedCitation":"&lt;sup&gt;[44]&lt;/sup&gt;","plainTextFormattedCitation":"[44]","previouslyFormattedCitation":"&lt;sup&gt;[44]&lt;/sup&gt;"},"properties":{"noteIndex":0},"schema":"https://github.com/citation-style-language/schema/raw/master/csl-citation.json"}</w:instrText>
      </w:r>
      <w:r w:rsidR="00DA47ED" w:rsidRPr="003E0254">
        <w:fldChar w:fldCharType="separate"/>
      </w:r>
      <w:r w:rsidR="000F0B1D" w:rsidRPr="003E0254">
        <w:rPr>
          <w:noProof/>
          <w:vertAlign w:val="superscript"/>
        </w:rPr>
        <w:t>[44]</w:t>
      </w:r>
      <w:r w:rsidR="00DA47ED" w:rsidRPr="003E0254">
        <w:fldChar w:fldCharType="end"/>
      </w:r>
      <w:r w:rsidR="00C60055" w:rsidRPr="003E0254">
        <w:t xml:space="preserve"> </w:t>
      </w:r>
    </w:p>
    <w:p w14:paraId="4FF9A475" w14:textId="4DA65601" w:rsidR="00C60055" w:rsidRPr="003E0254" w:rsidRDefault="00C60055" w:rsidP="00C60055">
      <w:pPr>
        <w:spacing w:line="276" w:lineRule="auto"/>
        <w:jc w:val="both"/>
      </w:pPr>
      <w:r w:rsidRPr="003E0254">
        <w:t xml:space="preserve">Spinel materials with the general </w:t>
      </w:r>
      <w:r w:rsidR="00897C8E" w:rsidRPr="003E0254">
        <w:t xml:space="preserve">formula </w:t>
      </w:r>
      <w:r w:rsidRPr="003E0254">
        <w:t>ZnM</w:t>
      </w:r>
      <w:r w:rsidRPr="003E0254">
        <w:rPr>
          <w:vertAlign w:val="subscript"/>
        </w:rPr>
        <w:t>2</w:t>
      </w:r>
      <w:r w:rsidRPr="003E0254">
        <w:t>O</w:t>
      </w:r>
      <w:r w:rsidRPr="003E0254">
        <w:rPr>
          <w:vertAlign w:val="subscript"/>
        </w:rPr>
        <w:t xml:space="preserve">4 </w:t>
      </w:r>
      <w:r w:rsidRPr="003E0254">
        <w:t>(M= e.g. Mn, Fe, V, Ni, Co and mixtures thereof)</w:t>
      </w:r>
      <w:r w:rsidR="00EF7832" w:rsidRPr="003E0254">
        <w:fldChar w:fldCharType="begin" w:fldLock="1"/>
      </w:r>
      <w:r w:rsidR="00500B8D" w:rsidRPr="003E0254">
        <w:instrText>ADDIN CSL_CITATION {"citationItems":[{"id":"ITEM-1","itemData":{"DOI":"10.1021/ACSENERGYLETT.8B01426/ASSET/IMAGES/LARGE/NZ-2018-01426E_0016.JPEG","ISSN":"23808195","abstract":"Although current high-energy-density lithium-ion batteries (LIBs) have taken over the commercial rechargeable battery market, increasing concerns about limited lithium resources, high cost, and insecurity of organic electrolyte scale-up limit their further development. Rechargeable aqueous zinc-ion batteries (ZIBs), an alternative battery chemistry, have paved the way not only for realizing environmentally benign and safe energy storage devices but also for reducing the manufacturing costs of next-generation batteries. This Review underscores recent advances in aqueous ZIBs; these include the design of a highly reversible Zn anode, optimization of the electrolyte, and a wide range of cathode materials and their energy storage mechanisms. We also present recent advanced techniques that aim at overcoming the current issues in aqueous ZIB systems. This Review on the future perspectives and research directions will provide a guide for future aqueous ZIB study.","author":[{"dropping-particle":"","family":"Fang","given":"Guozhao","non-dropping-particle":"","parse-names":false,"suffix":""},{"dropping-particle":"","family":"Zhou","given":"Jiang","non-dropping-particle":"","parse-names":false,"suffix":""},{"dropping-particle":"","family":"Pan","given":"Anqiang","non-dropping-particle":"","parse-names":false,"suffix":""},{"dropping-particle":"","family":"Liang","given":"Shuquan","non-dropping-particle":"","parse-names":false,"suffix":""}],"container-title":"ACS Energy Letters","id":"ITEM-1","issue":"10","issued":{"date-parts":[["2018","10","12"]]},"page":"2480-2501","publisher":"American Chemical Society","title":"Recent Advances in Aqueous Zinc-Ion Batteries","type":"article-journal","volume":"3"},"uris":["http://www.mendeley.com/documents/?uuid=07c088a2-b9b5-3edb-9a72-66f19ac12f13"]},{"id":"ITEM-2","itemData":{"DOI":"10.1016/J.JOULE.2020.03.002","ISSN":"2542-4351","abstract":"The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F.","non-dropping-particle":"","parse-names":false,"suffix":""}],"container-title":"Joule","id":"ITEM-2","issue":"4","issued":{"date-parts":[["2020","4","15"]]},"page":"771-799","publisher":"Cell Press","title":"Scientific Challenges for the Implementation of Zn-Ion Batteries","type":"article-journal","volume":"4"},"uris":["http://www.mendeley.com/documents/?uuid=5f0548df-ddf3-346b-a854-26cff83040de"]},{"id":"ITEM-3","itemData":{"DOI":"10.1016/J.MTENER.2022.101095","ISSN":"2468-6069","abstract":"Aqueous zinc ion batteries (AZIBs) with high theoretical capacity, low cost, and highly safety that have been considered as one of the most promising candidates for the next generation of electrochemical energy storage applications. However, the hydrated zinc ions have strong electrostatic force with the host material, causing the low output voltage and poor reversibility. Thus, exploiting suitable cathode materials with high voltage, specific capacity, and stable cycling performance is still a challenge. Recently, the development of cathode materials mainly focuses on manganese-based, vanadium-based, organic, and Prussian blue analog (PBAs) materials. Among these cathodes’ materials, PBAs have attracted great attention for AZIBs owing to their high working voltage, tunable chemical composition and microstructure, open 3D frameworks, low cost, and ease of synthesis. To record the recent rapid development PBAs materials toward high-performance AZIBs, we provide fundamental insights into the structure characteristics and synthesis control of PBAs and present an overview of recent developments of PBAs as promising cathodes for AZIBs. Finally, the key challenges and future opportunities in this rapidly developing field are also presented in this review.","author":[{"dropping-particle":"","family":"Li","given":"Yuanxia","non-dropping-particle":"","parse-names":false,"suffix":""},{"dropping-particle":"","family":"Zhao","given":"Jingxin","non-dropping-particle":"","parse-names":false,"suffix":""},{"dropping-particle":"","family":"Hu","given":"Qiang","non-dropping-particle":"","parse-names":false,"suffix":""},{"dropping-particle":"","family":"Hao","given":"Tianwei","non-dropping-particle":"","parse-names":false,"suffix":""},{"dropping-particle":"","family":"Cao","given":"Heng","non-dropping-particle":"","parse-names":false,"suffix":""},{"dropping-particle":"","family":"Huang","given":"Xiaomin","non-dropping-particle":"","parse-names":false,"suffix":""},{"dropping-particle":"","family":"Liu","given":"Yu","non-dropping-particle":"","parse-names":false,"suffix":""},{"dropping-particle":"","family":"Zhang","given":"Yanyan","non-dropping-particle":"","parse-names":false,"suffix":""},{"dropping-particle":"","family":"Lin","given":"Dunmin","non-dropping-particle":"","parse-names":false,"suffix":""},{"dropping-particle":"","family":"Tang","given":"Yuxin","non-dropping-particle":"","parse-names":false,"suffix":""},{"dropping-particle":"","family":"Cai","given":"Yongqing","non-dropping-particle":"","parse-names":false,"suffix":""}],"container-title":"Materials Today Energy","id":"ITEM-3","issued":{"date-parts":[["2022","10","1"]]},"page":"101095","publisher":"Elsevier","title":"Prussian blue analogs cathodes for aqueous zinc ion batteries","type":"article-journal","volume":"29"},"uris":["http://www.mendeley.com/documents/?uuid=a09d2fdf-0c75-36ef-bc9b-f1543974485c"]},{"id":"ITEM-4","itemData":{"DOI":"10.1016/J.IJOES.2023.100268","ISSN":"1452-3981","abstract":"The increasing demand for advanced energy-storage systems have led to extensive research on Co3O4//Zn batteries because of their high theoretical capacity, low cost, and environment friendliness. However, the capacity of Co3O4//Zn batteries is decreased by the volume change of Co3O4 cathode in practical application, so its advantages are not fully utilised. To improve the capacity of Co3O4 cathode, a cathode of Zn-doped Co3O4 based on carbon cloth with zeolite imidazole-67 (ZIF-67) precursor in aqueous zinc-ion battery was successfully prepared. The Zn-doped Co3O4 cathode had a uniform arrangement in mild aqueous electrolyte, The battery had a high charge/discharge voltage of 2.2 V, a high specific capacity of 196 mA h/g at 1 A/g, outstanding rate capability, and superior cycle stability of 93.2 % capacity retention over 1000 cycles at 5 A/g. The improvement in electrode material provided a new idea for preparing rechargeable aqueous Zn-ion batteries.","author":[{"dropping-particle":"","family":"Zhang","given":"Yichen","non-dropping-particle":"","parse-names":false,"suffix":""},{"dropping-particle":"","family":"Zhang","given":"Youfeng","non-dropping-particle":"","parse-names":false,"suffix":""},{"dropping-particle":"","family":"Feng","given":"Yaping","non-dropping-particle":"","parse-names":false,"suffix":""},{"dropping-particle":"","family":"Wang","given":"Yinling","non-dropping-particle":"","parse-names":false,"suffix":""},{"dropping-particle":"","family":"Zhang","given":"Liang","non-dropping-particle":"","parse-names":false,"suffix":""}],"container-title":"International Journal of Electrochemical Science","id":"ITEM-4","issue":"9","issued":{"date-parts":[["2023","9","1"]]},"page":"100268","publisher":"Elsevier","title":"Fabrication of Zn-doped Co3O4 as cathode material for aqueous rechargeable Zn-ion batteries","type":"article-journal","volume":"18"},"uris":["http://www.mendeley.com/documents/?uuid=38063440-3204-3027-8b77-3931ecf0c84e"]},{"id":"ITEM-5","itemData":{"DOI":"10.1039/D4YA00134F","ISSN":"2753-1457","abstract":"In this work, the suitability of the spinel material ZnFe2O4, which has already been widely investigated in the context of its magnetic and photocatalytic properties, for use as active material for the cathode side in zinc ion batteries is presented. In addition to pure ZnFe2O4, part of the Fe3+ was doped with Ti4+ to achieve stabilization of Zn vacancies in the material and increase ionic conductivity as indicated by previous modelling results. Ceramic samples with the composition ZnFe2−xTixO4 (x = 0 to 0.25) were prepared via a Pechini synthesis route and investigated regarding their optical, structural and electrochemical characteristics. It has been successfully demonstrated that both pure and Ti doped ZnFe2O4 can be used as active material in the positive electrodes of zinc metal batteries or in an “anode-free” setup with Sn metal. Cells with calcined ZnFe2xTixO4 (x = 0.09)|0.5 M zinc triflate in acetonitrile|Zn showed a stable cycling behavior over 1000 cycles and an average initial specific capacity of 55 mA h g−1.","author":[{"dropping-particle":"","family":"Krämer","given":"S.","non-dropping-particle":"","parse-names":false,"suffix":""},{"dropping-particle":"","family":"Hopster","given":"J.","non-dropping-particle":"","parse-names":false,"suffix":""},{"dropping-particle":"","family":"Windmüller","given":"A.","non-dropping-particle":"","parse-names":false,"suffix":""},{"dropping-particle":"","family":"Eichel","given":"R. A.","non-dropping-particle":"","parse-names":false,"suffix":""},{"dropping-particle":"","family":"Grünebaum","given":"M.","non-dropping-particle":"","parse-names":false,"suffix":""},{"dropping-particle":"","family":"Jüstel","given":"T.","non-dropping-particle":"","parse-names":false,"suffix":""},{"dropping-particle":"","family":"Winter","given":"M.","non-dropping-particle":"","parse-names":false,"suffix":""},{"dropping-particle":"","family":"Neuhaus","given":"K.","non-dropping-particle":"","parse-names":false,"suffix":""}],"container-title":"Energy Advances","id":"ITEM-5","issue":"9","issued":{"date-parts":[["2024","9","12"]]},"page":"2175-2185","publisher":"RSC","title":"Teaching an old dog new tricks: Ti-doped ZnFe2O4 as active material in zinc ion batteries – a proof of concept","type":"article-journal","volume":"3"},"uris":["http://www.mendeley.com/documents/?uuid=7c899041-0ed3-34b3-87f9-8a48f746af94"]}],"mendeley":{"formattedCitation":"&lt;sup&gt;[4,43,119,144,145]&lt;/sup&gt;","plainTextFormattedCitation":"[4,43,119,144,145]","previouslyFormattedCitation":"&lt;sup&gt;[4,43,118,143,144]&lt;/sup&gt;"},"properties":{"noteIndex":0},"schema":"https://github.com/citation-style-language/schema/raw/master/csl-citation.json"}</w:instrText>
      </w:r>
      <w:r w:rsidR="00EF7832" w:rsidRPr="003E0254">
        <w:fldChar w:fldCharType="separate"/>
      </w:r>
      <w:r w:rsidR="00500B8D" w:rsidRPr="003E0254">
        <w:rPr>
          <w:noProof/>
          <w:vertAlign w:val="superscript"/>
        </w:rPr>
        <w:t>[4,43,119,144,145]</w:t>
      </w:r>
      <w:r w:rsidR="00EF7832" w:rsidRPr="003E0254">
        <w:fldChar w:fldCharType="end"/>
      </w:r>
      <w:r w:rsidRPr="003E0254">
        <w:t xml:space="preserve"> are also a promising class of active materials, which – depending on the exact composition – demonstrate high voltages </w:t>
      </w:r>
      <w:r w:rsidR="000D0BA2" w:rsidRPr="003E0254">
        <w:t>of up to 1.8 V vs. Zn</w:t>
      </w:r>
      <w:r w:rsidR="004B5EA1" w:rsidRPr="003E0254">
        <w:sym w:font="Symbol" w:char="F07C"/>
      </w:r>
      <w:r w:rsidR="000D0BA2" w:rsidRPr="003E0254">
        <w:t>Zn</w:t>
      </w:r>
      <w:r w:rsidR="000D0BA2" w:rsidRPr="003E0254">
        <w:rPr>
          <w:vertAlign w:val="superscript"/>
        </w:rPr>
        <w:t>2+</w:t>
      </w:r>
      <w:r w:rsidR="000D0BA2" w:rsidRPr="003E0254">
        <w:t xml:space="preserve"> </w:t>
      </w:r>
      <w:r w:rsidRPr="003E0254">
        <w:t>(</w:t>
      </w:r>
      <w:r w:rsidR="00E35302" w:rsidRPr="003E0254">
        <w:t xml:space="preserve">e.g. </w:t>
      </w:r>
      <w:r w:rsidRPr="003E0254">
        <w:t>ZnNi</w:t>
      </w:r>
      <w:r w:rsidRPr="003E0254">
        <w:rPr>
          <w:vertAlign w:val="subscript"/>
        </w:rPr>
        <w:t>x</w:t>
      </w:r>
      <w:r w:rsidRPr="003E0254">
        <w:t>Mn</w:t>
      </w:r>
      <w:r w:rsidRPr="003E0254">
        <w:rPr>
          <w:vertAlign w:val="subscript"/>
        </w:rPr>
        <w:t>x</w:t>
      </w:r>
      <w:r w:rsidRPr="003E0254">
        <w:t>Co</w:t>
      </w:r>
      <w:r w:rsidRPr="003E0254">
        <w:rPr>
          <w:vertAlign w:val="subscript"/>
        </w:rPr>
        <w:t>2-2x</w:t>
      </w:r>
      <w:r w:rsidRPr="003E0254">
        <w:t>O</w:t>
      </w:r>
      <w:r w:rsidRPr="003E0254">
        <w:rPr>
          <w:vertAlign w:val="subscript"/>
        </w:rPr>
        <w:t>4</w:t>
      </w:r>
      <w:r w:rsidR="00E35302" w:rsidRPr="003E0254">
        <w:rPr>
          <w:vertAlign w:val="subscript"/>
        </w:rPr>
        <w:t xml:space="preserve"> </w:t>
      </w:r>
      <w:r w:rsidR="00E35302" w:rsidRPr="003E0254">
        <w:t xml:space="preserve">with 0.3 </w:t>
      </w:r>
      <w:r w:rsidR="00E35302" w:rsidRPr="003E0254">
        <w:rPr>
          <w:rStyle w:val="smallcaps"/>
        </w:rPr>
        <w:t>M</w:t>
      </w:r>
      <w:r w:rsidR="00E35302" w:rsidRPr="003E0254">
        <w:t xml:space="preserve"> Zn(</w:t>
      </w:r>
      <w:proofErr w:type="spellStart"/>
      <w:r w:rsidR="00E35302" w:rsidRPr="003E0254">
        <w:t>OTf</w:t>
      </w:r>
      <w:proofErr w:type="spellEnd"/>
      <w:r w:rsidR="00E35302" w:rsidRPr="003E0254">
        <w:t>)</w:t>
      </w:r>
      <w:r w:rsidR="00E35302" w:rsidRPr="003E0254">
        <w:rPr>
          <w:vertAlign w:val="subscript"/>
        </w:rPr>
        <w:t>2</w:t>
      </w:r>
      <w:r w:rsidR="00E35302" w:rsidRPr="003E0254">
        <w:t xml:space="preserve"> + 200 ppm 1,4-diazabicyclo[2.2.2]</w:t>
      </w:r>
      <w:r w:rsidR="00991C96" w:rsidRPr="003E0254">
        <w:t>octane</w:t>
      </w:r>
      <w:r w:rsidR="00E35302" w:rsidRPr="003E0254">
        <w:t xml:space="preserve"> </w:t>
      </w:r>
      <w:r w:rsidR="002B05CA" w:rsidRPr="003E0254">
        <w:t xml:space="preserve">in </w:t>
      </w:r>
      <w:r w:rsidR="00E35302" w:rsidRPr="003E0254">
        <w:t>acetonitrile as electrolyte</w:t>
      </w:r>
      <w:r w:rsidRPr="003E0254">
        <w:t>)</w:t>
      </w:r>
      <w:r w:rsidR="00EF7832" w:rsidRPr="003E0254">
        <w:fldChar w:fldCharType="begin" w:fldLock="1"/>
      </w:r>
      <w:r w:rsidR="00500B8D" w:rsidRPr="003E0254">
        <w:instrText>ADDIN CSL_CITATION {"citationItems":[{"id":"ITEM-1","itemData":{"DOI":"10.1002/aenm.201800589","ISSN":"1614-6832","abstract":"Nonaqueous Zn</w:instrText>
      </w:r>
      <w:r w:rsidR="00500B8D" w:rsidRPr="003E0254">
        <w:rPr>
          <w:rFonts w:ascii="Cambria Math" w:hAnsi="Cambria Math" w:cs="Cambria Math"/>
        </w:rPr>
        <w:instrText>‐</w:instrText>
      </w:r>
      <w:r w:rsidR="00500B8D" w:rsidRPr="003E0254">
        <w:instrText>ion batteries are regarded as one alternative for Li</w:instrText>
      </w:r>
      <w:r w:rsidR="00500B8D" w:rsidRPr="003E0254">
        <w:rPr>
          <w:rFonts w:ascii="Cambria Math" w:hAnsi="Cambria Math" w:cs="Cambria Math"/>
        </w:rPr>
        <w:instrText>‐</w:instrText>
      </w:r>
      <w:r w:rsidR="00500B8D" w:rsidRPr="003E0254">
        <w:instrText>ion batteries. Such batteries not only afford attractive attributes of cost, but also embody the advantages of the high</w:instrText>
      </w:r>
      <w:r w:rsidR="00500B8D" w:rsidRPr="003E0254">
        <w:rPr>
          <w:rFonts w:ascii="Cambria Math" w:hAnsi="Cambria Math" w:cs="Cambria Math"/>
        </w:rPr>
        <w:instrText>‐</w:instrText>
      </w:r>
      <w:r w:rsidR="00500B8D" w:rsidRPr="003E0254">
        <w:instrText>specific capacities of Zn anodes, as well as the wide potential window of nonaqueous electrolytes. To fully exploit these advantages, improved cathode materials are highly desired. In this manuscript, a new series of spinels, ZnNi x Mn x Co 2–2 x O 4 , are reported as cathode materials for nonaqueous Zn</w:instrText>
      </w:r>
      <w:r w:rsidR="00500B8D" w:rsidRPr="003E0254">
        <w:rPr>
          <w:rFonts w:ascii="Cambria Math" w:hAnsi="Cambria Math" w:cs="Cambria Math"/>
        </w:rPr>
        <w:instrText>‐</w:instrText>
      </w:r>
      <w:r w:rsidR="00500B8D" w:rsidRPr="003E0254">
        <w:instrText xml:space="preserve">ion batteries. Full cells constructed using this new spinel ( x = 1/2) as a cathode paired with a metal anode showed capacities over 200 cycles of 174 mAh g </w:instrText>
      </w:r>
      <w:r w:rsidR="00500B8D" w:rsidRPr="003E0254">
        <w:rPr>
          <w:rFonts w:ascii="Aptos" w:hAnsi="Aptos" w:cs="Aptos"/>
        </w:rPr>
        <w:instrText>−</w:instrText>
      </w:r>
      <w:r w:rsidR="00500B8D" w:rsidRPr="003E0254">
        <w:instrText xml:space="preserve">1 and an open circuit potential of 2.05 V. The battery exhibits an energy density of 305 Wh kg </w:instrText>
      </w:r>
      <w:r w:rsidR="00500B8D" w:rsidRPr="003E0254">
        <w:rPr>
          <w:rFonts w:ascii="Aptos" w:hAnsi="Aptos" w:cs="Aptos"/>
        </w:rPr>
        <w:instrText>−</w:instrText>
      </w:r>
      <w:r w:rsidR="00500B8D" w:rsidRPr="003E0254">
        <w:instrText>1 , which is the highest energy density yet reported for a Zn</w:instrText>
      </w:r>
      <w:r w:rsidR="00500B8D" w:rsidRPr="003E0254">
        <w:rPr>
          <w:rFonts w:ascii="Cambria Math" w:hAnsi="Cambria Math" w:cs="Cambria Math"/>
        </w:rPr>
        <w:instrText>‐</w:instrText>
      </w:r>
      <w:r w:rsidR="00500B8D" w:rsidRPr="003E0254">
        <w:instrText>intercalation cathode. The data show that the Zn 2+ ions reversibly intercalate into the spinel structure during the charge/discharge processes, a compositional transformation directly correlated with a multiply reversible conversion between Co 4+ /Co 3+ , Ni 4+ /Ni 3+ /Ni 2+ , and Mn 4+ /Mn 3+ oxidation states within the lattice. The data suggest that Mn, Ni cosubstitution for Co in ZnCo 2 O 4 is an efficient method to facilitate Zn</w:instrText>
      </w:r>
      <w:r w:rsidR="00500B8D" w:rsidRPr="003E0254">
        <w:rPr>
          <w:rFonts w:ascii="Cambria Math" w:hAnsi="Cambria Math" w:cs="Cambria Math"/>
        </w:rPr>
        <w:instrText>‐</w:instrText>
      </w:r>
      <w:r w:rsidR="00500B8D" w:rsidRPr="003E0254">
        <w:instrText>deintercalation and enhance discharge capacity, which may provide some guidelines for designing more attractive multivalent cathodes materials.","author":[{"dropping-particle":"","family":"Pan","given":"Chengsi","non-dropping-particle":"","parse-names":false,"suffix":""},{"dropping-particle":"","family":"Zhang","given":"Ruixian","non-dropping-particle":"","parse-names":false,"suffix":""},{"dropping-particle":"","family":"Nuzzo","given":"Ralph G","non-dropping-particle":"","parse-names":false,"suffix":""},{"dropping-particle":"","family":"Gewirth","given":"Andrew A","non-dropping-particle":"","parse-names":false,"suffix":""}],"container-title":"Advanced Energy Materials","id":"ITEM-1","issue":"22","issued":{"date-parts":[["2018","8","16"]]},"page":"1800589","publisher":"John Wiley &amp; Sons, Ltd","title":"ZnNi x Mn x Co 2–2 x O 4 Spinel as a High</w:instrText>
      </w:r>
      <w:r w:rsidR="00500B8D" w:rsidRPr="003E0254">
        <w:rPr>
          <w:rFonts w:ascii="Cambria Math" w:hAnsi="Cambria Math" w:cs="Cambria Math"/>
        </w:rPr>
        <w:instrText>‐</w:instrText>
      </w:r>
      <w:r w:rsidR="00500B8D" w:rsidRPr="003E0254">
        <w:instrText>Voltage and High</w:instrText>
      </w:r>
      <w:r w:rsidR="00500B8D" w:rsidRPr="003E0254">
        <w:rPr>
          <w:rFonts w:ascii="Cambria Math" w:hAnsi="Cambria Math" w:cs="Cambria Math"/>
        </w:rPr>
        <w:instrText>‐</w:instrText>
      </w:r>
      <w:r w:rsidR="00500B8D" w:rsidRPr="003E0254">
        <w:instrText>Capacity Cathode Material for Nonaqueous Zn</w:instrText>
      </w:r>
      <w:r w:rsidR="00500B8D" w:rsidRPr="003E0254">
        <w:rPr>
          <w:rFonts w:ascii="Cambria Math" w:hAnsi="Cambria Math" w:cs="Cambria Math"/>
        </w:rPr>
        <w:instrText>‐</w:instrText>
      </w:r>
      <w:r w:rsidR="00500B8D" w:rsidRPr="003E0254">
        <w:instrText>Ion Batteries","type":"article-journal","volume":"8"},"uris":["http://www.mendeley.com/documents/?uuid=1270b82f-4c5d-3360-b346-e65247f1bb24"]}],"mendeley":{"formattedCitation":"&lt;sup&gt;[149]&lt;/sup&gt;","plainTextFormattedCitation":"[149]","previouslyFormattedCitation":"&lt;sup&gt;[148]&lt;/sup&gt;"},"properties":{"noteIndex":0},"schema":"https://github.com/citation-style-language/schema/raw/master/csl-citation.json"}</w:instrText>
      </w:r>
      <w:r w:rsidR="00EF7832" w:rsidRPr="003E0254">
        <w:fldChar w:fldCharType="separate"/>
      </w:r>
      <w:r w:rsidR="00500B8D" w:rsidRPr="003E0254">
        <w:rPr>
          <w:noProof/>
          <w:vertAlign w:val="superscript"/>
        </w:rPr>
        <w:t>[149]</w:t>
      </w:r>
      <w:r w:rsidR="00EF7832" w:rsidRPr="003E0254">
        <w:fldChar w:fldCharType="end"/>
      </w:r>
      <w:r w:rsidRPr="003E0254">
        <w:t xml:space="preserve"> and specific capacities in a similar range </w:t>
      </w:r>
      <w:r w:rsidR="00897C8E" w:rsidRPr="003E0254">
        <w:t>as</w:t>
      </w:r>
      <w:r w:rsidRPr="003E0254">
        <w:t xml:space="preserve"> pure manganese oxides (312 </w:t>
      </w:r>
      <w:proofErr w:type="spellStart"/>
      <w:r w:rsidRPr="003E0254">
        <w:t>mAh</w:t>
      </w:r>
      <w:proofErr w:type="spellEnd"/>
      <w:r w:rsidRPr="003E0254">
        <w:t xml:space="preserve"> g</w:t>
      </w:r>
      <w:r w:rsidRPr="003E0254">
        <w:rPr>
          <w:vertAlign w:val="superscript"/>
        </w:rPr>
        <w:t xml:space="preserve">-1 </w:t>
      </w:r>
      <w:r w:rsidRPr="003E0254">
        <w:t>for</w:t>
      </w:r>
      <w:r w:rsidRPr="003E0254">
        <w:rPr>
          <w:vertAlign w:val="superscript"/>
        </w:rPr>
        <w:t xml:space="preserve"> </w:t>
      </w:r>
      <w:r w:rsidRPr="003E0254">
        <w:t>ZnV</w:t>
      </w:r>
      <w:r w:rsidRPr="003E0254">
        <w:rPr>
          <w:vertAlign w:val="subscript"/>
        </w:rPr>
        <w:t>2</w:t>
      </w:r>
      <w:r w:rsidRPr="003E0254">
        <w:t>O</w:t>
      </w:r>
      <w:r w:rsidRPr="003E0254">
        <w:rPr>
          <w:vertAlign w:val="subscript"/>
        </w:rPr>
        <w:t>4</w:t>
      </w:r>
      <w:r w:rsidRPr="003E0254">
        <w:t>).</w:t>
      </w:r>
      <w:r w:rsidR="003422FA" w:rsidRPr="003E0254">
        <w:fldChar w:fldCharType="begin" w:fldLock="1"/>
      </w:r>
      <w:r w:rsidR="00500B8D" w:rsidRPr="003E0254">
        <w:instrText>ADDIN CSL_CITATION {"citationItems":[{"id":"ITEM-1","itemData":{"DOI":"10.1016/J.NANOEN.2019.104211","ISSN":"2211-2855","abstract":"Rechargeable and affordable aqueous zinc-ion batteries (ZIBs) with high energy density are needed for large-scale energy storage systems. However, the development of ZIBs has stagnated due to the lack of stable high-capacity cathode materials. Here, a typical spinel ZnV2O4 has been investigated as a ZIB cathode, and a significant electroactivation reaction was observed during the initial electrochemical cycles. After electroactivation, ZnV2O4 exhibits a high reversible capacity of 312 mAh g−1 and retains a capacity of 206 mAh g−1 over 1000 cycles at a high rate of 10 C. The electroactivation process was then analyzed via in-situ XRD, ex-situ PDF, ex-situ HADDF-STEM, ex-situ XPS, and various electrochemical measurements. The electroactivation enhances the surface electrochemical reaction with self-adaptive adjustment of the lattice structure. This guarantees outstanding electrochemical performance. The encouraging results deepen our understanding of rechargeable aqueous batteries and offer insight into the design of high-performance electrode materials for rechargeable aqueous ZIBs.","author":[{"dropping-particle":"","family":"Liu","given":"Yi","non-dropping-particle":"","parse-names":false,"suffix":""},{"dropping-particle":"","family":"Li","given":"Chang","non-dropping-particle":"","parse-names":false,"suffix":""},{"dropping-particle":"","family":"Xu","given":"Jia","non-dropping-particle":"","parse-names":false,"suffix":""},{"dropping-particle":"","family":"Ou","given":"Mingyang","non-dropping-particle":"","parse-names":false,"suffix":""},{"dropping-particle":"","family":"Fang","given":"Chun","non-dropping-particle":"","parse-names":false,"suffix":""},{"dropping-particle":"","family":"Sun","given":"Shixiong","non-dropping-particle":"","parse-names":false,"suffix":""},{"dropping-particle":"","family":"Qiu","given":"Yuegang","non-dropping-particle":"","parse-names":false,"suffix":""},{"dropping-particle":"","family":"Peng","given":"Jian","non-dropping-particle":"","parse-names":false,"suffix":""},{"dropping-particle":"","family":"Lu","given":"Gongchang","non-dropping-particle":"","parse-names":false,"suffix":""},{"dropping-particle":"","family":"Li","given":"Qing","non-dropping-particle":"","parse-names":false,"suffix":""},{"dropping-particle":"","family":"Han","given":"Jiantao","non-dropping-particle":"","parse-names":false,"suffix":""},{"dropping-particle":"","family":"Huang","given":"Yunhui","non-dropping-particle":"","parse-names":false,"suffix":""}],"container-title":"Nano Energy","id":"ITEM-1","issued":{"date-parts":[["2020","1","1"]]},"page":"104211","publisher":"Elsevier","title":"Electroactivation-induced spinel ZnV2O4 as a high-performance cathode material for aqueous zinc-ion battery","type":"article-journal","volume":"67"},"uris":["http://www.mendeley.com/documents/?uuid=4b754360-8d67-3a87-8cf4-85a6968f5399"]}],"mendeley":{"formattedCitation":"&lt;sup&gt;[150]&lt;/sup&gt;","plainTextFormattedCitation":"[150]","previouslyFormattedCitation":"&lt;sup&gt;[149]&lt;/sup&gt;"},"properties":{"noteIndex":0},"schema":"https://github.com/citation-style-language/schema/raw/master/csl-citation.json"}</w:instrText>
      </w:r>
      <w:r w:rsidR="003422FA" w:rsidRPr="003E0254">
        <w:fldChar w:fldCharType="separate"/>
      </w:r>
      <w:r w:rsidR="00500B8D" w:rsidRPr="003E0254">
        <w:rPr>
          <w:noProof/>
          <w:vertAlign w:val="superscript"/>
        </w:rPr>
        <w:t>[150]</w:t>
      </w:r>
      <w:r w:rsidR="003422FA" w:rsidRPr="003E0254">
        <w:fldChar w:fldCharType="end"/>
      </w:r>
      <w:r w:rsidRPr="003E0254">
        <w:t xml:space="preserve"> Just as with these, the main problem here is the leaching of the metals on the B-site and the associated low cycl</w:t>
      </w:r>
      <w:r w:rsidR="00897C8E" w:rsidRPr="003E0254">
        <w:t>ing</w:t>
      </w:r>
      <w:r w:rsidRPr="003E0254">
        <w:t xml:space="preserve"> stability of the corresponding cells.</w:t>
      </w:r>
    </w:p>
    <w:p w14:paraId="372700AF" w14:textId="152FE028" w:rsidR="00C60055" w:rsidRPr="003E0254" w:rsidRDefault="00C60055" w:rsidP="00C60055">
      <w:pPr>
        <w:spacing w:line="276" w:lineRule="auto"/>
        <w:jc w:val="both"/>
      </w:pPr>
      <w:r w:rsidRPr="003E0254">
        <w:t xml:space="preserve">The possible potentials and specific capacities achieved in </w:t>
      </w:r>
      <w:r w:rsidR="00A439A1" w:rsidRPr="003E0254">
        <w:t>zinc-metal</w:t>
      </w:r>
      <w:r w:rsidRPr="003E0254">
        <w:t xml:space="preserve"> batteries with oxidic active materials are quite competitive for </w:t>
      </w:r>
      <w:r w:rsidR="00AC454A" w:rsidRPr="003E0254">
        <w:t>potential application in</w:t>
      </w:r>
      <w:r w:rsidRPr="003E0254">
        <w:t xml:space="preserve"> commercial storage devices. However, solutions </w:t>
      </w:r>
      <w:r w:rsidR="00A6715D" w:rsidRPr="003E0254">
        <w:t xml:space="preserve">for certain issues </w:t>
      </w:r>
      <w:r w:rsidRPr="003E0254">
        <w:t xml:space="preserve">still have to be found, especially to suppress gas formation and leaching of metal cations and </w:t>
      </w:r>
      <w:r w:rsidR="00A6715D" w:rsidRPr="003E0254">
        <w:t xml:space="preserve">the </w:t>
      </w:r>
      <w:r w:rsidRPr="003E0254">
        <w:t xml:space="preserve">associated poor </w:t>
      </w:r>
      <w:r w:rsidR="00AC454A" w:rsidRPr="003E0254">
        <w:t>cycling</w:t>
      </w:r>
      <w:r w:rsidRPr="003E0254">
        <w:t xml:space="preserve"> stability in aqueous electrolytes. Both issues can be addressed by optimization of the electrolyte formulation</w:t>
      </w:r>
      <w:r w:rsidR="00A6715D" w:rsidRPr="003E0254">
        <w:t xml:space="preserve"> on the one hand</w:t>
      </w:r>
      <w:r w:rsidRPr="003E0254">
        <w:t>, but another well-investigated approach is the formation of an ion conductive layer on top of the positive (</w:t>
      </w:r>
      <w:r w:rsidR="00BB0BE7" w:rsidRPr="003E0254">
        <w:t xml:space="preserve">cathode electrolyte interphase </w:t>
      </w:r>
      <w:r w:rsidRPr="003E0254">
        <w:t>CEI) or negative (</w:t>
      </w:r>
      <w:r w:rsidR="00BB0BE7" w:rsidRPr="003E0254">
        <w:t xml:space="preserve">solid electrolyte interphase, </w:t>
      </w:r>
      <w:r w:rsidRPr="003E0254">
        <w:t xml:space="preserve">SEI) electrode. </w:t>
      </w:r>
      <w:r w:rsidR="00BB0BE7" w:rsidRPr="003E0254">
        <w:t>The concepts and terms SEI</w:t>
      </w:r>
      <w:r w:rsidR="00C00C7B" w:rsidRPr="003E0254">
        <w:fldChar w:fldCharType="begin" w:fldLock="1"/>
      </w:r>
      <w:r w:rsidR="00500B8D" w:rsidRPr="003E0254">
        <w:instrText>ADDIN CSL_CITATION {"citationItems":[{"id":"ITEM-1","itemData":{"DOI":"10.1524/ZPCH.2009.6086/MACHINEREADABLECITATION/RIS","ISSN":"09429352","abstract":"In this chapter, the Solid Electrolyte Interphase (SEI) concept is introduced and the different requirements on the electrolyte and on the SEI formation process in the presence of various anode materials (metallic lithium, graphitic carbons, and lithium storage metals/alloys), in particular, similarities and differences, are highlighted. The difficulties to understand and analyze the SEI characteristics and composition are discussed by examples. © by Oldenbourg Wissenschaftsverlag.","author":[{"dropping-particle":"","family":"Winter","given":"Martin","non-dropping-particle":"","parse-names":false,"suffix":""}],"container-title":"Zeitschrift fur Physikalische Chemie","id":"ITEM-1","issue":"10-11","issued":{"date-parts":[["2009","12","1"]]},"page":"1395-1406","publisher":"Oldenbourg Wissenschaftsverlag GmbH","title":"The solid electrolyte interphase - The most important and the least understood solid electrolyte in rechargeable Li batteries","type":"article-journal","volume":"223"},"uris":["http://www.mendeley.com/documents/?uuid=1bb8fc18-c914-3ce5-abd9-35e200692351"]}],"mendeley":{"formattedCitation":"&lt;sup&gt;[151]&lt;/sup&gt;","plainTextFormattedCitation":"[151]","previouslyFormattedCitation":"&lt;sup&gt;[150]&lt;/sup&gt;"},"properties":{"noteIndex":0},"schema":"https://github.com/citation-style-language/schema/raw/master/csl-citation.json"}</w:instrText>
      </w:r>
      <w:r w:rsidR="00C00C7B" w:rsidRPr="003E0254">
        <w:fldChar w:fldCharType="separate"/>
      </w:r>
      <w:r w:rsidR="00500B8D" w:rsidRPr="003E0254">
        <w:rPr>
          <w:noProof/>
          <w:vertAlign w:val="superscript"/>
        </w:rPr>
        <w:t>[151]</w:t>
      </w:r>
      <w:r w:rsidR="00C00C7B" w:rsidRPr="003E0254">
        <w:fldChar w:fldCharType="end"/>
      </w:r>
      <w:r w:rsidR="00BB0BE7" w:rsidRPr="003E0254">
        <w:t xml:space="preserve"> and CEI have been used for lithium metal and lithium ion batteries and will be adopted for Zn-based batteries, here.</w:t>
      </w:r>
      <w:r w:rsidR="00642508" w:rsidRPr="003E0254">
        <w:t xml:space="preserve"> F</w:t>
      </w:r>
      <w:r w:rsidRPr="003E0254">
        <w:t>or example, thin layers of phosphate-rich material</w:t>
      </w:r>
      <w:r w:rsidR="00AC454A" w:rsidRPr="003E0254">
        <w:t>s</w:t>
      </w:r>
      <w:r w:rsidRPr="003E0254">
        <w:t xml:space="preserve"> like </w:t>
      </w:r>
      <w:proofErr w:type="spellStart"/>
      <w:r w:rsidRPr="003E0254">
        <w:t>hopeite</w:t>
      </w:r>
      <w:proofErr w:type="spellEnd"/>
      <w:r w:rsidRPr="003E0254">
        <w:t xml:space="preserve"> (Zn</w:t>
      </w:r>
      <w:r w:rsidRPr="003E0254">
        <w:rPr>
          <w:vertAlign w:val="subscript"/>
        </w:rPr>
        <w:t>3</w:t>
      </w:r>
      <w:r w:rsidRPr="003E0254">
        <w:t>(PO</w:t>
      </w:r>
      <w:r w:rsidRPr="003E0254">
        <w:rPr>
          <w:vertAlign w:val="subscript"/>
        </w:rPr>
        <w:t>4</w:t>
      </w:r>
      <w:r w:rsidRPr="003E0254">
        <w:t>)</w:t>
      </w:r>
      <w:r w:rsidRPr="003E0254">
        <w:rPr>
          <w:vertAlign w:val="subscript"/>
        </w:rPr>
        <w:t>2</w:t>
      </w:r>
      <w:r w:rsidRPr="003E0254">
        <w:t>·4H</w:t>
      </w:r>
      <w:r w:rsidRPr="003E0254">
        <w:rPr>
          <w:vertAlign w:val="subscript"/>
        </w:rPr>
        <w:t>2</w:t>
      </w:r>
      <w:r w:rsidRPr="003E0254">
        <w:t xml:space="preserve">O) were generated </w:t>
      </w:r>
      <w:r w:rsidRPr="003E0254">
        <w:rPr>
          <w:i/>
        </w:rPr>
        <w:t xml:space="preserve">in situ </w:t>
      </w:r>
      <w:r w:rsidRPr="003E0254">
        <w:t>on the negative electrode by using phosphate-rich electrolytes like trimethyl/triethyl phosphate or phosphate-rich additives like Zn(H</w:t>
      </w:r>
      <w:r w:rsidRPr="003E0254">
        <w:rPr>
          <w:vertAlign w:val="subscript"/>
        </w:rPr>
        <w:t>2</w:t>
      </w:r>
      <w:r w:rsidRPr="003E0254">
        <w:t>PO</w:t>
      </w:r>
      <w:r w:rsidRPr="003E0254">
        <w:rPr>
          <w:vertAlign w:val="subscript"/>
        </w:rPr>
        <w:t>4</w:t>
      </w:r>
      <w:r w:rsidRPr="003E0254">
        <w:t>)</w:t>
      </w:r>
      <w:r w:rsidRPr="003E0254">
        <w:rPr>
          <w:vertAlign w:val="subscript"/>
        </w:rPr>
        <w:t>2</w:t>
      </w:r>
      <w:r w:rsidR="00E35302" w:rsidRPr="003E0254">
        <w:t xml:space="preserve"> (cf. Table 1)</w:t>
      </w:r>
      <w:r w:rsidRPr="003E0254">
        <w:t>.</w:t>
      </w:r>
      <w:r w:rsidR="005C57F4" w:rsidRPr="003E0254">
        <w:fldChar w:fldCharType="begin" w:fldLock="1"/>
      </w:r>
      <w:r w:rsidR="00500B8D" w:rsidRPr="003E0254">
        <w:instrText>ADDIN CSL_CITATION {"citationItems":[{"id":"ITEM-1","itemData":{"DOI":"10.1002/adma.202007416","ISSN":"0935-9648","PMID":"33576130","abstract":"Rechargeable aqueous Zn</w:instrText>
      </w:r>
      <w:r w:rsidR="00500B8D" w:rsidRPr="003E0254">
        <w:rPr>
          <w:rFonts w:ascii="Cambria Math" w:hAnsi="Cambria Math" w:cs="Cambria Math"/>
        </w:rPr>
        <w:instrText>‐</w:instrText>
      </w:r>
      <w:r w:rsidR="00500B8D" w:rsidRPr="003E0254">
        <w:instrText>ion batteries promise high capacity, low cost, high safety, and sustainability for large</w:instrText>
      </w:r>
      <w:r w:rsidR="00500B8D" w:rsidRPr="003E0254">
        <w:rPr>
          <w:rFonts w:ascii="Cambria Math" w:hAnsi="Cambria Math" w:cs="Cambria Math"/>
        </w:rPr>
        <w:instrText>‐</w:instrText>
      </w:r>
      <w:r w:rsidR="00500B8D" w:rsidRPr="003E0254">
        <w:instrText xml:space="preserve">scale energy storage. The Zn metal anode, however, suffers from the dendrite growth and side reactions that are mainly due to the absence of an appropriate solid electrolyte interphase (SEI) layer. Herein, the in situ formation of a dense, stable, and highly Zn 2+ </w:instrText>
      </w:r>
      <w:r w:rsidR="00500B8D" w:rsidRPr="003E0254">
        <w:rPr>
          <w:rFonts w:ascii="Cambria Math" w:hAnsi="Cambria Math" w:cs="Cambria Math"/>
        </w:rPr>
        <w:instrText>‐</w:instrText>
      </w:r>
      <w:r w:rsidR="00500B8D" w:rsidRPr="003E0254">
        <w:instrText>conductive SEI layer (hopeite) in aqueous Zn chemistry is demonstrated, by introducing Zn(H 2 PO 4 ) 2 salt into the electrolyte. The hopeite SEI (</w:instrText>
      </w:r>
      <w:r w:rsidR="00500B8D" w:rsidRPr="003E0254">
        <w:rPr>
          <w:rFonts w:ascii="Aptos" w:hAnsi="Aptos" w:cs="Aptos"/>
        </w:rPr>
        <w:instrText>≈</w:instrText>
      </w:r>
      <w:r w:rsidR="00500B8D" w:rsidRPr="003E0254">
        <w:instrText>140 nm thickness) enables uniform and rapid Zn</w:instrText>
      </w:r>
      <w:r w:rsidR="00500B8D" w:rsidRPr="003E0254">
        <w:rPr>
          <w:rFonts w:ascii="Cambria Math" w:hAnsi="Cambria Math" w:cs="Cambria Math"/>
        </w:rPr>
        <w:instrText>‐</w:instrText>
      </w:r>
      <w:r w:rsidR="00500B8D" w:rsidRPr="003E0254">
        <w:instrText>ion transport kinetics for dendrite</w:instrText>
      </w:r>
      <w:r w:rsidR="00500B8D" w:rsidRPr="003E0254">
        <w:rPr>
          <w:rFonts w:ascii="Cambria Math" w:hAnsi="Cambria Math" w:cs="Cambria Math"/>
        </w:rPr>
        <w:instrText>‐</w:instrText>
      </w:r>
      <w:r w:rsidR="00500B8D" w:rsidRPr="003E0254">
        <w:instrText xml:space="preserve">free Zn deposition, and restrains the side reactions via isolating active Zn from the bulk electrolyte. Under practical testing conditions with an ultrathin Zn anode (10 </w:instrText>
      </w:r>
      <w:r w:rsidR="00500B8D" w:rsidRPr="003E0254">
        <w:rPr>
          <w:rFonts w:ascii="Aptos" w:hAnsi="Aptos" w:cs="Aptos"/>
        </w:rPr>
        <w:instrText>µ</w:instrText>
      </w:r>
      <w:r w:rsidR="00500B8D" w:rsidRPr="003E0254">
        <w:instrText>m), a low negative/positive capacity ratio (</w:instrText>
      </w:r>
      <w:r w:rsidR="00500B8D" w:rsidRPr="003E0254">
        <w:rPr>
          <w:rFonts w:ascii="Aptos" w:hAnsi="Aptos" w:cs="Aptos"/>
        </w:rPr>
        <w:instrText>≈</w:instrText>
      </w:r>
      <w:r w:rsidR="00500B8D" w:rsidRPr="003E0254">
        <w:instrText xml:space="preserve">2.3), and a lean electrolyte (9 </w:instrText>
      </w:r>
      <w:r w:rsidR="00500B8D" w:rsidRPr="003E0254">
        <w:rPr>
          <w:rFonts w:ascii="Aptos" w:hAnsi="Aptos" w:cs="Aptos"/>
        </w:rPr>
        <w:instrText>µ</w:instrText>
      </w:r>
      <w:r w:rsidR="00500B8D" w:rsidRPr="003E0254">
        <w:instrText xml:space="preserve">L mAh </w:instrText>
      </w:r>
      <w:r w:rsidR="00500B8D" w:rsidRPr="003E0254">
        <w:rPr>
          <w:rFonts w:ascii="Aptos" w:hAnsi="Aptos" w:cs="Aptos"/>
        </w:rPr>
        <w:instrText>−</w:instrText>
      </w:r>
      <w:r w:rsidR="00500B8D" w:rsidRPr="003E0254">
        <w:instrText>1 ), the Zn/V 2 O 5 full cell retains 94.4% of its original capacity after 500 cycles. This work provides a simple yet practical solution to high</w:instrText>
      </w:r>
      <w:r w:rsidR="00500B8D" w:rsidRPr="003E0254">
        <w:rPr>
          <w:rFonts w:ascii="Cambria Math" w:hAnsi="Cambria Math" w:cs="Cambria Math"/>
        </w:rPr>
        <w:instrText>‐</w:instrText>
      </w:r>
      <w:r w:rsidR="00500B8D" w:rsidRPr="003E0254">
        <w:instrText xml:space="preserve">performance aqueous battery technology via building in situ SEI layers.","author":[{"dropping-particle":"","family":"Zeng","given":"Xiaohui","non-dropping-particle":"","parse-names":false,"suffix":""},{"dropping-particle":"","family":"Mao","given":"Jianfeng","non-dropping-particle":"","parse-names":false,"suffix":""},{"dropping-particle":"","family":"Hao","given":"Junnan","non-dropping-particle":"","parse-names":false,"suffix":""},{"dropping-particle":"","family":"Liu","given":"Jiatu","non-dropping-particle":"","parse-names":false,"suffix":""},{"dropping-particle":"","family":"Liu","given":"Sailin","non-dropping-particle":"","parse-names":false,"suffix":""},{"dropping-particle":"","family":"Wang","given":"Zhijie","non-dropping-particle":"","parse-names":false,"suffix":""},{"dropping-particle":"","family":"Wang","given":"Yanyan","non-dropping-particle":"","parse-names":false,"suffix":""},{"dropping-particle":"","family":"Zhang","given":"Shilin","non-dropping-particle":"","parse-names":false,"suffix":""},{"dropping-particle":"","family":"Zheng","given":"Tian","non-dropping-particle":"","parse-names":false,"suffix":""},{"dropping-particle":"","family":"Liu","given":"Jianwen","non-dropping-particle":"","parse-names":false,"suffix":""},{"dropping-particle":"","family":"Rao","given":"Pinhua","non-dropping-particle":"","parse-names":false,"suffix":""},{"dropping-particle":"","family":"Guo","given":"Zaiping","non-dropping-particle":"","parse-names":false,"suffix":""}],"container-title":"Advanced Materials","id":"ITEM-1","issue":"11","issued":{"date-parts":[["2021","3","12"]]},"page":"2007416","publisher":"John Wiley &amp; Sons, Ltd","title":"Electrolyte Design for In Situ Construction of Highly Zn 2+ </w:instrText>
      </w:r>
      <w:r w:rsidR="00500B8D" w:rsidRPr="003E0254">
        <w:rPr>
          <w:rFonts w:ascii="Cambria Math" w:hAnsi="Cambria Math" w:cs="Cambria Math"/>
        </w:rPr>
        <w:instrText>‐</w:instrText>
      </w:r>
      <w:r w:rsidR="00500B8D" w:rsidRPr="003E0254">
        <w:instrText>Conductive Solid Electrolyte Interphase to Enable High</w:instrText>
      </w:r>
      <w:r w:rsidR="00500B8D" w:rsidRPr="003E0254">
        <w:rPr>
          <w:rFonts w:ascii="Cambria Math" w:hAnsi="Cambria Math" w:cs="Cambria Math"/>
        </w:rPr>
        <w:instrText>‐</w:instrText>
      </w:r>
      <w:r w:rsidR="00500B8D" w:rsidRPr="003E0254">
        <w:instrText>Performance Aqueous Zn</w:instrText>
      </w:r>
      <w:r w:rsidR="00500B8D" w:rsidRPr="003E0254">
        <w:rPr>
          <w:rFonts w:ascii="Cambria Math" w:hAnsi="Cambria Math" w:cs="Cambria Math"/>
        </w:rPr>
        <w:instrText>‐</w:instrText>
      </w:r>
      <w:r w:rsidR="00500B8D" w:rsidRPr="003E0254">
        <w:instrText>Ion Batteries under Practical Conditions","type":"article-journal","volume":"33"},"uris":["http://www.mendeley.com/documents/?uuid=132b529e-7748-4d8c-880f-dadc9d15e921"]}],"mendeley":{"formattedCitation":"&lt;sup&gt;[82]&lt;/sup&gt;","plainTextFormattedCitation":"[82]","previouslyFormattedCitation":"&lt;sup&gt;[81]&lt;/sup&gt;"},"properties":{"noteIndex":0},"schema":"https://github.com/citation-style-language/schema/raw/master/csl-citation.json"}</w:instrText>
      </w:r>
      <w:r w:rsidR="005C57F4" w:rsidRPr="003E0254">
        <w:fldChar w:fldCharType="separate"/>
      </w:r>
      <w:r w:rsidR="00500B8D" w:rsidRPr="003E0254">
        <w:rPr>
          <w:noProof/>
          <w:vertAlign w:val="superscript"/>
        </w:rPr>
        <w:t>[82]</w:t>
      </w:r>
      <w:r w:rsidR="005C57F4" w:rsidRPr="003E0254">
        <w:fldChar w:fldCharType="end"/>
      </w:r>
      <w:r w:rsidRPr="003E0254">
        <w:t xml:space="preserve"> On the other </w:t>
      </w:r>
      <w:r w:rsidR="00AC454A" w:rsidRPr="003E0254">
        <w:t>hand</w:t>
      </w:r>
      <w:r w:rsidRPr="003E0254">
        <w:t xml:space="preserve">, an artificial CEI or coatings </w:t>
      </w:r>
      <w:r w:rsidRPr="003E0254">
        <w:lastRenderedPageBreak/>
        <w:t>like modified montmorillonite (a natural layered clay mineral)</w:t>
      </w:r>
      <w:r w:rsidR="005C57F4" w:rsidRPr="003E0254">
        <w:fldChar w:fldCharType="begin" w:fldLock="1"/>
      </w:r>
      <w:r w:rsidR="00500B8D" w:rsidRPr="003E0254">
        <w:instrText>ADDIN CSL_CITATION {"citationItems":[{"id":"ITEM-1","itemData":{"DOI":"10.1016/J.ENSM.2022.06.029","ISSN":"2405-8297","abstract":"The corrosion, parasitic side-reaction and dendrite of Zn anode as well as the dissolution of MnO2 cathode limit the commercial application of zinc-ion batteries (ZIBs). Herein, a novel coating layer on Zn anode and MnO2 cathode of rechargeable ZIBs is rationally designed by mixing hexadecyl trimethyl ammonium bromide(CTAB)-pillared organic montmorillonite with ZnSO4/MnSO4 solution (ZnOMMT). ZnOMMT can serve as the protective layer to alleviate Zn corrosion and MnO2 dissolution while the unique interlayer structure of ZnOMMT can also offer a selective pathway for fast Zn2+ transfer and uniform Zn2+ diffusion to inhibit the side-reaction and Zn dendrite generation. Notably, by the powerful pillaring of CTAB cations, the expanded and robust nanoscale interlayer tunnels of ZnOMMT for Zn2+ diffusion are constructed to guarantee outstanding ionic conductivity (6.52 mS cm−1), high Zn2+ transference number (t+=0.66) and outstanding cyclic stability during deep cycles. Therefore, ZIBs with ZnOMMT coating layer deliver a steady long-term reversible capacity (267 mAh g−1 until 300 cycles at 0.5 A g−1, 205 mAh g−1 until 700 cycles at 1.0 A g−1). The rational design of CTAB-pillared montmorillonite protective layer brings a brand-new opportunity to the realization of high-performance rechargeable ZIBs.","author":[{"dropping-particle":"","family":"Wang","given":"Yong","non-dropping-particle":"","parse-names":false,"suffix":""},{"dropping-particle":"","family":"Fan","given":"Yunmiao","non-dropping-particle":"","parse-names":false,"suffix":""},{"dropping-particle":"","family":"Liao","given":"Dan","non-dropping-particle":"","parse-names":false,"suffix":""},{"dropping-particle":"","family":"Wu","given":"Yiyu","non-dropping-particle":"","parse-names":false,"suffix":""},{"dropping-particle":"","family":"Yu","given":"Yang","non-dropping-particle":"","parse-names":false,"suffix":""},{"dropping-particle":"","family":"Hu","given":"Chaoquan","non-dropping-particle":"","parse-names":false,"suffix":""}],"container-title":"Energy Storage Materials","id":"ITEM-1","issued":{"date-parts":[["2022","10","1"]]},"page":"212-222","publisher":"Elsevier","title":"Highly Zn2+-conductive and robust modified montmorillonite protective layer of electrodes toward high-performance rechargeable zinc-ion batteries","type":"article-journal","volume":"51"},"uris":["http://www.mendeley.com/documents/?uuid=36ff9faa-200d-330f-be32-7ff217305d11"]}],"mendeley":{"formattedCitation":"&lt;sup&gt;[152]&lt;/sup&gt;","plainTextFormattedCitation":"[152]","previouslyFormattedCitation":"&lt;sup&gt;[151]&lt;/sup&gt;"},"properties":{"noteIndex":0},"schema":"https://github.com/citation-style-language/schema/raw/master/csl-citation.json"}</w:instrText>
      </w:r>
      <w:r w:rsidR="005C57F4" w:rsidRPr="003E0254">
        <w:fldChar w:fldCharType="separate"/>
      </w:r>
      <w:r w:rsidR="00500B8D" w:rsidRPr="003E0254">
        <w:rPr>
          <w:noProof/>
          <w:vertAlign w:val="superscript"/>
        </w:rPr>
        <w:t>[152]</w:t>
      </w:r>
      <w:r w:rsidR="005C57F4" w:rsidRPr="003E0254">
        <w:fldChar w:fldCharType="end"/>
      </w:r>
      <w:r w:rsidRPr="003E0254">
        <w:t xml:space="preserve"> could also be promising, inexpensive and environmentally friendly approaches to protect the positive electrode.</w:t>
      </w:r>
    </w:p>
    <w:p w14:paraId="6E520DCB" w14:textId="55100BF7" w:rsidR="00C60055" w:rsidRPr="003E0254" w:rsidRDefault="00C60055" w:rsidP="00C60055">
      <w:pPr>
        <w:spacing w:line="276" w:lineRule="auto"/>
        <w:jc w:val="both"/>
      </w:pPr>
      <w:r w:rsidRPr="003E0254">
        <w:t>Prussian Blue analogs (PBAs), with the general formula A</w:t>
      </w:r>
      <w:r w:rsidRPr="003E0254">
        <w:rPr>
          <w:vertAlign w:val="subscript"/>
        </w:rPr>
        <w:t>x</w:t>
      </w:r>
      <w:r w:rsidRPr="003E0254">
        <w:rPr>
          <w:i/>
        </w:rPr>
        <w:t>M</w:t>
      </w:r>
      <w:r w:rsidRPr="003E0254">
        <w:rPr>
          <w:vertAlign w:val="subscript"/>
        </w:rPr>
        <w:t>1</w:t>
      </w:r>
      <w:r w:rsidRPr="003E0254">
        <w:t>[</w:t>
      </w:r>
      <w:r w:rsidRPr="003E0254">
        <w:rPr>
          <w:i/>
        </w:rPr>
        <w:t>M</w:t>
      </w:r>
      <w:r w:rsidRPr="003E0254">
        <w:rPr>
          <w:vertAlign w:val="subscript"/>
        </w:rPr>
        <w:t>2</w:t>
      </w:r>
      <w:r w:rsidRPr="003E0254">
        <w:t>(CN)</w:t>
      </w:r>
      <w:r w:rsidRPr="003E0254">
        <w:rPr>
          <w:vertAlign w:val="subscript"/>
        </w:rPr>
        <w:t>6</w:t>
      </w:r>
      <w:r w:rsidRPr="003E0254">
        <w:t>)]</w:t>
      </w:r>
      <w:r w:rsidRPr="003E0254">
        <w:rPr>
          <w:vertAlign w:val="subscript"/>
        </w:rPr>
        <w:t>y</w:t>
      </w:r>
      <w:r w:rsidRPr="003E0254">
        <w:t>∙zH</w:t>
      </w:r>
      <w:r w:rsidRPr="003E0254">
        <w:rPr>
          <w:vertAlign w:val="subscript"/>
        </w:rPr>
        <w:t>2</w:t>
      </w:r>
      <w:r w:rsidRPr="003E0254">
        <w:t>O, are characterized by their open cubic framework,</w:t>
      </w:r>
      <w:r w:rsidR="005C57F4" w:rsidRPr="003E0254">
        <w:fldChar w:fldCharType="begin" w:fldLock="1"/>
      </w:r>
      <w:r w:rsidR="00500B8D" w:rsidRPr="003E0254">
        <w:instrText>ADDIN CSL_CITATION {"citationItems":[{"id":"ITEM-1","itemData":{"DOI":"10.1016/J.JOULE.2018.07.017","ISSN":"2542-4351","abstract":"Prussian blue analogs have significant promise as active materials for the next generation of battery electrodes with improved cycle life and rate capability. Their useful electrochemical properties include two independent redox centers per unit cell; a nanoporous, open framework for rapid ion conduction; high stability during ion (de)insertion; and structural and electrochemical tunability for diverse applications. Here we share insights into how control of the five main crystallographic features (two transition-metal ions, the inserting ion, defects, and water) imparts control over the ion-insertion reaction. We then identify five key opportunities to expand our understanding of these materials, including the role of water in their ion conduction, modeling, synthesis methods, use as anode materials, and technoeconomics. Further research in these areas will accelerate the development of new, high-performing battery electrodes. In this work, we offer our perspective on a class of compounds known as Prussian blue analogs, a group of versatile cyano-coordination polymers. Originally commercialized in the dye industry, they have more recently been used in diverse energy technologies including energy storage, electrocatalysis, and thermal power generation. We address their role as components of the next generation of batteries with improved cycle life and power capability. Through a review of achievements from early electrochemical experiments to crystallographic breakthroughs to development of state-of-the-art electrodes, we outline how control over the crystal structure allows these materials’ electrochemistry to be tuned for diverse uses. Despite recent advances, there remain conspicuous and fundamental questions about the structure-electrochemistry relationship that we identify. We adumbrate investigations using density functional theory calculations, synchrotron X-ray techniques, electrochemical tests, and technoeconomic analyses to answer these questions. Batteries are a form of electrochemical energy storage that allows electrical energy to be stored and transported. Prussian blue analogs (PBAs) are a family of materials that can enable the next generation of batteries with higher rate capability and longer cycle lives. Furthermore, controlling the chemical composition of these materials allows their crystal structure and electrochemistry to be tuned to target specific battery applications. We also identify critical research fronts in PBA science.","author":[{"dropping-particle":"","family":"Hurlbutt","given":"Kevin","non-dropping-particle":"","parse-names":false,"suffix":""},{"dropping-particle":"","family":"Wheeler","given":"Samuel","non-dropping-particle":"","parse-names":false,"suffix":""},{"dropping-particle":"","family":"Capone","given":"Isaac","non-dropping-particle":"","parse-names":false,"suffix":""},{"dropping-particle":"","family":"Pasta","given":"Mauro","non-dropping-particle":"","parse-names":false,"suffix":""}],"container-title":"Joule","id":"ITEM-1","issue":"10","issued":{"date-parts":[["2018","10","17"]]},"page":"1950-1960","publisher":"Cell Press","title":"Prussian Blue Analogs as Battery Materials","type":"article-journal","volume":"2"},"uris":["http://www.mendeley.com/documents/?uuid=b379ec87-d8f9-3563-a5a9-0bea8b00c609"]}],"mendeley":{"formattedCitation":"&lt;sup&gt;[153]&lt;/sup&gt;","plainTextFormattedCitation":"[153]","previouslyFormattedCitation":"&lt;sup&gt;[152]&lt;/sup&gt;"},"properties":{"noteIndex":0},"schema":"https://github.com/citation-style-language/schema/raw/master/csl-citation.json"}</w:instrText>
      </w:r>
      <w:r w:rsidR="005C57F4" w:rsidRPr="003E0254">
        <w:fldChar w:fldCharType="separate"/>
      </w:r>
      <w:r w:rsidR="00500B8D" w:rsidRPr="003E0254">
        <w:rPr>
          <w:noProof/>
          <w:vertAlign w:val="superscript"/>
        </w:rPr>
        <w:t>[153]</w:t>
      </w:r>
      <w:r w:rsidR="005C57F4" w:rsidRPr="003E0254">
        <w:fldChar w:fldCharType="end"/>
      </w:r>
      <w:r w:rsidRPr="003E0254">
        <w:t xml:space="preserve"> which ideally facilitates rapid Zn</w:t>
      </w:r>
      <w:r w:rsidRPr="003E0254">
        <w:rPr>
          <w:vertAlign w:val="superscript"/>
        </w:rPr>
        <w:t>2+</w:t>
      </w:r>
      <w:r w:rsidRPr="003E0254">
        <w:t xml:space="preserve"> ion diffusion and cycling stability.</w:t>
      </w:r>
      <w:r w:rsidR="005C57F4" w:rsidRPr="003E0254">
        <w:fldChar w:fldCharType="begin" w:fldLock="1"/>
      </w:r>
      <w:r w:rsidR="000F0B1D" w:rsidRPr="003E0254">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005C57F4" w:rsidRPr="003E0254">
        <w:fldChar w:fldCharType="separate"/>
      </w:r>
      <w:r w:rsidR="000F0B1D" w:rsidRPr="003E0254">
        <w:rPr>
          <w:noProof/>
          <w:vertAlign w:val="superscript"/>
        </w:rPr>
        <w:t>[43]</w:t>
      </w:r>
      <w:r w:rsidR="005C57F4" w:rsidRPr="003E0254">
        <w:fldChar w:fldCharType="end"/>
      </w:r>
      <w:r w:rsidRPr="003E0254">
        <w:t xml:space="preserve"> Their hydrated forms (zH</w:t>
      </w:r>
      <w:r w:rsidRPr="003E0254">
        <w:rPr>
          <w:vertAlign w:val="subscript"/>
        </w:rPr>
        <w:t>2</w:t>
      </w:r>
      <w:r w:rsidRPr="003E0254">
        <w:t>O) make them very suitable for the operation in aqueous electrolytes - but make them less compatible with organic electrolytes.</w:t>
      </w:r>
      <w:r w:rsidR="005C57F4" w:rsidRPr="003E0254">
        <w:fldChar w:fldCharType="begin" w:fldLock="1"/>
      </w:r>
      <w:r w:rsidR="00500B8D" w:rsidRPr="003E0254">
        <w:instrText>ADDIN CSL_CITATION {"citationItems":[{"id":"ITEM-1","itemData":{"DOI":"10.1002/EEM2.12108","ISSN":"2575-0356","abstract":"The reversible storage of Zn2+ ions in Prussian blue analogues with typical aqueous solution was challenged by fast degradation and poor coulombic efficiency, while the mechanism is yet to be uncovered. This study correlates the performance of the nickel hexacyanoferrate to the dynamics of H2O in the electrolyte and the associated phase stability of the electrode. It demonstrates severe Ni dissolution in conventional diluted aqueous electrolyte (1 m ZnSO4 or 1 m Zn(TFSI)2), leading to structure collapse with the formation of an electrochemical inert phase. This is regarded as the descriptor for the fast decay of nickel hexacyanoferrate in diluted aqueous electrolyte. However, a well-preserved open framework for zinc storage was obtained in concentrated aqueous electrolyte (1 m Zn(TFSI)2 + 21 m LiTFSI)—the H2O activity is highly suppressed by extensive coordination—thus, reversible capacity of 60.2 mAh g−1 over 1600 cycles could be delivered.","author":[{"dropping-particle":"","family":"Li","given":"Zhuxin","non-dropping-particle":"","parse-names":false,"suffix":""},{"dropping-particle":"","family":"Liu","given":"Tingting","non-dropping-particle":"","parse-names":false,"suffix":""},{"dropping-particle":"","family":"Meng","given":"Ruijin","non-dropping-particle":"","parse-names":false,"suffix":""},{"dropping-particle":"","family":"Gao","given":"Lujie","non-dropping-particle":"","parse-names":false,"suffix":""},{"dropping-particle":"","family":"Zou","given":"Yiping","non-dropping-particle":"","parse-names":false,"suffix":""},{"dropping-particle":"","family":"Peng","given":"Peng","non-dropping-particle":"","parse-names":false,"suffix":""},{"dropping-particle":"","family":"Shao","given":"Yuying","non-dropping-particle":"","parse-names":false,"suffix":""},{"dropping-particle":"","family":"Liang","given":"Xiao","non-dropping-particle":"","parse-names":false,"suffix":""}],"container-title":"Energy &amp; Environmental Materials","id":"ITEM-1","issue":"1","issued":{"date-parts":[["2021","1","1"]]},"page":"111-116","publisher":"John Wiley &amp; Sons, Ltd","title":"Insights into the Structure Stability of Prussian Blue for Aqueous Zinc Ion Batteries","type":"article-journal","volume":"4"},"uris":["http://www.mendeley.com/documents/?uuid=968bba77-0714-3e4f-a65b-01a4c7c5d543"]}],"mendeley":{"formattedCitation":"&lt;sup&gt;[154]&lt;/sup&gt;","plainTextFormattedCitation":"[154]","previouslyFormattedCitation":"&lt;sup&gt;[153]&lt;/sup&gt;"},"properties":{"noteIndex":0},"schema":"https://github.com/citation-style-language/schema/raw/master/csl-citation.json"}</w:instrText>
      </w:r>
      <w:r w:rsidR="005C57F4" w:rsidRPr="003E0254">
        <w:fldChar w:fldCharType="separate"/>
      </w:r>
      <w:r w:rsidR="00500B8D" w:rsidRPr="003E0254">
        <w:rPr>
          <w:noProof/>
          <w:vertAlign w:val="superscript"/>
        </w:rPr>
        <w:t>[154]</w:t>
      </w:r>
      <w:r w:rsidR="005C57F4" w:rsidRPr="003E0254">
        <w:fldChar w:fldCharType="end"/>
      </w:r>
      <w:r w:rsidRPr="003E0254">
        <w:t xml:space="preserve"> A</w:t>
      </w:r>
      <w:r w:rsidRPr="003E0254">
        <w:rPr>
          <w:vertAlign w:val="subscript"/>
        </w:rPr>
        <w:t>x</w:t>
      </w:r>
      <w:r w:rsidRPr="003E0254">
        <w:t xml:space="preserve"> can be vacant or any alkali metal ion, such as Li</w:t>
      </w:r>
      <w:r w:rsidRPr="003E0254">
        <w:rPr>
          <w:vertAlign w:val="superscript"/>
        </w:rPr>
        <w:t>+</w:t>
      </w:r>
      <w:r w:rsidRPr="003E0254">
        <w:t>, Na</w:t>
      </w:r>
      <w:r w:rsidRPr="003E0254">
        <w:rPr>
          <w:vertAlign w:val="superscript"/>
        </w:rPr>
        <w:t>+</w:t>
      </w:r>
      <w:r w:rsidRPr="003E0254">
        <w:t>, and K</w:t>
      </w:r>
      <w:r w:rsidRPr="003E0254">
        <w:rPr>
          <w:vertAlign w:val="superscript"/>
        </w:rPr>
        <w:t>+</w:t>
      </w:r>
      <w:r w:rsidRPr="003E0254">
        <w:t>. M</w:t>
      </w:r>
      <w:r w:rsidRPr="003E0254">
        <w:rPr>
          <w:vertAlign w:val="subscript"/>
        </w:rPr>
        <w:t>1</w:t>
      </w:r>
      <w:r w:rsidRPr="003E0254">
        <w:t xml:space="preserve"> and M</w:t>
      </w:r>
      <w:r w:rsidRPr="003E0254">
        <w:rPr>
          <w:vertAlign w:val="subscript"/>
        </w:rPr>
        <w:t xml:space="preserve">2 </w:t>
      </w:r>
      <w:r w:rsidRPr="003E0254">
        <w:t>are typically transition metal ions such as Ni, Fe, Cu, Mn, and Zn. These are arranged alternately in a cubic framework and bridged to the CN complex. M</w:t>
      </w:r>
      <w:r w:rsidRPr="003E0254">
        <w:rPr>
          <w:vertAlign w:val="subscript"/>
        </w:rPr>
        <w:t>1</w:t>
      </w:r>
      <w:r w:rsidRPr="003E0254">
        <w:t xml:space="preserve"> is directly bond</w:t>
      </w:r>
      <w:r w:rsidR="00A6715D" w:rsidRPr="003E0254">
        <w:t>ed</w:t>
      </w:r>
      <w:r w:rsidRPr="003E0254">
        <w:t xml:space="preserve"> to the nitrogen atoms of the CN complex, while M</w:t>
      </w:r>
      <w:r w:rsidRPr="003E0254">
        <w:rPr>
          <w:vertAlign w:val="subscript"/>
        </w:rPr>
        <w:t>2</w:t>
      </w:r>
      <w:r w:rsidRPr="003E0254">
        <w:t xml:space="preserve"> </w:t>
      </w:r>
      <w:r w:rsidR="00250588" w:rsidRPr="003E0254">
        <w:t xml:space="preserve">is </w:t>
      </w:r>
      <w:r w:rsidRPr="003E0254">
        <w:t>directly bo</w:t>
      </w:r>
      <w:r w:rsidR="00250588" w:rsidRPr="003E0254">
        <w:t>u</w:t>
      </w:r>
      <w:r w:rsidRPr="003E0254">
        <w:t xml:space="preserve">nd to the carbon atoms of the CN complex. Their local chemical environment, oxidation state and stoichiometric ratio largely determine </w:t>
      </w:r>
      <w:r w:rsidR="00250588" w:rsidRPr="003E0254">
        <w:t xml:space="preserve">the </w:t>
      </w:r>
      <w:r w:rsidRPr="003E0254">
        <w:t>electrochemical potential of the material and allow a great extent of flexibility in tuning the materials properties.</w:t>
      </w:r>
      <w:r w:rsidR="005C57F4" w:rsidRPr="003E0254">
        <w:fldChar w:fldCharType="begin" w:fldLock="1"/>
      </w:r>
      <w:r w:rsidR="00500B8D" w:rsidRPr="003E0254">
        <w:instrText>ADDIN CSL_CITATION {"citationItems":[{"id":"ITEM-1","itemData":{"DOI":"10.1016/J.JOULE.2018.07.017","ISSN":"2542-4351","abstract":"Prussian blue analogs have significant promise as active materials for the next generation of battery electrodes with improved cycle life and rate capability. Their useful electrochemical properties include two independent redox centers per unit cell; a nanoporous, open framework for rapid ion conduction; high stability during ion (de)insertion; and structural and electrochemical tunability for diverse applications. Here we share insights into how control of the five main crystallographic features (two transition-metal ions, the inserting ion, defects, and water) imparts control over the ion-insertion reaction. We then identify five key opportunities to expand our understanding of these materials, including the role of water in their ion conduction, modeling, synthesis methods, use as anode materials, and technoeconomics. Further research in these areas will accelerate the development of new, high-performing battery electrodes. In this work, we offer our perspective on a class of compounds known as Prussian blue analogs, a group of versatile cyano-coordination polymers. Originally commercialized in the dye industry, they have more recently been used in diverse energy technologies including energy storage, electrocatalysis, and thermal power generation. We address their role as components of the next generation of batteries with improved cycle life and power capability. Through a review of achievements from early electrochemical experiments to crystallographic breakthroughs to development of state-of-the-art electrodes, we outline how control over the crystal structure allows these materials’ electrochemistry to be tuned for diverse uses. Despite recent advances, there remain conspicuous and fundamental questions about the structure-electrochemistry relationship that we identify. We adumbrate investigations using density functional theory calculations, synchrotron X-ray techniques, electrochemical tests, and technoeconomic analyses to answer these questions. Batteries are a form of electrochemical energy storage that allows electrical energy to be stored and transported. Prussian blue analogs (PBAs) are a family of materials that can enable the next generation of batteries with higher rate capability and longer cycle lives. Furthermore, controlling the chemical composition of these materials allows their crystal structure and electrochemistry to be tuned to target specific battery applications. We also identify critical research fronts in PBA science.","author":[{"dropping-particle":"","family":"Hurlbutt","given":"Kevin","non-dropping-particle":"","parse-names":false,"suffix":""},{"dropping-particle":"","family":"Wheeler","given":"Samuel","non-dropping-particle":"","parse-names":false,"suffix":""},{"dropping-particle":"","family":"Capone","given":"Isaac","non-dropping-particle":"","parse-names":false,"suffix":""},{"dropping-particle":"","family":"Pasta","given":"Mauro","non-dropping-particle":"","parse-names":false,"suffix":""}],"container-title":"Joule","id":"ITEM-1","issue":"10","issued":{"date-parts":[["2018","10","17"]]},"page":"1950-1960","publisher":"Cell Press","title":"Prussian Blue Analogs as Battery Materials","type":"article-journal","volume":"2"},"uris":["http://www.mendeley.com/documents/?uuid=b379ec87-d8f9-3563-a5a9-0bea8b00c609"]}],"mendeley":{"formattedCitation":"&lt;sup&gt;[153]&lt;/sup&gt;","plainTextFormattedCitation":"[153]","previouslyFormattedCitation":"&lt;sup&gt;[152]&lt;/sup&gt;"},"properties":{"noteIndex":0},"schema":"https://github.com/citation-style-language/schema/raw/master/csl-citation.json"}</w:instrText>
      </w:r>
      <w:r w:rsidR="005C57F4" w:rsidRPr="003E0254">
        <w:fldChar w:fldCharType="separate"/>
      </w:r>
      <w:r w:rsidR="00500B8D" w:rsidRPr="003E0254">
        <w:rPr>
          <w:noProof/>
          <w:vertAlign w:val="superscript"/>
        </w:rPr>
        <w:t>[153]</w:t>
      </w:r>
      <w:r w:rsidR="005C57F4" w:rsidRPr="003E0254">
        <w:fldChar w:fldCharType="end"/>
      </w:r>
      <w:r w:rsidRPr="003E0254">
        <w:t xml:space="preserve">  </w:t>
      </w:r>
    </w:p>
    <w:p w14:paraId="5CE804E1" w14:textId="7C1E2C43" w:rsidR="00C60055" w:rsidRPr="003E0254" w:rsidRDefault="00C60055" w:rsidP="00C60055">
      <w:pPr>
        <w:spacing w:line="276" w:lineRule="auto"/>
        <w:jc w:val="both"/>
      </w:pPr>
      <w:r w:rsidRPr="003E0254">
        <w:t>PBAs are very well known as innovative and low-cost cathode materials for lithium- and sodium-ion batteries.</w:t>
      </w:r>
      <w:r w:rsidR="005C57F4" w:rsidRPr="003E0254">
        <w:fldChar w:fldCharType="begin" w:fldLock="1"/>
      </w:r>
      <w:r w:rsidR="00500B8D" w:rsidRPr="003E0254">
        <w:instrText>ADDIN CSL_CITATION {"citationItems":[{"id":"ITEM-1","itemData":{"DOI":"10.1016/J.JOULE.2018.07.017","ISSN":"2542-4351","abstract":"Prussian blue analogs have significant promise as active materials for the next generation of battery electrodes with improved cycle life and rate capability. Their useful electrochemical properties include two independent redox centers per unit cell; a nanoporous, open framework for rapid ion conduction; high stability during ion (de)insertion; and structural and electrochemical tunability for diverse applications. Here we share insights into how control of the five main crystallographic features (two transition-metal ions, the inserting ion, defects, and water) imparts control over the ion-insertion reaction. We then identify five key opportunities to expand our understanding of these materials, including the role of water in their ion conduction, modeling, synthesis methods, use as anode materials, and technoeconomics. Further research in these areas will accelerate the development of new, high-performing battery electrodes. In this work, we offer our perspective on a class of compounds known as Prussian blue analogs, a group of versatile cyano-coordination polymers. Originally commercialized in the dye industry, they have more recently been used in diverse energy technologies including energy storage, electrocatalysis, and thermal power generation. We address their role as components of the next generation of batteries with improved cycle life and power capability. Through a review of achievements from early electrochemical experiments to crystallographic breakthroughs to development of state-of-the-art electrodes, we outline how control over the crystal structure allows these materials’ electrochemistry to be tuned for diverse uses. Despite recent advances, there remain conspicuous and fundamental questions about the structure-electrochemistry relationship that we identify. We adumbrate investigations using density functional theory calculations, synchrotron X-ray techniques, electrochemical tests, and technoeconomic analyses to answer these questions. Batteries are a form of electrochemical energy storage that allows electrical energy to be stored and transported. Prussian blue analogs (PBAs) are a family of materials that can enable the next generation of batteries with higher rate capability and longer cycle lives. Furthermore, controlling the chemical composition of these materials allows their crystal structure and electrochemistry to be tuned to target specific battery applications. We also identify critical research fronts in PBA science.","author":[{"dropping-particle":"","family":"Hurlbutt","given":"Kevin","non-dropping-particle":"","parse-names":false,"suffix":""},{"dropping-particle":"","family":"Wheeler","given":"Samuel","non-dropping-particle":"","parse-names":false,"suffix":""},{"dropping-particle":"","family":"Capone","given":"Isaac","non-dropping-particle":"","parse-names":false,"suffix":""},{"dropping-particle":"","family":"Pasta","given":"Mauro","non-dropping-particle":"","parse-names":false,"suffix":""}],"container-title":"Joule","id":"ITEM-1","issue":"10","issued":{"date-parts":[["2018","10","17"]]},"page":"1950-1960","publisher":"Cell Press","title":"Prussian Blue Analogs as Battery Materials","type":"article-journal","volume":"2"},"uris":["http://www.mendeley.com/documents/?uuid=b379ec87-d8f9-3563-a5a9-0bea8b00c609"]}],"mendeley":{"formattedCitation":"&lt;sup&gt;[153]&lt;/sup&gt;","plainTextFormattedCitation":"[153]","previouslyFormattedCitation":"&lt;sup&gt;[152]&lt;/sup&gt;"},"properties":{"noteIndex":0},"schema":"https://github.com/citation-style-language/schema/raw/master/csl-citation.json"}</w:instrText>
      </w:r>
      <w:r w:rsidR="005C57F4" w:rsidRPr="003E0254">
        <w:fldChar w:fldCharType="separate"/>
      </w:r>
      <w:r w:rsidR="00500B8D" w:rsidRPr="003E0254">
        <w:rPr>
          <w:noProof/>
          <w:vertAlign w:val="superscript"/>
        </w:rPr>
        <w:t>[153]</w:t>
      </w:r>
      <w:r w:rsidR="005C57F4" w:rsidRPr="003E0254">
        <w:fldChar w:fldCharType="end"/>
      </w:r>
      <w:r w:rsidRPr="003E0254">
        <w:t xml:space="preserve"> </w:t>
      </w:r>
      <w:r w:rsidR="00682078" w:rsidRPr="003E0254">
        <w:t>While the redox behavior of PBAs in the presence of Zn</w:t>
      </w:r>
      <w:r w:rsidR="00682078" w:rsidRPr="003E0254">
        <w:rPr>
          <w:vertAlign w:val="superscript"/>
        </w:rPr>
        <w:t>2+</w:t>
      </w:r>
      <w:r w:rsidR="00682078" w:rsidRPr="003E0254">
        <w:t xml:space="preserve"> have been explored already in </w:t>
      </w:r>
      <w:r w:rsidR="00A6715D" w:rsidRPr="003E0254">
        <w:t xml:space="preserve">the year </w:t>
      </w:r>
      <w:r w:rsidR="00682078" w:rsidRPr="003E0254">
        <w:t>2000,</w:t>
      </w:r>
      <w:r w:rsidR="00682078" w:rsidRPr="003E0254">
        <w:fldChar w:fldCharType="begin" w:fldLock="1"/>
      </w:r>
      <w:r w:rsidR="00500B8D" w:rsidRPr="003E0254">
        <w:instrText>ADDIN CSL_CITATION {"citationItems":[{"id":"ITEM-1","itemData":{"DOI":"10.1016/S0378-7753(00)00475-4","ISSN":"0378-7753","abstract":"Solid state secondary cells were constructed with Prussian blue (PB), i.e. iron (III) hexacyanoferrate (II) as the active material for cathodes and zinc (II) hexacyanoferrate (III) (Zn hcf) and copper (II) hexacyanoferrate (III) (Cu hcf) as the active materials for anodes. The metal hexacyanoferrates were mixed with graphite powder, potassium chloride and dilute hydrochloric acid to form a thick paste. A Nafion membrane was used as separator transporting protons only. Charge-discharge studies were carried out using galvanostatic method and double step chronopotentiometric method. The cell voltage at half-discharge for Znhcf/PB cell varied from 0.6 to 0.8 V depending on the discharge rate. For the Cu hcf/PB cell, the cell voltage at half-discharge was 0.87 V for a precycled cell and it dropped to 0.75 V after 100 cycles. The practical capacity of the Zn hcf/PB cell (12 A h/kg) was higher than that of the Cu hcf/PB cell (5 A h/kg), however, the recycling efficiency of the latter was far better than that of the former. Open-circuit voltage decay and recovery transients were recorded for both cells and analysed.","author":[{"dropping-particle":"","family":"Jayalakshmi","given":"M.","non-dropping-particle":"","parse-names":false,"suffix":""},{"dropping-particle":"","family":"Scholz","given":"F.","non-dropping-particle":"","parse-names":false,"suffix":""}],"container-title":"Journal of Power Sources","id":"ITEM-1","issue":"2","issued":{"date-parts":[["2000","12","1"]]},"page":"217-223","publisher":"Elsevier","title":"Performance characteristics of zinc hexacyanoferrate/Prussian blue and copper hexacyanoferrate/Prussian blue solid state secondary cells","type":"article-journal","volume":"91"},"uris":["http://www.mendeley.com/documents/?uuid=f6bc9917-a936-31de-904d-37980c98da96"]}],"mendeley":{"formattedCitation":"&lt;sup&gt;[155]&lt;/sup&gt;","plainTextFormattedCitation":"[155]","previouslyFormattedCitation":"&lt;sup&gt;[154]&lt;/sup&gt;"},"properties":{"noteIndex":0},"schema":"https://github.com/citation-style-language/schema/raw/master/csl-citation.json"}</w:instrText>
      </w:r>
      <w:r w:rsidR="00682078" w:rsidRPr="003E0254">
        <w:fldChar w:fldCharType="separate"/>
      </w:r>
      <w:r w:rsidR="00500B8D" w:rsidRPr="003E0254">
        <w:rPr>
          <w:noProof/>
          <w:vertAlign w:val="superscript"/>
        </w:rPr>
        <w:t>[155]</w:t>
      </w:r>
      <w:r w:rsidR="00682078" w:rsidRPr="003E0254">
        <w:fldChar w:fldCharType="end"/>
      </w:r>
      <w:r w:rsidR="00682078" w:rsidRPr="003E0254">
        <w:t xml:space="preserve"> t</w:t>
      </w:r>
      <w:r w:rsidRPr="003E0254">
        <w:t>heir utilization as cathodes for Zn-ion batteries is a rather new research field that has been explored for about a decade now, yet they have emerged</w:t>
      </w:r>
      <w:r w:rsidR="00250588" w:rsidRPr="003E0254">
        <w:t xml:space="preserve"> as</w:t>
      </w:r>
      <w:r w:rsidRPr="003E0254">
        <w:t xml:space="preserve"> the most intensively studied material within the class of non-oxidic cathodes for </w:t>
      </w:r>
      <w:r w:rsidR="00EF1735" w:rsidRPr="003E0254">
        <w:t>ZMB</w:t>
      </w:r>
      <w:r w:rsidRPr="003E0254">
        <w:t>s.</w:t>
      </w:r>
      <w:r w:rsidR="005C57F4" w:rsidRPr="003E0254">
        <w:fldChar w:fldCharType="begin" w:fldLock="1"/>
      </w:r>
      <w:r w:rsidR="000F0B1D" w:rsidRPr="003E0254">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005C57F4" w:rsidRPr="003E0254">
        <w:fldChar w:fldCharType="separate"/>
      </w:r>
      <w:r w:rsidR="000F0B1D" w:rsidRPr="003E0254">
        <w:rPr>
          <w:noProof/>
          <w:vertAlign w:val="superscript"/>
        </w:rPr>
        <w:t>[43]</w:t>
      </w:r>
      <w:r w:rsidR="005C57F4" w:rsidRPr="003E0254">
        <w:fldChar w:fldCharType="end"/>
      </w:r>
      <w:r w:rsidRPr="003E0254">
        <w:t xml:space="preserve"> Among them are PBAs with M = Cu and Fe that can accommodate Zn</w:t>
      </w:r>
      <w:r w:rsidRPr="003E0254">
        <w:rPr>
          <w:vertAlign w:val="superscript"/>
        </w:rPr>
        <w:t>2+</w:t>
      </w:r>
      <w:r w:rsidRPr="003E0254">
        <w:t xml:space="preserve"> ions at interstitial sites and offer </w:t>
      </w:r>
      <w:r w:rsidR="000D0BA2" w:rsidRPr="003E0254">
        <w:t>a reversible Zn</w:t>
      </w:r>
      <w:r w:rsidR="000D0BA2" w:rsidRPr="003E0254">
        <w:rPr>
          <w:vertAlign w:val="superscript"/>
        </w:rPr>
        <w:t>2+</w:t>
      </w:r>
      <w:r w:rsidR="000D0BA2" w:rsidRPr="003E0254">
        <w:t xml:space="preserve"> intercalation and deintercalation through the redox reactions of Fe</w:t>
      </w:r>
      <w:r w:rsidR="000D0BA2" w:rsidRPr="003E0254">
        <w:rPr>
          <w:vertAlign w:val="superscript"/>
        </w:rPr>
        <w:t>3+</w:t>
      </w:r>
      <w:r w:rsidR="004B5EA1" w:rsidRPr="003E0254">
        <w:rPr>
          <w:vertAlign w:val="superscript"/>
        </w:rPr>
        <w:sym w:font="Symbol" w:char="F07C"/>
      </w:r>
      <w:r w:rsidR="000D0BA2" w:rsidRPr="003E0254">
        <w:rPr>
          <w:vertAlign w:val="superscript"/>
        </w:rPr>
        <w:t>2+</w:t>
      </w:r>
      <w:r w:rsidR="000D0BA2" w:rsidRPr="003E0254">
        <w:t xml:space="preserve"> and Cu</w:t>
      </w:r>
      <w:r w:rsidR="000D0BA2" w:rsidRPr="003E0254">
        <w:rPr>
          <w:vertAlign w:val="superscript"/>
        </w:rPr>
        <w:t>3+</w:t>
      </w:r>
      <w:r w:rsidR="004B5EA1" w:rsidRPr="003E0254">
        <w:rPr>
          <w:vertAlign w:val="superscript"/>
        </w:rPr>
        <w:sym w:font="Symbol" w:char="F07C"/>
      </w:r>
      <w:r w:rsidR="000D0BA2" w:rsidRPr="003E0254">
        <w:rPr>
          <w:vertAlign w:val="superscript"/>
        </w:rPr>
        <w:t>2+</w:t>
      </w:r>
      <w:r w:rsidR="000D0BA2" w:rsidRPr="003E0254">
        <w:t xml:space="preserve"> at 1.1 and 1.73 V, respectively</w:t>
      </w:r>
      <w:r w:rsidRPr="003E0254">
        <w:t>.</w:t>
      </w:r>
      <w:r w:rsidR="005C57F4" w:rsidRPr="003E0254">
        <w:fldChar w:fldCharType="begin" w:fldLock="1"/>
      </w:r>
      <w:r w:rsidR="00500B8D" w:rsidRPr="003E0254">
        <w:instrText>ADDIN CSL_CITATION {"citationItems":[{"id":"ITEM-1","itemData":{"DOI":"10.1039/D3TA06641J","ISSN":"2050-7496","abstract":"Aqueous zinc-ion batteries (AZIBs) have garnered significant attention for large-scale applications due to their low cost, safety, and eco-friendliness. Among all cathode materials, Prussian blue and its analogues (PBAs) have garnered significant attention and been subjected to extensive research due to their diverse property-effectiveness, simple synthesis process, reversible Zn2+ insertion/removal capability, and other notable characteristics. However, numerous studies have revealed that the utilization of PBAs as a cathode material in AZIBs still presents certain challenges, including limited energy density and prolonged structural instability during cycling. In light of the aforementioned opportunities and challenges for PBAs, we conducted a comprehensive literature review encompassing synthesis, analysis of energy storage mechanisms, enhancement of electrolyte–electrode interfaces, and battery applications. The objective of this review is to encourage active engagement from researchers interested in AZIBs and PBA cathode materials, thereby fostering research and industrialization efforts that collectively contribute towards the advancement of safe and environmentally friendly energy storage.","author":[{"dropping-particle":"","family":"Liu","given":"Jiayi","non-dropping-particle":"","parse-names":false,"suffix":""},{"dropping-particle":"","family":"Shen","given":"Zhongrong","non-dropping-particle":"","parse-names":false,"suffix":""},{"dropping-particle":"","family":"Lu","given":"Can Zhong","non-dropping-particle":"","parse-names":false,"suffix":""}],"container-title":"Journal of Materials Chemistry A","id":"ITEM-1","issue":"5","issued":{"date-parts":[["2024","1","30"]]},"page":"2647-2672","publisher":"The Royal Society of Chemistry","title":"Research progress of Prussian blue and its analogues for cathodes of aqueous zinc ion batteries","type":"article-journal","volume":"12"},"uris":["http://www.mendeley.com/documents/?uuid=1a95d2de-d4c7-34d6-b85f-651391a561e9"]},{"id":"ITEM-2","itemData":{"DOI":"10.1002/ADMA.201901521","ISSN":"1521-4095","PMID":"31192499","abstract":"Prussian blue analogue (PBA)-type metal hexacyanoferrates are considered as significant cathodes for zinc batteries (ZBs). However, these PBA-type cathodes, such as cyanogroup iron hexacyanoferrate (FeHCF), suffer from ephemeral lifespan (≤1000 cycles), and inferior rate capability (1 A g−1). This is because the redox active sites of multivalent iron (Fe(III/II)) can only be very limited activated and thus utilized. This is attributed to the spatial resistance caused by the compact cooperation interaction between Fe and the surrounded cyanogroup, and the inferior conductivity. Here, it is found that high-voltage scanning can effectively activate the C-coordinated Fe in FeHCF cathode in ZBs. Thanks to this activation, the Zn–FeHCF hybrid-ion battery achieves a record-breaking cycling performance of 5000 (82% capacity retention) and 10 000 cycles (73% capacity retention), respectively, together with a superior rate capability of maintaining 53.2% capacity at superhigh current density of 8 A g−1 (≈97 C). The reversible distortion and recovery of the crystalline structure caused by the (de)insertion of zinc and lithium ions is revealed. It is believed that this work represents a substantial advance on PBA electrode materials and may essentially promote application of PBA materials.","author":[{"dropping-particle":"","family":"Yang","given":"Qi","non-dropping-particle":"","parse-names":false,"suffix":""},{"dropping-particle":"","family":"Mo","given":"Funian","non-dropping-particle":"","parse-names":false,"suffix":""},{"dropping-particle":"","family":"Liu","given":"Zhuoxin","non-dropping-particle":"","parse-names":false,"suffix":""},{"dropping-particle":"","family":"Ma","given":"Longtao","non-dropping-particle":"","parse-names":false,"suffix":""},{"dropping-particle":"","family":"Li","given":"Xinliang","non-dropping-particle":"","parse-names":false,"suffix":""},{"dropping-particle":"","family":"Fang","given":"Daliang","non-dropping-particle":"","parse-names":false,"suffix":""},{"dropping-particle":"","family":"Chen","given":"Shimou","non-dropping-particle":"","parse-names":false,"suffix":""},{"dropping-particle":"","family":"Zhang","given":"Suojiang","non-dropping-particle":"","parse-names":false,"suffix":""},{"dropping-particle":"","family":"Zhi","given":"Chunyi","non-dropping-particle":"","parse-names":false,"suffix":""}],"container-title":"Advanced Materials","id":"ITEM-2","issue":"32","issued":{"date-parts":[["2019","8","1"]]},"page":"1901521","publisher":"John Wiley &amp; Sons, Ltd","title":"Activating C-Coordinated Iron of Iron Hexacyanoferrate for Zn Hybrid-Ion Batteries with 10 000-Cycle Lifespan and Superior Rate Capability","type":"article-journal","volume":"31"},"uris":["http://www.mendeley.com/documents/?uuid=5720cfaf-5615-359f-9f77-44643593bf4d"]}],"mendeley":{"formattedCitation":"&lt;sup&gt;[67,156]&lt;/sup&gt;","plainTextFormattedCitation":"[67,156]","previouslyFormattedCitation":"&lt;sup&gt;[66,155]&lt;/sup&gt;"},"properties":{"noteIndex":0},"schema":"https://github.com/citation-style-language/schema/raw/master/csl-citation.json"}</w:instrText>
      </w:r>
      <w:r w:rsidR="005C57F4" w:rsidRPr="003E0254">
        <w:fldChar w:fldCharType="separate"/>
      </w:r>
      <w:r w:rsidR="00500B8D" w:rsidRPr="003E0254">
        <w:rPr>
          <w:noProof/>
          <w:vertAlign w:val="superscript"/>
        </w:rPr>
        <w:t>[67,156]</w:t>
      </w:r>
      <w:r w:rsidR="005C57F4" w:rsidRPr="003E0254">
        <w:fldChar w:fldCharType="end"/>
      </w:r>
      <w:r w:rsidRPr="003E0254">
        <w:t xml:space="preserve"> However, the achieved capacities with 60-80 </w:t>
      </w:r>
      <w:proofErr w:type="spellStart"/>
      <w:r w:rsidRPr="003E0254">
        <w:t>mAh</w:t>
      </w:r>
      <w:proofErr w:type="spellEnd"/>
      <w:r w:rsidR="00D73229" w:rsidRPr="003E0254">
        <w:t> </w:t>
      </w:r>
      <w:r w:rsidRPr="003E0254">
        <w:t>g</w:t>
      </w:r>
      <w:r w:rsidR="00D73229" w:rsidRPr="003E0254">
        <w:rPr>
          <w:vertAlign w:val="superscript"/>
        </w:rPr>
        <w:t>-1</w:t>
      </w:r>
      <w:r w:rsidRPr="003E0254">
        <w:t xml:space="preserve"> remain very low due to limited utilization of redox active sites and restrictions in available Zn</w:t>
      </w:r>
      <w:r w:rsidRPr="003E0254">
        <w:rPr>
          <w:vertAlign w:val="superscript"/>
        </w:rPr>
        <w:t>2+</w:t>
      </w:r>
      <w:r w:rsidRPr="003E0254">
        <w:t xml:space="preserve"> sites. </w:t>
      </w:r>
      <w:r w:rsidR="00250588" w:rsidRPr="003E0254">
        <w:t>Moreover</w:t>
      </w:r>
      <w:r w:rsidRPr="003E0254">
        <w:t xml:space="preserve">, they undergo irreversible phase transformations during cycling which leads to a </w:t>
      </w:r>
      <w:r w:rsidR="00250588" w:rsidRPr="003E0254">
        <w:t>rapid</w:t>
      </w:r>
      <w:r w:rsidRPr="003E0254">
        <w:t xml:space="preserve"> capacity fade.</w:t>
      </w:r>
      <w:r w:rsidR="005C57F4" w:rsidRPr="003E0254">
        <w:fldChar w:fldCharType="begin" w:fldLock="1"/>
      </w:r>
      <w:r w:rsidR="00500B8D" w:rsidRPr="003E0254">
        <w:instrText>ADDIN CSL_CITATION {"citationItems":[{"id":"ITEM-1","itemData":{"DOI":"10.1039/D3TA06641J","ISSN":"2050-7496","abstract":"Aqueous zinc-ion batteries (AZIBs) have garnered significant attention for large-scale applications due to their low cost, safety, and eco-friendliness. Among all cathode materials, Prussian blue and its analogues (PBAs) have garnered significant attention and been subjected to extensive research due to their diverse property-effectiveness, simple synthesis process, reversible Zn2+ insertion/removal capability, and other notable characteristics. However, numerous studies have revealed that the utilization of PBAs as a cathode material in AZIBs still presents certain challenges, including limited energy density and prolonged structural instability during cycling. In light of the aforementioned opportunities and challenges for PBAs, we conducted a comprehensive literature review encompassing synthesis, analysis of energy storage mechanisms, enhancement of electrolyte–electrode interfaces, and battery applications. The objective of this review is to encourage active engagement from researchers interested in AZIBs and PBA cathode materials, thereby fostering research and industrialization efforts that collectively contribute towards the advancement of safe and environmentally friendly energy storage.","author":[{"dropping-particle":"","family":"Liu","given":"Jiayi","non-dropping-particle":"","parse-names":false,"suffix":""},{"dropping-particle":"","family":"Shen","given":"Zhongrong","non-dropping-particle":"","parse-names":false,"suffix":""},{"dropping-particle":"","family":"Lu","given":"Can Zhong","non-dropping-particle":"","parse-names":false,"suffix":""}],"container-title":"Journal of Materials Chemistry A","id":"ITEM-1","issue":"5","issued":{"date-parts":[["2024","1","30"]]},"page":"2647-2672","publisher":"The Royal Society of Chemistry","title":"Research progress of Prussian blue and its analogues for cathodes of aqueous zinc ion batteries","type":"article-journal","volume":"12"},"uris":["http://www.mendeley.com/documents/?uuid=1a95d2de-d4c7-34d6-b85f-651391a561e9"]}],"mendeley":{"formattedCitation":"&lt;sup&gt;[67]&lt;/sup&gt;","plainTextFormattedCitation":"[67]","previouslyFormattedCitation":"&lt;sup&gt;[66]&lt;/sup&gt;"},"properties":{"noteIndex":0},"schema":"https://github.com/citation-style-language/schema/raw/master/csl-citation.json"}</w:instrText>
      </w:r>
      <w:r w:rsidR="005C57F4" w:rsidRPr="003E0254">
        <w:fldChar w:fldCharType="separate"/>
      </w:r>
      <w:r w:rsidR="00500B8D" w:rsidRPr="003E0254">
        <w:rPr>
          <w:noProof/>
          <w:vertAlign w:val="superscript"/>
        </w:rPr>
        <w:t>[67]</w:t>
      </w:r>
      <w:r w:rsidR="005C57F4" w:rsidRPr="003E0254">
        <w:fldChar w:fldCharType="end"/>
      </w:r>
      <w:r w:rsidRPr="003E0254">
        <w:t xml:space="preserve"> On the other hand, Zn₃[Fe(CN)₆]₂·H₂O is a prominent example of a PBA achieving better cycling stabilities, due to structural modification. Here, the absence of alkali metal ions leads to the occupancy of A vacancies with Zn-ions. The material is less prone to undergo phase transitions during charge/discharge and maintains a higher structural integrity </w:t>
      </w:r>
      <w:r w:rsidR="00514F15" w:rsidRPr="003E0254">
        <w:t>–</w:t>
      </w:r>
      <w:r w:rsidRPr="003E0254">
        <w:t xml:space="preserve"> especially with carefully engineered particle morphologies</w:t>
      </w:r>
      <w:r w:rsidR="00D72F30" w:rsidRPr="003E0254">
        <w:fldChar w:fldCharType="begin" w:fldLock="1"/>
      </w:r>
      <w:r w:rsidR="00500B8D" w:rsidRPr="003E0254">
        <w:instrText>ADDIN CSL_CITATION {"citationItems":[{"id":"ITEM-1","itemData":{"DOI":"10.1038/srep18263","ISSN":"2045-2322","abstract":"Zinc hexacyanoferrate (ZnHCF) which is a dimorphic (cubic or rhombohedral) Prussian blue analogue and can be intercalated by both monovalent and divalent ions,is a promising cathode material for rechargeable aqueous metal-ion batteries.In this paper, a simple co-precipitation method is developed to tune the particle morphology of ZnHCF by adjusting the dropping speed at room temperature. Three polyhedral ZnHCF particles, with cubooctahedral, truncated octahedral or octahedral shapes, are obtained at room temperature. Structural transformation from cubic phase of as-prepared ZnHCF to rhombohedral phase is observed by further dehydration of the sample at 70</w:instrText>
      </w:r>
      <w:r w:rsidR="00500B8D" w:rsidRPr="003E0254">
        <w:rPr>
          <w:rFonts w:ascii="Arial" w:hAnsi="Arial" w:cs="Arial"/>
        </w:rPr>
        <w:instrText> </w:instrText>
      </w:r>
      <w:r w:rsidR="00500B8D" w:rsidRPr="003E0254">
        <w:rPr>
          <w:rFonts w:ascii="Aptos" w:hAnsi="Aptos" w:cs="Aptos"/>
        </w:rPr>
        <w:instrText>°</w:instrText>
      </w:r>
      <w:r w:rsidR="00500B8D" w:rsidRPr="003E0254">
        <w:instrText>C, whereas the dehydrated ZnHCF crystals still hold the identical polyhedral shape as that of the cubic phase particles. Then the influence of shape and facets on electrochemical performance is studied for polyhedral ZnHCF with rhombohedral structure (RZnHCF). RZnHCF sample with cubooctahedral shape possesses the best rate capability and cyclic stability comparing with RZnHCF particles having truncated octahedral or octahedral shapes. Furthermore, the structure of cuboctahedron RZnHCF particles during electrochemical cycling has been monitored with ex situ X-ray diffraction to demonstrate the reversible zinc-ion intercalation mechanism.","author":[{"dropping-particle":"","family":"Zhang","given":"Leyuan","non-dropping-particle":"","parse-names":false,"suffix":""},{"dropping-particle":"","family":"Chen","given":"Liang","non-dropping-particle":"","parse-names":false,"suffix":""},{"dropping-particle":"","family":"Zhou","given":"Xufeng","non-dropping-particle":"","parse-names":false,"suffix":""},{"dropping-particle":"","family":"Liu","given":"Zhaoping","non-dropping-particle":"","parse-names":false,"suffix":""}],"container-title":"Scientific Reports 2015 5:1","id":"ITEM-1","issue":"1","issued":{"date-parts":[["2015","12","16"]]},"page":"1-11","publisher":"Nature Publishing Group","title":"Morphology-Dependent Electrochemical Performance of Zinc Hexacyanoferrate Cathode for Zinc-Ion Battery","type":"article-journal","volume":"5"},"uris":["http://www.mendeley.com/documents/?uuid=9abd08ab-753d-3909-91a7-c2c9c13fb73e"]}],"mendeley":{"formattedCitation":"&lt;sup&gt;[157]&lt;/sup&gt;","plainTextFormattedCitation":"[157]","previouslyFormattedCitation":"&lt;sup&gt;[156]&lt;/sup&gt;"},"properties":{"noteIndex":0},"schema":"https://github.com/citation-style-language/schema/raw/master/csl-citation.json"}</w:instrText>
      </w:r>
      <w:r w:rsidR="00D72F30" w:rsidRPr="003E0254">
        <w:fldChar w:fldCharType="separate"/>
      </w:r>
      <w:r w:rsidR="00500B8D" w:rsidRPr="003E0254">
        <w:rPr>
          <w:noProof/>
          <w:vertAlign w:val="superscript"/>
        </w:rPr>
        <w:t>[157]</w:t>
      </w:r>
      <w:r w:rsidR="00D72F30" w:rsidRPr="003E0254">
        <w:fldChar w:fldCharType="end"/>
      </w:r>
      <w:r w:rsidR="00514F15" w:rsidRPr="003E0254">
        <w:t>, activation of low spin Fe,</w:t>
      </w:r>
      <w:r w:rsidR="00514F15" w:rsidRPr="003E0254">
        <w:fldChar w:fldCharType="begin" w:fldLock="1"/>
      </w:r>
      <w:r w:rsidR="00500B8D" w:rsidRPr="003E0254">
        <w:instrText>ADDIN CSL_CITATION {"citationItems":[{"id":"ITEM-1","itemData":{"DOI":"10.1002/ADMA.201901521","ISSN":"1521-4095","PMID":"31192499","abstract":"Prussian blue analogue (PBA)-type metal hexacyanoferrates are considered as significant cathodes for zinc batteries (ZBs). However, these PBA-type cathodes, such as cyanogroup iron hexacyanoferrate (FeHCF), suffer from ephemeral lifespan (≤1000 cycles), and inferior rate capability (1 A g−1). This is because the redox active sites of multivalent iron (Fe(III/II)) can only be very limited activated and thus utilized. This is attributed to the spatial resistance caused by the compact cooperation interaction between Fe and the surrounded cyanogroup, and the inferior conductivity. Here, it is found that high-voltage scanning can effectively activate the C-coordinated Fe in FeHCF cathode in ZBs. Thanks to this activation, the Zn–FeHCF hybrid-ion battery achieves a record-breaking cycling performance of 5000 (82% capacity retention) and 10 000 cycles (73% capacity retention), respectively, together with a superior rate capability of maintaining 53.2% capacity at superhigh current density of 8 A g−1 (≈97 C). The reversible distortion and recovery of the crystalline structure caused by the (de)insertion of zinc and lithium ions is revealed. It is believed that this work represents a substantial advance on PBA electrode materials and may essentially promote application of PBA materials.","author":[{"dropping-particle":"","family":"Yang","given":"Qi","non-dropping-particle":"","parse-names":false,"suffix":""},{"dropping-particle":"","family":"Mo","given":"Funian","non-dropping-particle":"","parse-names":false,"suffix":""},{"dropping-particle":"","family":"Liu","given":"Zhuoxin","non-dropping-particle":"","parse-names":false,"suffix":""},{"dropping-particle":"","family":"Ma","given":"Longtao","non-dropping-particle":"","parse-names":false,"suffix":""},{"dropping-particle":"","family":"Li","given":"Xinliang","non-dropping-particle":"","parse-names":false,"suffix":""},{"dropping-particle":"","family":"Fang","given":"Daliang","non-dropping-particle":"","parse-names":false,"suffix":""},{"dropping-particle":"","family":"Chen","given":"Shimou","non-dropping-particle":"","parse-names":false,"suffix":""},{"dropping-particle":"","family":"Zhang","given":"Suojiang","non-dropping-particle":"","parse-names":false,"suffix":""},{"dropping-particle":"","family":"Zhi","given":"Chunyi","non-dropping-particle":"","parse-names":false,"suffix":""}],"container-title":"Advanced Materials","id":"ITEM-1","issue":"32","issued":{"date-parts":[["2019","8","1"]]},"page":"1901521","publisher":"John Wiley &amp; Sons, Ltd","title":"Activating C-Coordinated Iron of Iron Hexacyanoferrate for Zn Hybrid-Ion Batteries with 10 000-Cycle Lifespan and Superior Rate Capability","type":"article-journal","volume":"31"},"uris":["http://www.mendeley.com/documents/?uuid=5720cfaf-5615-359f-9f77-44643593bf4d"]}],"mendeley":{"formattedCitation":"&lt;sup&gt;[156]&lt;/sup&gt;","plainTextFormattedCitation":"[156]","previouslyFormattedCitation":"&lt;sup&gt;[155]&lt;/sup&gt;"},"properties":{"noteIndex":0},"schema":"https://github.com/citation-style-language/schema/raw/master/csl-citation.json"}</w:instrText>
      </w:r>
      <w:r w:rsidR="00514F15" w:rsidRPr="003E0254">
        <w:fldChar w:fldCharType="separate"/>
      </w:r>
      <w:r w:rsidR="00500B8D" w:rsidRPr="003E0254">
        <w:rPr>
          <w:noProof/>
          <w:vertAlign w:val="superscript"/>
        </w:rPr>
        <w:t>[156]</w:t>
      </w:r>
      <w:r w:rsidR="00514F15" w:rsidRPr="003E0254">
        <w:fldChar w:fldCharType="end"/>
      </w:r>
      <w:r w:rsidR="00514F15" w:rsidRPr="003E0254">
        <w:t xml:space="preserve"> </w:t>
      </w:r>
      <w:r w:rsidRPr="003E0254">
        <w:t>or subtly modified aqueous electrolytes</w:t>
      </w:r>
      <w:r w:rsidR="00D72F30" w:rsidRPr="003E0254">
        <w:t>.</w:t>
      </w:r>
      <w:r w:rsidR="00D72F30" w:rsidRPr="003E0254">
        <w:fldChar w:fldCharType="begin" w:fldLock="1"/>
      </w:r>
      <w:r w:rsidR="00500B8D" w:rsidRPr="003E0254">
        <w:instrText xml:space="preserve">ADDIN CSL_CITATION {"citationItems":[{"id":"ITEM-1","itemData":{"DOI":"10.1002/CSSC.202400713","ISSN":"1864-564X","abstract":"Exploring cathode materials with excellent electrochemical performance is crucial for developing rechargeable aqueous zinc ion batteries (RAZIBs). Zinc hexacyanoferrate (ZnHCF), a promising candidate of cathode materials for RAZIBs, suffers from severe electrochemical instability issues. This work reports using low contents of alkaline metal cations as electrolyte additives to improve the cycle performance of ZnHCF. The cations with large sizes, particularly Cs+, changes the intercalation chemistry of ZnHCF in RAZIBs. During cycling, Cs+ cations co-inserted into ZnHCF stabilize the host structure. Meanwhile, a stable phase of CsZn[Fe(CN)6] forms on the ZnHCF cathode, suppressing the loss of active materials through dissolution. ZnHCF gradually converts to an electrochemically inert Zn-rich phase during long-term cycling in aqueous electrolyte, leading to irreversible capacity loss. Introducing Cs+ in the electrolyte inhibits this conversion reaction, resulting in the extended lifespan. Owing to these advantages, the capacity retention rate of ZnHCF/Zn full batteries increases from the original 7.0 % to a high value of 54.6 % in the electrolyte containing 0.03 M of Cs2SO4 after 300 cycles at 0.25 A </w:instrText>
      </w:r>
      <w:r w:rsidR="00500B8D" w:rsidRPr="003E0254">
        <w:rPr>
          <w:rFonts w:ascii="Cambria Math" w:hAnsi="Cambria Math" w:cs="Cambria Math"/>
        </w:rPr>
        <w:instrText>⋅</w:instrText>
      </w:r>
      <w:r w:rsidR="00500B8D" w:rsidRPr="003E0254">
        <w:instrText xml:space="preserve"> g</w:instrText>
      </w:r>
      <w:r w:rsidR="00500B8D" w:rsidRPr="003E0254">
        <w:rPr>
          <w:rFonts w:ascii="Aptos" w:hAnsi="Aptos" w:cs="Aptos"/>
        </w:rPr>
        <w:instrText>−</w:instrText>
      </w:r>
      <w:r w:rsidR="00500B8D" w:rsidRPr="003E0254">
        <w:instrText>1. This research provides an in-depth understanding of the electrochemical behavior of ZnHCF in aqueous zinc electrolyte, beneficial for further optimizing ZnHCF and other metal hexacyanoferrates.","author":[{"dropping-particle":"","family":"Pan","given":"Zhiqiu","non-dropping-particle":"","parse-names":false,"suffix":""},{"dropping-particle":"","family":"Ni","given":"Gang","non-dropping-particle":"","parse-names":false,"suffix":""},{"dropping-particle":"","family":"Li","given":"Yi","non-dropping-particle":"","parse-names":false,"suffix":""},{"dropping-particle":"","family":"Shi","given":"Yinuo","non-dropping-particle":"","parse-names":false,"suffix":""},{"dropping-particle":"","family":"Zhu","given":"Fuxiang","non-dropping-particle":"","parse-names":false,"suffix":""},{"dropping-particle":"","family":"Cui","given":"Peng","non-dropping-particle":"","parse-names":false,"suffix":""},{"dropping-particle":"","family":"Zhou","given":"Chenggang","non-dropping-particle":"","parse-names":false,"suffix":""}],"container-title":"ChemSusChem","id":"ITEM-1","issue":"21","issued":{"date-parts":[["2024","11","11"]]},"page":"e202400713","publisher":"John Wiley &amp; Sons, Ltd","title":"Stabilizing Zinc Hexacyanoferrate Cathode by Low Contents of Cs Cations for Aqueous Zn-Ion Batteries","type":"article-journal","volume":"17"},"uris":["http://www.mendeley.com/documents/?uuid=ea0d1860-ac2e-349b-9862-b7960c341b35"]}],"mendeley":{"formattedCitation":"&lt;sup&gt;[158]&lt;/sup&gt;","plainTextFormattedCitation":"[158]","previouslyFormattedCitation":"&lt;sup&gt;[157]&lt;/sup&gt;"},"properties":{"noteIndex":0},"schema":"https://github.com/citation-style-language/schema/raw/master/csl-citation.json"}</w:instrText>
      </w:r>
      <w:r w:rsidR="00D72F30" w:rsidRPr="003E0254">
        <w:fldChar w:fldCharType="separate"/>
      </w:r>
      <w:r w:rsidR="00500B8D" w:rsidRPr="003E0254">
        <w:rPr>
          <w:noProof/>
          <w:vertAlign w:val="superscript"/>
        </w:rPr>
        <w:t>[158]</w:t>
      </w:r>
      <w:r w:rsidR="00D72F30" w:rsidRPr="003E0254">
        <w:fldChar w:fldCharType="end"/>
      </w:r>
      <w:r w:rsidRPr="003E0254">
        <w:t xml:space="preserve"> With operating at voltages around ~1.6 V, the Zn-based PBAs thus provide moderate energy outputs but are still constrained by a relatively low specific capacity (~60–100 </w:t>
      </w:r>
      <w:proofErr w:type="spellStart"/>
      <w:r w:rsidRPr="003E0254">
        <w:t>mAh</w:t>
      </w:r>
      <w:proofErr w:type="spellEnd"/>
      <w:r w:rsidRPr="003E0254">
        <w:t xml:space="preserve"> g</w:t>
      </w:r>
      <w:r w:rsidRPr="003E0254">
        <w:rPr>
          <w:vertAlign w:val="superscript"/>
        </w:rPr>
        <w:t>-1</w:t>
      </w:r>
      <w:r w:rsidRPr="003E0254">
        <w:t>), which limits their energy density compared to manganese and vanadium oxide-based cathodes.</w:t>
      </w:r>
      <w:r w:rsidR="00D72F30" w:rsidRPr="003E0254">
        <w:fldChar w:fldCharType="begin" w:fldLock="1"/>
      </w:r>
      <w:r w:rsidR="00500B8D" w:rsidRPr="003E0254">
        <w:instrText>ADDIN CSL_CITATION {"citationItems":[{"id":"ITEM-1","itemData":{"DOI":"10.1039/D3TA06641J","ISSN":"2050-7496","abstract":"Aqueous zinc-ion batteries (AZIBs) have garnered significant attention for large-scale applications due to their low cost, safety, and eco-friendliness. Among all cathode materials, Prussian blue and its analogues (PBAs) have garnered significant attention and been subjected to extensive research due to their diverse property-effectiveness, simple synthesis process, reversible Zn2+ insertion/removal capability, and other notable characteristics. However, numerous studies have revealed that the utilization of PBAs as a cathode material in AZIBs still presents certain challenges, including limited energy density and prolonged structural instability during cycling. In light of the aforementioned opportunities and challenges for PBAs, we conducted a comprehensive literature review encompassing synthesis, analysis of energy storage mechanisms, enhancement of electrolyte–electrode interfaces, and battery applications. The objective of this review is to encourage active engagement from researchers interested in AZIBs and PBA cathode materials, thereby fostering research and industrialization efforts that collectively contribute towards the advancement of safe and environmentally friendly energy storage.","author":[{"dropping-particle":"","family":"Liu","given":"Jiayi","non-dropping-particle":"","parse-names":false,"suffix":""},{"dropping-particle":"","family":"Shen","given":"Zhongrong","non-dropping-particle":"","parse-names":false,"suffix":""},{"dropping-particle":"","family":"Lu","given":"Can Zhong","non-dropping-particle":"","parse-names":false,"suffix":""}],"container-title":"Journal of Materials Chemistry A","id":"ITEM-1","issue":"5","issued":{"date-parts":[["2024","1","30"]]},"page":"2647-2672","publisher":"The Royal Society of Chemistry","title":"Research progress of Prussian blue and its analogues for cathodes of aqueous zinc ion batteries","type":"article-journal","volume":"12"},"uris":["http://www.mendeley.com/documents/?uuid=1a95d2de-d4c7-34d6-b85f-651391a561e9"]}],"mendeley":{"formattedCitation":"&lt;sup&gt;[67]&lt;/sup&gt;","plainTextFormattedCitation":"[67]","previouslyFormattedCitation":"&lt;sup&gt;[66]&lt;/sup&gt;"},"properties":{"noteIndex":0},"schema":"https://github.com/citation-style-language/schema/raw/master/csl-citation.json"}</w:instrText>
      </w:r>
      <w:r w:rsidR="00D72F30" w:rsidRPr="003E0254">
        <w:fldChar w:fldCharType="separate"/>
      </w:r>
      <w:r w:rsidR="00500B8D" w:rsidRPr="003E0254">
        <w:rPr>
          <w:noProof/>
          <w:vertAlign w:val="superscript"/>
        </w:rPr>
        <w:t>[67]</w:t>
      </w:r>
      <w:r w:rsidR="00D72F30" w:rsidRPr="003E0254">
        <w:fldChar w:fldCharType="end"/>
      </w:r>
      <w:r w:rsidRPr="003E0254">
        <w:t xml:space="preserve"> </w:t>
      </w:r>
    </w:p>
    <w:p w14:paraId="4C100760" w14:textId="77777777" w:rsidR="00C60055" w:rsidRPr="003E0254" w:rsidRDefault="00C60055" w:rsidP="00C60055">
      <w:pPr>
        <w:spacing w:line="276" w:lineRule="auto"/>
      </w:pPr>
    </w:p>
    <w:p w14:paraId="1DF7CD56" w14:textId="054DA6CA" w:rsidR="00C60055" w:rsidRPr="003E0254" w:rsidRDefault="00C60055" w:rsidP="00C60055">
      <w:pPr>
        <w:pStyle w:val="berschrift4"/>
        <w:spacing w:line="276" w:lineRule="auto"/>
        <w:rPr>
          <w:b/>
          <w:bCs/>
          <w:i w:val="0"/>
          <w:iCs w:val="0"/>
        </w:rPr>
      </w:pPr>
      <w:r w:rsidRPr="003E0254">
        <w:rPr>
          <w:b/>
          <w:bCs/>
          <w:i w:val="0"/>
          <w:iCs w:val="0"/>
        </w:rPr>
        <w:t>2.</w:t>
      </w:r>
      <w:r w:rsidR="003E4F58" w:rsidRPr="003E0254">
        <w:rPr>
          <w:b/>
          <w:bCs/>
          <w:i w:val="0"/>
          <w:iCs w:val="0"/>
        </w:rPr>
        <w:t>3</w:t>
      </w:r>
      <w:r w:rsidRPr="003E0254">
        <w:rPr>
          <w:b/>
          <w:bCs/>
          <w:i w:val="0"/>
          <w:iCs w:val="0"/>
        </w:rPr>
        <w:t>.3 Electrolytes</w:t>
      </w:r>
    </w:p>
    <w:p w14:paraId="468D1F74" w14:textId="2F59378A" w:rsidR="00C60055" w:rsidRPr="003E0254" w:rsidRDefault="00C60055" w:rsidP="00C60055">
      <w:pPr>
        <w:pStyle w:val="berschrift5"/>
        <w:spacing w:line="276" w:lineRule="auto"/>
        <w:rPr>
          <w:b/>
          <w:bCs/>
        </w:rPr>
      </w:pPr>
      <w:r w:rsidRPr="003E0254">
        <w:rPr>
          <w:b/>
          <w:bCs/>
        </w:rPr>
        <w:t>2.</w:t>
      </w:r>
      <w:r w:rsidR="003E4F58" w:rsidRPr="003E0254">
        <w:rPr>
          <w:b/>
          <w:bCs/>
        </w:rPr>
        <w:t>3</w:t>
      </w:r>
      <w:r w:rsidRPr="003E0254">
        <w:rPr>
          <w:b/>
          <w:bCs/>
        </w:rPr>
        <w:t>.3.1 Liquid Electrolytes</w:t>
      </w:r>
    </w:p>
    <w:p w14:paraId="2BB83BE7" w14:textId="2A825636" w:rsidR="00E35302" w:rsidRPr="003E0254" w:rsidRDefault="00E35302" w:rsidP="002B05CA">
      <w:pPr>
        <w:spacing w:line="276" w:lineRule="auto"/>
        <w:jc w:val="both"/>
      </w:pPr>
      <w:r w:rsidRPr="003E0254">
        <w:t xml:space="preserve">A special feature of </w:t>
      </w:r>
      <w:r w:rsidR="00A439A1" w:rsidRPr="003E0254">
        <w:t>zinc-metal</w:t>
      </w:r>
      <w:r w:rsidRPr="003E0254">
        <w:t xml:space="preserve"> batteries is the possibility of using water as electrolyte</w:t>
      </w:r>
      <w:r w:rsidR="000008D7" w:rsidRPr="003E0254">
        <w:t xml:space="preserve"> solvent</w:t>
      </w:r>
      <w:r w:rsidRPr="003E0254">
        <w:t xml:space="preserve">. However, this is associated with limitations due to the low </w:t>
      </w:r>
      <w:r w:rsidR="000008D7" w:rsidRPr="003E0254">
        <w:t xml:space="preserve">thermodynamic </w:t>
      </w:r>
      <w:r w:rsidRPr="003E0254">
        <w:t xml:space="preserve">electrochemical stability window of 1.23 V. However, in practice, </w:t>
      </w:r>
      <w:r w:rsidR="009755F7" w:rsidRPr="003E0254">
        <w:t>substantial</w:t>
      </w:r>
      <w:r w:rsidRPr="003E0254">
        <w:t xml:space="preserve"> overpotentials are </w:t>
      </w:r>
      <w:r w:rsidR="000008D7" w:rsidRPr="003E0254">
        <w:t xml:space="preserve">active </w:t>
      </w:r>
      <w:r w:rsidRPr="003E0254">
        <w:t xml:space="preserve">to </w:t>
      </w:r>
      <w:r w:rsidR="001F5E64" w:rsidRPr="003E0254">
        <w:t xml:space="preserve">kinetically </w:t>
      </w:r>
      <w:r w:rsidR="000008D7" w:rsidRPr="003E0254">
        <w:t xml:space="preserve">suppress </w:t>
      </w:r>
      <w:r w:rsidRPr="003E0254">
        <w:t>hydrogen and oxygen evolution reactions. This delays water decomposition, effectively widening the stability window to roughly 1.7 V vs. Zn</w:t>
      </w:r>
      <w:r w:rsidR="000008D7" w:rsidRPr="003E0254">
        <w:sym w:font="Symbol" w:char="F07C"/>
      </w:r>
      <w:r w:rsidRPr="003E0254">
        <w:t>Zn</w:t>
      </w:r>
      <w:r w:rsidRPr="003E0254">
        <w:rPr>
          <w:vertAlign w:val="superscript"/>
        </w:rPr>
        <w:t>2+</w:t>
      </w:r>
      <w:r w:rsidRPr="003E0254">
        <w:t xml:space="preserve">. In addition, limitations are further mitigated by tailoring the redox-reaction at the cathode and the </w:t>
      </w:r>
      <w:r w:rsidR="00A6715D" w:rsidRPr="003E0254">
        <w:t>use</w:t>
      </w:r>
      <w:r w:rsidRPr="003E0254">
        <w:t xml:space="preserve"> of additives</w:t>
      </w:r>
      <w:r w:rsidR="00E44B98" w:rsidRPr="003E0254">
        <w:t>. Alternatively, these issues can be</w:t>
      </w:r>
      <w:r w:rsidRPr="003E0254">
        <w:t xml:space="preserve"> avoided </w:t>
      </w:r>
      <w:r w:rsidR="00E44B98" w:rsidRPr="003E0254">
        <w:t xml:space="preserve">by employing </w:t>
      </w:r>
      <w:r w:rsidRPr="003E0254">
        <w:t xml:space="preserve">organic electrolytes </w:t>
      </w:r>
      <w:r w:rsidR="00E44B98" w:rsidRPr="003E0254">
        <w:t>that have</w:t>
      </w:r>
      <w:r w:rsidRPr="003E0254">
        <w:t xml:space="preserve"> a wider stability window. The </w:t>
      </w:r>
      <w:r w:rsidR="00A6715D" w:rsidRPr="003E0254">
        <w:t>capabilities</w:t>
      </w:r>
      <w:r w:rsidRPr="003E0254">
        <w:t xml:space="preserve"> of cathode materials with voltages well </w:t>
      </w:r>
      <w:r w:rsidRPr="003E0254">
        <w:lastRenderedPageBreak/>
        <w:t>above 1.3 V vs. Zn</w:t>
      </w:r>
      <w:r w:rsidR="000008D7" w:rsidRPr="003E0254">
        <w:sym w:font="Symbol" w:char="F07C"/>
      </w:r>
      <w:r w:rsidRPr="003E0254">
        <w:t>Zn</w:t>
      </w:r>
      <w:r w:rsidRPr="003E0254">
        <w:rPr>
          <w:vertAlign w:val="superscript"/>
        </w:rPr>
        <w:t>2+</w:t>
      </w:r>
      <w:r w:rsidRPr="003E0254">
        <w:t xml:space="preserve"> (as indicated in </w:t>
      </w:r>
      <w:r w:rsidRPr="003E0254">
        <w:fldChar w:fldCharType="begin"/>
      </w:r>
      <w:r w:rsidRPr="003E0254">
        <w:instrText xml:space="preserve"> REF _Ref189650502 \h  \* MERGEFORMAT </w:instrText>
      </w:r>
      <w:r w:rsidRPr="003E0254">
        <w:fldChar w:fldCharType="separate"/>
      </w:r>
      <w:r w:rsidR="00BC65F2" w:rsidRPr="003E0254">
        <w:t xml:space="preserve">Figure </w:t>
      </w:r>
      <w:r w:rsidR="00BC65F2" w:rsidRPr="003E0254">
        <w:rPr>
          <w:noProof/>
        </w:rPr>
        <w:t>5</w:t>
      </w:r>
      <w:r w:rsidRPr="003E0254">
        <w:fldChar w:fldCharType="end"/>
      </w:r>
      <w:r w:rsidRPr="003E0254">
        <w:t>) can, however, so far mostly be fully exploited with organic electrolytes</w:t>
      </w:r>
      <w:r w:rsidR="002B05CA" w:rsidRPr="003E0254">
        <w:t>.</w:t>
      </w:r>
    </w:p>
    <w:p w14:paraId="2EFC7C5C" w14:textId="1A86A941" w:rsidR="00C60055" w:rsidRPr="003E0254" w:rsidRDefault="000D0BA2" w:rsidP="00E35302">
      <w:pPr>
        <w:spacing w:line="276" w:lineRule="auto"/>
        <w:jc w:val="both"/>
      </w:pPr>
      <w:r w:rsidRPr="003E0254">
        <w:t xml:space="preserve">Aqueous electrolytes </w:t>
      </w:r>
      <w:r w:rsidR="00C60055" w:rsidRPr="003E0254">
        <w:t>consist of conductive salts dissolved in water, where</w:t>
      </w:r>
      <w:r w:rsidR="00CD20FE" w:rsidRPr="003E0254">
        <w:t xml:space="preserve"> KOH is mostly used in alkaline electrolytes, while</w:t>
      </w:r>
      <w:r w:rsidR="00C60055" w:rsidRPr="003E0254">
        <w:t xml:space="preserve"> ZnSO</w:t>
      </w:r>
      <w:r w:rsidR="00C60055" w:rsidRPr="003E0254">
        <w:rPr>
          <w:vertAlign w:val="subscript"/>
        </w:rPr>
        <w:t>4</w:t>
      </w:r>
      <w:r w:rsidR="00C60055" w:rsidRPr="003E0254">
        <w:t>, Zn(</w:t>
      </w:r>
      <w:proofErr w:type="spellStart"/>
      <w:r w:rsidR="00C60055" w:rsidRPr="003E0254">
        <w:t>OTf</w:t>
      </w:r>
      <w:proofErr w:type="spellEnd"/>
      <w:r w:rsidR="00C60055" w:rsidRPr="003E0254">
        <w:t>)</w:t>
      </w:r>
      <w:r w:rsidR="00C60055" w:rsidRPr="003E0254">
        <w:rPr>
          <w:vertAlign w:val="subscript"/>
        </w:rPr>
        <w:t>2</w:t>
      </w:r>
      <w:r w:rsidR="00C60055" w:rsidRPr="003E0254">
        <w:t xml:space="preserve"> or </w:t>
      </w:r>
      <w:proofErr w:type="spellStart"/>
      <w:r w:rsidR="00C60055" w:rsidRPr="003E0254">
        <w:t>ZnTFSI</w:t>
      </w:r>
      <w:proofErr w:type="spellEnd"/>
      <w:r w:rsidR="00C60055" w:rsidRPr="003E0254">
        <w:t xml:space="preserve"> are most commonly used in </w:t>
      </w:r>
      <w:r w:rsidR="00CD20FE" w:rsidRPr="003E0254">
        <w:t>slightly acidic conditions</w:t>
      </w:r>
      <w:r w:rsidR="00E35302" w:rsidRPr="003E0254">
        <w:t xml:space="preserve"> (see also Table 1)</w:t>
      </w:r>
      <w:r w:rsidR="00C60055" w:rsidRPr="003E0254">
        <w:t>.</w:t>
      </w:r>
      <w:r w:rsidR="00FC75AC" w:rsidRPr="003E0254">
        <w:fldChar w:fldCharType="begin" w:fldLock="1"/>
      </w:r>
      <w:r w:rsidR="002F6D4C" w:rsidRPr="003E0254">
        <w:instrText>ADDIN CSL_CITATION {"citationItems":[{"id":"ITEM-1","itemData":{"DOI":"10.1021/ACSENERGYLETT.8B01426/ASSET/IMAGES/LARGE/NZ-2018-01426E_0016.JPEG","ISSN":"23808195","abstract":"Although current high-energy-density lithium-ion batteries (LIBs) have taken over the commercial rechargeable battery market, increasing concerns about limited lithium resources, high cost, and insecurity of organic electrolyte scale-up limit their further development. Rechargeable aqueous zinc-ion batteries (ZIBs), an alternative battery chemistry, have paved the way not only for realizing environmentally benign and safe energy storage devices but also for reducing the manufacturing costs of next-generation batteries. This Review underscores recent advances in aqueous ZIBs; these include the design of a highly reversible Zn anode, optimization of the electrolyte, and a wide range of cathode materials and their energy storage mechanisms. We also present recent advanced techniques that aim at overcoming the current issues in aqueous ZIB systems. This Review on the future perspectives and research directions will provide a guide for future aqueous ZIB study.","author":[{"dropping-particle":"","family":"Fang","given":"Guozhao","non-dropping-particle":"","parse-names":false,"suffix":""},{"dropping-particle":"","family":"Zhou","given":"Jiang","non-dropping-particle":"","parse-names":false,"suffix":""},{"dropping-particle":"","family":"Pan","given":"Anqiang","non-dropping-particle":"","parse-names":false,"suffix":""},{"dropping-particle":"","family":"Liang","given":"Shuquan","non-dropping-particle":"","parse-names":false,"suffix":""}],"container-title":"ACS Energy Letters","id":"ITEM-1","issue":"10","issued":{"date-parts":[["2018","10","12"]]},"page":"2480-2501","publisher":"American Chemical Society","title":"Recent Advances in Aqueous Zinc-Ion Batteries","type":"article-journal","volume":"3"},"uris":["http://www.mendeley.com/documents/?uuid=07c088a2-b9b5-3edb-9a72-66f19ac12f13"]}],"mendeley":{"formattedCitation":"&lt;sup&gt;[4]&lt;/sup&gt;","plainTextFormattedCitation":"[4]","previouslyFormattedCitation":"&lt;sup&gt;[4]&lt;/sup&gt;"},"properties":{"noteIndex":0},"schema":"https://github.com/citation-style-language/schema/raw/master/csl-citation.json"}</w:instrText>
      </w:r>
      <w:r w:rsidR="00FC75AC" w:rsidRPr="003E0254">
        <w:fldChar w:fldCharType="separate"/>
      </w:r>
      <w:r w:rsidR="00A94915" w:rsidRPr="003E0254">
        <w:rPr>
          <w:noProof/>
          <w:vertAlign w:val="superscript"/>
        </w:rPr>
        <w:t>[4]</w:t>
      </w:r>
      <w:r w:rsidR="00FC75AC" w:rsidRPr="003E0254">
        <w:fldChar w:fldCharType="end"/>
      </w:r>
      <w:r w:rsidR="00C60055" w:rsidRPr="003E0254">
        <w:t xml:space="preserve"> In addition, small concentrations of MnSO</w:t>
      </w:r>
      <w:r w:rsidR="00C60055" w:rsidRPr="003E0254">
        <w:rPr>
          <w:vertAlign w:val="subscript"/>
        </w:rPr>
        <w:t>4</w:t>
      </w:r>
      <w:r w:rsidR="00C60055" w:rsidRPr="003E0254">
        <w:t xml:space="preserve"> or similar salts are sometimes added as additives because they reduce the leaching of Mn</w:t>
      </w:r>
      <w:r w:rsidR="00C60055" w:rsidRPr="003E0254">
        <w:rPr>
          <w:vertAlign w:val="superscript"/>
        </w:rPr>
        <w:t>2+</w:t>
      </w:r>
      <w:r w:rsidR="00C60055" w:rsidRPr="003E0254">
        <w:t xml:space="preserve"> from </w:t>
      </w:r>
      <w:r w:rsidR="000008D7" w:rsidRPr="003E0254">
        <w:t>Mn-based</w:t>
      </w:r>
      <w:r w:rsidR="00C60055" w:rsidRPr="003E0254">
        <w:t xml:space="preserve"> cathode materials. </w:t>
      </w:r>
    </w:p>
    <w:p w14:paraId="215627AA" w14:textId="34D48AD9" w:rsidR="00CD20FE" w:rsidRPr="003E0254" w:rsidRDefault="00C60055" w:rsidP="00FC75AC">
      <w:pPr>
        <w:spacing w:line="276" w:lineRule="auto"/>
        <w:jc w:val="both"/>
      </w:pPr>
      <w:r w:rsidRPr="003E0254">
        <w:t xml:space="preserve">Although this is in principle an advantage of </w:t>
      </w:r>
      <w:r w:rsidR="00A439A1" w:rsidRPr="003E0254">
        <w:t>zinc-metal</w:t>
      </w:r>
      <w:r w:rsidRPr="003E0254">
        <w:t xml:space="preserve"> batteries, the use of water as a solvent poses serious problems</w:t>
      </w:r>
      <w:r w:rsidR="00E35302" w:rsidRPr="003E0254">
        <w:t>:</w:t>
      </w:r>
      <w:r w:rsidRPr="003E0254">
        <w:t xml:space="preserve"> </w:t>
      </w:r>
      <w:r w:rsidR="00E35302" w:rsidRPr="003E0254">
        <w:t xml:space="preserve">apart from </w:t>
      </w:r>
      <w:r w:rsidR="000D0BA2" w:rsidRPr="003E0254">
        <w:t xml:space="preserve">the </w:t>
      </w:r>
      <w:r w:rsidR="001F5E64" w:rsidRPr="003E0254">
        <w:t xml:space="preserve">narrow thermodynamic </w:t>
      </w:r>
      <w:r w:rsidR="000D0BA2" w:rsidRPr="003E0254">
        <w:t xml:space="preserve">electrochemical stability window </w:t>
      </w:r>
      <w:r w:rsidRPr="003E0254">
        <w:t xml:space="preserve">water also limits the temperature range in which the cells can be used. Neutral to slightly acidic pH in addition leads to problems at the electrodes: </w:t>
      </w:r>
      <w:r w:rsidR="001F5E64" w:rsidRPr="003E0254">
        <w:t>O</w:t>
      </w:r>
      <w:r w:rsidRPr="003E0254">
        <w:t xml:space="preserve">n the one hand, the Zn metal anode is </w:t>
      </w:r>
      <w:r w:rsidR="00CD20FE" w:rsidRPr="003E0254">
        <w:t xml:space="preserve">generally </w:t>
      </w:r>
      <w:r w:rsidRPr="003E0254">
        <w:t>thermodynamically unstable in aqueous solution leading to hydrogen evolution and corrosion. On the other hand, transition metals like Mn</w:t>
      </w:r>
      <w:r w:rsidRPr="003E0254">
        <w:rPr>
          <w:vertAlign w:val="superscript"/>
        </w:rPr>
        <w:t>2+</w:t>
      </w:r>
      <w:r w:rsidRPr="003E0254">
        <w:t xml:space="preserve"> can easily be leached from the cathode depending on the pH of the electrolyte, and contact with water can also lead to other unwanted side reactions.</w:t>
      </w:r>
    </w:p>
    <w:p w14:paraId="273B9962" w14:textId="38C45608" w:rsidR="00C60055" w:rsidRPr="003E0254" w:rsidRDefault="00C60055" w:rsidP="00FC75AC">
      <w:pPr>
        <w:spacing w:line="276" w:lineRule="auto"/>
        <w:jc w:val="both"/>
      </w:pPr>
      <w:r w:rsidRPr="003E0254">
        <w:t xml:space="preserve">In </w:t>
      </w:r>
      <w:r w:rsidR="00250588" w:rsidRPr="003E0254">
        <w:t xml:space="preserve">the </w:t>
      </w:r>
      <w:r w:rsidRPr="003E0254">
        <w:t>context of pH stabilization, proton co-intercalation (insertion of the Zn</w:t>
      </w:r>
      <w:r w:rsidRPr="003E0254">
        <w:rPr>
          <w:vertAlign w:val="superscript"/>
        </w:rPr>
        <w:t>2+</w:t>
      </w:r>
      <w:r w:rsidRPr="003E0254">
        <w:t xml:space="preserve"> cation together with its solvation shell) can in some cases lead to </w:t>
      </w:r>
      <w:r w:rsidR="00250588" w:rsidRPr="003E0254">
        <w:t xml:space="preserve">a </w:t>
      </w:r>
      <w:r w:rsidRPr="003E0254">
        <w:t xml:space="preserve">strong local increase </w:t>
      </w:r>
      <w:r w:rsidR="00250588" w:rsidRPr="003E0254">
        <w:t>in</w:t>
      </w:r>
      <w:r w:rsidRPr="003E0254">
        <w:t xml:space="preserve"> the pH at the cathode, also promoting transition metal leaching</w:t>
      </w:r>
      <w:r w:rsidR="00625D7A" w:rsidRPr="003E0254">
        <w:t>,</w:t>
      </w:r>
      <w:r w:rsidR="00FC75AC" w:rsidRPr="003E0254">
        <w:fldChar w:fldCharType="begin" w:fldLock="1"/>
      </w:r>
      <w:r w:rsidR="000F0B1D" w:rsidRPr="003E0254">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00FC75AC" w:rsidRPr="003E0254">
        <w:fldChar w:fldCharType="separate"/>
      </w:r>
      <w:r w:rsidR="000F0B1D" w:rsidRPr="003E0254">
        <w:rPr>
          <w:noProof/>
          <w:vertAlign w:val="superscript"/>
        </w:rPr>
        <w:t>[43]</w:t>
      </w:r>
      <w:r w:rsidR="00FC75AC" w:rsidRPr="003E0254">
        <w:fldChar w:fldCharType="end"/>
      </w:r>
      <w:r w:rsidR="00625D7A" w:rsidRPr="003E0254">
        <w:t xml:space="preserve"> as already discussed in chapter 2.</w:t>
      </w:r>
      <w:r w:rsidR="003E4F58" w:rsidRPr="003E0254">
        <w:t>3</w:t>
      </w:r>
      <w:r w:rsidR="00625D7A" w:rsidRPr="003E0254">
        <w:t>.2.</w:t>
      </w:r>
      <w:r w:rsidRPr="003E0254">
        <w:t xml:space="preserve"> </w:t>
      </w:r>
      <w:r w:rsidR="00CD20FE" w:rsidRPr="003E0254">
        <w:t xml:space="preserve"> </w:t>
      </w:r>
    </w:p>
    <w:p w14:paraId="347814C7" w14:textId="166DC48F" w:rsidR="00C60055" w:rsidRPr="003E0254" w:rsidRDefault="00E35302" w:rsidP="00FC75AC">
      <w:pPr>
        <w:spacing w:line="276" w:lineRule="auto"/>
        <w:jc w:val="both"/>
      </w:pPr>
      <w:r w:rsidRPr="003E0254">
        <w:t xml:space="preserve">The </w:t>
      </w:r>
      <w:r w:rsidR="001F5E64" w:rsidRPr="003E0254">
        <w:t xml:space="preserve">narrow </w:t>
      </w:r>
      <w:r w:rsidRPr="003E0254">
        <w:t>electrochemical stability window of water, s</w:t>
      </w:r>
      <w:r w:rsidR="00C60055" w:rsidRPr="003E0254">
        <w:t xml:space="preserve">ide reactions and proton co-intercalation can be avoided </w:t>
      </w:r>
      <w:r w:rsidR="00250588" w:rsidRPr="003E0254">
        <w:t xml:space="preserve">at least in part </w:t>
      </w:r>
      <w:r w:rsidR="00C60055" w:rsidRPr="003E0254">
        <w:t xml:space="preserve">by application of concentrated electrolytes, so called water-in-salt formulations. These electrolytes are characterized by a very low water-to-salt molar ratio, often approaching or even below </w:t>
      </w:r>
      <w:r w:rsidR="001F5E64" w:rsidRPr="003E0254">
        <w:t xml:space="preserve">a </w:t>
      </w:r>
      <w:r w:rsidR="00C60055" w:rsidRPr="003E0254">
        <w:t>1:1</w:t>
      </w:r>
      <w:r w:rsidR="001F5E64" w:rsidRPr="003E0254">
        <w:t xml:space="preserve"> molar ratio</w:t>
      </w:r>
      <w:r w:rsidR="00C60055" w:rsidRPr="003E0254">
        <w:t xml:space="preserve">, which means that water molecules are </w:t>
      </w:r>
      <w:r w:rsidR="001F5E64" w:rsidRPr="003E0254">
        <w:t>coordinating  salt</w:t>
      </w:r>
      <w:r w:rsidR="00C60055" w:rsidRPr="003E0254">
        <w:t xml:space="preserve"> ions rather than existing as free water.</w:t>
      </w:r>
      <w:r w:rsidR="00FC75AC" w:rsidRPr="003E0254">
        <w:fldChar w:fldCharType="begin" w:fldLock="1"/>
      </w:r>
      <w:r w:rsidR="00500B8D" w:rsidRPr="003E0254">
        <w:instrText>ADDIN CSL_CITATION {"citationItems":[{"id":"ITEM-1","itemData":{"DOI":"10.1002/CSSC.202100550","ISSN":"1864-564X","PMID":"33973406","abstract":"Aqueous electrolytes are attractive for applications in electrochemical technologies due to features like being eco-friendly, cost effective, and non-flammable. Very recently, superconcentrated aqueous electrolytes, such as so-called water-in-salt, water-in-bisalt, and hydrate melt, have received a significant attention for electrochemical energy storage due to enhanced stability and much wider electrochemical stability window. This Review focuses on the physicochemical properties of the highly concentrated electrolytes that are derived from several analysis techniques and simulation. A summary of most common features such as ions-water interactions, structure of species present in the electrolyte, conductivity, and viscosity of the electrolytes found in the literature are presented as well. In addition, this Review explains how these characteristics affect the electrochemical behavior of the electrolyte such as double layer structure and electrode/electrolyte interface leading to enhanced electrochemical stability of aqueous electrolytes.","author":[{"dropping-particle":"","family":"Amiri","given":"Mona","non-dropping-particle":"","parse-names":false,"suffix":""},{"dropping-particle":"","family":"Bélanger","given":"Daniel","non-dropping-particle":"","parse-names":false,"suffix":""}],"container-title":"ChemSusChem","id":"ITEM-1","issue":"12","issued":{"date-parts":[["2021","6","21"]]},"page":"2487-2500","publisher":"John Wiley &amp; Sons, Ltd","title":"Physicochemical and Electrochemical Properties of Water-in-Salt Electrolytes","type":"article-journal","volume":"14"},"uris":["http://www.mendeley.com/documents/?uuid=7c9ebd65-6890-347d-b01d-b6753fdb8a45"]}],"mendeley":{"formattedCitation":"&lt;sup&gt;[159]&lt;/sup&gt;","plainTextFormattedCitation":"[159]","previouslyFormattedCitation":"&lt;sup&gt;[158]&lt;/sup&gt;"},"properties":{"noteIndex":0},"schema":"https://github.com/citation-style-language/schema/raw/master/csl-citation.json"}</w:instrText>
      </w:r>
      <w:r w:rsidR="00FC75AC" w:rsidRPr="003E0254">
        <w:fldChar w:fldCharType="separate"/>
      </w:r>
      <w:r w:rsidR="00500B8D" w:rsidRPr="003E0254">
        <w:rPr>
          <w:noProof/>
          <w:vertAlign w:val="superscript"/>
        </w:rPr>
        <w:t>[159]</w:t>
      </w:r>
      <w:r w:rsidR="00FC75AC" w:rsidRPr="003E0254">
        <w:fldChar w:fldCharType="end"/>
      </w:r>
      <w:r w:rsidR="00C60055" w:rsidRPr="003E0254">
        <w:t xml:space="preserve"> This results in a unique solvation environment where water molecules are primarily involved in the hydration shells of ions, leading to a reduction in free water content. The high concentration of salts in these electrolytes also contributes to their enhanced electrochemical stability and wider electrochemical stability window, as the interactions between ions and water molecules are </w:t>
      </w:r>
      <w:r w:rsidR="001F5E64" w:rsidRPr="003E0254">
        <w:t xml:space="preserve">substantially </w:t>
      </w:r>
      <w:r w:rsidR="00C60055" w:rsidRPr="003E0254">
        <w:t>altered compared to conventional aqueous electrolytes</w:t>
      </w:r>
      <w:r w:rsidR="00C67B10" w:rsidRPr="003E0254">
        <w:t>, since at least part of the water in the solvation sheath on the Zn</w:t>
      </w:r>
      <w:r w:rsidR="00C67B10" w:rsidRPr="003E0254">
        <w:rPr>
          <w:vertAlign w:val="superscript"/>
        </w:rPr>
        <w:t>2+</w:t>
      </w:r>
      <w:r w:rsidR="00C67B10" w:rsidRPr="003E0254">
        <w:t xml:space="preserve"> ion is replaced by salt anions</w:t>
      </w:r>
      <w:r w:rsidR="00C60055" w:rsidRPr="003E0254">
        <w:t>. At the same time, they suffer from a</w:t>
      </w:r>
      <w:r w:rsidR="003C13B3" w:rsidRPr="003E0254">
        <w:t>n</w:t>
      </w:r>
      <w:r w:rsidR="00C60055" w:rsidRPr="003E0254">
        <w:t xml:space="preserve"> </w:t>
      </w:r>
      <w:r w:rsidR="00041DFD" w:rsidRPr="003E0254">
        <w:t xml:space="preserve">increased </w:t>
      </w:r>
      <w:r w:rsidR="00C60055" w:rsidRPr="003E0254">
        <w:t>viscosity (~10</w:t>
      </w:r>
      <w:r w:rsidR="00C00C7B" w:rsidRPr="003E0254">
        <w:rPr>
          <w:vertAlign w:val="superscript"/>
        </w:rPr>
        <w:t>−</w:t>
      </w:r>
      <w:r w:rsidR="00C60055" w:rsidRPr="003E0254">
        <w:rPr>
          <w:vertAlign w:val="superscript"/>
        </w:rPr>
        <w:t xml:space="preserve">1 </w:t>
      </w:r>
      <w:r w:rsidR="00C60055" w:rsidRPr="003E0254">
        <w:t>Pa</w:t>
      </w:r>
      <w:r w:rsidR="00C00C7B" w:rsidRPr="003E0254">
        <w:t> </w:t>
      </w:r>
      <w:r w:rsidR="00C60055" w:rsidRPr="003E0254">
        <w:t>s compared to ~10</w:t>
      </w:r>
      <w:r w:rsidR="00C60055" w:rsidRPr="003E0254">
        <w:rPr>
          <w:vertAlign w:val="superscript"/>
        </w:rPr>
        <w:t xml:space="preserve">-3 </w:t>
      </w:r>
      <w:r w:rsidR="00C60055" w:rsidRPr="003E0254">
        <w:t>Pa</w:t>
      </w:r>
      <w:r w:rsidR="00C00C7B" w:rsidRPr="003E0254">
        <w:t> </w:t>
      </w:r>
      <w:r w:rsidR="00C60055" w:rsidRPr="003E0254">
        <w:t>s for aqueous electrolytes)</w:t>
      </w:r>
      <w:r w:rsidR="00FC75AC" w:rsidRPr="003E0254">
        <w:fldChar w:fldCharType="begin" w:fldLock="1"/>
      </w:r>
      <w:r w:rsidR="000F0B1D" w:rsidRPr="003E0254">
        <w:instrText>ADDIN CSL_CITATION {"citationItems":[{"id":"ITEM-1","itemData":{"DOI":"10.1021/ACSENERGYLETT.0C02684/ASSET/IMAGES/LARGE/NZ0C02684_0012.JPEG","ISSN":"23808195","abstract":"With the increasing demand for large-scale energy storage, high-safety and low-cost rechargeable zinc-ion batteries (ZIBs) have been regarded as potential substitutes for lithium-ion batteries (LIBs). Exploring high-performance cathodes and a stable zinc anode is important, and fruitful achievements have been made. However, many fundamental issues still hinder the development of zinc-based energy storage systems. As a pivotal component, the electrolyte provides the basic operating environment to ensure the high compatibility and reversible cycling of each component in the battery. In this Focus Review, we present a comprehensive overview of electrolyte strategies in terms of solving or alleviating the issues of cathode dissolution, zinc dendrites and corrosion, hydrogen evolution, and so on. Furthermore, the adoption of gel electrolytes in flexible batteries is briefly introduced. Finally, the recommended future research perspectives of electrolytes are discussed, which may boost the development of this field.","author":[{"dropping-particle":"","family":"Liu","given":"Cunxin","non-dropping-particle":"","parse-names":false,"suffix":""},{"dropping-particle":"","family":"Xie","given":"Xuesong","non-dropping-particle":"","parse-names":false,"suffix":""},{"dropping-particle":"","family":"Lu","given":"Bingan","non-dropping-particle":"","parse-names":false,"suffix":""},{"dropping-particle":"","family":"Zhou","given":"Jiang","non-dropping-particle":"","parse-names":false,"suffix":""},{"dropping-particle":"","family":"Liang","given":"Shuquan","non-dropping-particle":"","parse-names":false,"suffix":""}],"container-title":"ACS Energy Letters","id":"ITEM-1","issue":"3","issued":{"date-parts":[["2021","3","12"]]},"page":"1015-1033","publisher":"American Chemical Society","title":"Electrolyte Strategies toward Better Zinc-Ion Batteries","type":"article-journal","volume":"6"},"uris":["http://www.mendeley.com/documents/?uuid=34e8bf46-68fd-35af-b3a4-acee8ab90ca0"]}],"mendeley":{"formattedCitation":"&lt;sup&gt;[47]&lt;/sup&gt;","plainTextFormattedCitation":"[47]","previouslyFormattedCitation":"&lt;sup&gt;[47]&lt;/sup&gt;"},"properties":{"noteIndex":0},"schema":"https://github.com/citation-style-language/schema/raw/master/csl-citation.json"}</w:instrText>
      </w:r>
      <w:r w:rsidR="00FC75AC" w:rsidRPr="003E0254">
        <w:fldChar w:fldCharType="separate"/>
      </w:r>
      <w:r w:rsidR="000F0B1D" w:rsidRPr="003E0254">
        <w:rPr>
          <w:noProof/>
          <w:vertAlign w:val="superscript"/>
        </w:rPr>
        <w:t>[47]</w:t>
      </w:r>
      <w:r w:rsidR="00FC75AC" w:rsidRPr="003E0254">
        <w:fldChar w:fldCharType="end"/>
      </w:r>
      <w:r w:rsidR="00C60055" w:rsidRPr="003E0254">
        <w:t xml:space="preserve"> and</w:t>
      </w:r>
      <w:r w:rsidR="00041DFD" w:rsidRPr="003E0254">
        <w:t xml:space="preserve"> reduced</w:t>
      </w:r>
      <w:r w:rsidR="00C60055" w:rsidRPr="003E0254">
        <w:t xml:space="preserve"> conductivity</w:t>
      </w:r>
      <w:r w:rsidR="00C67B10" w:rsidRPr="003E0254">
        <w:t xml:space="preserve"> (~ 10</w:t>
      </w:r>
      <w:r w:rsidR="00C00C7B" w:rsidRPr="003E0254">
        <w:rPr>
          <w:vertAlign w:val="superscript"/>
        </w:rPr>
        <w:t>−</w:t>
      </w:r>
      <w:r w:rsidR="00C67B10" w:rsidRPr="003E0254">
        <w:rPr>
          <w:vertAlign w:val="superscript"/>
        </w:rPr>
        <w:t xml:space="preserve">3 </w:t>
      </w:r>
      <w:r w:rsidR="00C67B10" w:rsidRPr="003E0254">
        <w:t>S</w:t>
      </w:r>
      <w:r w:rsidR="00C00C7B" w:rsidRPr="003E0254">
        <w:t> </w:t>
      </w:r>
      <w:r w:rsidR="00C67B10" w:rsidRPr="003E0254">
        <w:t>cm</w:t>
      </w:r>
      <w:r w:rsidR="00C67B10" w:rsidRPr="003E0254">
        <w:rPr>
          <w:vertAlign w:val="superscript"/>
        </w:rPr>
        <w:t>-1</w:t>
      </w:r>
      <w:r w:rsidR="00C67B10" w:rsidRPr="003E0254">
        <w:t>)</w:t>
      </w:r>
      <w:r w:rsidR="00C60055" w:rsidRPr="003E0254">
        <w:t xml:space="preserve"> compared to typical aqueous electrolytes</w:t>
      </w:r>
      <w:r w:rsidR="00C67B10" w:rsidRPr="003E0254">
        <w:t xml:space="preserve"> (~ 10</w:t>
      </w:r>
      <w:r w:rsidR="00C00C7B" w:rsidRPr="003E0254">
        <w:rPr>
          <w:vertAlign w:val="superscript"/>
        </w:rPr>
        <w:t>−</w:t>
      </w:r>
      <w:r w:rsidR="00C67B10" w:rsidRPr="003E0254">
        <w:rPr>
          <w:vertAlign w:val="superscript"/>
        </w:rPr>
        <w:t xml:space="preserve">1 </w:t>
      </w:r>
      <w:r w:rsidR="00C67B10" w:rsidRPr="003E0254">
        <w:t>S</w:t>
      </w:r>
      <w:r w:rsidR="00C00C7B" w:rsidRPr="003E0254">
        <w:t> </w:t>
      </w:r>
      <w:r w:rsidR="00C67B10" w:rsidRPr="003E0254">
        <w:t>cm</w:t>
      </w:r>
      <w:r w:rsidR="00C67B10" w:rsidRPr="003E0254">
        <w:rPr>
          <w:vertAlign w:val="superscript"/>
        </w:rPr>
        <w:t>-1</w:t>
      </w:r>
      <w:r w:rsidR="00C67B10" w:rsidRPr="003E0254">
        <w:t xml:space="preserve">) </w:t>
      </w:r>
      <w:r w:rsidR="00C67B10" w:rsidRPr="003E0254">
        <w:fldChar w:fldCharType="begin" w:fldLock="1"/>
      </w:r>
      <w:r w:rsidR="000F0B1D" w:rsidRPr="003E0254">
        <w:instrText>ADDIN CSL_CITATION {"citationItems":[{"id":"ITEM-1","itemData":{"DOI":"10.1021/ACSENERGYLETT.0C02684/ASSET/IMAGES/LARGE/NZ0C02684_0012.JPEG","ISSN":"23808195","abstract":"With the increasing demand for large-scale energy storage, high-safety and low-cost rechargeable zinc-ion batteries (ZIBs) have been regarded as potential substitutes for lithium-ion batteries (LIBs). Exploring high-performance cathodes and a stable zinc anode is important, and fruitful achievements have been made. However, many fundamental issues still hinder the development of zinc-based energy storage systems. As a pivotal component, the electrolyte provides the basic operating environment to ensure the high compatibility and reversible cycling of each component in the battery. In this Focus Review, we present a comprehensive overview of electrolyte strategies in terms of solving or alleviating the issues of cathode dissolution, zinc dendrites and corrosion, hydrogen evolution, and so on. Furthermore, the adoption of gel electrolytes in flexible batteries is briefly introduced. Finally, the recommended future research perspectives of electrolytes are discussed, which may boost the development of this field.","author":[{"dropping-particle":"","family":"Liu","given":"Cunxin","non-dropping-particle":"","parse-names":false,"suffix":""},{"dropping-particle":"","family":"Xie","given":"Xuesong","non-dropping-particle":"","parse-names":false,"suffix":""},{"dropping-particle":"","family":"Lu","given":"Bingan","non-dropping-particle":"","parse-names":false,"suffix":""},{"dropping-particle":"","family":"Zhou","given":"Jiang","non-dropping-particle":"","parse-names":false,"suffix":""},{"dropping-particle":"","family":"Liang","given":"Shuquan","non-dropping-particle":"","parse-names":false,"suffix":""}],"container-title":"ACS Energy Letters","id":"ITEM-1","issue":"3","issued":{"date-parts":[["2021","3","12"]]},"page":"1015-1033","publisher":"American Chemical Society","title":"Electrolyte Strategies toward Better Zinc-Ion Batteries","type":"article-journal","volume":"6"},"uris":["http://www.mendeley.com/documents/?uuid=34e8bf46-68fd-35af-b3a4-acee8ab90ca0"]}],"mendeley":{"formattedCitation":"&lt;sup&gt;[47]&lt;/sup&gt;","plainTextFormattedCitation":"[47]","previouslyFormattedCitation":"&lt;sup&gt;[47]&lt;/sup&gt;"},"properties":{"noteIndex":0},"schema":"https://github.com/citation-style-language/schema/raw/master/csl-citation.json"}</w:instrText>
      </w:r>
      <w:r w:rsidR="00C67B10" w:rsidRPr="003E0254">
        <w:fldChar w:fldCharType="separate"/>
      </w:r>
      <w:r w:rsidR="000F0B1D" w:rsidRPr="003E0254">
        <w:rPr>
          <w:noProof/>
          <w:vertAlign w:val="superscript"/>
        </w:rPr>
        <w:t>[47]</w:t>
      </w:r>
      <w:r w:rsidR="00C67B10" w:rsidRPr="003E0254">
        <w:fldChar w:fldCharType="end"/>
      </w:r>
      <w:r w:rsidR="00C60055" w:rsidRPr="003E0254">
        <w:t>, and they are far more expensive due to the high salt concentration.</w:t>
      </w:r>
      <w:r w:rsidR="0061012F" w:rsidRPr="003E0254">
        <w:t xml:space="preserve"> However, a similar effect on the electrochemical stability window as with water-in-salt formulations can also be achieved by speci</w:t>
      </w:r>
      <w:r w:rsidR="00A6715D" w:rsidRPr="003E0254">
        <w:t>fic</w:t>
      </w:r>
      <w:r w:rsidR="0061012F" w:rsidRPr="003E0254">
        <w:t xml:space="preserve"> electrolyte formulations with lower salt concentrations, for example with </w:t>
      </w:r>
      <w:r w:rsidR="00C00C7B" w:rsidRPr="003E0254">
        <w:t>a</w:t>
      </w:r>
      <w:r w:rsidR="00A6715D" w:rsidRPr="003E0254">
        <w:t>n</w:t>
      </w:r>
      <w:r w:rsidR="0061012F" w:rsidRPr="003E0254">
        <w:t xml:space="preserve"> urea-modified electrolyte with</w:t>
      </w:r>
      <w:r w:rsidR="003C13B3" w:rsidRPr="003E0254">
        <w:t xml:space="preserve"> 2.9 mol</w:t>
      </w:r>
      <w:r w:rsidR="00C00C7B" w:rsidRPr="003E0254">
        <w:t> </w:t>
      </w:r>
      <w:r w:rsidR="003C13B3" w:rsidRPr="003E0254">
        <w:t>kg</w:t>
      </w:r>
      <w:r w:rsidR="003C13B3" w:rsidRPr="003E0254">
        <w:rPr>
          <w:vertAlign w:val="subscript"/>
        </w:rPr>
        <w:t>solvent</w:t>
      </w:r>
      <w:r w:rsidR="003C13B3" w:rsidRPr="003E0254">
        <w:rPr>
          <w:vertAlign w:val="superscript"/>
        </w:rPr>
        <w:t>−1</w:t>
      </w:r>
      <w:r w:rsidR="0061012F" w:rsidRPr="003E0254">
        <w:t xml:space="preserve"> </w:t>
      </w:r>
      <w:proofErr w:type="gramStart"/>
      <w:r w:rsidR="0061012F" w:rsidRPr="003E0254">
        <w:t>Zn(</w:t>
      </w:r>
      <w:proofErr w:type="gramEnd"/>
      <w:r w:rsidR="0061012F" w:rsidRPr="003E0254">
        <w:t>ClO</w:t>
      </w:r>
      <w:r w:rsidR="0061012F" w:rsidRPr="003E0254">
        <w:rPr>
          <w:vertAlign w:val="subscript"/>
        </w:rPr>
        <w:t>4</w:t>
      </w:r>
      <w:r w:rsidR="0061012F" w:rsidRPr="003E0254">
        <w:t>)</w:t>
      </w:r>
      <w:r w:rsidR="0061012F" w:rsidRPr="003E0254">
        <w:rPr>
          <w:vertAlign w:val="subscript"/>
        </w:rPr>
        <w:t>2</w:t>
      </w:r>
      <w:r w:rsidR="0061012F" w:rsidRPr="003E0254">
        <w:t xml:space="preserve"> and CO(NH</w:t>
      </w:r>
      <w:r w:rsidR="0061012F" w:rsidRPr="003E0254">
        <w:rPr>
          <w:vertAlign w:val="subscript"/>
        </w:rPr>
        <w:t>2</w:t>
      </w:r>
      <w:r w:rsidR="0061012F" w:rsidRPr="003E0254">
        <w:t>)</w:t>
      </w:r>
      <w:r w:rsidR="0061012F" w:rsidRPr="003E0254">
        <w:rPr>
          <w:vertAlign w:val="subscript"/>
        </w:rPr>
        <w:t>2</w:t>
      </w:r>
      <w:r w:rsidR="0061012F" w:rsidRPr="003E0254">
        <w:t xml:space="preserve">. Here, strong intermolecular interactions between </w:t>
      </w:r>
      <w:r w:rsidR="00041DFD" w:rsidRPr="003E0254">
        <w:t xml:space="preserve">added </w:t>
      </w:r>
      <w:r w:rsidR="0061012F" w:rsidRPr="003E0254">
        <w:t>CO(NH</w:t>
      </w:r>
      <w:r w:rsidR="0061012F" w:rsidRPr="003E0254">
        <w:rPr>
          <w:vertAlign w:val="subscript"/>
        </w:rPr>
        <w:t>2</w:t>
      </w:r>
      <w:r w:rsidR="0061012F" w:rsidRPr="003E0254">
        <w:t>)</w:t>
      </w:r>
      <w:r w:rsidR="0061012F" w:rsidRPr="003E0254">
        <w:rPr>
          <w:vertAlign w:val="subscript"/>
        </w:rPr>
        <w:t>2</w:t>
      </w:r>
      <w:r w:rsidR="0061012F" w:rsidRPr="003E0254">
        <w:t xml:space="preserve"> and </w:t>
      </w:r>
      <w:r w:rsidR="00041DFD" w:rsidRPr="003E0254">
        <w:t xml:space="preserve">the solvent </w:t>
      </w:r>
      <w:r w:rsidR="0061012F" w:rsidRPr="003E0254">
        <w:t>H</w:t>
      </w:r>
      <w:r w:rsidR="0061012F" w:rsidRPr="003E0254">
        <w:rPr>
          <w:vertAlign w:val="subscript"/>
        </w:rPr>
        <w:t>2</w:t>
      </w:r>
      <w:r w:rsidR="0061012F" w:rsidRPr="003E0254">
        <w:t xml:space="preserve">O decrease the </w:t>
      </w:r>
      <w:r w:rsidR="00041DFD" w:rsidRPr="003E0254">
        <w:t xml:space="preserve">number of </w:t>
      </w:r>
      <w:r w:rsidR="0061012F" w:rsidRPr="003E0254">
        <w:t>free H</w:t>
      </w:r>
      <w:r w:rsidR="0061012F" w:rsidRPr="003E0254">
        <w:rPr>
          <w:vertAlign w:val="subscript"/>
        </w:rPr>
        <w:t>2</w:t>
      </w:r>
      <w:r w:rsidR="0061012F" w:rsidRPr="003E0254">
        <w:t>O molecules and reduce their activity, effectively suppressing parasitic side reactions and increasing the stability window to 2.6 V vs. Zn</w:t>
      </w:r>
      <w:r w:rsidR="001F5E64" w:rsidRPr="003E0254">
        <w:sym w:font="Symbol" w:char="F07C"/>
      </w:r>
      <w:r w:rsidR="0061012F" w:rsidRPr="003E0254">
        <w:t>Zn</w:t>
      </w:r>
      <w:r w:rsidR="0061012F" w:rsidRPr="003E0254">
        <w:rPr>
          <w:vertAlign w:val="superscript"/>
        </w:rPr>
        <w:t>2+</w:t>
      </w:r>
      <w:r w:rsidR="0061012F" w:rsidRPr="003E0254">
        <w:t>.</w:t>
      </w:r>
      <w:r w:rsidR="0061012F" w:rsidRPr="003E0254">
        <w:fldChar w:fldCharType="begin" w:fldLock="1"/>
      </w:r>
      <w:r w:rsidR="00500B8D" w:rsidRPr="003E0254">
        <w:instrText>ADDIN CSL_CITATION {"citationItems":[{"id":"ITEM-1","itemData":{"DOI":"10.1002/adfm.202304791","ISSN":"1616-301X","abstract":"Aqueous zinc</w:instrText>
      </w:r>
      <w:r w:rsidR="00500B8D" w:rsidRPr="003E0254">
        <w:rPr>
          <w:rFonts w:ascii="Cambria Math" w:hAnsi="Cambria Math" w:cs="Cambria Math"/>
        </w:rPr>
        <w:instrText>‐</w:instrText>
      </w:r>
      <w:r w:rsidR="00500B8D" w:rsidRPr="003E0254">
        <w:instrText xml:space="preserve">ion batteries (ZIBs) gain attention as promising energy storage devices due to their high safety. However, the narrow electrochemical window and unfavorable side reactions induced by water decomposition restrict their development. Thus, confining water activity to enhance stability and enlarge the electrochemical window is required. Herein, a 2.9 m (mol kg solvent </w:instrText>
      </w:r>
      <w:r w:rsidR="00500B8D" w:rsidRPr="003E0254">
        <w:rPr>
          <w:rFonts w:ascii="Aptos" w:hAnsi="Aptos" w:cs="Aptos"/>
        </w:rPr>
        <w:instrText>−</w:instrText>
      </w:r>
      <w:r w:rsidR="00500B8D" w:rsidRPr="003E0254">
        <w:instrText>1 ) Zn(ClO 4 ) 2 −CO(NH 2 ) 2 −H 2 O ternary aqueous eutectic electrolyte is prepared with restricted water activity at room temperature. The strong intermolecular interactions between CO(NH 2 ) 2 and H 2 O decrease the free H 2 O molecules and reduce their activity to suppress the parasitic reactions. Compared to conventional aqueous electrolytes, this urea</w:instrText>
      </w:r>
      <w:r w:rsidR="00500B8D" w:rsidRPr="003E0254">
        <w:rPr>
          <w:rFonts w:ascii="Cambria Math" w:hAnsi="Cambria Math" w:cs="Cambria Math"/>
        </w:rPr>
        <w:instrText>‐</w:instrText>
      </w:r>
      <w:r w:rsidR="00500B8D" w:rsidRPr="003E0254">
        <w:instrText xml:space="preserve">modified electrolyte exhibits similar ionic conductivity (6.83 mS cm </w:instrText>
      </w:r>
      <w:r w:rsidR="00500B8D" w:rsidRPr="003E0254">
        <w:rPr>
          <w:rFonts w:ascii="Aptos" w:hAnsi="Aptos" w:cs="Aptos"/>
        </w:rPr>
        <w:instrText>−</w:instrText>
      </w:r>
      <w:r w:rsidR="00500B8D" w:rsidRPr="003E0254">
        <w:instrText>1 ) and viscosity (29.5 mPa s) but with a significantly expanded electrochemical stability window (2.6 V) than the conventional one (1.7 V). Additionally, the preferential adsorption and reduction of urea molecules on the zinc surface mediate the formation of an organic solid electrolyte interphase, which passivates the anode and facilitates homogeneous zinc deposition. As a result, this ternary aqueous electrolyte enables high</w:instrText>
      </w:r>
      <w:r w:rsidR="00500B8D" w:rsidRPr="003E0254">
        <w:rPr>
          <w:rFonts w:ascii="Cambria Math" w:hAnsi="Cambria Math" w:cs="Cambria Math"/>
        </w:rPr>
        <w:instrText>‐</w:instrText>
      </w:r>
      <w:r w:rsidR="00500B8D" w:rsidRPr="003E0254">
        <w:instrText xml:space="preserve">voltage zinc/vanadium batteries with a capacity of 125 mAh g </w:instrText>
      </w:r>
      <w:r w:rsidR="00500B8D" w:rsidRPr="003E0254">
        <w:rPr>
          <w:rFonts w:ascii="Aptos" w:hAnsi="Aptos" w:cs="Aptos"/>
        </w:rPr>
        <w:instrText>−</w:instrText>
      </w:r>
      <w:r w:rsidR="00500B8D" w:rsidRPr="003E0254">
        <w:instrText xml:space="preserve">1 for 300 cycles at 5 A g </w:instrText>
      </w:r>
      <w:r w:rsidR="00500B8D" w:rsidRPr="003E0254">
        <w:rPr>
          <w:rFonts w:ascii="Aptos" w:hAnsi="Aptos" w:cs="Aptos"/>
        </w:rPr>
        <w:instrText>−</w:instrText>
      </w:r>
      <w:r w:rsidR="00500B8D" w:rsidRPr="003E0254">
        <w:instrText>1 . This finding demonstrates a low</w:instrText>
      </w:r>
      <w:r w:rsidR="00500B8D" w:rsidRPr="003E0254">
        <w:rPr>
          <w:rFonts w:ascii="Cambria Math" w:hAnsi="Cambria Math" w:cs="Cambria Math"/>
        </w:rPr>
        <w:instrText>‐</w:instrText>
      </w:r>
      <w:r w:rsidR="00500B8D" w:rsidRPr="003E0254">
        <w:instrText>cost and practicable approach for realizing stable aqueous zinc</w:instrText>
      </w:r>
      <w:r w:rsidR="00500B8D" w:rsidRPr="003E0254">
        <w:rPr>
          <w:rFonts w:ascii="Cambria Math" w:hAnsi="Cambria Math" w:cs="Cambria Math"/>
        </w:rPr>
        <w:instrText>‐</w:instrText>
      </w:r>
      <w:r w:rsidR="00500B8D" w:rsidRPr="003E0254">
        <w:instrText>ion batteries with an enlarged electrochemical stability window.","author":[{"dropping-particle":"","family":"Wang","given":"Ziqing","non-dropping-particle":"","parse-names":false,"suffix":""},{"dropping-particle":"","family":"Diao","given":"Jiefeng","non-dropping-particle":"","parse-names":false,"suffix":""},{"dropping-particle":"","family":"Burrow","given":"James N","non-dropping-particle":"","parse-names":false,"suffix":""},{"dropping-particle":"","family":"Reimund","given":"Kevin K","non-dropping-particle":"","parse-names":false,"suffix":""},{"dropping-particle":"","family":"Katyal","given":"Naman","non-dropping-particle":"","parse-names":false,"suffix":""},{"dropping-particle":"","family":"Henkelman","given":"Graeme","non-dropping-particle":"","parse-names":false,"suffix":""},{"dropping-particle":"","family":"Mullins","given":"Charles Buddie","non-dropping-particle":"","parse-names":false,"suffix":""}],"container-title":"Advanced Functional Materials","id":"ITEM-1","issue":"48","issued":{"date-parts":[["2023","11","28"]]},"page":"2304791","publisher":"John Wiley &amp; Sons, Ltd","title":"Urea</w:instrText>
      </w:r>
      <w:r w:rsidR="00500B8D" w:rsidRPr="003E0254">
        <w:rPr>
          <w:rFonts w:ascii="Cambria Math" w:hAnsi="Cambria Math" w:cs="Cambria Math"/>
        </w:rPr>
        <w:instrText>‐</w:instrText>
      </w:r>
      <w:r w:rsidR="00500B8D" w:rsidRPr="003E0254">
        <w:instrText>Modified Ternary Aqueous Electrolyte With Tuned Intermolecular Interactions and Confined Water Activity for High</w:instrText>
      </w:r>
      <w:r w:rsidR="00500B8D" w:rsidRPr="003E0254">
        <w:rPr>
          <w:rFonts w:ascii="Cambria Math" w:hAnsi="Cambria Math" w:cs="Cambria Math"/>
        </w:rPr>
        <w:instrText>‐</w:instrText>
      </w:r>
      <w:r w:rsidR="00500B8D" w:rsidRPr="003E0254">
        <w:instrText>Stability and High</w:instrText>
      </w:r>
      <w:r w:rsidR="00500B8D" w:rsidRPr="003E0254">
        <w:rPr>
          <w:rFonts w:ascii="Cambria Math" w:hAnsi="Cambria Math" w:cs="Cambria Math"/>
        </w:rPr>
        <w:instrText>‐</w:instrText>
      </w:r>
      <w:r w:rsidR="00500B8D" w:rsidRPr="003E0254">
        <w:instrText>Voltage Zinc</w:instrText>
      </w:r>
      <w:r w:rsidR="00500B8D" w:rsidRPr="003E0254">
        <w:rPr>
          <w:rFonts w:ascii="Cambria Math" w:hAnsi="Cambria Math" w:cs="Cambria Math"/>
        </w:rPr>
        <w:instrText>‐</w:instrText>
      </w:r>
      <w:r w:rsidR="00500B8D" w:rsidRPr="003E0254">
        <w:instrText>Ion Batteries","type":"article-journal","volume":"33"},"uris":["http://www.mendeley.com/documents/?uuid=06c7a24c-e410-33fa-b6ad-26f6fcf151ae"]}],"mendeley":{"formattedCitation":"&lt;sup&gt;[160]&lt;/sup&gt;","plainTextFormattedCitation":"[160]","previouslyFormattedCitation":"&lt;sup&gt;[159]&lt;/sup&gt;"},"properties":{"noteIndex":0},"schema":"https://github.com/citation-style-language/schema/raw/master/csl-citation.json"}</w:instrText>
      </w:r>
      <w:r w:rsidR="0061012F" w:rsidRPr="003E0254">
        <w:fldChar w:fldCharType="separate"/>
      </w:r>
      <w:r w:rsidR="00500B8D" w:rsidRPr="003E0254">
        <w:rPr>
          <w:noProof/>
          <w:vertAlign w:val="superscript"/>
        </w:rPr>
        <w:t>[160]</w:t>
      </w:r>
      <w:r w:rsidR="0061012F" w:rsidRPr="003E0254">
        <w:fldChar w:fldCharType="end"/>
      </w:r>
    </w:p>
    <w:p w14:paraId="7DC1D767" w14:textId="783C7C2A" w:rsidR="00C60055" w:rsidRPr="003E0254" w:rsidRDefault="000D0BA2" w:rsidP="00C60055">
      <w:pPr>
        <w:spacing w:line="276" w:lineRule="auto"/>
        <w:jc w:val="both"/>
      </w:pPr>
      <w:r w:rsidRPr="003E0254">
        <w:t xml:space="preserve">Compared to aqueous electrolytes, organic electrolytes generally </w:t>
      </w:r>
      <w:r w:rsidR="00041DFD" w:rsidRPr="003E0254">
        <w:t>display</w:t>
      </w:r>
      <w:r w:rsidRPr="003E0254">
        <w:t xml:space="preserve"> a much </w:t>
      </w:r>
      <w:r w:rsidR="00041DFD" w:rsidRPr="003E0254">
        <w:t xml:space="preserve">wider </w:t>
      </w:r>
      <w:r w:rsidRPr="003E0254">
        <w:t>electrochemical stability window</w:t>
      </w:r>
      <w:r w:rsidR="0061012F" w:rsidRPr="003E0254">
        <w:t xml:space="preserve"> without additives, do </w:t>
      </w:r>
      <w:r w:rsidR="00A6715D" w:rsidRPr="003E0254">
        <w:t>typically</w:t>
      </w:r>
      <w:r w:rsidR="0061012F" w:rsidRPr="003E0254">
        <w:t xml:space="preserve"> not </w:t>
      </w:r>
      <w:r w:rsidR="00A6715D" w:rsidRPr="003E0254">
        <w:t>lead</w:t>
      </w:r>
      <w:r w:rsidR="0061012F" w:rsidRPr="003E0254">
        <w:t xml:space="preserve"> </w:t>
      </w:r>
      <w:r w:rsidR="00A6715D" w:rsidRPr="003E0254">
        <w:t xml:space="preserve">to </w:t>
      </w:r>
      <w:r w:rsidR="0061012F" w:rsidRPr="003E0254">
        <w:t xml:space="preserve">transition metal </w:t>
      </w:r>
      <w:r w:rsidR="00041DFD" w:rsidRPr="003E0254">
        <w:t>dissolution</w:t>
      </w:r>
      <w:r w:rsidR="0061012F" w:rsidRPr="003E0254">
        <w:t>,</w:t>
      </w:r>
      <w:r w:rsidRPr="003E0254">
        <w:t xml:space="preserve"> and can generate higher cell voltages even when using the same electrode materials. In addition to the slightly higher price compared to water, the lower solubility of the </w:t>
      </w:r>
      <w:r w:rsidR="00C60055" w:rsidRPr="003E0254">
        <w:t xml:space="preserve">conducting salt, poorer </w:t>
      </w:r>
      <w:r w:rsidR="00A439A1" w:rsidRPr="003E0254">
        <w:t>zinc-metal</w:t>
      </w:r>
      <w:r w:rsidR="00C60055" w:rsidRPr="003E0254">
        <w:t xml:space="preserve"> conductivity</w:t>
      </w:r>
      <w:r w:rsidR="00A6715D" w:rsidRPr="003E0254">
        <w:t>,</w:t>
      </w:r>
      <w:r w:rsidR="00C60055" w:rsidRPr="003E0254">
        <w:t xml:space="preserve"> and high de</w:t>
      </w:r>
      <w:r w:rsidR="004B5EA1" w:rsidRPr="003E0254">
        <w:t>-</w:t>
      </w:r>
      <w:r w:rsidR="00C60055" w:rsidRPr="003E0254">
        <w:t xml:space="preserve">solvation energy have so far prevented the widespread use of organic electrolytes in </w:t>
      </w:r>
      <w:r w:rsidR="00A439A1" w:rsidRPr="003E0254">
        <w:t>zinc-metal</w:t>
      </w:r>
      <w:r w:rsidR="00C60055" w:rsidRPr="003E0254">
        <w:t xml:space="preserve"> </w:t>
      </w:r>
      <w:r w:rsidR="00C60055" w:rsidRPr="003E0254">
        <w:lastRenderedPageBreak/>
        <w:t>batteries.</w:t>
      </w:r>
      <w:r w:rsidR="00FC75AC" w:rsidRPr="003E0254">
        <w:fldChar w:fldCharType="begin" w:fldLock="1"/>
      </w:r>
      <w:r w:rsidR="00500B8D" w:rsidRPr="003E0254">
        <w:instrText>ADDIN CSL_CITATION {"citationItems":[{"id":"ITEM-1","itemData":{"DOI":"10.1002/ADMA.202106409","ISSN":"1521-4095","PMID":"34806240","abstract":"With the growing demands for large-scale energy storage, Zn-ion batteries (ZIBs) with distinct advantages, including resource abundance, low-cost, high-safety, and acceptable energy density, are considered as potential substitutes for Li-ion batteries. Although numerous efforts are devoted to design and develop high performance cathodes and aqueous electrolytes for ZIBs, many challenges, such as hydrogen evolution reaction, water evaporation, and liquid leakage, have greatly hindered the development of aqueous ZIBs. Developing “beyond aqueous” electrolytes can be able to avoid these issues due to the absence of water, which are beneficial for the achieving of highly efficient ZIBs. In this review, the recent development of the “beyond aqueous” electrolytes, including conventional organic electrolytes, ionic liquid, all-solid-state, quasi-solid-state electrolytes, and deep eutectic electrolytes are presented. The critical issues and the corresponding strategies of the designing of “beyond aqueous” electrolytes for ZIBs are also summarized.","author":[{"dropping-particle":"","family":"Lv","given":"Yanqun","non-dropping-particle":"","parse-names":false,"suffix":""},{"dropping-particle":"","family":"Xiao","given":"Ying","non-dropping-particle":"","parse-names":false,"suffix":""},{"dropping-particle":"","family":"Ma","given":"Longtao","non-dropping-particle":"","parse-names":false,"suffix":""},{"dropping-particle":"","family":"Zhi","given":"Chunyi","non-dropping-particle":"","parse-names":false,"suffix":""},{"dropping-particle":"","family":"Chen","given":"Shimou","non-dropping-particle":"","parse-names":false,"suffix":""},{"dropping-particle":"","family":"Lv","given":"Y","non-dropping-particle":"","parse-names":false,"suffix":""},{"dropping-particle":"","family":"Xiao","given":"Y","non-dropping-particle":"","parse-names":false,"suffix":""},{"dropping-particle":"","family":"Chen","given":"S","non-dropping-particle":"","parse-names":false,"suffix":""},{"dropping-particle":"","family":"Ma","given":"L","non-dropping-particle":"","parse-names":false,"suffix":""},{"dropping-particle":"","family":"Zhi","given":"C","non-dropping-particle":"","parse-names":false,"suffix":""}],"container-title":"Advanced Materials","id":"ITEM-1","issue":"4","issued":{"date-parts":[["2022","1","1"]]},"page":"2106409","publisher":"John Wiley &amp; Sons, Ltd","title":"Recent Advances in Electrolytes for “Beyond Aqueous” Zinc-Ion Batteries","type":"article-journal","volume":"34"},"uris":["http://www.mendeley.com/documents/?uuid=63592d54-d1e7-395c-9f1f-92acbe189ad2"]}],"mendeley":{"formattedCitation":"&lt;sup&gt;[114]&lt;/sup&gt;","plainTextFormattedCitation":"[114]","previouslyFormattedCitation":"&lt;sup&gt;[113]&lt;/sup&gt;"},"properties":{"noteIndex":0},"schema":"https://github.com/citation-style-language/schema/raw/master/csl-citation.json"}</w:instrText>
      </w:r>
      <w:r w:rsidR="00FC75AC" w:rsidRPr="003E0254">
        <w:fldChar w:fldCharType="separate"/>
      </w:r>
      <w:r w:rsidR="00500B8D" w:rsidRPr="003E0254">
        <w:rPr>
          <w:noProof/>
          <w:vertAlign w:val="superscript"/>
        </w:rPr>
        <w:t>[114]</w:t>
      </w:r>
      <w:r w:rsidR="00FC75AC" w:rsidRPr="003E0254">
        <w:fldChar w:fldCharType="end"/>
      </w:r>
      <w:r w:rsidR="00C60055" w:rsidRPr="003E0254">
        <w:t xml:space="preserve"> The</w:t>
      </w:r>
      <w:r w:rsidR="00041DFD" w:rsidRPr="003E0254">
        <w:t xml:space="preserve"> used</w:t>
      </w:r>
      <w:r w:rsidR="00C60055" w:rsidRPr="003E0254">
        <w:t xml:space="preserve"> salts are basically the same as for aqueous electrolytes. Acetonitrile (sometimes in composition with small amounts of water) and carbonates like e.g. propylene carbonate are most often used as organic </w:t>
      </w:r>
      <w:r w:rsidR="00EF1735" w:rsidRPr="003E0254">
        <w:t>ZMB</w:t>
      </w:r>
      <w:r w:rsidR="00C60055" w:rsidRPr="003E0254">
        <w:t xml:space="preserve"> </w:t>
      </w:r>
      <w:r w:rsidR="003C13B3" w:rsidRPr="003E0254">
        <w:t xml:space="preserve">electrolyte </w:t>
      </w:r>
      <w:r w:rsidR="00041DFD" w:rsidRPr="003E0254">
        <w:t>solvents</w:t>
      </w:r>
      <w:r w:rsidR="00C60055" w:rsidRPr="003E0254">
        <w:t>. Apart from these well-investigated options, recent studies also show that, for example, trimethyl or triethyl phosphate as the sole solvent or as an additive in aqueous electrolytes can lead to more even stripping/plating and high cycl</w:t>
      </w:r>
      <w:r w:rsidR="00E02922" w:rsidRPr="003E0254">
        <w:t>ing</w:t>
      </w:r>
      <w:r w:rsidR="00C60055" w:rsidRPr="003E0254">
        <w:t xml:space="preserve"> stability, since the phosphate-rich SEI that forms during cycling </w:t>
      </w:r>
      <w:r w:rsidR="004B5EA1" w:rsidRPr="003E0254">
        <w:t>substantially</w:t>
      </w:r>
      <w:r w:rsidR="00C60055" w:rsidRPr="003E0254">
        <w:t xml:space="preserve"> reduces dendrite growth at the anode.</w:t>
      </w:r>
      <w:r w:rsidR="00FC75AC" w:rsidRPr="003E0254">
        <w:fldChar w:fldCharType="begin" w:fldLock="1"/>
      </w:r>
      <w:r w:rsidR="00500B8D" w:rsidRPr="003E0254">
        <w:instrText>ADDIN CSL_CITATION {"citationItems":[{"id":"ITEM-1","itemData":{"DOI":"10.1002/anie.201813223","ISSN":"1433-7851","PMID":"30604584","abstract":"Zinc metal is an attractive anode material for next</w:instrText>
      </w:r>
      <w:r w:rsidR="00500B8D" w:rsidRPr="003E0254">
        <w:rPr>
          <w:rFonts w:ascii="Cambria Math" w:hAnsi="Cambria Math" w:cs="Cambria Math"/>
        </w:rPr>
        <w:instrText>‐</w:instrText>
      </w:r>
      <w:r w:rsidR="00500B8D" w:rsidRPr="003E0254">
        <w:instrText>generation batteries. However, dendrite growth and limited Coulombic efficiency (CE) during cycling are the major roadblocks towards the widespread commercialization of batteries employing Zn anodes. In this work we report the novel adoption of triethyl phosphate (TEP) as a solvent and co</w:instrText>
      </w:r>
      <w:r w:rsidR="00500B8D" w:rsidRPr="003E0254">
        <w:rPr>
          <w:rFonts w:ascii="Cambria Math" w:hAnsi="Cambria Math" w:cs="Cambria Math"/>
        </w:rPr>
        <w:instrText>‐</w:instrText>
      </w:r>
      <w:r w:rsidR="00500B8D" w:rsidRPr="003E0254">
        <w:instrText>solvent with aqueous electrolytes to obtain a highly stable and dendrite</w:instrText>
      </w:r>
      <w:r w:rsidR="00500B8D" w:rsidRPr="003E0254">
        <w:rPr>
          <w:rFonts w:ascii="Cambria Math" w:hAnsi="Cambria Math" w:cs="Cambria Math"/>
        </w:rPr>
        <w:instrText>‐</w:instrText>
      </w:r>
      <w:r w:rsidR="00500B8D" w:rsidRPr="003E0254">
        <w:instrText>free Zn anode. Stable Zn plating/stripping for over 3000 h was obtained, accompanied by a CE of 99.68 %. SEM images of the Zn anodes revealed highly porous interconnected dendrite</w:instrText>
      </w:r>
      <w:r w:rsidR="00500B8D" w:rsidRPr="003E0254">
        <w:rPr>
          <w:rFonts w:ascii="Cambria Math" w:hAnsi="Cambria Math" w:cs="Cambria Math"/>
        </w:rPr>
        <w:instrText>‐</w:instrText>
      </w:r>
      <w:r w:rsidR="00500B8D" w:rsidRPr="003E0254">
        <w:instrText>free Zn deposits. The electrolyte displayed good compatibility with both Zn anodes and potassium copper hexacyanoferrate (KCuHCf) cathodes for Zn ion batteries (ZIBs). The full cell showed a long cycling stability and high rate capability. The present work is a contribution towards cost</w:instrText>
      </w:r>
      <w:r w:rsidR="00500B8D" w:rsidRPr="003E0254">
        <w:rPr>
          <w:rFonts w:ascii="Cambria Math" w:hAnsi="Cambria Math" w:cs="Cambria Math"/>
        </w:rPr>
        <w:instrText>‐</w:instrText>
      </w:r>
      <w:r w:rsidR="00500B8D" w:rsidRPr="003E0254">
        <w:instrText>effective and safe battery systems.","author":[{"dropping-particle":"","family":"Naveed","given":"Ahmad","non-dropping-particle":"","parse-names":false,"suffix":""},{"dropping-particle":"","family":"Yang","given":"Huijun","non-dropping-particle":"","parse-names":false,"suffix":""},{"dropping-particle":"","family":"Yang","given":"Jun","non-dropping-particle":"","parse-names":false,"suffix":""},{"dropping-particle":"","family":"Nuli","given":"Yanna","non-dropping-particle":"","parse-names":false,"suffix":""},{"dropping-particle":"","family":"Wang","given":"Jiulin","non-dropping-particle":"","parse-names":false,"suffix":""}],"container-title":"Angewandte Chemie International Edition","id":"ITEM-1","issue":"9","issued":{"date-parts":[["2019","2","25"]]},"page":"2760-2764","publisher":"John Wiley &amp; Sons, Ltd","title":"Highly Reversible and Rechargeable Safe Zn Batteries Based on a Triethyl Phosphate Electrolyte","type":"article-journal","volume":"58"},"uris":["http://www.mendeley.com/documents/?uuid=cee16189-5e22-3333-85de-4f7b123b803b"]},{"id":"ITEM-2","itemData":{"DOI":"10.1021/ACSSUSCHEMENG.2C05410/ASSET/IMAGES/LARGE/SC2C05410_0006.JPEG","ISSN":"21680485","abstract":"Aqueous zinc batteries (AZBs) are environment-friendly batteries with good application prospects. However, their applications are plagued by the dendrite growth of Zn anodes and the absence of suitable cathodes. Herein, we design and realize high-performance AZBs by using an organic cathode of 5,7,12,14-pentacenetetrone (PT) and a trimethyl phosphate (TMP)/water hybrid electrolyte. The COMSOL simulations and spectroscopy studies collectively demonstrate a strong interaction between TMP and Zn2+, thus changing the solvation structure and suppressing the parasitic reactions, finally enabling dendrite-free Zn plating/stripping. The hybrid electrolyte shows good compatibility with the PT cathode. As a consequence, the Zn//PT full cell employing the hybrid electrolyte exhibits remarkable capacity (229.4 mA h g-1 at 0.1 A g-1), extraordinary rate performance, and long-term cycling (84.18% retention after 9600 cycles) at a wide temperature range (−20 to 65 °C).","author":[{"dropping-particle":"","family":"Wu","given":"Miaomiao","non-dropping-particle":"","parse-names":false,"suffix":""},{"dropping-particle":"","family":"Su","given":"Wenqi","non-dropping-particle":"","parse-names":false,"suffix":""},{"dropping-particle":"","family":"Wang","given":"Xingchao","non-dropping-particle":"","parse-names":false,"suffix":""},{"dropping-particle":"","family":"Liu","given":"Zhibo","non-dropping-particle":"","parse-names":false,"suffix":""},{"dropping-particle":"","family":"Zhang","given":"Fei","non-dropping-particle":"","parse-names":false,"suffix":""},{"dropping-particle":"","family":"Luo","given":"Zhiqiang","non-dropping-particle":"","parse-names":false,"suffix":""},{"dropping-particle":"","family":"Yang","given":"Aikai","non-dropping-particle":"","parse-names":false,"suffix":""},{"dropping-particle":"","family":"Yeleken","given":"Palizhaye","non-dropping-particle":"","parse-names":false,"suffix":""},{"dropping-particle":"","family":"Miao","given":"Zezhong","non-dropping-particle":"","parse-names":false,"suffix":""},{"dropping-particle":"","family":"Huang","given":"Yudai","non-dropping-particle":"","parse-names":false,"suffix":""}],"container-title":"ACS Sustainable Chemistry and Engineering","id":"ITEM-2","issue":"3","issued":{"date-parts":[["2023","1","23"]]},"page":"957-964","publisher":"American Chemical Society","title":"Long-Life Aqueous Zinc-Organic Batteries with a Trimethyl Phosphate Electrolyte and Organic Cathode","type":"article-journal","volume":"11"},"uris":["http://www.mendeley.com/documents/?uuid=5b810cac-850c-39b6-9436-a941e97ce2c2"]}],"mendeley":{"formattedCitation":"&lt;sup&gt;[161,162]&lt;/sup&gt;","plainTextFormattedCitation":"[161,162]","previouslyFormattedCitation":"&lt;sup&gt;[160,161]&lt;/sup&gt;"},"properties":{"noteIndex":0},"schema":"https://github.com/citation-style-language/schema/raw/master/csl-citation.json"}</w:instrText>
      </w:r>
      <w:r w:rsidR="00FC75AC" w:rsidRPr="003E0254">
        <w:fldChar w:fldCharType="separate"/>
      </w:r>
      <w:r w:rsidR="00500B8D" w:rsidRPr="003E0254">
        <w:rPr>
          <w:noProof/>
          <w:vertAlign w:val="superscript"/>
        </w:rPr>
        <w:t>[161,162]</w:t>
      </w:r>
      <w:r w:rsidR="00FC75AC" w:rsidRPr="003E0254">
        <w:fldChar w:fldCharType="end"/>
      </w:r>
      <w:r w:rsidR="00C60055" w:rsidRPr="003E0254">
        <w:t xml:space="preserve"> Further examples for cheap, environmentally friendly and abundant additives are sodium citrate</w:t>
      </w:r>
      <w:r w:rsidR="00C60055" w:rsidRPr="003E0254">
        <w:rPr>
          <w:rStyle w:val="Kommentarzeichen"/>
        </w:rPr>
        <w:t xml:space="preserve">, </w:t>
      </w:r>
      <w:r w:rsidR="00C60055" w:rsidRPr="003E0254">
        <w:t>amino acids or ethylene glycol in aqueous electrolytes.</w:t>
      </w:r>
      <w:r w:rsidR="00FC75AC" w:rsidRPr="003E0254">
        <w:fldChar w:fldCharType="begin" w:fldLock="1"/>
      </w:r>
      <w:r w:rsidR="00500B8D" w:rsidRPr="003E0254">
        <w:instrText>ADDIN CSL_CITATION {"citationItems":[{"id":"ITEM-1","itemData":{"DOI":"10.3390/BATTERIES10030097","ISSN":"2313-0105","abstract":"Despite features of cost-effectiveness, high safety, and superior capacity, aqueous zinc-ion batteries (ZIBs) have issues of uncontrolled dendritic cell failure and poor Zn utilization, resulting in inferior cycling reversibility. Herein, the environmentally friendly and naturally abundant sodium citrate (SC) was adopted as a dual-functional additive for ZnSO4-based (ZSO) electrolytes. Owing to the abundant hydrogen-bond donors and hydrogen-bond acceptors of SC, the Zn2+-solvation shell is interrupted to facilitate Zn desolvation, resulting in inhibited corrosion reactions. Additionally, sodium ions (Na+) from the SC additive with a lower effective reduction potential than that of zinc ions (Zn2+) form an electrostatic shield inhibiting the formation of initial surface protuberances and subsequent Zn dendrite growth. This assists in the Zn three-dimensional (3D) diffusion and deposition, thereby effectively enhancing cycling stability. Specifically, a long cycling lifespan (more than 760 h) of the Zn//Zn symmetric cell is achieved with a 2 M ZSO-1.0 SC electrolyte at a current density of 1 mA cm−2. When coupled with the NaV3O8·1.5 H2O (NVO) cathode, the full battery containing SC additive exhibited a capacity retention rate (40.0%) and a cycling life of 400 cycles at a current density of 1 A g−1 compared with that of pure ZnSO4 electrolyte (23.8%). This work provides a protocol for selecting an environmentally friendly and naturally abundant dual-functional electrolyte additive to achieve solvation shell regulation and Zn anode protection for the practical large-scale application of ZIBs.","author":[{"dropping-particle":"","family":"Liu","given":"Xin","non-dropping-particle":"","parse-names":false,"suffix":""},{"dropping-particle":"","family":"Yue","given":"Liang","non-dropping-particle":"","parse-names":false,"suffix":""},{"dropping-particle":"","family":"Dong","given":"Weixu","non-dropping-particle":"","parse-names":false,"suffix":""},{"dropping-particle":"","family":"Qu","given":"Yifan","non-dropping-particle":"","parse-names":false,"suffix":""},{"dropping-particle":"","family":"Sun","given":"Xianzhong","non-dropping-particle":"","parse-names":false,"suffix":""},{"dropping-particle":"","family":"Chen","given":"Lifeng","non-dropping-particle":"","parse-names":false,"suffix":""}],"container-title":"Batteries 2024, Vol. 10, Page 97","id":"ITEM-1","issue":"3","issued":{"date-parts":[["2024","3","11"]]},"page":"97","publisher":"Multidisciplinary Digital Publishing Institute","title":"Sodium Citrate Electrolyte Additive to Improve Zinc Anode Behavior in Aqueous Zinc-Ion Batteries","type":"article-journal","volume":"10"},"uris":["http://www.mendeley.com/documents/?uuid=018744cb-478f-3b13-82a9-08671a8c1b6a"]},{"id":"ITEM-2","itemData":{"DOI":"10.1002/smll.202400221","ISSN":"1613-6810","PMID":"38586921","abstract":"Aqueous zinc</w:instrText>
      </w:r>
      <w:r w:rsidR="00500B8D" w:rsidRPr="003E0254">
        <w:rPr>
          <w:rFonts w:ascii="Cambria Math" w:hAnsi="Cambria Math" w:cs="Cambria Math"/>
        </w:rPr>
        <w:instrText>‐</w:instrText>
      </w:r>
      <w:r w:rsidR="00500B8D" w:rsidRPr="003E0254">
        <w:instrText>ion batteries (ZIBs) stand out as a promising next</w:instrText>
      </w:r>
      <w:r w:rsidR="00500B8D" w:rsidRPr="003E0254">
        <w:rPr>
          <w:rFonts w:ascii="Cambria Math" w:hAnsi="Cambria Math" w:cs="Cambria Math"/>
        </w:rPr>
        <w:instrText>‐</w:instrText>
      </w:r>
      <w:r w:rsidR="00500B8D" w:rsidRPr="003E0254">
        <w:instrText>generation electrochemical energy storage technology, offering notable advantages such as high specific capacity, enhanced safety, and cost</w:instrText>
      </w:r>
      <w:r w:rsidR="00500B8D" w:rsidRPr="003E0254">
        <w:rPr>
          <w:rFonts w:ascii="Cambria Math" w:hAnsi="Cambria Math" w:cs="Cambria Math"/>
        </w:rPr>
        <w:instrText>‐</w:instrText>
      </w:r>
      <w:r w:rsidR="00500B8D" w:rsidRPr="003E0254">
        <w:instrText>effectiveness. However, the application of aqueous electrolytes introduces challenges: Zn dendrite formation and parasitic reactions at the anode, as well as dissolution, electrostatic interaction, and by</w:instrText>
      </w:r>
      <w:r w:rsidR="00500B8D" w:rsidRPr="003E0254">
        <w:rPr>
          <w:rFonts w:ascii="Cambria Math" w:hAnsi="Cambria Math" w:cs="Cambria Math"/>
        </w:rPr>
        <w:instrText>‐</w:instrText>
      </w:r>
      <w:r w:rsidR="00500B8D" w:rsidRPr="003E0254">
        <w:instrText>product formation at the cathode. In addressing these electrode</w:instrText>
      </w:r>
      <w:r w:rsidR="00500B8D" w:rsidRPr="003E0254">
        <w:rPr>
          <w:rFonts w:ascii="Cambria Math" w:hAnsi="Cambria Math" w:cs="Cambria Math"/>
        </w:rPr>
        <w:instrText>‐</w:instrText>
      </w:r>
      <w:r w:rsidR="00500B8D" w:rsidRPr="003E0254">
        <w:instrText>centric problems, additive engineering has emerged as an effective strategy. This review delves into the latest advancements in electrolyte additives for ZIBs, emphasizing their role in resolving the existing issues. Key focus areas include improving morphology and reducing side reactions during battery cycling using synergistic effects of modulating anode interface regulation, zinc facet control, and restructuring of hydrogen bonds and solvation sheaths. Special attention is given to the efficacy of amino acids and zwitterions due to their multifunction to improve the cycling performance of batteries concerning cycle stability and lifespan. Additionally, the recent additive advancements are studied for low</w:instrText>
      </w:r>
      <w:r w:rsidR="00500B8D" w:rsidRPr="003E0254">
        <w:rPr>
          <w:rFonts w:ascii="Cambria Math" w:hAnsi="Cambria Math" w:cs="Cambria Math"/>
        </w:rPr>
        <w:instrText>‐</w:instrText>
      </w:r>
      <w:r w:rsidR="00500B8D" w:rsidRPr="003E0254">
        <w:instrText>temperature and extreme weather applications meticulously. This review concludes with a holistic look at the future of additive engineering, underscoring its critical role in advancing ZIB performance amidst the complexities and challenges of electrolyte additives.","author":[{"dropping-particle":"","family":"Cao","given":"Jianghui","non-dropping-particle":"","parse-names":false,"suffix":""},{"dropping-particle":"","family":"Zhao","given":"Fang","non-dropping-particle":"","parse-names":false,"suffix":""},{"dropping-particle":"","family":"Guan","given":"Weixin","non-dropping-particle":"","parse-names":false,"suffix":""},{"dropping-particle":"","family":"Yang","given":"Xiaoxuan","non-dropping-particle":"","parse-names":false,"suffix":""},{"dropping-particle":"","family":"Zhao","given":"Qidong","non-dropping-particle":"","parse-names":false,"suffix":""},{"dropping-particle":"","family":"Gao","given":"Liguo","non-dropping-particle":"","parse-names":false,"suffix":""},{"dropping-particle":"","family":"Ren","given":"Xuefeng","non-dropping-particle":"","parse-names":false,"suffix":""},{"dropping-particle":"","family":"Wu","given":"Gang","non-dropping-particle":"","parse-names":false,"suffix":""},{"dropping-particle":"","family":"Liu","given":"Anmin","non-dropping-particle":"","parse-names":false,"suffix":""}],"container-title":"Small","id":"ITEM-2","issue":"33","issued":{"date-parts":[["2024","8","8"]]},"page":"2400221","publisher":"John Wiley &amp; Sons, Ltd","title":"Additives for Aqueous Zinc</w:instrText>
      </w:r>
      <w:r w:rsidR="00500B8D" w:rsidRPr="003E0254">
        <w:rPr>
          <w:rFonts w:ascii="Cambria Math" w:hAnsi="Cambria Math" w:cs="Cambria Math"/>
        </w:rPr>
        <w:instrText>‐</w:instrText>
      </w:r>
      <w:r w:rsidR="00500B8D" w:rsidRPr="003E0254">
        <w:instrText>Ion Batteries: Recent Progress, Mechanism Analysis, and Future Perspectives","type":"article-journal","volume":"20"},"uris":["http://www.mendeley.com/documents/?uuid=2ab27e52-fa16-39df-bb4f-020d48d0c380"]},{"id":"ITEM-3","itemData":{"DOI":"10.1039/D0EE01538E","ISSN":"1754-5706","abstract":"Aqueous zinc-based energy storage (ZES) devices are promising candidates for portable and grid-scale applications owing to their intrinsically high safety, low cost, and high theoretical energy density. However, the conventional aqueous electrolytes are not capable of working at low temperature. Here we report a frigostable, cost-effective, safe and eco-friendly hybrid electrolyte with high zinc-ion conductivity (6.9 mS cm−1 at −40 °C), and high reversibility of Zn plating/stripping, which consists of water, ethylene glycol (EG) and zinc sulfate salt (ZnSO4). Experiments together with theoretical calculations demonstrated that the unique solvation interaction of Zn2+ with EG can effectively enhance the hydrogen bonding between EG and H2O and weaken the solvation interaction of Zn2+ with H2O, thus providing the hybrid electrolyte with a lower freezing point and reversible Zn/Zn2+ chemistry. As a proof-of-concept, both Zn-ion hybrid supercapacitors (ZHSCs) and Zn-ion batteries (ZIBs) with the hybrid electrolytes delivered high energy densities (36 W h kg−1 for the ZHSC and 121 W h kg−1 for the ZIB), high power densities (3.1 kW kg−1 for the ZHSC and 1.7 kW kg−1 for the ZIB) and long-cycle life (5500 cycles over 110 days for the ZHSC and 250 cycles for the ZIB) at −20 °C. This work provides a new option for low-temperature energy storage devices.","author":[{"dropping-particle":"","family":"Chang","given":"Nana","non-dropping-particle":"","parse-names":false,"suffix":""},{"dropping-particle":"","family":"Li","given":"Tianyu","non-dropping-particle":"","parse-names":false,"suffix":""},{"dropping-particle":"","family":"Li","given":"Rui","non-dropping-particle":"","parse-names":false,"suffix":""},{"dropping-particle":"","family":"Wang","given":"Shengnan","non-dropping-particle":"","parse-names":false,"suffix":""},{"dropping-particle":"","family":"Yin","given":"Yanbin","non-dropping-particle":"","parse-names":false,"suffix":""},{"dropping-particle":"","family":"Zhang","given":"Huamin","non-dropping-particle":"","parse-names":false,"suffix":""},{"dropping-particle":"","family":"Li","given":"Xianfeng","non-dropping-particle":"","parse-names":false,"suffix":""}],"container-title":"Energy &amp; Environmental Science","id":"ITEM-3","issue":"10","issued":{"date-parts":[["2020","10","14"]]},"page":"3527-3535","publisher":"The Royal Society of Chemistry","title":"An aqueous hybrid electrolyte for low-temperature zinc-based energy storage devices","type":"article-journal","volume":"13"},"uris":["http://www.mendeley.com/documents/?uuid=2c25ca70-8175-3e7b-9c12-37824064c9fd"]}],"mendeley":{"formattedCitation":"&lt;sup&gt;[45,68,70]&lt;/sup&gt;","plainTextFormattedCitation":"[45,68,70]","previouslyFormattedCitation":"&lt;sup&gt;[45,67,69]&lt;/sup&gt;"},"properties":{"noteIndex":0},"schema":"https://github.com/citation-style-language/schema/raw/master/csl-citation.json"}</w:instrText>
      </w:r>
      <w:r w:rsidR="00FC75AC" w:rsidRPr="003E0254">
        <w:fldChar w:fldCharType="separate"/>
      </w:r>
      <w:r w:rsidR="00500B8D" w:rsidRPr="003E0254">
        <w:rPr>
          <w:noProof/>
          <w:vertAlign w:val="superscript"/>
        </w:rPr>
        <w:t>[45,68,70]</w:t>
      </w:r>
      <w:r w:rsidR="00FC75AC" w:rsidRPr="003E0254">
        <w:fldChar w:fldCharType="end"/>
      </w:r>
      <w:r w:rsidR="00C60055" w:rsidRPr="003E0254">
        <w:t xml:space="preserve"> They all help to break the solvation shell of the Zn</w:t>
      </w:r>
      <w:r w:rsidR="00C60055" w:rsidRPr="003E0254">
        <w:rPr>
          <w:vertAlign w:val="superscript"/>
        </w:rPr>
        <w:t>2+</w:t>
      </w:r>
      <w:r w:rsidR="00C60055" w:rsidRPr="003E0254">
        <w:t xml:space="preserve"> to </w:t>
      </w:r>
      <w:r w:rsidR="00A6715D" w:rsidRPr="003E0254">
        <w:t>mitigate</w:t>
      </w:r>
      <w:r w:rsidR="00C60055" w:rsidRPr="003E0254">
        <w:t xml:space="preserve"> the de</w:t>
      </w:r>
      <w:r w:rsidR="00041DFD" w:rsidRPr="003E0254">
        <w:t>-</w:t>
      </w:r>
      <w:r w:rsidR="00C60055" w:rsidRPr="003E0254">
        <w:t xml:space="preserve">solvation penalty and at the same time support a more even stripping/plating process at the anode by formation of a SEI. In addition to these electrolytes, which are also widely used in lithium-ion batteries, research is also being conducted </w:t>
      </w:r>
      <w:r w:rsidR="00250588" w:rsidRPr="003E0254">
        <w:t>on</w:t>
      </w:r>
      <w:r w:rsidR="00C60055" w:rsidRPr="003E0254">
        <w:t xml:space="preserve"> other promising electrolyte formulations, such as deep eutectic electrolytes.</w:t>
      </w:r>
      <w:r w:rsidR="00FC75AC" w:rsidRPr="003E0254">
        <w:fldChar w:fldCharType="begin" w:fldLock="1"/>
      </w:r>
      <w:r w:rsidR="00500B8D" w:rsidRPr="003E0254">
        <w:instrText>ADDIN CSL_CITATION {"citationItems":[{"id":"ITEM-1","itemData":{"DOI":"10.1039/D3EE00462G","ISSN":"1754-5706","abstract":"Despite their cost-effectiveness and intrinsic safety, aqueous zinc-ion batteries have faced challenges with poor reversibility originating from various active water-induced side reactions. After systematically scrutinizing the effects of water on the evolution of solvation structures, electrolyte properties, and electrochemical performances through experimental and theoretical approaches, a hydrated deep eutectic electrolyte with a water-deficient solvation structure ([Zn(H2O)2(eg)2(otf)2]) and reduced free water content in the bulk solution is proposed in this work. This electrolyte can dramatically suppress water-induced side reactions and provide high Zn2+ mass transfer kinetics, resulting in highly reversible Zn anodes (</w:instrText>
      </w:r>
      <w:r w:rsidR="00500B8D" w:rsidRPr="003E0254">
        <w:rPr>
          <w:rFonts w:ascii="Cambria Math" w:hAnsi="Cambria Math" w:cs="Cambria Math"/>
        </w:rPr>
        <w:instrText>∼</w:instrText>
      </w:r>
      <w:r w:rsidR="00500B8D" w:rsidRPr="003E0254">
        <w:instrText>99.6% Coulombic efficiency over 1000 cycles and stable cycling over 4500 h) and high capacity Zn//NVO full cells (436 mA h g</w:instrText>
      </w:r>
      <w:r w:rsidR="00500B8D" w:rsidRPr="003E0254">
        <w:rPr>
          <w:rFonts w:ascii="Aptos" w:hAnsi="Aptos" w:cs="Aptos"/>
        </w:rPr>
        <w:instrText>−</w:instrText>
      </w:r>
      <w:r w:rsidR="00500B8D" w:rsidRPr="003E0254">
        <w:instrText>1). This work will aid the understanding of electrolyte solvation structure–electrolyte property–electrochemical performance relationships of aqueous electrolytes in aqueous zinc-ion batteries.","author":[{"dropping-particle":"","family":"Chen","given":"Ruwei","non-dropping-particle":"","parse-names":false,"suffix":""},{"dropping-particle":"","family":"Zhang","given":"Chengyi","non-dropping-particle":"","parse-names":false,"suffix":""},{"dropping-particle":"","family":"Li","given":"Jianwei","non-dropping-particle":"","parse-names":false,"suffix":""},{"dropping-particle":"","family":"Du","given":"Zijuan","non-dropping-particle":"","parse-names":false,"suffix":""},{"dropping-particle":"","family":"Guo","given":"Fei","non-dropping-particle":"","parse-names":false,"suffix":""},{"dropping-particle":"","family":"Zhang","given":"Wei","non-dropping-particle":"","parse-names":false,"suffix":""},{"dropping-particle":"","family":"Dai","given":"Yuhang","non-dropping-particle":"","parse-names":false,"suffix":""},{"dropping-particle":"","family":"Zong","given":"Wei","non-dropping-particle":"","parse-names":false,"suffix":""},{"dropping-particle":"","family":"Gao","given":"Xuan","non-dropping-particle":"","parse-names":false,"suffix":""},{"dropping-particle":"","family":"Zhu","given":"Jiexin","non-dropping-particle":"","parse-names":false,"suffix":""},{"dropping-particle":"","family":"Zhao","given":"Yan","non-dropping-particle":"","parse-names":false,"suffix":""},{"dropping-particle":"","family":"Wang","given":"Xiaohui","non-dropping-particle":"","parse-names":false,"suffix":""},{"dropping-particle":"","family":"He","given":"Guanjie","non-dropping-particle":"","parse-names":false,"suffix":""}],"container-title":"Energy &amp; Environmental Science","id":"ITEM-1","issue":"6","issued":{"date-parts":[["2023","6","14"]]},"page":"2540-2549","publisher":"The Royal Society of Chemistry","title":"A hydrated deep eutectic electrolyte with finely-tuned solvation chemistry for high-performance zinc-ion batteries","type":"article-journal","volume":"16"},"uris":["http://www.mendeley.com/documents/?uuid=e2c64d5e-254e-3b3a-a11a-34ee4bd2ba91"]}],"mendeley":{"formattedCitation":"&lt;sup&gt;[163]&lt;/sup&gt;","plainTextFormattedCitation":"[163]","previouslyFormattedCitation":"&lt;sup&gt;[162]&lt;/sup&gt;"},"properties":{"noteIndex":0},"schema":"https://github.com/citation-style-language/schema/raw/master/csl-citation.json"}</w:instrText>
      </w:r>
      <w:r w:rsidR="00FC75AC" w:rsidRPr="003E0254">
        <w:fldChar w:fldCharType="separate"/>
      </w:r>
      <w:r w:rsidR="00500B8D" w:rsidRPr="003E0254">
        <w:rPr>
          <w:noProof/>
          <w:vertAlign w:val="superscript"/>
        </w:rPr>
        <w:t>[163]</w:t>
      </w:r>
      <w:r w:rsidR="00FC75AC" w:rsidRPr="003E0254">
        <w:fldChar w:fldCharType="end"/>
      </w:r>
      <w:r w:rsidR="00C60055" w:rsidRPr="003E0254">
        <w:t xml:space="preserve"> However, these have in most cases not yet match</w:t>
      </w:r>
      <w:r w:rsidR="00250588" w:rsidRPr="003E0254">
        <w:t>ed</w:t>
      </w:r>
      <w:r w:rsidR="00C60055" w:rsidRPr="003E0254">
        <w:t xml:space="preserve"> the performance of organic or aqueous electrolytes.</w:t>
      </w:r>
    </w:p>
    <w:p w14:paraId="5C55B8CE" w14:textId="77777777" w:rsidR="00C26F5C" w:rsidRPr="003E0254" w:rsidRDefault="00C26F5C" w:rsidP="00C60055">
      <w:pPr>
        <w:spacing w:line="276" w:lineRule="auto"/>
        <w:jc w:val="both"/>
      </w:pPr>
    </w:p>
    <w:p w14:paraId="107184B4" w14:textId="01511BD1" w:rsidR="00C60055" w:rsidRPr="003E0254" w:rsidRDefault="00C60055" w:rsidP="00C60055">
      <w:pPr>
        <w:pStyle w:val="berschrift5"/>
        <w:spacing w:line="276" w:lineRule="auto"/>
        <w:rPr>
          <w:b/>
          <w:bCs/>
        </w:rPr>
      </w:pPr>
      <w:r w:rsidRPr="003E0254">
        <w:rPr>
          <w:b/>
          <w:bCs/>
        </w:rPr>
        <w:t>2.</w:t>
      </w:r>
      <w:r w:rsidR="003E4F58" w:rsidRPr="003E0254">
        <w:rPr>
          <w:b/>
          <w:bCs/>
        </w:rPr>
        <w:t>3</w:t>
      </w:r>
      <w:r w:rsidRPr="003E0254">
        <w:rPr>
          <w:b/>
          <w:bCs/>
        </w:rPr>
        <w:t xml:space="preserve">.3.2 Solid and Quasi-Solid Electrolytes </w:t>
      </w:r>
    </w:p>
    <w:p w14:paraId="6DFCB1A6" w14:textId="74D8672D" w:rsidR="00C60055" w:rsidRPr="003E0254" w:rsidRDefault="00C60055" w:rsidP="00C60055">
      <w:pPr>
        <w:spacing w:line="276" w:lineRule="auto"/>
        <w:jc w:val="both"/>
      </w:pPr>
      <w:r w:rsidRPr="003E0254">
        <w:t xml:space="preserve">Conventional polymer and gel-type electrolytes, most prominently PEO with or without additional organic solvents, are under investigation for </w:t>
      </w:r>
      <w:r w:rsidR="00A439A1" w:rsidRPr="003E0254">
        <w:t>zinc-metal</w:t>
      </w:r>
      <w:r w:rsidRPr="003E0254">
        <w:t xml:space="preserve"> batteries</w:t>
      </w:r>
      <w:r w:rsidR="0061012F" w:rsidRPr="003E0254">
        <w:t xml:space="preserve"> (see Table 1)</w:t>
      </w:r>
      <w:r w:rsidRPr="003E0254">
        <w:t>.</w:t>
      </w:r>
      <w:r w:rsidR="00887F1C" w:rsidRPr="003E0254">
        <w:fldChar w:fldCharType="begin" w:fldLock="1"/>
      </w:r>
      <w:r w:rsidR="00500B8D" w:rsidRPr="003E0254">
        <w:instrText>ADDIN CSL_CITATION {"citationItems":[{"id":"ITEM-1","itemData":{"DOI":"10.1002/AENM.201903977","ISSN":"1614-6840","abstract":"Aqueous rechargeable zinc ion batteries (ZIBs) have been deemed to be possible candidates for large-scale energy storage due to their ecoefficiency, substantial reserve, safety, and low cost. However, the challenges inherent in aqueous electrolytes, such as water splitting reactions, water evaporation, and liquid leakage, have greatly hindered their development in energy storage. Fortunately, polymer electrolytes would be able to overcome the abovementioned challenges. Moreover, the flexible properties of polymer electrolytes can facilitate their future application in wearable electronics. Recently, increasing attention has been attracted to the polymer electrolyte-based zinc ion batteries. However, the development of polymer electrolytes for ZIBs is still in the early stages due to numerous challenges. Therefore, substantial research effort is required to overcome the challenges of polymer electrolyte-based ZIBs. In this review, the current progress in developing polymer electrolytes, including solid polymer electrolytes, gel polymer electrolytes, and hybrid polymer electrolytes, as well as the interactions between electrodes and polymer electrolytes for ZIBs is comprehensively reviewed, analyzed, and discussed in terms of their synthesis, characterization, and performance validation. To facilitate further research and development of polymer electrolytes for ZIBs, the relevant challenges are summarized and analyzed, and some underlying approaches to overcome these challenges are also proposed.","author":[{"dropping-particle":"","family":"Wu","given":"Kai","non-dropping-particle":"","parse-names":false,"suffix":""},{"dropping-particle":"","family":"Huang","given":"Jianhang","non-dropping-particle":"","parse-names":false,"suffix":""},{"dropping-particle":"","family":"Yi","given":"Jin","non-dropping-particle":"","parse-names":false,"suffix":""},{"dropping-particle":"","family":"Liu","given":"Xiaoyu","non-dropping-particle":"","parse-names":false,"suffix":""},{"dropping-particle":"","family":"Liu","given":"Yuyu","non-dropping-particle":"","parse-names":false,"suffix":""},{"dropping-particle":"","family":"Wang","given":"Yonggang","non-dropping-particle":"","parse-names":false,"suffix":""},{"dropping-particle":"","family":"Zhang","given":"Jiujun","non-dropping-particle":"","parse-names":false,"suffix":""},{"dropping-particle":"","family":"Xia","given":"Yongyao","non-dropping-particle":"","parse-names":false,"suffix":""}],"container-title":"Advanced Energy Materials","id":"ITEM-1","issue":"12","issued":{"date-parts":[["2020","3","1"]]},"page":"1903977","publisher":"John Wiley &amp; Sons, Ltd","title":"Recent Advances in Polymer Electrolytes for Zinc Ion Batteries: Mechanisms, Properties, and Perspectives","type":"article-journal","volume":"10"},"uris":["http://www.mendeley.com/documents/?uuid=658df7cb-3214-3ea7-ae7b-c07b6aa62622"]},{"id":"ITEM-2","itemData":{"DOI":"10.3390/EN16073221","ISSN":"1996-1073","abstract":"Aqueous zinc-ion batteries (AZIBs) and, in particular, Zn//MnO2 rechargeable batteries have attracted great attention due to the abundant natural resources of zinc and manganese, low cost, environmental friendliness, and high operating voltage. Among the various ways to improve the electrochemical performance of MnO2-based cathodes, the development of MnO2 cathodes doped with metal ions or composites of MnO2 with conducting polymers has shown such advantages as increasing the specific capacity and cycling stability. This mini-review focuses on the strategies to improve the electrochemical performance of manganese-based cathodes of AZIBs.","author":[{"dropping-particle":"","family":"Kamenskii","given":"Mikhail A.","non-dropping-particle":"","parse-names":false,"suffix":""},{"dropping-particle":"","family":"Volkov","given":"Filipp S.","non-dropping-particle":"","parse-names":false,"suffix":""},{"dropping-particle":"","family":"Eliseeva","given":"Svetlana N.","non-dropping-particle":"","parse-names":false,"suffix":""},{"dropping-particle":"","family":"Tolstopyatova","given":"Elena G.","non-dropping-particle":"","parse-names":false,"suffix":""},{"dropping-particle":"V.","family":"Kondratiev","given":"Veniamin","non-dropping-particle":"","parse-names":false,"suffix":""}],"container-title":"Energies 2023, Vol. 16, Page 3221","id":"ITEM-2","issue":"7","issued":{"date-parts":[["2023","4","3"]]},"page":"3221","publisher":"Multidisciplinary Digital Publishing Institute","title":"Enhancement of Electrochemical Performance of Aqueous Zinc Ion Batteries by Structural and Interfacial Design of MnO2 Cathodes: The Metal Ion Doping and Introduction of Conducting Polymers","type":"article-journal","volume":"16"},"uris":["http://www.mendeley.com/documents/?uuid=360c86bb-8f78-33b4-a148-61742b59afd0"]},{"id":"ITEM-3","itemData":{"DOI":"10.1002/ADMA.202106409","ISSN":"1521-4095","PMID":"34806240","abstract":"With the growing demands for large-scale energy storage, Zn-ion batteries (ZIBs) with distinct advantages, including resource abundance, low-cost, high-safety, and acceptable energy density, are considered as potential substitutes for Li-ion batteries. Although numerous efforts are devoted to design and develop high performance cathodes and aqueous electrolytes for ZIBs, many challenges, such as hydrogen evolution reaction, water evaporation, and liquid leakage, have greatly hindered the development of aqueous ZIBs. Developing “beyond aqueous” electrolytes can be able to avoid these issues due to the absence of water, which are beneficial for the achieving of highly efficient ZIBs. In this review, the recent development of the “beyond aqueous” electrolytes, including conventional organic electrolytes, ionic liquid, all-solid-state, quasi-solid-state electrolytes, and deep eutectic electrolytes are presented. The critical issues and the corresponding strategies of the designing of “beyond aqueous” electrolytes for ZIBs are also summarized.","author":[{"dropping-particle":"","family":"Lv","given":"Yanqun","non-dropping-particle":"","parse-names":false,"suffix":""},{"dropping-particle":"","family":"Xiao","given":"Ying","non-dropping-particle":"","parse-names":false,"suffix":""},{"dropping-particle":"","family":"Ma","given":"Longtao","non-dropping-particle":"","parse-names":false,"suffix":""},{"dropping-particle":"","family":"Zhi","given":"Chunyi","non-dropping-particle":"","parse-names":false,"suffix":""},{"dropping-particle":"","family":"Chen","given":"Shimou","non-dropping-particle":"","parse-names":false,"suffix":""},{"dropping-particle":"","family":"Lv","given":"Y","non-dropping-particle":"","parse-names":false,"suffix":""},{"dropping-particle":"","family":"Xiao","given":"Y","non-dropping-particle":"","parse-names":false,"suffix":""},{"dropping-particle":"","family":"Chen","given":"S","non-dropping-particle":"","parse-names":false,"suffix":""},{"dropping-particle":"","family":"Ma","given":"L","non-dropping-particle":"","parse-names":false,"suffix":""},{"dropping-particle":"","family":"Zhi","given":"C","non-dropping-particle":"","parse-names":false,"suffix":""}],"container-title":"Advanced Materials","id":"ITEM-3","issue":"4","issued":{"date-parts":[["2022","1","1"]]},"page":"2106409","publisher":"John Wiley &amp; Sons, Ltd","title":"Recent Advances in Electrolytes for “Beyond Aqueous” Zinc-Ion Batteries","type":"article-journal","volume":"34"},"uris":["http://www.mendeley.com/documents/?uuid=63592d54-d1e7-395c-9f1f-92acbe189ad2"]}],"mendeley":{"formattedCitation":"&lt;sup&gt;[114,164,165]&lt;/sup&gt;","plainTextFormattedCitation":"[114,164,165]","previouslyFormattedCitation":"&lt;sup&gt;[113,163,164]&lt;/sup&gt;"},"properties":{"noteIndex":0},"schema":"https://github.com/citation-style-language/schema/raw/master/csl-citation.json"}</w:instrText>
      </w:r>
      <w:r w:rsidR="00887F1C" w:rsidRPr="003E0254">
        <w:fldChar w:fldCharType="separate"/>
      </w:r>
      <w:r w:rsidR="00500B8D" w:rsidRPr="003E0254">
        <w:rPr>
          <w:noProof/>
          <w:vertAlign w:val="superscript"/>
        </w:rPr>
        <w:t>[114,164,165]</w:t>
      </w:r>
      <w:r w:rsidR="00887F1C" w:rsidRPr="003E0254">
        <w:fldChar w:fldCharType="end"/>
      </w:r>
      <w:r w:rsidRPr="003E0254">
        <w:t xml:space="preserve"> Even though these materials are of interest for very specific applications such as flexible cells for wearables, there are still major obstacles to commercial application in terms of ionic conductivity (which is far below 1 mS</w:t>
      </w:r>
      <w:r w:rsidR="00887F1C" w:rsidRPr="003E0254">
        <w:t> </w:t>
      </w:r>
      <w:r w:rsidRPr="003E0254">
        <w:t>cm</w:t>
      </w:r>
      <w:r w:rsidRPr="003E0254">
        <w:rPr>
          <w:vertAlign w:val="superscript"/>
        </w:rPr>
        <w:t>-1</w:t>
      </w:r>
      <w:r w:rsidRPr="003E0254">
        <w:t>) and low</w:t>
      </w:r>
      <w:r w:rsidR="00A6715D" w:rsidRPr="003E0254">
        <w:t xml:space="preserve"> </w:t>
      </w:r>
      <w:r w:rsidRPr="003E0254">
        <w:t>cost</w:t>
      </w:r>
      <w:r w:rsidR="00250588" w:rsidRPr="003E0254">
        <w:t xml:space="preserve"> and manufacturability</w:t>
      </w:r>
      <w:r w:rsidRPr="003E0254">
        <w:t xml:space="preserve"> compared to aqueous electrolytes. </w:t>
      </w:r>
    </w:p>
    <w:p w14:paraId="1238195B" w14:textId="21D5F2AB" w:rsidR="00C60055" w:rsidRPr="003E0254" w:rsidRDefault="00C60055" w:rsidP="00C60055">
      <w:pPr>
        <w:spacing w:line="276" w:lineRule="auto"/>
        <w:jc w:val="both"/>
      </w:pPr>
      <w:r w:rsidRPr="003E0254">
        <w:t>Another way to obtain cheap and environmentally friendly solid</w:t>
      </w:r>
      <w:r w:rsidR="00041DFD" w:rsidRPr="003E0254">
        <w:t>ified</w:t>
      </w:r>
      <w:r w:rsidRPr="003E0254">
        <w:t xml:space="preserve"> electrolytes and thus </w:t>
      </w:r>
      <w:r w:rsidR="00041DFD" w:rsidRPr="003E0254">
        <w:t xml:space="preserve">to </w:t>
      </w:r>
      <w:r w:rsidRPr="003E0254">
        <w:t>avoid the leakage problem associated with liquid electrolytes is to add gelling agents such as carrageenan or other hydrophilic polymers to aqueous electrolytes to form hydrogels.</w:t>
      </w:r>
      <w:r w:rsidR="0055772F" w:rsidRPr="003E0254">
        <w:fldChar w:fldCharType="begin" w:fldLock="1"/>
      </w:r>
      <w:r w:rsidR="00500B8D" w:rsidRPr="003E0254">
        <w:instrText>ADDIN CSL_CITATION {"citationItems":[{"id":"ITEM-1","itemData":{"DOI":"10.1016/J.ENSM.2023.01.034","ISSN":"2405-8297","abstract":"Recent years, a great deal of investigation has been performed on the design and fabrication of the flexible zinc-ion batteries ascribing to their decent capacity, affordable, intrinsic safety, and functional controllability. As the most critical component of flexible zinc-ion batteries, hydrogel electrolytes feature aqueous electrolytes-like ionic conductivity and solid polymer electrolytes-like dimensional stability, integrating the superiority of both. Nevertheless, conventional hydrogel electrolytes only supply a physical framework for facilitating ion transport, encountering tremendous challenges for fabricating the flexible zinc-ion batteries. Functional hydrogel electrolytes can overcome aforementioned issues, which provide the satisfactory electrochemical performance while endowing other functions to work continuously under harsh conditions like high temperature, extreme cold, bending, stretching, strong impact, and even fracture. So far, the study on functional hydrogel electrolytes for flexible zinc-ion batteries is still in an early stage, and the issues encountered with hydrogel electrolytes remain to be addressed. Herein, this comprehensive review aims to summarize the latest advances of functional hydrogel electrolytes for flexible zinc-ion batteries. From the perspective of fabrication, the targeted approaches reported so far to fabricate functional hydrogel electrolytes for flexible zinc-ion batteries are systematically discussed and evaluated. Next, interactions between electrodes and functional hydrogel electrolytes for ZIBs is comprehensively reviewed. Eventually, a series of critical challenges, constructive solutions, and future trends of functional hydrogel electrolytes for flexible zinc-ion batteries are dedicatedly proposed.","author":[{"dropping-particle":"","family":"Li","given":"Xiangye","non-dropping-particle":"","parse-names":false,"suffix":""},{"dropping-particle":"","family":"Wang","given":"Dahui","non-dropping-particle":"","parse-names":false,"suffix":""},{"dropping-particle":"","family":"Ran","given":"Fen","non-dropping-particle":"","parse-names":false,"suffix":""}],"container-title":"Energy Storage Materials","id":"ITEM-1","issued":{"date-parts":[["2023","2","1"]]},"page":"351-393","publisher":"Elsevier","title":"Key approaches and challenges in fabricating advanced flexible zinc-ion batteries with functional hydrogel electrolytes","type":"article-journal","volume":"56"},"uris":["http://www.mendeley.com/documents/?uuid=ae71f40c-5f82-3fa5-ae59-159403e9e756"]},{"id":"ITEM-2","itemData":{"DOI":"10.1002/EEM2.12464","ISSN":"2575-0356","abstract":"Flexibility and multifunctionality are now becoming inevitable worldwide tendencies for electronic devices to meet modern life's convenience, efficiency, and quality demand. To that end, developing flexible and wearable energy storage devices is a must. Recently, aqueous zinc-ion batteries (ZIBs) and zinc-ion capacitors (ZICs) stand out as two of the most potent candidates for wearable electronics due to their excellent electrochemical performance, intrinsic safety, low cost, and functional controllability. Simultaneously, polymer electrolytes' introduction and rational design, especially various hydrogels, have endowed conventional ZIBs and ZICs with colorful functions, which has been regarded as a perfect answer for energy suppliers integrated into those advanced wearable electronic devices. This review focuses on the functional hydrogel electrolytes (HEs) and their application for ZIBs and ZICs. Previously reported HEs for ZIBs and ZICs were classified and analyzed, from the flexibility to mechanical endurance, temperature adaptability, electrochemical stability, and finally cell-level ZIBs and ZICs based on multifunctional HEs. Besides introducing the diverse and exciting functions of HEs, working principles were also analyzed. Ultimately, all the details of these examples were summarized, and the related challenges, constructive solutions, and futural prospects of functional ZIBs and ZICs were also dedicatedly evaluated.","author":[{"dropping-particle":"","family":"Ma","given":"Rujiao","non-dropping-particle":"","parse-names":false,"suffix":""},{"dropping-particle":"","family":"Xu","given":"Zhixiao","non-dropping-particle":"","parse-names":false,"suffix":""},{"dropping-particle":"","family":"Wang","given":"Xiaolei","non-dropping-particle":"","parse-names":false,"suffix":""}],"container-title":"Energy &amp; Environmental Materials","id":"ITEM-2","issue":"5","issued":{"date-parts":[["2023","9","1"]]},"page":"e12464","publisher":"John Wiley &amp; Sons, Ltd","title":"Polymer Hydrogel Electrolytes for Flexible and Multifunctional Zinc-Ion Batteries and Capacitors","type":"article-journal","volume":"6"},"uris":["http://www.mendeley.com/documents/?uuid=cbd6486a-a053-3995-b09e-ad1839f904b9"]}],"mendeley":{"formattedCitation":"&lt;sup&gt;[166,167]&lt;/sup&gt;","plainTextFormattedCitation":"[166,167]","previouslyFormattedCitation":"&lt;sup&gt;[165,166]&lt;/sup&gt;"},"properties":{"noteIndex":0},"schema":"https://github.com/citation-style-language/schema/raw/master/csl-citation.json"}</w:instrText>
      </w:r>
      <w:r w:rsidR="0055772F" w:rsidRPr="003E0254">
        <w:fldChar w:fldCharType="separate"/>
      </w:r>
      <w:r w:rsidR="00500B8D" w:rsidRPr="003E0254">
        <w:rPr>
          <w:noProof/>
          <w:vertAlign w:val="superscript"/>
        </w:rPr>
        <w:t>[166,167]</w:t>
      </w:r>
      <w:r w:rsidR="0055772F" w:rsidRPr="003E0254">
        <w:fldChar w:fldCharType="end"/>
      </w:r>
      <w:r w:rsidR="00E20A56" w:rsidRPr="003E0254">
        <w:t xml:space="preserve"> This process was successfully used as early as 1886 by Carl Gassner, who obtained a patent for the manufacture of </w:t>
      </w:r>
      <w:r w:rsidR="002C6B26" w:rsidRPr="003E0254">
        <w:t>the first</w:t>
      </w:r>
      <w:r w:rsidR="00E20A56" w:rsidRPr="003E0254">
        <w:t xml:space="preserve"> </w:t>
      </w:r>
      <w:r w:rsidR="002C6B26" w:rsidRPr="003E0254">
        <w:t>“</w:t>
      </w:r>
      <w:r w:rsidR="00E20A56" w:rsidRPr="003E0254">
        <w:t>dry</w:t>
      </w:r>
      <w:r w:rsidR="002C6B26" w:rsidRPr="003E0254">
        <w:t>”</w:t>
      </w:r>
      <w:r w:rsidR="00E20A56" w:rsidRPr="003E0254">
        <w:t xml:space="preserve"> battery</w:t>
      </w:r>
      <w:r w:rsidR="002C6B26" w:rsidRPr="003E0254">
        <w:t xml:space="preserve"> cell with a cell chemistry</w:t>
      </w:r>
      <w:r w:rsidR="00E20A56" w:rsidRPr="003E0254">
        <w:t xml:space="preserve"> similar to the Leclanché cell, in which the electrolyte consisted of a paste of ammonium chloride solution in plaster of Paris.</w:t>
      </w:r>
      <w:r w:rsidR="00C00C7B" w:rsidRPr="003E0254">
        <w:fldChar w:fldCharType="begin" w:fldLock="1"/>
      </w:r>
      <w:r w:rsidR="00500B8D" w:rsidRPr="003E0254">
        <w:instrText>ADDIN CSL_CITATION {"citationItems":[{"id":"ITEM-1","itemData":{"author":[{"dropping-particle":"","family":"Gassner","given":"C.","non-dropping-particle":"","parse-names":false,"suffix":""}],"id":"ITEM-1","issued":{"date-parts":[["1886"]]},"number":"37,758","publisher-place":"Germany","title":"Neuerung an galvanischen Elementen","type":"patent"},"uris":["http://www.mendeley.com/documents/?uuid=4e3b4db3-5b99-4613-9338-93ac7a8b5347"]}],"mendeley":{"formattedCitation":"&lt;sup&gt;[168]&lt;/sup&gt;","plainTextFormattedCitation":"[168]","previouslyFormattedCitation":"&lt;sup&gt;[167]&lt;/sup&gt;"},"properties":{"noteIndex":0},"schema":"https://github.com/citation-style-language/schema/raw/master/csl-citation.json"}</w:instrText>
      </w:r>
      <w:r w:rsidR="00C00C7B" w:rsidRPr="003E0254">
        <w:fldChar w:fldCharType="separate"/>
      </w:r>
      <w:r w:rsidR="00500B8D" w:rsidRPr="003E0254">
        <w:rPr>
          <w:noProof/>
          <w:vertAlign w:val="superscript"/>
        </w:rPr>
        <w:t>[168]</w:t>
      </w:r>
      <w:r w:rsidR="00C00C7B" w:rsidRPr="003E0254">
        <w:fldChar w:fldCharType="end"/>
      </w:r>
      <w:r w:rsidRPr="003E0254">
        <w:t xml:space="preserve"> Hydrogels can achieve considerably higher conductivities than conventional polymers (e.g. 3.32</w:t>
      </w:r>
      <w:r w:rsidRPr="003E0254">
        <w:rPr>
          <w:rFonts w:ascii="Cambria" w:hAnsi="Cambria"/>
        </w:rPr>
        <w:t>·</w:t>
      </w:r>
      <w:r w:rsidRPr="003E0254">
        <w:t>10</w:t>
      </w:r>
      <w:r w:rsidRPr="003E0254">
        <w:rPr>
          <w:vertAlign w:val="superscript"/>
        </w:rPr>
        <w:t>−2</w:t>
      </w:r>
      <w:r w:rsidRPr="003E0254">
        <w:t xml:space="preserve"> S</w:t>
      </w:r>
      <w:r w:rsidR="0055772F" w:rsidRPr="003E0254">
        <w:t> </w:t>
      </w:r>
      <w:r w:rsidRPr="003E0254">
        <w:t>cm</w:t>
      </w:r>
      <w:r w:rsidRPr="003E0254">
        <w:rPr>
          <w:vertAlign w:val="superscript"/>
        </w:rPr>
        <w:t>−1</w:t>
      </w:r>
      <w:r w:rsidRPr="003E0254">
        <w:t xml:space="preserve"> at room temperature for </w:t>
      </w:r>
      <w:r w:rsidRPr="003E0254">
        <w:rPr>
          <w:rFonts w:ascii="Arial" w:hAnsi="Arial" w:cs="Arial"/>
        </w:rPr>
        <w:t>κ</w:t>
      </w:r>
      <w:r w:rsidRPr="003E0254">
        <w:t>-carrageenan with 2 mol</w:t>
      </w:r>
      <w:r w:rsidR="0055772F" w:rsidRPr="003E0254">
        <w:t> </w:t>
      </w:r>
      <w:r w:rsidRPr="003E0254">
        <w:t>L</w:t>
      </w:r>
      <w:r w:rsidRPr="003E0254">
        <w:rPr>
          <w:vertAlign w:val="superscript"/>
        </w:rPr>
        <w:t>−1</w:t>
      </w:r>
      <w:r w:rsidRPr="003E0254">
        <w:t xml:space="preserve"> ZnSO</w:t>
      </w:r>
      <w:r w:rsidRPr="003E0254">
        <w:rPr>
          <w:vertAlign w:val="subscript"/>
        </w:rPr>
        <w:t>4</w:t>
      </w:r>
      <w:r w:rsidRPr="003E0254">
        <w:t xml:space="preserve"> and 0.1 mol</w:t>
      </w:r>
      <w:r w:rsidR="0055772F" w:rsidRPr="003E0254">
        <w:t> </w:t>
      </w:r>
      <w:r w:rsidRPr="003E0254">
        <w:t>L</w:t>
      </w:r>
      <w:r w:rsidRPr="003E0254">
        <w:rPr>
          <w:vertAlign w:val="superscript"/>
        </w:rPr>
        <w:t>−1</w:t>
      </w:r>
      <w:r w:rsidRPr="003E0254">
        <w:t xml:space="preserve"> MnSO</w:t>
      </w:r>
      <w:r w:rsidRPr="003E0254">
        <w:rPr>
          <w:vertAlign w:val="subscript"/>
        </w:rPr>
        <w:t>4</w:t>
      </w:r>
      <w:r w:rsidRPr="003E0254">
        <w:t>).</w:t>
      </w:r>
      <w:r w:rsidR="0055772F" w:rsidRPr="003E0254">
        <w:fldChar w:fldCharType="begin" w:fldLock="1"/>
      </w:r>
      <w:r w:rsidR="00500B8D" w:rsidRPr="003E0254">
        <w:instrText>ADDIN CSL_CITATION {"citationItems":[{"id":"ITEM-1","itemData":{"DOI":"10.1039/C9RA01120J","ISSN":"2046-2069","abstract":"Flexible Zn–MnO2 batteries as wearable electronic power source have attracted much attention in recent years due to their low cost and high safety. To promote the practical application of flexible Zn–MnO2 batteries, it is imperative to develop flexible, mechanically robust and high performance solid state electrolyte. Herein, we construct a rechargeable quasi-solid-state zinc ion battery using kappa-carrageenan bio-polymer electrolyte. The kappa-carrageenan electrolyte is eco-friendly, low cost, and highly conductive (3.32 × 10−2 S cm−1 at room temperature). The mechanical robustness of kappa-carrageenan electrolyte is further reinforced by using a rice paper as scaffold. Benefiting from high ionic conductivity of the bio-polymer electrolyte, our zinc ion battery delivers a significant high energy density and power density (400 W h kg−1 and 7.9 kW kg−1, respectively), high specific capacity (291.5 mA h g−1 at 0.15 A g−1), fast charging and discharging capability (120.0 mA h g−1 at 6.0 A g−1). The zinc ion battery with bio-polymer electrolyte also shows excellent cycling stability and high bending durability. This work brings new research opportunities in developing low-cost flexible solid-state zinc ion batteries using green natural polymer.","author":[{"dropping-particle":"","family":"Huang","given":"Yuan","non-dropping-particle":"","parse-names":false,"suffix":""},{"dropping-particle":"","family":"Liu","given":"Jiuwei","non-dropping-particle":"","parse-names":false,"suffix":""},{"dropping-particle":"","family":"Zhang","given":"Jiyan","non-dropping-particle":"","parse-names":false,"suffix":""},{"dropping-particle":"","family":"Jin","given":"Shunyu","non-dropping-particle":"","parse-names":false,"suffix":""},{"dropping-particle":"","family":"Jiang","given":"Yixiang","non-dropping-particle":"","parse-names":false,"suffix":""},{"dropping-particle":"","family":"Zhang","given":"Shengdong","non-dropping-particle":"","parse-names":false,"suffix":""},{"dropping-particle":"","family":"Li","given":"Zigang","non-dropping-particle":"","parse-names":false,"suffix":""},{"dropping-particle":"","family":"Zhi","given":"Chunyi","non-dropping-particle":"","parse-names":false,"suffix":""},{"dropping-particle":"","family":"Du","given":"Guoqing","non-dropping-particle":"","parse-names":false,"suffix":""},{"dropping-particle":"","family":"Zhou","given":"Hang","non-dropping-particle":"","parse-names":false,"suffix":""}],"container-title":"RSC Advances","id":"ITEM-1","issue":"29","issued":{"date-parts":[["2019","5","24"]]},"page":"16313-16319","publisher":"The Royal Society of Chemistry","title":"Flexible quasi-solid-state zinc ion batteries enabled by highly conductive carrageenan bio-polymer electrolyte","type":"article-journal","volume":"9"},"uris":["http://www.mendeley.com/documents/?uuid=02923081-3de7-34bd-8f07-6cd503d0c253"]}],"mendeley":{"formattedCitation":"&lt;sup&gt;[94]&lt;/sup&gt;","plainTextFormattedCitation":"[94]","previouslyFormattedCitation":"&lt;sup&gt;[93]&lt;/sup&gt;"},"properties":{"noteIndex":0},"schema":"https://github.com/citation-style-language/schema/raw/master/csl-citation.json"}</w:instrText>
      </w:r>
      <w:r w:rsidR="0055772F" w:rsidRPr="003E0254">
        <w:fldChar w:fldCharType="separate"/>
      </w:r>
      <w:r w:rsidR="00500B8D" w:rsidRPr="003E0254">
        <w:rPr>
          <w:noProof/>
          <w:vertAlign w:val="superscript"/>
        </w:rPr>
        <w:t>[94]</w:t>
      </w:r>
      <w:r w:rsidR="0055772F" w:rsidRPr="003E0254">
        <w:fldChar w:fldCharType="end"/>
      </w:r>
      <w:r w:rsidRPr="003E0254">
        <w:t xml:space="preserve"> However, th</w:t>
      </w:r>
      <w:r w:rsidR="00DE1C12" w:rsidRPr="003E0254">
        <w:t>ese</w:t>
      </w:r>
      <w:r w:rsidRPr="003E0254">
        <w:t xml:space="preserve"> type</w:t>
      </w:r>
      <w:r w:rsidR="00DE1C12" w:rsidRPr="003E0254">
        <w:t>s</w:t>
      </w:r>
      <w:r w:rsidRPr="003E0254">
        <w:t xml:space="preserve"> of electrolytes suffer </w:t>
      </w:r>
      <w:r w:rsidR="00DE1C12" w:rsidRPr="003E0254">
        <w:t xml:space="preserve">from </w:t>
      </w:r>
      <w:r w:rsidRPr="003E0254">
        <w:t xml:space="preserve">similar problems </w:t>
      </w:r>
      <w:r w:rsidR="00DE1C12" w:rsidRPr="003E0254">
        <w:t>as</w:t>
      </w:r>
      <w:r w:rsidRPr="003E0254">
        <w:t xml:space="preserve"> their liquid counterparts </w:t>
      </w:r>
      <w:r w:rsidR="00DE1C12" w:rsidRPr="003E0254">
        <w:t>do</w:t>
      </w:r>
      <w:r w:rsidR="00C67B10" w:rsidRPr="003E0254">
        <w:t xml:space="preserve"> (small electrochemical window, gas formation etc.)</w:t>
      </w:r>
      <w:r w:rsidR="00DE1C12" w:rsidRPr="003E0254">
        <w:t xml:space="preserve">, </w:t>
      </w:r>
      <w:r w:rsidRPr="003E0254">
        <w:t xml:space="preserve">and in addition can </w:t>
      </w:r>
      <w:r w:rsidR="0011019C" w:rsidRPr="003E0254">
        <w:t>exhibit</w:t>
      </w:r>
      <w:r w:rsidRPr="003E0254">
        <w:t xml:space="preserve"> a lower mechanical stability at increased temperatures</w:t>
      </w:r>
      <w:r w:rsidR="00DE1C12" w:rsidRPr="003E0254">
        <w:t>,</w:t>
      </w:r>
      <w:r w:rsidRPr="003E0254">
        <w:t xml:space="preserve"> since e.g. carrageenan liquefies at temperatures above 60 °C.</w:t>
      </w:r>
    </w:p>
    <w:p w14:paraId="0D3168D7" w14:textId="77777777" w:rsidR="00C60055" w:rsidRPr="003E0254" w:rsidRDefault="00C60055" w:rsidP="00C60055">
      <w:pPr>
        <w:spacing w:line="276" w:lineRule="auto"/>
        <w:jc w:val="both"/>
      </w:pPr>
    </w:p>
    <w:p w14:paraId="3B8FBD19" w14:textId="6EB7CB36" w:rsidR="00C60055" w:rsidRPr="003E0254" w:rsidRDefault="00C60055" w:rsidP="00C60055">
      <w:pPr>
        <w:pStyle w:val="berschrift4"/>
        <w:spacing w:line="276" w:lineRule="auto"/>
        <w:rPr>
          <w:b/>
          <w:bCs/>
          <w:i w:val="0"/>
          <w:iCs w:val="0"/>
        </w:rPr>
      </w:pPr>
      <w:r w:rsidRPr="003E0254">
        <w:rPr>
          <w:b/>
          <w:bCs/>
          <w:i w:val="0"/>
          <w:iCs w:val="0"/>
        </w:rPr>
        <w:t>2.</w:t>
      </w:r>
      <w:r w:rsidR="003E4F58" w:rsidRPr="003E0254">
        <w:rPr>
          <w:b/>
          <w:bCs/>
          <w:i w:val="0"/>
          <w:iCs w:val="0"/>
        </w:rPr>
        <w:t>3</w:t>
      </w:r>
      <w:r w:rsidRPr="003E0254">
        <w:rPr>
          <w:b/>
          <w:bCs/>
          <w:i w:val="0"/>
          <w:iCs w:val="0"/>
        </w:rPr>
        <w:t xml:space="preserve">.4 Summary and </w:t>
      </w:r>
      <w:r w:rsidR="00075253" w:rsidRPr="003E0254">
        <w:rPr>
          <w:b/>
          <w:bCs/>
          <w:i w:val="0"/>
          <w:iCs w:val="0"/>
        </w:rPr>
        <w:t>Outlook</w:t>
      </w:r>
      <w:r w:rsidRPr="003E0254">
        <w:rPr>
          <w:b/>
          <w:bCs/>
          <w:i w:val="0"/>
          <w:iCs w:val="0"/>
        </w:rPr>
        <w:t xml:space="preserve"> of </w:t>
      </w:r>
      <w:r w:rsidR="00A439A1" w:rsidRPr="003E0254">
        <w:rPr>
          <w:b/>
          <w:bCs/>
          <w:i w:val="0"/>
          <w:iCs w:val="0"/>
        </w:rPr>
        <w:t>Zinc-</w:t>
      </w:r>
      <w:r w:rsidR="00507009" w:rsidRPr="003E0254">
        <w:rPr>
          <w:b/>
          <w:bCs/>
          <w:i w:val="0"/>
          <w:iCs w:val="0"/>
        </w:rPr>
        <w:t>M</w:t>
      </w:r>
      <w:r w:rsidR="00A439A1" w:rsidRPr="003E0254">
        <w:rPr>
          <w:b/>
          <w:bCs/>
          <w:i w:val="0"/>
          <w:iCs w:val="0"/>
        </w:rPr>
        <w:t>etal</w:t>
      </w:r>
      <w:r w:rsidR="007D6DFE" w:rsidRPr="003E0254">
        <w:rPr>
          <w:b/>
          <w:bCs/>
          <w:i w:val="0"/>
          <w:iCs w:val="0"/>
        </w:rPr>
        <w:t xml:space="preserve"> Batteries</w:t>
      </w:r>
      <w:r w:rsidRPr="003E0254">
        <w:rPr>
          <w:b/>
          <w:bCs/>
          <w:i w:val="0"/>
          <w:iCs w:val="0"/>
        </w:rPr>
        <w:t xml:space="preserve"> </w:t>
      </w:r>
    </w:p>
    <w:p w14:paraId="5887EC42" w14:textId="1EAC351B" w:rsidR="0055772F" w:rsidRPr="003E0254" w:rsidRDefault="00595BCF" w:rsidP="0055772F">
      <w:pPr>
        <w:pBdr>
          <w:top w:val="none" w:sz="4" w:space="0" w:color="000000"/>
          <w:left w:val="none" w:sz="4" w:space="0" w:color="000000"/>
          <w:bottom w:val="none" w:sz="4" w:space="0" w:color="000000"/>
          <w:right w:val="none" w:sz="4" w:space="0" w:color="000000"/>
        </w:pBdr>
        <w:spacing w:line="276" w:lineRule="auto"/>
        <w:jc w:val="both"/>
      </w:pPr>
      <w:bookmarkStart w:id="7" w:name="_Ref187060653"/>
      <w:r w:rsidRPr="003E0254">
        <w:t xml:space="preserve">Zinc-metal batteries with manganese oxides </w:t>
      </w:r>
      <w:r w:rsidR="00112B34" w:rsidRPr="003E0254">
        <w:t>have already</w:t>
      </w:r>
      <w:r w:rsidRPr="003E0254">
        <w:t xml:space="preserve"> </w:t>
      </w:r>
      <w:r w:rsidR="00112B34" w:rsidRPr="003E0254">
        <w:t>been</w:t>
      </w:r>
      <w:r w:rsidRPr="003E0254">
        <w:t xml:space="preserve"> commercialized in </w:t>
      </w:r>
      <w:r w:rsidR="00075253" w:rsidRPr="003E0254">
        <w:t>rechargeable</w:t>
      </w:r>
      <w:r w:rsidRPr="003E0254">
        <w:t xml:space="preserve"> alkaline batteries. </w:t>
      </w:r>
      <w:r w:rsidR="0055772F" w:rsidRPr="003E0254">
        <w:t xml:space="preserve">As </w:t>
      </w:r>
      <w:r w:rsidR="00DE1C12" w:rsidRPr="003E0254">
        <w:t>shown in</w:t>
      </w:r>
      <w:r w:rsidR="00360123" w:rsidRPr="003E0254">
        <w:t xml:space="preserve"> Table 2</w:t>
      </w:r>
      <w:r w:rsidR="0055772F" w:rsidRPr="003E0254">
        <w:t xml:space="preserve">, layered </w:t>
      </w:r>
      <w:r w:rsidR="0055772F" w:rsidRPr="003E0254">
        <w:rPr>
          <w:rFonts w:ascii="Symbol" w:eastAsia="Symbol" w:hAnsi="Symbol" w:cs="Symbol"/>
        </w:rPr>
        <w:t></w:t>
      </w:r>
      <w:r w:rsidR="0055772F" w:rsidRPr="003E0254">
        <w:t>-MnO</w:t>
      </w:r>
      <w:r w:rsidR="0055772F" w:rsidRPr="003E0254">
        <w:rPr>
          <w:vertAlign w:val="subscript"/>
        </w:rPr>
        <w:t xml:space="preserve">2, </w:t>
      </w:r>
      <w:r w:rsidR="0055772F" w:rsidRPr="003E0254">
        <w:t xml:space="preserve">which is cheaper and </w:t>
      </w:r>
      <w:r w:rsidR="004B5EA1" w:rsidRPr="003E0254">
        <w:t>substantially</w:t>
      </w:r>
      <w:r w:rsidR="0055772F" w:rsidRPr="003E0254">
        <w:t xml:space="preserve"> more environmentally friendly than commonly used V</w:t>
      </w:r>
      <w:r w:rsidR="0055772F" w:rsidRPr="003E0254">
        <w:rPr>
          <w:vertAlign w:val="subscript"/>
        </w:rPr>
        <w:t>2</w:t>
      </w:r>
      <w:r w:rsidR="0055772F" w:rsidRPr="003E0254">
        <w:t>O</w:t>
      </w:r>
      <w:r w:rsidR="0055772F" w:rsidRPr="003E0254">
        <w:rPr>
          <w:vertAlign w:val="subscript"/>
        </w:rPr>
        <w:t>5</w:t>
      </w:r>
      <w:r w:rsidR="0055772F" w:rsidRPr="003E0254">
        <w:t>, can al</w:t>
      </w:r>
      <w:r w:rsidRPr="003E0254">
        <w:t>so</w:t>
      </w:r>
      <w:r w:rsidR="0055772F" w:rsidRPr="003E0254">
        <w:t xml:space="preserve"> be used to produce cells</w:t>
      </w:r>
      <w:r w:rsidRPr="003E0254">
        <w:t xml:space="preserve"> with slightly acidic pH that show</w:t>
      </w:r>
      <w:r w:rsidR="0055772F" w:rsidRPr="003E0254">
        <w:t xml:space="preserve"> good cycl</w:t>
      </w:r>
      <w:r w:rsidR="00E02922" w:rsidRPr="003E0254">
        <w:t>ing</w:t>
      </w:r>
      <w:r w:rsidR="0055772F" w:rsidRPr="003E0254">
        <w:t xml:space="preserve"> stability, </w:t>
      </w:r>
      <w:r w:rsidRPr="003E0254">
        <w:t xml:space="preserve">high </w:t>
      </w:r>
      <w:r w:rsidR="0055772F" w:rsidRPr="003E0254">
        <w:t>specific capacity and much higher average output voltage. By doping with Co or using Co oxides, it would also be possible to increase the cell voltage, albeit at the cost of (partially) losing positive properties such as a favorable price, general availability</w:t>
      </w:r>
      <w:r w:rsidR="0011019C" w:rsidRPr="003E0254">
        <w:t>,</w:t>
      </w:r>
      <w:r w:rsidR="0055772F" w:rsidRPr="003E0254">
        <w:t xml:space="preserve"> and low toxicity. </w:t>
      </w:r>
      <w:r w:rsidR="00CB487B" w:rsidRPr="003E0254">
        <w:t xml:space="preserve">High entropy </w:t>
      </w:r>
      <w:r w:rsidR="00CB487B" w:rsidRPr="003E0254">
        <w:lastRenderedPageBreak/>
        <w:t xml:space="preserve">phases of manganese oxides could also be a feasible </w:t>
      </w:r>
      <w:r w:rsidR="009755F7" w:rsidRPr="003E0254">
        <w:t xml:space="preserve">future </w:t>
      </w:r>
      <w:r w:rsidR="00CB487B" w:rsidRPr="003E0254">
        <w:t xml:space="preserve">way to prevent </w:t>
      </w:r>
      <w:r w:rsidR="00041DFD" w:rsidRPr="003E0254">
        <w:t>dissolution of MnO</w:t>
      </w:r>
      <w:r w:rsidR="00041DFD" w:rsidRPr="003E0254">
        <w:rPr>
          <w:vertAlign w:val="subscript"/>
        </w:rPr>
        <w:t>2</w:t>
      </w:r>
      <w:r w:rsidR="00041DFD" w:rsidRPr="003E0254">
        <w:t xml:space="preserve"> to </w:t>
      </w:r>
      <w:r w:rsidR="00CB487B" w:rsidRPr="003E0254">
        <w:t>of Mn</w:t>
      </w:r>
      <w:r w:rsidR="00CB487B" w:rsidRPr="003E0254">
        <w:rPr>
          <w:vertAlign w:val="superscript"/>
        </w:rPr>
        <w:t>2+</w:t>
      </w:r>
      <w:r w:rsidR="00CB487B" w:rsidRPr="003E0254">
        <w:t xml:space="preserve"> in contact with aqueous electrolyte and to</w:t>
      </w:r>
      <w:r w:rsidRPr="003E0254">
        <w:t xml:space="preserve"> additionally </w:t>
      </w:r>
      <w:r w:rsidR="00CB487B" w:rsidRPr="003E0254">
        <w:t>ensure high cell voltage and cycl</w:t>
      </w:r>
      <w:r w:rsidR="00E02922" w:rsidRPr="003E0254">
        <w:t>ing</w:t>
      </w:r>
      <w:r w:rsidR="00CB487B" w:rsidRPr="003E0254">
        <w:t xml:space="preserve"> stability.</w:t>
      </w:r>
      <w:r w:rsidR="00CB487B" w:rsidRPr="003E0254">
        <w:fldChar w:fldCharType="begin" w:fldLock="1"/>
      </w:r>
      <w:r w:rsidR="00500B8D" w:rsidRPr="003E0254">
        <w:instrText>ADDIN CSL_CITATION {"citationItems":[{"id":"ITEM-1","itemData":{"DOI":"10.1002/CHEM.202402859","ISSN":"1521-3765","abstract":"Zinc-ion batteries have emerged as strong candidates for replacing Li/Na-ion batteries owing to their high safety and environmental friendliness. However, the large electrostatic repulsion between the cathode and Zn2+, the irreversible growth of zinc dendrites at the anode, and the hydrogen precipitation side reaction in the aqueous electrolyte have hindered the practical application of zinc ion batteries. Fortunately, the emergence of the revolutionary concept of high entropy has provided new opportunities for the development of battery materials. High-entropy materials, with their unique atomic structures and uniform distribution of multiple elements, offer flexible options for material compositions and electronic structures, thus attracting significant attention in battery systems. In this concept article, we summarize the definitions and intrinsic structural characteristics of high-entropy materials and provide a detailed overview of the latest design concepts from the perspectives of cathodes, anodes, and electrolytes. Finally, we outline the challenges faced by high-entropy materials and potential solutions to guide researchers in developing efficient and stable zinc-ion batteries.","author":[{"dropping-particle":"","family":"Sun","given":"Kaisheng","non-dropping-particle":"","parse-names":false,"suffix":""},{"dropping-particle":"","family":"Li","given":"Jiaru","non-dropping-particle":"","parse-names":false,"suffix":""},{"dropping-particle":"","family":"Li","given":"Liang","non-dropping-particle":"","parse-names":false,"suffix":""},{"dropping-particle":"","family":"Chao","given":"Danming","non-dropping-particle":"","parse-names":false,"suffix":""}],"container-title":"Chemistry – A European Journal","id":"ITEM-1","issue":"2","issued":{"date-parts":[["2025","1","9"]]},"page":"e202402859","publisher":"John Wiley &amp; Sons, Ltd","title":"Design Concepts of High-Entropy Materials for Zinc Ion Batteries","type":"article-journal","volume":"31"},"uris":["http://www.mendeley.com/documents/?uuid=14c2871c-0857-3f01-b2d5-d40e82655af2"]},{"id":"ITEM-2","itemData":{"DOI":"10.1039/D4EE04442H","ISSN":"1754-5706","abstract":"To overcome the challenges raised by the utilization of intermittent clean energy, rechargeable aqueous zinc metal batteries (AZMBs) stand at the forefront due to their competitive capacity, low cost, and safety metrics. However, the side reactions at the anode, the instability of the cathode and the limited applications of aqueous electrolytes hinder its commercialization. High-entropy materials (HEMs), known for their multi-elemental composition and synergy, have shown great potential to alleviate the failure behaviors in various components, such as the electrochemical instability of electrodes, side reactions and electrolyte incompatibility with the reactive metallic anode. Based on the evaluation of emerging HEM strategies and the failure behavior analysis of AZMBs, this review discloses that the adoption of HEMs could be a universal solution to break the constraints in AZMBs and pave the way toward the development of high-performance AZMBs.","author":[{"dropping-particle":"","family":"Han","given":"Xiaomin","non-dropping-particle":"","parse-names":false,"suffix":""},{"dropping-particle":"","family":"Zhao","given":"Ran","non-dropping-particle":"","parse-names":false,"suffix":""},{"dropping-particle":"","family":"Yang","given":"Jingjing","non-dropping-particle":"","parse-names":false,"suffix":""},{"dropping-particle":"","family":"Wang","given":"Yahui","non-dropping-particle":"","parse-names":false,"suffix":""},{"dropping-particle":"","family":"Zhang","given":"Anqi","non-dropping-particle":"","parse-names":false,"suffix":""},{"dropping-particle":"","family":"Hu","given":"Zhifan","non-dropping-particle":"","parse-names":false,"suffix":""},{"dropping-particle":"","family":"Lv","given":"Mengge","non-dropping-particle":"","parse-names":false,"suffix":""},{"dropping-particle":"","family":"Wu","given":"Chuan","non-dropping-particle":"","parse-names":false,"suffix":""},{"dropping-particle":"","family":"Bai","given":"Ying","non-dropping-particle":"","parse-names":false,"suffix":""}],"container-title":"Energy &amp; Environmental Science","id":"ITEM-2","issue":"1","issued":{"date-parts":[["2025","1","2"]]},"page":"97-129","publisher":"The Royal Society of Chemistry","title":"High-entropy materials for aqueous zinc metal batteries","type":"article-journal","volume":"18"},"uris":["http://www.mendeley.com/documents/?uuid=938a7058-f406-3432-bd54-daff1e6dd724"]}],"mendeley":{"formattedCitation":"&lt;sup&gt;[102,169]&lt;/sup&gt;","plainTextFormattedCitation":"[102,169]","previouslyFormattedCitation":"&lt;sup&gt;[101,168]&lt;/sup&gt;"},"properties":{"noteIndex":0},"schema":"https://github.com/citation-style-language/schema/raw/master/csl-citation.json"}</w:instrText>
      </w:r>
      <w:r w:rsidR="00CB487B" w:rsidRPr="003E0254">
        <w:fldChar w:fldCharType="separate"/>
      </w:r>
      <w:r w:rsidR="00500B8D" w:rsidRPr="003E0254">
        <w:rPr>
          <w:noProof/>
          <w:vertAlign w:val="superscript"/>
        </w:rPr>
        <w:t>[102,169]</w:t>
      </w:r>
      <w:r w:rsidR="00CB487B" w:rsidRPr="003E0254">
        <w:fldChar w:fldCharType="end"/>
      </w:r>
      <w:r w:rsidR="00CB487B" w:rsidRPr="003E0254">
        <w:t xml:space="preserve"> </w:t>
      </w:r>
      <w:r w:rsidR="0055772F" w:rsidRPr="003E0254">
        <w:t xml:space="preserve">Environmentally friendly, non-toxic alternatives for the positive electrode, such as </w:t>
      </w:r>
      <w:r w:rsidR="00C67B10" w:rsidRPr="003E0254">
        <w:t>graphite</w:t>
      </w:r>
      <w:r w:rsidR="0055772F" w:rsidRPr="003E0254">
        <w:t xml:space="preserve">, allow fast charging and discharging of </w:t>
      </w:r>
      <w:r w:rsidR="00DE1C12" w:rsidRPr="003E0254">
        <w:t xml:space="preserve">the </w:t>
      </w:r>
      <w:r w:rsidR="0055772F" w:rsidRPr="003E0254">
        <w:t>batteries. However, due to their low specific capacity, they cannot compete with oxide materials.</w:t>
      </w:r>
    </w:p>
    <w:p w14:paraId="77204A02" w14:textId="03DB0E07" w:rsidR="00A97A8B" w:rsidRPr="003E0254" w:rsidRDefault="00A97A8B" w:rsidP="00A97A8B">
      <w:pPr>
        <w:spacing w:line="276" w:lineRule="auto"/>
        <w:jc w:val="both"/>
      </w:pPr>
      <w:r w:rsidRPr="003E0254">
        <w:t>Compared to typical lithium-ion cells which deliver</w:t>
      </w:r>
      <w:r w:rsidR="006E52DA" w:rsidRPr="003E0254">
        <w:t xml:space="preserve"> discharge</w:t>
      </w:r>
      <w:r w:rsidRPr="003E0254">
        <w:t xml:space="preserve"> cell voltages of 3.</w:t>
      </w:r>
      <w:r w:rsidR="00041DFD" w:rsidRPr="003E0254">
        <w:t>3</w:t>
      </w:r>
      <w:r w:rsidRPr="003E0254">
        <w:t>-</w:t>
      </w:r>
      <w:r w:rsidR="00041DFD" w:rsidRPr="003E0254">
        <w:t>3.8</w:t>
      </w:r>
      <w:r w:rsidRPr="003E0254">
        <w:t xml:space="preserve"> V and specific energies in the range of </w:t>
      </w:r>
      <w:r w:rsidR="00041DFD" w:rsidRPr="003E0254">
        <w:t xml:space="preserve">250 </w:t>
      </w:r>
      <w:r w:rsidRPr="003E0254">
        <w:t xml:space="preserve">to </w:t>
      </w:r>
      <w:r w:rsidR="00041DFD" w:rsidRPr="003E0254">
        <w:t>&gt;30</w:t>
      </w:r>
      <w:r w:rsidRPr="003E0254">
        <w:t>0 </w:t>
      </w:r>
      <w:proofErr w:type="spellStart"/>
      <w:r w:rsidRPr="003E0254">
        <w:t>Wh</w:t>
      </w:r>
      <w:proofErr w:type="spellEnd"/>
      <w:r w:rsidRPr="003E0254">
        <w:t> kg</w:t>
      </w:r>
      <w:r w:rsidRPr="003E0254">
        <w:rPr>
          <w:vertAlign w:val="superscript"/>
        </w:rPr>
        <w:t>-1</w:t>
      </w:r>
      <w:r w:rsidRPr="003E0254">
        <w:t xml:space="preserve">, and </w:t>
      </w:r>
      <w:r w:rsidR="0011019C" w:rsidRPr="003E0254">
        <w:t xml:space="preserve">current state of the art </w:t>
      </w:r>
      <w:r w:rsidRPr="003E0254">
        <w:t xml:space="preserve">sodium-ion cells, which </w:t>
      </w:r>
      <w:r w:rsidR="006E52DA" w:rsidRPr="003E0254">
        <w:t>discharge a</w:t>
      </w:r>
      <w:r w:rsidR="00C67B10" w:rsidRPr="003E0254">
        <w:t>t</w:t>
      </w:r>
      <w:r w:rsidR="006E52DA" w:rsidRPr="003E0254">
        <w:t xml:space="preserve"> voltages </w:t>
      </w:r>
      <w:r w:rsidRPr="003E0254">
        <w:t>in the range of 2.0-</w:t>
      </w:r>
      <w:r w:rsidR="006E52DA" w:rsidRPr="003E0254">
        <w:t xml:space="preserve"> &gt;</w:t>
      </w:r>
      <w:r w:rsidRPr="003E0254">
        <w:t xml:space="preserve">3.0 V with specific energies of 100-150 </w:t>
      </w:r>
      <w:proofErr w:type="spellStart"/>
      <w:r w:rsidRPr="003E0254">
        <w:t>Wh</w:t>
      </w:r>
      <w:proofErr w:type="spellEnd"/>
      <w:r w:rsidRPr="003E0254">
        <w:t xml:space="preserve"> kg</w:t>
      </w:r>
      <w:r w:rsidRPr="003E0254">
        <w:rPr>
          <w:vertAlign w:val="superscript"/>
        </w:rPr>
        <w:t>-1</w:t>
      </w:r>
      <w:r w:rsidRPr="003E0254">
        <w:t xml:space="preserve">, </w:t>
      </w:r>
      <w:r w:rsidR="006E52DA" w:rsidRPr="003E0254">
        <w:t xml:space="preserve">rechargeable </w:t>
      </w:r>
      <w:r w:rsidRPr="003E0254">
        <w:t xml:space="preserve">zinc-metal cells have a </w:t>
      </w:r>
      <w:r w:rsidR="004B5EA1" w:rsidRPr="003E0254">
        <w:t>substantially</w:t>
      </w:r>
      <w:r w:rsidRPr="003E0254">
        <w:t xml:space="preserve"> lower voltage</w:t>
      </w:r>
      <w:r w:rsidR="006E52DA" w:rsidRPr="003E0254">
        <w:t>s</w:t>
      </w:r>
      <w:r w:rsidRPr="003E0254">
        <w:t xml:space="preserve"> and specific energies (in the range of 1.0-1.8 V with 50-100 </w:t>
      </w:r>
      <w:proofErr w:type="spellStart"/>
      <w:r w:rsidRPr="003E0254">
        <w:t>Wh</w:t>
      </w:r>
      <w:proofErr w:type="spellEnd"/>
      <w:r w:rsidRPr="003E0254">
        <w:t xml:space="preserve"> kg</w:t>
      </w:r>
      <w:r w:rsidRPr="003E0254">
        <w:rPr>
          <w:vertAlign w:val="superscript"/>
        </w:rPr>
        <w:t>-1</w:t>
      </w:r>
      <w:r w:rsidRPr="003E0254">
        <w:t>). However, they can achieve excellent cycling stability, with some systems retaining over 90% capacity after thousands of cycles (see Table 2).</w:t>
      </w:r>
      <w:r w:rsidRPr="003E0254">
        <w:fldChar w:fldCharType="begin" w:fldLock="1"/>
      </w:r>
      <w:r w:rsidR="00500B8D" w:rsidRPr="003E0254">
        <w:instrText>ADDIN CSL_CITATION {"citationItems":[{"id":"ITEM-1","itemData":{"DOI":"10.1126/SCIADV.AAX4279/SUPPL_FILE/AAX4279_SM.PDF","ISSN":"23752548","PMID":"32047853","abstract":"Rechargeable aqueous zinc-ion batteries are promising candidates for large-scale energy storage but are plagued by the lack of cathodematerials with both excellent rate capability and adequate cycle life span.We overcome this barrier by designing a novel hierarchically porous structure of Zn-vanadium oxide material. This Zn0.3V2O5 1.5H2O cathode delivers a high specific capacity of 426 mA h g-1 at 0.2 A g-1 and exhibits an unprecedented superlong-term cyclic stability with a capacity retention of 96% over 20,000 cycles at 10 A g-1. Its electrochemical mechanism is elucidated. The lattice contraction induced by zinc intercalation and the expansion caused by hydronium intercalation cancel each other and allow the lattice to remain constant during charge/discharge, favoring cyclic stability. The hierarchically porous structure provides abundant contact with electrolyte, shortens ion diffusion path, and provides cushion for relieving strain generated during electrochemical processes, facilitating both fast kinetics and long-term stability.","author":[{"dropping-particle":"","family":"Wang","given":"Lulu","non-dropping-particle":"","parse-names":false,"suffix":""},{"dropping-particle":"","family":"Huang","given":"Kuo Wei","non-dropping-particle":"","parse-names":false,"suffix":""},{"dropping-particle":"","family":"Chen","given":"Jitao","non-dropping-particle":"","parse-names":false,"suffix":""},{"dropping-particle":"","family":"Zheng","given":"Junrong","non-dropping-particle":"","parse-names":false,"suffix":""}],"container-title":"Science Advances","id":"ITEM-1","issue":"10","issued":{"date-parts":[["2019","10","4"]]},"publisher":"American Association for the Advancement of Science","title":"Ultralong cycle stability of aqueous zinc-ion batteries with zinc vanadium oxide cathodes","type":"article-journal","volume":"5"},"uris":["http://www.mendeley.com/documents/?uuid=c3f8ed5a-d2a4-371d-b91a-9e157ef0f36c"]},{"id":"ITEM-2","itemData":{"DOI":"10.1021/ACSAMI.7B13110/ASSET/IMAGES/LARGE/AM-2017-13110M_0005.JPEG","ISSN":"19448252","PMID":"29155554","abstract":"Aqueous zinc-ion batteries attract increasing attention due to their low cost, high safety, and potential application in stationary energy storage. However, the simultaneous realization of high cycling stability and high energy density remains a major challenge. To tackle the above-mentioned challenge, we develop a novel Zn/V2O5 rechargeable aqueous hybrid-ion battery system by using porous V2O5 as the cathode and metallic zinc as the anode. The V2O5 cathode delivers a high discharge capacity of 238 mAh g-1 at 50 mA g-1. 80% of the initial discharge capacity can be retained after 2000 cycles at a high current density of 2000 mA g-1. Meanwhile, the application of a \"water-in-salt\" electrolyte results in the increase of discharge platform from 0.6 to 1.0 V. This work provides an effective strategy to simultaneously enhance the energy density and cycling stability of aqueous zinc ion-based batteries.","author":[{"dropping-particle":"","family":"Hu","given":"Ping","non-dropping-particle":"","parse-names":false,"suffix":""},{"dropping-particle":"","family":"Yan","given":"Mengyu","non-dropping-particle":"","parse-names":false,"suffix":""},{"dropping-particle":"","family":"Zhu","given":"Ting","non-dropping-particle":"","parse-names":false,"suffix":""},{"dropping-particle":"","family":"Wang","given":"Xuanpeng","non-dropping-particle":"","parse-names":false,"suffix":""},{"dropping-particle":"","family":"Wei","given":"Xiujuan","non-dropping-particle":"","parse-names":false,"suffix":""},{"dropping-particle":"","family":"Li","given":"Jiantao","non-dropping-particle":"","parse-names":false,"suffix":""},{"dropping-particle":"","family":"Zhou","given":"Liang","non-dropping-particle":"","parse-names":false,"suffix":""},{"dropping-particle":"","family":"Li","given":"Zhaohuai","non-dropping-particle":"","parse-names":false,"suffix":""},{"dropping-particle":"","family":"Chen","given":"Lineng","non-dropping-particle":"","parse-names":false,"suffix":""},{"dropping-particle":"","family":"Mai","given":"Liqiang","non-dropping-particle":"","parse-names":false,"suffix":""}],"container-title":"ACS Applied Materials and Interfaces","id":"ITEM-2","issue":"49","issued":{"date-parts":[["2017","12","13"]]},"page":"42717-42722","publisher":"American Chemical Society","title":"Zn/V2O5 Aqueous Hybrid-Ion Battery with High Voltage Platform and Long Cycle Life","type":"article-journal","volume":"9"},"uris":["http://www.mendeley.com/documents/?uuid=795b0ed9-f6bd-3b77-b4b5-864eb6722139"]}],"mendeley":{"formattedCitation":"&lt;sup&gt;[170,171]&lt;/sup&gt;","plainTextFormattedCitation":"[170,171]","previouslyFormattedCitation":"&lt;sup&gt;[169,170]&lt;/sup&gt;"},"properties":{"noteIndex":0},"schema":"https://github.com/citation-style-language/schema/raw/master/csl-citation.json"}</w:instrText>
      </w:r>
      <w:r w:rsidRPr="003E0254">
        <w:fldChar w:fldCharType="separate"/>
      </w:r>
      <w:r w:rsidR="00500B8D" w:rsidRPr="003E0254">
        <w:rPr>
          <w:noProof/>
          <w:vertAlign w:val="superscript"/>
        </w:rPr>
        <w:t>[170,171]</w:t>
      </w:r>
      <w:r w:rsidRPr="003E0254">
        <w:fldChar w:fldCharType="end"/>
      </w:r>
      <w:r w:rsidRPr="003E0254">
        <w:t xml:space="preserve"> Together with overall low cost, higher </w:t>
      </w:r>
      <w:r w:rsidR="00484FBB" w:rsidRPr="003E0254">
        <w:t>accessibility</w:t>
      </w:r>
      <w:r w:rsidRPr="003E0254">
        <w:t xml:space="preserve"> of zinc compared to lithium with recycling routes for zinc-metal already established,</w:t>
      </w:r>
      <w:r w:rsidRPr="003E0254">
        <w:fldChar w:fldCharType="begin" w:fldLock="1"/>
      </w:r>
      <w:r w:rsidR="002F6D4C" w:rsidRPr="003E0254">
        <w:instrText>ADDIN CSL_CITATION {"citationItems":[{"id":"ITEM-1","itemData":{"DOI":"10.1038/s41467-024-48368-0","ISSN":"2041-1723","PMID":"38744859","abstract":"In the literature on zinc-based batteries, it is often highlighted that zinc offers significant advantages over lithium due to its abundance, affordability, and accessibility. Additionally, aqueous rechargeable zinc batteries are promoted as a sustainable and cost-effective alternative to lithium-ion batteries, especially for renewable energy storage. The aim of this Comment is to provide a perspective on these statements, elucidating their foundations and implications and giving a quick but comprehensive background to authors and readers that deal with this topic, focusing specifically on batteries with zinc ions shuttling reversibly between the metallic negative electrode and the insertion-type positive electrode. Aqueous zinc batteries are currently being explored as potential alternatives to non-aqueous lithium-ion batteries. In this comment, the authors highlight zinc’s global supply chain resilience and lower material costs yet caution about its higher mass requirement for comparable charge storage.","author":[{"dropping-particle":"","family":"Innocenti","given":"Alessandro","non-dropping-particle":"","parse-names":false,"suffix":""},{"dropping-particle":"","family":"Bresser","given":"Dominic","non-dropping-particle":"","parse-names":false,"suffix":""},{"dropping-particle":"","family":"Garche","given":"Jürgen","non-dropping-particle":"","parse-names":false,"suffix":""},{"dropping-particle":"","family":"Passerini","given":"Stefano","non-dropping-particle":"","parse-names":false,"suffix":""}],"container-title":"Nature Communications 2024 15:1","id":"ITEM-1","issue":"1","issued":{"date-parts":[["2024","5","14"]]},"page":"1-6","publisher":"Nature Publishing Group","title":"A critical discussion of the current availability of lithium and zinc for use in batteries","type":"article-journal","volume":"15"},"uris":["http://www.mendeley.com/documents/?uuid=0a1ad2c2-3f1f-366f-a886-6c594f2c2609"]}],"mendeley":{"formattedCitation":"&lt;sup&gt;[3]&lt;/sup&gt;","plainTextFormattedCitation":"[3]","previouslyFormattedCitation":"&lt;sup&gt;[3]&lt;/sup&gt;"},"properties":{"noteIndex":0},"schema":"https://github.com/citation-style-language/schema/raw/master/csl-citation.json"}</w:instrText>
      </w:r>
      <w:r w:rsidRPr="003E0254">
        <w:fldChar w:fldCharType="separate"/>
      </w:r>
      <w:r w:rsidR="00A94915" w:rsidRPr="003E0254">
        <w:rPr>
          <w:noProof/>
          <w:vertAlign w:val="superscript"/>
        </w:rPr>
        <w:t>[3]</w:t>
      </w:r>
      <w:r w:rsidRPr="003E0254">
        <w:fldChar w:fldCharType="end"/>
      </w:r>
      <w:r w:rsidRPr="003E0254">
        <w:t xml:space="preserve"> and inherent safety when using aqueous electrolytes, this makes zinc-metal batteries attractive as </w:t>
      </w:r>
      <w:r w:rsidR="0011019C" w:rsidRPr="003E0254">
        <w:t xml:space="preserve">a potential </w:t>
      </w:r>
      <w:r w:rsidRPr="003E0254">
        <w:t xml:space="preserve">solution for large-scale stationary storage. Zinc-metal batteries </w:t>
      </w:r>
      <w:r w:rsidR="0011019C" w:rsidRPr="003E0254">
        <w:t>designed</w:t>
      </w:r>
      <w:r w:rsidRPr="003E0254">
        <w:t xml:space="preserve"> for stationary storage based on MnO</w:t>
      </w:r>
      <w:r w:rsidRPr="003E0254">
        <w:rPr>
          <w:vertAlign w:val="subscript"/>
        </w:rPr>
        <w:t>2 </w:t>
      </w:r>
      <w:r w:rsidRPr="003E0254">
        <w:t xml:space="preserve">| aqueous electrolyte | Zn cell chemistry have recently been commercialized by the Swedish company </w:t>
      </w:r>
      <w:proofErr w:type="spellStart"/>
      <w:r w:rsidRPr="003E0254">
        <w:t>Enerpoly</w:t>
      </w:r>
      <w:proofErr w:type="spellEnd"/>
      <w:r w:rsidRPr="003E0254">
        <w:t>.</w:t>
      </w:r>
      <w:r w:rsidRPr="003E0254">
        <w:fldChar w:fldCharType="begin" w:fldLock="1"/>
      </w:r>
      <w:r w:rsidR="00500B8D" w:rsidRPr="003E0254">
        <w:instrText>ADDIN CSL_CITATION {"citationItems":[{"id":"ITEM-1","itemData":{"URL":"https://www.enerpoly.com/technology","accessed":{"date-parts":[["2025","3","7"]]},"author":[{"dropping-particle":"","family":"Https://www.enerpoly.com/technology","given":"","non-dropping-particle":"","parse-names":false,"suffix":""}],"id":"ITEM-1","issued":{"date-parts":[["0"]]},"title":"Enerpoly | Affordable, safe, and sustainable zinc-ion batteries","type":"webpage"},"uris":["http://www.mendeley.com/documents/?uuid=1443f49c-4e26-3978-bf0b-baab0a2bea16"]}],"mendeley":{"formattedCitation":"&lt;sup&gt;[172]&lt;/sup&gt;","plainTextFormattedCitation":"[172]","previouslyFormattedCitation":"&lt;sup&gt;[171]&lt;/sup&gt;"},"properties":{"noteIndex":0},"schema":"https://github.com/citation-style-language/schema/raw/master/csl-citation.json"}</w:instrText>
      </w:r>
      <w:r w:rsidRPr="003E0254">
        <w:fldChar w:fldCharType="separate"/>
      </w:r>
      <w:r w:rsidR="00500B8D" w:rsidRPr="003E0254">
        <w:rPr>
          <w:noProof/>
          <w:vertAlign w:val="superscript"/>
        </w:rPr>
        <w:t>[172]</w:t>
      </w:r>
      <w:r w:rsidRPr="003E0254">
        <w:fldChar w:fldCharType="end"/>
      </w:r>
      <w:r w:rsidRPr="003E0254">
        <w:t xml:space="preserve"> </w:t>
      </w:r>
    </w:p>
    <w:p w14:paraId="49498723" w14:textId="77777777" w:rsidR="005B1B4B" w:rsidRPr="003E0254" w:rsidRDefault="005B1B4B" w:rsidP="005B1B4B">
      <w:pPr>
        <w:spacing w:line="276" w:lineRule="auto"/>
        <w:jc w:val="both"/>
      </w:pPr>
      <w:r w:rsidRPr="003E0254">
        <w:t xml:space="preserve">Since the invention of the secondary zinc-metal battery more than 60 years ago, one important topic in research was to find new cathode materials and also the optimization of aqueous electrolytes to suppress unwanted reactions and dendrite formation at the anode. There are very different approaches in the field of cathode materials with regard to doping of the various oxidic materials and corresponding micro-structuring. In the case of aqueous electrolytes, various common salts were investigated, in some cases in combination with SEI-forming additives. However, a comprehensive, basic research-based doping concept to increase the cell voltage and cycling performance while inhibiting transition metal leaching is lacking for several active material groups, such as oxides with a spinel structure. </w:t>
      </w:r>
    </w:p>
    <w:p w14:paraId="22187F63" w14:textId="67FF5129" w:rsidR="005B1B4B" w:rsidRPr="003E0254" w:rsidRDefault="005B1B4B" w:rsidP="005B1B4B">
      <w:pPr>
        <w:spacing w:line="276" w:lineRule="auto"/>
        <w:jc w:val="both"/>
      </w:pPr>
      <w:r w:rsidRPr="003E0254">
        <w:t>Aqueous electrolytes are currently superior to organic electrolytes, at least in terms of cost and Zn</w:t>
      </w:r>
      <w:r w:rsidRPr="003E0254">
        <w:rPr>
          <w:vertAlign w:val="superscript"/>
        </w:rPr>
        <w:t>2+</w:t>
      </w:r>
      <w:r w:rsidRPr="003E0254">
        <w:t xml:space="preserve"> and proton transport kinetics. In spite of this, future low-cost organic electrolytes which mainly depend on the development of highly soluble, novel conducting salts could solve some fundamental problems of aqueous electrolytes (narrow electrochemical stability window associated with hydrogen and oxygen evolution, transition metal leaching, uneven zinc electrodeposition, and associated dendrite formation).</w:t>
      </w:r>
      <w:r w:rsidRPr="003E0254">
        <w:fldChar w:fldCharType="begin" w:fldLock="1"/>
      </w:r>
      <w:r w:rsidR="000F0B1D" w:rsidRPr="003E0254">
        <w:instrText>ADDIN CSL_CITATION {"citationItems":[{"id":"ITEM-1","itemData":{"DOI":"10.1016/J.JOULE.2020.03.002","ISSN":"2542-4351","abstract":"The safety, affordability, and impressive electrochemical performance of many Zn-ion batteries (ZIBs) has recently triggered an overwhelming literature surge. As is typical for a new area, initial enthusiasm and high expectations have now been replaced by a more measured period of research that reaches deep into the underlying factors controlling electrochemical properties. Rather than battery metrics, this review focuses on fundamental aspects of the chemistry of ZIBs that are the least understood and on which there has been progress over the last few years. We provide guidance for future research regarding (1) the significant challenge of proton/Zn2+ co-intercalation in aqueous media, (2) limitations to conversion chemistry that often accompanies ZIB electrochemistry, (3) positive aspects of facile Zn2+ (de)intercalation in nonaqueous electrolytes and organic cathode materials, (4) the desolvation penalty at electrode-electrolyte interfaces, (5) solutions for controlling Zn dendritic growth, and (6) suggested electrochemistry protocols for the field.","author":[{"dropping-particle":"","family":"Blanc","given":"Lauren E.","non-dropping-particle":"","parse-names":false,"suffix":""},{"dropping-particle":"","family":"Kundu","given":"Dipan","non-dropping-particle":"","parse-names":false,"suffix":""},{"dropping-particle":"","family":"Nazar","given":"Linda F.","non-dropping-particle":"","parse-names":false,"suffix":""}],"container-title":"Joule","id":"ITEM-1","issue":"4","issued":{"date-parts":[["2020","4","15"]]},"page":"771-799","publisher":"Cell Press","title":"Scientific Challenges for the Implementation of Zn-Ion Batteries","type":"article-journal","volume":"4"},"uris":["http://www.mendeley.com/documents/?uuid=5f0548df-ddf3-346b-a854-26cff83040de"]}],"mendeley":{"formattedCitation":"&lt;sup&gt;[43]&lt;/sup&gt;","plainTextFormattedCitation":"[43]","previouslyFormattedCitation":"&lt;sup&gt;[43]&lt;/sup&gt;"},"properties":{"noteIndex":0},"schema":"https://github.com/citation-style-language/schema/raw/master/csl-citation.json"}</w:instrText>
      </w:r>
      <w:r w:rsidRPr="003E0254">
        <w:fldChar w:fldCharType="separate"/>
      </w:r>
      <w:r w:rsidR="000F0B1D" w:rsidRPr="003E0254">
        <w:rPr>
          <w:noProof/>
          <w:vertAlign w:val="superscript"/>
        </w:rPr>
        <w:t>[43]</w:t>
      </w:r>
      <w:r w:rsidRPr="003E0254">
        <w:fldChar w:fldCharType="end"/>
      </w:r>
      <w:r w:rsidRPr="003E0254">
        <w:t xml:space="preserve"> Overall, it is highly likely that aqueous (traditional low concentration electrolytes and water-in-salt) as well as organic electrolyte formulations that are already being intensively investigated in the context of lithium-ion batteries can be adapted and transferred into the zinc-metal battery system. Further optimization of the zinc anode may also result from findings in the field of zinc-air cells, as discussed in the following chapter.</w:t>
      </w:r>
    </w:p>
    <w:p w14:paraId="55EC1E56" w14:textId="7FE4463C" w:rsidR="00075253" w:rsidRPr="003E0254" w:rsidRDefault="00075253" w:rsidP="00075253">
      <w:pPr>
        <w:pBdr>
          <w:top w:val="none" w:sz="4" w:space="0" w:color="000000"/>
          <w:left w:val="none" w:sz="4" w:space="0" w:color="000000"/>
          <w:bottom w:val="none" w:sz="4" w:space="0" w:color="000000"/>
          <w:right w:val="none" w:sz="4" w:space="0" w:color="000000"/>
        </w:pBdr>
        <w:spacing w:line="276" w:lineRule="auto"/>
        <w:jc w:val="both"/>
      </w:pPr>
      <w:r w:rsidRPr="003E0254">
        <w:t xml:space="preserve">There are several ways to optimize zinc anodes to enhance </w:t>
      </w:r>
      <w:r w:rsidR="00993C8D" w:rsidRPr="003E0254">
        <w:t xml:space="preserve">the </w:t>
      </w:r>
      <w:r w:rsidRPr="003E0254">
        <w:t>battery performance. As illustrated in Table 2, the electrochemical behavior of the cell can be substantially improved, depending on the structure and composition of the zinc electrode. Among the various options, electrodes with a high surface area are more advantageous for reducing local current densities and improving the stripping and plating behavior of the zinc electrode, while also enabling higher discharge rates.</w:t>
      </w:r>
      <w:r w:rsidR="005B1B4B" w:rsidRPr="003E0254">
        <w:t xml:space="preserve"> </w:t>
      </w:r>
      <w:r w:rsidRPr="003E0254">
        <w:t xml:space="preserve">However, a larger surface area may also lead to higher activity towards side reactions. This issue can be mitigated, to some extent, through the use of additives in the electrolyte and electrode materials. The typical 3D electrodes discussed in the </w:t>
      </w:r>
      <w:r w:rsidRPr="003E0254">
        <w:lastRenderedPageBreak/>
        <w:t>anode sections often have low zinc mass loading. This limitation can be addressed by incorporating powder mixtures and utilizing 3D current collectors or scaffolds, which not only allow for adjustments in zinc powder content towards alloying or additives but also provide greater flexibility in design.</w:t>
      </w:r>
    </w:p>
    <w:p w14:paraId="46A83C93" w14:textId="77777777" w:rsidR="00075253" w:rsidRPr="003E0254" w:rsidRDefault="00075253" w:rsidP="00075253">
      <w:pPr>
        <w:pBdr>
          <w:top w:val="none" w:sz="4" w:space="0" w:color="000000"/>
          <w:left w:val="none" w:sz="4" w:space="0" w:color="000000"/>
          <w:bottom w:val="none" w:sz="4" w:space="0" w:color="000000"/>
          <w:right w:val="none" w:sz="4" w:space="0" w:color="000000"/>
        </w:pBdr>
        <w:spacing w:line="276" w:lineRule="auto"/>
        <w:jc w:val="both"/>
      </w:pPr>
    </w:p>
    <w:bookmarkEnd w:id="7"/>
    <w:p w14:paraId="19FCF3EF" w14:textId="75E6B8DB" w:rsidR="0055772F" w:rsidRPr="003E0254" w:rsidRDefault="0055772F" w:rsidP="0055772F">
      <w:pPr>
        <w:pStyle w:val="Beschriftung"/>
        <w:keepNext/>
      </w:pPr>
      <w:r w:rsidRPr="003E0254">
        <w:t xml:space="preserve">Table </w:t>
      </w:r>
      <w:r w:rsidR="0054077B" w:rsidRPr="003E0254">
        <w:fldChar w:fldCharType="begin"/>
      </w:r>
      <w:r w:rsidR="0054077B" w:rsidRPr="003E0254">
        <w:instrText xml:space="preserve"> SEQ Table \* ARABIC </w:instrText>
      </w:r>
      <w:r w:rsidR="0054077B" w:rsidRPr="003E0254">
        <w:fldChar w:fldCharType="separate"/>
      </w:r>
      <w:r w:rsidR="00BC65F2" w:rsidRPr="003E0254">
        <w:rPr>
          <w:noProof/>
        </w:rPr>
        <w:t>2</w:t>
      </w:r>
      <w:r w:rsidR="0054077B" w:rsidRPr="003E0254">
        <w:rPr>
          <w:noProof/>
        </w:rPr>
        <w:fldChar w:fldCharType="end"/>
      </w:r>
      <w:r w:rsidRPr="003E0254">
        <w:t xml:space="preserve">: Examples for well-performing </w:t>
      </w:r>
      <w:r w:rsidR="00A439A1" w:rsidRPr="003E0254">
        <w:t>zinc-metal</w:t>
      </w:r>
      <w:r w:rsidRPr="003E0254">
        <w:t xml:space="preserve"> batteries with different cell chemistries</w:t>
      </w:r>
      <w:r w:rsidR="006941D4" w:rsidRPr="003E0254">
        <w:t>.</w:t>
      </w:r>
    </w:p>
    <w:tbl>
      <w:tblPr>
        <w:tblStyle w:val="Tabellenraster"/>
        <w:tblpPr w:leftFromText="187" w:rightFromText="187" w:vertAnchor="text" w:tblpY="1"/>
        <w:tblOverlap w:val="never"/>
        <w:tblW w:w="0" w:type="auto"/>
        <w:tblLayout w:type="fixed"/>
        <w:tblLook w:val="04A0" w:firstRow="1" w:lastRow="0" w:firstColumn="1" w:lastColumn="0" w:noHBand="0" w:noVBand="1"/>
      </w:tblPr>
      <w:tblGrid>
        <w:gridCol w:w="1573"/>
        <w:gridCol w:w="942"/>
        <w:gridCol w:w="1260"/>
        <w:gridCol w:w="990"/>
        <w:gridCol w:w="900"/>
        <w:gridCol w:w="900"/>
        <w:gridCol w:w="630"/>
        <w:gridCol w:w="540"/>
        <w:gridCol w:w="1615"/>
      </w:tblGrid>
      <w:tr w:rsidR="00C60055" w:rsidRPr="003E0254" w14:paraId="5678F569" w14:textId="77777777" w:rsidTr="005B1B4B">
        <w:tc>
          <w:tcPr>
            <w:tcW w:w="1573" w:type="dxa"/>
            <w:vAlign w:val="center"/>
          </w:tcPr>
          <w:p w14:paraId="4B5715FA" w14:textId="77777777" w:rsidR="00C60055" w:rsidRPr="003E0254" w:rsidRDefault="00C60055" w:rsidP="005B1B4B">
            <w:pPr>
              <w:spacing w:line="276" w:lineRule="auto"/>
              <w:jc w:val="center"/>
              <w:rPr>
                <w:b/>
                <w:bCs/>
                <w:sz w:val="20"/>
                <w:szCs w:val="20"/>
              </w:rPr>
            </w:pPr>
            <w:r w:rsidRPr="003E0254">
              <w:rPr>
                <w:b/>
                <w:bCs/>
                <w:sz w:val="20"/>
                <w:szCs w:val="20"/>
              </w:rPr>
              <w:t>Components</w:t>
            </w:r>
          </w:p>
        </w:tc>
        <w:tc>
          <w:tcPr>
            <w:tcW w:w="5622" w:type="dxa"/>
            <w:gridSpan w:val="6"/>
            <w:vAlign w:val="center"/>
          </w:tcPr>
          <w:p w14:paraId="66F2EF42" w14:textId="77777777" w:rsidR="00C60055" w:rsidRPr="003E0254" w:rsidRDefault="00C60055" w:rsidP="005B1B4B">
            <w:pPr>
              <w:spacing w:line="276" w:lineRule="auto"/>
              <w:jc w:val="center"/>
              <w:rPr>
                <w:b/>
                <w:bCs/>
                <w:sz w:val="20"/>
                <w:szCs w:val="20"/>
              </w:rPr>
            </w:pPr>
            <w:r w:rsidRPr="003E0254">
              <w:rPr>
                <w:b/>
                <w:bCs/>
                <w:sz w:val="20"/>
                <w:szCs w:val="20"/>
              </w:rPr>
              <w:t>Performance Indicator</w:t>
            </w:r>
          </w:p>
        </w:tc>
        <w:tc>
          <w:tcPr>
            <w:tcW w:w="540" w:type="dxa"/>
            <w:vAlign w:val="center"/>
          </w:tcPr>
          <w:p w14:paraId="10D1B635" w14:textId="77777777" w:rsidR="00C60055" w:rsidRPr="003E0254" w:rsidRDefault="00C60055" w:rsidP="005B1B4B">
            <w:pPr>
              <w:spacing w:line="276" w:lineRule="auto"/>
              <w:jc w:val="center"/>
              <w:rPr>
                <w:b/>
                <w:bCs/>
                <w:sz w:val="20"/>
                <w:szCs w:val="20"/>
              </w:rPr>
            </w:pPr>
            <w:r w:rsidRPr="003E0254">
              <w:rPr>
                <w:b/>
                <w:bCs/>
                <w:sz w:val="20"/>
                <w:szCs w:val="20"/>
              </w:rPr>
              <w:t>REF</w:t>
            </w:r>
          </w:p>
        </w:tc>
        <w:tc>
          <w:tcPr>
            <w:tcW w:w="1615" w:type="dxa"/>
            <w:vAlign w:val="center"/>
          </w:tcPr>
          <w:p w14:paraId="5847D310" w14:textId="77777777" w:rsidR="00C60055" w:rsidRPr="003E0254" w:rsidRDefault="00C60055" w:rsidP="005B1B4B">
            <w:pPr>
              <w:spacing w:line="276" w:lineRule="auto"/>
              <w:jc w:val="center"/>
              <w:rPr>
                <w:b/>
                <w:bCs/>
                <w:sz w:val="20"/>
                <w:szCs w:val="20"/>
              </w:rPr>
            </w:pPr>
            <w:r w:rsidRPr="003E0254">
              <w:rPr>
                <w:b/>
                <w:bCs/>
                <w:sz w:val="20"/>
                <w:szCs w:val="20"/>
              </w:rPr>
              <w:t>Comment</w:t>
            </w:r>
          </w:p>
        </w:tc>
      </w:tr>
      <w:tr w:rsidR="005B1B4B" w:rsidRPr="003E0254" w14:paraId="03DF6C0F" w14:textId="77777777" w:rsidTr="005B1B4B">
        <w:tc>
          <w:tcPr>
            <w:tcW w:w="1573" w:type="dxa"/>
            <w:vAlign w:val="center"/>
          </w:tcPr>
          <w:p w14:paraId="796BACDC" w14:textId="77777777" w:rsidR="00C60055" w:rsidRPr="003E0254" w:rsidRDefault="00C60055" w:rsidP="005B1B4B">
            <w:pPr>
              <w:spacing w:line="276" w:lineRule="auto"/>
              <w:jc w:val="center"/>
              <w:rPr>
                <w:sz w:val="20"/>
                <w:szCs w:val="20"/>
              </w:rPr>
            </w:pPr>
          </w:p>
        </w:tc>
        <w:tc>
          <w:tcPr>
            <w:tcW w:w="942" w:type="dxa"/>
            <w:vAlign w:val="center"/>
          </w:tcPr>
          <w:p w14:paraId="32D36D75" w14:textId="77777777" w:rsidR="00C60055" w:rsidRPr="003E0254" w:rsidRDefault="00C60055" w:rsidP="005B1B4B">
            <w:pPr>
              <w:spacing w:line="276" w:lineRule="auto"/>
              <w:jc w:val="center"/>
              <w:rPr>
                <w:sz w:val="20"/>
                <w:szCs w:val="20"/>
              </w:rPr>
            </w:pPr>
            <w:r w:rsidRPr="003E0254">
              <w:rPr>
                <w:sz w:val="20"/>
                <w:szCs w:val="20"/>
              </w:rPr>
              <w:t>Cycle number</w:t>
            </w:r>
          </w:p>
        </w:tc>
        <w:tc>
          <w:tcPr>
            <w:tcW w:w="1260" w:type="dxa"/>
            <w:vAlign w:val="center"/>
          </w:tcPr>
          <w:p w14:paraId="741AECF4" w14:textId="77777777" w:rsidR="00C60055" w:rsidRPr="003E0254" w:rsidRDefault="00C60055" w:rsidP="005B1B4B">
            <w:pPr>
              <w:spacing w:line="276" w:lineRule="auto"/>
              <w:jc w:val="center"/>
              <w:rPr>
                <w:sz w:val="20"/>
                <w:szCs w:val="20"/>
              </w:rPr>
            </w:pPr>
            <w:r w:rsidRPr="003E0254">
              <w:rPr>
                <w:sz w:val="20"/>
                <w:szCs w:val="20"/>
              </w:rPr>
              <w:t>Coulombic Efficiency</w:t>
            </w:r>
          </w:p>
        </w:tc>
        <w:tc>
          <w:tcPr>
            <w:tcW w:w="990" w:type="dxa"/>
            <w:vAlign w:val="center"/>
          </w:tcPr>
          <w:p w14:paraId="48014979" w14:textId="082ECC0E" w:rsidR="00C60055" w:rsidRPr="003E0254" w:rsidRDefault="00C60055" w:rsidP="005B1B4B">
            <w:pPr>
              <w:spacing w:line="276" w:lineRule="auto"/>
              <w:jc w:val="center"/>
              <w:rPr>
                <w:sz w:val="20"/>
                <w:szCs w:val="20"/>
              </w:rPr>
            </w:pPr>
            <w:r w:rsidRPr="003E0254">
              <w:rPr>
                <w:sz w:val="20"/>
                <w:szCs w:val="20"/>
              </w:rPr>
              <w:t>Capacity / mA</w:t>
            </w:r>
            <w:r w:rsidR="00977AD1" w:rsidRPr="003E0254">
              <w:rPr>
                <w:sz w:val="20"/>
                <w:szCs w:val="20"/>
              </w:rPr>
              <w:t> </w:t>
            </w:r>
            <w:r w:rsidRPr="003E0254">
              <w:rPr>
                <w:sz w:val="20"/>
                <w:szCs w:val="20"/>
              </w:rPr>
              <w:t>h</w:t>
            </w:r>
            <w:r w:rsidR="00977AD1" w:rsidRPr="003E0254">
              <w:rPr>
                <w:sz w:val="20"/>
                <w:szCs w:val="20"/>
              </w:rPr>
              <w:t> </w:t>
            </w:r>
            <w:r w:rsidRPr="003E0254">
              <w:rPr>
                <w:sz w:val="20"/>
                <w:szCs w:val="20"/>
              </w:rPr>
              <w:t>g</w:t>
            </w:r>
            <w:r w:rsidRPr="003E0254">
              <w:rPr>
                <w:sz w:val="20"/>
                <w:szCs w:val="20"/>
                <w:vertAlign w:val="superscript"/>
              </w:rPr>
              <w:t>-1</w:t>
            </w:r>
          </w:p>
        </w:tc>
        <w:tc>
          <w:tcPr>
            <w:tcW w:w="900" w:type="dxa"/>
            <w:vAlign w:val="center"/>
          </w:tcPr>
          <w:p w14:paraId="746C721B" w14:textId="77777777" w:rsidR="00C60055" w:rsidRPr="003E0254" w:rsidRDefault="00C60055" w:rsidP="005B1B4B">
            <w:pPr>
              <w:spacing w:line="276" w:lineRule="auto"/>
              <w:jc w:val="center"/>
              <w:rPr>
                <w:sz w:val="20"/>
                <w:szCs w:val="20"/>
              </w:rPr>
            </w:pPr>
            <w:r w:rsidRPr="003E0254">
              <w:rPr>
                <w:sz w:val="20"/>
                <w:szCs w:val="20"/>
              </w:rPr>
              <w:t>Current density / C-rate</w:t>
            </w:r>
          </w:p>
        </w:tc>
        <w:tc>
          <w:tcPr>
            <w:tcW w:w="900" w:type="dxa"/>
            <w:vAlign w:val="center"/>
          </w:tcPr>
          <w:p w14:paraId="006736A1" w14:textId="48DE995A" w:rsidR="00C60055" w:rsidRPr="003E0254" w:rsidRDefault="00C60055" w:rsidP="005B1B4B">
            <w:pPr>
              <w:spacing w:line="276" w:lineRule="auto"/>
              <w:jc w:val="center"/>
              <w:rPr>
                <w:sz w:val="20"/>
                <w:szCs w:val="20"/>
                <w:vertAlign w:val="subscript"/>
              </w:rPr>
            </w:pPr>
            <w:r w:rsidRPr="003E0254">
              <w:rPr>
                <w:sz w:val="20"/>
                <w:szCs w:val="20"/>
              </w:rPr>
              <w:t>Mass loading</w:t>
            </w:r>
            <w:r w:rsidR="00977AD1" w:rsidRPr="003E0254">
              <w:rPr>
                <w:sz w:val="20"/>
                <w:szCs w:val="20"/>
              </w:rPr>
              <w:t xml:space="preserve"> </w:t>
            </w:r>
            <w:r w:rsidRPr="003E0254">
              <w:rPr>
                <w:sz w:val="20"/>
                <w:szCs w:val="20"/>
              </w:rPr>
              <w:t>/</w:t>
            </w:r>
            <w:r w:rsidR="00977AD1" w:rsidRPr="003E0254">
              <w:rPr>
                <w:sz w:val="20"/>
                <w:szCs w:val="20"/>
              </w:rPr>
              <w:t xml:space="preserve"> </w:t>
            </w:r>
            <w:r w:rsidRPr="003E0254">
              <w:rPr>
                <w:sz w:val="20"/>
                <w:szCs w:val="20"/>
              </w:rPr>
              <w:t>mg</w:t>
            </w:r>
            <w:r w:rsidR="00977AD1" w:rsidRPr="003E0254">
              <w:rPr>
                <w:sz w:val="20"/>
                <w:szCs w:val="20"/>
              </w:rPr>
              <w:t> </w:t>
            </w:r>
            <w:r w:rsidRPr="003E0254">
              <w:rPr>
                <w:sz w:val="20"/>
                <w:szCs w:val="20"/>
              </w:rPr>
              <w:t>cm</w:t>
            </w:r>
            <w:r w:rsidRPr="003E0254">
              <w:rPr>
                <w:sz w:val="20"/>
                <w:szCs w:val="20"/>
                <w:vertAlign w:val="superscript"/>
              </w:rPr>
              <w:t>-2</w:t>
            </w:r>
          </w:p>
        </w:tc>
        <w:tc>
          <w:tcPr>
            <w:tcW w:w="630" w:type="dxa"/>
            <w:vAlign w:val="center"/>
          </w:tcPr>
          <w:p w14:paraId="12A777A9" w14:textId="77777777" w:rsidR="00C60055" w:rsidRPr="003E0254" w:rsidRDefault="00C60055" w:rsidP="005B1B4B">
            <w:pPr>
              <w:spacing w:line="276" w:lineRule="auto"/>
              <w:jc w:val="center"/>
              <w:rPr>
                <w:sz w:val="20"/>
                <w:szCs w:val="20"/>
              </w:rPr>
            </w:pPr>
            <w:r w:rsidRPr="003E0254">
              <w:rPr>
                <w:sz w:val="20"/>
                <w:szCs w:val="20"/>
              </w:rPr>
              <w:t>Voltage / V</w:t>
            </w:r>
          </w:p>
        </w:tc>
        <w:tc>
          <w:tcPr>
            <w:tcW w:w="540" w:type="dxa"/>
            <w:vAlign w:val="center"/>
          </w:tcPr>
          <w:p w14:paraId="3DA65893" w14:textId="77777777" w:rsidR="00C60055" w:rsidRPr="003E0254" w:rsidRDefault="00C60055" w:rsidP="005B1B4B">
            <w:pPr>
              <w:spacing w:line="276" w:lineRule="auto"/>
              <w:jc w:val="center"/>
              <w:rPr>
                <w:sz w:val="20"/>
                <w:szCs w:val="20"/>
              </w:rPr>
            </w:pPr>
          </w:p>
        </w:tc>
        <w:tc>
          <w:tcPr>
            <w:tcW w:w="1615" w:type="dxa"/>
            <w:vAlign w:val="center"/>
          </w:tcPr>
          <w:p w14:paraId="31A0E0DE" w14:textId="77777777" w:rsidR="00C60055" w:rsidRPr="003E0254" w:rsidRDefault="00C60055" w:rsidP="005B1B4B">
            <w:pPr>
              <w:spacing w:line="276" w:lineRule="auto"/>
              <w:jc w:val="center"/>
              <w:rPr>
                <w:sz w:val="20"/>
                <w:szCs w:val="20"/>
              </w:rPr>
            </w:pPr>
          </w:p>
        </w:tc>
      </w:tr>
      <w:tr w:rsidR="005B1B4B" w:rsidRPr="003E0254" w14:paraId="2AA58E81" w14:textId="77777777" w:rsidTr="005B1B4B">
        <w:tc>
          <w:tcPr>
            <w:tcW w:w="1573" w:type="dxa"/>
            <w:vAlign w:val="center"/>
          </w:tcPr>
          <w:p w14:paraId="2D4132E6" w14:textId="0EDDAA3D" w:rsidR="00C60055" w:rsidRPr="003E0254" w:rsidRDefault="00C60055" w:rsidP="005B1B4B">
            <w:pPr>
              <w:spacing w:line="276" w:lineRule="auto"/>
              <w:jc w:val="center"/>
              <w:rPr>
                <w:sz w:val="20"/>
                <w:szCs w:val="20"/>
                <w:lang w:val="pl-PL"/>
              </w:rPr>
            </w:pPr>
            <w:r w:rsidRPr="003E0254">
              <w:rPr>
                <w:sz w:val="20"/>
                <w:szCs w:val="20"/>
                <w:lang w:val="pl-PL"/>
              </w:rPr>
              <w:t>V</w:t>
            </w:r>
            <w:r w:rsidRPr="003E0254">
              <w:rPr>
                <w:sz w:val="20"/>
                <w:szCs w:val="20"/>
                <w:vertAlign w:val="subscript"/>
                <w:lang w:val="pl-PL"/>
              </w:rPr>
              <w:t>2</w:t>
            </w:r>
            <w:r w:rsidRPr="003E0254">
              <w:rPr>
                <w:sz w:val="20"/>
                <w:szCs w:val="20"/>
                <w:lang w:val="pl-PL"/>
              </w:rPr>
              <w:t>O</w:t>
            </w:r>
            <w:r w:rsidRPr="003E0254">
              <w:rPr>
                <w:sz w:val="20"/>
                <w:szCs w:val="20"/>
                <w:vertAlign w:val="subscript"/>
                <w:lang w:val="pl-PL"/>
              </w:rPr>
              <w:t>5</w:t>
            </w:r>
            <w:r w:rsidRPr="003E0254">
              <w:rPr>
                <w:sz w:val="20"/>
                <w:szCs w:val="20"/>
                <w:lang w:val="pl-PL"/>
              </w:rPr>
              <w:t xml:space="preserve"> | 3 M Zn(CF</w:t>
            </w:r>
            <w:r w:rsidRPr="003E0254">
              <w:rPr>
                <w:sz w:val="20"/>
                <w:szCs w:val="20"/>
                <w:vertAlign w:val="subscript"/>
                <w:lang w:val="pl-PL"/>
              </w:rPr>
              <w:t>3</w:t>
            </w:r>
            <w:r w:rsidRPr="003E0254">
              <w:rPr>
                <w:sz w:val="20"/>
                <w:szCs w:val="20"/>
                <w:lang w:val="pl-PL"/>
              </w:rPr>
              <w:t>SO</w:t>
            </w:r>
            <w:r w:rsidRPr="003E0254">
              <w:rPr>
                <w:sz w:val="20"/>
                <w:szCs w:val="20"/>
                <w:vertAlign w:val="subscript"/>
                <w:lang w:val="pl-PL"/>
              </w:rPr>
              <w:t>3</w:t>
            </w:r>
            <w:r w:rsidRPr="003E0254">
              <w:rPr>
                <w:sz w:val="20"/>
                <w:szCs w:val="20"/>
                <w:lang w:val="pl-PL"/>
              </w:rPr>
              <w:t>)</w:t>
            </w:r>
            <w:r w:rsidRPr="003E0254">
              <w:rPr>
                <w:sz w:val="20"/>
                <w:szCs w:val="20"/>
                <w:vertAlign w:val="subscript"/>
                <w:lang w:val="pl-PL"/>
              </w:rPr>
              <w:t>2</w:t>
            </w:r>
            <w:r w:rsidRPr="003E0254">
              <w:rPr>
                <w:sz w:val="20"/>
                <w:szCs w:val="20"/>
                <w:lang w:val="pl-PL"/>
              </w:rPr>
              <w:t xml:space="preserve"> | Zn </w:t>
            </w:r>
            <w:r w:rsidR="00075253" w:rsidRPr="003E0254">
              <w:rPr>
                <w:sz w:val="20"/>
                <w:szCs w:val="20"/>
                <w:lang w:val="pl-PL"/>
              </w:rPr>
              <w:t>metal</w:t>
            </w:r>
          </w:p>
        </w:tc>
        <w:tc>
          <w:tcPr>
            <w:tcW w:w="942" w:type="dxa"/>
            <w:vAlign w:val="center"/>
          </w:tcPr>
          <w:p w14:paraId="394A64EA" w14:textId="77777777" w:rsidR="00C60055" w:rsidRPr="003E0254" w:rsidRDefault="00C60055" w:rsidP="005B1B4B">
            <w:pPr>
              <w:spacing w:line="276" w:lineRule="auto"/>
              <w:jc w:val="center"/>
              <w:rPr>
                <w:sz w:val="20"/>
                <w:szCs w:val="20"/>
              </w:rPr>
            </w:pPr>
            <w:r w:rsidRPr="003E0254">
              <w:rPr>
                <w:sz w:val="20"/>
                <w:szCs w:val="20"/>
              </w:rPr>
              <w:t>4000</w:t>
            </w:r>
          </w:p>
        </w:tc>
        <w:tc>
          <w:tcPr>
            <w:tcW w:w="1260" w:type="dxa"/>
            <w:vAlign w:val="center"/>
          </w:tcPr>
          <w:p w14:paraId="760E4A28" w14:textId="77777777" w:rsidR="00C60055" w:rsidRPr="003E0254" w:rsidRDefault="00C60055" w:rsidP="005B1B4B">
            <w:pPr>
              <w:spacing w:line="276" w:lineRule="auto"/>
              <w:jc w:val="center"/>
              <w:rPr>
                <w:sz w:val="20"/>
                <w:szCs w:val="20"/>
              </w:rPr>
            </w:pPr>
            <w:r w:rsidRPr="003E0254">
              <w:rPr>
                <w:sz w:val="20"/>
                <w:szCs w:val="20"/>
              </w:rPr>
              <w:t>91.1%</w:t>
            </w:r>
          </w:p>
        </w:tc>
        <w:tc>
          <w:tcPr>
            <w:tcW w:w="990" w:type="dxa"/>
            <w:vAlign w:val="center"/>
          </w:tcPr>
          <w:p w14:paraId="1D3FE8FA" w14:textId="77777777" w:rsidR="00C60055" w:rsidRPr="003E0254" w:rsidRDefault="00C60055" w:rsidP="005B1B4B">
            <w:pPr>
              <w:spacing w:line="276" w:lineRule="auto"/>
              <w:jc w:val="center"/>
              <w:rPr>
                <w:sz w:val="20"/>
                <w:szCs w:val="20"/>
              </w:rPr>
            </w:pPr>
            <w:r w:rsidRPr="003E0254">
              <w:rPr>
                <w:sz w:val="20"/>
                <w:szCs w:val="20"/>
              </w:rPr>
              <w:t>470 (at 0.2 A g</w:t>
            </w:r>
            <w:r w:rsidRPr="003E0254">
              <w:rPr>
                <w:sz w:val="20"/>
                <w:szCs w:val="20"/>
                <w:vertAlign w:val="superscript"/>
              </w:rPr>
              <w:t>-1</w:t>
            </w:r>
            <w:r w:rsidRPr="003E0254">
              <w:rPr>
                <w:sz w:val="20"/>
                <w:szCs w:val="20"/>
              </w:rPr>
              <w:t>)</w:t>
            </w:r>
          </w:p>
        </w:tc>
        <w:tc>
          <w:tcPr>
            <w:tcW w:w="900" w:type="dxa"/>
            <w:vAlign w:val="center"/>
          </w:tcPr>
          <w:p w14:paraId="37D98FD2" w14:textId="77777777" w:rsidR="00C60055" w:rsidRPr="003E0254" w:rsidRDefault="00C60055" w:rsidP="005B1B4B">
            <w:pPr>
              <w:spacing w:line="276" w:lineRule="auto"/>
              <w:jc w:val="center"/>
              <w:rPr>
                <w:sz w:val="20"/>
                <w:szCs w:val="20"/>
              </w:rPr>
            </w:pPr>
            <w:r w:rsidRPr="003E0254">
              <w:rPr>
                <w:sz w:val="20"/>
                <w:szCs w:val="20"/>
              </w:rPr>
              <w:t>5 A g</w:t>
            </w:r>
            <w:r w:rsidRPr="003E0254">
              <w:rPr>
                <w:sz w:val="20"/>
                <w:szCs w:val="20"/>
                <w:vertAlign w:val="superscript"/>
              </w:rPr>
              <w:t>–1</w:t>
            </w:r>
          </w:p>
        </w:tc>
        <w:tc>
          <w:tcPr>
            <w:tcW w:w="900" w:type="dxa"/>
            <w:vAlign w:val="center"/>
          </w:tcPr>
          <w:p w14:paraId="306F2C54" w14:textId="13439382" w:rsidR="00C60055" w:rsidRPr="003E0254" w:rsidRDefault="00C60055" w:rsidP="005B1B4B">
            <w:pPr>
              <w:spacing w:line="276" w:lineRule="auto"/>
              <w:jc w:val="center"/>
              <w:rPr>
                <w:sz w:val="20"/>
                <w:szCs w:val="20"/>
              </w:rPr>
            </w:pPr>
            <w:r w:rsidRPr="003E0254">
              <w:rPr>
                <w:sz w:val="20"/>
                <w:szCs w:val="20"/>
              </w:rPr>
              <w:t>2</w:t>
            </w:r>
          </w:p>
        </w:tc>
        <w:tc>
          <w:tcPr>
            <w:tcW w:w="630" w:type="dxa"/>
            <w:vAlign w:val="center"/>
          </w:tcPr>
          <w:p w14:paraId="34045F78" w14:textId="77777777" w:rsidR="00C60055" w:rsidRPr="003E0254" w:rsidRDefault="00C60055" w:rsidP="005B1B4B">
            <w:pPr>
              <w:spacing w:line="276" w:lineRule="auto"/>
              <w:jc w:val="center"/>
              <w:rPr>
                <w:sz w:val="20"/>
                <w:szCs w:val="20"/>
              </w:rPr>
            </w:pPr>
            <w:r w:rsidRPr="003E0254">
              <w:rPr>
                <w:sz w:val="20"/>
                <w:szCs w:val="20"/>
              </w:rPr>
              <w:t>0.72</w:t>
            </w:r>
          </w:p>
        </w:tc>
        <w:tc>
          <w:tcPr>
            <w:tcW w:w="540" w:type="dxa"/>
            <w:vAlign w:val="center"/>
          </w:tcPr>
          <w:p w14:paraId="26CF46FA" w14:textId="3C77CCF2" w:rsidR="00C60055" w:rsidRPr="003E0254" w:rsidRDefault="00C60055" w:rsidP="005B1B4B">
            <w:pPr>
              <w:spacing w:line="276" w:lineRule="auto"/>
              <w:jc w:val="center"/>
              <w:rPr>
                <w:sz w:val="20"/>
                <w:szCs w:val="20"/>
              </w:rPr>
            </w:pPr>
            <w:r w:rsidRPr="003E0254">
              <w:rPr>
                <w:sz w:val="20"/>
                <w:szCs w:val="20"/>
              </w:rPr>
              <w:t>Zhang et al.</w:t>
            </w:r>
            <w:r w:rsidR="0055772F" w:rsidRPr="003E0254">
              <w:rPr>
                <w:sz w:val="20"/>
                <w:szCs w:val="20"/>
              </w:rPr>
              <w:fldChar w:fldCharType="begin" w:fldLock="1"/>
            </w:r>
            <w:r w:rsidR="00500B8D" w:rsidRPr="003E0254">
              <w:rPr>
                <w:sz w:val="20"/>
                <w:szCs w:val="20"/>
              </w:rPr>
              <w:instrText>ADDIN CSL_CITATION {"citationItems":[{"id":"ITEM-1","itemData":{"DOI":"10.1021/ACSENERGYLETT.8B00565/ASSET/IMAGES/LARGE/NZ-2018-00565J_0005.JPEG","ISSN":"23808195","abstract":"We report an aqueous Zn-V2O5 battery chemistry employing commercial V2O5 cathode, Zn anode, and 3 M Zn(CF3SO3)2 electrolyte. We elucidate the Zn-storage mechanism in the V2O5 cathode to be that hydrated Zn2+ can reversibly (de)intercalate through the layered structure. The function of the co-intercalated H2O is revealed to be shielding the electrostatic interactions between Zn2+ and the host framework, accounting for the enhanced kinetics. In addition, the pristine bulk V2O5 gradually evolves into porous nanosheets upon cycling, providing more active sites for Zn2+ storage and thus rendering an initial capacity increase. As a consequence, a reversible capacity of 470 mAh g-1 at 0.2 A g-1 and a long-term cyclability with 91.1% capacity rentention over 4000 cycles at 5 A g-1 are achieved. The combination of the good battery performance, safety, scalable materials synthesis, and facile cell assembly indicates this aqueous Zn-V2O5 system is promising for stationary grid storage applications.","author":[{"dropping-particle":"","family":"Zhang","given":"Ning","non-dropping-particle":"","parse-names":false,"suffix":""},{"dropping-particle":"","family":"Dong","given":"Yang","non-dropping-particle":"","parse-names":false,"suffix":""},{"dropping-particle":"","family":"Jia","given":"Ming","non-dropping-particle":"","parse-names":false,"suffix":""},{"dropping-particle":"","family":"Bian","given":"Xu","non-dropping-particle":"","parse-names":false,"suffix":""},{"dropping-particle":"","family":"Wang","given":"Yuanyuan","non-dropping-particle":"","parse-names":false,"suffix":""},{"dropping-particle":"","family":"Qiu","given":"Mande","non-dropping-particle":"","parse-names":false,"suffix":""},{"dropping-particle":"","family":"Xu","given":"Jianzhong","non-dropping-particle":"","parse-names":false,"suffix":""},{"dropping-particle":"","family":"Liu","given":"Yongchang","non-dropping-particle":"","parse-names":false,"suffix":""},{"dropping-particle":"","family":"Jiao","given":"Lifang","non-dropping-particle":"","parse-names":false,"suffix":""},{"dropping-particle":"","family":"Cheng","given":"Fangyi","non-dropping-particle":"","parse-names":false,"suffix":""}],"container-title":"ACS Energy Letters","id":"ITEM-1","issue":"6","issued":{"date-parts":[["2018","6","8"]]},"page":"1366-1372","publisher":"American Chemical Society","title":"Rechargeable Aqueous Zn-V2O5 Battery with High Energy Density and Long Cycle Life","type":"article-journal","volume":"3"},"uris":["http://www.mendeley.com/documents/?uuid=24327705-167c-3dc3-b258-0712210b1611"]}],"mendeley":{"formattedCitation":"&lt;sup&gt;[91]&lt;/sup&gt;","plainTextFormattedCitation":"[91]","previouslyFormattedCitation":"&lt;sup&gt;[90]&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[91]</w:t>
            </w:r>
            <w:r w:rsidR="0055772F" w:rsidRPr="003E0254">
              <w:rPr>
                <w:sz w:val="20"/>
                <w:szCs w:val="20"/>
              </w:rPr>
              <w:fldChar w:fldCharType="end"/>
            </w:r>
          </w:p>
        </w:tc>
        <w:tc>
          <w:tcPr>
            <w:tcW w:w="1615" w:type="dxa"/>
            <w:vAlign w:val="center"/>
          </w:tcPr>
          <w:p w14:paraId="78E2AA20" w14:textId="6A76D716" w:rsidR="00C60055" w:rsidRPr="003E0254" w:rsidRDefault="00C60055" w:rsidP="005B1B4B">
            <w:pPr>
              <w:spacing w:line="276" w:lineRule="auto"/>
              <w:jc w:val="center"/>
              <w:rPr>
                <w:sz w:val="20"/>
                <w:szCs w:val="20"/>
              </w:rPr>
            </w:pPr>
            <w:r w:rsidRPr="003E0254">
              <w:rPr>
                <w:sz w:val="20"/>
                <w:szCs w:val="20"/>
              </w:rPr>
              <w:t>Good cycling stability, high capacity and mass loadings possible, comparably high C-rates possible,</w:t>
            </w:r>
          </w:p>
        </w:tc>
      </w:tr>
      <w:tr w:rsidR="005B1B4B" w:rsidRPr="003E0254" w14:paraId="4F6BB479" w14:textId="77777777" w:rsidTr="005B1B4B">
        <w:tc>
          <w:tcPr>
            <w:tcW w:w="1573" w:type="dxa"/>
            <w:vAlign w:val="center"/>
          </w:tcPr>
          <w:p w14:paraId="2C58AE86" w14:textId="0A63BABA" w:rsidR="00C60055" w:rsidRPr="003E0254" w:rsidRDefault="00C60055" w:rsidP="005B1B4B">
            <w:pPr>
              <w:spacing w:line="276" w:lineRule="auto"/>
              <w:jc w:val="center"/>
              <w:rPr>
                <w:sz w:val="20"/>
                <w:szCs w:val="20"/>
              </w:rPr>
            </w:pPr>
            <w:r w:rsidRPr="003E0254">
              <w:rPr>
                <w:sz w:val="20"/>
                <w:szCs w:val="20"/>
              </w:rPr>
              <w:t xml:space="preserve">Co-doped </w:t>
            </w:r>
            <w:r w:rsidRPr="003E0254">
              <w:rPr>
                <w:rFonts w:ascii="Symbol" w:eastAsia="Symbol" w:hAnsi="Symbol" w:cs="Symbol"/>
                <w:sz w:val="20"/>
                <w:szCs w:val="20"/>
              </w:rPr>
              <w:t></w:t>
            </w:r>
            <w:r w:rsidRPr="003E0254">
              <w:rPr>
                <w:sz w:val="20"/>
                <w:szCs w:val="20"/>
              </w:rPr>
              <w:t>-MnO</w:t>
            </w:r>
            <w:r w:rsidRPr="003E0254">
              <w:rPr>
                <w:sz w:val="20"/>
                <w:szCs w:val="20"/>
                <w:vertAlign w:val="subscript"/>
              </w:rPr>
              <w:t>2</w:t>
            </w:r>
            <w:r w:rsidRPr="003E0254">
              <w:rPr>
                <w:sz w:val="20"/>
                <w:szCs w:val="20"/>
              </w:rPr>
              <w:t xml:space="preserve"> | 2 M ZnSO</w:t>
            </w:r>
            <w:r w:rsidRPr="003E0254">
              <w:rPr>
                <w:sz w:val="20"/>
                <w:szCs w:val="20"/>
                <w:vertAlign w:val="subscript"/>
              </w:rPr>
              <w:t>4</w:t>
            </w:r>
            <w:r w:rsidRPr="003E0254">
              <w:rPr>
                <w:sz w:val="20"/>
                <w:szCs w:val="20"/>
              </w:rPr>
              <w:t xml:space="preserve"> + 0.1 M MnSO</w:t>
            </w:r>
            <w:r w:rsidRPr="003E0254">
              <w:rPr>
                <w:sz w:val="20"/>
                <w:szCs w:val="20"/>
                <w:vertAlign w:val="subscript"/>
              </w:rPr>
              <w:t xml:space="preserve">4 </w:t>
            </w:r>
            <w:r w:rsidRPr="003E0254">
              <w:rPr>
                <w:sz w:val="20"/>
                <w:szCs w:val="20"/>
              </w:rPr>
              <w:t xml:space="preserve">| Zn </w:t>
            </w:r>
            <w:r w:rsidR="00075253" w:rsidRPr="003E0254">
              <w:rPr>
                <w:sz w:val="20"/>
                <w:szCs w:val="20"/>
              </w:rPr>
              <w:t>metal</w:t>
            </w:r>
          </w:p>
        </w:tc>
        <w:tc>
          <w:tcPr>
            <w:tcW w:w="942" w:type="dxa"/>
            <w:vAlign w:val="center"/>
          </w:tcPr>
          <w:p w14:paraId="612C2557" w14:textId="77777777" w:rsidR="00C60055" w:rsidRPr="003E0254" w:rsidRDefault="00C60055" w:rsidP="005B1B4B">
            <w:pPr>
              <w:spacing w:line="276" w:lineRule="auto"/>
              <w:jc w:val="center"/>
              <w:rPr>
                <w:sz w:val="20"/>
                <w:szCs w:val="20"/>
              </w:rPr>
            </w:pPr>
            <w:r w:rsidRPr="003E0254">
              <w:rPr>
                <w:sz w:val="20"/>
                <w:szCs w:val="20"/>
              </w:rPr>
              <w:t>100</w:t>
            </w:r>
          </w:p>
          <w:p w14:paraId="75A17290" w14:textId="77777777" w:rsidR="00C60055" w:rsidRPr="003E0254" w:rsidRDefault="00C60055" w:rsidP="005B1B4B">
            <w:pPr>
              <w:spacing w:line="276" w:lineRule="auto"/>
              <w:jc w:val="center"/>
              <w:rPr>
                <w:sz w:val="20"/>
                <w:szCs w:val="20"/>
              </w:rPr>
            </w:pPr>
          </w:p>
          <w:p w14:paraId="4DB4F719" w14:textId="77777777" w:rsidR="00C60055" w:rsidRPr="003E0254" w:rsidRDefault="00C60055" w:rsidP="005B1B4B">
            <w:pPr>
              <w:spacing w:line="276" w:lineRule="auto"/>
              <w:jc w:val="center"/>
              <w:rPr>
                <w:sz w:val="20"/>
                <w:szCs w:val="20"/>
              </w:rPr>
            </w:pPr>
            <w:r w:rsidRPr="003E0254">
              <w:rPr>
                <w:sz w:val="20"/>
                <w:szCs w:val="20"/>
              </w:rPr>
              <w:t>5000</w:t>
            </w:r>
          </w:p>
        </w:tc>
        <w:tc>
          <w:tcPr>
            <w:tcW w:w="1260" w:type="dxa"/>
            <w:vAlign w:val="center"/>
          </w:tcPr>
          <w:p w14:paraId="32784C6E" w14:textId="77777777" w:rsidR="00C60055" w:rsidRPr="003E0254" w:rsidRDefault="00C60055" w:rsidP="005B1B4B">
            <w:pPr>
              <w:spacing w:line="276" w:lineRule="auto"/>
              <w:jc w:val="center"/>
              <w:rPr>
                <w:sz w:val="20"/>
                <w:szCs w:val="20"/>
              </w:rPr>
            </w:pPr>
            <w:r w:rsidRPr="003E0254">
              <w:rPr>
                <w:sz w:val="20"/>
                <w:szCs w:val="20"/>
              </w:rPr>
              <w:t>~100%</w:t>
            </w:r>
          </w:p>
          <w:p w14:paraId="4C18E357" w14:textId="77777777" w:rsidR="00C60055" w:rsidRPr="003E0254" w:rsidRDefault="00C60055" w:rsidP="005B1B4B">
            <w:pPr>
              <w:spacing w:line="276" w:lineRule="auto"/>
              <w:jc w:val="center"/>
              <w:rPr>
                <w:sz w:val="20"/>
                <w:szCs w:val="20"/>
              </w:rPr>
            </w:pPr>
          </w:p>
          <w:p w14:paraId="71D6501A" w14:textId="77777777" w:rsidR="00C60055" w:rsidRPr="003E0254" w:rsidRDefault="00C60055" w:rsidP="005B1B4B">
            <w:pPr>
              <w:spacing w:line="276" w:lineRule="auto"/>
              <w:jc w:val="center"/>
              <w:rPr>
                <w:sz w:val="20"/>
                <w:szCs w:val="20"/>
              </w:rPr>
            </w:pPr>
            <w:r w:rsidRPr="003E0254">
              <w:rPr>
                <w:sz w:val="20"/>
                <w:szCs w:val="20"/>
              </w:rPr>
              <w:t>63%</w:t>
            </w:r>
          </w:p>
        </w:tc>
        <w:tc>
          <w:tcPr>
            <w:tcW w:w="990" w:type="dxa"/>
            <w:vAlign w:val="center"/>
          </w:tcPr>
          <w:p w14:paraId="45CBEAEF" w14:textId="77777777" w:rsidR="00C60055" w:rsidRPr="003E0254" w:rsidRDefault="00C60055" w:rsidP="005B1B4B">
            <w:pPr>
              <w:spacing w:line="276" w:lineRule="auto"/>
              <w:jc w:val="center"/>
              <w:rPr>
                <w:sz w:val="20"/>
                <w:szCs w:val="20"/>
              </w:rPr>
            </w:pPr>
            <w:r w:rsidRPr="003E0254">
              <w:rPr>
                <w:sz w:val="20"/>
                <w:szCs w:val="20"/>
              </w:rPr>
              <w:t>500</w:t>
            </w:r>
          </w:p>
        </w:tc>
        <w:tc>
          <w:tcPr>
            <w:tcW w:w="900" w:type="dxa"/>
            <w:vAlign w:val="center"/>
          </w:tcPr>
          <w:p w14:paraId="3B00A579" w14:textId="77777777" w:rsidR="00C60055" w:rsidRPr="003E0254" w:rsidRDefault="00C60055" w:rsidP="005B1B4B">
            <w:pPr>
              <w:spacing w:line="276" w:lineRule="auto"/>
              <w:jc w:val="center"/>
              <w:rPr>
                <w:sz w:val="20"/>
                <w:szCs w:val="20"/>
              </w:rPr>
            </w:pPr>
            <w:r w:rsidRPr="003E0254">
              <w:rPr>
                <w:sz w:val="20"/>
                <w:szCs w:val="20"/>
              </w:rPr>
              <w:t>0.3 A g</w:t>
            </w:r>
            <w:r w:rsidRPr="003E0254">
              <w:rPr>
                <w:sz w:val="20"/>
                <w:szCs w:val="20"/>
                <w:vertAlign w:val="superscript"/>
              </w:rPr>
              <w:t>-1</w:t>
            </w:r>
          </w:p>
          <w:p w14:paraId="22D8D3D9" w14:textId="77777777" w:rsidR="00C60055" w:rsidRPr="003E0254" w:rsidRDefault="00C60055" w:rsidP="005B1B4B">
            <w:pPr>
              <w:spacing w:line="276" w:lineRule="auto"/>
              <w:jc w:val="center"/>
              <w:rPr>
                <w:sz w:val="20"/>
                <w:szCs w:val="20"/>
              </w:rPr>
            </w:pPr>
          </w:p>
          <w:p w14:paraId="7343EAD8" w14:textId="77777777" w:rsidR="00C60055" w:rsidRPr="003E0254" w:rsidRDefault="00C60055" w:rsidP="005B1B4B">
            <w:pPr>
              <w:spacing w:line="276" w:lineRule="auto"/>
              <w:jc w:val="center"/>
              <w:rPr>
                <w:sz w:val="20"/>
                <w:szCs w:val="20"/>
              </w:rPr>
            </w:pPr>
            <w:r w:rsidRPr="003E0254">
              <w:rPr>
                <w:sz w:val="20"/>
                <w:szCs w:val="20"/>
              </w:rPr>
              <w:t>2 A g</w:t>
            </w:r>
            <w:r w:rsidRPr="003E0254">
              <w:rPr>
                <w:sz w:val="20"/>
                <w:szCs w:val="20"/>
                <w:vertAlign w:val="superscript"/>
              </w:rPr>
              <w:t>-1</w:t>
            </w:r>
          </w:p>
        </w:tc>
        <w:tc>
          <w:tcPr>
            <w:tcW w:w="900" w:type="dxa"/>
            <w:vAlign w:val="center"/>
          </w:tcPr>
          <w:p w14:paraId="0F955775" w14:textId="6DEB846E" w:rsidR="00C60055" w:rsidRPr="003E0254" w:rsidRDefault="00C60055" w:rsidP="005B1B4B">
            <w:pPr>
              <w:spacing w:line="276" w:lineRule="auto"/>
              <w:jc w:val="center"/>
              <w:rPr>
                <w:sz w:val="20"/>
                <w:szCs w:val="20"/>
              </w:rPr>
            </w:pPr>
            <w:r w:rsidRPr="003E0254">
              <w:rPr>
                <w:sz w:val="20"/>
                <w:szCs w:val="20"/>
              </w:rPr>
              <w:t>2</w:t>
            </w:r>
          </w:p>
        </w:tc>
        <w:tc>
          <w:tcPr>
            <w:tcW w:w="630" w:type="dxa"/>
            <w:vAlign w:val="center"/>
          </w:tcPr>
          <w:p w14:paraId="6F48E810" w14:textId="77777777" w:rsidR="00C60055" w:rsidRPr="003E0254" w:rsidRDefault="00C60055" w:rsidP="005B1B4B">
            <w:pPr>
              <w:spacing w:line="276" w:lineRule="auto"/>
              <w:jc w:val="center"/>
              <w:rPr>
                <w:sz w:val="20"/>
                <w:szCs w:val="20"/>
              </w:rPr>
            </w:pPr>
            <w:r w:rsidRPr="003E0254">
              <w:rPr>
                <w:sz w:val="20"/>
                <w:szCs w:val="20"/>
              </w:rPr>
              <w:t>1.33</w:t>
            </w:r>
          </w:p>
        </w:tc>
        <w:tc>
          <w:tcPr>
            <w:tcW w:w="540" w:type="dxa"/>
            <w:vAlign w:val="center"/>
          </w:tcPr>
          <w:p w14:paraId="5AFB8F5E" w14:textId="02A6ED74" w:rsidR="00C60055" w:rsidRPr="003E0254" w:rsidRDefault="00C60055" w:rsidP="005B1B4B">
            <w:pPr>
              <w:spacing w:line="276" w:lineRule="auto"/>
              <w:jc w:val="center"/>
              <w:rPr>
                <w:sz w:val="20"/>
                <w:szCs w:val="20"/>
              </w:rPr>
            </w:pPr>
            <w:r w:rsidRPr="003E0254">
              <w:rPr>
                <w:sz w:val="20"/>
                <w:szCs w:val="20"/>
              </w:rPr>
              <w:t>Zhong et al.</w:t>
            </w:r>
            <w:r w:rsidR="0055772F" w:rsidRPr="003E0254">
              <w:rPr>
                <w:sz w:val="20"/>
                <w:szCs w:val="20"/>
              </w:rPr>
              <w:fldChar w:fldCharType="begin" w:fldLock="1"/>
            </w:r>
            <w:r w:rsidR="00500B8D" w:rsidRPr="003E0254">
              <w:rPr>
                <w:sz w:val="20"/>
                <w:szCs w:val="20"/>
              </w:rPr>
              <w:instrText>ADDIN CSL_CITATION {"citationItems":[{"id":"ITEM-1","itemData":{"DOI":"10.1016/J.ISCI.2020.100943","ISSN":"2589-0042","abstract":"Rechargeable Zn-ion batteries working with manganese oxide cathodes and mild aqueous electrolytes suffer from notorious cathode dissolution during galvanostatic cycling. Herein, for the first time we demonstrate the dynamic self-recovery chemistry of manganese compound during charge/discharge processes, which strongly determines the battery performance. A cobalt-modified δ-MnO2 with a redox-active surface shows superior self-recovery capability as a cathode. The cobalt-containing species in the cathode enable efficient self-recovery by continuously catalyzing the electrochemical deposition of active Mn compound, which is confirmed by characterizations of both practical coin-type batteries and a new-design electrolyzer system. Under optimized condition, a high specific capacity over 500 mAh g−1 is achieved, together with a decent cycling performance with a retention rate of 63% over 5,000 cycles. With this cobalt-facilitated deposition effect, the battery with low concentration (0.02 M) of additive Mn2+ in the electrolyte (only 12 atom % to the overall Mn) maintains decent capacity retention.","author":[{"dropping-particle":"","family":"Zhong","given":"Yijun","non-dropping-particle":"","parse-names":false,"suffix":""},{"dropping-particle":"","family":"Xu","given":"Xiaomin","non-dropping-particle":"","parse-names":false,"suffix":""},{"dropping-particle":"","family":"Veder","given":"Jean Pierre","non-dropping-particle":"","parse-names":false,"suffix":""},{"dropping-particle":"","family":"Shao","given":"Zongping","non-dropping-particle":"","parse-names":false,"suffix":""}],"container-title":"iScience","id":"ITEM-1","issue":"3","issued":{"date-parts":[["2020","3","27"]]},"page":"100943","publisher":"Elsevier","title":"Self-Recovery Chemistry and Cobalt-Catalyzed Electrochemical Deposition of Cathode for Boosting Performance of Aqueous Zinc-Ion Batteries","type":"article-journal","volume":"23"},"uris":["http://www.mendeley.com/documents/?uuid=037de399-4db1-45cc-92f1-4e43d91a09e3"]}],"mendeley":{"formattedCitation":"&lt;sup&gt;[78]&lt;/sup&gt;","plainTextFormattedCitation":"[78]","previouslyFormattedCitation":"&lt;sup&gt;[77]&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[78]</w:t>
            </w:r>
            <w:r w:rsidR="0055772F" w:rsidRPr="003E0254">
              <w:rPr>
                <w:sz w:val="20"/>
                <w:szCs w:val="20"/>
              </w:rPr>
              <w:fldChar w:fldCharType="end"/>
            </w:r>
          </w:p>
        </w:tc>
        <w:tc>
          <w:tcPr>
            <w:tcW w:w="1615" w:type="dxa"/>
            <w:vAlign w:val="center"/>
          </w:tcPr>
          <w:p w14:paraId="7FB7F62A" w14:textId="77777777" w:rsidR="00C60055" w:rsidRPr="003E0254" w:rsidRDefault="00C60055" w:rsidP="005B1B4B">
            <w:pPr>
              <w:spacing w:line="276" w:lineRule="auto"/>
              <w:jc w:val="center"/>
              <w:rPr>
                <w:sz w:val="20"/>
                <w:szCs w:val="20"/>
              </w:rPr>
            </w:pPr>
            <w:r w:rsidRPr="003E0254">
              <w:rPr>
                <w:sz w:val="20"/>
                <w:szCs w:val="20"/>
              </w:rPr>
              <w:t>Co-doping leads to improved, Co-catalyzed deposition of active Mn compound</w:t>
            </w:r>
          </w:p>
        </w:tc>
      </w:tr>
      <w:tr w:rsidR="005B1B4B" w:rsidRPr="003E0254" w14:paraId="0AD662C0" w14:textId="77777777" w:rsidTr="005B1B4B">
        <w:tc>
          <w:tcPr>
            <w:tcW w:w="1573" w:type="dxa"/>
            <w:vAlign w:val="center"/>
          </w:tcPr>
          <w:p w14:paraId="71F772AD" w14:textId="3D9B3E20" w:rsidR="00C60055" w:rsidRPr="003E0254" w:rsidRDefault="00C60055" w:rsidP="005B1B4B">
            <w:pPr>
              <w:spacing w:line="276" w:lineRule="auto"/>
              <w:jc w:val="center"/>
              <w:rPr>
                <w:sz w:val="20"/>
                <w:szCs w:val="20"/>
                <w:lang w:val="pl-PL"/>
              </w:rPr>
            </w:pPr>
            <w:r w:rsidRPr="003E0254">
              <w:rPr>
                <w:sz w:val="20"/>
                <w:szCs w:val="20"/>
                <w:lang w:val="pl-PL"/>
              </w:rPr>
              <w:t>Co</w:t>
            </w:r>
            <w:r w:rsidRPr="003E0254">
              <w:rPr>
                <w:sz w:val="20"/>
                <w:szCs w:val="20"/>
                <w:vertAlign w:val="subscript"/>
                <w:lang w:val="pl-PL"/>
              </w:rPr>
              <w:t>3</w:t>
            </w:r>
            <w:r w:rsidRPr="003E0254">
              <w:rPr>
                <w:sz w:val="20"/>
                <w:szCs w:val="20"/>
                <w:lang w:val="pl-PL"/>
              </w:rPr>
              <w:t>O</w:t>
            </w:r>
            <w:r w:rsidRPr="003E0254">
              <w:rPr>
                <w:sz w:val="20"/>
                <w:szCs w:val="20"/>
                <w:vertAlign w:val="subscript"/>
                <w:lang w:val="pl-PL"/>
              </w:rPr>
              <w:t>4</w:t>
            </w:r>
            <w:r w:rsidRPr="003E0254">
              <w:rPr>
                <w:sz w:val="20"/>
                <w:szCs w:val="20"/>
                <w:lang w:val="pl-PL"/>
              </w:rPr>
              <w:t xml:space="preserve"> | 2 M ZnSO</w:t>
            </w:r>
            <w:r w:rsidRPr="003E0254">
              <w:rPr>
                <w:sz w:val="20"/>
                <w:szCs w:val="20"/>
                <w:vertAlign w:val="subscript"/>
                <w:lang w:val="pl-PL"/>
              </w:rPr>
              <w:t>4</w:t>
            </w:r>
            <w:r w:rsidRPr="003E0254">
              <w:rPr>
                <w:sz w:val="20"/>
                <w:szCs w:val="20"/>
                <w:lang w:val="pl-PL"/>
              </w:rPr>
              <w:t xml:space="preserve"> + 0.2 M CoSO</w:t>
            </w:r>
            <w:r w:rsidRPr="003E0254">
              <w:rPr>
                <w:sz w:val="20"/>
                <w:szCs w:val="20"/>
                <w:vertAlign w:val="subscript"/>
                <w:lang w:val="pl-PL"/>
              </w:rPr>
              <w:t xml:space="preserve">4 </w:t>
            </w:r>
            <w:r w:rsidRPr="003E0254">
              <w:rPr>
                <w:sz w:val="20"/>
                <w:szCs w:val="20"/>
                <w:lang w:val="pl-PL"/>
              </w:rPr>
              <w:t xml:space="preserve">| Zn </w:t>
            </w:r>
            <w:r w:rsidR="00075253" w:rsidRPr="003E0254">
              <w:rPr>
                <w:sz w:val="20"/>
                <w:szCs w:val="20"/>
                <w:lang w:val="pl-PL"/>
              </w:rPr>
              <w:t>metal</w:t>
            </w:r>
          </w:p>
        </w:tc>
        <w:tc>
          <w:tcPr>
            <w:tcW w:w="942" w:type="dxa"/>
            <w:vAlign w:val="center"/>
          </w:tcPr>
          <w:p w14:paraId="3CF74631" w14:textId="77777777" w:rsidR="00C60055" w:rsidRPr="003E0254" w:rsidRDefault="00C60055" w:rsidP="005B1B4B">
            <w:pPr>
              <w:spacing w:line="276" w:lineRule="auto"/>
              <w:jc w:val="center"/>
              <w:rPr>
                <w:sz w:val="20"/>
                <w:szCs w:val="20"/>
              </w:rPr>
            </w:pPr>
            <w:r w:rsidRPr="003E0254">
              <w:rPr>
                <w:sz w:val="20"/>
                <w:szCs w:val="20"/>
              </w:rPr>
              <w:t>5000</w:t>
            </w:r>
          </w:p>
        </w:tc>
        <w:tc>
          <w:tcPr>
            <w:tcW w:w="1260" w:type="dxa"/>
            <w:vAlign w:val="center"/>
          </w:tcPr>
          <w:p w14:paraId="754C9CA4" w14:textId="77777777" w:rsidR="00C60055" w:rsidRPr="003E0254" w:rsidRDefault="00C60055" w:rsidP="005B1B4B">
            <w:pPr>
              <w:spacing w:line="276" w:lineRule="auto"/>
              <w:jc w:val="center"/>
              <w:rPr>
                <w:sz w:val="20"/>
                <w:szCs w:val="20"/>
              </w:rPr>
            </w:pPr>
            <w:r w:rsidRPr="003E0254">
              <w:rPr>
                <w:sz w:val="20"/>
                <w:szCs w:val="20"/>
              </w:rPr>
              <w:t>92%</w:t>
            </w:r>
          </w:p>
        </w:tc>
        <w:tc>
          <w:tcPr>
            <w:tcW w:w="990" w:type="dxa"/>
            <w:vAlign w:val="center"/>
          </w:tcPr>
          <w:p w14:paraId="17222D6D" w14:textId="77777777" w:rsidR="00C60055" w:rsidRPr="003E0254" w:rsidRDefault="00C60055" w:rsidP="005B1B4B">
            <w:pPr>
              <w:spacing w:line="276" w:lineRule="auto"/>
              <w:jc w:val="center"/>
              <w:rPr>
                <w:sz w:val="20"/>
                <w:szCs w:val="20"/>
              </w:rPr>
            </w:pPr>
            <w:r w:rsidRPr="003E0254">
              <w:rPr>
                <w:sz w:val="20"/>
                <w:szCs w:val="20"/>
              </w:rPr>
              <w:t>205</w:t>
            </w:r>
          </w:p>
        </w:tc>
        <w:tc>
          <w:tcPr>
            <w:tcW w:w="900" w:type="dxa"/>
            <w:vAlign w:val="center"/>
          </w:tcPr>
          <w:p w14:paraId="15356D2A" w14:textId="77777777" w:rsidR="00C60055" w:rsidRPr="003E0254" w:rsidRDefault="00C60055" w:rsidP="005B1B4B">
            <w:pPr>
              <w:spacing w:line="276" w:lineRule="auto"/>
              <w:jc w:val="center"/>
              <w:rPr>
                <w:sz w:val="20"/>
                <w:szCs w:val="20"/>
              </w:rPr>
            </w:pPr>
            <w:r w:rsidRPr="003E0254">
              <w:rPr>
                <w:sz w:val="20"/>
                <w:szCs w:val="20"/>
              </w:rPr>
              <w:t>0.5 A g</w:t>
            </w:r>
            <w:r w:rsidRPr="003E0254">
              <w:rPr>
                <w:sz w:val="20"/>
                <w:szCs w:val="20"/>
                <w:vertAlign w:val="superscript"/>
              </w:rPr>
              <w:t>-1</w:t>
            </w:r>
          </w:p>
        </w:tc>
        <w:tc>
          <w:tcPr>
            <w:tcW w:w="900" w:type="dxa"/>
            <w:vAlign w:val="center"/>
          </w:tcPr>
          <w:p w14:paraId="3DA9B16F" w14:textId="77777777" w:rsidR="00C60055" w:rsidRPr="003E0254" w:rsidRDefault="00C60055" w:rsidP="005B1B4B">
            <w:pPr>
              <w:spacing w:line="276" w:lineRule="auto"/>
              <w:jc w:val="center"/>
              <w:rPr>
                <w:sz w:val="20"/>
                <w:szCs w:val="20"/>
              </w:rPr>
            </w:pPr>
            <w:r w:rsidRPr="003E0254">
              <w:rPr>
                <w:sz w:val="20"/>
                <w:szCs w:val="20"/>
              </w:rPr>
              <w:t>-</w:t>
            </w:r>
          </w:p>
        </w:tc>
        <w:tc>
          <w:tcPr>
            <w:tcW w:w="630" w:type="dxa"/>
            <w:vAlign w:val="center"/>
          </w:tcPr>
          <w:p w14:paraId="3208CC9C" w14:textId="77777777" w:rsidR="00C60055" w:rsidRPr="003E0254" w:rsidRDefault="00C60055" w:rsidP="005B1B4B">
            <w:pPr>
              <w:spacing w:line="276" w:lineRule="auto"/>
              <w:jc w:val="center"/>
              <w:rPr>
                <w:sz w:val="20"/>
                <w:szCs w:val="20"/>
              </w:rPr>
            </w:pPr>
            <w:r w:rsidRPr="003E0254">
              <w:rPr>
                <w:sz w:val="20"/>
                <w:szCs w:val="20"/>
              </w:rPr>
              <w:t>2.2</w:t>
            </w:r>
          </w:p>
        </w:tc>
        <w:tc>
          <w:tcPr>
            <w:tcW w:w="540" w:type="dxa"/>
            <w:vAlign w:val="center"/>
          </w:tcPr>
          <w:p w14:paraId="169E5BFC" w14:textId="069F3030" w:rsidR="00C60055" w:rsidRPr="003E0254" w:rsidRDefault="00C60055" w:rsidP="005B1B4B">
            <w:pPr>
              <w:spacing w:line="276" w:lineRule="auto"/>
              <w:jc w:val="center"/>
              <w:rPr>
                <w:sz w:val="20"/>
                <w:szCs w:val="20"/>
              </w:rPr>
            </w:pPr>
            <w:r w:rsidRPr="003E0254">
              <w:rPr>
                <w:sz w:val="20"/>
                <w:szCs w:val="20"/>
              </w:rPr>
              <w:t>Ma et al</w:t>
            </w:r>
            <w:r w:rsidR="0055772F" w:rsidRPr="003E0254">
              <w:rPr>
                <w:sz w:val="20"/>
                <w:szCs w:val="20"/>
              </w:rPr>
              <w:t>.</w:t>
            </w:r>
            <w:r w:rsidR="0055772F" w:rsidRPr="003E0254">
              <w:rPr>
                <w:sz w:val="20"/>
                <w:szCs w:val="20"/>
              </w:rPr>
              <w:fldChar w:fldCharType="begin" w:fldLock="1"/>
            </w:r>
            <w:r w:rsidR="00500B8D" w:rsidRPr="003E0254">
              <w:rPr>
                <w:sz w:val="20"/>
                <w:szCs w:val="20"/>
              </w:rPr>
              <w:instrText>ADDIN CSL_CITATION {"citationItems":[{"id":"ITEM-1","itemData":{"DOI":"10.1039/C8EE01415A","ISSN":"1754-5692","abstract":"Rechargeable aqueous zinc–cobalt oxide batteries with high voltage, excellent rate capability and long-cycling life.","author":[{"dropping-particle":"","family":"Ma","given":"Longtao","non-dropping-particle":"","parse-names":false,"suffix":""},{"dropping-particle":"","family":"Chen","given":"Shengmei","non-dropping-particle":"","parse-names":false,"suffix":""},{"dropping-particle":"","family":"Li","given":"Hongfei","non-dropping-particle":"","parse-names":false,"suffix":""},{"dropping-particle":"","family":"Ruan","given":"Zhaoheng","non-dropping-particle":"","parse-names":false,"suffix":""},{"dropping-particle":"","family":"Tang","given":"Zijie","non-dropping-particle":"","parse-names":false,"suffix":""},{"dropping-particle":"","family":"Liu","given":"Zhuoxin","non-dropping-particle":"","parse-names":false,"suffix":""},{"dropping-particle":"","family":"Wang","given":"Zifeng","non-dropping-particle":"","parse-names":false,"suffix":""},{"dropping-particle":"","family":"Huang","given":"Yan","non-dropping-particle":"","parse-names":false,"suffix":""},{"dropping-particle":"","family":"Pei","given":"Zengxia","non-dropping-particle":"","parse-names":false,"suffix":""},{"dropping-particle":"","family":"Zapien","given":"Juan Antonio","non-dropping-particle":"","parse-names":false,"suffix":""},{"dropping-particle":"","family":"Zhi","given":"Chunyi","non-dropping-particle":"","parse-names":false,"suffix":""}],"container-title":"Energy &amp; Environmental Science","id":"ITEM-1","issue":"9","issued":{"date-parts":[["2018","9","12"]]},"page":"2521-2530","publisher":"The Royal Society of Chemistry","title":"Initiating a mild aqueous electrolyte Co 3 O 4 /Zn battery with 2.2 V-high voltage and 5000-cycle lifespan by a Co( iii ) rich-electrode","type":"article-journal","volume":"11"},"uris":["http://www.mendeley.com/documents/?uuid=a16977e1-e140-345b-8bfc-dd7b742c395c"]}],"mendeley":{"formattedCitation":"&lt;sup&gt;[97]&lt;/sup&gt;","plainTextFormattedCitation":"[97]","previouslyFormattedCitation":"&lt;sup&gt;[96]&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[97]</w:t>
            </w:r>
            <w:r w:rsidR="0055772F" w:rsidRPr="003E0254">
              <w:rPr>
                <w:sz w:val="20"/>
                <w:szCs w:val="20"/>
              </w:rPr>
              <w:fldChar w:fldCharType="end"/>
            </w:r>
          </w:p>
        </w:tc>
        <w:tc>
          <w:tcPr>
            <w:tcW w:w="1615" w:type="dxa"/>
            <w:vAlign w:val="center"/>
          </w:tcPr>
          <w:p w14:paraId="543B87D2" w14:textId="77777777" w:rsidR="00C60055" w:rsidRPr="003E0254" w:rsidRDefault="00C60055" w:rsidP="005B1B4B">
            <w:pPr>
              <w:spacing w:line="276" w:lineRule="auto"/>
              <w:jc w:val="center"/>
              <w:rPr>
                <w:sz w:val="20"/>
                <w:szCs w:val="20"/>
              </w:rPr>
            </w:pPr>
            <w:r w:rsidRPr="003E0254">
              <w:rPr>
                <w:sz w:val="20"/>
                <w:szCs w:val="20"/>
              </w:rPr>
              <w:t>Co-rich Co</w:t>
            </w:r>
            <w:r w:rsidRPr="003E0254">
              <w:rPr>
                <w:sz w:val="20"/>
                <w:szCs w:val="20"/>
                <w:vertAlign w:val="subscript"/>
              </w:rPr>
              <w:t>3</w:t>
            </w:r>
            <w:r w:rsidRPr="003E0254">
              <w:rPr>
                <w:sz w:val="20"/>
                <w:szCs w:val="20"/>
              </w:rPr>
              <w:t>O</w:t>
            </w:r>
            <w:r w:rsidRPr="003E0254">
              <w:rPr>
                <w:sz w:val="20"/>
                <w:szCs w:val="20"/>
                <w:vertAlign w:val="subscript"/>
              </w:rPr>
              <w:t>4</w:t>
            </w:r>
            <w:r w:rsidRPr="003E0254">
              <w:rPr>
                <w:sz w:val="20"/>
                <w:szCs w:val="20"/>
              </w:rPr>
              <w:t xml:space="preserve"> nanorods</w:t>
            </w:r>
          </w:p>
        </w:tc>
      </w:tr>
      <w:tr w:rsidR="005B1B4B" w:rsidRPr="003E0254" w14:paraId="4ED3A612" w14:textId="77777777" w:rsidTr="005B1B4B">
        <w:tc>
          <w:tcPr>
            <w:tcW w:w="1573" w:type="dxa"/>
            <w:vAlign w:val="center"/>
          </w:tcPr>
          <w:p w14:paraId="5D9722F6" w14:textId="0C714402" w:rsidR="00C60055" w:rsidRPr="003E0254" w:rsidRDefault="00C60055" w:rsidP="005B1B4B">
            <w:pPr>
              <w:spacing w:line="276" w:lineRule="auto"/>
              <w:jc w:val="center"/>
              <w:rPr>
                <w:sz w:val="20"/>
                <w:szCs w:val="20"/>
              </w:rPr>
            </w:pPr>
            <w:r w:rsidRPr="003E0254">
              <w:rPr>
                <w:sz w:val="20"/>
                <w:szCs w:val="20"/>
              </w:rPr>
              <w:t xml:space="preserve">graphite | 1 M </w:t>
            </w:r>
            <w:proofErr w:type="gramStart"/>
            <w:r w:rsidRPr="003E0254">
              <w:rPr>
                <w:sz w:val="20"/>
                <w:szCs w:val="20"/>
              </w:rPr>
              <w:t>Zn(</w:t>
            </w:r>
            <w:proofErr w:type="gramEnd"/>
            <w:r w:rsidRPr="003E0254">
              <w:rPr>
                <w:sz w:val="20"/>
                <w:szCs w:val="20"/>
              </w:rPr>
              <w:t>TFSI)</w:t>
            </w:r>
            <w:r w:rsidRPr="003E0254">
              <w:rPr>
                <w:sz w:val="20"/>
                <w:szCs w:val="20"/>
                <w:vertAlign w:val="subscript"/>
              </w:rPr>
              <w:t>2</w:t>
            </w:r>
            <w:r w:rsidRPr="003E0254">
              <w:rPr>
                <w:sz w:val="20"/>
                <w:szCs w:val="20"/>
              </w:rPr>
              <w:t xml:space="preserve"> in acetonitrile | zinc</w:t>
            </w:r>
            <w:r w:rsidR="00075253" w:rsidRPr="003E0254">
              <w:rPr>
                <w:sz w:val="20"/>
                <w:szCs w:val="20"/>
                <w:lang w:val="pl-PL"/>
              </w:rPr>
              <w:t xml:space="preserve"> metal</w:t>
            </w:r>
          </w:p>
        </w:tc>
        <w:tc>
          <w:tcPr>
            <w:tcW w:w="942" w:type="dxa"/>
            <w:vAlign w:val="center"/>
          </w:tcPr>
          <w:p w14:paraId="0A250E96" w14:textId="77777777" w:rsidR="00C60055" w:rsidRPr="003E0254" w:rsidRDefault="00C60055" w:rsidP="005B1B4B">
            <w:pPr>
              <w:spacing w:line="276" w:lineRule="auto"/>
              <w:jc w:val="center"/>
              <w:rPr>
                <w:sz w:val="20"/>
                <w:szCs w:val="20"/>
              </w:rPr>
            </w:pPr>
            <w:r w:rsidRPr="003E0254">
              <w:rPr>
                <w:sz w:val="20"/>
                <w:szCs w:val="20"/>
              </w:rPr>
              <w:t>1000</w:t>
            </w:r>
          </w:p>
          <w:p w14:paraId="4AAD5474" w14:textId="77777777" w:rsidR="00C60055" w:rsidRPr="003E0254" w:rsidRDefault="00C60055" w:rsidP="005B1B4B">
            <w:pPr>
              <w:spacing w:line="276" w:lineRule="auto"/>
              <w:jc w:val="center"/>
              <w:rPr>
                <w:sz w:val="20"/>
                <w:szCs w:val="20"/>
              </w:rPr>
            </w:pPr>
          </w:p>
          <w:p w14:paraId="768DB650" w14:textId="77777777" w:rsidR="00C60055" w:rsidRPr="003E0254" w:rsidRDefault="00C60055" w:rsidP="005B1B4B">
            <w:pPr>
              <w:spacing w:line="276" w:lineRule="auto"/>
              <w:jc w:val="center"/>
              <w:rPr>
                <w:sz w:val="20"/>
                <w:szCs w:val="20"/>
              </w:rPr>
            </w:pPr>
            <w:r w:rsidRPr="003E0254">
              <w:rPr>
                <w:sz w:val="20"/>
                <w:szCs w:val="20"/>
              </w:rPr>
              <w:t>4000</w:t>
            </w:r>
          </w:p>
        </w:tc>
        <w:tc>
          <w:tcPr>
            <w:tcW w:w="1260" w:type="dxa"/>
            <w:vAlign w:val="center"/>
          </w:tcPr>
          <w:p w14:paraId="3598028A" w14:textId="77777777" w:rsidR="00C60055" w:rsidRPr="003E0254" w:rsidRDefault="00C60055" w:rsidP="005B1B4B">
            <w:pPr>
              <w:spacing w:line="276" w:lineRule="auto"/>
              <w:jc w:val="center"/>
              <w:rPr>
                <w:sz w:val="20"/>
                <w:szCs w:val="20"/>
              </w:rPr>
            </w:pPr>
            <w:r w:rsidRPr="003E0254">
              <w:rPr>
                <w:sz w:val="20"/>
                <w:szCs w:val="20"/>
              </w:rPr>
              <w:t>97.3%</w:t>
            </w:r>
          </w:p>
          <w:p w14:paraId="23A63C21" w14:textId="77777777" w:rsidR="00C60055" w:rsidRPr="003E0254" w:rsidRDefault="00C60055" w:rsidP="005B1B4B">
            <w:pPr>
              <w:spacing w:line="276" w:lineRule="auto"/>
              <w:jc w:val="center"/>
              <w:rPr>
                <w:sz w:val="20"/>
                <w:szCs w:val="20"/>
              </w:rPr>
            </w:pPr>
          </w:p>
          <w:p w14:paraId="3B5D8938" w14:textId="77777777" w:rsidR="00C60055" w:rsidRPr="003E0254" w:rsidRDefault="00C60055" w:rsidP="005B1B4B">
            <w:pPr>
              <w:spacing w:line="276" w:lineRule="auto"/>
              <w:jc w:val="center"/>
              <w:rPr>
                <w:sz w:val="20"/>
                <w:szCs w:val="20"/>
              </w:rPr>
            </w:pPr>
            <w:r w:rsidRPr="003E0254">
              <w:rPr>
                <w:sz w:val="20"/>
                <w:szCs w:val="20"/>
              </w:rPr>
              <w:t>82%</w:t>
            </w:r>
          </w:p>
        </w:tc>
        <w:tc>
          <w:tcPr>
            <w:tcW w:w="990" w:type="dxa"/>
            <w:vAlign w:val="center"/>
          </w:tcPr>
          <w:p w14:paraId="0E65EAE9" w14:textId="77777777" w:rsidR="00C60055" w:rsidRPr="003E0254" w:rsidRDefault="00C60055" w:rsidP="005B1B4B">
            <w:pPr>
              <w:spacing w:line="276" w:lineRule="auto"/>
              <w:jc w:val="center"/>
              <w:rPr>
                <w:sz w:val="20"/>
                <w:szCs w:val="20"/>
              </w:rPr>
            </w:pPr>
            <w:r w:rsidRPr="003E0254">
              <w:rPr>
                <w:sz w:val="20"/>
                <w:szCs w:val="20"/>
              </w:rPr>
              <w:t>45</w:t>
            </w:r>
          </w:p>
        </w:tc>
        <w:tc>
          <w:tcPr>
            <w:tcW w:w="900" w:type="dxa"/>
            <w:vAlign w:val="center"/>
          </w:tcPr>
          <w:p w14:paraId="76F19DA5" w14:textId="77777777" w:rsidR="00C60055" w:rsidRPr="003E0254" w:rsidRDefault="00C60055" w:rsidP="005B1B4B">
            <w:pPr>
              <w:spacing w:line="276" w:lineRule="auto"/>
              <w:jc w:val="center"/>
              <w:rPr>
                <w:sz w:val="20"/>
                <w:szCs w:val="20"/>
              </w:rPr>
            </w:pPr>
            <w:r w:rsidRPr="003E0254">
              <w:rPr>
                <w:sz w:val="20"/>
                <w:szCs w:val="20"/>
              </w:rPr>
              <w:t>1 A g</w:t>
            </w:r>
            <w:r w:rsidRPr="003E0254">
              <w:rPr>
                <w:sz w:val="20"/>
                <w:szCs w:val="20"/>
                <w:vertAlign w:val="superscript"/>
              </w:rPr>
              <w:noBreakHyphen/>
              <w:t>1</w:t>
            </w:r>
          </w:p>
        </w:tc>
        <w:tc>
          <w:tcPr>
            <w:tcW w:w="900" w:type="dxa"/>
            <w:vAlign w:val="center"/>
          </w:tcPr>
          <w:p w14:paraId="2E39BB34" w14:textId="7D8D4413" w:rsidR="00C60055" w:rsidRPr="003E0254" w:rsidRDefault="00C60055" w:rsidP="005B1B4B">
            <w:pPr>
              <w:spacing w:line="276" w:lineRule="auto"/>
              <w:jc w:val="center"/>
              <w:rPr>
                <w:sz w:val="20"/>
                <w:szCs w:val="20"/>
              </w:rPr>
            </w:pPr>
            <w:r w:rsidRPr="003E0254">
              <w:rPr>
                <w:sz w:val="20"/>
                <w:szCs w:val="20"/>
              </w:rPr>
              <w:t>10</w:t>
            </w:r>
          </w:p>
        </w:tc>
        <w:tc>
          <w:tcPr>
            <w:tcW w:w="630" w:type="dxa"/>
            <w:vAlign w:val="center"/>
          </w:tcPr>
          <w:p w14:paraId="77CF81E5" w14:textId="77777777" w:rsidR="00C60055" w:rsidRPr="003E0254" w:rsidRDefault="00C60055" w:rsidP="005B1B4B">
            <w:pPr>
              <w:spacing w:line="276" w:lineRule="auto"/>
              <w:jc w:val="center"/>
              <w:rPr>
                <w:sz w:val="20"/>
                <w:szCs w:val="20"/>
              </w:rPr>
            </w:pPr>
            <w:r w:rsidRPr="003E0254">
              <w:rPr>
                <w:sz w:val="20"/>
                <w:szCs w:val="20"/>
              </w:rPr>
              <w:t>2.2</w:t>
            </w:r>
          </w:p>
        </w:tc>
        <w:tc>
          <w:tcPr>
            <w:tcW w:w="540" w:type="dxa"/>
            <w:vAlign w:val="center"/>
          </w:tcPr>
          <w:p w14:paraId="6EB71D62" w14:textId="0B193F04" w:rsidR="00C60055" w:rsidRPr="003E0254" w:rsidRDefault="00C60055" w:rsidP="005B1B4B">
            <w:pPr>
              <w:spacing w:line="276" w:lineRule="auto"/>
              <w:jc w:val="center"/>
              <w:rPr>
                <w:sz w:val="20"/>
                <w:szCs w:val="20"/>
              </w:rPr>
            </w:pPr>
            <w:r w:rsidRPr="003E0254">
              <w:rPr>
                <w:sz w:val="20"/>
                <w:szCs w:val="20"/>
              </w:rPr>
              <w:t>Zhang et al.</w:t>
            </w:r>
            <w:r w:rsidR="0055772F" w:rsidRPr="003E0254">
              <w:rPr>
                <w:sz w:val="20"/>
                <w:szCs w:val="20"/>
              </w:rPr>
              <w:fldChar w:fldCharType="begin" w:fldLock="1"/>
            </w:r>
            <w:r w:rsidR="00500B8D" w:rsidRPr="003E0254">
              <w:rPr>
                <w:sz w:val="20"/>
                <w:szCs w:val="20"/>
              </w:rPr>
              <w:instrText>ADDIN CSL_CITATION {"citationItems":[{"id":"ITEM-1","itemData":{"DOI":"10.1021/ACSAMI.9B10399/ASSET/IMAGES/LARGE/AM9B10399_0002.JPEG","ISSN":"19448252","PMID":"31418545","abstract":"Zinc-based battery chemistries have lately drawn great attention for grid-scale energy storage due to their material abundance and high safety. However, the low Coulombic efficiency (CE) and dendrite growth of zinc (Zn) anodes and the limited working voltage of current oxide cathodes are the major barriers hindering the development of rechargeable Zn-based batteries (RZBs). Here, we report an ultrafast and high-voltage Zn battery in a new cell configuration employing a graphite cathode, a Zn anode, and nonaqueous 1 M zinc bis(trifluoromethylsulfonyl)imide (Zn(TFSI)2) in acetonitrile (AN) electrolyte. This RZB operates through the (de)intercalation of TFSI- anions into the graphite and the electrochemical Zn2+ plating/stripping at the anode. The optimized Zn(TFSI)2/AN electrolyte features high reductive/oxidative stability, good ionic conductivity (â28 mS cm-1), and low viscosity (â0.4 mPa·s), enabling the unprecedented cycling stability (over 1000 h) of the Zn anode with a dendrite-free morphology, the ultrafast Zn plating/stripping with a high CE (&gt;99%), and the good compatibility with the graphite cathode. Consequently, this RZB exhibits a high average output voltage (2.2 V), a high energy/power density (86.5 Wh kg-1 at 4400 W kg-1), and a long cycle life (97.3% capacity retention after 1000 cycles). The present work offers new insights and opportunities to the Zn-based electrochemistry.","author":[{"dropping-particle":"","family":"Zhang","given":"Ning","non-dropping-particle":"","parse-names":false,"suffix":""},{"dropping-particle":"","family":"Dong","given":"Yang","non-dropping-particle":"","parse-names":false,"suffix":""},{"dropping-particle":"","family":"Wang","given":"Yuanyuan","non-dropping-particle":"","parse-names":false,"suffix":""},{"dropping-particle":"","family":"Wang","given":"Yixuan","non-dropping-particle":"","parse-names":false,"suffix":""},{"dropping-particle":"","family":"Li","given":"Jiajun","non-dropping-particle":"","parse-names":false,"suffix":""},{"dropping-particle":"","family":"Xu","given":"Jianzhong","non-dropping-particle":"","parse-names":false,"suffix":""},{"dropping-particle":"","family":"Liu","given":"Yongchang","non-dropping-particle":"","parse-names":false,"suffix":""},{"dropping-particle":"","family":"Jiao","given":"Lifang","non-dropping-particle":"","parse-names":false,"suffix":""},{"dropping-particle":"","family":"Cheng","given":"Fangyi","non-dropping-particle":"","parse-names":false,"suffix":""}],"container-title":"ACS Applied Materials and Interfaces","id":"ITEM-1","issue":"36","issued":{"date-parts":[["2019","9","11"]]},"page":"32978-32986","publisher":"American Chemical Society","title":"Ultrafast Rechargeable Zinc Battery Based on High-Voltage Graphite Cathode and Stable Nonaqueous Electrolyte","type":"article-journal","volume":"11"},"uris":["http://www.mendeley.com/documents/?uuid=c24e132c-cdb6-3b2d-adfb-dd6027b1cc3c"]}],"mendeley":{"formattedCitation":"&lt;sup&gt;[113]&lt;/sup&gt;","plainTextFormattedCitation":"[113]","previouslyFormattedCitation":"&lt;sup&gt;[112]&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[113]</w:t>
            </w:r>
            <w:r w:rsidR="0055772F" w:rsidRPr="003E0254">
              <w:rPr>
                <w:sz w:val="20"/>
                <w:szCs w:val="20"/>
              </w:rPr>
              <w:fldChar w:fldCharType="end"/>
            </w:r>
          </w:p>
        </w:tc>
        <w:tc>
          <w:tcPr>
            <w:tcW w:w="1615" w:type="dxa"/>
            <w:vAlign w:val="center"/>
          </w:tcPr>
          <w:p w14:paraId="01EF27B9" w14:textId="77777777" w:rsidR="00C60055" w:rsidRPr="003E0254" w:rsidRDefault="00C60055" w:rsidP="005B1B4B">
            <w:pPr>
              <w:spacing w:line="276" w:lineRule="auto"/>
              <w:jc w:val="center"/>
              <w:rPr>
                <w:sz w:val="20"/>
                <w:szCs w:val="20"/>
              </w:rPr>
            </w:pPr>
            <w:r w:rsidRPr="003E0254">
              <w:rPr>
                <w:sz w:val="20"/>
                <w:szCs w:val="20"/>
              </w:rPr>
              <w:t xml:space="preserve">Fast (dis)charging 39.3 </w:t>
            </w:r>
            <w:proofErr w:type="spellStart"/>
            <w:r w:rsidRPr="003E0254">
              <w:rPr>
                <w:sz w:val="20"/>
                <w:szCs w:val="20"/>
              </w:rPr>
              <w:t>mAh</w:t>
            </w:r>
            <w:proofErr w:type="spellEnd"/>
            <w:r w:rsidRPr="003E0254">
              <w:rPr>
                <w:sz w:val="20"/>
                <w:szCs w:val="20"/>
              </w:rPr>
              <w:t xml:space="preserve"> g</w:t>
            </w:r>
            <w:r w:rsidRPr="003E0254">
              <w:rPr>
                <w:sz w:val="20"/>
                <w:szCs w:val="20"/>
                <w:vertAlign w:val="superscript"/>
              </w:rPr>
              <w:t>–1</w:t>
            </w:r>
            <w:r w:rsidRPr="003E0254">
              <w:rPr>
                <w:sz w:val="20"/>
                <w:szCs w:val="20"/>
              </w:rPr>
              <w:t xml:space="preserve"> at 2.0 A g</w:t>
            </w:r>
            <w:r w:rsidRPr="003E0254">
              <w:rPr>
                <w:sz w:val="20"/>
                <w:szCs w:val="20"/>
                <w:vertAlign w:val="superscript"/>
              </w:rPr>
              <w:t>–1</w:t>
            </w:r>
            <w:r w:rsidRPr="003E0254">
              <w:rPr>
                <w:sz w:val="20"/>
                <w:szCs w:val="20"/>
              </w:rPr>
              <w:t xml:space="preserve">; 86.5 </w:t>
            </w:r>
            <w:proofErr w:type="spellStart"/>
            <w:r w:rsidRPr="003E0254">
              <w:rPr>
                <w:sz w:val="20"/>
                <w:szCs w:val="20"/>
              </w:rPr>
              <w:t>Wh</w:t>
            </w:r>
            <w:proofErr w:type="spellEnd"/>
            <w:r w:rsidRPr="003E0254">
              <w:rPr>
                <w:sz w:val="20"/>
                <w:szCs w:val="20"/>
              </w:rPr>
              <w:t xml:space="preserve"> kg</w:t>
            </w:r>
            <w:r w:rsidRPr="003E0254">
              <w:rPr>
                <w:sz w:val="20"/>
                <w:szCs w:val="20"/>
                <w:vertAlign w:val="superscript"/>
              </w:rPr>
              <w:t>–1</w:t>
            </w:r>
            <w:r w:rsidRPr="003E0254">
              <w:rPr>
                <w:sz w:val="20"/>
                <w:szCs w:val="20"/>
              </w:rPr>
              <w:t xml:space="preserve"> at 4400 W kg</w:t>
            </w:r>
            <w:r w:rsidRPr="003E0254">
              <w:rPr>
                <w:sz w:val="20"/>
                <w:szCs w:val="20"/>
                <w:vertAlign w:val="superscript"/>
              </w:rPr>
              <w:t>–1</w:t>
            </w:r>
            <w:r w:rsidRPr="003E0254">
              <w:rPr>
                <w:sz w:val="20"/>
                <w:szCs w:val="20"/>
              </w:rPr>
              <w:t xml:space="preserve">, in </w:t>
            </w:r>
            <w:r w:rsidRPr="003E0254">
              <w:rPr>
                <w:rFonts w:ascii="Cambria Math" w:hAnsi="Cambria Math" w:cs="Cambria Math"/>
                <w:sz w:val="20"/>
                <w:szCs w:val="20"/>
              </w:rPr>
              <w:t>∼</w:t>
            </w:r>
            <w:r w:rsidRPr="003E0254">
              <w:rPr>
                <w:sz w:val="20"/>
                <w:szCs w:val="20"/>
              </w:rPr>
              <w:t>1 min, but very low capacity</w:t>
            </w:r>
          </w:p>
        </w:tc>
      </w:tr>
      <w:tr w:rsidR="005B1B4B" w:rsidRPr="003E0254" w14:paraId="60C0B421" w14:textId="77777777" w:rsidTr="005B1B4B">
        <w:tc>
          <w:tcPr>
            <w:tcW w:w="1573" w:type="dxa"/>
            <w:vAlign w:val="center"/>
          </w:tcPr>
          <w:p w14:paraId="3747FF83" w14:textId="2423630D" w:rsidR="00C60055" w:rsidRPr="003E0254" w:rsidRDefault="00C60055" w:rsidP="005B1B4B">
            <w:pPr>
              <w:spacing w:line="276" w:lineRule="auto"/>
              <w:jc w:val="center"/>
              <w:rPr>
                <w:sz w:val="20"/>
                <w:szCs w:val="20"/>
                <w:lang w:val="de-DE"/>
              </w:rPr>
            </w:pPr>
            <w:proofErr w:type="spellStart"/>
            <w:r w:rsidRPr="003E0254">
              <w:rPr>
                <w:sz w:val="20"/>
                <w:szCs w:val="20"/>
                <w:lang w:val="de-DE"/>
              </w:rPr>
              <w:t>ZnHCF</w:t>
            </w:r>
            <w:proofErr w:type="spellEnd"/>
            <w:r w:rsidRPr="003E0254">
              <w:rPr>
                <w:sz w:val="20"/>
                <w:szCs w:val="20"/>
                <w:lang w:val="de-DE"/>
              </w:rPr>
              <w:t xml:space="preserve"> | 1 M ZnSO</w:t>
            </w:r>
            <w:r w:rsidRPr="003E0254">
              <w:rPr>
                <w:sz w:val="20"/>
                <w:szCs w:val="20"/>
                <w:vertAlign w:val="subscript"/>
                <w:lang w:val="de-DE"/>
              </w:rPr>
              <w:t>4</w:t>
            </w:r>
            <w:r w:rsidRPr="003E0254">
              <w:rPr>
                <w:sz w:val="20"/>
                <w:szCs w:val="20"/>
                <w:lang w:val="de-DE"/>
              </w:rPr>
              <w:t xml:space="preserve"> + 0.05 M Cs</w:t>
            </w:r>
            <w:r w:rsidRPr="003E0254">
              <w:rPr>
                <w:sz w:val="20"/>
                <w:szCs w:val="20"/>
                <w:vertAlign w:val="subscript"/>
                <w:lang w:val="de-DE"/>
              </w:rPr>
              <w:t>2</w:t>
            </w:r>
            <w:r w:rsidRPr="003E0254">
              <w:rPr>
                <w:sz w:val="20"/>
                <w:szCs w:val="20"/>
                <w:lang w:val="de-DE"/>
              </w:rPr>
              <w:t>SO</w:t>
            </w:r>
            <w:r w:rsidRPr="003E0254">
              <w:rPr>
                <w:sz w:val="20"/>
                <w:szCs w:val="20"/>
                <w:vertAlign w:val="subscript"/>
                <w:lang w:val="de-DE"/>
              </w:rPr>
              <w:t>4</w:t>
            </w:r>
            <w:r w:rsidRPr="003E0254">
              <w:rPr>
                <w:sz w:val="20"/>
                <w:szCs w:val="20"/>
                <w:lang w:val="de-DE"/>
              </w:rPr>
              <w:t xml:space="preserve"> in H2O | </w:t>
            </w:r>
            <w:proofErr w:type="spellStart"/>
            <w:r w:rsidR="00075253" w:rsidRPr="003E0254">
              <w:rPr>
                <w:sz w:val="20"/>
                <w:szCs w:val="20"/>
                <w:lang w:val="de-DE"/>
              </w:rPr>
              <w:t>Zn</w:t>
            </w:r>
            <w:proofErr w:type="spellEnd"/>
            <w:r w:rsidR="00075253" w:rsidRPr="003E0254">
              <w:rPr>
                <w:sz w:val="20"/>
                <w:szCs w:val="20"/>
                <w:lang w:val="de-DE"/>
              </w:rPr>
              <w:t xml:space="preserve"> </w:t>
            </w:r>
            <w:proofErr w:type="spellStart"/>
            <w:r w:rsidR="00075253" w:rsidRPr="003E0254">
              <w:rPr>
                <w:sz w:val="20"/>
                <w:szCs w:val="20"/>
                <w:lang w:val="de-DE"/>
              </w:rPr>
              <w:t>metal</w:t>
            </w:r>
            <w:proofErr w:type="spellEnd"/>
          </w:p>
        </w:tc>
        <w:tc>
          <w:tcPr>
            <w:tcW w:w="942" w:type="dxa"/>
            <w:vAlign w:val="center"/>
          </w:tcPr>
          <w:p w14:paraId="60220F5E" w14:textId="77777777" w:rsidR="00C60055" w:rsidRPr="003E0254" w:rsidRDefault="00C60055" w:rsidP="005B1B4B">
            <w:pPr>
              <w:spacing w:line="276" w:lineRule="auto"/>
              <w:jc w:val="center"/>
              <w:rPr>
                <w:sz w:val="20"/>
                <w:szCs w:val="20"/>
              </w:rPr>
            </w:pPr>
            <w:r w:rsidRPr="003E0254">
              <w:rPr>
                <w:sz w:val="20"/>
                <w:szCs w:val="20"/>
              </w:rPr>
              <w:t>300</w:t>
            </w:r>
          </w:p>
        </w:tc>
        <w:tc>
          <w:tcPr>
            <w:tcW w:w="1260" w:type="dxa"/>
            <w:vAlign w:val="center"/>
          </w:tcPr>
          <w:p w14:paraId="15B46DA1" w14:textId="77777777" w:rsidR="00C60055" w:rsidRPr="003E0254" w:rsidRDefault="00C60055" w:rsidP="005B1B4B">
            <w:pPr>
              <w:spacing w:line="276" w:lineRule="auto"/>
              <w:jc w:val="center"/>
              <w:rPr>
                <w:sz w:val="20"/>
                <w:szCs w:val="20"/>
              </w:rPr>
            </w:pPr>
            <w:r w:rsidRPr="003E0254">
              <w:rPr>
                <w:sz w:val="20"/>
                <w:szCs w:val="20"/>
              </w:rPr>
              <w:t>55.9</w:t>
            </w:r>
            <w:r w:rsidRPr="003E0254">
              <w:rPr>
                <w:rFonts w:ascii="Arial" w:hAnsi="Arial" w:cs="Arial"/>
                <w:sz w:val="20"/>
                <w:szCs w:val="20"/>
              </w:rPr>
              <w:t> </w:t>
            </w:r>
            <w:r w:rsidRPr="003E0254">
              <w:rPr>
                <w:sz w:val="20"/>
                <w:szCs w:val="20"/>
              </w:rPr>
              <w:t>%</w:t>
            </w:r>
          </w:p>
        </w:tc>
        <w:tc>
          <w:tcPr>
            <w:tcW w:w="990" w:type="dxa"/>
            <w:vAlign w:val="center"/>
          </w:tcPr>
          <w:p w14:paraId="45DE8338" w14:textId="4DDEA1A9" w:rsidR="00C60055" w:rsidRPr="003E0254" w:rsidRDefault="00C60055" w:rsidP="005B1B4B">
            <w:pPr>
              <w:spacing w:line="276" w:lineRule="auto"/>
              <w:jc w:val="center"/>
              <w:rPr>
                <w:sz w:val="20"/>
                <w:szCs w:val="20"/>
              </w:rPr>
            </w:pPr>
            <w:r w:rsidRPr="003E0254">
              <w:rPr>
                <w:sz w:val="20"/>
                <w:szCs w:val="20"/>
              </w:rPr>
              <w:t>51</w:t>
            </w:r>
          </w:p>
        </w:tc>
        <w:tc>
          <w:tcPr>
            <w:tcW w:w="900" w:type="dxa"/>
            <w:vAlign w:val="center"/>
          </w:tcPr>
          <w:p w14:paraId="045CCAFF" w14:textId="77777777" w:rsidR="00C60055" w:rsidRPr="003E0254" w:rsidRDefault="00C60055" w:rsidP="005B1B4B">
            <w:pPr>
              <w:spacing w:line="276" w:lineRule="auto"/>
              <w:jc w:val="center"/>
              <w:rPr>
                <w:sz w:val="20"/>
                <w:szCs w:val="20"/>
              </w:rPr>
            </w:pPr>
            <w:r w:rsidRPr="003E0254">
              <w:rPr>
                <w:sz w:val="20"/>
                <w:szCs w:val="20"/>
              </w:rPr>
              <w:t>0.25</w:t>
            </w:r>
            <w:r w:rsidRPr="003E0254">
              <w:rPr>
                <w:rFonts w:ascii="Arial" w:hAnsi="Arial" w:cs="Arial"/>
                <w:sz w:val="20"/>
                <w:szCs w:val="20"/>
              </w:rPr>
              <w:t> </w:t>
            </w:r>
            <w:r w:rsidRPr="003E0254">
              <w:rPr>
                <w:sz w:val="20"/>
                <w:szCs w:val="20"/>
              </w:rPr>
              <w:t>A</w:t>
            </w:r>
            <w:r w:rsidRPr="003E0254">
              <w:rPr>
                <w:rFonts w:ascii="Arial" w:hAnsi="Arial" w:cs="Arial"/>
                <w:sz w:val="20"/>
                <w:szCs w:val="20"/>
              </w:rPr>
              <w:t> </w:t>
            </w:r>
            <w:r w:rsidRPr="003E0254">
              <w:rPr>
                <w:rFonts w:ascii="Cambria Math" w:hAnsi="Cambria Math" w:cs="Cambria Math"/>
                <w:sz w:val="20"/>
                <w:szCs w:val="20"/>
              </w:rPr>
              <w:t>⋅ </w:t>
            </w:r>
            <w:r w:rsidRPr="003E0254">
              <w:rPr>
                <w:sz w:val="20"/>
                <w:szCs w:val="20"/>
              </w:rPr>
              <w:t>g</w:t>
            </w:r>
            <w:r w:rsidRPr="003E0254">
              <w:rPr>
                <w:sz w:val="20"/>
                <w:szCs w:val="20"/>
                <w:vertAlign w:val="superscript"/>
              </w:rPr>
              <w:t>−1</w:t>
            </w:r>
          </w:p>
        </w:tc>
        <w:tc>
          <w:tcPr>
            <w:tcW w:w="900" w:type="dxa"/>
            <w:vAlign w:val="center"/>
          </w:tcPr>
          <w:p w14:paraId="76E44F55" w14:textId="76FEDE00" w:rsidR="00C60055" w:rsidRPr="003E0254" w:rsidRDefault="00C60055" w:rsidP="005B1B4B">
            <w:pPr>
              <w:spacing w:line="276" w:lineRule="auto"/>
              <w:jc w:val="center"/>
              <w:rPr>
                <w:sz w:val="20"/>
                <w:szCs w:val="20"/>
              </w:rPr>
            </w:pPr>
            <w:r w:rsidRPr="003E0254">
              <w:rPr>
                <w:sz w:val="20"/>
                <w:szCs w:val="20"/>
              </w:rPr>
              <w:t>2</w:t>
            </w:r>
          </w:p>
        </w:tc>
        <w:tc>
          <w:tcPr>
            <w:tcW w:w="630" w:type="dxa"/>
            <w:vAlign w:val="center"/>
          </w:tcPr>
          <w:p w14:paraId="2FC460A6" w14:textId="1335D5AF" w:rsidR="00C60055" w:rsidRPr="003E0254" w:rsidRDefault="00C60055" w:rsidP="005B1B4B">
            <w:pPr>
              <w:spacing w:line="276" w:lineRule="auto"/>
              <w:jc w:val="center"/>
              <w:rPr>
                <w:sz w:val="20"/>
                <w:szCs w:val="20"/>
              </w:rPr>
            </w:pPr>
            <w:r w:rsidRPr="003E0254">
              <w:rPr>
                <w:sz w:val="20"/>
                <w:szCs w:val="20"/>
              </w:rPr>
              <w:t>~1.7</w:t>
            </w:r>
          </w:p>
        </w:tc>
        <w:tc>
          <w:tcPr>
            <w:tcW w:w="540" w:type="dxa"/>
            <w:vAlign w:val="center"/>
          </w:tcPr>
          <w:p w14:paraId="1BBC8205" w14:textId="178623AE" w:rsidR="00C60055" w:rsidRPr="003E0254" w:rsidRDefault="00C60055" w:rsidP="005B1B4B">
            <w:pPr>
              <w:spacing w:line="276" w:lineRule="auto"/>
              <w:jc w:val="center"/>
              <w:rPr>
                <w:sz w:val="20"/>
                <w:szCs w:val="20"/>
              </w:rPr>
            </w:pPr>
            <w:r w:rsidRPr="003E0254">
              <w:rPr>
                <w:sz w:val="20"/>
                <w:szCs w:val="20"/>
              </w:rPr>
              <w:t>Pan et</w:t>
            </w:r>
            <w:r w:rsidR="0055772F" w:rsidRPr="003E0254">
              <w:rPr>
                <w:sz w:val="20"/>
                <w:szCs w:val="20"/>
              </w:rPr>
              <w:t xml:space="preserve"> al.</w:t>
            </w:r>
            <w:r w:rsidR="0055772F" w:rsidRPr="003E0254">
              <w:rPr>
                <w:sz w:val="20"/>
                <w:szCs w:val="20"/>
              </w:rPr>
              <w:fldChar w:fldCharType="begin" w:fldLock="1"/>
            </w:r>
            <w:r w:rsidR="00500B8D" w:rsidRPr="003E0254">
              <w:rPr>
                <w:sz w:val="20"/>
                <w:szCs w:val="20"/>
              </w:rPr>
              <w:instrText xml:space="preserve">ADDIN CSL_CITATION {"citationItems":[{"id":"ITEM-1","itemData":{"DOI":"10.1002/CSSC.202400713","ISSN":"1864-564X","abstract":"Exploring cathode materials with excellent electrochemical performance is crucial for developing rechargeable aqueous zinc ion batteries (RAZIBs). Zinc hexacyanoferrate (ZnHCF), a promising candidate of cathode materials for RAZIBs, suffers from severe electrochemical instability issues. This work reports using low contents of alkaline metal cations as electrolyte additives to improve the cycle performance of ZnHCF. The cations with large sizes, particularly Cs+, changes the intercalation chemistry of ZnHCF in RAZIBs. During cycling, Cs+ cations co-inserted into ZnHCF stabilize the host structure. Meanwhile, a stable phase of CsZn[Fe(CN)6] forms on the ZnHCF cathode, suppressing the loss of active materials through dissolution. ZnHCF gradually converts to an electrochemically inert Zn-rich phase during long-term cycling in aqueous electrolyte, leading to irreversible capacity loss. Introducing Cs+ in the electrolyte inhibits this conversion reaction, resulting in the extended lifespan. Owing to these advantages, the capacity retention rate of ZnHCF/Zn full batteries increases from the original 7.0 % to a high value of 54.6 % in the electrolyte containing 0.03 M of Cs2SO4 after 300 cycles at 0.25 A </w:instrText>
            </w:r>
            <w:r w:rsidR="00500B8D" w:rsidRPr="003E0254">
              <w:rPr>
                <w:rFonts w:ascii="Cambria Math" w:hAnsi="Cambria Math" w:cs="Cambria Math"/>
                <w:sz w:val="20"/>
                <w:szCs w:val="20"/>
              </w:rPr>
              <w:instrText>⋅</w:instrText>
            </w:r>
            <w:r w:rsidR="00500B8D" w:rsidRPr="003E0254">
              <w:rPr>
                <w:sz w:val="20"/>
                <w:szCs w:val="20"/>
              </w:rPr>
              <w:instrText xml:space="preserve"> g</w:instrText>
            </w:r>
            <w:r w:rsidR="00500B8D" w:rsidRPr="003E0254">
              <w:rPr>
                <w:rFonts w:ascii="Aptos" w:hAnsi="Aptos" w:cs="Aptos"/>
                <w:sz w:val="20"/>
                <w:szCs w:val="20"/>
              </w:rPr>
              <w:instrText>−</w:instrText>
            </w:r>
            <w:r w:rsidR="00500B8D" w:rsidRPr="003E0254">
              <w:rPr>
                <w:sz w:val="20"/>
                <w:szCs w:val="20"/>
              </w:rPr>
              <w:instrText>1. This research provides an in-depth understanding of the electrochemical behavior of ZnHCF in aqueous zinc electrolyte, beneficial for further optimizing ZnHCF and other metal hexacyanoferrates.","author":[{"dropping-particle":"","family":"Pan","given":"Zhiqiu","non-dropping-particle":"","parse-names":false,"suffix":""},{"dropping-particle":"","family":"Ni","given":"Gang","non-dropping-particle":"","parse-names":false,"suffix":""},{"dropping-particle":"","family":"Li","given":"Yi","non-dropping-particle":"","parse-names":false,"suffix":""},{"dropping-particle":"","family":"Shi","given":"Yinuo","non-dropping-particle":"","parse-names":false,"suffix":""},{"dropping-particle":"","family":"Zhu","given":"Fuxiang","non-dropping-particle":"","parse-names":false,"suffix":""},{"dropping-particle":"","family":"Cui","given":"Peng","non-dropping-particle":"","parse-names":false,"suffix":""},{"dropping-particle":"","family":"Zhou","given":"Chenggang","non-dropping-particle":"","parse-names":false,"suffix":""}],"container-title":"ChemSusChem","id":"ITEM-1","issue":"21","issued":{"date-parts":[["2024","11","11"]]},"page":"e202400713","publisher":"John Wiley &amp; Sons, Ltd","title":"Stabilizing Zinc Hexacyanoferrate Cathode by Low Contents of Cs Cations for Aqueous Zn-Ion Batteries","type":"article-journal","volume":"17"},"uris":["http://www.mendeley.com/documents/?uuid=ea0d1860-ac2e-349b-9862-b7960c341b35"]}],"mendeley":{"formattedCitation":"&lt;sup&gt;[158]&lt;/sup&gt;","plainTextFormattedCitation":"[158]","previouslyFormattedCitation":"&lt;sup&gt;[157]&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[158]</w:t>
            </w:r>
            <w:r w:rsidR="0055772F" w:rsidRPr="003E0254">
              <w:rPr>
                <w:sz w:val="20"/>
                <w:szCs w:val="20"/>
              </w:rPr>
              <w:fldChar w:fldCharType="end"/>
            </w:r>
          </w:p>
        </w:tc>
        <w:tc>
          <w:tcPr>
            <w:tcW w:w="1615" w:type="dxa"/>
            <w:vAlign w:val="center"/>
          </w:tcPr>
          <w:p w14:paraId="29D4B8C2" w14:textId="77777777" w:rsidR="00C60055" w:rsidRPr="003E0254" w:rsidRDefault="00C60055" w:rsidP="005B1B4B">
            <w:pPr>
              <w:spacing w:line="276" w:lineRule="auto"/>
              <w:jc w:val="center"/>
              <w:rPr>
                <w:sz w:val="20"/>
                <w:szCs w:val="20"/>
              </w:rPr>
            </w:pPr>
            <w:r w:rsidRPr="003E0254">
              <w:rPr>
                <w:sz w:val="20"/>
                <w:szCs w:val="20"/>
              </w:rPr>
              <w:t>Cs as additive in the electrolyte stabilizes the cycling but lowers the capacity</w:t>
            </w:r>
          </w:p>
        </w:tc>
      </w:tr>
      <w:tr w:rsidR="005B1B4B" w:rsidRPr="003E0254" w14:paraId="71219696" w14:textId="77777777" w:rsidTr="005B1B4B">
        <w:tc>
          <w:tcPr>
            <w:tcW w:w="1573" w:type="dxa"/>
            <w:vAlign w:val="center"/>
          </w:tcPr>
          <w:p w14:paraId="5BCB4508" w14:textId="6AAC8D40" w:rsidR="00C60055" w:rsidRPr="003E0254" w:rsidRDefault="00C60055" w:rsidP="005B1B4B">
            <w:pPr>
              <w:spacing w:line="276" w:lineRule="auto"/>
              <w:jc w:val="center"/>
              <w:rPr>
                <w:sz w:val="20"/>
                <w:szCs w:val="20"/>
              </w:rPr>
            </w:pPr>
            <w:proofErr w:type="spellStart"/>
            <w:r w:rsidRPr="003E0254">
              <w:rPr>
                <w:sz w:val="20"/>
                <w:szCs w:val="20"/>
              </w:rPr>
              <w:lastRenderedPageBreak/>
              <w:t>NiHCF</w:t>
            </w:r>
            <w:proofErr w:type="spellEnd"/>
            <w:r w:rsidRPr="003E0254">
              <w:rPr>
                <w:sz w:val="20"/>
                <w:szCs w:val="20"/>
              </w:rPr>
              <w:t xml:space="preserve"> | 1 M ZnSO</w:t>
            </w:r>
            <w:r w:rsidRPr="003E0254">
              <w:rPr>
                <w:sz w:val="20"/>
                <w:szCs w:val="20"/>
                <w:vertAlign w:val="subscript"/>
              </w:rPr>
              <w:t xml:space="preserve">4 </w:t>
            </w:r>
            <w:r w:rsidRPr="003E0254">
              <w:rPr>
                <w:sz w:val="20"/>
                <w:szCs w:val="20"/>
              </w:rPr>
              <w:t>|</w:t>
            </w:r>
            <w:r w:rsidR="000E3AB3" w:rsidRPr="003E0254">
              <w:rPr>
                <w:sz w:val="20"/>
                <w:szCs w:val="20"/>
              </w:rPr>
              <w:t xml:space="preserve"> Zn metal</w:t>
            </w:r>
          </w:p>
          <w:p w14:paraId="20242517" w14:textId="77777777" w:rsidR="00C60055" w:rsidRPr="003E0254" w:rsidRDefault="00C60055" w:rsidP="005B1B4B">
            <w:pPr>
              <w:spacing w:line="276" w:lineRule="auto"/>
              <w:jc w:val="center"/>
              <w:rPr>
                <w:sz w:val="20"/>
                <w:szCs w:val="20"/>
              </w:rPr>
            </w:pPr>
          </w:p>
          <w:p w14:paraId="25AFAD63" w14:textId="77777777" w:rsidR="00C60055" w:rsidRPr="003E0254" w:rsidRDefault="00C60055" w:rsidP="005B1B4B">
            <w:pPr>
              <w:spacing w:line="276" w:lineRule="auto"/>
              <w:jc w:val="center"/>
              <w:rPr>
                <w:sz w:val="20"/>
                <w:szCs w:val="20"/>
              </w:rPr>
            </w:pPr>
          </w:p>
          <w:p w14:paraId="5F9B741F" w14:textId="359A3271" w:rsidR="00C60055" w:rsidRPr="003E0254" w:rsidRDefault="00C60055" w:rsidP="005B1B4B">
            <w:pPr>
              <w:spacing w:line="276" w:lineRule="auto"/>
              <w:jc w:val="center"/>
              <w:rPr>
                <w:sz w:val="20"/>
                <w:szCs w:val="20"/>
              </w:rPr>
            </w:pPr>
            <w:proofErr w:type="spellStart"/>
            <w:r w:rsidRPr="003E0254">
              <w:rPr>
                <w:sz w:val="20"/>
                <w:szCs w:val="20"/>
              </w:rPr>
              <w:t>NiHCF</w:t>
            </w:r>
            <w:proofErr w:type="spellEnd"/>
            <w:r w:rsidRPr="003E0254">
              <w:rPr>
                <w:sz w:val="20"/>
                <w:szCs w:val="20"/>
              </w:rPr>
              <w:t xml:space="preserve"> | 1 M </w:t>
            </w:r>
            <w:proofErr w:type="gramStart"/>
            <w:r w:rsidRPr="003E0254">
              <w:rPr>
                <w:sz w:val="20"/>
                <w:szCs w:val="20"/>
              </w:rPr>
              <w:t>Zn(</w:t>
            </w:r>
            <w:proofErr w:type="gramEnd"/>
            <w:r w:rsidRPr="003E0254">
              <w:rPr>
                <w:sz w:val="20"/>
                <w:szCs w:val="20"/>
              </w:rPr>
              <w:t>TFSI)</w:t>
            </w:r>
            <w:r w:rsidRPr="003E0254">
              <w:rPr>
                <w:sz w:val="20"/>
                <w:szCs w:val="20"/>
                <w:vertAlign w:val="subscript"/>
              </w:rPr>
              <w:t>2</w:t>
            </w:r>
            <w:r w:rsidRPr="003E0254">
              <w:rPr>
                <w:sz w:val="20"/>
                <w:szCs w:val="20"/>
              </w:rPr>
              <w:t xml:space="preserve"> + 21 M </w:t>
            </w:r>
            <w:proofErr w:type="spellStart"/>
            <w:r w:rsidRPr="003E0254">
              <w:rPr>
                <w:sz w:val="20"/>
                <w:szCs w:val="20"/>
              </w:rPr>
              <w:t>LiTFSI</w:t>
            </w:r>
            <w:proofErr w:type="spellEnd"/>
            <w:r w:rsidRPr="003E0254">
              <w:rPr>
                <w:sz w:val="20"/>
                <w:szCs w:val="20"/>
              </w:rPr>
              <w:t xml:space="preserve"> |</w:t>
            </w:r>
            <w:r w:rsidR="00075253" w:rsidRPr="003E0254">
              <w:rPr>
                <w:sz w:val="20"/>
                <w:szCs w:val="20"/>
              </w:rPr>
              <w:t xml:space="preserve"> Zn metal</w:t>
            </w:r>
          </w:p>
        </w:tc>
        <w:tc>
          <w:tcPr>
            <w:tcW w:w="942" w:type="dxa"/>
            <w:vAlign w:val="center"/>
          </w:tcPr>
          <w:p w14:paraId="69C2BC33" w14:textId="77777777" w:rsidR="00C60055" w:rsidRPr="003E0254" w:rsidRDefault="00C60055" w:rsidP="005B1B4B">
            <w:pPr>
              <w:spacing w:line="276" w:lineRule="auto"/>
              <w:jc w:val="center"/>
              <w:rPr>
                <w:sz w:val="20"/>
                <w:szCs w:val="20"/>
              </w:rPr>
            </w:pPr>
            <w:r w:rsidRPr="003E0254">
              <w:rPr>
                <w:sz w:val="20"/>
                <w:szCs w:val="20"/>
              </w:rPr>
              <w:t>100</w:t>
            </w:r>
          </w:p>
          <w:p w14:paraId="6EBAE2CA" w14:textId="77777777" w:rsidR="00C60055" w:rsidRPr="003E0254" w:rsidRDefault="00C60055" w:rsidP="005B1B4B">
            <w:pPr>
              <w:spacing w:line="276" w:lineRule="auto"/>
              <w:jc w:val="center"/>
              <w:rPr>
                <w:sz w:val="20"/>
                <w:szCs w:val="20"/>
              </w:rPr>
            </w:pPr>
          </w:p>
          <w:p w14:paraId="129B5FAA" w14:textId="77777777" w:rsidR="00C60055" w:rsidRPr="003E0254" w:rsidRDefault="00C60055" w:rsidP="005B1B4B">
            <w:pPr>
              <w:spacing w:line="276" w:lineRule="auto"/>
              <w:jc w:val="center"/>
              <w:rPr>
                <w:sz w:val="20"/>
                <w:szCs w:val="20"/>
              </w:rPr>
            </w:pPr>
          </w:p>
          <w:p w14:paraId="6DB1AF08" w14:textId="77777777" w:rsidR="00C60055" w:rsidRPr="003E0254" w:rsidRDefault="00C60055" w:rsidP="005B1B4B">
            <w:pPr>
              <w:spacing w:line="276" w:lineRule="auto"/>
              <w:jc w:val="center"/>
              <w:rPr>
                <w:sz w:val="20"/>
                <w:szCs w:val="20"/>
              </w:rPr>
            </w:pPr>
          </w:p>
          <w:p w14:paraId="5494C189" w14:textId="77777777" w:rsidR="00C60055" w:rsidRPr="003E0254" w:rsidRDefault="00C60055" w:rsidP="005B1B4B">
            <w:pPr>
              <w:spacing w:line="276" w:lineRule="auto"/>
              <w:jc w:val="center"/>
              <w:rPr>
                <w:sz w:val="20"/>
                <w:szCs w:val="20"/>
              </w:rPr>
            </w:pPr>
            <w:r w:rsidRPr="003E0254">
              <w:rPr>
                <w:sz w:val="20"/>
                <w:szCs w:val="20"/>
              </w:rPr>
              <w:t>1600</w:t>
            </w:r>
          </w:p>
          <w:p w14:paraId="69D199E1" w14:textId="77777777" w:rsidR="00C60055" w:rsidRPr="003E0254" w:rsidRDefault="00C60055" w:rsidP="005B1B4B">
            <w:pPr>
              <w:spacing w:line="276" w:lineRule="auto"/>
              <w:jc w:val="center"/>
              <w:rPr>
                <w:sz w:val="20"/>
                <w:szCs w:val="20"/>
              </w:rPr>
            </w:pPr>
          </w:p>
          <w:p w14:paraId="29094945" w14:textId="77777777" w:rsidR="00C60055" w:rsidRPr="003E0254" w:rsidRDefault="00C60055" w:rsidP="005B1B4B">
            <w:pPr>
              <w:spacing w:line="276" w:lineRule="auto"/>
              <w:jc w:val="center"/>
              <w:rPr>
                <w:sz w:val="20"/>
                <w:szCs w:val="20"/>
              </w:rPr>
            </w:pPr>
          </w:p>
        </w:tc>
        <w:tc>
          <w:tcPr>
            <w:tcW w:w="1260" w:type="dxa"/>
            <w:vAlign w:val="center"/>
          </w:tcPr>
          <w:p w14:paraId="644CB18F" w14:textId="77777777" w:rsidR="00C60055" w:rsidRPr="003E0254" w:rsidRDefault="00C60055" w:rsidP="005B1B4B">
            <w:pPr>
              <w:spacing w:line="276" w:lineRule="auto"/>
              <w:jc w:val="center"/>
              <w:rPr>
                <w:sz w:val="20"/>
                <w:szCs w:val="20"/>
              </w:rPr>
            </w:pPr>
            <w:r w:rsidRPr="003E0254">
              <w:rPr>
                <w:sz w:val="20"/>
                <w:szCs w:val="20"/>
              </w:rPr>
              <w:t>87%</w:t>
            </w:r>
          </w:p>
          <w:p w14:paraId="6D449E74" w14:textId="77777777" w:rsidR="00C60055" w:rsidRPr="003E0254" w:rsidRDefault="00C60055" w:rsidP="005B1B4B">
            <w:pPr>
              <w:spacing w:line="276" w:lineRule="auto"/>
              <w:jc w:val="center"/>
              <w:rPr>
                <w:sz w:val="20"/>
                <w:szCs w:val="20"/>
              </w:rPr>
            </w:pPr>
          </w:p>
          <w:p w14:paraId="7C7FAA5E" w14:textId="77777777" w:rsidR="00C60055" w:rsidRPr="003E0254" w:rsidRDefault="00C60055" w:rsidP="005B1B4B">
            <w:pPr>
              <w:spacing w:line="276" w:lineRule="auto"/>
              <w:jc w:val="center"/>
              <w:rPr>
                <w:sz w:val="20"/>
                <w:szCs w:val="20"/>
              </w:rPr>
            </w:pPr>
          </w:p>
          <w:p w14:paraId="48B7DD72" w14:textId="77777777" w:rsidR="00C60055" w:rsidRPr="003E0254" w:rsidRDefault="00C60055" w:rsidP="005B1B4B">
            <w:pPr>
              <w:spacing w:line="276" w:lineRule="auto"/>
              <w:jc w:val="center"/>
              <w:rPr>
                <w:sz w:val="20"/>
                <w:szCs w:val="20"/>
              </w:rPr>
            </w:pPr>
          </w:p>
          <w:p w14:paraId="50B73DA6" w14:textId="77777777" w:rsidR="00C60055" w:rsidRPr="003E0254" w:rsidRDefault="00C60055" w:rsidP="005B1B4B">
            <w:pPr>
              <w:spacing w:line="276" w:lineRule="auto"/>
              <w:jc w:val="center"/>
              <w:rPr>
                <w:sz w:val="20"/>
                <w:szCs w:val="20"/>
              </w:rPr>
            </w:pPr>
            <w:r w:rsidRPr="003E0254">
              <w:rPr>
                <w:sz w:val="20"/>
                <w:szCs w:val="20"/>
              </w:rPr>
              <w:t>85 %</w:t>
            </w:r>
          </w:p>
          <w:p w14:paraId="20C4DDFA" w14:textId="77777777" w:rsidR="00C60055" w:rsidRPr="003E0254" w:rsidRDefault="00C60055" w:rsidP="005B1B4B">
            <w:pPr>
              <w:spacing w:line="276" w:lineRule="auto"/>
              <w:jc w:val="center"/>
              <w:rPr>
                <w:sz w:val="20"/>
                <w:szCs w:val="20"/>
              </w:rPr>
            </w:pPr>
          </w:p>
          <w:p w14:paraId="3B847D0A" w14:textId="77777777" w:rsidR="00C60055" w:rsidRPr="003E0254" w:rsidRDefault="00C60055" w:rsidP="005B1B4B">
            <w:pPr>
              <w:spacing w:line="276" w:lineRule="auto"/>
              <w:jc w:val="center"/>
              <w:rPr>
                <w:sz w:val="20"/>
                <w:szCs w:val="20"/>
              </w:rPr>
            </w:pPr>
          </w:p>
        </w:tc>
        <w:tc>
          <w:tcPr>
            <w:tcW w:w="990" w:type="dxa"/>
            <w:vAlign w:val="center"/>
          </w:tcPr>
          <w:p w14:paraId="64BDAB78" w14:textId="70ECB924" w:rsidR="00C60055" w:rsidRPr="003E0254" w:rsidRDefault="00C60055" w:rsidP="005B1B4B">
            <w:pPr>
              <w:spacing w:line="276" w:lineRule="auto"/>
              <w:jc w:val="center"/>
              <w:rPr>
                <w:sz w:val="20"/>
                <w:szCs w:val="20"/>
                <w:vertAlign w:val="superscript"/>
              </w:rPr>
            </w:pPr>
            <w:r w:rsidRPr="003E0254">
              <w:rPr>
                <w:sz w:val="20"/>
                <w:szCs w:val="20"/>
              </w:rPr>
              <w:t>60.0 </w:t>
            </w:r>
          </w:p>
          <w:p w14:paraId="3087941C" w14:textId="77777777" w:rsidR="00977AD1" w:rsidRPr="003E0254" w:rsidRDefault="00977AD1" w:rsidP="005B1B4B">
            <w:pPr>
              <w:spacing w:line="276" w:lineRule="auto"/>
              <w:jc w:val="center"/>
              <w:rPr>
                <w:sz w:val="20"/>
                <w:szCs w:val="20"/>
                <w:vertAlign w:val="superscript"/>
              </w:rPr>
            </w:pPr>
          </w:p>
          <w:p w14:paraId="1296449E" w14:textId="77777777" w:rsidR="00977AD1" w:rsidRPr="003E0254" w:rsidRDefault="00977AD1" w:rsidP="005B1B4B">
            <w:pPr>
              <w:spacing w:line="276" w:lineRule="auto"/>
              <w:jc w:val="center"/>
              <w:rPr>
                <w:sz w:val="20"/>
                <w:szCs w:val="20"/>
                <w:vertAlign w:val="superscript"/>
              </w:rPr>
            </w:pPr>
          </w:p>
          <w:p w14:paraId="4DC5ED0F" w14:textId="77777777" w:rsidR="00977AD1" w:rsidRPr="003E0254" w:rsidRDefault="00977AD1" w:rsidP="005B1B4B">
            <w:pPr>
              <w:spacing w:line="276" w:lineRule="auto"/>
              <w:jc w:val="center"/>
              <w:rPr>
                <w:sz w:val="20"/>
                <w:szCs w:val="20"/>
                <w:vertAlign w:val="superscript"/>
              </w:rPr>
            </w:pPr>
          </w:p>
          <w:p w14:paraId="204DB8A3" w14:textId="77777777" w:rsidR="00C60055" w:rsidRPr="003E0254" w:rsidRDefault="00C60055" w:rsidP="005B1B4B">
            <w:pPr>
              <w:spacing w:line="276" w:lineRule="auto"/>
              <w:jc w:val="center"/>
              <w:rPr>
                <w:sz w:val="20"/>
                <w:szCs w:val="20"/>
              </w:rPr>
            </w:pPr>
            <w:r w:rsidRPr="003E0254">
              <w:rPr>
                <w:sz w:val="20"/>
                <w:szCs w:val="20"/>
              </w:rPr>
              <w:t>70 </w:t>
            </w:r>
          </w:p>
          <w:p w14:paraId="03B10867" w14:textId="77777777" w:rsidR="00977AD1" w:rsidRPr="003E0254" w:rsidRDefault="00977AD1" w:rsidP="005B1B4B">
            <w:pPr>
              <w:spacing w:line="276" w:lineRule="auto"/>
              <w:jc w:val="center"/>
              <w:rPr>
                <w:sz w:val="20"/>
                <w:szCs w:val="20"/>
              </w:rPr>
            </w:pPr>
          </w:p>
          <w:p w14:paraId="3E3B9672" w14:textId="20D4D24D" w:rsidR="00977AD1" w:rsidRPr="003E0254" w:rsidRDefault="00977AD1" w:rsidP="005B1B4B">
            <w:pPr>
              <w:spacing w:line="276" w:lineRule="auto"/>
              <w:jc w:val="center"/>
              <w:rPr>
                <w:sz w:val="20"/>
                <w:szCs w:val="20"/>
              </w:rPr>
            </w:pPr>
          </w:p>
        </w:tc>
        <w:tc>
          <w:tcPr>
            <w:tcW w:w="900" w:type="dxa"/>
            <w:vAlign w:val="center"/>
          </w:tcPr>
          <w:p w14:paraId="0F0761B8" w14:textId="77777777" w:rsidR="00C60055" w:rsidRPr="003E0254" w:rsidRDefault="00C60055" w:rsidP="005B1B4B">
            <w:pPr>
              <w:spacing w:line="276" w:lineRule="auto"/>
              <w:jc w:val="center"/>
              <w:rPr>
                <w:sz w:val="20"/>
                <w:szCs w:val="20"/>
              </w:rPr>
            </w:pPr>
            <w:r w:rsidRPr="003E0254">
              <w:rPr>
                <w:sz w:val="20"/>
                <w:szCs w:val="20"/>
              </w:rPr>
              <w:t>0.5 C</w:t>
            </w:r>
          </w:p>
        </w:tc>
        <w:tc>
          <w:tcPr>
            <w:tcW w:w="900" w:type="dxa"/>
            <w:vAlign w:val="center"/>
          </w:tcPr>
          <w:p w14:paraId="293C7C34" w14:textId="0B3B87E5" w:rsidR="00C60055" w:rsidRPr="003E0254" w:rsidRDefault="00C60055" w:rsidP="005B1B4B">
            <w:pPr>
              <w:spacing w:line="276" w:lineRule="auto"/>
              <w:jc w:val="center"/>
              <w:rPr>
                <w:sz w:val="20"/>
                <w:szCs w:val="20"/>
              </w:rPr>
            </w:pPr>
            <w:r w:rsidRPr="003E0254">
              <w:rPr>
                <w:sz w:val="20"/>
                <w:szCs w:val="20"/>
              </w:rPr>
              <w:t>3</w:t>
            </w:r>
          </w:p>
        </w:tc>
        <w:tc>
          <w:tcPr>
            <w:tcW w:w="630" w:type="dxa"/>
            <w:vAlign w:val="center"/>
          </w:tcPr>
          <w:p w14:paraId="10759EC0" w14:textId="77777777" w:rsidR="00C60055" w:rsidRPr="003E0254" w:rsidRDefault="00C60055" w:rsidP="005B1B4B">
            <w:pPr>
              <w:spacing w:line="276" w:lineRule="auto"/>
              <w:jc w:val="center"/>
              <w:rPr>
                <w:sz w:val="20"/>
                <w:szCs w:val="20"/>
              </w:rPr>
            </w:pPr>
            <w:r w:rsidRPr="003E0254">
              <w:rPr>
                <w:sz w:val="20"/>
                <w:szCs w:val="20"/>
              </w:rPr>
              <w:t>~1.7</w:t>
            </w:r>
          </w:p>
        </w:tc>
        <w:tc>
          <w:tcPr>
            <w:tcW w:w="540" w:type="dxa"/>
            <w:vAlign w:val="center"/>
          </w:tcPr>
          <w:p w14:paraId="0B57E6A6" w14:textId="6D66C950" w:rsidR="00C60055" w:rsidRPr="003E0254" w:rsidRDefault="00C60055" w:rsidP="005B1B4B">
            <w:pPr>
              <w:spacing w:line="276" w:lineRule="auto"/>
              <w:jc w:val="center"/>
              <w:rPr>
                <w:sz w:val="20"/>
                <w:szCs w:val="20"/>
              </w:rPr>
            </w:pPr>
            <w:r w:rsidRPr="003E0254">
              <w:rPr>
                <w:sz w:val="20"/>
                <w:szCs w:val="20"/>
              </w:rPr>
              <w:t>Li et al</w:t>
            </w:r>
            <w:r w:rsidR="0055772F" w:rsidRPr="003E0254">
              <w:rPr>
                <w:sz w:val="20"/>
                <w:szCs w:val="20"/>
              </w:rPr>
              <w:t>.</w:t>
            </w:r>
            <w:r w:rsidR="0055772F" w:rsidRPr="003E0254">
              <w:rPr>
                <w:sz w:val="20"/>
                <w:szCs w:val="20"/>
              </w:rPr>
              <w:fldChar w:fldCharType="begin" w:fldLock="1"/>
            </w:r>
            <w:r w:rsidR="00500B8D" w:rsidRPr="003E0254">
              <w:rPr>
                <w:sz w:val="20"/>
                <w:szCs w:val="20"/>
              </w:rPr>
              <w:instrText>ADDIN CSL_CITATION {"citationItems":[{"id":"ITEM-1","itemData":{"DOI":"10.1002/EEM2.12108","ISSN":"2575-0356","abstract":"The reversible storage of Zn2+ ions in Prussian blue analogues with typical aqueous solution was challenged by fast degradation and poor coulombic efficiency, while the mechanism is yet to be uncovered. This study correlates the performance of the nickel hexacyanoferrate to the dynamics of H2O in the electrolyte and the associated phase stability of the electrode. It demonstrates severe Ni dissolution in conventional diluted aqueous electrolyte (1 m ZnSO4 or 1 m Zn(TFSI)2), leading to structure collapse with the formation of an electrochemical inert phase. This is regarded as the descriptor for the fast decay of nickel hexacyanoferrate in diluted aqueous electrolyte. However, a well-preserved open framework for zinc storage was obtained in concentrated aqueous electrolyte (1 m Zn(TFSI)2 + 21 m LiTFSI)—the H2O activity is highly suppressed by extensive coordination—thus, reversible capacity of 60.2 mAh g−1 over 1600 cycles could be delivered.","author":[{"dropping-particle":"","family":"Li","given":"Zhuxin","non-dropping-particle":"","parse-names":false,"suffix":""},{"dropping-particle":"","family":"Liu","given":"Tingting","non-dropping-particle":"","parse-names":false,"suffix":""},{"dropping-particle":"","family":"Meng","given":"Ruijin","non-dropping-particle":"","parse-names":false,"suffix":""},{"dropping-particle":"","family":"Gao","given":"Lujie","non-dropping-particle":"","parse-names":false,"suffix":""},{"dropping-particle":"","family":"Zou","given":"Yiping","non-dropping-particle":"","parse-names":false,"suffix":""},{"dropping-particle":"","family":"Peng","given":"Peng","non-dropping-particle":"","parse-names":false,"suffix":""},{"dropping-particle":"","family":"Shao","given":"Yuying","non-dropping-particle":"","parse-names":false,"suffix":""},{"dropping-particle":"","family":"Liang","given":"Xiao","non-dropping-particle":"","parse-names":false,"suffix":""}],"container-title":"Energy &amp; Environmental Materials","id":"ITEM-1","issue":"1","issued":{"date-parts":[["2021","1","1"]]},"page":"111-116","publisher":"John Wiley &amp; Sons, Ltd","title":"Insights into the Structure Stability of Prussian Blue for Aqueous Zinc Ion Batteries","type":"article-journal","volume":"4"},"uris":["http://www.mendeley.com/documents/?uuid=968bba77-0714-3e4f-a65b-01a4c7c5d543"]}],"mendeley":{"formattedCitation":"&lt;sup&gt;[154]&lt;/sup&gt;","plainTextFormattedCitation":"[154]","previouslyFormattedCitation":"&lt;sup&gt;[153]&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[154]</w:t>
            </w:r>
            <w:r w:rsidR="0055772F" w:rsidRPr="003E0254">
              <w:rPr>
                <w:sz w:val="20"/>
                <w:szCs w:val="20"/>
              </w:rPr>
              <w:fldChar w:fldCharType="end"/>
            </w:r>
          </w:p>
        </w:tc>
        <w:tc>
          <w:tcPr>
            <w:tcW w:w="1615" w:type="dxa"/>
            <w:vAlign w:val="center"/>
          </w:tcPr>
          <w:p w14:paraId="463818F0" w14:textId="77777777" w:rsidR="00C60055" w:rsidRPr="003E0254" w:rsidRDefault="00C60055" w:rsidP="005B1B4B">
            <w:pPr>
              <w:spacing w:line="276" w:lineRule="auto"/>
              <w:jc w:val="center"/>
              <w:rPr>
                <w:sz w:val="20"/>
                <w:szCs w:val="20"/>
              </w:rPr>
            </w:pPr>
            <w:r w:rsidRPr="003E0254">
              <w:rPr>
                <w:sz w:val="20"/>
                <w:szCs w:val="20"/>
              </w:rPr>
              <w:t>Comparison of different electrolytes organic vs aqueous vs concentrated (=best)</w:t>
            </w:r>
          </w:p>
        </w:tc>
      </w:tr>
      <w:tr w:rsidR="005B1B4B" w:rsidRPr="003E0254" w14:paraId="454BD77D" w14:textId="77777777" w:rsidTr="005B1B4B">
        <w:tc>
          <w:tcPr>
            <w:tcW w:w="1573" w:type="dxa"/>
            <w:vAlign w:val="center"/>
          </w:tcPr>
          <w:p w14:paraId="309AEBCF" w14:textId="45704658" w:rsidR="00C60055" w:rsidRPr="003E0254" w:rsidRDefault="00C60055" w:rsidP="005B1B4B">
            <w:pPr>
              <w:spacing w:line="276" w:lineRule="auto"/>
              <w:jc w:val="center"/>
              <w:rPr>
                <w:sz w:val="20"/>
                <w:szCs w:val="20"/>
              </w:rPr>
            </w:pPr>
            <w:r w:rsidRPr="003E0254">
              <w:rPr>
                <w:sz w:val="20"/>
                <w:szCs w:val="20"/>
              </w:rPr>
              <w:t>Zn–</w:t>
            </w:r>
            <w:proofErr w:type="spellStart"/>
            <w:r w:rsidRPr="003E0254">
              <w:rPr>
                <w:sz w:val="20"/>
                <w:szCs w:val="20"/>
              </w:rPr>
              <w:t>FeHCF</w:t>
            </w:r>
            <w:proofErr w:type="spellEnd"/>
            <w:r w:rsidRPr="003E0254">
              <w:rPr>
                <w:sz w:val="20"/>
                <w:szCs w:val="20"/>
              </w:rPr>
              <w:t xml:space="preserve"> | HCZLE-PAM gel-electrolyte </w:t>
            </w:r>
            <w:proofErr w:type="gramStart"/>
            <w:r w:rsidRPr="003E0254">
              <w:rPr>
                <w:sz w:val="20"/>
                <w:szCs w:val="20"/>
              </w:rPr>
              <w:t xml:space="preserve">| </w:t>
            </w:r>
            <w:r w:rsidR="00075253" w:rsidRPr="003E0254">
              <w:rPr>
                <w:sz w:val="20"/>
                <w:szCs w:val="20"/>
              </w:rPr>
              <w:t xml:space="preserve"> Zn</w:t>
            </w:r>
            <w:proofErr w:type="gramEnd"/>
            <w:r w:rsidR="00075253" w:rsidRPr="003E0254">
              <w:rPr>
                <w:sz w:val="20"/>
                <w:szCs w:val="20"/>
              </w:rPr>
              <w:t xml:space="preserve"> metal </w:t>
            </w:r>
            <w:r w:rsidRPr="003E0254">
              <w:rPr>
                <w:sz w:val="20"/>
                <w:szCs w:val="20"/>
              </w:rPr>
              <w:t>in carbo</w:t>
            </w:r>
            <w:r w:rsidR="00CA3E59" w:rsidRPr="003E0254">
              <w:rPr>
                <w:sz w:val="20"/>
                <w:szCs w:val="20"/>
              </w:rPr>
              <w:t>n</w:t>
            </w:r>
            <w:r w:rsidRPr="003E0254">
              <w:rPr>
                <w:sz w:val="20"/>
                <w:szCs w:val="20"/>
              </w:rPr>
              <w:t xml:space="preserve"> cloth</w:t>
            </w:r>
          </w:p>
        </w:tc>
        <w:tc>
          <w:tcPr>
            <w:tcW w:w="942" w:type="dxa"/>
            <w:vAlign w:val="center"/>
          </w:tcPr>
          <w:p w14:paraId="42552CA8" w14:textId="77777777" w:rsidR="00C60055" w:rsidRPr="003E0254" w:rsidRDefault="00C60055" w:rsidP="005B1B4B">
            <w:pPr>
              <w:spacing w:line="276" w:lineRule="auto"/>
              <w:jc w:val="center"/>
              <w:rPr>
                <w:sz w:val="20"/>
                <w:szCs w:val="20"/>
              </w:rPr>
            </w:pPr>
            <w:r w:rsidRPr="003E0254">
              <w:rPr>
                <w:sz w:val="20"/>
                <w:szCs w:val="20"/>
              </w:rPr>
              <w:t>5000</w:t>
            </w:r>
          </w:p>
        </w:tc>
        <w:tc>
          <w:tcPr>
            <w:tcW w:w="1260" w:type="dxa"/>
            <w:vAlign w:val="center"/>
          </w:tcPr>
          <w:p w14:paraId="589EF54F" w14:textId="77777777" w:rsidR="00C60055" w:rsidRPr="003E0254" w:rsidRDefault="00C60055" w:rsidP="005B1B4B">
            <w:pPr>
              <w:spacing w:line="276" w:lineRule="auto"/>
              <w:jc w:val="center"/>
              <w:rPr>
                <w:sz w:val="20"/>
                <w:szCs w:val="20"/>
              </w:rPr>
            </w:pPr>
            <w:r w:rsidRPr="003E0254">
              <w:rPr>
                <w:sz w:val="20"/>
                <w:szCs w:val="20"/>
              </w:rPr>
              <w:t>82%</w:t>
            </w:r>
          </w:p>
        </w:tc>
        <w:tc>
          <w:tcPr>
            <w:tcW w:w="990" w:type="dxa"/>
            <w:vAlign w:val="center"/>
          </w:tcPr>
          <w:p w14:paraId="6535AE17" w14:textId="399C0F64" w:rsidR="00C60055" w:rsidRPr="003E0254" w:rsidRDefault="00C60055" w:rsidP="005B1B4B">
            <w:pPr>
              <w:spacing w:line="276" w:lineRule="auto"/>
              <w:jc w:val="center"/>
              <w:rPr>
                <w:sz w:val="20"/>
                <w:szCs w:val="20"/>
              </w:rPr>
            </w:pPr>
            <w:r w:rsidRPr="003E0254">
              <w:rPr>
                <w:sz w:val="20"/>
                <w:szCs w:val="20"/>
              </w:rPr>
              <w:t xml:space="preserve">78 </w:t>
            </w:r>
          </w:p>
        </w:tc>
        <w:tc>
          <w:tcPr>
            <w:tcW w:w="900" w:type="dxa"/>
            <w:vAlign w:val="center"/>
          </w:tcPr>
          <w:p w14:paraId="576492C1" w14:textId="77777777" w:rsidR="00C60055" w:rsidRPr="003E0254" w:rsidRDefault="00C60055" w:rsidP="005B1B4B">
            <w:pPr>
              <w:spacing w:line="276" w:lineRule="auto"/>
              <w:jc w:val="center"/>
              <w:rPr>
                <w:sz w:val="20"/>
                <w:szCs w:val="20"/>
              </w:rPr>
            </w:pPr>
            <w:r w:rsidRPr="003E0254">
              <w:rPr>
                <w:sz w:val="20"/>
                <w:szCs w:val="20"/>
              </w:rPr>
              <w:t>3 A g</w:t>
            </w:r>
            <w:r w:rsidRPr="003E0254">
              <w:rPr>
                <w:sz w:val="20"/>
                <w:szCs w:val="20"/>
                <w:vertAlign w:val="superscript"/>
              </w:rPr>
              <w:t>−1</w:t>
            </w:r>
          </w:p>
        </w:tc>
        <w:tc>
          <w:tcPr>
            <w:tcW w:w="900" w:type="dxa"/>
            <w:vAlign w:val="center"/>
          </w:tcPr>
          <w:p w14:paraId="485ECD41" w14:textId="2F79957F" w:rsidR="00C60055" w:rsidRPr="003E0254" w:rsidRDefault="00C60055" w:rsidP="005B1B4B">
            <w:pPr>
              <w:spacing w:line="276" w:lineRule="auto"/>
              <w:jc w:val="center"/>
              <w:rPr>
                <w:sz w:val="20"/>
                <w:szCs w:val="20"/>
              </w:rPr>
            </w:pPr>
            <w:r w:rsidRPr="003E0254">
              <w:rPr>
                <w:sz w:val="20"/>
                <w:szCs w:val="20"/>
              </w:rPr>
              <w:t xml:space="preserve">1.5-2 </w:t>
            </w:r>
          </w:p>
        </w:tc>
        <w:tc>
          <w:tcPr>
            <w:tcW w:w="630" w:type="dxa"/>
            <w:vAlign w:val="center"/>
          </w:tcPr>
          <w:p w14:paraId="77F519F7" w14:textId="77777777" w:rsidR="00C60055" w:rsidRPr="003E0254" w:rsidRDefault="00C60055" w:rsidP="005B1B4B">
            <w:pPr>
              <w:spacing w:line="276" w:lineRule="auto"/>
              <w:jc w:val="center"/>
              <w:rPr>
                <w:sz w:val="20"/>
                <w:szCs w:val="20"/>
              </w:rPr>
            </w:pPr>
            <w:r w:rsidRPr="003E0254">
              <w:rPr>
                <w:sz w:val="20"/>
                <w:szCs w:val="20"/>
              </w:rPr>
              <w:t>~1.5 V</w:t>
            </w:r>
          </w:p>
        </w:tc>
        <w:tc>
          <w:tcPr>
            <w:tcW w:w="540" w:type="dxa"/>
            <w:vAlign w:val="center"/>
          </w:tcPr>
          <w:p w14:paraId="10F21364" w14:textId="51B34D25" w:rsidR="00C60055" w:rsidRPr="003E0254" w:rsidRDefault="00C60055" w:rsidP="005B1B4B">
            <w:pPr>
              <w:spacing w:line="276" w:lineRule="auto"/>
              <w:jc w:val="center"/>
              <w:rPr>
                <w:sz w:val="20"/>
                <w:szCs w:val="20"/>
              </w:rPr>
            </w:pPr>
            <w:r w:rsidRPr="003E0254">
              <w:rPr>
                <w:sz w:val="20"/>
                <w:szCs w:val="20"/>
              </w:rPr>
              <w:t>Yang et al</w:t>
            </w:r>
            <w:r w:rsidR="0055772F" w:rsidRPr="003E0254">
              <w:rPr>
                <w:sz w:val="20"/>
                <w:szCs w:val="20"/>
              </w:rPr>
              <w:t>.</w:t>
            </w:r>
            <w:r w:rsidR="0055772F" w:rsidRPr="003E0254">
              <w:rPr>
                <w:sz w:val="20"/>
                <w:szCs w:val="20"/>
              </w:rPr>
              <w:fldChar w:fldCharType="begin" w:fldLock="1"/>
            </w:r>
            <w:r w:rsidR="00500B8D" w:rsidRPr="003E0254">
              <w:rPr>
                <w:sz w:val="20"/>
                <w:szCs w:val="20"/>
              </w:rPr>
              <w:instrText>ADDIN CSL_CITATION {"citationItems":[{"id":"ITEM-1","itemData":{"DOI":"10.1002/ADMA.201901521","ISSN":"1521-4095","PMID":"31192499","abstract":"Prussian blue analogue (PBA)-type metal hexacyanoferrates are considered as significant cathodes for zinc batteries (ZBs). However, these PBA-type cathodes, such as cyanogroup iron hexacyanoferrate (FeHCF), suffer from ephemeral lifespan (≤1000 cycles), and inferior rate capability (1 A g−1). This is because the redox active sites of multivalent iron (Fe(III/II)) can only be very limited activated and thus utilized. This is attributed to the spatial resistance caused by the compact cooperation interaction between Fe and the surrounded cyanogroup, and the inferior conductivity. Here, it is found that high-voltage scanning can effectively activate the C-coordinated Fe in FeHCF cathode in ZBs. Thanks to this activation, the Zn–FeHCF hybrid-ion battery achieves a record-breaking cycling performance of 5000 (82% capacity retention) and 10 000 cycles (73% capacity retention), respectively, together with a superior rate capability of maintaining 53.2% capacity at superhigh current density of 8 A g−1 (≈97 C). The reversible distortion and recovery of the crystalline structure caused by the (de)insertion of zinc and lithium ions is revealed. It is believed that this work represents a substantial advance on PBA electrode materials and may essentially promote application of PBA materials.","author":[{"dropping-particle":"","family":"Yang","given":"Qi","non-dropping-particle":"","parse-names":false,"suffix":""},{"dropping-particle":"","family":"Mo","given":"Funian","non-dropping-particle":"","parse-names":false,"suffix":""},{"dropping-particle":"","family":"Liu","given":"Zhuoxin","non-dropping-particle":"","parse-names":false,"suffix":""},{"dropping-particle":"","family":"Ma","given":"Longtao","non-dropping-particle":"","parse-names":false,"suffix":""},{"dropping-particle":"","family":"Li","given":"Xinliang","non-dropping-particle":"","parse-names":false,"suffix":""},{"dropping-particle":"","family":"Fang","given":"Daliang","non-dropping-particle":"","parse-names":false,"suffix":""},{"dropping-particle":"","family":"Chen","given":"Shimou","non-dropping-particle":"","parse-names":false,"suffix":""},{"dropping-particle":"","family":"Zhang","given":"Suojiang","non-dropping-particle":"","parse-names":false,"suffix":""},{"dropping-particle":"","family":"Zhi","given":"Chunyi","non-dropping-particle":"","parse-names":false,"suffix":""}],"container-title":"Advanced Materials","id":"ITEM-1","issue":"32","issued":{"date-parts":[["2019","8","1"]]},"page":"1901521","publisher":"John Wiley &amp; Sons, Ltd","title":"Activating C-Coordinated Iron of Iron Hexacyanoferrate for Zn Hybrid-Ion Batteries with 10 000-Cycle Lifespan and Superior Rate Capability","type":"article-journal","volume":"31"},"uris":["http://www.mendeley.com/documents/?uuid=5720cfaf-5615-359f-9f77-44643593bf4d"]}],"mendeley":{"formattedCitation":"&lt;sup&gt;[156]&lt;/sup&gt;","plainTextFormattedCitation":"[156]","previouslyFormattedCitation":"&lt;sup&gt;[155]&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[156]</w:t>
            </w:r>
            <w:r w:rsidR="0055772F" w:rsidRPr="003E0254">
              <w:rPr>
                <w:sz w:val="20"/>
                <w:szCs w:val="20"/>
              </w:rPr>
              <w:fldChar w:fldCharType="end"/>
            </w:r>
            <w:r w:rsidRPr="003E0254">
              <w:rPr>
                <w:sz w:val="20"/>
                <w:szCs w:val="20"/>
              </w:rPr>
              <w:t xml:space="preserve"> )</w:t>
            </w:r>
          </w:p>
        </w:tc>
        <w:tc>
          <w:tcPr>
            <w:tcW w:w="1615" w:type="dxa"/>
            <w:vAlign w:val="center"/>
          </w:tcPr>
          <w:p w14:paraId="31DEA424" w14:textId="7D22A32F" w:rsidR="00C60055" w:rsidRPr="003E0254" w:rsidRDefault="00C60055" w:rsidP="005B1B4B">
            <w:pPr>
              <w:spacing w:line="276" w:lineRule="auto"/>
              <w:jc w:val="center"/>
              <w:rPr>
                <w:sz w:val="20"/>
                <w:szCs w:val="20"/>
              </w:rPr>
            </w:pPr>
            <w:r w:rsidRPr="003E0254">
              <w:rPr>
                <w:sz w:val="20"/>
                <w:szCs w:val="20"/>
              </w:rPr>
              <w:t xml:space="preserve">Activation of the C-coordinated Fe in </w:t>
            </w:r>
            <w:proofErr w:type="spellStart"/>
            <w:r w:rsidRPr="003E0254">
              <w:rPr>
                <w:sz w:val="20"/>
                <w:szCs w:val="20"/>
              </w:rPr>
              <w:t>FeHCF</w:t>
            </w:r>
            <w:proofErr w:type="spellEnd"/>
            <w:r w:rsidRPr="003E0254">
              <w:rPr>
                <w:sz w:val="20"/>
                <w:szCs w:val="20"/>
              </w:rPr>
              <w:t xml:space="preserve"> leads to enhanced cycling performance</w:t>
            </w:r>
          </w:p>
        </w:tc>
      </w:tr>
      <w:tr w:rsidR="005B1B4B" w:rsidRPr="003E0254" w14:paraId="501CE3B2" w14:textId="77777777" w:rsidTr="005B1B4B">
        <w:tc>
          <w:tcPr>
            <w:tcW w:w="1573" w:type="dxa"/>
            <w:vAlign w:val="center"/>
          </w:tcPr>
          <w:p w14:paraId="0996AB28" w14:textId="0A39BFF2" w:rsidR="00C60055" w:rsidRPr="003E0254" w:rsidRDefault="00C60055" w:rsidP="005B1B4B">
            <w:pPr>
              <w:spacing w:line="276" w:lineRule="auto"/>
              <w:jc w:val="center"/>
              <w:rPr>
                <w:sz w:val="20"/>
                <w:szCs w:val="20"/>
              </w:rPr>
            </w:pPr>
            <w:r w:rsidRPr="003E0254">
              <w:rPr>
                <w:sz w:val="20"/>
                <w:szCs w:val="20"/>
              </w:rPr>
              <w:t>MnO</w:t>
            </w:r>
            <w:r w:rsidRPr="003E0254">
              <w:rPr>
                <w:sz w:val="20"/>
                <w:szCs w:val="20"/>
                <w:vertAlign w:val="subscript"/>
              </w:rPr>
              <w:t>2</w:t>
            </w:r>
            <w:r w:rsidRPr="003E0254">
              <w:rPr>
                <w:sz w:val="20"/>
                <w:szCs w:val="20"/>
              </w:rPr>
              <w:t xml:space="preserve"> | 3 M ZnSO</w:t>
            </w:r>
            <w:r w:rsidRPr="003E0254">
              <w:rPr>
                <w:sz w:val="20"/>
                <w:szCs w:val="20"/>
                <w:vertAlign w:val="subscript"/>
              </w:rPr>
              <w:t>4</w:t>
            </w:r>
            <w:r w:rsidRPr="003E0254">
              <w:rPr>
                <w:sz w:val="20"/>
                <w:szCs w:val="20"/>
              </w:rPr>
              <w:t xml:space="preserve"> + 0.1 M MnSO</w:t>
            </w:r>
            <w:r w:rsidRPr="003E0254">
              <w:rPr>
                <w:sz w:val="20"/>
                <w:szCs w:val="20"/>
                <w:vertAlign w:val="subscript"/>
              </w:rPr>
              <w:t>4</w:t>
            </w:r>
            <w:r w:rsidRPr="003E0254">
              <w:rPr>
                <w:sz w:val="20"/>
                <w:szCs w:val="20"/>
              </w:rPr>
              <w:t xml:space="preserve"> | (002)-</w:t>
            </w:r>
            <w:r w:rsidR="000E3AB3" w:rsidRPr="003E0254">
              <w:rPr>
                <w:sz w:val="20"/>
                <w:szCs w:val="20"/>
              </w:rPr>
              <w:t xml:space="preserve"> Zn metal</w:t>
            </w:r>
          </w:p>
        </w:tc>
        <w:tc>
          <w:tcPr>
            <w:tcW w:w="942" w:type="dxa"/>
            <w:vAlign w:val="center"/>
          </w:tcPr>
          <w:p w14:paraId="7430E1B7" w14:textId="77777777" w:rsidR="00C60055" w:rsidRPr="003E0254" w:rsidRDefault="00C60055" w:rsidP="005B1B4B">
            <w:pPr>
              <w:spacing w:line="276" w:lineRule="auto"/>
              <w:jc w:val="center"/>
              <w:rPr>
                <w:sz w:val="20"/>
                <w:szCs w:val="20"/>
              </w:rPr>
            </w:pPr>
            <w:r w:rsidRPr="003E0254">
              <w:rPr>
                <w:sz w:val="20"/>
                <w:szCs w:val="20"/>
              </w:rPr>
              <w:t>1000</w:t>
            </w:r>
          </w:p>
        </w:tc>
        <w:tc>
          <w:tcPr>
            <w:tcW w:w="1260" w:type="dxa"/>
            <w:vAlign w:val="center"/>
          </w:tcPr>
          <w:p w14:paraId="12500E90" w14:textId="77777777" w:rsidR="00C60055" w:rsidRPr="003E0254" w:rsidRDefault="00C60055" w:rsidP="005B1B4B">
            <w:pPr>
              <w:spacing w:line="276" w:lineRule="auto"/>
              <w:jc w:val="center"/>
              <w:rPr>
                <w:sz w:val="20"/>
                <w:szCs w:val="20"/>
              </w:rPr>
            </w:pPr>
            <w:r w:rsidRPr="003E0254">
              <w:rPr>
                <w:sz w:val="20"/>
                <w:szCs w:val="20"/>
              </w:rPr>
              <w:t>99.99%</w:t>
            </w:r>
          </w:p>
        </w:tc>
        <w:tc>
          <w:tcPr>
            <w:tcW w:w="990" w:type="dxa"/>
            <w:vAlign w:val="center"/>
          </w:tcPr>
          <w:p w14:paraId="244B5F24" w14:textId="77777777" w:rsidR="00C60055" w:rsidRPr="003E0254" w:rsidRDefault="00C60055" w:rsidP="005B1B4B">
            <w:pPr>
              <w:spacing w:line="276" w:lineRule="auto"/>
              <w:jc w:val="center"/>
              <w:rPr>
                <w:sz w:val="20"/>
                <w:szCs w:val="20"/>
              </w:rPr>
            </w:pPr>
            <w:r w:rsidRPr="003E0254">
              <w:rPr>
                <w:sz w:val="20"/>
                <w:szCs w:val="20"/>
              </w:rPr>
              <w:t>83.6</w:t>
            </w:r>
          </w:p>
        </w:tc>
        <w:tc>
          <w:tcPr>
            <w:tcW w:w="900" w:type="dxa"/>
            <w:vAlign w:val="center"/>
          </w:tcPr>
          <w:p w14:paraId="7A8D9DB9" w14:textId="77777777" w:rsidR="00C60055" w:rsidRPr="003E0254" w:rsidRDefault="00C60055" w:rsidP="005B1B4B">
            <w:pPr>
              <w:spacing w:line="276" w:lineRule="auto"/>
              <w:jc w:val="center"/>
              <w:rPr>
                <w:sz w:val="20"/>
                <w:szCs w:val="20"/>
              </w:rPr>
            </w:pPr>
            <w:r w:rsidRPr="003E0254">
              <w:rPr>
                <w:sz w:val="20"/>
                <w:szCs w:val="20"/>
              </w:rPr>
              <w:t>10 C</w:t>
            </w:r>
          </w:p>
        </w:tc>
        <w:tc>
          <w:tcPr>
            <w:tcW w:w="900" w:type="dxa"/>
            <w:vAlign w:val="center"/>
          </w:tcPr>
          <w:p w14:paraId="25E8C482" w14:textId="77777777" w:rsidR="00C60055" w:rsidRPr="003E0254" w:rsidRDefault="00C60055" w:rsidP="005B1B4B">
            <w:pPr>
              <w:spacing w:line="276" w:lineRule="auto"/>
              <w:jc w:val="center"/>
              <w:rPr>
                <w:sz w:val="20"/>
                <w:szCs w:val="20"/>
              </w:rPr>
            </w:pPr>
            <w:r w:rsidRPr="003E0254">
              <w:rPr>
                <w:sz w:val="20"/>
                <w:szCs w:val="20"/>
              </w:rPr>
              <w:t>0.5</w:t>
            </w:r>
          </w:p>
        </w:tc>
        <w:tc>
          <w:tcPr>
            <w:tcW w:w="630" w:type="dxa"/>
            <w:vAlign w:val="center"/>
          </w:tcPr>
          <w:p w14:paraId="6DC78445" w14:textId="77777777" w:rsidR="00C60055" w:rsidRPr="003E0254" w:rsidRDefault="00C60055" w:rsidP="005B1B4B">
            <w:pPr>
              <w:spacing w:line="276" w:lineRule="auto"/>
              <w:jc w:val="center"/>
              <w:rPr>
                <w:sz w:val="20"/>
                <w:szCs w:val="20"/>
              </w:rPr>
            </w:pPr>
            <w:r w:rsidRPr="003E0254">
              <w:rPr>
                <w:sz w:val="20"/>
                <w:szCs w:val="20"/>
              </w:rPr>
              <w:t>1.5</w:t>
            </w:r>
          </w:p>
        </w:tc>
        <w:tc>
          <w:tcPr>
            <w:tcW w:w="540" w:type="dxa"/>
            <w:vAlign w:val="center"/>
          </w:tcPr>
          <w:p w14:paraId="1A2A2B21" w14:textId="4B0ECB65" w:rsidR="00C60055" w:rsidRPr="003E0254" w:rsidRDefault="00C60055" w:rsidP="005B1B4B">
            <w:pPr>
              <w:spacing w:line="276" w:lineRule="auto"/>
              <w:jc w:val="center"/>
              <w:rPr>
                <w:sz w:val="20"/>
                <w:szCs w:val="20"/>
              </w:rPr>
            </w:pPr>
            <w:r w:rsidRPr="003E0254">
              <w:rPr>
                <w:sz w:val="20"/>
                <w:szCs w:val="20"/>
              </w:rPr>
              <w:t>Wang et al.</w:t>
            </w:r>
            <w:r w:rsidR="0055772F" w:rsidRPr="003E0254">
              <w:rPr>
                <w:sz w:val="20"/>
                <w:szCs w:val="20"/>
              </w:rPr>
              <w:fldChar w:fldCharType="begin" w:fldLock="1"/>
            </w:r>
            <w:r w:rsidR="00500B8D" w:rsidRPr="003E0254">
              <w:rPr>
                <w:sz w:val="20"/>
                <w:szCs w:val="20"/>
              </w:rPr>
              <w:instrText>ADDIN CSL_CITATION {"citationItems":[{"id":"ITEM-1","itemData":{"DOI":"10.1016/J.SCIB.2022.01.010","ISSN":"2095-9273","abstract":"Despite the advances of aqueous zinc (Zn) batteries as sustainable energy storage systems, their practical application remains challenging due to the issues of spontaneous corrosion and dendritic deposits at the Zn metal anode. In this work, conformal growth of zinc hydroxide sulfate (ZHS) with dominating (0 0 1) facet was realized on (0 0 2) plane-dominated Zn metal foil fabricated through a facile thermal annealing process. The ZHS possessed high Zn2+ conductivity (16.9 mS cm−1) and low electronic conductivity (1.28 × 104 Ω cm), and acted as a heterogeneous and robust solid electrolyte interface (SEI) layer on metallic Zn electrode, which regulated the electrochemical Zn plating behavior and suppressed side reactions simultaneously. Moreover, low self-diffusion barrier along the (0 0 2) plane promoted the 2D diffusion and horizontal electrochemical plating of metallic Zn for (0 0 2)-textured Zn electrode. Consequently, the as-achieved Zn electrode exhibited remarkable cycling stability over 7000 cycles at 2 mA cm−2 and 0.5 mAh cm−2 with a low overpotential of 25 mV in symmetric cells. Pairing with a MnO2 cathode, the as-achieved Zn electrode achieved stable cell cycling with 92.7% capacity retention after 1000 cycles at 10 C with a remarkable average Coulombic efficiency of 99.9%.","author":[{"dropping-particle":"","family":"Wang","given":"Jindi","non-dropping-particle":"","parse-names":false,"suffix":""},{"dropping-particle":"","family":"Zhang","given":"Bao","non-dropping-particle":"","parse-names":false,"suffix":""},{"dropping-particle":"","family":"Cai","given":"Zhao","non-dropping-particle":"","parse-names":false,"suffix":""},{"dropping-particle":"","family":"Zhan","given":"Renming","non-dropping-particle":"","parse-names":false,"suffix":""},{"dropping-particle":"","family":"Wang","given":"Wenyu","non-dropping-particle":"","parse-names":false,"suffix":""},{"dropping-particle":"","family":"Fu","given":"Lin","non-dropping-particle":"","parse-names":false,"suffix":""},{"dropping-particle":"","family":"Wan","given":"Mintao","non-dropping-particle":"","parse-names":false,"suffix":""},{"dropping-particle":"","family":"Xiao","given":"Run","non-dropping-particle":"","parse-names":false,"suffix":""},{"dropping-particle":"","family":"Ou","given":"Yangtao","non-dropping-particle":"","parse-names":false,"suffix":""},{"dropping-particle":"","family":"Wang","given":"Li","non-dropping-particle":"","parse-names":false,"suffix":""},{"dropping-particle":"","family":"Jiang","given":"Jianjun","non-dropping-particle":"","parse-names":false,"suffix":""},{"dropping-particle":"","family":"Seh","given":"Zhi Wei","non-dropping-particle":"","parse-names":false,"suffix":""},{"dropping-particle":"","family":"Li","given":"Hong","non-dropping-particle":"","parse-names":false,"suffix":""},{"dropping-particle":"","family":"Sun","given":"Yongming","non-dropping-particle":"","parse-names":false,"suffix":""}],"container-title":"Science Bulletin","id":"ITEM-1","issue":"7","issued":{"date-parts":[["2022","4","15"]]},"page":"716-724","publisher":"Elsevier","title":"Stable interphase chemistry of textured Zn anode for rechargeable aqueous batteries","type":"article-journal","volume":"67"},"uris":["http://www.mendeley.com/documents/?uuid=24133730-f20a-34f6-bbf2-fdb4a36e7320"]}],"mendeley":{"formattedCitation":"&lt;sup&gt;[73]&lt;/sup&gt;","plainTextFormattedCitation":"[73]","previouslyFormattedCitation":"&lt;sup&gt;[72]&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[73]</w:t>
            </w:r>
            <w:r w:rsidR="0055772F" w:rsidRPr="003E0254">
              <w:rPr>
                <w:sz w:val="20"/>
                <w:szCs w:val="20"/>
              </w:rPr>
              <w:fldChar w:fldCharType="end"/>
            </w:r>
          </w:p>
        </w:tc>
        <w:tc>
          <w:tcPr>
            <w:tcW w:w="1615" w:type="dxa"/>
            <w:vAlign w:val="center"/>
          </w:tcPr>
          <w:p w14:paraId="5EC53F5E" w14:textId="510B797D" w:rsidR="00C60055" w:rsidRPr="003E0254" w:rsidRDefault="00C60055" w:rsidP="005B1B4B">
            <w:pPr>
              <w:spacing w:line="276" w:lineRule="auto"/>
              <w:jc w:val="center"/>
              <w:rPr>
                <w:sz w:val="20"/>
                <w:szCs w:val="20"/>
              </w:rPr>
            </w:pPr>
            <w:r w:rsidRPr="003E0254">
              <w:rPr>
                <w:sz w:val="20"/>
                <w:szCs w:val="20"/>
              </w:rPr>
              <w:t>Good stable cycling, high C-rates, 7000 cycles in symmetric cell</w:t>
            </w:r>
          </w:p>
        </w:tc>
      </w:tr>
      <w:tr w:rsidR="005B1B4B" w:rsidRPr="003E0254" w14:paraId="6404F2DE" w14:textId="77777777" w:rsidTr="005B1B4B">
        <w:tc>
          <w:tcPr>
            <w:tcW w:w="1573" w:type="dxa"/>
            <w:vAlign w:val="center"/>
          </w:tcPr>
          <w:p w14:paraId="7F5808BD" w14:textId="78B3C2F6" w:rsidR="00C60055" w:rsidRPr="003E0254" w:rsidRDefault="00C60055" w:rsidP="005B1B4B">
            <w:pPr>
              <w:spacing w:line="276" w:lineRule="auto"/>
              <w:jc w:val="center"/>
              <w:rPr>
                <w:sz w:val="20"/>
                <w:szCs w:val="20"/>
              </w:rPr>
            </w:pPr>
            <w:r w:rsidRPr="003E0254">
              <w:rPr>
                <w:i/>
                <w:iCs/>
                <w:sz w:val="20"/>
                <w:szCs w:val="20"/>
              </w:rPr>
              <w:t>α</w:t>
            </w:r>
            <w:r w:rsidRPr="003E0254">
              <w:rPr>
                <w:sz w:val="20"/>
                <w:szCs w:val="20"/>
              </w:rPr>
              <w:t>- MnO</w:t>
            </w:r>
            <w:r w:rsidRPr="003E0254">
              <w:rPr>
                <w:sz w:val="20"/>
                <w:szCs w:val="20"/>
                <w:vertAlign w:val="subscript"/>
              </w:rPr>
              <w:t>2</w:t>
            </w:r>
            <w:r w:rsidRPr="003E0254">
              <w:rPr>
                <w:sz w:val="20"/>
                <w:szCs w:val="20"/>
              </w:rPr>
              <w:t xml:space="preserve"> | 1 M ZnSO</w:t>
            </w:r>
            <w:r w:rsidRPr="003E0254">
              <w:rPr>
                <w:sz w:val="20"/>
                <w:szCs w:val="20"/>
                <w:vertAlign w:val="subscript"/>
              </w:rPr>
              <w:t>4</w:t>
            </w:r>
            <w:r w:rsidRPr="003E0254">
              <w:rPr>
                <w:sz w:val="20"/>
                <w:szCs w:val="20"/>
              </w:rPr>
              <w:t xml:space="preserve"> + 0.1 M MnSO</w:t>
            </w:r>
            <w:r w:rsidRPr="003E0254">
              <w:rPr>
                <w:sz w:val="20"/>
                <w:szCs w:val="20"/>
                <w:vertAlign w:val="subscript"/>
              </w:rPr>
              <w:t>4</w:t>
            </w:r>
            <w:r w:rsidRPr="003E0254">
              <w:rPr>
                <w:sz w:val="20"/>
                <w:szCs w:val="20"/>
              </w:rPr>
              <w:t xml:space="preserve"> | 3D</w:t>
            </w:r>
            <w:r w:rsidR="000E3AB3" w:rsidRPr="003E0254">
              <w:rPr>
                <w:sz w:val="20"/>
                <w:szCs w:val="20"/>
              </w:rPr>
              <w:t xml:space="preserve"> Zn metal</w:t>
            </w:r>
          </w:p>
        </w:tc>
        <w:tc>
          <w:tcPr>
            <w:tcW w:w="942" w:type="dxa"/>
            <w:vAlign w:val="center"/>
          </w:tcPr>
          <w:p w14:paraId="6F543C22" w14:textId="77777777" w:rsidR="00C60055" w:rsidRPr="003E0254" w:rsidRDefault="00C60055" w:rsidP="005B1B4B">
            <w:pPr>
              <w:spacing w:line="276" w:lineRule="auto"/>
              <w:jc w:val="center"/>
              <w:rPr>
                <w:sz w:val="20"/>
                <w:szCs w:val="20"/>
              </w:rPr>
            </w:pPr>
            <w:r w:rsidRPr="003E0254">
              <w:rPr>
                <w:sz w:val="20"/>
                <w:szCs w:val="20"/>
              </w:rPr>
              <w:t>3000</w:t>
            </w:r>
          </w:p>
        </w:tc>
        <w:tc>
          <w:tcPr>
            <w:tcW w:w="1260" w:type="dxa"/>
            <w:vAlign w:val="center"/>
          </w:tcPr>
          <w:p w14:paraId="0D93DFC3" w14:textId="77777777" w:rsidR="00C60055" w:rsidRPr="003E0254" w:rsidRDefault="00C60055" w:rsidP="005B1B4B">
            <w:pPr>
              <w:spacing w:line="276" w:lineRule="auto"/>
              <w:jc w:val="center"/>
              <w:rPr>
                <w:sz w:val="20"/>
                <w:szCs w:val="20"/>
              </w:rPr>
            </w:pPr>
            <w:r w:rsidRPr="003E0254">
              <w:rPr>
                <w:sz w:val="20"/>
                <w:szCs w:val="20"/>
              </w:rPr>
              <w:t>-</w:t>
            </w:r>
          </w:p>
        </w:tc>
        <w:tc>
          <w:tcPr>
            <w:tcW w:w="990" w:type="dxa"/>
            <w:vAlign w:val="center"/>
          </w:tcPr>
          <w:p w14:paraId="7CFBF59B" w14:textId="77777777" w:rsidR="00C60055" w:rsidRPr="003E0254" w:rsidRDefault="00C60055" w:rsidP="005B1B4B">
            <w:pPr>
              <w:spacing w:line="276" w:lineRule="auto"/>
              <w:jc w:val="center"/>
              <w:rPr>
                <w:sz w:val="20"/>
                <w:szCs w:val="20"/>
              </w:rPr>
            </w:pPr>
            <w:r w:rsidRPr="003E0254">
              <w:rPr>
                <w:sz w:val="20"/>
                <w:szCs w:val="20"/>
              </w:rPr>
              <w:t>~60</w:t>
            </w:r>
          </w:p>
        </w:tc>
        <w:tc>
          <w:tcPr>
            <w:tcW w:w="900" w:type="dxa"/>
            <w:vAlign w:val="center"/>
          </w:tcPr>
          <w:p w14:paraId="690A3D3B" w14:textId="77777777" w:rsidR="00C60055" w:rsidRPr="003E0254" w:rsidRDefault="00C60055" w:rsidP="005B1B4B">
            <w:pPr>
              <w:spacing w:line="276" w:lineRule="auto"/>
              <w:jc w:val="center"/>
              <w:rPr>
                <w:sz w:val="20"/>
                <w:szCs w:val="20"/>
              </w:rPr>
            </w:pPr>
            <w:r w:rsidRPr="003E0254">
              <w:rPr>
                <w:sz w:val="20"/>
                <w:szCs w:val="20"/>
              </w:rPr>
              <w:t>2 A g</w:t>
            </w:r>
            <w:r w:rsidRPr="003E0254">
              <w:rPr>
                <w:sz w:val="20"/>
                <w:szCs w:val="20"/>
                <w:vertAlign w:val="superscript"/>
              </w:rPr>
              <w:t>-1</w:t>
            </w:r>
          </w:p>
        </w:tc>
        <w:tc>
          <w:tcPr>
            <w:tcW w:w="900" w:type="dxa"/>
            <w:vAlign w:val="center"/>
          </w:tcPr>
          <w:p w14:paraId="48DBFF70" w14:textId="05D9142B" w:rsidR="00C60055" w:rsidRPr="003E0254" w:rsidRDefault="00C60055" w:rsidP="005B1B4B">
            <w:pPr>
              <w:spacing w:line="276" w:lineRule="auto"/>
              <w:jc w:val="center"/>
              <w:rPr>
                <w:sz w:val="20"/>
                <w:szCs w:val="20"/>
              </w:rPr>
            </w:pPr>
            <w:r w:rsidRPr="003E0254">
              <w:rPr>
                <w:sz w:val="20"/>
                <w:szCs w:val="20"/>
              </w:rPr>
              <w:t xml:space="preserve">1-1.5 </w:t>
            </w:r>
          </w:p>
        </w:tc>
        <w:tc>
          <w:tcPr>
            <w:tcW w:w="630" w:type="dxa"/>
            <w:vAlign w:val="center"/>
          </w:tcPr>
          <w:p w14:paraId="3AE340F5" w14:textId="77777777" w:rsidR="00C60055" w:rsidRPr="003E0254" w:rsidRDefault="00C60055" w:rsidP="005B1B4B">
            <w:pPr>
              <w:spacing w:line="276" w:lineRule="auto"/>
              <w:jc w:val="center"/>
              <w:rPr>
                <w:sz w:val="20"/>
                <w:szCs w:val="20"/>
              </w:rPr>
            </w:pPr>
            <w:r w:rsidRPr="003E0254">
              <w:rPr>
                <w:sz w:val="20"/>
                <w:szCs w:val="20"/>
              </w:rPr>
              <w:t>1.4</w:t>
            </w:r>
          </w:p>
        </w:tc>
        <w:tc>
          <w:tcPr>
            <w:tcW w:w="540" w:type="dxa"/>
            <w:vAlign w:val="center"/>
          </w:tcPr>
          <w:p w14:paraId="3B3FC59B" w14:textId="00113E9F" w:rsidR="00C60055" w:rsidRPr="003E0254" w:rsidRDefault="00C60055" w:rsidP="005B1B4B">
            <w:pPr>
              <w:spacing w:line="276" w:lineRule="auto"/>
              <w:jc w:val="center"/>
              <w:rPr>
                <w:sz w:val="20"/>
                <w:szCs w:val="20"/>
              </w:rPr>
            </w:pPr>
            <w:r w:rsidRPr="003E0254">
              <w:rPr>
                <w:sz w:val="20"/>
                <w:szCs w:val="20"/>
              </w:rPr>
              <w:t xml:space="preserve">Wang et </w:t>
            </w:r>
            <w:r w:rsidR="0055772F" w:rsidRPr="003E0254">
              <w:rPr>
                <w:sz w:val="20"/>
                <w:szCs w:val="20"/>
              </w:rPr>
              <w:t>al.</w:t>
            </w:r>
            <w:r w:rsidR="0055772F" w:rsidRPr="003E0254">
              <w:rPr>
                <w:sz w:val="20"/>
                <w:szCs w:val="20"/>
              </w:rPr>
              <w:fldChar w:fldCharType="begin" w:fldLock="1"/>
            </w:r>
            <w:r w:rsidR="00500B8D" w:rsidRPr="003E0254">
              <w:rPr>
                <w:sz w:val="20"/>
                <w:szCs w:val="20"/>
              </w:rPr>
              <w:instrText>ADDIN CSL_CITATION {"citationItems":[{"id":"ITEM-1","itemData":{"DOI":"10.1002/AENM.202102797","ISSN":"1614-6840","abstract":"Aqueous zinc ion batteries (AZIBs) represent a promising technology for grid-scale energy storage due to their innate safety, low cost, and environmental friendliness. However, planar Zn foil intrinsically suffers from limited ion and electron transport pathways, poor wettability, and surface passivation, preventing the homogenous deposition of metallic Zn and poor durability of AZIBs. Herein, a 3D Zn foil with hierarchical porous architecture is developed through a facile non-aqueous organic acid etching strategy. The 3D Zn anode is pore-rich and cavity-rich, leading to significantly enhanced accessibility to aqueous electrolytes. Accordingly, this 3D Zn anode enables preferential plating of Zn in the porous texture with suppressed dendrite growth, as confirmed by ex situ scanning electron microscopy and finite element analysis. The cycle life of the 3D Zn anode is sustained over 930 and 1500 h at 4.0 mA cm−2-2.0 mAh cm−2 and 1.0 mA cm−2-1.0 mAh cm−2, respectively. Furthermore, the assembled 3D Zn and α-MnO2 full batteries demonstrate a prolonged cycle life of 3000 cycles with improved rate performance. The etching strategy using non-aqueous organic acid paves a new way to fabricate 3D metal anodes for Zn and other metal anode batteries.","author":[{"dropping-particle":"","family":"Wang","given":"Wenxi","non-dropping-particle":"","parse-names":false,"suffix":""},{"dropping-particle":"","family":"Huang","given":"Gang","non-dropping-particle":"","parse-names":false,"suffix":""},{"dropping-particle":"","family":"Wang","given":"Yizhou","non-dropping-particle":"","parse-names":false,"suffix":""},{"dropping-particle":"","family":"Cao","given":"Zhen","non-dropping-particle":"","parse-names":false,"suffix":""},{"dropping-particle":"","family":"Cavallo","given":"Luigi","non-dropping-particle":"","parse-names":false,"suffix":""},{"dropping-particle":"","family":"Hedhili","given":"Mohamed N.","non-dropping-particle":"","parse-names":false,"suffix":""},{"dropping-particle":"","family":"Alshareef","given":"Husam N.","non-dropping-particle":"","parse-names":false,"suffix":""}],"container-title":"Advanced Energy Materials","id":"ITEM-1","issue":"6","issued":{"date-parts":[["2022","2","1"]]},"page":"2102797","publisher":"John Wiley &amp; Sons, Ltd","title":"Organic Acid Etching Strategy for Dendrite Suppression in Aqueous Zinc-Ion Batteries","type":"article-journal","volume":"12"},"uris":["http://www.mendeley.com/documents/?uuid=21e1acaf-f7e2-3594-8122-b7c7bb5485a1"]}],"mendeley":{"formattedCitation":"&lt;sup&gt;[86]&lt;/sup&gt;","plainTextFormattedCitation":"[86]","previouslyFormattedCitation":"&lt;sup&gt;[85]&lt;/sup&gt;"},"properties":{"noteIndex":0},"schema":"https://github.com/citation-style-language/schema/raw/master/csl-citation.json"}</w:instrText>
            </w:r>
            <w:r w:rsidR="0055772F" w:rsidRPr="003E0254">
              <w:rPr>
                <w:sz w:val="20"/>
                <w:szCs w:val="20"/>
              </w:rPr>
              <w:fldChar w:fldCharType="separate"/>
            </w:r>
            <w:r w:rsidR="00500B8D" w:rsidRPr="003E0254">
              <w:rPr>
                <w:noProof/>
                <w:sz w:val="20"/>
                <w:szCs w:val="20"/>
                <w:vertAlign w:val="superscript"/>
              </w:rPr>
              <w:t>[86]</w:t>
            </w:r>
            <w:r w:rsidR="0055772F" w:rsidRPr="003E0254">
              <w:rPr>
                <w:sz w:val="20"/>
                <w:szCs w:val="20"/>
              </w:rPr>
              <w:fldChar w:fldCharType="end"/>
            </w:r>
          </w:p>
        </w:tc>
        <w:tc>
          <w:tcPr>
            <w:tcW w:w="1615" w:type="dxa"/>
            <w:vAlign w:val="center"/>
          </w:tcPr>
          <w:p w14:paraId="188C938B" w14:textId="2E326974" w:rsidR="00C60055" w:rsidRPr="003E0254" w:rsidRDefault="00C60055" w:rsidP="005B1B4B">
            <w:pPr>
              <w:spacing w:line="276" w:lineRule="auto"/>
              <w:jc w:val="center"/>
              <w:rPr>
                <w:sz w:val="20"/>
                <w:szCs w:val="20"/>
              </w:rPr>
            </w:pPr>
            <w:r w:rsidRPr="003E0254">
              <w:rPr>
                <w:sz w:val="20"/>
                <w:szCs w:val="20"/>
              </w:rPr>
              <w:t xml:space="preserve">Improved cycling life but </w:t>
            </w:r>
            <w:r w:rsidR="009755F7" w:rsidRPr="003E0254">
              <w:rPr>
                <w:sz w:val="20"/>
                <w:szCs w:val="20"/>
              </w:rPr>
              <w:t>low-capacity</w:t>
            </w:r>
            <w:r w:rsidRPr="003E0254">
              <w:rPr>
                <w:sz w:val="20"/>
                <w:szCs w:val="20"/>
              </w:rPr>
              <w:t xml:space="preserve"> retention</w:t>
            </w:r>
          </w:p>
        </w:tc>
      </w:tr>
      <w:tr w:rsidR="005B1B4B" w:rsidRPr="003E0254" w14:paraId="39C4A199" w14:textId="77777777" w:rsidTr="005B1B4B">
        <w:tc>
          <w:tcPr>
            <w:tcW w:w="1573" w:type="dxa"/>
            <w:vAlign w:val="center"/>
          </w:tcPr>
          <w:p w14:paraId="2CE61168" w14:textId="77777777" w:rsidR="00C60055" w:rsidRPr="003E0254" w:rsidRDefault="00C60055" w:rsidP="005B1B4B">
            <w:pPr>
              <w:spacing w:line="276" w:lineRule="auto"/>
              <w:jc w:val="center"/>
              <w:rPr>
                <w:sz w:val="20"/>
                <w:szCs w:val="20"/>
              </w:rPr>
            </w:pPr>
            <w:r w:rsidRPr="003E0254">
              <w:rPr>
                <w:sz w:val="20"/>
                <w:szCs w:val="20"/>
              </w:rPr>
              <w:t>MnO</w:t>
            </w:r>
            <w:r w:rsidRPr="003E0254">
              <w:rPr>
                <w:sz w:val="20"/>
                <w:szCs w:val="20"/>
                <w:vertAlign w:val="subscript"/>
              </w:rPr>
              <w:t>2</w:t>
            </w:r>
            <w:r w:rsidRPr="003E0254">
              <w:rPr>
                <w:sz w:val="20"/>
                <w:szCs w:val="20"/>
              </w:rPr>
              <w:t xml:space="preserve"> | 3 M ZnSO</w:t>
            </w:r>
            <w:r w:rsidRPr="003E0254">
              <w:rPr>
                <w:sz w:val="20"/>
                <w:szCs w:val="20"/>
                <w:vertAlign w:val="subscript"/>
              </w:rPr>
              <w:t>4</w:t>
            </w:r>
            <w:r w:rsidRPr="003E0254">
              <w:rPr>
                <w:sz w:val="20"/>
                <w:szCs w:val="20"/>
              </w:rPr>
              <w:t xml:space="preserve"> + 0.1 M MnSO</w:t>
            </w:r>
            <w:r w:rsidRPr="003E0254">
              <w:rPr>
                <w:sz w:val="20"/>
                <w:szCs w:val="20"/>
                <w:vertAlign w:val="subscript"/>
              </w:rPr>
              <w:t>4</w:t>
            </w:r>
            <w:r w:rsidRPr="003E0254">
              <w:rPr>
                <w:sz w:val="20"/>
                <w:szCs w:val="20"/>
              </w:rPr>
              <w:t xml:space="preserve"> | Zn-deposited carbon cloth</w:t>
            </w:r>
          </w:p>
        </w:tc>
        <w:tc>
          <w:tcPr>
            <w:tcW w:w="942" w:type="dxa"/>
            <w:vAlign w:val="center"/>
          </w:tcPr>
          <w:p w14:paraId="113685B2" w14:textId="77777777" w:rsidR="00C60055" w:rsidRPr="003E0254" w:rsidRDefault="00C60055" w:rsidP="005B1B4B">
            <w:pPr>
              <w:spacing w:line="276" w:lineRule="auto"/>
              <w:jc w:val="center"/>
              <w:rPr>
                <w:sz w:val="20"/>
                <w:szCs w:val="20"/>
              </w:rPr>
            </w:pPr>
            <w:r w:rsidRPr="003E0254">
              <w:rPr>
                <w:sz w:val="20"/>
                <w:szCs w:val="20"/>
              </w:rPr>
              <w:t>6800</w:t>
            </w:r>
          </w:p>
        </w:tc>
        <w:tc>
          <w:tcPr>
            <w:tcW w:w="1260" w:type="dxa"/>
            <w:vAlign w:val="center"/>
          </w:tcPr>
          <w:p w14:paraId="73B3B901" w14:textId="77777777" w:rsidR="00C60055" w:rsidRPr="003E0254" w:rsidRDefault="00C60055" w:rsidP="005B1B4B">
            <w:pPr>
              <w:spacing w:line="276" w:lineRule="auto"/>
              <w:jc w:val="center"/>
              <w:rPr>
                <w:sz w:val="20"/>
                <w:szCs w:val="20"/>
              </w:rPr>
            </w:pPr>
            <w:r w:rsidRPr="003E0254">
              <w:rPr>
                <w:sz w:val="20"/>
                <w:szCs w:val="20"/>
              </w:rPr>
              <w:t>93.6%</w:t>
            </w:r>
          </w:p>
        </w:tc>
        <w:tc>
          <w:tcPr>
            <w:tcW w:w="990" w:type="dxa"/>
            <w:vAlign w:val="center"/>
          </w:tcPr>
          <w:p w14:paraId="50CD562C" w14:textId="77777777" w:rsidR="00C60055" w:rsidRPr="003E0254" w:rsidRDefault="00C60055" w:rsidP="005B1B4B">
            <w:pPr>
              <w:spacing w:line="276" w:lineRule="auto"/>
              <w:jc w:val="center"/>
              <w:rPr>
                <w:sz w:val="20"/>
                <w:szCs w:val="20"/>
              </w:rPr>
            </w:pPr>
            <w:r w:rsidRPr="003E0254">
              <w:rPr>
                <w:sz w:val="20"/>
                <w:szCs w:val="20"/>
              </w:rPr>
              <w:t>~100</w:t>
            </w:r>
          </w:p>
        </w:tc>
        <w:tc>
          <w:tcPr>
            <w:tcW w:w="900" w:type="dxa"/>
            <w:vAlign w:val="center"/>
          </w:tcPr>
          <w:p w14:paraId="706FA4BB" w14:textId="77777777" w:rsidR="00C60055" w:rsidRPr="003E0254" w:rsidRDefault="00C60055" w:rsidP="005B1B4B">
            <w:pPr>
              <w:spacing w:line="276" w:lineRule="auto"/>
              <w:jc w:val="center"/>
              <w:rPr>
                <w:sz w:val="20"/>
                <w:szCs w:val="20"/>
              </w:rPr>
            </w:pPr>
            <w:r w:rsidRPr="003E0254">
              <w:rPr>
                <w:sz w:val="20"/>
                <w:szCs w:val="20"/>
              </w:rPr>
              <w:t>2 A g</w:t>
            </w:r>
            <w:r w:rsidRPr="003E0254">
              <w:rPr>
                <w:sz w:val="20"/>
                <w:szCs w:val="20"/>
                <w:vertAlign w:val="superscript"/>
              </w:rPr>
              <w:t>-1</w:t>
            </w:r>
          </w:p>
        </w:tc>
        <w:tc>
          <w:tcPr>
            <w:tcW w:w="900" w:type="dxa"/>
            <w:vAlign w:val="center"/>
          </w:tcPr>
          <w:p w14:paraId="060F9678" w14:textId="73E75D08" w:rsidR="00C60055" w:rsidRPr="003E0254" w:rsidRDefault="00C60055" w:rsidP="005B1B4B">
            <w:pPr>
              <w:spacing w:line="276" w:lineRule="auto"/>
              <w:jc w:val="center"/>
              <w:rPr>
                <w:sz w:val="20"/>
                <w:szCs w:val="20"/>
              </w:rPr>
            </w:pPr>
            <w:r w:rsidRPr="003E0254">
              <w:rPr>
                <w:sz w:val="20"/>
                <w:szCs w:val="20"/>
              </w:rPr>
              <w:t xml:space="preserve">2 </w:t>
            </w:r>
          </w:p>
        </w:tc>
        <w:tc>
          <w:tcPr>
            <w:tcW w:w="630" w:type="dxa"/>
            <w:vAlign w:val="center"/>
          </w:tcPr>
          <w:p w14:paraId="1F0C28E0" w14:textId="77777777" w:rsidR="00C60055" w:rsidRPr="003E0254" w:rsidRDefault="00C60055" w:rsidP="005B1B4B">
            <w:pPr>
              <w:spacing w:line="276" w:lineRule="auto"/>
              <w:jc w:val="center"/>
              <w:rPr>
                <w:sz w:val="20"/>
                <w:szCs w:val="20"/>
              </w:rPr>
            </w:pPr>
            <w:r w:rsidRPr="003E0254">
              <w:rPr>
                <w:sz w:val="20"/>
                <w:szCs w:val="20"/>
              </w:rPr>
              <w:t>1.4</w:t>
            </w:r>
          </w:p>
        </w:tc>
        <w:tc>
          <w:tcPr>
            <w:tcW w:w="540" w:type="dxa"/>
            <w:vAlign w:val="center"/>
          </w:tcPr>
          <w:p w14:paraId="3088E474" w14:textId="1A1ACC3E" w:rsidR="00C60055" w:rsidRPr="003E0254" w:rsidRDefault="00C60055" w:rsidP="005B1B4B">
            <w:pPr>
              <w:spacing w:line="276" w:lineRule="auto"/>
              <w:jc w:val="center"/>
              <w:rPr>
                <w:sz w:val="20"/>
                <w:szCs w:val="20"/>
              </w:rPr>
            </w:pPr>
            <w:r w:rsidRPr="003E0254">
              <w:rPr>
                <w:sz w:val="20"/>
                <w:szCs w:val="20"/>
              </w:rPr>
              <w:t>Li et al.</w:t>
            </w:r>
            <w:r w:rsidR="00DA2B64" w:rsidRPr="003E0254">
              <w:rPr>
                <w:sz w:val="20"/>
                <w:szCs w:val="20"/>
              </w:rPr>
              <w:fldChar w:fldCharType="begin" w:fldLock="1"/>
            </w:r>
            <w:r w:rsidR="00500B8D" w:rsidRPr="003E0254">
              <w:rPr>
                <w:sz w:val="20"/>
                <w:szCs w:val="20"/>
              </w:rPr>
              <w:instrText>ADDIN CSL_CITATION {"citationItems":[{"id":"ITEM-1","itemData":{"DOI":"10.1021/ACSAEM.1C00103/ASSET/IMAGES/LARGE/AE1C00103_0006.JPEG","ISSN":"25740962","abstract":"Zinc-based batteries have ushered in the recent times due to their high theoretical capacity, low-cost, and great safety. However, the severe dendrite growth of Zn anodes has restricted their further development. In this work, an amine-functionalized carbon cloth (CC) was fabricated and adopted as the host to prepare a dendrite-free Zn anode. Experimental results and density functional theoretical calculations demonstrate that the amine functionalization not only improves the binding energy between the Zn atoms and CC but also inhibits the Zn atom adsorption-induced decrease of conductivity. As a result, the dendrite-suppressed anode enjoys stable voltage profiles over 250 h at a current density of 0.5 mA cm-2 in a symmetrical half-cell, which is nearly five times as long as that of the conventional Zn anode. Consequently, the Zn/MnO2 full-cell modified with the amine-functionalized CC shows an excellent capacity retention of 94.0% with a Coulombic efficiency of 93.6% after 6800 cycles.","author":[{"dropping-particle":"","family":"Li","given":"Yao","non-dropping-particle":"","parse-names":false,"suffix":""},{"dropping-particle":"","family":"Tan","given":"Zhixiang","non-dropping-particle":"","parse-names":false,"suffix":""},{"dropping-particle":"","family":"Liang","given":"Yongshi","non-dropping-particle":"","parse-names":false,"suffix":""},{"dropping-particle":"","family":"Xiao","given":"Yong","non-dropping-particle":"","parse-names":false,"suffix":""},{"dropping-particle":"","family":"Cen","given":"Dandan","non-dropping-particle":"","parse-names":false,"suffix":""},{"dropping-particle":"","family":"Liu","given":"Yingliang","non-dropping-particle":"","parse-names":false,"suffix":""},{"dropping-particle":"","family":"Liang","given":"Yeru","non-dropping-particle":"","parse-names":false,"suffix":""}],"container-title":"ACS Applied Energy Materials","id":"ITEM-1","issue":"5","issued":{"date-parts":[["2021","5","24"]]},"page":"4482-4488","publisher":"American Chemical Society","title":"Amine-Functionalized Carbon Cloth Host for Dendrite-Free Zn Metal Anodes","type":"article-journal","volume":"4"},"uris":["http://www.mendeley.com/documents/?uuid=4ec0369a-57a4-3f5e-8022-e605ba72947d"]}],"mendeley":{"formattedCitation":"&lt;sup&gt;[89]&lt;/sup&gt;","plainTextFormattedCitation":"[89]","previouslyFormattedCitation":"&lt;sup&gt;[88]&lt;/sup&gt;"},"properties":{"noteIndex":0},"schema":"https://github.com/citation-style-language/schema/raw/master/csl-citation.json"}</w:instrText>
            </w:r>
            <w:r w:rsidR="00DA2B64" w:rsidRPr="003E0254">
              <w:rPr>
                <w:sz w:val="20"/>
                <w:szCs w:val="20"/>
              </w:rPr>
              <w:fldChar w:fldCharType="separate"/>
            </w:r>
            <w:r w:rsidR="00500B8D" w:rsidRPr="003E0254">
              <w:rPr>
                <w:noProof/>
                <w:sz w:val="20"/>
                <w:szCs w:val="20"/>
                <w:vertAlign w:val="superscript"/>
              </w:rPr>
              <w:t>[89]</w:t>
            </w:r>
            <w:r w:rsidR="00DA2B64" w:rsidRPr="003E0254">
              <w:rPr>
                <w:sz w:val="20"/>
                <w:szCs w:val="20"/>
              </w:rPr>
              <w:fldChar w:fldCharType="end"/>
            </w:r>
          </w:p>
        </w:tc>
        <w:tc>
          <w:tcPr>
            <w:tcW w:w="1615" w:type="dxa"/>
            <w:vAlign w:val="center"/>
          </w:tcPr>
          <w:p w14:paraId="0EB11022" w14:textId="77777777" w:rsidR="00C60055" w:rsidRPr="003E0254" w:rsidRDefault="00C60055" w:rsidP="005B1B4B">
            <w:pPr>
              <w:spacing w:line="276" w:lineRule="auto"/>
              <w:jc w:val="center"/>
              <w:rPr>
                <w:sz w:val="20"/>
                <w:szCs w:val="20"/>
              </w:rPr>
            </w:pPr>
            <w:r w:rsidRPr="003E0254">
              <w:rPr>
                <w:sz w:val="20"/>
                <w:szCs w:val="20"/>
              </w:rPr>
              <w:t>Good cycling life, capacity retention of 94.0% after 6800 cycles</w:t>
            </w:r>
          </w:p>
        </w:tc>
      </w:tr>
      <w:tr w:rsidR="00575165" w:rsidRPr="003E0254" w14:paraId="5D4E0BEC" w14:textId="77777777" w:rsidTr="005B1B4B">
        <w:tc>
          <w:tcPr>
            <w:tcW w:w="1573" w:type="dxa"/>
            <w:vAlign w:val="center"/>
          </w:tcPr>
          <w:p w14:paraId="1E29D7E2" w14:textId="548AD927" w:rsidR="00575165" w:rsidRPr="003E0254" w:rsidRDefault="00575165" w:rsidP="005B1B4B">
            <w:pPr>
              <w:spacing w:line="276" w:lineRule="auto"/>
              <w:jc w:val="center"/>
              <w:rPr>
                <w:sz w:val="20"/>
                <w:szCs w:val="20"/>
              </w:rPr>
            </w:pPr>
            <w:r w:rsidRPr="003E0254">
              <w:rPr>
                <w:sz w:val="20"/>
                <w:szCs w:val="20"/>
              </w:rPr>
              <w:t>PVO | 2 M ZnSO</w:t>
            </w:r>
            <w:r w:rsidRPr="003E0254">
              <w:rPr>
                <w:sz w:val="20"/>
                <w:szCs w:val="20"/>
                <w:vertAlign w:val="subscript"/>
              </w:rPr>
              <w:t>4</w:t>
            </w:r>
            <w:r w:rsidRPr="003E0254">
              <w:rPr>
                <w:sz w:val="20"/>
                <w:szCs w:val="20"/>
              </w:rPr>
              <w:t xml:space="preserve"> |</w:t>
            </w:r>
            <w:r w:rsidRPr="003E0254">
              <w:rPr>
                <w:b/>
                <w:bCs/>
                <w:sz w:val="20"/>
                <w:szCs w:val="20"/>
              </w:rPr>
              <w:t xml:space="preserve"> </w:t>
            </w:r>
            <w:r w:rsidRPr="003E0254">
              <w:rPr>
                <w:sz w:val="20"/>
                <w:szCs w:val="20"/>
              </w:rPr>
              <w:t xml:space="preserve">3D Ni-Zn </w:t>
            </w:r>
          </w:p>
        </w:tc>
        <w:tc>
          <w:tcPr>
            <w:tcW w:w="942" w:type="dxa"/>
            <w:vAlign w:val="center"/>
          </w:tcPr>
          <w:p w14:paraId="464BAF80" w14:textId="5614AEEF" w:rsidR="00575165" w:rsidRPr="003E0254" w:rsidRDefault="00575165" w:rsidP="005B1B4B">
            <w:pPr>
              <w:spacing w:line="276" w:lineRule="auto"/>
              <w:jc w:val="center"/>
              <w:rPr>
                <w:sz w:val="20"/>
                <w:szCs w:val="20"/>
              </w:rPr>
            </w:pPr>
            <w:r w:rsidRPr="003E0254">
              <w:rPr>
                <w:sz w:val="20"/>
                <w:szCs w:val="20"/>
              </w:rPr>
              <w:t>1000</w:t>
            </w:r>
          </w:p>
        </w:tc>
        <w:tc>
          <w:tcPr>
            <w:tcW w:w="1260" w:type="dxa"/>
            <w:vAlign w:val="center"/>
          </w:tcPr>
          <w:p w14:paraId="60989664" w14:textId="452296B0" w:rsidR="00575165" w:rsidRPr="003E0254" w:rsidRDefault="00575165" w:rsidP="005B1B4B">
            <w:pPr>
              <w:spacing w:line="276" w:lineRule="auto"/>
              <w:jc w:val="center"/>
              <w:rPr>
                <w:sz w:val="20"/>
                <w:szCs w:val="20"/>
              </w:rPr>
            </w:pPr>
            <w:r w:rsidRPr="003E0254">
              <w:rPr>
                <w:sz w:val="20"/>
                <w:szCs w:val="20"/>
              </w:rPr>
              <w:t>~99.99</w:t>
            </w:r>
          </w:p>
        </w:tc>
        <w:tc>
          <w:tcPr>
            <w:tcW w:w="990" w:type="dxa"/>
            <w:vAlign w:val="center"/>
          </w:tcPr>
          <w:p w14:paraId="58CE72D0" w14:textId="5754965B" w:rsidR="00575165" w:rsidRPr="003E0254" w:rsidRDefault="00575165" w:rsidP="005B1B4B">
            <w:pPr>
              <w:spacing w:line="276" w:lineRule="auto"/>
              <w:jc w:val="center"/>
              <w:rPr>
                <w:sz w:val="20"/>
                <w:szCs w:val="20"/>
              </w:rPr>
            </w:pPr>
            <w:r w:rsidRPr="003E0254">
              <w:rPr>
                <w:sz w:val="20"/>
                <w:szCs w:val="20"/>
              </w:rPr>
              <w:t xml:space="preserve">~280 </w:t>
            </w:r>
          </w:p>
        </w:tc>
        <w:tc>
          <w:tcPr>
            <w:tcW w:w="900" w:type="dxa"/>
            <w:vAlign w:val="center"/>
          </w:tcPr>
          <w:p w14:paraId="03177267" w14:textId="63FE5C90" w:rsidR="00575165" w:rsidRPr="003E0254" w:rsidRDefault="00575165" w:rsidP="005B1B4B">
            <w:pPr>
              <w:spacing w:line="276" w:lineRule="auto"/>
              <w:jc w:val="center"/>
              <w:rPr>
                <w:sz w:val="20"/>
                <w:szCs w:val="20"/>
              </w:rPr>
            </w:pPr>
            <w:r w:rsidRPr="003E0254">
              <w:rPr>
                <w:sz w:val="20"/>
                <w:szCs w:val="20"/>
              </w:rPr>
              <w:t>10 A g</w:t>
            </w:r>
            <w:r w:rsidRPr="003E0254">
              <w:rPr>
                <w:sz w:val="20"/>
                <w:szCs w:val="20"/>
                <w:vertAlign w:val="superscript"/>
              </w:rPr>
              <w:t>-1</w:t>
            </w:r>
          </w:p>
        </w:tc>
        <w:tc>
          <w:tcPr>
            <w:tcW w:w="900" w:type="dxa"/>
            <w:vAlign w:val="center"/>
          </w:tcPr>
          <w:p w14:paraId="358C8EEB" w14:textId="35A28AC5" w:rsidR="00575165" w:rsidRPr="003E0254" w:rsidRDefault="005747E4" w:rsidP="005B1B4B">
            <w:pPr>
              <w:spacing w:line="276" w:lineRule="auto"/>
              <w:jc w:val="center"/>
              <w:rPr>
                <w:sz w:val="20"/>
                <w:szCs w:val="20"/>
              </w:rPr>
            </w:pPr>
            <w:r w:rsidRPr="003E0254">
              <w:rPr>
                <w:sz w:val="20"/>
                <w:szCs w:val="20"/>
              </w:rPr>
              <w:t>1</w:t>
            </w:r>
          </w:p>
        </w:tc>
        <w:tc>
          <w:tcPr>
            <w:tcW w:w="630" w:type="dxa"/>
            <w:vAlign w:val="center"/>
          </w:tcPr>
          <w:p w14:paraId="6C539B5F" w14:textId="3A1F1724" w:rsidR="00575165" w:rsidRPr="003E0254" w:rsidRDefault="00575165" w:rsidP="005B1B4B">
            <w:pPr>
              <w:spacing w:line="276" w:lineRule="auto"/>
              <w:jc w:val="center"/>
              <w:rPr>
                <w:sz w:val="20"/>
                <w:szCs w:val="20"/>
              </w:rPr>
            </w:pPr>
            <w:r w:rsidRPr="003E0254">
              <w:rPr>
                <w:sz w:val="20"/>
                <w:szCs w:val="20"/>
              </w:rPr>
              <w:t>~0.8</w:t>
            </w:r>
          </w:p>
        </w:tc>
        <w:tc>
          <w:tcPr>
            <w:tcW w:w="540" w:type="dxa"/>
            <w:vAlign w:val="center"/>
          </w:tcPr>
          <w:p w14:paraId="5E7C7FB9" w14:textId="13667DAD" w:rsidR="00575165" w:rsidRPr="003E0254" w:rsidRDefault="005747E4" w:rsidP="005B1B4B">
            <w:pPr>
              <w:spacing w:line="276" w:lineRule="auto"/>
              <w:jc w:val="center"/>
              <w:rPr>
                <w:sz w:val="20"/>
                <w:szCs w:val="20"/>
              </w:rPr>
            </w:pPr>
            <w:r w:rsidRPr="003E0254">
              <w:rPr>
                <w:sz w:val="20"/>
                <w:szCs w:val="20"/>
              </w:rPr>
              <w:t>Zhang et al.</w:t>
            </w:r>
            <w:r w:rsidRPr="003E0254">
              <w:rPr>
                <w:sz w:val="20"/>
                <w:szCs w:val="20"/>
              </w:rPr>
              <w:fldChar w:fldCharType="begin" w:fldLock="1"/>
            </w:r>
            <w:r w:rsidR="00500B8D" w:rsidRPr="003E0254">
              <w:rPr>
                <w:sz w:val="20"/>
                <w:szCs w:val="20"/>
              </w:rPr>
              <w:instrText>ADDIN CSL_CITATION {"citationItems":[{"id":"ITEM-1","itemData":{"DOI":"10.1002/aenm.202003927","ISSN":"1614-6832","abstract":"Rechargeable Zn ion batteries are regarded as a preferable candidate for next</w:instrText>
            </w:r>
            <w:r w:rsidR="00500B8D" w:rsidRPr="003E0254">
              <w:rPr>
                <w:rFonts w:ascii="Cambria Math" w:hAnsi="Cambria Math" w:cs="Cambria Math"/>
                <w:sz w:val="20"/>
                <w:szCs w:val="20"/>
              </w:rPr>
              <w:instrText>‐</w:instrText>
            </w:r>
            <w:r w:rsidR="00500B8D" w:rsidRPr="003E0254">
              <w:rPr>
                <w:sz w:val="20"/>
                <w:szCs w:val="20"/>
              </w:rPr>
              <w:instrText>generation energy storage systems owing to their merits of environmental benignity, low cost, and high safety. Nevertheless, unsatisfactory cycling stability stemming from dendrite growth and undesired side reactions of Zn anodes prevent their widespread commercial adoption. Here, a novel 3D Zn metal anode with multi</w:instrText>
            </w:r>
            <w:r w:rsidR="00500B8D" w:rsidRPr="003E0254">
              <w:rPr>
                <w:rFonts w:ascii="Cambria Math" w:hAnsi="Cambria Math" w:cs="Cambria Math"/>
                <w:sz w:val="20"/>
                <w:szCs w:val="20"/>
              </w:rPr>
              <w:instrText>‐</w:instrText>
            </w:r>
            <w:r w:rsidR="00500B8D" w:rsidRPr="003E0254">
              <w:rPr>
                <w:sz w:val="20"/>
                <w:szCs w:val="20"/>
              </w:rPr>
              <w:instrText>channel lattice structures employing the combined 3D printing and electroless plating/electroplating techniques is reported. The constructed 3D Ni</w:instrText>
            </w:r>
            <w:r w:rsidR="00500B8D" w:rsidRPr="003E0254">
              <w:rPr>
                <w:rFonts w:ascii="Aptos" w:hAnsi="Aptos" w:cs="Aptos"/>
                <w:sz w:val="20"/>
                <w:szCs w:val="20"/>
              </w:rPr>
              <w:instrText>–</w:instrText>
            </w:r>
            <w:r w:rsidR="00500B8D" w:rsidRPr="003E0254">
              <w:rPr>
                <w:sz w:val="20"/>
                <w:szCs w:val="20"/>
              </w:rPr>
              <w:instrText>Zn anode with multi</w:instrText>
            </w:r>
            <w:r w:rsidR="00500B8D" w:rsidRPr="003E0254">
              <w:rPr>
                <w:rFonts w:ascii="Cambria Math" w:hAnsi="Cambria Math" w:cs="Cambria Math"/>
                <w:sz w:val="20"/>
                <w:szCs w:val="20"/>
              </w:rPr>
              <w:instrText>‐</w:instrText>
            </w:r>
            <w:r w:rsidR="00500B8D" w:rsidRPr="003E0254">
              <w:rPr>
                <w:sz w:val="20"/>
                <w:szCs w:val="20"/>
              </w:rPr>
              <w:instrText>channel lattice structure and super</w:instrText>
            </w:r>
            <w:r w:rsidR="00500B8D" w:rsidRPr="003E0254">
              <w:rPr>
                <w:rFonts w:ascii="Cambria Math" w:hAnsi="Cambria Math" w:cs="Cambria Math"/>
                <w:sz w:val="20"/>
                <w:szCs w:val="20"/>
              </w:rPr>
              <w:instrText>‐</w:instrText>
            </w:r>
            <w:r w:rsidR="00500B8D" w:rsidRPr="003E0254">
              <w:rPr>
                <w:sz w:val="20"/>
                <w:szCs w:val="20"/>
              </w:rPr>
              <w:instrText>hydrophilic surface can effectively ameliorate the electric</w:instrText>
            </w:r>
            <w:r w:rsidR="00500B8D" w:rsidRPr="003E0254">
              <w:rPr>
                <w:rFonts w:ascii="Cambria Math" w:hAnsi="Cambria Math" w:cs="Cambria Math"/>
                <w:sz w:val="20"/>
                <w:szCs w:val="20"/>
              </w:rPr>
              <w:instrText>‐</w:instrText>
            </w:r>
            <w:r w:rsidR="00500B8D" w:rsidRPr="003E0254">
              <w:rPr>
                <w:sz w:val="20"/>
                <w:szCs w:val="20"/>
              </w:rPr>
              <w:instrText>field distribution and induce the uniform deposition of Zn without Zn dendrite growth, as confirmed by simulation of current density distribution of the electrode in electrolyte and in situ microscopic observation of Zn plating/stripping. As expected, the 3D Ni–Zn cell shows highly reversible Zn plating/stripping with satisfactory Coulombic efficiency due to the low Zn nucleation overpotential and homogeneous distribution of localized electric field. Consequently, a full cell built with a 3D printed Zn anode and polyaniline</w:instrText>
            </w:r>
            <w:r w:rsidR="00500B8D" w:rsidRPr="003E0254">
              <w:rPr>
                <w:rFonts w:ascii="Cambria Math" w:hAnsi="Cambria Math" w:cs="Cambria Math"/>
                <w:sz w:val="20"/>
                <w:szCs w:val="20"/>
              </w:rPr>
              <w:instrText>‐</w:instrText>
            </w:r>
            <w:r w:rsidR="00500B8D" w:rsidRPr="003E0254">
              <w:rPr>
                <w:sz w:val="20"/>
                <w:szCs w:val="20"/>
              </w:rPr>
              <w:instrText>intercalated vanadium oxide cathode exhibits remarkable performance. The simple and cost</w:instrText>
            </w:r>
            <w:r w:rsidR="00500B8D" w:rsidRPr="003E0254">
              <w:rPr>
                <w:rFonts w:ascii="Cambria Math" w:hAnsi="Cambria Math" w:cs="Cambria Math"/>
                <w:sz w:val="20"/>
                <w:szCs w:val="20"/>
              </w:rPr>
              <w:instrText>‐</w:instrText>
            </w:r>
            <w:r w:rsidR="00500B8D" w:rsidRPr="003E0254">
              <w:rPr>
                <w:sz w:val="20"/>
                <w:szCs w:val="20"/>
              </w:rPr>
              <w:instrText>effective fabrication of conductive metal lattices with tunable 3D multi</w:instrText>
            </w:r>
            <w:r w:rsidR="00500B8D" w:rsidRPr="003E0254">
              <w:rPr>
                <w:rFonts w:ascii="Cambria Math" w:hAnsi="Cambria Math" w:cs="Cambria Math"/>
                <w:sz w:val="20"/>
                <w:szCs w:val="20"/>
              </w:rPr>
              <w:instrText>‐</w:instrText>
            </w:r>
            <w:r w:rsidR="00500B8D" w:rsidRPr="003E0254">
              <w:rPr>
                <w:sz w:val="20"/>
                <w:szCs w:val="20"/>
              </w:rPr>
              <w:instrText>channel architecture opens up new opportunities to develop other high</w:instrText>
            </w:r>
            <w:r w:rsidR="00500B8D" w:rsidRPr="003E0254">
              <w:rPr>
                <w:rFonts w:ascii="Cambria Math" w:hAnsi="Cambria Math" w:cs="Cambria Math"/>
                <w:sz w:val="20"/>
                <w:szCs w:val="20"/>
              </w:rPr>
              <w:instrText>‐</w:instrText>
            </w:r>
            <w:r w:rsidR="00500B8D" w:rsidRPr="003E0254">
              <w:rPr>
                <w:sz w:val="20"/>
                <w:szCs w:val="20"/>
              </w:rPr>
              <w:instrText>performance metal (such as Li, Na, K, Mg, Al) batteries.","author":[{"dropping-particle":"","family":"Zhang","given":"Guanhua","non-dropping-particle":"","parse-names":false,"suffix":""},{"dropping-particle":"","family":"Zhang","given":"Xianan","non-dropping-particle":"","parse-names":false,"suffix":""},{"dropping-particle":"","family":"Liu","given":"Huaizhi","non-dropping-particle":"","parse-names":false,"suffix":""},{"dropping-particle":"","family":"Li","given":"Jinhao","non-dropping-particle":"","parse-names":false,"suffix":""},{"dropping-particle":"","family":"Chen","given":"Yiqin","non-dropping-particle":"","parse-names":false,"suffix":""},{"dropping-particle":"","family":"Duan","given":"Huigao","non-dropping-particle":"","parse-names":false,"suffix":""}],"container-title":"Advanced Energy Materials","id":"ITEM-1","issue":"19","issued":{"date-parts":[["2021","5","31"]]},"page":"2003927","publisher":"John Wiley &amp; Sons, Ltd","title":"3D</w:instrText>
            </w:r>
            <w:r w:rsidR="00500B8D" w:rsidRPr="003E0254">
              <w:rPr>
                <w:rFonts w:ascii="Cambria Math" w:hAnsi="Cambria Math" w:cs="Cambria Math"/>
                <w:sz w:val="20"/>
                <w:szCs w:val="20"/>
              </w:rPr>
              <w:instrText>‐</w:instrText>
            </w:r>
            <w:r w:rsidR="00500B8D" w:rsidRPr="003E0254">
              <w:rPr>
                <w:sz w:val="20"/>
                <w:szCs w:val="20"/>
              </w:rPr>
              <w:instrText>Printed Multi</w:instrText>
            </w:r>
            <w:r w:rsidR="00500B8D" w:rsidRPr="003E0254">
              <w:rPr>
                <w:rFonts w:ascii="Cambria Math" w:hAnsi="Cambria Math" w:cs="Cambria Math"/>
                <w:sz w:val="20"/>
                <w:szCs w:val="20"/>
              </w:rPr>
              <w:instrText>‐</w:instrText>
            </w:r>
            <w:r w:rsidR="00500B8D" w:rsidRPr="003E0254">
              <w:rPr>
                <w:sz w:val="20"/>
                <w:szCs w:val="20"/>
              </w:rPr>
              <w:instrText>Channel Metal Lattices Enabling Localized Electric</w:instrText>
            </w:r>
            <w:r w:rsidR="00500B8D" w:rsidRPr="003E0254">
              <w:rPr>
                <w:rFonts w:ascii="Cambria Math" w:hAnsi="Cambria Math" w:cs="Cambria Math"/>
                <w:sz w:val="20"/>
                <w:szCs w:val="20"/>
              </w:rPr>
              <w:instrText>‐</w:instrText>
            </w:r>
            <w:r w:rsidR="00500B8D" w:rsidRPr="003E0254">
              <w:rPr>
                <w:sz w:val="20"/>
                <w:szCs w:val="20"/>
              </w:rPr>
              <w:instrText>Field Redistribution for Dendrite</w:instrText>
            </w:r>
            <w:r w:rsidR="00500B8D" w:rsidRPr="003E0254">
              <w:rPr>
                <w:rFonts w:ascii="Cambria Math" w:hAnsi="Cambria Math" w:cs="Cambria Math"/>
                <w:sz w:val="20"/>
                <w:szCs w:val="20"/>
              </w:rPr>
              <w:instrText>‐</w:instrText>
            </w:r>
            <w:r w:rsidR="00500B8D" w:rsidRPr="003E0254">
              <w:rPr>
                <w:sz w:val="20"/>
                <w:szCs w:val="20"/>
              </w:rPr>
              <w:instrText>Free Aqueous Zn Ion Batteries","type":"article-journal","volume":"11"},"uris":["http://www.mendeley.com/documents/?uuid=18cfe061-451e-3fc2-be86-12455f984d37"]}],"mendeley":{"formattedCitation":"&lt;sup&gt;[88]&lt;/sup&gt;","plainTextFormattedCitation":"[88]","previouslyFormattedCitation":"&lt;sup&gt;[87]&lt;/sup&gt;"},"properties":{"noteIndex":0},"schema":"https://github.com/citation-style-language/schema/raw/master/csl-citation.json"}</w:instrText>
            </w:r>
            <w:r w:rsidRPr="003E0254">
              <w:rPr>
                <w:sz w:val="20"/>
                <w:szCs w:val="20"/>
              </w:rPr>
              <w:fldChar w:fldCharType="separate"/>
            </w:r>
            <w:r w:rsidR="00500B8D" w:rsidRPr="003E0254">
              <w:rPr>
                <w:noProof/>
                <w:sz w:val="20"/>
                <w:szCs w:val="20"/>
                <w:vertAlign w:val="superscript"/>
              </w:rPr>
              <w:t>[88]</w:t>
            </w:r>
            <w:r w:rsidRPr="003E0254">
              <w:rPr>
                <w:sz w:val="20"/>
                <w:szCs w:val="20"/>
              </w:rPr>
              <w:fldChar w:fldCharType="end"/>
            </w:r>
          </w:p>
        </w:tc>
        <w:tc>
          <w:tcPr>
            <w:tcW w:w="1615" w:type="dxa"/>
            <w:vAlign w:val="center"/>
          </w:tcPr>
          <w:p w14:paraId="693CD1EB" w14:textId="1D28793F" w:rsidR="00575165" w:rsidRPr="003E0254" w:rsidRDefault="005747E4" w:rsidP="005B1B4B">
            <w:pPr>
              <w:spacing w:line="276" w:lineRule="auto"/>
              <w:jc w:val="center"/>
              <w:rPr>
                <w:sz w:val="20"/>
                <w:szCs w:val="20"/>
              </w:rPr>
            </w:pPr>
            <w:r w:rsidRPr="003E0254">
              <w:rPr>
                <w:sz w:val="20"/>
                <w:szCs w:val="20"/>
              </w:rPr>
              <w:t xml:space="preserve">80% capacity retention after 1000 cycles under high load, </w:t>
            </w:r>
            <w:r w:rsidR="00837A1F" w:rsidRPr="003E0254">
              <w:rPr>
                <w:sz w:val="20"/>
                <w:szCs w:val="20"/>
              </w:rPr>
              <w:t>but low voltage yielding only 230 </w:t>
            </w:r>
            <w:proofErr w:type="spellStart"/>
            <w:r w:rsidR="00366FB8" w:rsidRPr="003E0254">
              <w:rPr>
                <w:sz w:val="20"/>
                <w:szCs w:val="20"/>
              </w:rPr>
              <w:t>W</w:t>
            </w:r>
            <w:r w:rsidR="00837A1F" w:rsidRPr="003E0254">
              <w:rPr>
                <w:sz w:val="20"/>
                <w:szCs w:val="20"/>
              </w:rPr>
              <w:t>h</w:t>
            </w:r>
            <w:proofErr w:type="spellEnd"/>
            <w:r w:rsidR="00837A1F" w:rsidRPr="003E0254">
              <w:rPr>
                <w:sz w:val="20"/>
                <w:szCs w:val="20"/>
              </w:rPr>
              <w:t xml:space="preserve"> kg</w:t>
            </w:r>
            <w:r w:rsidR="00837A1F" w:rsidRPr="003E0254">
              <w:rPr>
                <w:rFonts w:ascii="Arial" w:hAnsi="Arial" w:cs="Arial"/>
                <w:sz w:val="20"/>
                <w:szCs w:val="20"/>
                <w:vertAlign w:val="superscript"/>
              </w:rPr>
              <w:t>‒</w:t>
            </w:r>
            <w:r w:rsidR="00837A1F" w:rsidRPr="003E0254">
              <w:rPr>
                <w:sz w:val="20"/>
                <w:szCs w:val="20"/>
                <w:vertAlign w:val="superscript"/>
              </w:rPr>
              <w:t>1</w:t>
            </w:r>
            <w:r w:rsidR="00837A1F" w:rsidRPr="003E0254">
              <w:rPr>
                <w:sz w:val="20"/>
                <w:szCs w:val="20"/>
              </w:rPr>
              <w:t xml:space="preserve"> specific energy</w:t>
            </w:r>
          </w:p>
        </w:tc>
      </w:tr>
      <w:tr w:rsidR="005B1B4B" w:rsidRPr="003E0254" w14:paraId="7503DC04" w14:textId="77777777" w:rsidTr="005B1B4B">
        <w:tc>
          <w:tcPr>
            <w:tcW w:w="1573" w:type="dxa"/>
            <w:vAlign w:val="center"/>
          </w:tcPr>
          <w:p w14:paraId="47783BBB" w14:textId="7BBF674A" w:rsidR="00C60055" w:rsidRPr="003E0254" w:rsidRDefault="00C60055" w:rsidP="005B1B4B">
            <w:pPr>
              <w:spacing w:line="276" w:lineRule="auto"/>
              <w:jc w:val="center"/>
              <w:rPr>
                <w:sz w:val="20"/>
                <w:szCs w:val="20"/>
              </w:rPr>
            </w:pPr>
            <w:r w:rsidRPr="003E0254">
              <w:rPr>
                <w:sz w:val="20"/>
                <w:szCs w:val="20"/>
              </w:rPr>
              <w:t>KzMnO</w:t>
            </w:r>
            <w:r w:rsidRPr="003E0254">
              <w:rPr>
                <w:sz w:val="20"/>
                <w:szCs w:val="20"/>
                <w:vertAlign w:val="subscript"/>
              </w:rPr>
              <w:t>2</w:t>
            </w:r>
            <w:r w:rsidRPr="003E0254">
              <w:rPr>
                <w:sz w:val="20"/>
                <w:szCs w:val="20"/>
              </w:rPr>
              <w:t xml:space="preserve"> | 1 M </w:t>
            </w:r>
            <w:proofErr w:type="gramStart"/>
            <w:r w:rsidRPr="003E0254">
              <w:rPr>
                <w:sz w:val="20"/>
                <w:szCs w:val="20"/>
              </w:rPr>
              <w:t>Zn(</w:t>
            </w:r>
            <w:proofErr w:type="gramEnd"/>
            <w:r w:rsidRPr="003E0254">
              <w:rPr>
                <w:sz w:val="20"/>
                <w:szCs w:val="20"/>
              </w:rPr>
              <w:t>OTF)</w:t>
            </w:r>
            <w:r w:rsidRPr="003E0254">
              <w:rPr>
                <w:sz w:val="20"/>
                <w:szCs w:val="20"/>
                <w:vertAlign w:val="subscript"/>
              </w:rPr>
              <w:t>2</w:t>
            </w:r>
            <w:r w:rsidRPr="003E0254">
              <w:rPr>
                <w:sz w:val="20"/>
                <w:szCs w:val="20"/>
              </w:rPr>
              <w:t xml:space="preserve"> + 0.1 M Mn(OTF)</w:t>
            </w:r>
            <w:r w:rsidRPr="003E0254">
              <w:rPr>
                <w:sz w:val="20"/>
                <w:szCs w:val="20"/>
                <w:vertAlign w:val="subscript"/>
              </w:rPr>
              <w:t>2</w:t>
            </w:r>
            <w:r w:rsidRPr="003E0254">
              <w:rPr>
                <w:sz w:val="20"/>
                <w:szCs w:val="20"/>
              </w:rPr>
              <w:t xml:space="preserve"> + 1 mM SDS| </w:t>
            </w:r>
            <w:proofErr w:type="spellStart"/>
            <w:r w:rsidRPr="003E0254">
              <w:rPr>
                <w:sz w:val="20"/>
                <w:szCs w:val="20"/>
              </w:rPr>
              <w:t>Zn</w:t>
            </w:r>
            <w:r w:rsidRPr="003E0254">
              <w:rPr>
                <w:sz w:val="20"/>
                <w:szCs w:val="20"/>
                <w:vertAlign w:val="subscript"/>
              </w:rPr>
              <w:t>x</w:t>
            </w:r>
            <w:r w:rsidRPr="003E0254">
              <w:rPr>
                <w:sz w:val="20"/>
                <w:szCs w:val="20"/>
              </w:rPr>
              <w:t>Cu</w:t>
            </w:r>
            <w:r w:rsidRPr="003E0254">
              <w:rPr>
                <w:sz w:val="20"/>
                <w:szCs w:val="20"/>
                <w:vertAlign w:val="subscript"/>
              </w:rPr>
              <w:t>y</w:t>
            </w:r>
            <w:proofErr w:type="spellEnd"/>
            <w:r w:rsidRPr="003E0254">
              <w:rPr>
                <w:sz w:val="20"/>
                <w:szCs w:val="20"/>
              </w:rPr>
              <w:t>/Zn</w:t>
            </w:r>
          </w:p>
        </w:tc>
        <w:tc>
          <w:tcPr>
            <w:tcW w:w="942" w:type="dxa"/>
            <w:vAlign w:val="center"/>
          </w:tcPr>
          <w:p w14:paraId="6A9843E8" w14:textId="77777777" w:rsidR="00C60055" w:rsidRPr="003E0254" w:rsidRDefault="00C60055" w:rsidP="005B1B4B">
            <w:pPr>
              <w:spacing w:line="276" w:lineRule="auto"/>
              <w:jc w:val="center"/>
              <w:rPr>
                <w:sz w:val="20"/>
                <w:szCs w:val="20"/>
              </w:rPr>
            </w:pPr>
            <w:r w:rsidRPr="003E0254">
              <w:rPr>
                <w:sz w:val="20"/>
                <w:szCs w:val="20"/>
              </w:rPr>
              <w:t>~235</w:t>
            </w:r>
          </w:p>
          <w:p w14:paraId="6E72065A" w14:textId="77777777" w:rsidR="00C60055" w:rsidRPr="003E0254" w:rsidRDefault="00C60055" w:rsidP="005B1B4B">
            <w:pPr>
              <w:spacing w:line="276" w:lineRule="auto"/>
              <w:jc w:val="center"/>
              <w:rPr>
                <w:sz w:val="20"/>
                <w:szCs w:val="20"/>
              </w:rPr>
            </w:pPr>
          </w:p>
          <w:p w14:paraId="276A9A31" w14:textId="77777777" w:rsidR="00C60055" w:rsidRPr="003E0254" w:rsidRDefault="00C60055" w:rsidP="005B1B4B">
            <w:pPr>
              <w:spacing w:line="276" w:lineRule="auto"/>
              <w:jc w:val="center"/>
              <w:rPr>
                <w:sz w:val="20"/>
                <w:szCs w:val="20"/>
              </w:rPr>
            </w:pPr>
            <w:r w:rsidRPr="003E0254">
              <w:rPr>
                <w:sz w:val="20"/>
                <w:szCs w:val="20"/>
              </w:rPr>
              <w:t>800</w:t>
            </w:r>
          </w:p>
        </w:tc>
        <w:tc>
          <w:tcPr>
            <w:tcW w:w="1260" w:type="dxa"/>
            <w:vAlign w:val="center"/>
          </w:tcPr>
          <w:p w14:paraId="3FAA0811" w14:textId="77777777" w:rsidR="00C60055" w:rsidRPr="003E0254" w:rsidRDefault="00C60055" w:rsidP="005B1B4B">
            <w:pPr>
              <w:spacing w:line="276" w:lineRule="auto"/>
              <w:jc w:val="center"/>
              <w:rPr>
                <w:sz w:val="20"/>
                <w:szCs w:val="20"/>
              </w:rPr>
            </w:pPr>
            <w:r w:rsidRPr="003E0254">
              <w:rPr>
                <w:sz w:val="20"/>
                <w:szCs w:val="20"/>
              </w:rPr>
              <w:t>99.8%</w:t>
            </w:r>
          </w:p>
          <w:p w14:paraId="79044BD7" w14:textId="77777777" w:rsidR="00C60055" w:rsidRPr="003E0254" w:rsidRDefault="00C60055" w:rsidP="005B1B4B">
            <w:pPr>
              <w:spacing w:line="276" w:lineRule="auto"/>
              <w:jc w:val="center"/>
              <w:rPr>
                <w:sz w:val="20"/>
                <w:szCs w:val="20"/>
              </w:rPr>
            </w:pPr>
          </w:p>
          <w:p w14:paraId="34DE64E0" w14:textId="77777777" w:rsidR="00C60055" w:rsidRPr="003E0254" w:rsidRDefault="00C60055" w:rsidP="005B1B4B">
            <w:pPr>
              <w:spacing w:line="276" w:lineRule="auto"/>
              <w:jc w:val="center"/>
              <w:rPr>
                <w:sz w:val="20"/>
                <w:szCs w:val="20"/>
              </w:rPr>
            </w:pPr>
            <w:r w:rsidRPr="003E0254">
              <w:rPr>
                <w:sz w:val="20"/>
                <w:szCs w:val="20"/>
              </w:rPr>
              <w:t>~99</w:t>
            </w:r>
          </w:p>
        </w:tc>
        <w:tc>
          <w:tcPr>
            <w:tcW w:w="990" w:type="dxa"/>
            <w:vAlign w:val="center"/>
          </w:tcPr>
          <w:p w14:paraId="52D0C342" w14:textId="77777777" w:rsidR="00C60055" w:rsidRPr="003E0254" w:rsidRDefault="00C60055" w:rsidP="005B1B4B">
            <w:pPr>
              <w:spacing w:line="276" w:lineRule="auto"/>
              <w:jc w:val="center"/>
              <w:rPr>
                <w:sz w:val="20"/>
                <w:szCs w:val="20"/>
              </w:rPr>
            </w:pPr>
            <w:r w:rsidRPr="003E0254">
              <w:rPr>
                <w:sz w:val="20"/>
                <w:szCs w:val="20"/>
              </w:rPr>
              <w:t>300</w:t>
            </w:r>
          </w:p>
          <w:p w14:paraId="2DDFABAC" w14:textId="77777777" w:rsidR="00C60055" w:rsidRPr="003E0254" w:rsidRDefault="00C60055" w:rsidP="005B1B4B">
            <w:pPr>
              <w:spacing w:line="276" w:lineRule="auto"/>
              <w:jc w:val="center"/>
              <w:rPr>
                <w:sz w:val="20"/>
                <w:szCs w:val="20"/>
              </w:rPr>
            </w:pPr>
          </w:p>
          <w:p w14:paraId="78C9A026" w14:textId="77777777" w:rsidR="00C60055" w:rsidRPr="003E0254" w:rsidRDefault="00C60055" w:rsidP="005B1B4B">
            <w:pPr>
              <w:spacing w:line="276" w:lineRule="auto"/>
              <w:jc w:val="center"/>
              <w:rPr>
                <w:sz w:val="20"/>
                <w:szCs w:val="20"/>
              </w:rPr>
            </w:pPr>
            <w:r w:rsidRPr="003E0254">
              <w:rPr>
                <w:sz w:val="20"/>
                <w:szCs w:val="20"/>
              </w:rPr>
              <w:t>210</w:t>
            </w:r>
          </w:p>
        </w:tc>
        <w:tc>
          <w:tcPr>
            <w:tcW w:w="900" w:type="dxa"/>
            <w:vAlign w:val="center"/>
          </w:tcPr>
          <w:p w14:paraId="6A11DA9F" w14:textId="77777777" w:rsidR="00C60055" w:rsidRPr="003E0254" w:rsidRDefault="00C60055" w:rsidP="005B1B4B">
            <w:pPr>
              <w:spacing w:line="276" w:lineRule="auto"/>
              <w:jc w:val="center"/>
              <w:rPr>
                <w:sz w:val="20"/>
                <w:szCs w:val="20"/>
                <w:vertAlign w:val="superscript"/>
              </w:rPr>
            </w:pPr>
            <w:r w:rsidRPr="003E0254">
              <w:rPr>
                <w:sz w:val="20"/>
                <w:szCs w:val="20"/>
              </w:rPr>
              <w:t>0.2 A g</w:t>
            </w:r>
            <w:r w:rsidRPr="003E0254">
              <w:rPr>
                <w:sz w:val="20"/>
                <w:szCs w:val="20"/>
                <w:vertAlign w:val="superscript"/>
              </w:rPr>
              <w:t>-1</w:t>
            </w:r>
          </w:p>
          <w:p w14:paraId="49FCF9AD" w14:textId="77777777" w:rsidR="00C60055" w:rsidRPr="003E0254" w:rsidRDefault="00C60055" w:rsidP="005B1B4B">
            <w:pPr>
              <w:spacing w:line="276" w:lineRule="auto"/>
              <w:jc w:val="center"/>
              <w:rPr>
                <w:sz w:val="20"/>
                <w:szCs w:val="20"/>
                <w:vertAlign w:val="superscript"/>
              </w:rPr>
            </w:pPr>
          </w:p>
          <w:p w14:paraId="09033B9E" w14:textId="77777777" w:rsidR="00C60055" w:rsidRPr="003E0254" w:rsidRDefault="00C60055" w:rsidP="005B1B4B">
            <w:pPr>
              <w:spacing w:line="276" w:lineRule="auto"/>
              <w:jc w:val="center"/>
              <w:rPr>
                <w:sz w:val="20"/>
                <w:szCs w:val="20"/>
              </w:rPr>
            </w:pPr>
            <w:r w:rsidRPr="003E0254">
              <w:rPr>
                <w:sz w:val="20"/>
                <w:szCs w:val="20"/>
              </w:rPr>
              <w:t>1 A g</w:t>
            </w:r>
            <w:r w:rsidRPr="003E0254">
              <w:rPr>
                <w:sz w:val="20"/>
                <w:szCs w:val="20"/>
                <w:vertAlign w:val="superscript"/>
              </w:rPr>
              <w:t>-1</w:t>
            </w:r>
          </w:p>
        </w:tc>
        <w:tc>
          <w:tcPr>
            <w:tcW w:w="900" w:type="dxa"/>
            <w:vAlign w:val="center"/>
          </w:tcPr>
          <w:p w14:paraId="5C12C0BD" w14:textId="3B7BEE2E" w:rsidR="00C60055" w:rsidRPr="003E0254" w:rsidRDefault="00C60055" w:rsidP="005B1B4B">
            <w:pPr>
              <w:spacing w:line="276" w:lineRule="auto"/>
              <w:jc w:val="center"/>
              <w:rPr>
                <w:sz w:val="20"/>
                <w:szCs w:val="20"/>
              </w:rPr>
            </w:pPr>
            <w:r w:rsidRPr="003E0254">
              <w:rPr>
                <w:sz w:val="20"/>
                <w:szCs w:val="20"/>
              </w:rPr>
              <w:t>1</w:t>
            </w:r>
          </w:p>
        </w:tc>
        <w:tc>
          <w:tcPr>
            <w:tcW w:w="630" w:type="dxa"/>
            <w:vAlign w:val="center"/>
          </w:tcPr>
          <w:p w14:paraId="5678F02B" w14:textId="77777777" w:rsidR="00C60055" w:rsidRPr="003E0254" w:rsidRDefault="00C60055" w:rsidP="005B1B4B">
            <w:pPr>
              <w:spacing w:line="276" w:lineRule="auto"/>
              <w:jc w:val="center"/>
              <w:rPr>
                <w:sz w:val="20"/>
                <w:szCs w:val="20"/>
              </w:rPr>
            </w:pPr>
            <w:r w:rsidRPr="003E0254">
              <w:rPr>
                <w:sz w:val="20"/>
                <w:szCs w:val="20"/>
              </w:rPr>
              <w:t>1.3</w:t>
            </w:r>
          </w:p>
        </w:tc>
        <w:tc>
          <w:tcPr>
            <w:tcW w:w="540" w:type="dxa"/>
            <w:vAlign w:val="center"/>
          </w:tcPr>
          <w:p w14:paraId="78A295D5" w14:textId="0684EE2D" w:rsidR="00C60055" w:rsidRPr="003E0254" w:rsidRDefault="00C60055" w:rsidP="005B1B4B">
            <w:pPr>
              <w:spacing w:line="276" w:lineRule="auto"/>
              <w:jc w:val="center"/>
              <w:rPr>
                <w:sz w:val="20"/>
                <w:szCs w:val="20"/>
              </w:rPr>
            </w:pPr>
            <w:r w:rsidRPr="003E0254">
              <w:rPr>
                <w:sz w:val="20"/>
                <w:szCs w:val="20"/>
              </w:rPr>
              <w:t>Meng et al.</w:t>
            </w:r>
            <w:r w:rsidR="00DA2B64" w:rsidRPr="003E0254">
              <w:rPr>
                <w:sz w:val="20"/>
                <w:szCs w:val="20"/>
              </w:rPr>
              <w:fldChar w:fldCharType="begin" w:fldLock="1"/>
            </w:r>
            <w:r w:rsidR="00500B8D" w:rsidRPr="003E0254">
              <w:rPr>
                <w:sz w:val="20"/>
                <w:szCs w:val="20"/>
              </w:rPr>
              <w:instrText>ADDIN CSL_CITATION {"citationItems":[{"id":"ITEM-1","itemData":{"DOI":"10.1007/S40820-022-00867-9/FIGURES/4","ISSN":"21505551","abstract":"Metallic zinc (Zn) is one of the most attractive multivalent-metal anode materials in post-lithium batteries because of its high abundance, low cost and high theoretical capacity. However, it usually suffers from large voltage polarization, low Coulombic efficiency and high propensity for dendritic failure during Zn stripping/plating, hindering the practical application in aqueous rechargeable zinc-metal batteries (AR-ZMBs). Here we demonstrate that anionic surfactant-assisted in situ surface alloying of Cu and Zn remarkably improves Zn reversibility of 3D nanoporous Zn electrodes for potential use as high-performance AR-ZMB anode materials. As a result of the zincophilic ZnxCuy alloy shell guiding uniform Zn deposition with a zero nucleation overpotential and facilitating Zn stripping via the ZnxCuy/Zn galvanic couples, the self-supported nanoporous ZnxCuy/Zn electrodes exhibit superior dendrite-free Zn stripping/plating behaviors in ambient aqueous electrolyte, with ultralow polarizations under current densities up to 50 mA cm</w:instrText>
            </w:r>
            <w:r w:rsidR="00500B8D" w:rsidRPr="003E0254">
              <w:rPr>
                <w:rFonts w:ascii="Arial" w:hAnsi="Arial" w:cs="Arial"/>
                <w:sz w:val="20"/>
                <w:szCs w:val="20"/>
              </w:rPr>
              <w:instrText>‒</w:instrText>
            </w:r>
            <w:r w:rsidR="00500B8D" w:rsidRPr="003E0254">
              <w:rPr>
                <w:sz w:val="20"/>
                <w:szCs w:val="20"/>
              </w:rPr>
              <w:instrText>2, exceptional stability for 1900</w:instrText>
            </w:r>
            <w:r w:rsidR="00500B8D" w:rsidRPr="003E0254">
              <w:rPr>
                <w:rFonts w:ascii="Aptos" w:hAnsi="Aptos" w:cs="Aptos"/>
                <w:sz w:val="20"/>
                <w:szCs w:val="20"/>
              </w:rPr>
              <w:instrText> </w:instrText>
            </w:r>
            <w:r w:rsidR="00500B8D" w:rsidRPr="003E0254">
              <w:rPr>
                <w:sz w:val="20"/>
                <w:szCs w:val="20"/>
              </w:rPr>
              <w:instrText>h and high Zn utilization. This enables AR-ZMB full cells constructed with nanoporous ZnxCuy/Zn anode and KzMnO2 cathode to achieve specific energy of as high as ~ 430 Wh kg</w:instrText>
            </w:r>
            <w:r w:rsidR="00500B8D" w:rsidRPr="003E0254">
              <w:rPr>
                <w:rFonts w:ascii="Arial" w:hAnsi="Arial" w:cs="Arial"/>
                <w:sz w:val="20"/>
                <w:szCs w:val="20"/>
              </w:rPr>
              <w:instrText>‒</w:instrText>
            </w:r>
            <w:r w:rsidR="00500B8D" w:rsidRPr="003E0254">
              <w:rPr>
                <w:sz w:val="20"/>
                <w:szCs w:val="20"/>
              </w:rPr>
              <w:instrText>1 with ~ 99.8% Coulombic efficiency, and retain ~ 86% after long-term cycles for &gt; 700</w:instrText>
            </w:r>
            <w:r w:rsidR="00500B8D" w:rsidRPr="003E0254">
              <w:rPr>
                <w:rFonts w:ascii="Aptos" w:hAnsi="Aptos" w:cs="Aptos"/>
                <w:sz w:val="20"/>
                <w:szCs w:val="20"/>
              </w:rPr>
              <w:instrText> </w:instrText>
            </w:r>
            <w:r w:rsidR="00500B8D" w:rsidRPr="003E0254">
              <w:rPr>
                <w:sz w:val="20"/>
                <w:szCs w:val="20"/>
              </w:rPr>
              <w:instrText>h. [Figure not available: see fulltext.]","author":[{"dropping-particle":"","family":"Meng","given":"Huan","non-dropping-particle":"","parse-names":false,"suffix":""},{"dropping-particle":"","family":"Ran","given":"Qing","non-dropping-particle":"","parse-names":false,"suffix":""},{"dropping-particle":"","family":"Dai","given":"Tian Yi","non-dropping-particle":"","parse-names":false,"suffix":""},{"dropping-particle":"","family":"Shi","given":"Hang","non-dropping-particle":"","parse-names":false,"suffix":""},{"dropping-particle":"","family":"Zeng","given":"Shu Pei","non-dropping-particle":"","parse-names":false,"suffix":""},{"dropping-particle":"","family":"Zhu","given":"Yong Fu","non-dropping-particle":"","parse-names":false,"suffix":""},{"dropping-particle":"","family":"Wen","given":"Zi","non-dropping-particle":"","parse-names":false,"suffix":""},{"dropping-particle":"","family":"Zhang","given":"Wei","non-dropping-particle":"","parse-names":false,"suffix":""},{"dropping-particle":"","family":"Lang","given":"Xing You","non-dropping-particle":"","parse-names":false,"suffix":""},{"dropping-particle":"","family":"Zheng","given":"Wei Tao","non-dropping-particle":"","parse-names":false,"suffix":""},{"dropping-particle":"","family":"Jiang","given":"Qing","non-dropping-particle":"","parse-names":false,"suffix":""}],"container-title":"Nano-Micro Letters","id":"ITEM-1","issue":"1","issued":{"date-parts":[["2022","12","1"]]},"page":"1-14","publisher":"Springer Science and Business Media B.V.","title":"Surface-Alloyed Nanoporous Zinc as Reversible and Stable Anodes for High-Performance Aqueous Zinc-Ion Battery","type":"article-journal","volume":"14"},"uris":["http://www.mendeley.com/documents/?uuid=3e884fed-3dc3-3a70-9e06-cb56c840cdb5"]}],"mendeley":{"formattedCitation":"&lt;sup&gt;[103]&lt;/sup&gt;","plainTextFormattedCitation":"[103]","previouslyFormattedCitation":"&lt;sup&gt;[102]&lt;/sup&gt;"},"properties":{"noteIndex":0},"schema":"https://github.com/citation-style-language/schema/raw/master/csl-citation.json"}</w:instrText>
            </w:r>
            <w:r w:rsidR="00DA2B64" w:rsidRPr="003E0254">
              <w:rPr>
                <w:sz w:val="20"/>
                <w:szCs w:val="20"/>
              </w:rPr>
              <w:fldChar w:fldCharType="separate"/>
            </w:r>
            <w:r w:rsidR="00500B8D" w:rsidRPr="003E0254">
              <w:rPr>
                <w:noProof/>
                <w:sz w:val="20"/>
                <w:szCs w:val="20"/>
                <w:vertAlign w:val="superscript"/>
              </w:rPr>
              <w:t>[103]</w:t>
            </w:r>
            <w:r w:rsidR="00DA2B64" w:rsidRPr="003E0254">
              <w:rPr>
                <w:sz w:val="20"/>
                <w:szCs w:val="20"/>
              </w:rPr>
              <w:fldChar w:fldCharType="end"/>
            </w:r>
          </w:p>
        </w:tc>
        <w:tc>
          <w:tcPr>
            <w:tcW w:w="1615" w:type="dxa"/>
            <w:vAlign w:val="center"/>
          </w:tcPr>
          <w:p w14:paraId="105B0205" w14:textId="7D9BA352" w:rsidR="00C60055" w:rsidRPr="003E0254" w:rsidRDefault="00366FB8" w:rsidP="005B1B4B">
            <w:pPr>
              <w:spacing w:line="276" w:lineRule="auto"/>
              <w:jc w:val="center"/>
              <w:rPr>
                <w:sz w:val="20"/>
                <w:szCs w:val="20"/>
              </w:rPr>
            </w:pPr>
            <w:r w:rsidRPr="003E0254">
              <w:rPr>
                <w:sz w:val="20"/>
                <w:szCs w:val="20"/>
              </w:rPr>
              <w:t>S</w:t>
            </w:r>
            <w:r w:rsidR="00C60055" w:rsidRPr="003E0254">
              <w:rPr>
                <w:sz w:val="20"/>
                <w:szCs w:val="20"/>
              </w:rPr>
              <w:t>pecific energy of ~</w:t>
            </w:r>
            <w:r w:rsidR="00C60055" w:rsidRPr="003E0254">
              <w:rPr>
                <w:rFonts w:ascii="Arial" w:hAnsi="Arial" w:cs="Arial"/>
                <w:sz w:val="20"/>
                <w:szCs w:val="20"/>
              </w:rPr>
              <w:t> </w:t>
            </w:r>
            <w:r w:rsidR="00C60055" w:rsidRPr="003E0254">
              <w:rPr>
                <w:sz w:val="20"/>
                <w:szCs w:val="20"/>
              </w:rPr>
              <w:t xml:space="preserve">430 </w:t>
            </w:r>
            <w:proofErr w:type="spellStart"/>
            <w:r w:rsidR="00C60055" w:rsidRPr="003E0254">
              <w:rPr>
                <w:sz w:val="20"/>
                <w:szCs w:val="20"/>
              </w:rPr>
              <w:t>Wh</w:t>
            </w:r>
            <w:proofErr w:type="spellEnd"/>
            <w:r w:rsidR="00C60055" w:rsidRPr="003E0254">
              <w:rPr>
                <w:sz w:val="20"/>
                <w:szCs w:val="20"/>
              </w:rPr>
              <w:t xml:space="preserve"> kg</w:t>
            </w:r>
            <w:r w:rsidR="00C60055" w:rsidRPr="003E0254">
              <w:rPr>
                <w:rFonts w:ascii="Arial" w:hAnsi="Arial" w:cs="Arial"/>
                <w:sz w:val="20"/>
                <w:szCs w:val="20"/>
                <w:vertAlign w:val="superscript"/>
              </w:rPr>
              <w:t>‒</w:t>
            </w:r>
            <w:r w:rsidR="00C60055" w:rsidRPr="003E0254">
              <w:rPr>
                <w:sz w:val="20"/>
                <w:szCs w:val="20"/>
                <w:vertAlign w:val="superscript"/>
              </w:rPr>
              <w:t>1</w:t>
            </w:r>
            <w:r w:rsidRPr="003E0254">
              <w:rPr>
                <w:sz w:val="20"/>
                <w:szCs w:val="20"/>
              </w:rPr>
              <w:t>,</w:t>
            </w:r>
          </w:p>
          <w:p w14:paraId="0E693430" w14:textId="5829DD5D" w:rsidR="00C60055" w:rsidRPr="003E0254" w:rsidRDefault="00366FB8" w:rsidP="005B1B4B">
            <w:pPr>
              <w:spacing w:line="276" w:lineRule="auto"/>
              <w:jc w:val="center"/>
              <w:rPr>
                <w:sz w:val="20"/>
                <w:szCs w:val="20"/>
              </w:rPr>
            </w:pPr>
            <w:r w:rsidRPr="003E0254">
              <w:rPr>
                <w:sz w:val="20"/>
                <w:szCs w:val="20"/>
              </w:rPr>
              <w:t>s</w:t>
            </w:r>
            <w:r w:rsidR="00C60055" w:rsidRPr="003E0254">
              <w:rPr>
                <w:sz w:val="20"/>
                <w:szCs w:val="20"/>
              </w:rPr>
              <w:t>ymmetric cell with 100C (50 mA cm</w:t>
            </w:r>
            <w:r w:rsidR="00C60055" w:rsidRPr="003E0254">
              <w:rPr>
                <w:rFonts w:ascii="Arial" w:hAnsi="Arial" w:cs="Arial"/>
                <w:sz w:val="20"/>
                <w:szCs w:val="20"/>
                <w:vertAlign w:val="superscript"/>
              </w:rPr>
              <w:t>‒</w:t>
            </w:r>
            <w:r w:rsidR="00C60055" w:rsidRPr="003E0254">
              <w:rPr>
                <w:sz w:val="20"/>
                <w:szCs w:val="20"/>
                <w:vertAlign w:val="superscript"/>
              </w:rPr>
              <w:t>2</w:t>
            </w:r>
            <w:r w:rsidR="00C60055" w:rsidRPr="003E0254">
              <w:rPr>
                <w:sz w:val="20"/>
                <w:szCs w:val="20"/>
              </w:rPr>
              <w:t xml:space="preserve">) cycling up to 40,000 cycles of with energy </w:t>
            </w:r>
            <w:r w:rsidR="00C60055" w:rsidRPr="003E0254">
              <w:rPr>
                <w:sz w:val="20"/>
                <w:szCs w:val="20"/>
              </w:rPr>
              <w:lastRenderedPageBreak/>
              <w:t>efficiency of ~</w:t>
            </w:r>
            <w:r w:rsidR="00C60055" w:rsidRPr="003E0254">
              <w:rPr>
                <w:rFonts w:ascii="Arial" w:hAnsi="Arial" w:cs="Arial"/>
                <w:sz w:val="20"/>
                <w:szCs w:val="20"/>
              </w:rPr>
              <w:t> </w:t>
            </w:r>
            <w:r w:rsidR="00C60055" w:rsidRPr="003E0254">
              <w:rPr>
                <w:sz w:val="20"/>
                <w:szCs w:val="20"/>
              </w:rPr>
              <w:t>99.9%</w:t>
            </w:r>
          </w:p>
        </w:tc>
      </w:tr>
    </w:tbl>
    <w:p w14:paraId="301C89B4" w14:textId="77777777" w:rsidR="00C60055" w:rsidRPr="003E0254" w:rsidRDefault="00C60055" w:rsidP="005B1B4B">
      <w:pPr>
        <w:pBdr>
          <w:top w:val="none" w:sz="4" w:space="0" w:color="000000"/>
          <w:left w:val="none" w:sz="4" w:space="0" w:color="000000"/>
          <w:bottom w:val="none" w:sz="4" w:space="0" w:color="000000"/>
          <w:right w:val="none" w:sz="4" w:space="0" w:color="000000"/>
        </w:pBdr>
        <w:spacing w:line="276" w:lineRule="auto"/>
        <w:jc w:val="both"/>
      </w:pPr>
    </w:p>
    <w:p w14:paraId="10AC3291" w14:textId="77777777" w:rsidR="007D6DFE" w:rsidRPr="003E0254" w:rsidRDefault="007D6DFE">
      <w:pPr>
        <w:rPr>
          <w:b/>
          <w:bCs/>
          <w:u w:val="single"/>
        </w:rPr>
      </w:pPr>
    </w:p>
    <w:p w14:paraId="2B503247" w14:textId="26C14599" w:rsidR="00064C5A" w:rsidRPr="003E0254" w:rsidRDefault="00DA35C9" w:rsidP="00064C5A">
      <w:pPr>
        <w:pStyle w:val="berschrift3"/>
        <w:rPr>
          <w:b/>
          <w:bCs/>
        </w:rPr>
      </w:pPr>
      <w:r w:rsidRPr="003E0254">
        <w:rPr>
          <w:b/>
          <w:bCs/>
        </w:rPr>
        <w:t>2.</w:t>
      </w:r>
      <w:r w:rsidR="003E4F58" w:rsidRPr="003E0254">
        <w:rPr>
          <w:b/>
          <w:bCs/>
        </w:rPr>
        <w:t>4</w:t>
      </w:r>
      <w:r w:rsidR="00905ABF" w:rsidRPr="003E0254">
        <w:rPr>
          <w:b/>
          <w:bCs/>
        </w:rPr>
        <w:t>.</w:t>
      </w:r>
      <w:r w:rsidRPr="003E0254">
        <w:rPr>
          <w:b/>
          <w:bCs/>
        </w:rPr>
        <w:t xml:space="preserve"> Zinc-</w:t>
      </w:r>
      <w:r w:rsidR="00944B19" w:rsidRPr="003E0254">
        <w:rPr>
          <w:b/>
          <w:bCs/>
        </w:rPr>
        <w:t>A</w:t>
      </w:r>
      <w:r w:rsidRPr="003E0254">
        <w:rPr>
          <w:b/>
          <w:bCs/>
        </w:rPr>
        <w:t xml:space="preserve">ir </w:t>
      </w:r>
      <w:r w:rsidR="00944B19" w:rsidRPr="003E0254">
        <w:rPr>
          <w:b/>
          <w:bCs/>
        </w:rPr>
        <w:t>B</w:t>
      </w:r>
      <w:r w:rsidRPr="003E0254">
        <w:rPr>
          <w:b/>
          <w:bCs/>
        </w:rPr>
        <w:t xml:space="preserve">atteries </w:t>
      </w:r>
    </w:p>
    <w:p w14:paraId="3C050434" w14:textId="2C40ED14" w:rsidR="007D6DFE" w:rsidRPr="003E0254" w:rsidRDefault="007D6DFE" w:rsidP="007D6DFE">
      <w:pPr>
        <w:spacing w:line="276" w:lineRule="auto"/>
        <w:jc w:val="both"/>
      </w:pPr>
      <w:r w:rsidRPr="003E0254">
        <w:t>The first concept of a primary Zinc-air battery was developed in the 19</w:t>
      </w:r>
      <w:r w:rsidRPr="003E0254">
        <w:rPr>
          <w:vertAlign w:val="superscript"/>
        </w:rPr>
        <w:t>th</w:t>
      </w:r>
      <w:r w:rsidRPr="003E0254">
        <w:t xml:space="preserve"> century, when the cathode of</w:t>
      </w:r>
      <w:r w:rsidR="00213264" w:rsidRPr="003E0254">
        <w:t xml:space="preserve"> the</w:t>
      </w:r>
      <w:r w:rsidRPr="003E0254">
        <w:t xml:space="preserve"> Leclanché battery was replaced by a porous air cathode.</w:t>
      </w:r>
      <w:r w:rsidRPr="003E0254">
        <w:fldChar w:fldCharType="begin" w:fldLock="1"/>
      </w:r>
      <w:r w:rsidR="00500B8D" w:rsidRPr="003E0254">
        <w:instrText>ADDIN CSL_CITATION {"citationItems":[{"id":"ITEM-1","itemData":{"author":[{"dropping-particle":"","family":"Linden","given":"David","non-dropping-particle":"","parse-names":false,"suffix":""},{"dropping-particle":"","family":"Reddy","given":"Thomas B.","non-dropping-particle":"","parse-names":false,"suffix":""}],"edition":"Third Edit","id":"ITEM-1","issued":{"date-parts":[["2002"]]},"publisher":"McGraw-Hill","title":"Handbook of Batteries","type":"book"},"uris":["http://www.mendeley.com/documents/?uuid=c245f531-33ca-452f-b16e-5f1123650e63"]}],"mendeley":{"formattedCitation":"&lt;sup&gt;[173]&lt;/sup&gt;","plainTextFormattedCitation":"[173]","previouslyFormattedCitation":"&lt;sup&gt;[172]&lt;/sup&gt;"},"properties":{"noteIndex":0},"schema":"https://github.com/citation-style-language/schema/raw/master/csl-citation.json"}</w:instrText>
      </w:r>
      <w:r w:rsidRPr="003E0254">
        <w:fldChar w:fldCharType="separate"/>
      </w:r>
      <w:r w:rsidR="00500B8D" w:rsidRPr="003E0254">
        <w:rPr>
          <w:noProof/>
          <w:vertAlign w:val="superscript"/>
        </w:rPr>
        <w:t>[173]</w:t>
      </w:r>
      <w:r w:rsidRPr="003E0254">
        <w:fldChar w:fldCharType="end"/>
      </w:r>
      <w:r w:rsidRPr="003E0254">
        <w:t xml:space="preserve"> In the following years, particularly in 1932 and the 1970s, further developments led to commercial applications, especially in low-power telecommunication and medical areas. The conventional ZAB consists of a </w:t>
      </w:r>
      <w:r w:rsidR="00A439A1" w:rsidRPr="003E0254">
        <w:t>metal</w:t>
      </w:r>
      <w:r w:rsidR="00213264" w:rsidRPr="003E0254">
        <w:t>lic zinc</w:t>
      </w:r>
      <w:r w:rsidRPr="003E0254">
        <w:t xml:space="preserve"> as the anode</w:t>
      </w:r>
      <w:r w:rsidR="00213264" w:rsidRPr="003E0254">
        <w:t xml:space="preserve"> material</w:t>
      </w:r>
      <w:r w:rsidRPr="003E0254">
        <w:t xml:space="preserve">, an electrolyte, a separator, and a porous air cathode. Metal-air batteries have a distinct advantage over conventional batteries due to their open cell structure. This design allows them to achieve high energy densities because the cathode's active material (oxygen) is not stored within the battery but is readily accessible from the surrounding ambient air. During discharge, the metallic Zn anode is oxidized (Zn </w:t>
      </w:r>
      <w:r w:rsidRPr="003E0254">
        <w:rPr>
          <w:rFonts w:ascii="Cambria Math" w:hAnsi="Cambria Math" w:cs="Cambria Math"/>
        </w:rPr>
        <w:t>⇌</w:t>
      </w:r>
      <w:r w:rsidRPr="003E0254">
        <w:rPr>
          <w:rFonts w:cs="Cambria Math"/>
        </w:rPr>
        <w:t xml:space="preserve"> Zn</w:t>
      </w:r>
      <w:r w:rsidRPr="003E0254">
        <w:rPr>
          <w:rFonts w:cs="Cambria Math"/>
          <w:vertAlign w:val="superscript"/>
        </w:rPr>
        <w:t>2+</w:t>
      </w:r>
      <w:r w:rsidRPr="003E0254">
        <w:rPr>
          <w:rFonts w:cs="Cambria Math"/>
        </w:rPr>
        <w:t xml:space="preserve"> + 2e</w:t>
      </w:r>
      <w:r w:rsidRPr="003E0254">
        <w:rPr>
          <w:rFonts w:cs="Cambria Math"/>
          <w:vertAlign w:val="superscript"/>
        </w:rPr>
        <w:t>-</w:t>
      </w:r>
      <w:r w:rsidR="0062410A" w:rsidRPr="003E0254">
        <w:t>)</w:t>
      </w:r>
      <w:r w:rsidRPr="003E0254">
        <w:t>, while the O</w:t>
      </w:r>
      <w:r w:rsidRPr="003E0254">
        <w:rPr>
          <w:vertAlign w:val="subscript"/>
        </w:rPr>
        <w:t>2</w:t>
      </w:r>
      <w:r w:rsidRPr="003E0254">
        <w:t xml:space="preserve"> from the ambient air is reduced at the air cathode (</w:t>
      </w:r>
      <w:r w:rsidRPr="003E0254">
        <w:rPr>
          <w:rFonts w:ascii="Calibri" w:eastAsia="Calibri" w:hAnsi="Calibri" w:cs="Calibri"/>
          <w:color w:val="000000"/>
        </w:rPr>
        <w:t>O</w:t>
      </w:r>
      <w:r w:rsidRPr="003E0254">
        <w:rPr>
          <w:rFonts w:ascii="Calibri" w:eastAsia="Calibri" w:hAnsi="Calibri" w:cs="Calibri"/>
          <w:color w:val="000000"/>
          <w:sz w:val="18"/>
          <w:vertAlign w:val="subscript"/>
        </w:rPr>
        <w:t xml:space="preserve">2 </w:t>
      </w:r>
      <w:r w:rsidRPr="003E0254">
        <w:rPr>
          <w:rFonts w:ascii="Calibri" w:eastAsia="Calibri" w:hAnsi="Calibri" w:cs="Calibri"/>
          <w:color w:val="000000"/>
        </w:rPr>
        <w:t>+ 4e</w:t>
      </w:r>
      <w:r w:rsidRPr="003E0254">
        <w:rPr>
          <w:rFonts w:ascii="Calibri" w:eastAsia="Calibri" w:hAnsi="Calibri" w:cs="Calibri"/>
          <w:color w:val="000000"/>
          <w:sz w:val="18"/>
          <w:vertAlign w:val="superscript"/>
        </w:rPr>
        <w:t>-</w:t>
      </w:r>
      <w:r w:rsidRPr="003E0254">
        <w:rPr>
          <w:rFonts w:ascii="Calibri" w:eastAsia="Calibri" w:hAnsi="Calibri" w:cs="Calibri"/>
          <w:color w:val="000000"/>
        </w:rPr>
        <w:t xml:space="preserve"> + 2H</w:t>
      </w:r>
      <w:r w:rsidRPr="003E0254">
        <w:rPr>
          <w:rFonts w:ascii="Calibri" w:eastAsia="Calibri" w:hAnsi="Calibri" w:cs="Calibri"/>
          <w:color w:val="000000"/>
          <w:sz w:val="18"/>
          <w:vertAlign w:val="subscript"/>
        </w:rPr>
        <w:t>2</w:t>
      </w:r>
      <w:r w:rsidRPr="003E0254">
        <w:rPr>
          <w:rFonts w:ascii="Calibri" w:eastAsia="Calibri" w:hAnsi="Calibri" w:cs="Calibri"/>
          <w:color w:val="000000"/>
        </w:rPr>
        <w:t xml:space="preserve">O </w:t>
      </w:r>
      <w:r w:rsidRPr="003E0254">
        <w:rPr>
          <w:rFonts w:ascii="Cambria Math" w:hAnsi="Cambria Math" w:cs="Cambria Math"/>
        </w:rPr>
        <w:t>⇌</w:t>
      </w:r>
      <w:r w:rsidRPr="003E0254">
        <w:rPr>
          <w:rFonts w:ascii="Calibri" w:eastAsia="Calibri" w:hAnsi="Calibri" w:cs="Calibri"/>
          <w:color w:val="000000"/>
        </w:rPr>
        <w:t xml:space="preserve"> 4OH</w:t>
      </w:r>
      <w:r w:rsidRPr="003E0254">
        <w:rPr>
          <w:rFonts w:ascii="Calibri" w:eastAsia="Calibri" w:hAnsi="Calibri" w:cs="Calibri"/>
          <w:color w:val="000000"/>
          <w:sz w:val="18"/>
          <w:vertAlign w:val="superscript"/>
        </w:rPr>
        <w:t>-</w:t>
      </w:r>
      <w:r w:rsidRPr="003E0254">
        <w:t xml:space="preserve">), as illustrated in Figure 3. These reactions are reversed when the cell is charged. The products of these reactions depend on the composition of the electrolyte. In aqueous electrolytes, the pH and the type of salt play crucial roles in determining the main discharge products, which could be zincate ions, zinc hydroxide, zinc oxide, or </w:t>
      </w:r>
      <w:proofErr w:type="spellStart"/>
      <w:r w:rsidR="00E44B98" w:rsidRPr="003E0254">
        <w:t>S</w:t>
      </w:r>
      <w:r w:rsidRPr="003E0254">
        <w:t>imonkolleite</w:t>
      </w:r>
      <w:proofErr w:type="spellEnd"/>
      <w:r w:rsidRPr="003E0254">
        <w:t>.</w:t>
      </w:r>
      <w:r w:rsidRPr="003E0254">
        <w:fldChar w:fldCharType="begin" w:fldLock="1"/>
      </w:r>
      <w:r w:rsidR="000F0B1D" w:rsidRPr="003E0254">
        <w:instrText>ADDIN CSL_CITATION {"citationItems":[{"id":"ITEM-1","itemData":{"DOI":"10.1016/J.EST.2017.12.004","ISSN":"2352-152X","abstract":"The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Storage","id":"ITEM-1","issued":{"date-parts":[["2018","2","1"]]},"page":"304-328","publisher":"Elsevier","title":"An overview of progress in electrolytes for secondary zinc-air batteries and other storage systems based on zinc","type":"article-journal","volume":"15"},"uris":["http://www.mendeley.com/documents/?uuid=1c32803a-05b4-4918-a283-2a75934802d4"]}],"mendeley":{"formattedCitation":"&lt;sup&gt;[35]&lt;/sup&gt;","plainTextFormattedCitation":"[35]","previouslyFormattedCitation":"&lt;sup&gt;[35]&lt;/sup&gt;"},"properties":{"noteIndex":0},"schema":"https://github.com/citation-style-language/schema/raw/master/csl-citation.json"}</w:instrText>
      </w:r>
      <w:r w:rsidRPr="003E0254">
        <w:fldChar w:fldCharType="separate"/>
      </w:r>
      <w:r w:rsidR="000F0B1D" w:rsidRPr="003E0254">
        <w:rPr>
          <w:noProof/>
          <w:vertAlign w:val="superscript"/>
        </w:rPr>
        <w:t>[35]</w:t>
      </w:r>
      <w:r w:rsidRPr="003E0254">
        <w:fldChar w:fldCharType="end"/>
      </w:r>
      <w:r w:rsidRPr="003E0254">
        <w:t xml:space="preserve"> </w:t>
      </w:r>
    </w:p>
    <w:p w14:paraId="310CB93F" w14:textId="70F2337D" w:rsidR="00944B19" w:rsidRPr="003E0254" w:rsidRDefault="00944B19" w:rsidP="00944B19">
      <w:pPr>
        <w:spacing w:line="276" w:lineRule="auto"/>
        <w:jc w:val="both"/>
      </w:pPr>
      <w:r w:rsidRPr="003E0254">
        <w:t>The performance of the ZABs mainly depends on two reactants: oxygen at the cathode and Zn at the anode. Considering the unlimited amount of O</w:t>
      </w:r>
      <w:r w:rsidRPr="003E0254">
        <w:rPr>
          <w:vertAlign w:val="subscript"/>
        </w:rPr>
        <w:t>2</w:t>
      </w:r>
      <w:r w:rsidRPr="003E0254">
        <w:t xml:space="preserve"> in the atmosphere, the performance of ZABs is heavily dependent on properties of the Zn electrode. Most of the studies on ZABs typically utilize the Zn anode in various forms, such as powder-based, foil, foam etc.</w:t>
      </w:r>
      <w:r w:rsidRPr="003E0254">
        <w:fldChar w:fldCharType="begin" w:fldLock="1"/>
      </w:r>
      <w:r w:rsidR="00500B8D" w:rsidRPr="003E0254">
        <w:instrText>ADDIN CSL_CITATION {"citationItems":[{"id":"ITEM-1","itemData":{"DOI":"10.1039/D2CS00684G","ISSN":"1460-4744","PMID":"37565571","abstract":"Sustainable zinc–air batteries (ZABs) are considered promising energy storage devices owing to their inherent safety, high energy density, wide operating temperature window, environmental friendliness, etc., showing great prospect for future large-scale applications. Thus, tremendous efforts have been devoted to addressing the critical challenges associated with sustainable ZABs, aiming to significantly improve their energy efficiency and prolong their operation lifespan. The growing interest in sustainable ZABs requires in-depth research on oxygen electrocatalysts, electrolytes, and Zn anodes, which have not been systematically reviewed to date. In this review, the fundamentals of ZABs, oxygen electrocatalysts for air cathodes, physicochemical properties of ZAB electrolytes, and issues and strategies for the stabilization of Zn anodes are systematically summarized from the perspective of fundamental characteristics and design principles. Meanwhile, significant advances in the in situ/operando characterization of ZABs are highlighted to provide insights into the reaction mechanism and dynamic evolution of the electrolyte|electrode interface. Finally, several critical thoughts and perspectives are provided regarding the challenges and opportunities for sustainable ZABs. Therefore, this review provides a thorough understanding of the advanced sustainable ZAB chemistry, hoping that this timely and comprehensive review can shed light on the upcoming research horizons of this prosperous area.","author":[{"dropping-particle":"","family":"Wang","given":"Qichen","non-dropping-particle":"","parse-names":false,"suffix":""},{"dropping-particle":"","family":"Kaushik","given":"Shubham","non-dropping-particle":"","parse-names":false,"suffix":""},{"dropping-particle":"","family":"Xiao","given":"Xin","non-dropping-particle":"","parse-names":false,"suffix":""},{"dropping-particle":"","family":"Xu","given":"Qiang","non-dropping-particle":"","parse-names":false,"suffix":""}],"container-title":"Chemical Society Reviews","id":"ITEM-1","issue":"17","issued":{"date-parts":[["2023","8","29"]]},"page":"6139-6190","publisher":"The Royal Society of Chemistry","title":"Sustainable zinc–air battery chemistry: advances, challenges and prospects","type":"article-journal","volume":"52"},"uris":["http://www.mendeley.com/documents/?uuid=8b534511-48a4-3ef5-a779-e5a083d49bb6"]},{"id":"ITEM-2","itemData":{"DOI":"10.1016/J.CHEMPR.2023.03.033","ISSN":"2451-9294","abstract":"Aqueous Zn-based batteries (AZBs) are promising for large-scale stationary grid storage and portable electronic devices owing to their high safety, cost efficiency, environmental benignity, and desirable power density. However, further development of AZBs is severely plagued by the limited energy density and inferior lifespan. Summarizing the material design principles for the cathode materials and Zn metal anodes (ZMAs) is crucial for the improvement of AZBs. In this review, we focus on the key scientific challenges of electrode materials and provide a comprehensive overview of the recent progress on the rational design principles for high-performance cathode materials, as well as efficient electrode modification strategies toward dendrite-free and long-life ZMAs, aiming to promote the potential practical application of AZBs. Finally, we will provide some observations on the current major bottlenecks and propose prospective solutions.","author":[{"dropping-particle":"","family":"Zeng","given":"Yinxiang","non-dropping-particle":"","parse-names":false,"suffix":""},{"dropping-particle":"","family":"Luan","given":"Deyan","non-dropping-particle":"","parse-names":false,"suffix":""},{"dropping-particle":"","family":"Lou","given":"Xiong Wen (David)","non-dropping-particle":"","parse-names":false,"suffix":""}],"container-title":"Chem","id":"ITEM-2","issue":"5","issued":{"date-parts":[["2023","5","11"]]},"page":"1118-1146","publisher":"Cell Press","title":"Recent advances in electrode engineering strategies for aqueous Zn-based batteries","type":"article-journal","volume":"9"},"uris":["http://www.mendeley.com/documents/?uuid=08568958-93d7-3be7-9ec7-b4d9339e0a7f"]}],"mendeley":{"formattedCitation":"&lt;sup&gt;[26,174]&lt;/sup&gt;","plainTextFormattedCitation":"[26,174]","previouslyFormattedCitation":"&lt;sup&gt;[26,173]&lt;/sup&gt;"},"properties":{"noteIndex":0},"schema":"https://github.com/citation-style-language/schema/raw/master/csl-citation.json"}</w:instrText>
      </w:r>
      <w:r w:rsidRPr="003E0254">
        <w:fldChar w:fldCharType="separate"/>
      </w:r>
      <w:r w:rsidR="00500B8D" w:rsidRPr="003E0254">
        <w:rPr>
          <w:noProof/>
          <w:vertAlign w:val="superscript"/>
        </w:rPr>
        <w:t>[26,174]</w:t>
      </w:r>
      <w:r w:rsidRPr="003E0254">
        <w:fldChar w:fldCharType="end"/>
      </w:r>
      <w:r w:rsidRPr="003E0254">
        <w:t xml:space="preserve"> The most common aqueous electrolyte for secondary ZABs is the conventional alkaline electrolyte due to its high ionic conductivity, high solubility of Zn salts, and high electrochemical reversibility of Zn.</w:t>
      </w:r>
      <w:r w:rsidRPr="003E0254">
        <w:fldChar w:fldCharType="begin" w:fldLock="1"/>
      </w:r>
      <w:r w:rsidR="000F0B1D" w:rsidRPr="003E0254">
        <w:instrText>ADDIN CSL_CITATION {"citationItems":[{"id":"ITEM-1","itemData":{"DOI":"10.1016/J.EST.2017.12.004","ISSN":"2352-152X","abstract":"The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Storage","id":"ITEM-1","issued":{"date-parts":[["2018","2","1"]]},"page":"304-328","publisher":"Elsevier","title":"An overview of progress in electrolytes for secondary zinc-air batteries and other storage systems based on zinc","type":"article-journal","volume":"15"},"uris":["http://www.mendeley.com/documents/?uuid=1c32803a-05b4-4918-a283-2a75934802d4"]}],"mendeley":{"formattedCitation":"&lt;sup&gt;[35]&lt;/sup&gt;","plainTextFormattedCitation":"[35]","previouslyFormattedCitation":"&lt;sup&gt;[35]&lt;/sup&gt;"},"properties":{"noteIndex":0},"schema":"https://github.com/citation-style-language/schema/raw/master/csl-citation.json"}</w:instrText>
      </w:r>
      <w:r w:rsidRPr="003E0254">
        <w:fldChar w:fldCharType="separate"/>
      </w:r>
      <w:r w:rsidR="000F0B1D" w:rsidRPr="003E0254">
        <w:rPr>
          <w:noProof/>
          <w:vertAlign w:val="superscript"/>
        </w:rPr>
        <w:t>[35]</w:t>
      </w:r>
      <w:r w:rsidRPr="003E0254">
        <w:fldChar w:fldCharType="end"/>
      </w:r>
      <w:r w:rsidRPr="003E0254">
        <w:t xml:space="preserve"> There </w:t>
      </w:r>
      <w:r w:rsidR="00213264" w:rsidRPr="003E0254">
        <w:t>is</w:t>
      </w:r>
      <w:r w:rsidRPr="003E0254">
        <w:t xml:space="preserve"> also </w:t>
      </w:r>
      <w:r w:rsidR="00213264" w:rsidRPr="003E0254">
        <w:t xml:space="preserve">a </w:t>
      </w:r>
      <w:r w:rsidRPr="003E0254">
        <w:t>growing interest in neutral electrolytes due to their advantages, such as more homogenous Zn deposition behavior and reduced carbonate formation.</w:t>
      </w:r>
      <w:r w:rsidRPr="003E0254">
        <w:fldChar w:fldCharType="begin" w:fldLock="1"/>
      </w:r>
      <w:r w:rsidR="00500B8D" w:rsidRPr="003E0254">
        <w:instrText>ADDIN CSL_CITATION {"citationItems":[{"id":"ITEM-1","itemData":{"DOI":"10.1016/J.CEJ.2020.127241","ISSN":"1385-8947","abstract":"In the past few years, there has been a growing level of interest in the research and development of energy storage systems such as batteries. This is a direct consequence of the soaring rise in global energy demand across various commercial and industrial sectors. Lithium ion batteries have set out a feasible horizon for widespread deployment as small-scale energy storage devices due to their high efficiency and cyclability. However, the availability and cost of lithium have limited the commercial deployment of large-scale systems. On the other hand, zinc-air batteries have demonstrated comparable efficiencies and have been reported to be suitable replacements for lithium batteries in large-scale applications. Nevertheless, more research has been undertaken to address the issues associated with the cycling processes of these batteries. Secondary zinc-air batteries are yet to be commercially proven feasible due to the low charge/discharge cycle life of electrodes. The main problems of secondary alkaline zinc–air batteries are dendritic growth resulting in an alternation of morphology and structure, self-dissolution and the consequent occurrence of hydrogen evolution reactions. However, by and large, inefficient electrolytes are the main culprits responsible for the reduced performance of zinc-air batteries. Therefore, a comprehensive review of current advancements in the development of suitable electrolytes to promote zinc-air batteries towards commercial application will provide a perspective for future rechargeable zinc-air batteries. In this in-depth review, the effects of the types of electrolytes and their properties on the electrochemical performance of Zn anode have been discussed. A demonstration of the current research status and challenges set upon the large-scale deployment of zinc-air batteries will facilitate the educated steering of future research directions in this critically important realm.","author":[{"dropping-particle":"","family":"Hosseini","given":"Soraya","non-dropping-particle":"","parse-names":false,"suffix":""},{"dropping-particle":"","family":"Masoudi Soltani","given":"Salman","non-dropping-particle":"","parse-names":false,"suffix":""},{"dropping-particle":"","family":"Li","given":"Yuan Yao","non-dropping-particle":"","parse-names":false,"suffix":""}],"container-title":"Chemical Engineering Journal","id":"ITEM-1","issued":{"date-parts":[["2021","3","15"]]},"page":"127241","publisher":"Elsevier","title":"Current status and technical challenges of electrolytes in zinc–air batteries: An in-depth review","type":"article-journal","volume":"408"},"uris":["http://www.mendeley.com/documents/?uuid=f65dfe3d-4e08-375b-bfa1-6d7e5337a87f"]}],"mendeley":{"formattedCitation":"&lt;sup&gt;[175]&lt;/sup&gt;","plainTextFormattedCitation":"[175]","previouslyFormattedCitation":"&lt;sup&gt;[174]&lt;/sup&gt;"},"properties":{"noteIndex":0},"schema":"https://github.com/citation-style-language/schema/raw/master/csl-citation.json"}</w:instrText>
      </w:r>
      <w:r w:rsidRPr="003E0254">
        <w:fldChar w:fldCharType="separate"/>
      </w:r>
      <w:r w:rsidR="00500B8D" w:rsidRPr="003E0254">
        <w:rPr>
          <w:noProof/>
          <w:vertAlign w:val="superscript"/>
        </w:rPr>
        <w:t>[175]</w:t>
      </w:r>
      <w:r w:rsidRPr="003E0254">
        <w:fldChar w:fldCharType="end"/>
      </w:r>
      <w:r w:rsidRPr="003E0254">
        <w:t xml:space="preserve"> At the air cathode, bifunctional catalysts capable of facilitating both oxygen reduction and evolution reactions are required. Thus, current research mainly focuses on developing highly stable and active electrocatalyst in combination with electrode engineering.</w:t>
      </w:r>
      <w:r w:rsidRPr="003E0254">
        <w:fldChar w:fldCharType="begin" w:fldLock="1"/>
      </w:r>
      <w:r w:rsidR="000F0B1D" w:rsidRPr="003E0254">
        <w:instrText>ADDIN CSL_CITATION {"citationItems":[{"id":"ITEM-1","itemData":{"DOI":"10.1007/S40820-024-01328-1","ISBN":"0123456789","ISSN":"2150-5551","abstract":"Zinc–air batteries (ZABs) are gaining attention as an ideal option for various applications requiring high-capacity batteries, such as portable electronics, electric vehicles, and renewable energy storage. ZABs offer advantages such as low environmental impact, enhanced safety compared to Li-ion batteries, and cost-effectiveness due to the abundance of zinc. However, early research faced challenges due to parasitic reactions at the zinc anode and slow oxygen redox kinetics. Recent advancements in restructuring the anode, utilizing alternative electrolytes, and developing bifunctional oxygen catalysts have significantly improved ZABs. Scientists have achieved battery reversibility over thousands of cycles, introduced new electrolytes, and achieved energy efficiency records surpassing 70%. Despite these achievements, there are challenges related to lower power density, shorter lifespan, and air electrode corrosion leading to performance degradation. This review paper discusses different battery configurations, and reaction mechanisms for electrically and mechanically rechargeable ZABs, and proposes remedies to enhance overall battery performance. The paper also explores recent advancements, applications, and the future prospects of electrically/mechanically rechargeable ZABs.","author":[{"dropping-particle":"","family":"Nazir","given":"Ghazanfar","non-dropping-particle":"","parse-names":false,"suffix":""},{"dropping-particle":"","family":"Rehman","given":"Adeela","non-dropping-particle":"","parse-names":false,"suffix":""},{"dropping-particle":"","family":"Lee","given":"Jong Hoon","non-dropping-particle":"","parse-names":false,"suffix":""},{"dropping-particle":"","family":"Kim","given":"Choong Hee","non-dropping-particle":"","parse-names":false,"suffix":""},{"dropping-particle":"","family":"Gautam","given":"Jagadis","non-dropping-particle":"","parse-names":false,"suffix":""},{"dropping-particle":"","family":"Heo","given":"Kwang","non-dropping-particle":"","parse-names":false,"suffix":""},{"dropping-particle":"","family":"Hussain","given":"Sajjad","non-dropping-particle":"","parse-names":false,"suffix":""},{"dropping-particle":"","family":"Ikram","given":"Muhammad","non-dropping-particle":"","parse-names":false,"suffix":""},{"dropping-particle":"","family":"AlObaid","given":"Abeer A.","non-dropping-particle":"","parse-names":false,"suffix":""},{"dropping-particle":"","family":"Lee","given":"Seul Yi","non-dropping-particle":"","parse-names":false,"suffix":""},{"dropping-particle":"","family":"Park","given":"Soo Jin","non-dropping-particle":"","parse-names":false,"suffix":""}],"container-title":"Nano-Micro Letters 2024 16:1","id":"ITEM-1","issue":"1","issued":{"date-parts":[["2024","2","29"]]},"page":"1-44","publisher":"Springer","title":"A Review of Rechargeable Zinc–Air Batteries: Recent Progress and Future Perspectives","type":"article-journal","volume":"16"},"uris":["http://www.mendeley.com/documents/?uuid=32ece0ca-1d07-48ed-bd9b-b4c24179575a"]}],"mendeley":{"formattedCitation":"&lt;sup&gt;[36]&lt;/sup&gt;","plainTextFormattedCitation":"[36]","previouslyFormattedCitation":"&lt;sup&gt;[36]&lt;/sup&gt;"},"properties":{"noteIndex":0},"schema":"https://github.com/citation-style-language/schema/raw/master/csl-citation.json"}</w:instrText>
      </w:r>
      <w:r w:rsidRPr="003E0254">
        <w:fldChar w:fldCharType="separate"/>
      </w:r>
      <w:r w:rsidR="000F0B1D" w:rsidRPr="003E0254">
        <w:rPr>
          <w:noProof/>
          <w:vertAlign w:val="superscript"/>
        </w:rPr>
        <w:t>[36]</w:t>
      </w:r>
      <w:r w:rsidRPr="003E0254">
        <w:fldChar w:fldCharType="end"/>
      </w:r>
      <w:r w:rsidRPr="003E0254">
        <w:t xml:space="preserve"> The complex nature of the reactions and reaction zones at the air cathode remains one of the major factors that limit the efficient cell operation.</w:t>
      </w:r>
      <w:r w:rsidRPr="003E0254">
        <w:fldChar w:fldCharType="begin" w:fldLock="1"/>
      </w:r>
      <w:r w:rsidR="000F0B1D" w:rsidRPr="003E0254">
        <w:instrText>ADDIN CSL_CITATION {"citationItems":[{"id":"ITEM-1","itemData":{"DOI":"10.1039/D2TA09626A","ISSN":"2050-7496","abstract":"Zn–air batteries (ZABs) have developed rapidly as novel energy storage devices to replace metal-ion batteries. However, the kinetics of the air-cathode is slow, and thus it is necessary to develop highly efficient and stable bifunctional catalysts. Generally, self-supporting electrodes can avoid the use of binder; moreover, the growth of the catalyst in situ on the substrate can improve the performance of ZABs. In this review, we systematically summarize the application of non-precious metal-based self-supporting electrodes in ZABs according to the recent research progress. Firstly, the basic structure and principle of ZABs, including Zn anodes, air-cathodes and electrolytes, are proposed. Subsequently, a reasonable electrode preparation method is discussed by combining the reaction mechanism of ZABs during the charging and discharging processes. The reaction mechanism is further discussed by combining operando techniques and theoretical calculations for a deep understanding of the real active sites, which lays the foundation for the directional synthesis of highly efficient self-supporting electrodes. Then, the application progress of self-supporting electrodes in ZABs is discussed, and it is proposed that the construction of hybrid cells is an effective means to promote battery efficiency. Finally, the challenges associated with ZABs and their future directions are presented and have a guiding significance for the rapid development of related fields.","author":[{"dropping-particle":"","family":"Liu","given":"Qi","non-dropping-particle":"","parse-names":false,"suffix":""},{"dropping-particle":"","family":"Wang","given":"Lei","non-dropping-particle":"","parse-names":false,"suffix":""},{"dropping-particle":"","family":"Fu","given":"Honggang","non-dropping-particle":"","parse-names":false,"suffix":""}],"container-title":"Journal of Materials Chemistry A","id":"ITEM-1","issue":"9","issued":{"date-parts":[["2023","2","27"]]},"page":"4400-4427","publisher":"The Royal Society of Chemistry","title":"Research progress on the construction of synergistic electrocatalytic ORR/OER self-supporting cathodes for zinc–air batteries","type":"article-journal","volume":"11"},"uris":["http://www.mendeley.com/documents/?uuid=9f9c174e-482f-343d-b4cc-e88c64e21f2d"]}],"mendeley":{"formattedCitation":"&lt;sup&gt;[37]&lt;/sup&gt;","plainTextFormattedCitation":"[37]","previouslyFormattedCitation":"&lt;sup&gt;[37]&lt;/sup&gt;"},"properties":{"noteIndex":0},"schema":"https://github.com/citation-style-language/schema/raw/master/csl-citation.json"}</w:instrText>
      </w:r>
      <w:r w:rsidRPr="003E0254">
        <w:fldChar w:fldCharType="separate"/>
      </w:r>
      <w:r w:rsidR="000F0B1D" w:rsidRPr="003E0254">
        <w:rPr>
          <w:noProof/>
          <w:vertAlign w:val="superscript"/>
        </w:rPr>
        <w:t>[37]</w:t>
      </w:r>
      <w:r w:rsidRPr="003E0254">
        <w:fldChar w:fldCharType="end"/>
      </w:r>
      <w:r w:rsidRPr="003E0254">
        <w:t xml:space="preserve">   </w:t>
      </w:r>
    </w:p>
    <w:p w14:paraId="112392EF" w14:textId="77777777" w:rsidR="005B1B4B" w:rsidRPr="003E0254" w:rsidRDefault="005B1B4B" w:rsidP="00944B19">
      <w:pPr>
        <w:spacing w:line="276" w:lineRule="auto"/>
        <w:jc w:val="both"/>
      </w:pPr>
    </w:p>
    <w:p w14:paraId="4DBC5983" w14:textId="0E315A62" w:rsidR="00B53C39" w:rsidRPr="003E0254" w:rsidRDefault="00DA35C9" w:rsidP="00360123">
      <w:pPr>
        <w:pStyle w:val="Beschriftung"/>
        <w:keepNext/>
        <w:jc w:val="both"/>
      </w:pPr>
      <w:r w:rsidRPr="003E0254">
        <w:t xml:space="preserve">Table </w:t>
      </w:r>
      <w:r w:rsidRPr="003E0254">
        <w:fldChar w:fldCharType="begin"/>
      </w:r>
      <w:r w:rsidRPr="003E0254">
        <w:instrText xml:space="preserve">SEQ Table \* ARABIC </w:instrText>
      </w:r>
      <w:r w:rsidRPr="003E0254">
        <w:fldChar w:fldCharType="separate"/>
      </w:r>
      <w:r w:rsidR="00BC65F2" w:rsidRPr="003E0254">
        <w:rPr>
          <w:noProof/>
        </w:rPr>
        <w:t>3</w:t>
      </w:r>
      <w:r w:rsidRPr="003E0254">
        <w:fldChar w:fldCharType="end"/>
      </w:r>
      <w:r w:rsidR="00905ABF" w:rsidRPr="003E0254">
        <w:t>:</w:t>
      </w:r>
      <w:r w:rsidRPr="003E0254">
        <w:rPr>
          <w:color w:val="FF0000"/>
        </w:rPr>
        <w:t xml:space="preserve"> </w:t>
      </w:r>
      <w:r w:rsidR="008A1258" w:rsidRPr="003E0254">
        <w:rPr>
          <w:color w:val="auto"/>
        </w:rPr>
        <w:t>The matrix provides a structured overview of the various individual aspects of zinc-air batteries. Each column and row represent specific characteristics or components of the system, while each cell within the matrix highlights a particular aspect related to these parameters. The matrix summarizes various strategies derived from successful findings in literature. Although most research has been conducted in aqueous media, these strategies can also be adapted for use with other electrolytes, as long as the stability of the materials is carefully considered.</w:t>
      </w:r>
    </w:p>
    <w:tbl>
      <w:tblPr>
        <w:tblStyle w:val="Tabellenraster"/>
        <w:tblW w:w="5000" w:type="pct"/>
        <w:jc w:val="center"/>
        <w:tblLook w:val="04A0" w:firstRow="1" w:lastRow="0" w:firstColumn="1" w:lastColumn="0" w:noHBand="0" w:noVBand="1"/>
      </w:tblPr>
      <w:tblGrid>
        <w:gridCol w:w="935"/>
        <w:gridCol w:w="1889"/>
        <w:gridCol w:w="1660"/>
        <w:gridCol w:w="1669"/>
        <w:gridCol w:w="1342"/>
        <w:gridCol w:w="1855"/>
      </w:tblGrid>
      <w:tr w:rsidR="00D53616" w:rsidRPr="003E0254" w14:paraId="11638A39" w14:textId="77777777" w:rsidTr="0039063F">
        <w:trPr>
          <w:jc w:val="center"/>
        </w:trPr>
        <w:tc>
          <w:tcPr>
            <w:tcW w:w="519" w:type="pct"/>
            <w:vAlign w:val="center"/>
          </w:tcPr>
          <w:p w14:paraId="4DC2C471" w14:textId="77777777" w:rsidR="00B53C39" w:rsidRPr="003E0254" w:rsidRDefault="00B53C39" w:rsidP="007043D0">
            <w:pPr>
              <w:jc w:val="center"/>
              <w:rPr>
                <w:b/>
                <w:bCs/>
                <w:sz w:val="20"/>
                <w:szCs w:val="20"/>
                <w:u w:val="single"/>
              </w:rPr>
            </w:pPr>
            <w:bookmarkStart w:id="8" w:name="_Hlk192149194"/>
          </w:p>
        </w:tc>
        <w:tc>
          <w:tcPr>
            <w:tcW w:w="1032" w:type="pct"/>
            <w:vAlign w:val="center"/>
          </w:tcPr>
          <w:p w14:paraId="43F6F253" w14:textId="77777777" w:rsidR="00B53C39" w:rsidRPr="003E0254" w:rsidRDefault="00DA35C9" w:rsidP="007043D0">
            <w:pPr>
              <w:jc w:val="center"/>
              <w:rPr>
                <w:b/>
                <w:bCs/>
                <w:sz w:val="20"/>
                <w:szCs w:val="20"/>
                <w:u w:val="single"/>
              </w:rPr>
            </w:pPr>
            <w:r w:rsidRPr="003E0254">
              <w:rPr>
                <w:b/>
                <w:bCs/>
                <w:sz w:val="20"/>
                <w:szCs w:val="20"/>
                <w:u w:val="single"/>
              </w:rPr>
              <w:t>Electrolyte</w:t>
            </w:r>
          </w:p>
        </w:tc>
        <w:tc>
          <w:tcPr>
            <w:tcW w:w="909" w:type="pct"/>
            <w:vAlign w:val="center"/>
          </w:tcPr>
          <w:p w14:paraId="73BB3ABB" w14:textId="77777777" w:rsidR="00B53C39" w:rsidRPr="003E0254" w:rsidRDefault="00DA35C9" w:rsidP="007043D0">
            <w:pPr>
              <w:jc w:val="center"/>
              <w:rPr>
                <w:b/>
                <w:bCs/>
                <w:sz w:val="20"/>
                <w:szCs w:val="20"/>
                <w:u w:val="single"/>
              </w:rPr>
            </w:pPr>
            <w:r w:rsidRPr="003E0254">
              <w:rPr>
                <w:b/>
                <w:bCs/>
                <w:sz w:val="20"/>
                <w:szCs w:val="20"/>
                <w:u w:val="single"/>
              </w:rPr>
              <w:t>Electrolyte Additives</w:t>
            </w:r>
          </w:p>
        </w:tc>
        <w:tc>
          <w:tcPr>
            <w:tcW w:w="737" w:type="pct"/>
            <w:vAlign w:val="center"/>
          </w:tcPr>
          <w:p w14:paraId="70C91D4E" w14:textId="77777777" w:rsidR="00B53C39" w:rsidRPr="003E0254" w:rsidRDefault="00DA35C9" w:rsidP="007043D0">
            <w:pPr>
              <w:jc w:val="center"/>
              <w:rPr>
                <w:b/>
                <w:bCs/>
                <w:sz w:val="20"/>
                <w:szCs w:val="20"/>
                <w:u w:val="single"/>
              </w:rPr>
            </w:pPr>
            <w:r w:rsidRPr="003E0254">
              <w:rPr>
                <w:b/>
                <w:bCs/>
                <w:sz w:val="20"/>
                <w:szCs w:val="20"/>
                <w:u w:val="single"/>
              </w:rPr>
              <w:t>Anode</w:t>
            </w:r>
          </w:p>
        </w:tc>
        <w:tc>
          <w:tcPr>
            <w:tcW w:w="770" w:type="pct"/>
            <w:vAlign w:val="center"/>
          </w:tcPr>
          <w:p w14:paraId="6E761F76" w14:textId="77777777" w:rsidR="00B53C39" w:rsidRPr="003E0254" w:rsidRDefault="00DA35C9" w:rsidP="007043D0">
            <w:pPr>
              <w:jc w:val="center"/>
              <w:rPr>
                <w:b/>
                <w:bCs/>
                <w:sz w:val="20"/>
                <w:szCs w:val="20"/>
                <w:u w:val="single"/>
              </w:rPr>
            </w:pPr>
            <w:r w:rsidRPr="003E0254">
              <w:rPr>
                <w:b/>
                <w:bCs/>
                <w:sz w:val="20"/>
                <w:szCs w:val="20"/>
                <w:u w:val="single"/>
              </w:rPr>
              <w:t>Anode Additives</w:t>
            </w:r>
          </w:p>
        </w:tc>
        <w:tc>
          <w:tcPr>
            <w:tcW w:w="1034" w:type="pct"/>
            <w:vAlign w:val="center"/>
          </w:tcPr>
          <w:p w14:paraId="44A1E1E3" w14:textId="77777777" w:rsidR="00B53C39" w:rsidRPr="003E0254" w:rsidRDefault="00DA35C9" w:rsidP="007043D0">
            <w:pPr>
              <w:jc w:val="center"/>
              <w:rPr>
                <w:b/>
                <w:bCs/>
                <w:sz w:val="20"/>
                <w:szCs w:val="20"/>
                <w:u w:val="single"/>
              </w:rPr>
            </w:pPr>
            <w:r w:rsidRPr="003E0254">
              <w:rPr>
                <w:b/>
                <w:bCs/>
                <w:sz w:val="20"/>
                <w:szCs w:val="20"/>
                <w:u w:val="single"/>
              </w:rPr>
              <w:t>Cathode catalyst</w:t>
            </w:r>
          </w:p>
        </w:tc>
      </w:tr>
      <w:tr w:rsidR="006515E9" w:rsidRPr="003E0254" w14:paraId="3BA2FD95" w14:textId="77777777" w:rsidTr="0039063F">
        <w:trPr>
          <w:jc w:val="center"/>
        </w:trPr>
        <w:tc>
          <w:tcPr>
            <w:tcW w:w="519" w:type="pct"/>
            <w:vMerge w:val="restart"/>
            <w:shd w:val="clear" w:color="auto" w:fill="D1D1D1" w:themeFill="background2" w:themeFillShade="E6"/>
            <w:vAlign w:val="center"/>
          </w:tcPr>
          <w:p w14:paraId="32BA6E7F" w14:textId="77777777" w:rsidR="00FF3605" w:rsidRPr="003E0254" w:rsidRDefault="00FF3605" w:rsidP="007043D0">
            <w:pPr>
              <w:jc w:val="center"/>
              <w:rPr>
                <w:b/>
                <w:bCs/>
                <w:sz w:val="20"/>
                <w:szCs w:val="20"/>
                <w:u w:val="single"/>
              </w:rPr>
            </w:pPr>
            <w:r w:rsidRPr="003E0254">
              <w:rPr>
                <w:b/>
                <w:bCs/>
                <w:sz w:val="20"/>
                <w:szCs w:val="20"/>
                <w:u w:val="single"/>
              </w:rPr>
              <w:lastRenderedPageBreak/>
              <w:t>Alkaline</w:t>
            </w:r>
          </w:p>
          <w:p w14:paraId="352DC40C" w14:textId="77777777" w:rsidR="00FF3605" w:rsidRPr="003E0254" w:rsidRDefault="00FF3605" w:rsidP="007043D0">
            <w:pPr>
              <w:jc w:val="center"/>
              <w:rPr>
                <w:b/>
                <w:bCs/>
                <w:sz w:val="20"/>
                <w:szCs w:val="20"/>
                <w:u w:val="single"/>
              </w:rPr>
            </w:pPr>
            <w:r w:rsidRPr="003E0254">
              <w:rPr>
                <w:b/>
                <w:bCs/>
                <w:sz w:val="20"/>
                <w:szCs w:val="20"/>
                <w:u w:val="single"/>
              </w:rPr>
              <w:t>pH&gt;13</w:t>
            </w:r>
          </w:p>
        </w:tc>
        <w:tc>
          <w:tcPr>
            <w:tcW w:w="1032" w:type="pct"/>
            <w:vMerge w:val="restart"/>
            <w:shd w:val="clear" w:color="auto" w:fill="D1D1D1" w:themeFill="background2" w:themeFillShade="E6"/>
            <w:vAlign w:val="center"/>
          </w:tcPr>
          <w:p w14:paraId="5FA2AB3F" w14:textId="4778DF86" w:rsidR="00FF3605" w:rsidRPr="003E0254" w:rsidRDefault="00FF3605" w:rsidP="007043D0">
            <w:pPr>
              <w:jc w:val="center"/>
              <w:rPr>
                <w:b/>
                <w:bCs/>
                <w:sz w:val="20"/>
                <w:szCs w:val="20"/>
                <w:u w:val="single"/>
              </w:rPr>
            </w:pPr>
            <w:r w:rsidRPr="003E0254">
              <w:rPr>
                <w:b/>
                <w:bCs/>
                <w:sz w:val="20"/>
                <w:szCs w:val="20"/>
                <w:u w:val="single"/>
              </w:rPr>
              <w:t>6M KOH</w:t>
            </w:r>
          </w:p>
        </w:tc>
        <w:tc>
          <w:tcPr>
            <w:tcW w:w="909" w:type="pct"/>
            <w:shd w:val="clear" w:color="auto" w:fill="D1D1D1" w:themeFill="background2" w:themeFillShade="E6"/>
            <w:vAlign w:val="center"/>
          </w:tcPr>
          <w:p w14:paraId="7E906D8B" w14:textId="71AAA664" w:rsidR="00FF3605" w:rsidRPr="003E0254" w:rsidRDefault="001F7477" w:rsidP="007043D0">
            <w:pPr>
              <w:jc w:val="center"/>
              <w:rPr>
                <w:b/>
                <w:bCs/>
                <w:sz w:val="20"/>
                <w:szCs w:val="20"/>
                <w:u w:val="single"/>
              </w:rPr>
            </w:pPr>
            <w:r w:rsidRPr="003E0254">
              <w:rPr>
                <w:b/>
                <w:bCs/>
                <w:sz w:val="20"/>
                <w:szCs w:val="20"/>
                <w:u w:val="single"/>
              </w:rPr>
              <w:t>O</w:t>
            </w:r>
            <w:r w:rsidR="00FF3605" w:rsidRPr="003E0254">
              <w:rPr>
                <w:b/>
                <w:bCs/>
                <w:sz w:val="20"/>
                <w:szCs w:val="20"/>
                <w:u w:val="single"/>
              </w:rPr>
              <w:t xml:space="preserve">rganic </w:t>
            </w:r>
            <w:r w:rsidR="00AF031A" w:rsidRPr="003E0254">
              <w:rPr>
                <w:b/>
                <w:bCs/>
                <w:sz w:val="20"/>
                <w:szCs w:val="20"/>
                <w:u w:val="single"/>
              </w:rPr>
              <w:t>compounds</w:t>
            </w:r>
            <w:r w:rsidRPr="003E0254">
              <w:rPr>
                <w:b/>
                <w:bCs/>
                <w:sz w:val="20"/>
                <w:szCs w:val="20"/>
                <w:u w:val="single"/>
              </w:rPr>
              <w:fldChar w:fldCharType="begin" w:fldLock="1"/>
            </w:r>
            <w:r w:rsidR="00500B8D" w:rsidRPr="003E0254">
              <w:rPr>
                <w:b/>
                <w:bCs/>
                <w:sz w:val="20"/>
                <w:szCs w:val="20"/>
                <w:u w:val="single"/>
              </w:rPr>
              <w:instrText>ADDIN CSL_CITATION {"citationItems":[{"id":"ITEM-1","itemData":{"DOI":"10.1016/J.EST.2017.12.004","ISSN":"2352-152X","abstract":"The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Storage","id":"ITEM-1","issued":{"date-parts":[["2018","2","1"]]},"page":"304-328","publisher":"Elsevier","title":"An overview of progress in electrolytes for secondary zinc-air batteries and other storage systems based on zinc","type":"article-journal","volume":"15"},"uris":["http://www.mendeley.com/documents/?uuid=1c32803a-05b4-4918-a283-2a75934802d4"]},{"id":"ITEM-2","itemData":{"DOI":"10.1016/J.JPOWSOUR.2005.10.094","ISSN":"0378-7753","abstract":"The reversibility of zinc anode in alkaline medium was enhanced by electrostatic deposition of a conducting polymer (polypyrrole). Electropolymerization of pyrrole onto zinc in aqueous medium using an organic acid as dopant is feasible and preferred as zinc is less corrosive in this medium. The structure of the polymer film was analyzed by FT-IR spectroscopy and scanning electron microscopy. The effect of the polypyrrole deposit on the zinc electrode was studied by cyclic voltammetry and charge-discharge cycling. © 2005 Elsevier B.V. All rights reserved.","author":[{"dropping-particle":"","family":"Vatsalarani","given":"J.","non-dropping-particle":"","parse-names":false,"suffix":""},{"dropping-particle":"","family":"Geetha","given":"S.","non-dropping-particle":"","parse-names":false,"suffix":""},{"dropping-particle":"","family":"Trivedi","given":"D. C.","non-dropping-particle":"","parse-names":false,"suffix":""},{"dropping-particle":"","family":"Warrier","given":"P. C.","non-dropping-particle":"","parse-names":false,"suffix":""}],"container-title":"Journal of Power Sources","id":"ITEM-2","issue":"2","issued":{"date-parts":[["2006","8","25"]]},"page":"1484-1489","publisher":"Elsevier","title":"Stabilization of zinc electrodes with a conducting polymer","type":"article-journal","volume":"158"},"uris":["http://www.mendeley.com/documents/?uuid=faf4390d-4498-339c-979f-997eea460787"]},{"id":"ITEM-3","itemData":{"DOI":"10.1016/J.JPOWSOUR.2016.09.142","ISSN":"0378-7753","abstract":"Neutral chloride-based electrolyte and directly grown manganese oxide on carbon paper are used as the electrolyte and air cathode respectively for rechargeable Zn-air batteries. Oxygen reduction and oxygen evolution reactions on manganese oxide show dependence of activities on the pH of the electrolyte. Zn-air batteries with chloride-based electrolyte and manganese oxide catalyst exhibit satisfactory voltage profile (discharge and charge voltage of 1 and 2 V at 1 mA cm−2) and excellent cycling stability (≈90 days of continuous cycle test), which is attributed to the reduced carbon corrosion on the air cathode and decreased carbonation in neutral electrolyte. This work describes a robust electrolyte system that improves the cycle life of rechargeable Zn-air batteries.","author":[{"dropping-particle":"","family":"Sumboja","given":"Afriyanti","non-dropping-particle":"","parse-names":false,"suffix":""},{"dropping-particle":"","family":"Ge","given":"Xiaoming","non-dropping-particle":"","parse-names":false,"suffix":""},{"dropping-particle":"","family":"Zheng","given":"Guangyuan","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Journal of Power Sources","id":"ITEM-3","issued":{"date-parts":[["2016","11","15"]]},"page":"330-336","publisher":"Elsevier","title":"Durable rechargeable zinc-air batteries with neutral electrolyte and manganese oxide catalyst","type":"article-journal","volume":"332"},"uris":["http://www.mendeley.com/documents/?uuid=5cfc5202-e67b-3cbf-8530-389a40c4e873"]},{"id":"ITEM-4","itemData":{"DOI":"10.1002/BATT.202100116","ISSN":"2566-6223","abstract":"The influence of ethylenediaminetetraacetic acid (EDTA) electrolyte additive on the performance of Zn−air batteries with near-neutral chloride-based electrolytes was examined for primary and secondary batteries. The electrochemical measurements indicated that Zn is not completely active in neat 2 M NaCl, but still could be discharged up to 1 mA cm−2 around −1.0 VAg/AgCl. The characterization of the Zn surfaces revealed the existence of a passive film consisting of Simonkolleite, Zn(OH)2, and/or ZnO. The EDTA additive enhanced the discharge voltages by 200 mV to −1.2 VAg/AgCl indicating an active Zn surface. The effect of EDTA is explained by its chelation abilities with Zn2+ before formation of hydroxide or oxide species. The Zn−air cells with EDTA were operated up to 930 h with specific energies up to 840 Wh kgZn−1. The cells could also be cycled up to 70 cycles while providing enhanced discharge voltages at 1.15 V over 50 cycles. The positive effect of EDTA is dependent on the amount of free EDTA molecules. Nevertheless, the Zn−air cells showed better performance in terms of higher discharge voltage, discharge energies, and lower overpotentials in presence of EDTA.","author":[{"dropping-particle":"","family":"Montiel Guerrero","given":"Saul Said","non-dropping-particle":"","parse-names":false,"suffix":""},{"dropping-particle":"","family":"Durmus","given":"Yasin Emre","non-dropping-particle":"","parse-names":false,"suffix":""},{"dropping-particle":"","family":"Dzieciol","given":"Krzysztof","non-dropping-particle":"","parse-names":false,"suffix":""},{"dropping-particle":"","family":"Basak","given":"Shibabrata","non-dropping-particle":"","parse-names":false,"suffix":""},{"dropping-particle":"","family":"Tempel","given":"Hermann","non-dropping-particle":"","parse-names":false,"suffix":""},{"dropping-particle":"","family":"Waasen","given":"Stefan","non-dropping-particle":"van","parse-names":false,"suffix":""},{"dropping-particle":"","family":"Kungl","given":"Hans","non-dropping-particle":"","parse-names":false,"suffix":""},{"dropping-particle":"","family":"Eichel","given":"Rüdiger A.","non-dropping-particle":"","parse-names":false,"suffix":""}],"container-title":"Batteries &amp; Supercaps","id":"ITEM-4","issue":"12","issued":{"date-parts":[["2021","12","1"]]},"page":"1830-1842","publisher":"John Wiley &amp; Sons, Ltd","title":"Improved Electrochemical Performance of Zinc Anodes by EDTA in Near-Neutral Zinc−Air Batteries","type":"article-journal","volume":"4"},"uris":["http://www.mendeley.com/documents/?uuid=a8bf7973-3c13-39ce-b768-1cd5fca88b31"]},{"id":"ITEM-5","itemData":{"DOI":"10.1016/J.APSUSC.2017.06.033","ISSN":"0169-4332","abstract":"The self-discharge behavior of zinc-air batteries is a critical issue that is induced by corrosion and hydrogen evolution reaction (HER) of zinc anodes. Polyaniline (PANI) coatings help control the HER and the corrosion reaction. Herein, PANI is synthesized with different amounts of HCl (20, 50, 100 ml). Among these, the PANI synthesized using 20 ml of HCl (20PANI@Zn) is the most effective for reducing the self-discharge behavior because it provides more amount of coating layer on the surfaces of the zinc particles compared to other prepared materials. This layer prevents direct contact between zinc and the aqueous electrolyte and minimize HER. The 20PANI@Zn shows 85% corrosion inhibition efficiency against pure zinc and results in 97.81% capacity retention after 24 h storage against no-storage condition at ambient temperature.","author":[{"dropping-particle":"","family":"Jo","given":"Yong Nam","non-dropping-particle":"","parse-names":false,"suffix":""},{"dropping-particle":"","family":"Kang","given":"Suk Hyun","non-dropping-particle":"","parse-names":false,"suffix":""},{"dropping-particle":"","family":"Prasanna","given":"K.","non-dropping-particle":"","parse-names":false,"suffix":""},{"dropping-particle":"","family":"Eom","given":"Seung Wook","non-dropping-particle":"","parse-names":false,"suffix":""},{"dropping-particle":"","family":"Lee","given":"Chang Woo","non-dropping-particle":"","parse-names":false,"suffix":""}],"container-title":"Applied Surface Science","id":"ITEM-5","issued":{"date-parts":[["2017","11","15"]]},"page":"406-412","publisher":"North-Holland","title":"Shield effect of polyaniline between zinc active material and aqueous electrolyte in zinc-air batteries","type":"article-journal","volume":"422"},"uris":["http://www.mendeley.com/documents/?uuid=66341d8f-dc04-3301-9fed-296102c7abb0"]},{"id":"ITEM-6","itemData":{"DOI":"10.1016/J.MATCHEMPHYS.2011.02.061","ISSN":"0254-0584","abstract":"The synergism of imidazole (IMZ) and poly(ethylene glycol) 600 (PEG) for zinc corrosion inhibition in 3 mol L-1 KOH solution was investigated using a combination of electrochemical and gravimetric methods, and the surface morphology of the zinc was observed by scanning electron microscopy. It is found that there is a synergistic effect between IMZ and PEG for the zinc corrosion inhibition. The difference in molecular structure, ring for IMZ and chain for PEG, and in binding atoms with zinc, nitrogen in IMZ and oxygen in PEG, contributes to this synergistic effect. IMZ inhibits zinc corrosion by mainly depressing the anodic reaction, whereas PEG by depressing the cathodic reaction. The storage performance of the zinc-manganese dioxide batteries using IMZ and/or PEG as inhibitors was determined by discharge test, with a comparison of the battery using mercury as the inhibitor. The battery containing 0.05% IMZ + 0.05% PEG exhibits better performance than the mercury-containing battery, especially when discharged at high rate. © 2011 Published by Elsevier B.V.","author":[{"dropping-particle":"","family":"Zhou","given":"Hebing","non-dropping-particle":"","parse-names":false,"suffix":""},{"dropping-particle":"","family":"Huang","given":"Qiming","non-dropping-particle":"","parse-names":false,"suffix":""},{"dropping-particle":"","family":"Liang","given":"Man","non-dropping-particle":"","parse-names":false,"suffix":""},{"dropping-particle":"","family":"Lv","given":"Dongsheng","non-dropping-particle":"","parse-names":false,"suffix":""},{"dropping-particle":"","family":"Xu","given":"Mengqing","non-dropping-particle":"","parse-names":false,"suffix":""},{"dropping-particle":"","family":"Li","given":"Hong","non-dropping-particle":"","parse-names":false,"suffix":""},{"dropping-particle":"","family":"Li","given":"Weishan","non-dropping-particle":"","parse-names":false,"suffix":""}],"container-title":"Materials Chemistry and Physics","id":"ITEM-6","issue":"1-2","issued":{"date-parts":[["2011","7","15"]]},"page":"214-219","publisher":"Elsevier","title":"Investigation on synergism of composite additives for zinc corrosion inhibition in alkaline solution","type":"article-journal","volume":"128"},"uris":["http://www.mendeley.com/documents/?uuid=aebc0fca-6c1f-3422-8661-98fb3fc1983f"]}],"mendeley":{"formattedCitation":"&lt;sup&gt;[35,176–180]&lt;/sup&gt;","plainTextFormattedCitation":"[35,176–180]","previouslyFormattedCitation":"&lt;sup&gt;[35,175–179]&lt;/sup&gt;"},"properties":{"noteIndex":0},"schema":"https://github.com/citation-style-language/schema/raw/master/csl-citation.json"}</w:instrText>
            </w:r>
            <w:r w:rsidRPr="003E0254">
              <w:rPr>
                <w:b/>
                <w:bCs/>
                <w:sz w:val="20"/>
                <w:szCs w:val="20"/>
                <w:u w:val="single"/>
              </w:rPr>
              <w:fldChar w:fldCharType="separate"/>
            </w:r>
            <w:r w:rsidR="00500B8D" w:rsidRPr="003E0254">
              <w:rPr>
                <w:bCs/>
                <w:noProof/>
                <w:sz w:val="20"/>
                <w:szCs w:val="20"/>
                <w:vertAlign w:val="superscript"/>
              </w:rPr>
              <w:t>[35,176–180]</w:t>
            </w:r>
            <w:r w:rsidRPr="003E0254">
              <w:rPr>
                <w:b/>
                <w:bCs/>
                <w:sz w:val="20"/>
                <w:szCs w:val="20"/>
                <w:u w:val="single"/>
              </w:rPr>
              <w:fldChar w:fldCharType="end"/>
            </w:r>
          </w:p>
        </w:tc>
        <w:tc>
          <w:tcPr>
            <w:tcW w:w="737" w:type="pct"/>
            <w:shd w:val="clear" w:color="auto" w:fill="D1D1D1" w:themeFill="background2" w:themeFillShade="E6"/>
            <w:vAlign w:val="center"/>
          </w:tcPr>
          <w:p w14:paraId="05C76FA7" w14:textId="211F3E80" w:rsidR="00FF3605" w:rsidRPr="003E0254" w:rsidRDefault="00FF3605" w:rsidP="007043D0">
            <w:pPr>
              <w:jc w:val="center"/>
              <w:rPr>
                <w:b/>
                <w:bCs/>
                <w:sz w:val="20"/>
                <w:szCs w:val="20"/>
                <w:u w:val="single"/>
              </w:rPr>
            </w:pPr>
            <w:r w:rsidRPr="003E0254">
              <w:rPr>
                <w:b/>
                <w:bCs/>
                <w:sz w:val="20"/>
                <w:szCs w:val="20"/>
                <w:u w:val="single"/>
              </w:rPr>
              <w:t>Planar surface</w:t>
            </w:r>
            <w:r w:rsidR="007043D0" w:rsidRPr="003E0254">
              <w:rPr>
                <w:sz w:val="20"/>
                <w:szCs w:val="20"/>
              </w:rPr>
              <w:fldChar w:fldCharType="begin" w:fldLock="1"/>
            </w:r>
            <w:r w:rsidR="00500B8D" w:rsidRPr="003E0254">
              <w:rPr>
                <w:sz w:val="20"/>
                <w:szCs w:val="20"/>
              </w:rPr>
              <w:instrText>ADDIN CSL_CITATION {"citationItems":[{"id":"ITEM-1","itemData":{"DOI":"10.1038/s41467-020-15853-1","ISSN":"2041-1723","PMID":"32327651","abstract":"Recent fruitful studies on rechargeable zinc-air battery have led to emergence of various bifunctional oxygen electrocatalysts, especially metal-based materials. However, their electrocatalytic configuration and evolution pathway during battery operation are rarely spotlighted. Herein, to depict the underlying behaviors, a concept named dynamic electrocatalyst is proposed. By selecting a bimetal nitride as representation, a current-driven “shell-bulk” configuration is visualized via time-resolved X-ray and electron spectroscopy analyses. A dynamic picture sketching the generation and maturation of nanoscale oxyhydroxide shell is presented, and periodic valence swings of performance-dominant element are observed. Upon maturation, zinc-air battery experiences a near two-fold enlargement in power density to 234</w:instrText>
            </w:r>
            <w:r w:rsidR="00500B8D" w:rsidRPr="003E0254">
              <w:rPr>
                <w:rFonts w:ascii="Arial" w:hAnsi="Arial" w:cs="Arial"/>
                <w:sz w:val="20"/>
                <w:szCs w:val="20"/>
              </w:rPr>
              <w:instrText> </w:instrText>
            </w:r>
            <w:r w:rsidR="00500B8D" w:rsidRPr="003E0254">
              <w:rPr>
                <w:sz w:val="20"/>
                <w:szCs w:val="20"/>
              </w:rPr>
              <w:instrText>mW</w:instrText>
            </w:r>
            <w:r w:rsidR="00500B8D" w:rsidRPr="003E0254">
              <w:rPr>
                <w:rFonts w:ascii="Arial" w:hAnsi="Arial" w:cs="Arial"/>
                <w:sz w:val="20"/>
                <w:szCs w:val="20"/>
              </w:rPr>
              <w:instrText> </w:instrText>
            </w:r>
            <w:r w:rsidR="00500B8D" w:rsidRPr="003E0254">
              <w:rPr>
                <w:sz w:val="20"/>
                <w:szCs w:val="20"/>
              </w:rPr>
              <w:instrText>cm</w:instrText>
            </w:r>
            <w:r w:rsidR="00500B8D" w:rsidRPr="003E0254">
              <w:rPr>
                <w:rFonts w:ascii="Aptos" w:hAnsi="Aptos" w:cs="Aptos"/>
                <w:sz w:val="20"/>
                <w:szCs w:val="20"/>
              </w:rPr>
              <w:instrText>−</w:instrText>
            </w:r>
            <w:r w:rsidR="00500B8D" w:rsidRPr="003E0254">
              <w:rPr>
                <w:sz w:val="20"/>
                <w:szCs w:val="20"/>
              </w:rPr>
              <w:instrText>2, a&amp;nbsp;gradual narrowing of voltage gap to 0.85</w:instrText>
            </w:r>
            <w:r w:rsidR="00500B8D" w:rsidRPr="003E0254">
              <w:rPr>
                <w:rFonts w:ascii="Arial" w:hAnsi="Arial" w:cs="Arial"/>
                <w:sz w:val="20"/>
                <w:szCs w:val="20"/>
              </w:rPr>
              <w:instrText> </w:instrText>
            </w:r>
            <w:r w:rsidR="00500B8D" w:rsidRPr="003E0254">
              <w:rPr>
                <w:sz w:val="20"/>
                <w:szCs w:val="20"/>
              </w:rPr>
              <w:instrText>V at 30</w:instrText>
            </w:r>
            <w:r w:rsidR="00500B8D" w:rsidRPr="003E0254">
              <w:rPr>
                <w:rFonts w:ascii="Arial" w:hAnsi="Arial" w:cs="Arial"/>
                <w:sz w:val="20"/>
                <w:szCs w:val="20"/>
              </w:rPr>
              <w:instrText> </w:instrText>
            </w:r>
            <w:r w:rsidR="00500B8D" w:rsidRPr="003E0254">
              <w:rPr>
                <w:sz w:val="20"/>
                <w:szCs w:val="20"/>
              </w:rPr>
              <w:instrText>mA</w:instrText>
            </w:r>
            <w:r w:rsidR="00500B8D" w:rsidRPr="003E0254">
              <w:rPr>
                <w:rFonts w:ascii="Arial" w:hAnsi="Arial" w:cs="Arial"/>
                <w:sz w:val="20"/>
                <w:szCs w:val="20"/>
              </w:rPr>
              <w:instrText> </w:instrText>
            </w:r>
            <w:r w:rsidR="00500B8D" w:rsidRPr="003E0254">
              <w:rPr>
                <w:sz w:val="20"/>
                <w:szCs w:val="20"/>
              </w:rPr>
              <w:instrText>cm</w:instrText>
            </w:r>
            <w:r w:rsidR="00500B8D" w:rsidRPr="003E0254">
              <w:rPr>
                <w:rFonts w:ascii="Aptos" w:hAnsi="Aptos" w:cs="Aptos"/>
                <w:sz w:val="20"/>
                <w:szCs w:val="20"/>
              </w:rPr>
              <w:instrText>−</w:instrText>
            </w:r>
            <w:r w:rsidR="00500B8D" w:rsidRPr="003E0254">
              <w:rPr>
                <w:sz w:val="20"/>
                <w:szCs w:val="20"/>
              </w:rPr>
              <w:instrText>2, followed by stable cycling for hundreds of hours. The revealed configuration can serve as the basis to construct future blueprints for metal-based electrocatalysts, and push zinc-air battery toward practical application. Interest in rechargeable Zn-air batteries has been renewed in recent years, however, their oxygen electrocatalysts remain not fully understood. Here the authors reveal the presence of a current-driven oxyhydroxide shell in a so-called dynamic eletrocatalyst that enables optimized battery performance.","author":[{"dropping-particle":"","family":"Deng","given":"Ya Ping","non-dropping-particle":"","parse-names":false,"suffix":""},{"dropping-particle":"","family":"Jiang","given":"Yi","non-dropping-particle":"","parse-names":false,"suffix":""},{"dropping-particle":"","family":"Liang","given":"Ruilin","non-dropping-particle":"","parse-names":false,"suffix":""},{"dropping-particle":"","family":"Zhang","given":"Shao Jian","non-dropping-particle":"","parse-names":false,"suffix":""},{"dropping-particle":"","family":"Luo","given":"Dan","non-dropping-particle":"","parse-names":false,"suffix":""},{"dropping-particle":"","family":"Hu","given":"Yongfeng","non-dropping-particle":"","parse-names":false,"suffix":""},{"dropping-particle":"","family":"Wang","given":"Xin","non-dropping-particle":"","parse-names":false,"suffix":""},{"dropping-particle":"","family":"Li","given":"Jun Tao","non-dropping-particle":"","parse-names":false,"suffix":""},{"dropping-particle":"","family":"Yu","given":"Aiping","non-dropping-particle":"","parse-names":false,"suffix":""},{"dropping-particle":"","family":"Chen","given":"Zhongwei","non-dropping-particle":"","parse-names":false,"suffix":""}],"container-title":"Nature Communications 2020 11:1","id":"ITEM-1","issue":"1","issued":{"date-parts":[["2020","4","23"]]},"page":"1-10","publisher":"Nature Publishing Group","title":"Dynamic electrocatalyst with current-driven oxyhydroxide shell for rechargeable zinc-air battery","type":"article-journal","volume":"11"},"uris":["http://www.mendeley.com/documents/?uuid=62b3ec99-7d26-3ce9-8e2a-92fdccee53d5"]},{"id":"ITEM-2","itemData":{"DOI":"10.1002/aenm.201701642","ISSN":"1614-6832","abstract":"Porous carbon nitride (PCN) composites are fabricated using a top</w:instrText>
            </w:r>
            <w:r w:rsidR="00500B8D" w:rsidRPr="003E0254">
              <w:rPr>
                <w:rFonts w:ascii="Cambria Math" w:hAnsi="Cambria Math" w:cs="Cambria Math"/>
                <w:sz w:val="20"/>
                <w:szCs w:val="20"/>
              </w:rPr>
              <w:instrText>‐</w:instrText>
            </w:r>
            <w:r w:rsidR="00500B8D" w:rsidRPr="003E0254">
              <w:rPr>
                <w:sz w:val="20"/>
                <w:szCs w:val="20"/>
              </w:rPr>
              <w:instrText>down strategy, followed by additions of graphene and CoS x nanoparticles. This subsequently enhances conductivity and catalytic activity of PCN (abbreviated as CoS x @PCN/rGO) and is achieved by one</w:instrText>
            </w:r>
            <w:r w:rsidR="00500B8D" w:rsidRPr="003E0254">
              <w:rPr>
                <w:rFonts w:ascii="Cambria Math" w:hAnsi="Cambria Math" w:cs="Cambria Math"/>
                <w:sz w:val="20"/>
                <w:szCs w:val="20"/>
              </w:rPr>
              <w:instrText>‐</w:instrText>
            </w:r>
            <w:r w:rsidR="00500B8D" w:rsidRPr="003E0254">
              <w:rPr>
                <w:sz w:val="20"/>
                <w:szCs w:val="20"/>
              </w:rPr>
              <w:instrText>step sulfuration of PCN/graphene oxides (GO) composite materials. As a result, the as</w:instrText>
            </w:r>
            <w:r w:rsidR="00500B8D" w:rsidRPr="003E0254">
              <w:rPr>
                <w:rFonts w:ascii="Cambria Math" w:hAnsi="Cambria Math" w:cs="Cambria Math"/>
                <w:sz w:val="20"/>
                <w:szCs w:val="20"/>
              </w:rPr>
              <w:instrText>‐</w:instrText>
            </w:r>
            <w:r w:rsidR="00500B8D" w:rsidRPr="003E0254">
              <w:rPr>
                <w:sz w:val="20"/>
                <w:szCs w:val="20"/>
              </w:rPr>
              <w:instrText>prepared CoS x @PCN/rGO catalysts display excellent activity and stability toward both oxygen evolution and reduction reactions, surpassing electrocatalytic performance shown by state</w:instrText>
            </w:r>
            <w:r w:rsidR="00500B8D" w:rsidRPr="003E0254">
              <w:rPr>
                <w:rFonts w:ascii="Cambria Math" w:hAnsi="Cambria Math" w:cs="Cambria Math"/>
                <w:sz w:val="20"/>
                <w:szCs w:val="20"/>
              </w:rPr>
              <w:instrText>‐</w:instrText>
            </w:r>
            <w:r w:rsidR="00500B8D" w:rsidRPr="003E0254">
              <w:rPr>
                <w:sz w:val="20"/>
                <w:szCs w:val="20"/>
              </w:rPr>
              <w:instrText>of</w:instrText>
            </w:r>
            <w:r w:rsidR="00500B8D" w:rsidRPr="003E0254">
              <w:rPr>
                <w:rFonts w:ascii="Cambria Math" w:hAnsi="Cambria Math" w:cs="Cambria Math"/>
                <w:sz w:val="20"/>
                <w:szCs w:val="20"/>
              </w:rPr>
              <w:instrText>‐</w:instrText>
            </w:r>
            <w:r w:rsidR="00500B8D" w:rsidRPr="003E0254">
              <w:rPr>
                <w:sz w:val="20"/>
                <w:szCs w:val="20"/>
              </w:rPr>
              <w:instrText>the</w:instrText>
            </w:r>
            <w:r w:rsidR="00500B8D" w:rsidRPr="003E0254">
              <w:rPr>
                <w:rFonts w:ascii="Cambria Math" w:hAnsi="Cambria Math" w:cs="Cambria Math"/>
                <w:sz w:val="20"/>
                <w:szCs w:val="20"/>
              </w:rPr>
              <w:instrText>‐</w:instrText>
            </w:r>
            <w:r w:rsidR="00500B8D" w:rsidRPr="003E0254">
              <w:rPr>
                <w:sz w:val="20"/>
                <w:szCs w:val="20"/>
              </w:rPr>
              <w:instrText>art Pt, RuO 2 and other carbon nitrides. Remarkably, the CoS x @PCN/rGO bifunctional activity allows for applications in zinc</w:instrText>
            </w:r>
            <w:r w:rsidR="00500B8D" w:rsidRPr="003E0254">
              <w:rPr>
                <w:rFonts w:ascii="Cambria Math" w:hAnsi="Cambria Math" w:cs="Cambria Math"/>
                <w:sz w:val="20"/>
                <w:szCs w:val="20"/>
              </w:rPr>
              <w:instrText>‐</w:instrText>
            </w:r>
            <w:r w:rsidR="00500B8D" w:rsidRPr="003E0254">
              <w:rPr>
                <w:sz w:val="20"/>
                <w:szCs w:val="20"/>
              </w:rPr>
              <w:instrText>air batteries, which show better rechargeability than Pt/C. The enhanced catalytic performance of CoS x @PCN/rGO can primarily be attributed to the highly porous morphology and sufficiently exposed active sites that are favorable for electrocatalytic reactions.","author":[{"dropping-particle":"","family":"Niu","given":"Wenhan","non-dropping-particle":"","parse-names":false,"suffix":""},{"dropping-particle":"","family":"Li","given":"Zhao","non-dropping-particle":"","parse-names":false,"suffix":""},{"dropping-particle":"","family":"Marcus","given":"Kyle","non-dropping-particle":"","parse-names":false,"suffix":""},{"dropping-particle":"","family":"Zhou","given":"Le","non-dropping-particle":"","parse-names":false,"suffix":""},{"dropping-particle":"","family":"Li","given":"Yilun","non-dropping-particle":"","parse-names":false,"suffix":""},{"dropping-particle":"","family":"Ye","given":"Ruquan","non-dropping-particle":"","parse-names":false,"suffix":""},{"dropping-particle":"","family":"Liang","given":"Kun","non-dropping-particle":"","parse-names":false,"suffix":""},{"dropping-particle":"","family":"Yang","given":"Yang","non-dropping-particle":"","parse-names":false,"suffix":""}],"container-title":"Advanced Energy Materials","id":"ITEM-2","issue":"1","issued":{"date-parts":[["2018","1","14"]]},"page":"1701642","publisher":"John Wiley &amp; Sons, Ltd","title":"Surface</w:instrText>
            </w:r>
            <w:r w:rsidR="00500B8D" w:rsidRPr="003E0254">
              <w:rPr>
                <w:rFonts w:ascii="Cambria Math" w:hAnsi="Cambria Math" w:cs="Cambria Math"/>
                <w:sz w:val="20"/>
                <w:szCs w:val="20"/>
              </w:rPr>
              <w:instrText>‐</w:instrText>
            </w:r>
            <w:r w:rsidR="00500B8D" w:rsidRPr="003E0254">
              <w:rPr>
                <w:sz w:val="20"/>
                <w:szCs w:val="20"/>
              </w:rPr>
              <w:instrText>Modified Porous Carbon Nitride Composites as Highly Efficient Electrocatalyst for Zn</w:instrText>
            </w:r>
            <w:r w:rsidR="00500B8D" w:rsidRPr="003E0254">
              <w:rPr>
                <w:rFonts w:ascii="Cambria Math" w:hAnsi="Cambria Math" w:cs="Cambria Math"/>
                <w:sz w:val="20"/>
                <w:szCs w:val="20"/>
              </w:rPr>
              <w:instrText>‐</w:instrText>
            </w:r>
            <w:r w:rsidR="00500B8D" w:rsidRPr="003E0254">
              <w:rPr>
                <w:sz w:val="20"/>
                <w:szCs w:val="20"/>
              </w:rPr>
              <w:instrText>Air Batteries","type":"article-journal","volume":"8"},"uris":["http://www.mendeley.com/documents/?uuid=d0b0229e-6ae5-3b83-807f-b4389fa5c251"]},{"id":"ITEM-3","itemData":{"DOI":"10.1039/C9EE02657F","ISSN":"1754-5706","abstract":"Recently, considerable attention has been paid to the stabilization of atomic platinum (Pt) catalysts on desirable supports in order to reduce Pt consumption, improve the catalyst stability, and thereafter enhance the catalyst performance in renewable energy devices such as fuel cells and zinc-air batteries (ZABs). Herein, we rationally designed a novel strategy to stabilize atomic Pt catalysts in alloyed platinum cobalt (PtCo) nanosheets with trapped interstitial fluorine (SA-PtCoF) for ZABs. The trapped interstitial F atoms in the PtCoF matrix induce lattice distortion resulting in weakening of the Pt–Co bond, which is the driving force to form atomic Pt. As a result, the onset potentials of SA-PtCoF are 0.95 V and 1.50 V for the oxygen reduction and evolution reactions (ORR and OER), respectively, superior to commercial Pt/C@RuO2. When used in ZABs, the designed SA-PtCoF can afford a peak power density of 125 mW cm−2 with a specific capacity of 808 mA h gZn−1 and excellent cyclability over 240 h, surpassing the state-of-the-art catalysts.","author":[{"dropping-particle":"","family":"Li","given":"Zhao","non-dropping-particle":"","parse-names":false,"suffix":""},{"dropping-particle":"","family":"Niu","given":"Wenhan","non-dropping-particle":"","parse-names":false,"suffix":""},{"dropping-particle":"","family":"Yang","given":"Zhenzhong","non-dropping-particle":"","parse-names":false,"suffix":""},{"dropping-particle":"","family":"Zaman","given":"Nusaiba","non-dropping-particle":"","parse-names":false,"suffix":""},{"dropping-particle":"","family":"Samarakoon","given":"Widitha","non-dropping-particle":"","parse-names":false,"suffix":""},{"dropping-particle":"","family":"Wang","given":"Maoyu","non-dropping-particle":"","parse-names":false,"suffix":""},{"dropping-particle":"","family":"Kara","given":"Abdelkader","non-dropping-particle":"","parse-names":false,"suffix":""},{"dropping-particle":"","family":"Lucero","given":"Marcos","non-dropping-particle":"","parse-names":false,"suffix":""},{"dropping-particle":"V.","family":"Vyas","given":"Manasi","non-dropping-particle":"","parse-names":false,"suffix":""},{"dropping-particle":"","family":"Cao","given":"Hui","non-dropping-particle":"","parse-names":false,"suffix":""},{"dropping-particle":"","family":"Zhou","given":"Hua","non-dropping-particle":"","parse-names":false,"suffix":""},{"dropping-particle":"","family":"Sterbinsky","given":"George E.","non-dropping-particle":"","parse-names":false,"suffix":""},{"dropping-particle":"","family":"Feng","given":"Zhenxing","non-dropping-particle":"","parse-names":false,"suffix":""},{"dropping-particle":"","family":"Du","given":"Yingge","non-dropping-particle":"","parse-names":false,"suffix":""},{"dropping-particle":"","family":"Yang","given":"Yang","non-dropping-particle":"","parse-names":false,"suffix":""}],"container-title":"Energy &amp; Environmental Science","id":"ITEM-3","issue":"3","issued":{"date-parts":[["2020","3","18"]]},"page":"884-895","publisher":"The Royal Society of Chemistry","title":"Stabilizing atomic Pt with trapped interstitial F in alloyed PtCo nanosheets for high-performance zinc-air batteries","type":"article-journal","volume":"13"},"uris":["http://www.mendeley.com/documents/?uuid=95b651b6-a1f0-3793-b535-7c0ff0196c45"]}],"mendeley":{"formattedCitation":"&lt;sup&gt;[181–183]&lt;/sup&gt;","plainTextFormattedCitation":"[181–183]","previouslyFormattedCitation":"&lt;sup&gt;[180–182]&lt;/sup&gt;"},"properties":{"noteIndex":0},"schema":"https://github.com/citation-style-language/schema/raw/master/csl-citation.json"}</w:instrText>
            </w:r>
            <w:r w:rsidR="007043D0" w:rsidRPr="003E0254">
              <w:rPr>
                <w:sz w:val="20"/>
                <w:szCs w:val="20"/>
              </w:rPr>
              <w:fldChar w:fldCharType="separate"/>
            </w:r>
            <w:r w:rsidR="00500B8D" w:rsidRPr="003E0254">
              <w:rPr>
                <w:noProof/>
                <w:sz w:val="20"/>
                <w:szCs w:val="20"/>
                <w:vertAlign w:val="superscript"/>
              </w:rPr>
              <w:t>[181–183]</w:t>
            </w:r>
            <w:r w:rsidR="007043D0" w:rsidRPr="003E0254">
              <w:rPr>
                <w:sz w:val="20"/>
                <w:szCs w:val="20"/>
              </w:rPr>
              <w:fldChar w:fldCharType="end"/>
            </w:r>
          </w:p>
          <w:p w14:paraId="7E41D762" w14:textId="77777777" w:rsidR="00FF3605" w:rsidRPr="003E0254" w:rsidRDefault="00FF3605" w:rsidP="007043D0">
            <w:pPr>
              <w:jc w:val="center"/>
              <w:rPr>
                <w:b/>
                <w:bCs/>
                <w:sz w:val="20"/>
                <w:szCs w:val="20"/>
                <w:u w:val="single"/>
              </w:rPr>
            </w:pPr>
          </w:p>
        </w:tc>
        <w:tc>
          <w:tcPr>
            <w:tcW w:w="770" w:type="pct"/>
            <w:shd w:val="clear" w:color="auto" w:fill="D1D1D1" w:themeFill="background2" w:themeFillShade="E6"/>
            <w:vAlign w:val="center"/>
          </w:tcPr>
          <w:p w14:paraId="3EF0C8A2" w14:textId="59E2180A" w:rsidR="00FF3605" w:rsidRPr="003E0254" w:rsidRDefault="00FF3605" w:rsidP="007043D0">
            <w:pPr>
              <w:jc w:val="center"/>
              <w:rPr>
                <w:b/>
                <w:bCs/>
                <w:sz w:val="20"/>
                <w:szCs w:val="20"/>
                <w:u w:val="single"/>
              </w:rPr>
            </w:pPr>
            <w:r w:rsidRPr="003E0254">
              <w:rPr>
                <w:b/>
                <w:bCs/>
                <w:sz w:val="20"/>
                <w:szCs w:val="20"/>
                <w:u w:val="single"/>
              </w:rPr>
              <w:t>Metal oxide</w:t>
            </w:r>
            <w:r w:rsidR="007F26F6" w:rsidRPr="003E0254">
              <w:rPr>
                <w:sz w:val="20"/>
                <w:szCs w:val="20"/>
                <w:vertAlign w:val="subscript"/>
              </w:rPr>
              <w:fldChar w:fldCharType="begin" w:fldLock="1"/>
            </w:r>
            <w:r w:rsidR="00500B8D" w:rsidRPr="003E0254">
              <w:rPr>
                <w:sz w:val="20"/>
                <w:szCs w:val="20"/>
                <w:vertAlign w:val="subscript"/>
              </w:rPr>
              <w:instrText>ADDIN CSL_CITATION {"citationItems":[{"id":"ITEM-1","itemData":{"DOI":"10.1016/J.JPOWSOUR.2012.11.046","ISSN":"0378-7753","abstract":"The self-discharge of Zn anode material is identified as a main factor that can limit the energy density of alkaline Zn-air batteries. Al2O 3 has most positive effect on controlling the hydrogen evolution reaction accompanied by corroding Zn anode among various additives. The overpotential for hydrogen evolution is measured by potentio-dynamic polarization analysis. Al-oxide with high overpotential for hydrogen evolution reaction is uniformly coated on the surface of Zn powders via chemical solution process. The morphology and composition of the surface-treated and pristine Zn powders are characterized by SEM, EDS, XRD and XPS analyses. Aluminum is distributed homogeneously over the surface of modified Zn powders, indicating uniform coating of Al-oxide, and O1s and Al2p spectra further identified surface coating layer to be the Al-oxide. The Al-oxide coating layer can prevent Zn from exposing to the KOH electrolyte, resulting in minimizing the side reactions within batteries. The 0.25 wt.% aluminum oxide coated Zn anode material provides discharging time of more than 10 h, while the pristine Zn anode delivers only 7 h at 25 mA cm-2. Consequently, a surface-treated Zn electrode can reduce self-discharge which is induced by side reaction such as H2 evolution, resulting in increasing discharge capacity. © 2012 Elsevier B.V. All rights reserved.","author":[{"dropping-particle":"","family":"Lee","given":"Sang Min","non-dropping-particle":"","parse-names":false,"suffix":""},{"dropping-particle":"","family":"Kim","given":"Yeon Joo","non-dropping-particle":"","parse-names":false,"suffix":""},{"dropping-particle":"","family":"Eom","given":"Seung Wook","non-dropping-particle":"","parse-names":false,"suffix":""},{"dropping-particle":"","family":"Choi","given":"Nam Soon","non-dropping-particle":"","parse-names":false,"suffix":""},{"dropping-particle":"","family":"Kim","given":"Ki Won","non-dropping-particle":"","parse-names":false,"suffix":""},{"dropping-particle":"","family":"Cho","given":"Sung Baek","non-dropping-particle":"","parse-names":false,"suffix":""}],"container-title":"Journal of Power Sources","id":"ITEM-1","issued":{"date-parts":[["2013","4","1"]]},"page":"177-184","publisher":"Elsevier","title":"Improvement in self-discharge of Zn anode by applying surface modification for Zn–air batteries with high energy density","type":"article-journal","volume":"227"},"uris":["http://www.mendeley.com/documents/?uuid=2c5e5030-40ef-318d-9828-a47f808e6f55"]},{"id":"ITEM-2","itemData":{"DOI":"10.1007/S11581-019-02973-Y/TABLES/6","ISSN":"18620760","abstract":"In our continual effort to develop a cost effective rechargeable Zn-air batteries, herewith, we demonstrated Zn anodes comprising of (i) 30 wt.% Zn: 3 wt.% bismuth oxide: 10 wt.% potassium sulfide (ZBK), (ii) 30 wt.% Zn: 3 wt.% bismuth oxide: 5 wt.% lead (II) oxide (ZBP), and (iii) 30 wt.% Zn: 3 wt.% bismuth oxide: 10 wt.% potassium sulfide: 5 wt.% lead (II) oxide additives (ZBKP) in 6 M KOH aqueous solutions and 1.88 wt.% polyacrylic acid as the gelling agent. KOH gel constituted the remaining mass of the anode wt.%. Results were confirmed via cycle voltammetry (CV), Tafel, electrochemical impedance spectroscopy (EIS), etc., measurements. Among the various Zn anodes analyzed, ZBKP showed a superior cathodic peak of − 1.805 and 1.950 V vs. Hg/HgCl at 5th and 40th cycles during electrochemical cycle voltammetry. Tafel fitting on linear polarization test shows that ZBK exhibits the highest corrosion behavior followed by ZBP while ZBKP has the lowest corrosion behavior with an estimated corrosion inhibition efficiency of 36.06%. Furthermore, ZBKP displays the lowest dendrite growth, least corrosion rate, and superior capacity even at 60th cycles compared to ZBK and ZBP. In view of our finding, ZBKP has a higher positive electrode potential compare to ZBK and ZBP electrodes. Thus, ZBKP is the most suitable for aqueous battery due to its low minimal side effect. Field emission-scanning electron microscopy/energy dispersive x-ray spectroscopy (FE-SEM/EDS) images confirm that the various elemental additives were evenly deposited on the Zn anode surface. Ex situ spectroscopy and electrochemical performance studies also verified that the dendrite-free nature of improved Zn anode and the modified interfaces between electrolyte and Zn play vital roles towards advancing the energy storage performance. With all this indices and yard stick, the level of improvement we demonstrated in this current study is attractive for the design of an advanced secondary zinc-air batteries.","author":[{"dropping-particle":"","family":"Aremu","given":"Emmanuel Olugbemisola","non-dropping-particle":"","parse-names":false,"suffix":""},{"dropping-particle":"","family":"Park","given":"Da Jeong","non-dropping-particle":"","parse-names":false,"suffix":""},{"dropping-particle":"","family":"Ryu","given":"Kwang Sun","non-dropping-particle":"","parse-names":false,"suffix":""}],"container-title":"Ionics","id":"ITEM-2","issue":"9","issued":{"date-parts":[["2019","9","1"]]},"page":"4197-4207","publisher":"Institute for Ionics","title":"The effects of anode additives towards suppressing dendrite growth and hydrogen gas evolution reaction in Zn-air secondary batteries","type":"article-journal","volume":"25"},"uris":["http://www.mendeley.com/documents/?uuid=5700cc80-efdb-3d20-ad62-81e691034124"]},{"id":"ITEM-3","itemData":{"DOI":"10.1023/A:1017923924121/METRICS","ISSN":"0021891X","abstract":"Calcium zincate was prepared by a chemical coprecipitation method and characterized by scanning electron microscopy (SEM) and X-ray diffraction (XRD). The electrochemical performance of pasted zinc electrodes with bismuth and calcium additives was investigated by the charge-discharge method. The addition of metallic bismuth powder improves the discharge performance of zinc electrodes due to the formation of an electronic conduction matrix. The calcium-containing zinc electrodes showed higher discharge capacity, less shape change and longer cycle lifetime. Moreover, zinc electrodes using calcium zincate as active material show better electrochemical performance than those with the physical mixture of zinc oxide and calcium hydroxide.","author":[{"dropping-particle":"","family":"Zhang","given":"C.","non-dropping-particle":"","parse-names":false,"suffix":""},{"dropping-particle":"","family":"Wang","given":"J. M.","non-dropping-particle":"","parse-names":false,"suffix":""},{"dropping-particle":"","family":"Zhang","given":"L.","non-dropping-particle":"","parse-names":false,"suffix":""},{"dropping-particle":"","family":"Zhang","given":"J. Q.","non-dropping-particle":"","parse-names":false,"suffix":""},{"dropping-particle":"","family":"Cao","given":"C. N.","non-dropping-particle":"","parse-names":false,"suffix":""}],"container-title":"Journal of Applied Electrochemistry","id":"ITEM-3","issue":"9","issued":{"date-parts":[["2001","9"]]},"page":"1049-1054","publisher":"Springer","title":"Study of the performance of secondary alkaline pasted zinc electrodes","type":"article-journal","volume":"31"},"uris":["http://www.mendeley.com/documents/?uuid=c8031086-aa7d-320d-8c6f-fb3012147534"]}],"mendeley":{"formattedCitation":"&lt;sup&gt;[184–186]&lt;/sup&gt;","plainTextFormattedCitation":"[184–186]","previouslyFormattedCitation":"&lt;sup&gt;[183–185]&lt;/sup&gt;"},"properties":{"noteIndex":0},"schema":"https://github.com/citation-style-language/schema/raw/master/csl-citation.json"}</w:instrText>
            </w:r>
            <w:r w:rsidR="007F26F6" w:rsidRPr="003E0254">
              <w:rPr>
                <w:sz w:val="20"/>
                <w:szCs w:val="20"/>
                <w:vertAlign w:val="subscript"/>
              </w:rPr>
              <w:fldChar w:fldCharType="separate"/>
            </w:r>
            <w:r w:rsidR="00500B8D" w:rsidRPr="003E0254">
              <w:rPr>
                <w:noProof/>
                <w:sz w:val="20"/>
                <w:szCs w:val="20"/>
                <w:vertAlign w:val="superscript"/>
              </w:rPr>
              <w:t>[184–186]</w:t>
            </w:r>
            <w:r w:rsidR="007F26F6" w:rsidRPr="003E0254">
              <w:rPr>
                <w:sz w:val="20"/>
                <w:szCs w:val="20"/>
                <w:vertAlign w:val="subscript"/>
              </w:rPr>
              <w:fldChar w:fldCharType="end"/>
            </w:r>
          </w:p>
        </w:tc>
        <w:tc>
          <w:tcPr>
            <w:tcW w:w="1034" w:type="pct"/>
            <w:shd w:val="clear" w:color="auto" w:fill="D1D1D1" w:themeFill="background2" w:themeFillShade="E6"/>
            <w:vAlign w:val="center"/>
          </w:tcPr>
          <w:p w14:paraId="5E5B9F87" w14:textId="786CB262" w:rsidR="00FF3605" w:rsidRPr="003E0254" w:rsidRDefault="00FF3605" w:rsidP="007043D0">
            <w:pPr>
              <w:jc w:val="center"/>
              <w:rPr>
                <w:b/>
                <w:bCs/>
                <w:sz w:val="20"/>
                <w:szCs w:val="20"/>
                <w:u w:val="single"/>
              </w:rPr>
            </w:pPr>
            <w:r w:rsidRPr="003E0254">
              <w:rPr>
                <w:b/>
                <w:bCs/>
                <w:sz w:val="20"/>
                <w:szCs w:val="20"/>
                <w:u w:val="single"/>
              </w:rPr>
              <w:t>Noble metal based</w:t>
            </w:r>
            <w:r w:rsidR="007F26F6" w:rsidRPr="003E0254">
              <w:rPr>
                <w:b/>
                <w:bCs/>
                <w:sz w:val="20"/>
                <w:szCs w:val="20"/>
                <w:u w:val="single"/>
              </w:rPr>
              <w:fldChar w:fldCharType="begin" w:fldLock="1"/>
            </w:r>
            <w:r w:rsidR="00500B8D" w:rsidRPr="003E0254">
              <w:rPr>
                <w:b/>
                <w:bCs/>
                <w:sz w:val="20"/>
                <w:szCs w:val="20"/>
                <w:u w:val="single"/>
              </w:rPr>
              <w:instrText xml:space="preserve">ADDIN CSL_CITATION {"citationItems":[{"id":"ITEM-1","itemData":{"DOI":"10.1002/ANIE.201705778","ISSN":"1521-3773","PMID":"28666066","abstract":"Electrocatalysts for both the oxygen reduction and evolution reactions (ORR and OER) are vital for the performances of rechargeable metal–air batteries. Herein, we report an advanced bifunctional oxygen electrocatalyst consisting of porous metallic nickel-iron nitride (Ni3FeN) supporting ordered Fe3Pt intermetallic nanoalloy. In this hybrid catalyst, the bimetallic nitride Ni3FeN mainly contributes to the high activity for the OER while the ordered Fe3Pt nanoalloy contributes to the excellent activity for the ORR. Robust Ni3FeN-supported Fe3Pt catalysts show superior catalytic performance to the state-of-the-art ORR catalyst (Pt/C) and OER catalyst (Ir/C). The Fe3Pt/Ni3FeN bifunctional catalyst enables Zn–air batteries to achieve a long-term cycling performance of over 480 h at 10 mA cm−2 with high efficiency. The extraordinarily high performance of the Fe3Pt/Ni3FeN bifunctional catalyst makes it a very promising air cathode in alkaline electrolyte.","author":[{"dropping-particle":"","family":"Cui","given":"Zhiming","non-dropping-particle":"","parse-names":false,"suffix":""},{"dropping-particle":"","family":"Fu","given":"Gengtao","non-dropping-particle":"","parse-names":false,"suffix":""},{"dropping-particle":"","family":"Li","given":"Yutao","non-dropping-particle":"","parse-names":false,"suffix":""},{"dropping-particle":"","family":"Goodenough","given":"John B.","non-dropping-particle":"","parse-names":false,"suffix":""}],"container-title":"Angewandte Chemie International Edition","id":"ITEM-1","issue":"33","issued":{"date-parts":[["2017","8","7"]]},"page":"9901-9905","publisher":"John Wiley &amp; Sons, Ltd","title":"Ni3FeN-Supported Fe3Pt Intermetallic Nanoalloy as a High-Performance Bifunctional Catalyst for Metal–Air Batteries","type":"article-journal","volume":"56"},"uris":["http://www.mendeley.com/documents/?uuid=2a327657-a1e3-3205-8dba-128dab9c9888"]},{"id":"ITEM-2","itemData":{"DOI":"10.1016/J.ENSM.2024.103341","ISSN":"2405-8297","abstract":"Composite strategies for constructing dual-atom sites at the hetero-interface provide considerable prospects for designing efficient bifunctional oxygen catalysts. Given the insufficient interface site and the instability of the phase interface, we need to develop more efficient strategies for efficiently utilizing the dual-atom site. Here, we report a doping strategy to construct abundant dual-atom sites in single-phase oxide catalysts. Ru/Mn dual-atom bond formation enables electronic interaction between Ru and Mn, which reduces the oxidation state of Ru sites and meanwhile constructs electron-rich states of Mn sites. DFT calculation was further applied to explore the reaction mechanism. We found that Mn and Ru atoms serve as oxygen reduction and oxygen evolution reaction catalytic sites respectively to facilitate oxygen adsorption and OH* desorption. More importantly, co-adsorption of OOH* on Mn/Ru dual sites can greatly enhance oxygen reduction activity. The resulting Mn-RuO2 catalyst exhibits an ultra-low ORR/OER overpotential of just 0.65 V, substantially lower than RuO2 and MnOx. Remarkably, Mn-RuO2 also demonstrates excellent stability, with minimal ORR decay after repeated OER cycling. Rechargeable zinc-air batteries using Mn-doped RuO2 achieve super-durability for 2000 cycles with a final energy efficiency retention of 87.5 %.","author":[{"dropping-particle":"","family":"Lu","given":"Qian","non-dropping-particle":"","parse-names":false,"suffix":""},{"dropping-particle":"","family":"Zou","given":"Xiaohong","non-dropping-particle":"","parse-names":false,"suffix":""},{"dropping-particle":"","family":"Bu","given":"Yunfei","non-dropping-particle":"","parse-names":false,"suffix":""},{"dropping-particle":"","family":"Wang","given":"Ying","non-dropping-particle":"","parse-names":false,"suffix":""},{"dropping-particle":"","family":"Shao","given":"Zongping","non-dropping-particle":"","parse-names":false,"suffix":""}],"container-title":"Energy Storage Materials","id":"ITEM-2","issued":{"date-parts":[["2024","4","1"]]},"page":"103341","publisher":"Elsevier","title":"Single-phase ruthenium-based oxide with dual-atoms induced bifunctional catalytic centers enables highly efficient rechargeable Zn-air batteries","type":"article-journal","volume":"68"},"uris":["http://www.mendeley.com/documents/?uuid=3a1d6c6a-508e-31c5-95ce-21cf60a8b034"]},{"id":"ITEM-3","itemData":{"DOI":"10.1016/J.CEJ.2021.132825","ISSN":"1385-8947","abstract":"Development of cost-efficeint and high activity muli-functional catalysts for gas-involved reactions such as Oxygen reduction evolution (ORR), oxygen evolution reaction (OER) and hydrogen evolution recation reaction (HER) is desirable but challenging. Herein, low-loading of Iridium (Ir) (≈2.3 wt%) decorated cobalt nanoparticles embedded in nitrogen-doped carbon nanotube/porous carbon sheets (IrCo@NCNT/PC) is prepared to serve as the OER/HER/ORR trifunctional electrocatalyst. The resulting composites demonstrate excellent OER and HER activity in both acidic and alkaline electrolytes, including low overpotentials at 10 mA cm−2 (η10) for OER (about 291 and 240 mV) and HER (about 26.8 and 37 mV), respectively, which are superior to the benchmarking Pt/C and IrO2 catalysts. Hence, low cell voltages of 1.51 and 1.45 V are required at j = 10 mA cm−2 (j10) for overall water splitting (OWS) in the acidic and alkaline electrolytes, respectively. In addition, the as-prepared IrCo@NCNT/PC also shows efficient ORR performance with a high half-wave potential (E1/2) of 0.83 V vs. RHE. It is then used as the air cathode for rechargeable Zn-air battery (r-ZAB), and exhibits an outstanding specific capacity (810 mAh g−1), low charge-discharge polarization (ΔE = 0.896 V at j = 50 mA cm−2) and long cycling performance (increased only 0.15 V after 195 cycles).","author":[{"dropping-particle":"","family":"Zhao","given":"Dengke","non-dropping-particle":"","parse-names":false,"suffix":""},{"dropping-particle":"","family":"Zhu","given":"Yuguang","non-dropping-particle":"","parse-names":false,"suffix":""},{"dropping-particle":"","family":"Wu","given":"Qikai","non-dropping-particle":"","parse-names":false,"suffix":""},{"dropping-particle":"","family":"Zhou","given":"Wei","non-dropping-particle":"","parse-names":false,"suffix":""},{"dropping-particle":"","family":"Dan","given":"Jiacheng","non-dropping-particle":"","parse-names":false,"suffix":""},{"dropping-particle":"","family":"Zhu","given":"Hao","non-dropping-particle":"","parse-names":false,"suffix":""},{"dropping-particle":"","family":"Lei","given":"Wen","non-dropping-particle":"","parse-names":false,"suffix":""},{"dropping-particle":"","family":"Ma","given":"Li Jun","non-dropping-particle":"","parse-names":false,"suffix":""},{"dropping-particle":"","family":"Li","given":"Ligui","non-dropping-particle":"","parse-names":false,"suffix":""}],"container-title":"Chemical Engineering Journal","id":"ITEM-3","issued":{"date-parts":[["2022","2","15"]]},"page":"132825","publisher":"Elsevier","title":"Low-loading Ir decorated cobalt encapsulated N-doped carbon nanotubes/porous carbon sheet implements efficient hydrogen/oxygen trifunctional electrocatalysis","type":"article-journal","volume":"430"},"uris":["http://www.mendeley.com/documents/?uuid=92de5dd2-809b-47a4-ab60-6905e0646942"]},{"id":"ITEM-4","itemData":{"DOI":"10.1016/J.ENSM.2019.12.043","ISSN":"2405-8297","abstract":"Cobalt oxides are promising bifunctional oxygen electrocatalysts due to their intrinsic activities toward both dissociation and formation of oxygen molecules. Unfortunately, their practical utilization is seriously hindered by the limited accessible active sites and inferior activity. Herein, vertically-aligned porous nanoarrays composed of ultrafine nitrogen-doped cobalt oxide (NP-Co3O4) nanoparticles (4-5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nm) are in-situ fabricated on carbon cloth (CC) via mild oxidation of Co-based zeolitic-imidazolate-framework (Co-ZIF) nanoarrays. The oxidation decomposition of 2-methylimidazolate ligands between Co nodes not only confines the growth of cobalt oxides, but also provides the nitrogen sources for realizing low-temperature (200 </w:instrText>
            </w:r>
            <w:r w:rsidR="00500B8D" w:rsidRPr="003E0254">
              <w:rPr>
                <w:rFonts w:ascii="Arial" w:hAnsi="Arial" w:cs="Arial"/>
                <w:b/>
                <w:bCs/>
                <w:sz w:val="20"/>
                <w:szCs w:val="20"/>
                <w:u w:val="single"/>
              </w:rPr>
              <w:instrText>​</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C) nitrogen doping. In alkaline electrolyte, the as-built NP-Co3O4/CC manifests an extremely high oxygen reduction reaction (ORR) half-wave potential of ~0.9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V and a decreased oxygen evolution reaction (OER) overpotential of 330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mV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at 10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mA </w:instrText>
            </w:r>
            <w:r w:rsidR="00500B8D" w:rsidRPr="003E0254">
              <w:rPr>
                <w:rFonts w:ascii="Arial" w:hAnsi="Arial" w:cs="Arial"/>
                <w:b/>
                <w:bCs/>
                <w:sz w:val="20"/>
                <w:szCs w:val="20"/>
                <w:u w:val="single"/>
              </w:rPr>
              <w:instrText>​</w:instrText>
            </w:r>
            <w:r w:rsidR="00500B8D" w:rsidRPr="003E0254">
              <w:rPr>
                <w:b/>
                <w:bCs/>
                <w:sz w:val="20"/>
                <w:szCs w:val="20"/>
                <w:u w:val="single"/>
              </w:rPr>
              <w:instrText>cm</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2, displaying a record low potential gap of 0.66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V. As bifunctional oxygen electrodes in rechargeable aqueous and all-solid-state flexible zinc-air batteries, the NP-Co3O4/CC-based batteries exhibit ultrahigh power densities up to 200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mW </w:instrText>
            </w:r>
            <w:r w:rsidR="00500B8D" w:rsidRPr="003E0254">
              <w:rPr>
                <w:rFonts w:ascii="Arial" w:hAnsi="Arial" w:cs="Arial"/>
                <w:b/>
                <w:bCs/>
                <w:sz w:val="20"/>
                <w:szCs w:val="20"/>
                <w:u w:val="single"/>
              </w:rPr>
              <w:instrText>​</w:instrText>
            </w:r>
            <w:r w:rsidR="00500B8D" w:rsidRPr="003E0254">
              <w:rPr>
                <w:b/>
                <w:bCs/>
                <w:sz w:val="20"/>
                <w:szCs w:val="20"/>
                <w:u w:val="single"/>
              </w:rPr>
              <w:instrText>cm</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2 and 99.8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mW </w:instrText>
            </w:r>
            <w:r w:rsidR="00500B8D" w:rsidRPr="003E0254">
              <w:rPr>
                <w:rFonts w:ascii="Arial" w:hAnsi="Arial" w:cs="Arial"/>
                <w:b/>
                <w:bCs/>
                <w:sz w:val="20"/>
                <w:szCs w:val="20"/>
                <w:u w:val="single"/>
              </w:rPr>
              <w:instrText>​</w:instrText>
            </w:r>
            <w:r w:rsidR="00500B8D" w:rsidRPr="003E0254">
              <w:rPr>
                <w:b/>
                <w:bCs/>
                <w:sz w:val="20"/>
                <w:szCs w:val="20"/>
                <w:u w:val="single"/>
              </w:rPr>
              <w:instrText>cm</w:instrText>
            </w:r>
            <w:r w:rsidR="00500B8D" w:rsidRPr="003E0254">
              <w:rPr>
                <w:rFonts w:ascii="Aptos" w:hAnsi="Aptos" w:cs="Aptos"/>
                <w:b/>
                <w:bCs/>
                <w:sz w:val="20"/>
                <w:szCs w:val="20"/>
                <w:u w:val="single"/>
              </w:rPr>
              <w:instrText>−</w:instrText>
            </w:r>
            <w:r w:rsidR="00500B8D" w:rsidRPr="003E0254">
              <w:rPr>
                <w:b/>
                <w:bCs/>
                <w:sz w:val="20"/>
                <w:szCs w:val="20"/>
                <w:u w:val="single"/>
              </w:rPr>
              <w:instrText>3, respectively, which are much higher than those of reported bifunctional oxygen electrocatalysts. This work paves a new avenue for the fabrication of porous nitrogen doped metal oxides towards high-performance zinc-air batteries.","author":[{"dropping-particle":"","family":"Wang","given":"Xia","non-dropping-particle":"","parse-names":false,"suffix":""},{"dropping-particle":"","family":"Liao","given":"Zhongquan","non-dropping-particle":"","parse-names":false,"suffix":""},{"dropping-particle":"","family":"Fu","given":"Yubin","non-dropping-particle":"","parse-names":false,"suffix":""},{"dropping-particle":"","family":"Neumann","given":"Christof","non-dropping-particle":"","parse-names":false,"suffix":""},{"dropping-particle":"","family":"Turchanin","given":"Andrey","non-dropping-particle":"","parse-names":false,"suffix":""},{"dropping-particle":"","family":"Nam","given":"Gyutae","non-dropping-particle":"","parse-names":false,"suffix":""},{"dropping-particle":"","family":"Zschech","given":"Ehrenfried","non-dropping-particle":"","parse-names":false,"suffix":""},{"dropping-particle":"","family":"Cho","given":"Jaephil","non-dropping-particle":"","parse-names":false,"suffix":""},{"dropping-particle":"","family":"Zhang","given":"Jian","non-dropping-particle":"","parse-names":false,"suffix":""},{"dropping-particle":"","family":"Feng","given":"Xinliang","non-dropping-particle":"","parse-names":false,"suffix":""}],"container-title":"Energy Storage Materials","id":"ITEM-4","issued":{"date-parts":[["2020","4","1"]]},"page":"157-164","publisher":"Elsevier","title":"Confined growth of porous nitrogen-doped cobalt oxide nanoarrays as bifunctional oxygen electrocatalysts for rechargeable zinc–air batteries","type":"article-journal","volume":"26"},"uris":["http://www.mendeley.com/documents/?uuid=3ed16e27-b23c-39f2-a8f4-850819203675"]},{"id":"ITEM-5","itemData":{"DOI":"10.1016/J.JCIS.2021.01.093","ISSN":"0021-9797","PMID":"33561597","abstract":"Exploiting the low-cost and high-efficiency bifunctional oxygen electrocatalysts to substitute platinum-group metals is highly desirable but challenging for energy storage/conversion technologies. Herein, we develop a combined gelation/self-assemble/freeze drying process to fabricate a free-standing porous architectures through vertical anchoring two-dimensional (2D) CoMn-LDH nanosheets on three-dimensional (3D) hierarchical N,P co-doped graphene aerogels (NPGA) framework. This unique configuration endows CoMn-LDH/NPGA outstanding catalytic activity toward both oxygen reduction reaction (ORR) and oxygen evolution reaction (OER) with a potential difference of ca. 0.72 V between the OER potential at 10 mA cm−2 and the ORR potential at −3 mA cm−2, which is comparable to commercial Pt/C + IrO2 benchmarks, and therefore renders the CoMn-LDH/NPGA assembled zinc-air battery a superior rechargeable performance and cycling stability. In-depth structure-to-property correlation indicates that the prominent bifunctional activity of CoMn-LDH/NPGA are ascribed to large electrochemical active surface area, the rapid mass/charge transfers, the increased exposure and full utilization of active sites originated from the synergistic effect between the uniformly dispersed 2D CoMn-LDH nanosheets and the 3D hierarchical porous NPGA framework.","author":[{"dropping-particle":"","family":"Zhang","given":"Guoquan","non-dropping-particle":"","parse-names":false,"suffix":""},{"dropping-particle":"","family":"Xing","given":"Jiayu","non-dropping-particle":"","parse-names":false,"suffix":""},{"dropping-particle":"","family":"Zhao","given":"Yuanyuan","non-dropping-particle":"","parse-names":false,"suffix":""},{"dropping-particle":"","family":"Yang","given":"Fenglin","non-dropping-particle":"","parse-names":false,"suffix":""}],"container-title":"Journal of Colloid and Interface Science","id":"ITEM-5","issued":{"date-parts":[["2021","5","15"]]},"page":"476-486","publisher":"Academic Press","title":"Hierarchical N,P co-doped graphene aerogels framework assembling vertically grown CoMn-LDH nanosheets as efficient bifunctional electrocatalyst for rechargeable Zinc-air battery","type":"article-journal","volume":"590"},"uris":["http://www.mendeley.com/documents/?uuid=1563f6fd-fde4-3f26-969b-3f6f73725a34"]}],"mendeley":{"formattedCitation":"&lt;sup&gt;[187–191]&lt;/sup&gt;","plainTextFormattedCitation":"[187–191]","previouslyFormattedCitation":"&lt;sup&gt;[186–190]&lt;/sup&gt;"},"properties":{"noteIndex":0},"schema":"https://github.com/citation-style-language/schema/raw/master/csl-citation.json"}</w:instrText>
            </w:r>
            <w:r w:rsidR="007F26F6" w:rsidRPr="003E0254">
              <w:rPr>
                <w:b/>
                <w:bCs/>
                <w:sz w:val="20"/>
                <w:szCs w:val="20"/>
                <w:u w:val="single"/>
              </w:rPr>
              <w:fldChar w:fldCharType="separate"/>
            </w:r>
            <w:r w:rsidR="00500B8D" w:rsidRPr="003E0254">
              <w:rPr>
                <w:bCs/>
                <w:noProof/>
                <w:sz w:val="20"/>
                <w:szCs w:val="20"/>
                <w:vertAlign w:val="superscript"/>
              </w:rPr>
              <w:t>[187–191]</w:t>
            </w:r>
            <w:r w:rsidR="007F26F6" w:rsidRPr="003E0254">
              <w:rPr>
                <w:b/>
                <w:bCs/>
                <w:sz w:val="20"/>
                <w:szCs w:val="20"/>
                <w:u w:val="single"/>
              </w:rPr>
              <w:fldChar w:fldCharType="end"/>
            </w:r>
          </w:p>
        </w:tc>
      </w:tr>
      <w:tr w:rsidR="006515E9" w:rsidRPr="003E0254" w14:paraId="4012D8BD" w14:textId="77777777" w:rsidTr="0039063F">
        <w:trPr>
          <w:jc w:val="center"/>
        </w:trPr>
        <w:tc>
          <w:tcPr>
            <w:tcW w:w="519" w:type="pct"/>
            <w:vMerge/>
            <w:shd w:val="clear" w:color="auto" w:fill="D1D1D1" w:themeFill="background2" w:themeFillShade="E6"/>
            <w:vAlign w:val="center"/>
          </w:tcPr>
          <w:p w14:paraId="76E7182A" w14:textId="77777777" w:rsidR="00FF3605" w:rsidRPr="003E0254" w:rsidRDefault="00FF3605" w:rsidP="007043D0">
            <w:pPr>
              <w:jc w:val="center"/>
              <w:rPr>
                <w:b/>
                <w:bCs/>
                <w:sz w:val="20"/>
                <w:szCs w:val="20"/>
                <w:u w:val="single"/>
              </w:rPr>
            </w:pPr>
          </w:p>
        </w:tc>
        <w:tc>
          <w:tcPr>
            <w:tcW w:w="1032" w:type="pct"/>
            <w:vMerge/>
            <w:shd w:val="clear" w:color="auto" w:fill="D1D1D1" w:themeFill="background2" w:themeFillShade="E6"/>
            <w:vAlign w:val="center"/>
          </w:tcPr>
          <w:p w14:paraId="2CA94BFF" w14:textId="77777777" w:rsidR="00FF3605" w:rsidRPr="003E0254" w:rsidRDefault="00FF3605" w:rsidP="007043D0">
            <w:pPr>
              <w:jc w:val="center"/>
              <w:rPr>
                <w:sz w:val="20"/>
                <w:szCs w:val="20"/>
              </w:rPr>
            </w:pPr>
          </w:p>
        </w:tc>
        <w:tc>
          <w:tcPr>
            <w:tcW w:w="909" w:type="pct"/>
            <w:shd w:val="clear" w:color="auto" w:fill="D1D1D1" w:themeFill="background2" w:themeFillShade="E6"/>
            <w:vAlign w:val="center"/>
          </w:tcPr>
          <w:p w14:paraId="75D5316D" w14:textId="459CC2E2" w:rsidR="00FF3605" w:rsidRPr="003E0254" w:rsidRDefault="001F7477" w:rsidP="007043D0">
            <w:pPr>
              <w:jc w:val="center"/>
              <w:rPr>
                <w:b/>
                <w:bCs/>
                <w:sz w:val="20"/>
                <w:szCs w:val="20"/>
                <w:u w:val="single"/>
              </w:rPr>
            </w:pPr>
            <w:r w:rsidRPr="003E0254">
              <w:rPr>
                <w:b/>
                <w:bCs/>
                <w:sz w:val="20"/>
                <w:szCs w:val="20"/>
                <w:u w:val="single"/>
              </w:rPr>
              <w:t>Ino</w:t>
            </w:r>
            <w:r w:rsidR="00FF3605" w:rsidRPr="003E0254">
              <w:rPr>
                <w:b/>
                <w:bCs/>
                <w:sz w:val="20"/>
                <w:szCs w:val="20"/>
                <w:u w:val="single"/>
              </w:rPr>
              <w:t xml:space="preserve">rganic </w:t>
            </w:r>
            <w:r w:rsidR="00AF031A" w:rsidRPr="003E0254">
              <w:rPr>
                <w:b/>
                <w:bCs/>
                <w:sz w:val="20"/>
                <w:szCs w:val="20"/>
                <w:u w:val="single"/>
              </w:rPr>
              <w:t>compounds</w:t>
            </w:r>
            <w:r w:rsidRPr="003E0254">
              <w:rPr>
                <w:b/>
                <w:bCs/>
                <w:sz w:val="20"/>
                <w:szCs w:val="20"/>
                <w:u w:val="single"/>
              </w:rPr>
              <w:fldChar w:fldCharType="begin" w:fldLock="1"/>
            </w:r>
            <w:r w:rsidR="00500B8D" w:rsidRPr="003E0254">
              <w:rPr>
                <w:b/>
                <w:bCs/>
                <w:sz w:val="20"/>
                <w:szCs w:val="20"/>
                <w:u w:val="single"/>
              </w:rPr>
              <w:instrText>ADDIN CSL_CITATION {"citationItems":[{"id":"ITEM-1","itemData":{"DOI":"10.1007/BF01029582/METRICS","ISSN":"0021891X","abstract":"The addition of Ca(OH)2 to the zinc electrode of Zn/KOH/NiOOH cells was investigated in order to determine its effect on the rate of zinc active material redistribution (shape change) and cell cycle-life performance. Cells of equal mass and capacity, and therefore the same specific energy, containing 0, 10, 25, and 40 mol% Ca(OH)2 in their zinc electrodes were constructed and tested. The Ca(OH)2 and Zn(OH)42--supersaturated KOH solution formed a calcium-zincate complex during the discharge half-cycle. The solubility of this complex is less than that of ZnO, and the lower zinc species solubility leads to a slower rate of Zn redistribution, thereby extending the cell cycle life. The best cells tested were those with 25%-Ca(OH)2 electrodes, which lost capacity at a rate of 0.13%/cycle, compared to 0.47%/cycle in calcium-free control cells constructed in the same manner. Also, zinc active material utilization in the calcium-containing electrodes showed a dramatic improvement, compared to the calcium-free zinc electrodes. © 1992 Chapman &amp; Hall.","author":[{"dropping-particle":"","family":"Jain","given":"R.","non-dropping-particle":"","parse-names":false,"suffix":""},{"dropping-particle":"","family":"Adler","given":"T. C.","non-dropping-particle":"","parse-names":false,"suffix":""},{"dropping-particle":"","family":"McLarnon","given":"F. R.","non-dropping-particle":"","parse-names":false,"suffix":""},{"dropping-particle":"","family":"Cairns","given":"E. J.","non-dropping-particle":"","parse-names":false,"suffix":""}],"container-title":"Journal of Applied Electrochemistry","id":"ITEM-1","issue":"11","issued":{"date-parts":[["1992","11"]]},"page":"1039-1048","publisher":"Kluwer Academic Publishers","title":"Development of long-lived high-performance zinc-calcium/nickel oxide cells","type":"article-journal","volume":"22"},"uris":["http://www.mendeley.com/documents/?uuid=6217f749-1768-3d2e-ae87-0880c77eb13b"]},{"id":"ITEM-2","itemData":{"DOI":"10.1016/0378-7753(94)02170-8","ISSN":"0378-7753","abstract":"Zinc secondary systems have high energy density, power density, rugged physical structure, and good low-temperature performance. Zinc secondary systems are mainly used in electric vehicles, as well as in military and commercial aircraft. The main problems of zinc-based secondary systems are shape change, dendritic growth and high solubility of the oxidation products of zinc in the electrolyte. The present study deals with the effect of additives added to the alkaline solution for the improvement of the zinc electrode. The effect of the addition agents is examined by potentiodynamic polarization and triangular potential sweep voltammetric techniques. A discussion is given of the effect of various percentages of vanadium pentoxide, zinc oxide, lead oxide and thiourea on the reversibility of the redox couple. Potentiodynamic polarization experiments have been carried out over a wide range of temperatures, i.e., from 30 to 60 °C. A suitable electrolyte composition for the zinc-alkaline system is suggested. © 1995.","author":[{"dropping-particle":"","family":"Shivkumar","given":"R.","non-dropping-particle":"","parse-names":false,"suffix":""},{"dropping-particle":"","family":"Paruthimal Kalaignan","given":"G.","non-dropping-particle":"","parse-names":false,"suffix":""},{"dropping-particle":"","family":"Vasudevan","given":"T.","non-dropping-particle":"","parse-names":false,"suffix":""}],"container-title":"Journal of Power Sources","id":"ITEM-2","issue":"1","issued":{"date-parts":[["1995","5","1"]]},"page":"53-62","publisher":"Elsevier","title":"Effect of additives on zinc electrodes in alkaline battery systems","type":"article-journal","volume":"55"},"uris":["http://www.mendeley.com/documents/?uuid=162385fd-1949-3e3f-a0a8-ec8fc9ed2c89"]}],"mendeley":{"formattedCitation":"&lt;sup&gt;[192,193]&lt;/sup&gt;","plainTextFormattedCitation":"[192,193]","previouslyFormattedCitation":"&lt;sup&gt;[191,192]&lt;/sup&gt;"},"properties":{"noteIndex":0},"schema":"https://github.com/citation-style-language/schema/raw/master/csl-citation.json"}</w:instrText>
            </w:r>
            <w:r w:rsidRPr="003E0254">
              <w:rPr>
                <w:b/>
                <w:bCs/>
                <w:sz w:val="20"/>
                <w:szCs w:val="20"/>
                <w:u w:val="single"/>
              </w:rPr>
              <w:fldChar w:fldCharType="separate"/>
            </w:r>
            <w:r w:rsidR="00500B8D" w:rsidRPr="003E0254">
              <w:rPr>
                <w:bCs/>
                <w:noProof/>
                <w:sz w:val="20"/>
                <w:szCs w:val="20"/>
                <w:vertAlign w:val="superscript"/>
              </w:rPr>
              <w:t>[192,193]</w:t>
            </w:r>
            <w:r w:rsidRPr="003E0254">
              <w:rPr>
                <w:b/>
                <w:bCs/>
                <w:sz w:val="20"/>
                <w:szCs w:val="20"/>
                <w:u w:val="single"/>
              </w:rPr>
              <w:fldChar w:fldCharType="end"/>
            </w:r>
          </w:p>
        </w:tc>
        <w:tc>
          <w:tcPr>
            <w:tcW w:w="737" w:type="pct"/>
            <w:shd w:val="clear" w:color="auto" w:fill="D1D1D1" w:themeFill="background2" w:themeFillShade="E6"/>
            <w:vAlign w:val="center"/>
          </w:tcPr>
          <w:p w14:paraId="0ED620DB" w14:textId="1CA5E12C" w:rsidR="00FF3605" w:rsidRPr="003E0254" w:rsidRDefault="00FF3605" w:rsidP="007043D0">
            <w:pPr>
              <w:jc w:val="center"/>
              <w:rPr>
                <w:b/>
                <w:bCs/>
                <w:sz w:val="20"/>
                <w:szCs w:val="20"/>
                <w:u w:val="single"/>
              </w:rPr>
            </w:pPr>
            <w:r w:rsidRPr="003E0254">
              <w:rPr>
                <w:b/>
                <w:bCs/>
                <w:sz w:val="20"/>
                <w:szCs w:val="20"/>
                <w:u w:val="single"/>
              </w:rPr>
              <w:t>3D structures</w:t>
            </w:r>
            <w:r w:rsidR="007043D0" w:rsidRPr="003E0254">
              <w:rPr>
                <w:b/>
                <w:bCs/>
                <w:sz w:val="20"/>
                <w:szCs w:val="20"/>
                <w:u w:val="single"/>
              </w:rPr>
              <w:fldChar w:fldCharType="begin" w:fldLock="1"/>
            </w:r>
            <w:r w:rsidR="00500B8D" w:rsidRPr="003E0254">
              <w:rPr>
                <w:b/>
                <w:bCs/>
                <w:sz w:val="20"/>
                <w:szCs w:val="20"/>
                <w:u w:val="single"/>
              </w:rPr>
              <w:instrText xml:space="preserve">ADDIN CSL_CITATION {"citationItems":[{"id":"ITEM-1","itemData":{"DOI":"10.1021/ACSAEM.8B01946/ASSET/IMAGES/LARGE/AE-2018-01946P_0003.JPEG","ISSN":"25740962","abstract":"We previously demonstrated that a redesign of the form factor for zinc (Zn) anodes to a monolithic, porous 3D-wired sponge sets a new benchmark for rechargeable alkaline Zn batteries. By engineering the solid volume fraction from the benchmarked 20% (Zn20) to 30% (Zn30), we increase the degree of metallic connectivity, boost mechanical integrity, and out-power the first-generation counterpart. Visualizing the internal structure using X-ray computed microtomography (XCMT) confirms increased interconnectivity within the denser Zn30. To highlight the energy and power improvements, we pair the zinc sponges with a silver oxide cathode in prototype Ag-Zn cells and demonstrate superior performance with Zn30 anodes: 50% improvement in zinc-normalized volumetric capacity (up to 1.6 Ah LZn-1) and supercapacitor-like specific power (up to </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6 kW kgZn-1), all while maintaining rechargeability.","author":[{"dropping-particle":"","family":"Ko","given":"Jesse S.","non-dropping-particle":"","parse-names":false,"suffix":""},{"dropping-particle":"","family":"Geltmacher","given":"Andrew B.","non-dropping-particle":"","parse-names":false,"suffix":""},{"dropping-particle":"","family":"Hopkins","given":"Brandon J.","non-dropping-particle":"","parse-names":false,"suffix":""},{"dropping-particle":"","family":"Rolison","given":"Debra R.","non-dropping-particle":"","parse-names":false,"suffix":""},{"dropping-particle":"","family":"Long","given":"Jeffrey W.","non-dropping-particle":"","parse-names":false,"suffix":""},{"dropping-particle":"","family":"Parker","given":"Joseph F.","non-dropping-particle":"","parse-names":false,"suffix":""}],"container-title":"ACS Applied Energy Materials","id":"ITEM-1","issue":"1","issued":{"date-parts":[["2019","1","28"]]},"page":"212-216","publisher":"American Chemical Society","title":"Robust 3D Zn sponges enable high-power, energy-dense alkaline batteries","type":"article-journal","volume":"2"},"uris":["http://www.mendeley.com/documents/?uuid=6cf2868d-f2b3-3162-9367-c3b3974612e3"]},{"id":"ITEM-2","itemData":{"DOI":"10.1016/J.MTENER.2020.100407","ISSN":"2468-6069","abstract":"Fabrication and assembly of electrodes are of great importance for the manufacturing of batteries, which are the bridge to transfer electrode materials to devices. Here, we demonstrate a 3D-printing technology for the construction of functional electrodes (including anode and cathode) for zinc-air batteries. The printed anode consists of many zinc micro-spheres that allows the high utilization of the zinc. The printed self-standing air cathode features hierarchical porous structure with high surface area, which endows the electrode with high electrocatalytic activity and fast diffusion channel for the reaction. Benefiting from these advantages, the as-assembled zinc-air batteries achieve a high discharge capacity of 670 mA h g−1 at the current density of 5 mA cm−2, and long-term cycle stability at least 350 cycles, which are superior to those of conventional batteries. The reasons behind these properties and their respective characteristics are well explored and clarified. This work successfully validates the feasibility of printing battery electrodes, which might revolutionize battery manufacturing.","author":[{"dropping-particle":"","family":"Zhang","given":"Jian","non-dropping-particle":"","parse-names":false,"suffix":""},{"dropping-particle":"","family":"Li","given":"Xue Liang","non-dropping-particle":"","parse-names":false,"suffix":""},{"dropping-particle":"","family":"Fan","given":"Shuang","non-dropping-particle":"","parse-names":false,"suffix":""},{"dropping-particle":"","family":"Huang","given":"Shaozhuan","non-dropping-particle":"","parse-names":false,"suffix":""},{"dropping-particle":"","family":"Yan","given":"Dong","non-dropping-particle":"","parse-names":false,"suffix":""},{"dropping-particle":"","family":"Liu","given":"Lei","non-dropping-particle":"","parse-names":false,"suffix":""},{"dropping-particle":"","family":"Valdivia y Alvarado","given":"Pablo","non-dropping-particle":"","parse-names":false,"suffix":""},{"dropping-particle":"","family":"Yang","given":"Hui Ying","non-dropping-particle":"","parse-names":false,"suffix":""}],"container-title":"Materials Today Energy","id":"ITEM-2","issued":{"date-parts":[["2020","6","1"]]},"page":"100407","publisher":"Elsevier","title":"3D-printed functional electrodes towards Zn-Air batteries","type":"article-journal","volume":"16"},"uris":["http://www.mendeley.com/documents/?uuid=0fb2bf7b-8883-36f9-b60e-90e070b087e6"]},{"id":"ITEM-3","itemData":{"DOI":"10.1039/C5RA16264E","ISSN":"2046-2069","abstract":"Three-dimensional (3D) Zn/Cu foam electrodes are fabricated by pulse electro-deposition of zinc on copper foam and investigated as negative electrode materials for zinc-based alkaline batteries. Scanning electron microscopy (SEM) images show that epitaxially layered zinc crystals distribute uniformly on the 3D copper foam-like skeleton. A peak power density of 286 mW cm−2 and utilization of 92% (754 mA h g−1 at 200 mA cm−2) are obtained when the Zn/Cu foam electrodes are used in primary zinc/oxygen batteries and reveal high rate capability and material utilization of the 3D electrodes. To probe the rechargeability of the Zn/Cu foam electrodes, zinc/zinc quasi-symmetric cells are cycled under severe conditions, i.e., a discharge–charge current density of as high as 250 mA cm−2, 100% depth of discharge and without dendrite-suppressing additives that would otherwise suppress dendrite growth, yet the 3D Zn/Cu foam electrodes remain dendrite-free experienced 10</w:instrText>
            </w:r>
            <w:r w:rsidR="00500B8D" w:rsidRPr="003E0254">
              <w:rPr>
                <w:rFonts w:ascii="Arial" w:hAnsi="Arial" w:cs="Arial"/>
                <w:b/>
                <w:bCs/>
                <w:sz w:val="20"/>
                <w:szCs w:val="20"/>
                <w:u w:val="single"/>
              </w:rPr>
              <w:instrText> </w:instrText>
            </w:r>
            <w:r w:rsidR="00500B8D" w:rsidRPr="003E0254">
              <w:rPr>
                <w:b/>
                <w:bCs/>
                <w:sz w:val="20"/>
                <w:szCs w:val="20"/>
                <w:u w:val="single"/>
              </w:rPr>
              <w:instrText>000 discharge</w:instrText>
            </w:r>
            <w:r w:rsidR="00500B8D" w:rsidRPr="003E0254">
              <w:rPr>
                <w:rFonts w:ascii="Aptos" w:hAnsi="Aptos" w:cs="Aptos"/>
                <w:b/>
                <w:bCs/>
                <w:sz w:val="20"/>
                <w:szCs w:val="20"/>
                <w:u w:val="single"/>
              </w:rPr>
              <w:instrText>–</w:instrText>
            </w:r>
            <w:r w:rsidR="00500B8D" w:rsidRPr="003E0254">
              <w:rPr>
                <w:b/>
                <w:bCs/>
                <w:sz w:val="20"/>
                <w:szCs w:val="20"/>
                <w:u w:val="single"/>
              </w:rPr>
              <w:instrText>charge cycles. The specific capacity of the 3D Zn/Cu foam electrodes reaches up to 620 mA h g</w:instrText>
            </w:r>
            <w:r w:rsidR="00500B8D" w:rsidRPr="003E0254">
              <w:rPr>
                <w:rFonts w:ascii="Aptos" w:hAnsi="Aptos" w:cs="Aptos"/>
                <w:b/>
                <w:bCs/>
                <w:sz w:val="20"/>
                <w:szCs w:val="20"/>
                <w:u w:val="single"/>
              </w:rPr>
              <w:instrText>−</w:instrText>
            </w:r>
            <w:r w:rsidR="00500B8D" w:rsidRPr="003E0254">
              <w:rPr>
                <w:b/>
                <w:bCs/>
                <w:sz w:val="20"/>
                <w:szCs w:val="20"/>
                <w:u w:val="single"/>
              </w:rPr>
              <w:instrText>1 after at least 9000 discharge</w:instrText>
            </w:r>
            <w:r w:rsidR="00500B8D" w:rsidRPr="003E0254">
              <w:rPr>
                <w:rFonts w:ascii="Aptos" w:hAnsi="Aptos" w:cs="Aptos"/>
                <w:b/>
                <w:bCs/>
                <w:sz w:val="20"/>
                <w:szCs w:val="20"/>
                <w:u w:val="single"/>
              </w:rPr>
              <w:instrText>–</w:instrText>
            </w:r>
            <w:r w:rsidR="00500B8D" w:rsidRPr="003E0254">
              <w:rPr>
                <w:b/>
                <w:bCs/>
                <w:sz w:val="20"/>
                <w:szCs w:val="20"/>
                <w:u w:val="single"/>
              </w:rPr>
              <w:instrText>charge cycles in a prototype Zn/Ni battery, exhibiting the superior cycling stability of the 3D Zn/Cu foam electrodes.","author":[{"dropping-particle":"","family":"Yan","given":"Zhao","non-dropping-particle":"","parse-names":false,"suffix":""},{"dropping-particle":"","family":"Wang","given":"Erdong","non-dropping-particle":"","parse-names":false,"suffix":""},{"dropping-particle":"","family":"Jiang","given":"Luhua","non-dropping-particle":"","parse-names":false,"suffix":""},{"dropping-particle":"","family":"Sun","given":"Gongquan","non-dropping-particle":"","parse-names":false,"suffix":""}],"container-title":"RSC Advances","id":"ITEM-3","issue":"102","issued":{"date-parts":[["2015","10","1"]]},"page":"83781-83787","publisher":"The Royal Society of Chemistry","title":"Superior cycling stability and high rate capability of three-dimensional Zn/Cu foam electrodes for zinc-based alkaline batteries","type":"article-journal","volume":"5"},"uris":["http://www.mendeley.com/documents/?uuid=d2a5b10d-49bb-3121-9440-50cc027f9430"]},{"id":"ITEM-4","itemData":{"DOI":"10.1002/ADMA.202301952","ISSN":"1521-4095","PMID":"37067852","abstract":"A conventional two-electrode rechargeable zinc–air battery (RZAB) has two major problems: 1) opposing requirements for the oxygen reduction (ORR) and oxygen evolution (OER) reactions from the catalyst at the air cathode; and 2) zinc-dendrite formation, hydrogen generation, and zinc corrosion at the zinc anode. To tackle these problems, a three-electrode RZAB (T-RZAB) including a hydrophobic discharge cathode, a hydrophilic charge cathode, and a zinc-free anode is developed. The decoupled cathodes enable fast ORR and OER kinetics, and avoid oxidization of the ORR catalyst. The zinc-free anode using tin-coated copper foam that induces the growth of (002)Zn planes, suppresses hydrogen evolution, and prevents Zn corrosion. As a result, the T-RZABs have a high discharge capacity per cycle of 800 mAh cm−2, a low voltage gap between the discharge/charge platforms of 0.66 V, and an ultralong cycle life of 5220 h at a current density of 10 mA cm−2. A large T-RZAB with a discharge capacity of 10 Ah per cycle with no obvious degradation after cycling for 1000 h is developed. Finally, a T-RZAB pack that has an energy density of 151.8 Wh kg−1 and a low cost of 46.7 US dollars kWh−1 is assembled.","author":[{"dropping-particle":"","family":"Zhong","given":"Xiongwei","non-dropping-particle":"","parse-names":false,"suffix":""},{"dropping-particle":"","family":"Shao","given":"Yangfan","non-dropping-particle":"","parse-names":false,"suffix":""},{"dropping-particle":"","family":"Chen","given":"Biao","non-dropping-particle":"","parse-names":false,"suffix":""},{"dropping-particle":"","family":"Li","given":"Chuang","non-dropping-particle":"","parse-names":false,"suffix":""},{"dropping-particle":"","family":"Sheng","given":"Jinzhi","non-dropping-particle":"","parse-names":false,"suffix":""},{"dropping-particle":"","family":"Xiao","given":"Xiao","non-dropping-particle":"","parse-names":false,"suffix":""},{"dropping-particle":"","family":"Xu","given":"Baomin","non-dropping-particle":"","parse-names":false,"suffix":""},{"dropping-particle":"","family":"Li","given":"Jia","non-dropping-particle":"","parse-names":false,"suffix":""},{"dropping-particle":"","family":"Cheng","given":"Hui Ming","non-dropping-particle":"","parse-names":false,"suffix":""},{"dropping-particle":"","family":"Zhou","given":"Guangmin","non-dropping-particle":"","parse-names":false,"suffix":""}],"container-title":"Advanced Materials","id":"ITEM-4","issue":"30","issued":{"date-parts":[["2023","7","1"]]},"page":"2301952","publisher":"John Wiley &amp; Sons, Ltd","title":"Rechargeable Zinc–Air Batteries with an Ultralarge Discharge Capacity per Cycle and an Ultralong Cycle Life","type":"article-journal","volume":"35"},"uris":["http://www.mendeley.com/documents/?uuid=5e97a8c9-2ff2-39db-9d19-8f6dbccbccbe"]}],"mendeley":{"formattedCitation":"&lt;sup&gt;[194–197]&lt;/sup&gt;","plainTextFormattedCitation":"[194–197]","previouslyFormattedCitation":"&lt;sup&gt;[193–196]&lt;/sup&gt;"},"properties":{"noteIndex":0},"schema":"https://github.com/citation-style-language/schema/raw/master/csl-citation.json"}</w:instrText>
            </w:r>
            <w:r w:rsidR="007043D0" w:rsidRPr="003E0254">
              <w:rPr>
                <w:b/>
                <w:bCs/>
                <w:sz w:val="20"/>
                <w:szCs w:val="20"/>
                <w:u w:val="single"/>
              </w:rPr>
              <w:fldChar w:fldCharType="separate"/>
            </w:r>
            <w:r w:rsidR="00500B8D" w:rsidRPr="003E0254">
              <w:rPr>
                <w:bCs/>
                <w:noProof/>
                <w:sz w:val="20"/>
                <w:szCs w:val="20"/>
                <w:vertAlign w:val="superscript"/>
              </w:rPr>
              <w:t>[194–197]</w:t>
            </w:r>
            <w:r w:rsidR="007043D0" w:rsidRPr="003E0254">
              <w:rPr>
                <w:b/>
                <w:bCs/>
                <w:sz w:val="20"/>
                <w:szCs w:val="20"/>
                <w:u w:val="single"/>
              </w:rPr>
              <w:fldChar w:fldCharType="end"/>
            </w:r>
          </w:p>
          <w:p w14:paraId="53CEBD28" w14:textId="6390432E" w:rsidR="00FF3605" w:rsidRPr="003E0254" w:rsidRDefault="00FF3605" w:rsidP="007043D0">
            <w:pPr>
              <w:jc w:val="center"/>
              <w:rPr>
                <w:b/>
                <w:bCs/>
                <w:sz w:val="20"/>
                <w:szCs w:val="20"/>
                <w:u w:val="single"/>
              </w:rPr>
            </w:pPr>
          </w:p>
        </w:tc>
        <w:tc>
          <w:tcPr>
            <w:tcW w:w="770" w:type="pct"/>
            <w:shd w:val="clear" w:color="auto" w:fill="D1D1D1" w:themeFill="background2" w:themeFillShade="E6"/>
            <w:vAlign w:val="center"/>
          </w:tcPr>
          <w:p w14:paraId="3D3B7B60" w14:textId="4709534A" w:rsidR="00FF3605" w:rsidRPr="003E0254" w:rsidRDefault="00FF3605" w:rsidP="007043D0">
            <w:pPr>
              <w:jc w:val="center"/>
              <w:rPr>
                <w:b/>
                <w:bCs/>
                <w:sz w:val="20"/>
                <w:szCs w:val="20"/>
                <w:u w:val="single"/>
              </w:rPr>
            </w:pPr>
            <w:r w:rsidRPr="003E0254">
              <w:rPr>
                <w:b/>
                <w:bCs/>
                <w:sz w:val="20"/>
                <w:szCs w:val="20"/>
                <w:u w:val="single"/>
              </w:rPr>
              <w:t>Conductive agents</w:t>
            </w:r>
            <w:r w:rsidR="007F26F6" w:rsidRPr="003E0254">
              <w:rPr>
                <w:sz w:val="20"/>
                <w:szCs w:val="20"/>
              </w:rPr>
              <w:fldChar w:fldCharType="begin" w:fldLock="1"/>
            </w:r>
            <w:r w:rsidR="00500B8D" w:rsidRPr="003E0254">
              <w:rPr>
                <w:sz w:val="20"/>
                <w:szCs w:val="20"/>
              </w:rPr>
              <w:instrText>ADDIN CSL_CITATION {"citationItems":[{"id":"ITEM-1","itemData":{"DOI":"10.1149/2.007306JES/XML","ISSN":"0013-4651","abstract":"Zinc-air batteries were fabricated using porous zinc anodes with various concentrations of Super P carbon black additive. The introduction of Super P significantly improved the electrochemical performance of the batteries. The specific discharge capacity and power density of the Zn anode with 2 wt% Super P anode was 776 mA h g−1 and 20 mW cm−2, respectively. The batteries also exhibited good durability and stability at an open circuit voltage maintained at approximately 1.4 V. The bridging between Zn powders by Super P may explain the improved electrochemical performance of the batteries. Morphological images and structural properties were also analyzed to support these observations.","author":[{"dropping-particle":"","family":"Masri","given":"Mohamad Najmi","non-dropping-particle":"","parse-names":false,"suffix":""},{"dropping-particle":"","family":"Mohamad","given":"Ahmad Azmin","non-dropping-particle":"","parse-names":false,"suffix":""}],"container-title":"Journal of The Electrochemical Society","id":"ITEM-1","issue":"4","issued":{"date-parts":[["2013","2","26"]]},"page":"A715-A721","publisher":"The Electrochemical Society","title":"Effect of Adding Carbon Black to a Porous Zinc Anode in a Zinc-Air Battery","type":"article-journal","volume":"160"},"uris":["http://www.mendeley.com/documents/?uuid=c50ca99f-d330-3801-9816-62e851846dd6"]}],"mendeley":{"formattedCitation":"&lt;sup&gt;[198]&lt;/sup&gt;","plainTextFormattedCitation":"[198]","previouslyFormattedCitation":"&lt;sup&gt;[197]&lt;/sup&gt;"},"properties":{"noteIndex":0},"schema":"https://github.com/citation-style-language/schema/raw/master/csl-citation.json"}</w:instrText>
            </w:r>
            <w:r w:rsidR="007F26F6" w:rsidRPr="003E0254">
              <w:rPr>
                <w:sz w:val="20"/>
                <w:szCs w:val="20"/>
              </w:rPr>
              <w:fldChar w:fldCharType="separate"/>
            </w:r>
            <w:r w:rsidR="00500B8D" w:rsidRPr="003E0254">
              <w:rPr>
                <w:noProof/>
                <w:sz w:val="20"/>
                <w:szCs w:val="20"/>
                <w:vertAlign w:val="superscript"/>
              </w:rPr>
              <w:t>[198]</w:t>
            </w:r>
            <w:r w:rsidR="007F26F6" w:rsidRPr="003E0254">
              <w:rPr>
                <w:sz w:val="20"/>
                <w:szCs w:val="20"/>
              </w:rPr>
              <w:fldChar w:fldCharType="end"/>
            </w:r>
          </w:p>
        </w:tc>
        <w:tc>
          <w:tcPr>
            <w:tcW w:w="1034" w:type="pct"/>
            <w:shd w:val="clear" w:color="auto" w:fill="D1D1D1" w:themeFill="background2" w:themeFillShade="E6"/>
            <w:vAlign w:val="center"/>
          </w:tcPr>
          <w:p w14:paraId="42F02C36" w14:textId="5D9D9ACF" w:rsidR="00FF3605" w:rsidRPr="003E0254" w:rsidRDefault="00FF3605" w:rsidP="007043D0">
            <w:pPr>
              <w:jc w:val="center"/>
              <w:rPr>
                <w:b/>
                <w:bCs/>
                <w:sz w:val="20"/>
                <w:szCs w:val="20"/>
                <w:u w:val="single"/>
              </w:rPr>
            </w:pPr>
            <w:r w:rsidRPr="003E0254">
              <w:rPr>
                <w:b/>
                <w:bCs/>
                <w:sz w:val="20"/>
                <w:szCs w:val="20"/>
                <w:u w:val="single"/>
              </w:rPr>
              <w:t>Non-noble metal based</w:t>
            </w:r>
            <w:r w:rsidR="007F26F6" w:rsidRPr="003E0254">
              <w:rPr>
                <w:b/>
                <w:bCs/>
                <w:sz w:val="20"/>
                <w:szCs w:val="20"/>
                <w:u w:val="single"/>
              </w:rPr>
              <w:fldChar w:fldCharType="begin" w:fldLock="1"/>
            </w:r>
            <w:r w:rsidR="00500B8D" w:rsidRPr="003E0254">
              <w:rPr>
                <w:b/>
                <w:bCs/>
                <w:sz w:val="20"/>
                <w:szCs w:val="20"/>
                <w:u w:val="single"/>
              </w:rPr>
              <w:instrText xml:space="preserve">ADDIN CSL_CITATION {"citationItems":[{"id":"ITEM-1","itemData":{"DOI":"10.1016/J.ENSM.2019.12.043","ISSN":"2405-8297","abstract":"Cobalt oxides are promising bifunctional oxygen electrocatalysts due to their intrinsic activities toward both dissociation and formation of oxygen molecules. Unfortunately, their practical utilization is seriously hindered by the limited accessible active sites and inferior activity. Herein, vertically-aligned porous nanoarrays composed of ultrafine nitrogen-doped cobalt oxide (NP-Co3O4) nanoparticles (4-5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nm) are in-situ fabricated on carbon cloth (CC) via mild oxidation of Co-based zeolitic-imidazolate-framework (Co-ZIF) nanoarrays. The oxidation decomposition of 2-methylimidazolate ligands between Co nodes not only confines the growth of cobalt oxides, but also provides the nitrogen sources for realizing low-temperature (200 </w:instrText>
            </w:r>
            <w:r w:rsidR="00500B8D" w:rsidRPr="003E0254">
              <w:rPr>
                <w:rFonts w:ascii="Arial" w:hAnsi="Arial" w:cs="Arial"/>
                <w:b/>
                <w:bCs/>
                <w:sz w:val="20"/>
                <w:szCs w:val="20"/>
                <w:u w:val="single"/>
              </w:rPr>
              <w:instrText>​</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C) nitrogen doping. In alkaline electrolyte, the as-built NP-Co3O4/CC manifests an extremely high oxygen reduction reaction (ORR) half-wave potential of ~0.9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V and a decreased oxygen evolution reaction (OER) overpotential of 330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mV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at 10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mA </w:instrText>
            </w:r>
            <w:r w:rsidR="00500B8D" w:rsidRPr="003E0254">
              <w:rPr>
                <w:rFonts w:ascii="Arial" w:hAnsi="Arial" w:cs="Arial"/>
                <w:b/>
                <w:bCs/>
                <w:sz w:val="20"/>
                <w:szCs w:val="20"/>
                <w:u w:val="single"/>
              </w:rPr>
              <w:instrText>​</w:instrText>
            </w:r>
            <w:r w:rsidR="00500B8D" w:rsidRPr="003E0254">
              <w:rPr>
                <w:b/>
                <w:bCs/>
                <w:sz w:val="20"/>
                <w:szCs w:val="20"/>
                <w:u w:val="single"/>
              </w:rPr>
              <w:instrText>cm</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2, displaying a record low potential gap of 0.66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V. As bifunctional oxygen electrodes in rechargeable aqueous and all-solid-state flexible zinc-air batteries, the NP-Co3O4/CC-based batteries exhibit ultrahigh power densities up to 200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mW </w:instrText>
            </w:r>
            <w:r w:rsidR="00500B8D" w:rsidRPr="003E0254">
              <w:rPr>
                <w:rFonts w:ascii="Arial" w:hAnsi="Arial" w:cs="Arial"/>
                <w:b/>
                <w:bCs/>
                <w:sz w:val="20"/>
                <w:szCs w:val="20"/>
                <w:u w:val="single"/>
              </w:rPr>
              <w:instrText>​</w:instrText>
            </w:r>
            <w:r w:rsidR="00500B8D" w:rsidRPr="003E0254">
              <w:rPr>
                <w:b/>
                <w:bCs/>
                <w:sz w:val="20"/>
                <w:szCs w:val="20"/>
                <w:u w:val="single"/>
              </w:rPr>
              <w:instrText>cm</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2 and 99.8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mW </w:instrText>
            </w:r>
            <w:r w:rsidR="00500B8D" w:rsidRPr="003E0254">
              <w:rPr>
                <w:rFonts w:ascii="Arial" w:hAnsi="Arial" w:cs="Arial"/>
                <w:b/>
                <w:bCs/>
                <w:sz w:val="20"/>
                <w:szCs w:val="20"/>
                <w:u w:val="single"/>
              </w:rPr>
              <w:instrText>​</w:instrText>
            </w:r>
            <w:r w:rsidR="00500B8D" w:rsidRPr="003E0254">
              <w:rPr>
                <w:b/>
                <w:bCs/>
                <w:sz w:val="20"/>
                <w:szCs w:val="20"/>
                <w:u w:val="single"/>
              </w:rPr>
              <w:instrText>cm</w:instrText>
            </w:r>
            <w:r w:rsidR="00500B8D" w:rsidRPr="003E0254">
              <w:rPr>
                <w:rFonts w:ascii="Aptos" w:hAnsi="Aptos" w:cs="Aptos"/>
                <w:b/>
                <w:bCs/>
                <w:sz w:val="20"/>
                <w:szCs w:val="20"/>
                <w:u w:val="single"/>
              </w:rPr>
              <w:instrText>−</w:instrText>
            </w:r>
            <w:r w:rsidR="00500B8D" w:rsidRPr="003E0254">
              <w:rPr>
                <w:b/>
                <w:bCs/>
                <w:sz w:val="20"/>
                <w:szCs w:val="20"/>
                <w:u w:val="single"/>
              </w:rPr>
              <w:instrText>3, respectively, which are much higher than those of reported bifunctional oxygen electrocatalysts. This work paves a new avenue for the fabrication of porous nitrogen doped metal oxides towards high-performance zinc-air batteries.","author":[{"dropping-particle":"","family":"Wang","given":"Xia","non-dropping-particle":"","parse-names":false,"suffix":""},{"dropping-particle":"","family":"Liao","given":"Zhongquan","non-dropping-particle":"","parse-names":false,"suffix":""},{"dropping-particle":"","family":"Fu","given":"Yubin","non-dropping-particle":"","parse-names":false,"suffix":""},{"dropping-particle":"","family":"Neumann","given":"Christof","non-dropping-particle":"","parse-names":false,"suffix":""},{"dropping-particle":"","family":"Turchanin","given":"Andrey","non-dropping-particle":"","parse-names":false,"suffix":""},{"dropping-particle":"","family":"Nam","given":"Gyutae","non-dropping-particle":"","parse-names":false,"suffix":""},{"dropping-particle":"","family":"Zschech","given":"Ehrenfried","non-dropping-particle":"","parse-names":false,"suffix":""},{"dropping-particle":"","family":"Cho","given":"Jaephil","non-dropping-particle":"","parse-names":false,"suffix":""},{"dropping-particle":"","family":"Zhang","given":"Jian","non-dropping-particle":"","parse-names":false,"suffix":""},{"dropping-particle":"","family":"Feng","given":"Xinliang","non-dropping-particle":"","parse-names":false,"suffix":""}],"container-title":"Energy Storage Materials","id":"ITEM-1","issued":{"date-parts":[["2020","4","1"]]},"page":"157-164","publisher":"Elsevier","title":"Confined growth of porous nitrogen-doped cobalt oxide nanoarrays as bifunctional oxygen electrocatalysts for rechargeable zinc–air batteries","type":"article-journal","volume":"26"},"uris":["http://www.mendeley.com/documents/?uuid=3ed16e27-b23c-39f2-a8f4-850819203675"]},{"id":"ITEM-2","itemData":{"DOI":"10.1002/SMLL.201803409","ISSN":"1613-6829","PMID":"30334376","abstract":"As a promising energy-storage device, rechargeable Zn-air batteries have attracted considerable interests. Herein, a bifunctional oxygen electrode film prepared by adhering NiCo2O4 nanosheets to a nitrogen and oxygen dual-doped carbon nanotubes film in a large scale is reported. The resulting self-supporting film electrode is multifunctional, which integrates a porous conducting structure for air diffusion and charge transfer, high-performance catalysts for oxygen reduction and evolution, and novel structural flexibility. The composite film demonstrates excellent oxygen reduction/evolution reaction catalytic activities with low Tafel slopes (50 mV dec−1 for oxygen reduction reaction; 92 mV dec−1 for oxygen evolution reaction). Without any additional current collector, gas diffusion layer, or binder, the obtained bifunctional film performs as an “all-in-one” air electrode in a Zn-air battery. A 50-cm-long cable-shaped Zn-air battery based on such a film air electrode exhibits high operating potentials (≈1.2 V at 0.25 mA cm−2), low charging–discharging overpotentials (≈0.7 V), and stable cycling performance. Moreover, the flexible cable Zn-air batteries show excellent stability under different deformation conditions. The proposed concept of constructing scalable, all-in-one, freestanding, and flexible air electrodes would pave the way to develop next-generation wearable and portable energy-storage devices.","author":[{"dropping-particle":"","family":"Zeng","given":"Sha","non-dropping-particle":"","parse-names":false,"suffix":""},{"dropping-particle":"","family":"Tong","given":"Xiao","non-dropping-particle":"","parse-names":false,"suffix":""},{"dropping-particle":"","family":"Zhou","given":"Susheng","non-dropping-particle":"","parse-names":false,"suffix":""},{"dropping-particle":"","family":"Lv","given":"Bo","non-dropping-particle":"","parse-names":false,"suffix":""},{"dropping-particle":"","family":"Qiao","given":"Jian","non-dropping-particle":"","parse-names":false,"suffix":""},{"dropping-particle":"","family":"Song","given":"Yanhui","non-dropping-particle":"","parse-names":false,"suffix":""},{"dropping-particle":"","family":"Chen","given":"Minghai","non-dropping-particle":"","parse-names":false,"suffix":""},{"dropping-particle":"","family":"Di","given":"Jiangtao","non-dropping-particle":"","parse-names":false,"suffix":""},{"dropping-particle":"","family":"Li","given":"Qingwen","non-dropping-particle":"","parse-names":false,"suffix":""},{"dropping-particle":"","family":"Zeng","given":"S","non-dropping-particle":"","parse-names":false,"suffix":""},{"dropping-particle":"","family":"Tong","given":"X","non-dropping-particle":"","parse-names":false,"suffix":""},{"dropping-particle":"","family":"Zhou","given":"S","non-dropping-particle":"","parse-names":false,"suffix":""},{"dropping-particle":"","family":"Lv","given":"B","non-dropping-particle":"","parse-names":false,"suffix":""},{"dropping-particle":"","family":"Qiao","given":"J","non-dropping-particle":"","parse-names":false,"suffix":""},{"dropping-particle":"","family":"Song","given":"Y","non-dropping-particle":"","parse-names":false,"suffix":""},{"dropping-particle":"","family":"Chen","given":"M","non-dropping-particle":"","parse-names":false,"suffix":""},{"dropping-particle":"","family":"Di","given":"J","non-dropping-particle":"","parse-names":false,"suffix":""},{"dropping-particle":"","family":"Li","given":"Q","non-dropping-particle":"","parse-names":false,"suffix":""}],"container-title":"Small","id":"ITEM-2","issue":"48","issued":{"date-parts":[["2018","11","1"]]},"page":"1803409","publisher":"John Wiley &amp; Sons, Ltd","title":"All-in-One Bifunctional Oxygen Electrode Films for Flexible Zn-Air Batteries","type":"article-journal","volume":"14"},"uris":["http://www.mendeley.com/documents/?uuid=d741e828-58c0-38e8-85c8-34bd00365ad8"]}],"mendeley":{"formattedCitation":"&lt;sup&gt;[190,199]&lt;/sup&gt;","plainTextFormattedCitation":"[190,199]","previouslyFormattedCitation":"&lt;sup&gt;[189,198]&lt;/sup&gt;"},"properties":{"noteIndex":0},"schema":"https://github.com/citation-style-language/schema/raw/master/csl-citation.json"}</w:instrText>
            </w:r>
            <w:r w:rsidR="007F26F6" w:rsidRPr="003E0254">
              <w:rPr>
                <w:b/>
                <w:bCs/>
                <w:sz w:val="20"/>
                <w:szCs w:val="20"/>
                <w:u w:val="single"/>
              </w:rPr>
              <w:fldChar w:fldCharType="separate"/>
            </w:r>
            <w:r w:rsidR="00500B8D" w:rsidRPr="003E0254">
              <w:rPr>
                <w:bCs/>
                <w:noProof/>
                <w:sz w:val="20"/>
                <w:szCs w:val="20"/>
                <w:vertAlign w:val="superscript"/>
              </w:rPr>
              <w:t>[190,199]</w:t>
            </w:r>
            <w:r w:rsidR="007F26F6" w:rsidRPr="003E0254">
              <w:rPr>
                <w:b/>
                <w:bCs/>
                <w:sz w:val="20"/>
                <w:szCs w:val="20"/>
                <w:u w:val="single"/>
              </w:rPr>
              <w:fldChar w:fldCharType="end"/>
            </w:r>
          </w:p>
        </w:tc>
      </w:tr>
      <w:tr w:rsidR="006515E9" w:rsidRPr="003E0254" w14:paraId="6FA188AC" w14:textId="77777777" w:rsidTr="0039063F">
        <w:trPr>
          <w:jc w:val="center"/>
        </w:trPr>
        <w:tc>
          <w:tcPr>
            <w:tcW w:w="519" w:type="pct"/>
            <w:vMerge/>
            <w:shd w:val="clear" w:color="auto" w:fill="D1D1D1" w:themeFill="background2" w:themeFillShade="E6"/>
            <w:vAlign w:val="center"/>
          </w:tcPr>
          <w:p w14:paraId="2E119571" w14:textId="77777777" w:rsidR="00FF3605" w:rsidRPr="003E0254" w:rsidRDefault="00FF3605" w:rsidP="007043D0">
            <w:pPr>
              <w:jc w:val="center"/>
              <w:rPr>
                <w:b/>
                <w:bCs/>
                <w:sz w:val="20"/>
                <w:szCs w:val="20"/>
                <w:u w:val="single"/>
              </w:rPr>
            </w:pPr>
          </w:p>
        </w:tc>
        <w:tc>
          <w:tcPr>
            <w:tcW w:w="1032" w:type="pct"/>
            <w:vMerge/>
            <w:shd w:val="clear" w:color="auto" w:fill="D1D1D1" w:themeFill="background2" w:themeFillShade="E6"/>
            <w:vAlign w:val="center"/>
          </w:tcPr>
          <w:p w14:paraId="739ECE2A" w14:textId="77777777" w:rsidR="00FF3605" w:rsidRPr="003E0254" w:rsidRDefault="00FF3605" w:rsidP="007043D0">
            <w:pPr>
              <w:jc w:val="center"/>
              <w:rPr>
                <w:b/>
                <w:bCs/>
                <w:sz w:val="20"/>
                <w:szCs w:val="20"/>
                <w:u w:val="single"/>
              </w:rPr>
            </w:pPr>
          </w:p>
        </w:tc>
        <w:tc>
          <w:tcPr>
            <w:tcW w:w="909" w:type="pct"/>
            <w:shd w:val="clear" w:color="auto" w:fill="D1D1D1" w:themeFill="background2" w:themeFillShade="E6"/>
            <w:vAlign w:val="center"/>
          </w:tcPr>
          <w:p w14:paraId="2E58115A" w14:textId="77777777" w:rsidR="00FF3605" w:rsidRPr="003E0254" w:rsidRDefault="00FF3605" w:rsidP="007043D0">
            <w:pPr>
              <w:jc w:val="center"/>
              <w:rPr>
                <w:b/>
                <w:bCs/>
                <w:sz w:val="20"/>
                <w:szCs w:val="20"/>
                <w:u w:val="single"/>
              </w:rPr>
            </w:pPr>
          </w:p>
        </w:tc>
        <w:tc>
          <w:tcPr>
            <w:tcW w:w="737" w:type="pct"/>
            <w:shd w:val="clear" w:color="auto" w:fill="D1D1D1" w:themeFill="background2" w:themeFillShade="E6"/>
            <w:vAlign w:val="center"/>
          </w:tcPr>
          <w:p w14:paraId="039E7959" w14:textId="356B0EA2" w:rsidR="00FF3605" w:rsidRPr="003E0254" w:rsidRDefault="00FF3605" w:rsidP="007043D0">
            <w:pPr>
              <w:jc w:val="center"/>
              <w:rPr>
                <w:sz w:val="20"/>
                <w:szCs w:val="20"/>
              </w:rPr>
            </w:pPr>
            <w:r w:rsidRPr="003E0254">
              <w:rPr>
                <w:b/>
                <w:bCs/>
                <w:sz w:val="20"/>
                <w:szCs w:val="20"/>
                <w:u w:val="single"/>
              </w:rPr>
              <w:t>Powder</w:t>
            </w:r>
            <w:r w:rsidR="007043D0" w:rsidRPr="003E0254">
              <w:rPr>
                <w:sz w:val="20"/>
                <w:szCs w:val="20"/>
              </w:rPr>
              <w:fldChar w:fldCharType="begin" w:fldLock="1"/>
            </w:r>
            <w:r w:rsidR="00500B8D" w:rsidRPr="003E0254">
              <w:rPr>
                <w:sz w:val="20"/>
                <w:szCs w:val="20"/>
              </w:rPr>
              <w:instrText xml:space="preserve">ADDIN CSL_CITATION {"citationItems":[{"id":"ITEM-1","itemData":{"DOI":"10.1021/ACS.CHEMMATER.7B00754/ASSET/IMAGES/LARGE/CM-2017-00754E_0008.JPEG","ISSN":"15205002","abstract":"Zinc alkaline anodes command significant share of consumer battery markets and are a key technology for the emerging grid-scale battery market. Improved understanding of this electrode is required for long-cycle deployments at kWh and MWh scale due to strict requirements on performance, cost, and safety. Here we give a modern literature survey of zinc alkaline anodes with levelized performance metrics and also present an experimental assessment of leading formulations. Long-cycle materials characterization, performance metrics, and failure analysis are reported for over 25 unique anode formulations with up to 1500 cycles and </w:instrText>
            </w:r>
            <w:r w:rsidR="00500B8D" w:rsidRPr="003E0254">
              <w:rPr>
                <w:rFonts w:ascii="Cambria Math" w:hAnsi="Cambria Math" w:cs="Cambria Math"/>
                <w:sz w:val="20"/>
                <w:szCs w:val="20"/>
              </w:rPr>
              <w:instrText>∼</w:instrText>
            </w:r>
            <w:r w:rsidR="00500B8D" w:rsidRPr="003E0254">
              <w:rPr>
                <w:sz w:val="20"/>
                <w:szCs w:val="20"/>
              </w:rPr>
              <w:instrText>1.5 years of shelf life per test. Statistical repeatability of these measurements is made for a baseline design (fewest additives) via 15 duplicates. Baseline design capacity density is 38 mAh per mL of anode volume, and lifetime throughput is 72 Ah per mL of anode volume. We then report identical measurements for anodes with improved material properties via additives and other perturbations, some of which achieve capacity density over 192 mAh per mL of anode volume and lifetime throughput of 190 Ah per mL of anode volume. Novel in operando X-ray microscopy of a cycling zinc paste anode reveals the formation of a nanoscale zinc material that cycles electrochemically and replaces the original anode structure over long-cycle life. Ex situ elemental mapping and other materials characterization suggest that the key physical processes are hydrogen evolution reaction (HER), growth of zinc oxide nanoscale material, concentration deficits of OH- and ZnOH42-, and electrodeposition of Zn growths outside and through separator membranes.","author":[{"dropping-particle":"","family":"Turney","given":"Damon E.","non-dropping-particle":"","parse-names":false,"suffix":""},{"dropping-particle":"","family":"Gallaway","given":"Joshua W.","non-dropping-particle":"","parse-names":false,"suffix":""},{"dropping-particle":"","family":"Yadav","given":"Gautam G.","non-dropping-particle":"","parse-names":false,"suffix":""},{"dropping-particle":"","family":"Ramirez","given":"Rodolfo","non-dropping-particle":"","parse-names":false,"suffix":""},{"dropping-particle":"","family":"Nyce","given":"Michael","non-dropping-particle":"","parse-names":false,"suffix":""},{"dropping-particle":"","family":"Banerjee","given":"Sanjoy","non-dropping-particle":"","parse-names":false,"suffix":""},{"dropping-particle":"","family":"Chen-Wiegart","given":"Yu Chen Karen","non-dropping-particle":"","parse-names":false,"suffix":""},{"dropping-particle":"","family":"Wang","given":"Jun","non-dropping-particle":"","parse-names":false,"suffix":""},{"dropping-particle":"","family":"D'Ambrose","given":"Michael J.","non-dropping-particle":"","parse-names":false,"suffix":""},{"dropping-particle":"","family":"Kolhekar","given":"Snehal","non-dropping-particle":"","parse-names":false,"suffix":""},{"dropping-particle":"","family":"Huang","given":"Jinchao","non-dropping-particle":"","parse-names":false,"suffix":""},{"dropping-particle":"","family":"Wei","given":"Xia","non-dropping-particle":"","parse-names":false,"suffix":""}],"container-title":"Chemistry of Materials","id":"ITEM-1","issue":"11","issued":{"date-parts":[["2017","6","13"]]},"page":"4819-4832","publisher":"American Chemical Society","title":"Rechargeable Zinc Alkaline Anodes for Long-Cycle Energy Storage","type":"article-journal","volume":"29"},"uris":["http://www.mendeley.com/documents/?uuid=3b9bba34-9da5-3059-af2a-788fc2db5317"]},{"id":"ITEM-2","itemData":{"DOI":"10.1016/J.JPOWSOUR.2018.06.031","ISSN":"0378-7753","abstract":"Porous ZnO microspheres and globular ZnO are synthesized by facile hydrothermal methods and the electrochemical performance as negative active ingredient of zinc-nickel secondary battery is compared with commercial ZnO. Throughout the process, we first characterize the material by X-ray diffraction (XRD) to confirm the samples and the morphology of the samples before and after charge-discharge process is determined by scanning electron microscope (SEM). Also, Brunauer-Emmett-Teller (BET) measures the specific surface area which plays a vital role in the galvanostatic charge-discharge measurements, cyclic voltammograms (CV) and electrochemical impedance spectroscopy (EIS). Porous ZnO whose maximum discharge specific capacity is up to 643.2 mAh g−1 (coulomb efficiency 97.60%) has outstanding cycling performance and large discharge capacity due to the porous structure and the large specific surface area, and the specific capacity remains essentially above 600 mAh g−1 in the first 600 cycles after the pre-activation process. In addition, the high rate performance of porous ZnO is also examined to demonstrate that porous ZnO as negative active ingredient of zinc-nickel secondary battery has good discharge properties under a large current density.","author":[{"dropping-particle":"","family":"Wang","given":"Limin","non-dropping-particle":"","parse-names":false,"suffix":""},{"dropping-particle":"","family":"Yang","given":"Zhanhong","non-dropping-particle":"","parse-names":false,"suffix":""},{"dropping-particle":"","family":"Chen","given":"Xi","non-dropping-particle":"","parse-names":false,"suffix":""},{"dropping-particle":"","family":"Qin","given":"Haigang","non-dropping-particle":"","parse-names":false,"suffix":""},{"dropping-particle":"","family":"Yan","given":"Peng","non-dropping-particle":"","parse-names":false,"suffix":""}],"container-title":"Journal of Power Sources","id":"ITEM-2","issued":{"date-parts":[["2018","8","31"]]},"page":"615-620","publisher":"Elsevier","title":"Formation of porous ZnO microspheres and its application as anode material with superior cycle stability in zinc-nickel secondary batteries","type":"article-journal","volume":"396"},"uris":["http://www.mendeley.com/documents/?uuid=74104f64-10fe-3080-ab6f-71e626c864ef"]},{"id":"ITEM-3","itemData":{"DOI":"10.1039/C5EE03404C","ISSN":"1754-5706","abstract":"Rechargeable zinc–air batteries, having high energy densities and cost-effectiveness, are important environmentally-benign energy storage solutions. Here we developed a facile strategy for fabricating a nanoporous alkaline-exchange electrolyte membrane from natural cellulose nanofibres, exhibiting high ionic-conductivity and water retention as well as high bending flexibility. These advantages render the membrane a promising solid-state electrolyte for rechargeable zinc–air batteries in lightweight and flexible electronic applications.","author":[{"dropping-particle":"","family":"Fu","given":"Jing","non-dropping-particle":"","parse-names":false,"suffix":""},{"dropping-particle":"","family":"Zhang","given":"Jing","non-dropping-particle":"","parse-names":false,"suffix":""},{"dropping-particle":"","family":"Song","given":"Xueping","non-dropping-particle":"","parse-names":false,"suffix":""},{"dropping-particle":"","family":"Zarrin","given":"Hadis","non-dropping-particle":"","parse-names":false,"suffix":""},{"dropping-particle":"","family":"Tian","given":"Xiaofei","non-dropping-particle":"","parse-names":false,"suffix":""},{"dropping-particle":"","family":"Qiao","given":"Jinli","non-dropping-particle":"","parse-names":false,"suffix":""},{"dropping-particle":"","family":"Rasen","given":"Lathanken","non-dropping-particle":"","parse-names":false,"suffix":""},{"dropping-particle":"","family":"Li","given":"Kecheng","non-dropping-particle":"","parse-names":false,"suffix":""},{"dropping-particle":"","family":"Chen","given":"Zhongwei","non-dropping-particle":"","parse-names":false,"suffix":""}],"container-title":"Energy &amp; Environmental Science","id":"ITEM-3","issue":"2","issued":{"date-parts":[["2016","2","9"]]},"page":"663-670","publisher":"The Royal Society of Chemistry","title":"A flexible solid-state electrolyte for wide-scale integration of rechargeable zinc–air batteries","type":"article-journal","volume":"9"},"uris":["http://www.mendeley.com/documents/?uuid=60d0ecd7-d625-3204-9a13-c3c42d062705"]}],"mendeley":{"formattedCitation":"&lt;sup&gt;[200–202]&lt;/sup&gt;","plainTextFormattedCitation":"[200–202]","previouslyFormattedCitation":"&lt;sup&gt;[199–201]&lt;/sup&gt;"},"properties":{"noteIndex":0},"schema":"https://github.com/citation-style-language/schema/raw/master/csl-citation.json"}</w:instrText>
            </w:r>
            <w:r w:rsidR="007043D0" w:rsidRPr="003E0254">
              <w:rPr>
                <w:sz w:val="20"/>
                <w:szCs w:val="20"/>
              </w:rPr>
              <w:fldChar w:fldCharType="separate"/>
            </w:r>
            <w:r w:rsidR="00500B8D" w:rsidRPr="003E0254">
              <w:rPr>
                <w:noProof/>
                <w:sz w:val="20"/>
                <w:szCs w:val="20"/>
                <w:vertAlign w:val="superscript"/>
              </w:rPr>
              <w:t>[200–202]</w:t>
            </w:r>
            <w:r w:rsidR="007043D0" w:rsidRPr="003E0254">
              <w:rPr>
                <w:sz w:val="20"/>
                <w:szCs w:val="20"/>
              </w:rPr>
              <w:fldChar w:fldCharType="end"/>
            </w:r>
            <w:r w:rsidRPr="003E0254">
              <w:rPr>
                <w:b/>
                <w:bCs/>
                <w:sz w:val="20"/>
                <w:szCs w:val="20"/>
                <w:u w:val="single"/>
              </w:rPr>
              <w:t xml:space="preserve"> </w:t>
            </w:r>
          </w:p>
          <w:p w14:paraId="546939C6" w14:textId="77777777" w:rsidR="00FF3605" w:rsidRPr="003E0254" w:rsidRDefault="00FF3605" w:rsidP="007043D0">
            <w:pPr>
              <w:jc w:val="center"/>
              <w:rPr>
                <w:sz w:val="20"/>
                <w:szCs w:val="20"/>
              </w:rPr>
            </w:pPr>
            <w:r w:rsidRPr="003E0254">
              <w:rPr>
                <w:sz w:val="20"/>
                <w:szCs w:val="20"/>
                <w:vertAlign w:val="superscript"/>
              </w:rPr>
              <w:t>-</w:t>
            </w:r>
          </w:p>
        </w:tc>
        <w:tc>
          <w:tcPr>
            <w:tcW w:w="770" w:type="pct"/>
            <w:shd w:val="clear" w:color="auto" w:fill="D1D1D1" w:themeFill="background2" w:themeFillShade="E6"/>
            <w:vAlign w:val="center"/>
          </w:tcPr>
          <w:p w14:paraId="63DA464E" w14:textId="0323E65C" w:rsidR="00FF3605" w:rsidRPr="003E0254" w:rsidRDefault="00FF3605" w:rsidP="007043D0">
            <w:pPr>
              <w:jc w:val="center"/>
              <w:rPr>
                <w:b/>
                <w:bCs/>
                <w:strike/>
                <w:sz w:val="20"/>
                <w:szCs w:val="20"/>
                <w:u w:val="single"/>
              </w:rPr>
            </w:pPr>
          </w:p>
        </w:tc>
        <w:tc>
          <w:tcPr>
            <w:tcW w:w="1034" w:type="pct"/>
            <w:shd w:val="clear" w:color="auto" w:fill="D1D1D1" w:themeFill="background2" w:themeFillShade="E6"/>
            <w:vAlign w:val="center"/>
          </w:tcPr>
          <w:p w14:paraId="47C81552" w14:textId="6BA6D854" w:rsidR="00FF3605" w:rsidRPr="003E0254" w:rsidRDefault="00FF3605" w:rsidP="007043D0">
            <w:pPr>
              <w:jc w:val="center"/>
              <w:rPr>
                <w:b/>
                <w:bCs/>
                <w:sz w:val="20"/>
                <w:szCs w:val="20"/>
                <w:u w:val="single"/>
              </w:rPr>
            </w:pPr>
            <w:r w:rsidRPr="003E0254">
              <w:rPr>
                <w:b/>
                <w:bCs/>
                <w:sz w:val="20"/>
                <w:szCs w:val="20"/>
                <w:u w:val="single"/>
              </w:rPr>
              <w:t>Carbon matrix with embedded non-noble metal catalyst</w:t>
            </w:r>
            <w:r w:rsidR="00DC652A" w:rsidRPr="003E0254">
              <w:rPr>
                <w:b/>
                <w:bCs/>
                <w:sz w:val="20"/>
                <w:szCs w:val="20"/>
                <w:u w:val="single"/>
              </w:rPr>
              <w:fldChar w:fldCharType="begin" w:fldLock="1"/>
            </w:r>
            <w:r w:rsidR="00500B8D" w:rsidRPr="003E0254">
              <w:rPr>
                <w:b/>
                <w:bCs/>
                <w:sz w:val="20"/>
                <w:szCs w:val="20"/>
                <w:u w:val="single"/>
              </w:rPr>
              <w:instrText>ADDIN CSL_CITATION {"citationItems":[{"id":"ITEM-1","itemData":{"DOI":"10.1002/adfm.201705048","ISSN":"1616-301X","abstract":"Here first a 2D dual</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metal (Co/Zn) and leaf</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like zeolitic imidazolate framework (ZIF</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L)</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pyrolysis approach is reported for the low</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cost and facile preparation of Co nanoparticles encapsulated into nitrogen</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doped carbon nanotubes (Co</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N</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CNTs). Importantly, the reasonable Co/Zn molar ratio in the ZIF</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L is the key to the emergence of the encapsulated microstructure. Specifically, high</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dispersed cobalt nanoparticles are fully encapsulated in the tips of N</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CNTs, leading to the full formation of highly active Co</w:instrText>
            </w:r>
            <w:r w:rsidR="00500B8D" w:rsidRPr="003E0254">
              <w:rPr>
                <w:rFonts w:ascii="Aptos" w:hAnsi="Aptos" w:cs="Aptos"/>
                <w:b/>
                <w:bCs/>
                <w:sz w:val="20"/>
                <w:szCs w:val="20"/>
                <w:u w:val="single"/>
              </w:rPr>
              <w:instrText>–</w:instrText>
            </w:r>
            <w:r w:rsidR="00500B8D" w:rsidRPr="003E0254">
              <w:rPr>
                <w:b/>
                <w:bCs/>
                <w:sz w:val="20"/>
                <w:szCs w:val="20"/>
                <w:u w:val="single"/>
              </w:rPr>
              <w:instrText>N</w:instrText>
            </w:r>
            <w:r w:rsidR="00500B8D" w:rsidRPr="003E0254">
              <w:rPr>
                <w:rFonts w:ascii="Aptos" w:hAnsi="Aptos" w:cs="Aptos"/>
                <w:b/>
                <w:bCs/>
                <w:sz w:val="20"/>
                <w:szCs w:val="20"/>
                <w:u w:val="single"/>
              </w:rPr>
              <w:instrText>–</w:instrText>
            </w:r>
            <w:r w:rsidR="00500B8D" w:rsidRPr="003E0254">
              <w:rPr>
                <w:b/>
                <w:bCs/>
                <w:sz w:val="20"/>
                <w:szCs w:val="20"/>
                <w:u w:val="single"/>
              </w:rPr>
              <w:instrText>C moieties for oxygen reduction and evolution reactions (ORR and OER). As a result, the obtained Co</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N</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CNTs present superior electrocatalytic activity and stability toward ORR and OER over the commercial Pt/C and IrO 2 as well as most reported metal</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organic</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framework</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derived catalysts, respectively. Remarkably, as bifunctional air electrodes of the Zn</w:instrText>
            </w:r>
            <w:r w:rsidR="00500B8D" w:rsidRPr="003E0254">
              <w:rPr>
                <w:rFonts w:ascii="Aptos" w:hAnsi="Aptos" w:cs="Aptos"/>
                <w:b/>
                <w:bCs/>
                <w:sz w:val="20"/>
                <w:szCs w:val="20"/>
                <w:u w:val="single"/>
              </w:rPr>
              <w:instrText>–</w:instrText>
            </w:r>
            <w:r w:rsidR="00500B8D" w:rsidRPr="003E0254">
              <w:rPr>
                <w:b/>
                <w:bCs/>
                <w:sz w:val="20"/>
                <w:szCs w:val="20"/>
                <w:u w:val="single"/>
              </w:rPr>
              <w:instrText>air battery, it also shows extraordinary charge–discharge performance. The present concept will provide a guideline for screening novel 2D metal</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organic frameworks as precursors to synthesize advanced multifunctional nanomaterials for cross</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cutting applications.","author":[{"dropping-particle":"","family":"Wang","given":"Tingting","non-dropping-particle":"","parse-names":false,"suffix":""},{"dropping-particle":"","family":"Kou","given":"Zongkui","non-dropping-particle":"","parse-names":false,"suffix":""},{"dropping-particle":"","family":"Mu","given":"Shichun","non-dropping-particle":"","parse-names":false,"suffix":""},{"dropping-particle":"","family":"Liu","given":"Jingping","non-dropping-particle":"","parse-names":false,"suffix":""},{"dropping-particle":"","family":"He","given":"Daping","non-dropping-particle":"","parse-names":false,"suffix":""},{"dropping-particle":"","family":"Amiinu","given":"Ibrahim Saana","non-dropping-particle":"","parse-names":false,"suffix":""},{"dropping-particle":"","family":"Meng","given":"Wen","non-dropping-particle":"","parse-names":false,"suffix":""},{"dropping-particle":"","family":"Zhou","given":"Kui","non-dropping-particle":"","parse-names":false,"suffix":""},{"dropping-particle":"","family":"Luo","given":"Zhixiong","non-dropping-particle":"","parse-names":false,"suffix":""},{"dropping-particle":"","family":"Chaemchuen","given":"Somboon","non-dropping-particle":"","parse-names":false,"suffix":""},{"dropping-particle":"","family":"Verpoort","given":"Francis","non-dropping-particle":"","parse-names":false,"suffix":""}],"container-title":"Advanced Functional Materials","id":"ITEM-1","issue":"5","issued":{"date-parts":[["2018","1","4"]]},"page":"1705048","publisher":"John Wiley &amp; Sons, Ltd","title":"2D Dual</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Metal Zeolitic</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Imidazolate</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Framework</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(ZIF)</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Derived Bifunctional Air Electrodes with Ultrahigh Electrochemical Properties for Rechargeable Zinc</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Air Batteries","type":"article-journal","volume":"28"},"uris":["http://www.mendeley.com/documents/?uuid=8fda1249-2eca-342b-9ff7-a510bda2285f"]},{"id":"ITEM-2","itemData":{"DOI":"10.1016/J.ENSM.2020.03.026","ISSN":"2405-8297","abstract":"The development of earth-abundant and cost-effective electro-catalysts at the air cathodes for both oxygen reduction and evolution reactions (ORR and OER) with sluggish kinetics are central to the overall performance of rechargeable metal-air batteries, remaining an issue that is gaining increasing interest in recent years. Herein, we report a nitrogen-doped mesoporous carbon supported clustered CoOx composite catalyst (CoOx/NMC) synthesized from the anchored atomically dispersed CoOOH species by an efficient two-step nucleation method. Due to the synergistic and size effects, CoOx/NMC exhibits an enhanced bifunctional electrocatalytic performance in alkaline media than the state of the art commercial Pt/C catalyst for ORR and the OER catalyst (Ir/C). More importantly, the advanced CoOx/NMC catalyst enables recharge Zn-air batteries (ZABs) to achieve long-term cycling performance over 400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h by galvanostatic charge-discharge at current density of 10 </w:instrText>
            </w:r>
            <w:r w:rsidR="00500B8D" w:rsidRPr="003E0254">
              <w:rPr>
                <w:rFonts w:ascii="Arial" w:hAnsi="Arial" w:cs="Arial"/>
                <w:b/>
                <w:bCs/>
                <w:sz w:val="20"/>
                <w:szCs w:val="20"/>
                <w:u w:val="single"/>
              </w:rPr>
              <w:instrText>​</w:instrText>
            </w:r>
            <w:r w:rsidR="00500B8D" w:rsidRPr="003E0254">
              <w:rPr>
                <w:b/>
                <w:bCs/>
                <w:sz w:val="20"/>
                <w:szCs w:val="20"/>
                <w:u w:val="single"/>
              </w:rPr>
              <w:instrText xml:space="preserve">mA </w:instrText>
            </w:r>
            <w:r w:rsidR="00500B8D" w:rsidRPr="003E0254">
              <w:rPr>
                <w:rFonts w:ascii="Arial" w:hAnsi="Arial" w:cs="Arial"/>
                <w:b/>
                <w:bCs/>
                <w:sz w:val="20"/>
                <w:szCs w:val="20"/>
                <w:u w:val="single"/>
              </w:rPr>
              <w:instrText>​</w:instrText>
            </w:r>
            <w:r w:rsidR="00500B8D" w:rsidRPr="003E0254">
              <w:rPr>
                <w:b/>
                <w:bCs/>
                <w:sz w:val="20"/>
                <w:szCs w:val="20"/>
                <w:u w:val="single"/>
              </w:rPr>
              <w:instrText>cm</w:instrText>
            </w:r>
            <w:r w:rsidR="00500B8D" w:rsidRPr="003E0254">
              <w:rPr>
                <w:rFonts w:ascii="Aptos" w:hAnsi="Aptos" w:cs="Aptos"/>
                <w:b/>
                <w:bCs/>
                <w:sz w:val="20"/>
                <w:szCs w:val="20"/>
                <w:u w:val="single"/>
              </w:rPr>
              <w:instrText>−</w:instrText>
            </w:r>
            <w:r w:rsidR="00500B8D" w:rsidRPr="003E0254">
              <w:rPr>
                <w:b/>
                <w:bCs/>
                <w:sz w:val="20"/>
                <w:szCs w:val="20"/>
                <w:u w:val="single"/>
              </w:rPr>
              <w:instrText>2 with high efficiency, suggesting a very promising alternative to the conventional Pt/C and Ir/C catalysts for an air cathode.","author":[{"dropping-particle":"","family":"Huang","given":"Kai","non-dropping-particle":"","parse-names":false,"suffix":""},{"dropping-particle":"","family":"Wang","given":"Ruyue","non-dropping-particle":"","parse-names":false,"suffix":""},{"dropping-particle":"","family":"Zhao","given":"Shijing","non-dropping-particle":"","parse-names":false,"suffix":""},{"dropping-particle":"","family":"Du","given":"Peng","non-dropping-particle":"","parse-names":false,"suffix":""},{"dropping-particle":"","family":"Wang","given":"Hao","non-dropping-particle":"","parse-names":false,"suffix":""},{"dropping-particle":"","family":"Wei","given":"Hehe","non-dropping-particle":"","parse-names":false,"suffix":""},{"dropping-particle":"","family":"Long","given":"Yuanzheng","non-dropping-particle":"","parse-names":false,"suffix":""},{"dropping-particle":"","family":"Deng","given":"Bohan","non-dropping-particle":"","parse-names":false,"suffix":""},{"dropping-particle":"","family":"Lei","given":"Ming","non-dropping-particle":"","parse-names":false,"suffix":""},{"dropping-particle":"","family":"Ge","given":"Binghui","non-dropping-particle":"","parse-names":false,"suffix":""},{"dropping-particle":"","family":"Gou","given":"Huiyang","non-dropping-particle":"","parse-names":false,"suffix":""},{"dropping-particle":"","family":"Zhang","given":"Ru","non-dropping-particle":"","parse-names":false,"suffix":""},{"dropping-particle":"","family":"Wu","given":"Hui","non-dropping-particle":"","parse-names":false,"suffix":""}],"container-title":"Energy Storage Materials","id":"ITEM-2","issued":{"date-parts":[["2020","8","1"]]},"page":"156-162","publisher":"Elsevier","title":"Atomic species derived CoOx clusters on nitrogen doped mesoporous carbon as advanced bifunctional electro-catalysts for Zn-air battery","type":"article-journal","volume":"29"},"uris":["http://www.mendeley.com/documents/?uuid=1369b1fd-32e6-300e-b3d0-469f233ef7c6"]},{"id":"ITEM-3","itemData":{"DOI":"10.1016/J.ELECTACTA.2016.10.070","ISSN":"0013-4686","abstract":"Highly electrocatalytic activity and strong stability towards both oxygen evolution (OER) and oxygen reduction reaction (ORR) have been regarded as the critical factors in widespread application for the renewable energy technologies. It still remains a huge challenge for developing bifunctional catalysts with low cost, efficiently electrocatalytic activity and strong stability. In this paper, FeCo alloy nanoparticles embedded in nitrogen-doped carbon are synthesized through a simple thermal decomposition of Co-Fe Prussian Blue Analogue (Co-Fe PBA) in Ar atmosphere, during which the organic ligand of CN− in Co-Fe PBA provides both carbon and nitrogen sources for forming nitrogen-doped carbon and FeCo alloy nanoparticles were formed, and thus producing a core-shell structure (FeCo@NC). According to a set of electrochemical tests, the obtained FeCo@NC can function as a Janus to drive OER and ORR with desirable activities and stabilities in alkaline media. Specifically, the FeCo@NC presents an onset-potential of 1.45 V, a potential of 1.49 V at 10 mA cm−2, a Tafel slope of 62 mV dec−1 as OER catalyst, and an onset potential of 0.94 V, a half-wave potential of 0.8 V as ORR catalyst. The performance is comparable to those of precious metal based electrocatalysts, making it possible for potential application in the renewable energy devices, especially Zn-air battery.","author":[{"dropping-particle":"","family":"Cai","given":"Pingwei","non-dropping-particle":"","parse-names":false,"suffix":""},{"dropping-particle":"","family":"Ci","given":"Suqin","non-dropping-particle":"","parse-names":false,"suffix":""},{"dropping-particle":"","family":"Zhang","given":"Erhuan","non-dropping-particle":"","parse-names":false,"suffix":""},{"dropping-particle":"","family":"Shao","given":"Ping","non-dropping-particle":"","parse-names":false,"suffix":""},{"dropping-particle":"","family":"Cao","given":"Changsheng","non-dropping-particle":"","parse-names":false,"suffix":""},{"dropping-particle":"","family":"Wen","given":"Zhenhai","non-dropping-particle":"","parse-names":false,"suffix":""}],"container-title":"Electrochimica Acta","id":"ITEM-3","issued":{"date-parts":[["2016","12","1"]]},"page":"354-362","publisher":"Pergamon","title":"FeCo Alloy Nanoparticles Confined in Carbon Layers as High-activity and Robust Cathode Catalyst for Zn-Air Battery","type":"article-journal","volume":"220"},"uris":["http://www.mendeley.com/documents/?uuid=8b072ff6-7142-33b0-a562-a4d6496ac385"]}],"mendeley":{"formattedCitation":"&lt;sup&gt;[38,203,204]&lt;/sup&gt;","plainTextFormattedCitation":"[38,203,204]","previouslyFormattedCitation":"&lt;sup&gt;[38,202,203]&lt;/sup&gt;"},"properties":{"noteIndex":0},"schema":"https://github.com/citation-style-language/schema/raw/master/csl-citation.json"}</w:instrText>
            </w:r>
            <w:r w:rsidR="00DC652A" w:rsidRPr="003E0254">
              <w:rPr>
                <w:b/>
                <w:bCs/>
                <w:sz w:val="20"/>
                <w:szCs w:val="20"/>
                <w:u w:val="single"/>
              </w:rPr>
              <w:fldChar w:fldCharType="separate"/>
            </w:r>
            <w:r w:rsidR="00500B8D" w:rsidRPr="003E0254">
              <w:rPr>
                <w:bCs/>
                <w:noProof/>
                <w:sz w:val="20"/>
                <w:szCs w:val="20"/>
                <w:vertAlign w:val="superscript"/>
              </w:rPr>
              <w:t>[38,203,204]</w:t>
            </w:r>
            <w:r w:rsidR="00DC652A" w:rsidRPr="003E0254">
              <w:rPr>
                <w:b/>
                <w:bCs/>
                <w:sz w:val="20"/>
                <w:szCs w:val="20"/>
                <w:u w:val="single"/>
              </w:rPr>
              <w:fldChar w:fldCharType="end"/>
            </w:r>
          </w:p>
        </w:tc>
      </w:tr>
      <w:tr w:rsidR="006515E9" w:rsidRPr="003E0254" w14:paraId="450D87F0" w14:textId="77777777" w:rsidTr="0039063F">
        <w:trPr>
          <w:jc w:val="center"/>
        </w:trPr>
        <w:tc>
          <w:tcPr>
            <w:tcW w:w="519" w:type="pct"/>
            <w:vMerge/>
            <w:shd w:val="clear" w:color="auto" w:fill="D1D1D1" w:themeFill="background2" w:themeFillShade="E6"/>
            <w:vAlign w:val="center"/>
          </w:tcPr>
          <w:p w14:paraId="23051B5B" w14:textId="77777777" w:rsidR="00FF3605" w:rsidRPr="003E0254" w:rsidRDefault="00FF3605" w:rsidP="007043D0">
            <w:pPr>
              <w:jc w:val="center"/>
              <w:rPr>
                <w:b/>
                <w:bCs/>
                <w:sz w:val="20"/>
                <w:szCs w:val="20"/>
                <w:u w:val="single"/>
              </w:rPr>
            </w:pPr>
          </w:p>
        </w:tc>
        <w:tc>
          <w:tcPr>
            <w:tcW w:w="1032" w:type="pct"/>
            <w:vMerge/>
            <w:shd w:val="clear" w:color="auto" w:fill="D1D1D1" w:themeFill="background2" w:themeFillShade="E6"/>
            <w:vAlign w:val="center"/>
          </w:tcPr>
          <w:p w14:paraId="15F7490E" w14:textId="77777777" w:rsidR="00FF3605" w:rsidRPr="003E0254" w:rsidRDefault="00FF3605" w:rsidP="007043D0">
            <w:pPr>
              <w:jc w:val="center"/>
              <w:rPr>
                <w:b/>
                <w:bCs/>
                <w:sz w:val="20"/>
                <w:szCs w:val="20"/>
                <w:u w:val="single"/>
              </w:rPr>
            </w:pPr>
          </w:p>
        </w:tc>
        <w:tc>
          <w:tcPr>
            <w:tcW w:w="909" w:type="pct"/>
            <w:shd w:val="clear" w:color="auto" w:fill="D1D1D1" w:themeFill="background2" w:themeFillShade="E6"/>
            <w:vAlign w:val="center"/>
          </w:tcPr>
          <w:p w14:paraId="4ABA4D24" w14:textId="31F675AD" w:rsidR="00FF3605" w:rsidRPr="003E0254" w:rsidRDefault="00FF3605" w:rsidP="007043D0">
            <w:pPr>
              <w:jc w:val="center"/>
              <w:rPr>
                <w:b/>
                <w:bCs/>
                <w:sz w:val="20"/>
                <w:szCs w:val="20"/>
                <w:u w:val="single"/>
              </w:rPr>
            </w:pPr>
            <w:r w:rsidRPr="003E0254">
              <w:rPr>
                <w:b/>
                <w:bCs/>
                <w:sz w:val="20"/>
                <w:szCs w:val="20"/>
                <w:u w:val="single"/>
              </w:rPr>
              <w:t>Surfactants</w:t>
            </w:r>
            <w:r w:rsidR="006515E9" w:rsidRPr="003E0254">
              <w:rPr>
                <w:b/>
                <w:bCs/>
                <w:sz w:val="20"/>
                <w:szCs w:val="20"/>
                <w:u w:val="single"/>
              </w:rPr>
              <w:fldChar w:fldCharType="begin" w:fldLock="1"/>
            </w:r>
            <w:r w:rsidR="00500B8D" w:rsidRPr="003E0254">
              <w:rPr>
                <w:b/>
                <w:bCs/>
                <w:sz w:val="20"/>
                <w:szCs w:val="20"/>
                <w:u w:val="single"/>
              </w:rPr>
              <w:instrText>ADDIN CSL_CITATION {"citationItems":[{"id":"ITEM-1","itemData":{"DOI":"10.1016/S0378-7753(97)02705-5","ISSN":"0378-7753","abstract":"The effects of different ionic types of perfluorosurfactants (including hydrocarbon chain surfactant CTAB) on the electrochemistry behavior of zinc have been examined using voltammetric and potentiostatic polarization techniques. The results show that these surfactants can be used as substitute of mercury for decreasing the corrosion in zinc batteries. It is also shown that the deposition of zinc from zincate electrolyte in the presence of these surfactants can be improved to some extent. The morphology of the electrodeposited zinc shows that these surfactants can bring about more uniform and compact deposits and, thereby, reduce dendritic growth. FC-170C and CTAB are found to be the most effective inhibitors. © 1998 Elsevier Science S.A.","author":[{"dropping-particle":"","family":"Zhu","given":"Ji Ling","non-dropping-particle":"","parse-names":false,"suffix":""},{"dropping-particle":"","family":"Zhou","given":"Yun Hong","non-dropping-particle":"","parse-names":false,"suffix":""},{"dropping-particle":"","family":"Gao","given":"Cui Qin","non-dropping-particle":"","parse-names":false,"suffix":""}],"container-title":"Journal of Power Sources","id":"ITEM-1","issue":"2","issued":{"date-parts":[["1998","4","21"]]},"page":"231-235","publisher":"Elsevier","title":"Influence of surfactants on electrochemical behavior of zinc electrodes in alkaline solution","type":"article-journal","volume":"72"},"uris":["http://www.mendeley.com/documents/?uuid=307b6a60-ee40-39a8-a21b-31e533379a6e"]},{"id":"ITEM-2","itemData":{"DOI":"10.1016/S0378-7753(02)00598-0","ISSN":"0378-7753","abstract":"The electrochemical behavior of zinc in strong alkaline solutions containing 8.5M of potassium hydroxide (KOH) and polymeric organic inhibitors was evaluated. The concentrations of the organic inhibitors studies were in the range of 400-4000ppm and included polyethylene glycol (PEG), with a molecular weight of 600, and polyoxyethylen alkyl phosphate ester acid form (GAFAC RA600). The electrochemical studies included anodic, cathodic, and linear polarization along with potentiostatic studies. It was found that the inhibition properties of PEG, in the strong alkaline solution, are by far much more efficient than the inhibition capability of GAFAC RA600. Surface analysis obtained with the use of high resolution scanning electron microscopy (HRSEM) revealed different morphology characteristic developed at the zinc surface in the presence of the two inhibitors. A methodology employing electrochemical tests is proposed to quickly and conveniently evaluate inhibitors for Zn in alkaline media. © 2002 Elsevier Science B.V. All rights reserved.","author":[{"dropping-particle":"","family":"Ein-Eli","given":"Y.","non-dropping-particle":"","parse-names":false,"suffix":""},{"dropping-particle":"","family":"Auinat","given":"M.","non-dropping-particle":"","parse-names":false,"suffix":""},{"dropping-particle":"","family":"Starosvetsky","given":"D.","non-dropping-particle":"","parse-names":false,"suffix":""}],"container-title":"Journal of Power Sources","id":"ITEM-2","issue":"2","issued":{"date-parts":[["2003","3","12"]]},"page":"330-337","publisher":"Elsevier","title":"Electrochemical and surface studies of zinc in alkaline solutions containing organic corrosion inhibitors","type":"article-journal","volume":"114"},"uris":["http://www.mendeley.com/documents/?uuid=990697d0-1d29-304f-a39d-a7ad9df29c9f"]}],"mendeley":{"formattedCitation":"&lt;sup&gt;[205,206]&lt;/sup&gt;","plainTextFormattedCitation":"[205,206]","previouslyFormattedCitation":"&lt;sup&gt;[204,205]&lt;/sup&gt;"},"properties":{"noteIndex":0},"schema":"https://github.com/citation-style-language/schema/raw/master/csl-citation.json"}</w:instrText>
            </w:r>
            <w:r w:rsidR="006515E9" w:rsidRPr="003E0254">
              <w:rPr>
                <w:b/>
                <w:bCs/>
                <w:sz w:val="20"/>
                <w:szCs w:val="20"/>
                <w:u w:val="single"/>
              </w:rPr>
              <w:fldChar w:fldCharType="separate"/>
            </w:r>
            <w:r w:rsidR="00500B8D" w:rsidRPr="003E0254">
              <w:rPr>
                <w:bCs/>
                <w:noProof/>
                <w:sz w:val="20"/>
                <w:szCs w:val="20"/>
                <w:vertAlign w:val="superscript"/>
              </w:rPr>
              <w:t>[205,206]</w:t>
            </w:r>
            <w:r w:rsidR="006515E9" w:rsidRPr="003E0254">
              <w:rPr>
                <w:b/>
                <w:bCs/>
                <w:sz w:val="20"/>
                <w:szCs w:val="20"/>
                <w:u w:val="single"/>
              </w:rPr>
              <w:fldChar w:fldCharType="end"/>
            </w:r>
          </w:p>
        </w:tc>
        <w:tc>
          <w:tcPr>
            <w:tcW w:w="737" w:type="pct"/>
            <w:shd w:val="clear" w:color="auto" w:fill="D1D1D1" w:themeFill="background2" w:themeFillShade="E6"/>
            <w:vAlign w:val="center"/>
          </w:tcPr>
          <w:p w14:paraId="682E3A9D" w14:textId="348D4C83" w:rsidR="00FF3605" w:rsidRPr="003E0254" w:rsidRDefault="00FF3605" w:rsidP="007043D0">
            <w:pPr>
              <w:jc w:val="center"/>
              <w:rPr>
                <w:b/>
                <w:bCs/>
                <w:sz w:val="20"/>
                <w:szCs w:val="20"/>
                <w:u w:val="single"/>
              </w:rPr>
            </w:pPr>
            <w:r w:rsidRPr="003E0254">
              <w:rPr>
                <w:b/>
                <w:bCs/>
                <w:sz w:val="20"/>
                <w:szCs w:val="20"/>
                <w:u w:val="single"/>
              </w:rPr>
              <w:t>Alloy</w:t>
            </w:r>
            <w:r w:rsidR="007043D0" w:rsidRPr="003E0254">
              <w:rPr>
                <w:sz w:val="20"/>
                <w:szCs w:val="20"/>
              </w:rPr>
              <w:fldChar w:fldCharType="begin" w:fldLock="1"/>
            </w:r>
            <w:r w:rsidR="00500B8D" w:rsidRPr="003E0254">
              <w:rPr>
                <w:sz w:val="20"/>
                <w:szCs w:val="20"/>
              </w:rPr>
              <w:instrText>ADDIN CSL_CITATION {"citationItems":[{"id":"ITEM-1","itemData":{"DOI":"10.1021/ACSENERGYLETT.2C01960/ASSET/IMAGES/LARGE/NZ2C01960_0014.JPEG","ISSN":"23808195","abstract":"Owing to the advantages of low cost, high energy density, and environment friendly, aqueous zinc ion batteries (AZIBs) are considered as promising energy storage devices. Inevitable zinc dendrites, corrosion, passivation, and hydrogen evolution reactions of zinc anodes have seriously hampered the practical application of AZIBs. To address the above-mentioned issues, zinc anode alloying is proposed as an emerging modification strategy. Therefore, it is essential to systematically summarize the obtained research results on zinc alloying strategies and analyze new perspectives. Based on the presented studies on zinc alloying anode, different improvement mechanisms are described, such as an artificial interface alloy protective layer, an electrostatic shielding effect, heterogeneous seeds as zincophilic sites, vertical plane matching strategy, etc. According to the different synthesis methods and mechanisms of action, recent advances have been summarized. Finally, the potential development prospects for further upgrading the alloying of zinc anodes are presented.","author":[{"dropping-particle":"","family":"Li","given":"Ruotong","non-dropping-particle":"","parse-names":false,"suffix":""},{"dropping-particle":"","family":"Du","given":"Yingxiao","non-dropping-particle":"","parse-names":false,"suffix":""},{"dropping-particle":"","family":"Li","given":"Yuehua","non-dropping-particle":"","parse-names":false,"suffix":""},{"dropping-particle":"","family":"He","given":"Zhangxing","non-dropping-particle":"","parse-names":false,"suffix":""},{"dropping-particle":"","family":"Dai","given":"Lei","non-dropping-particle":"","parse-names":false,"suffix":""},{"dropping-particle":"","family":"Wang","given":"Ling","non-dropping-particle":"","parse-names":false,"suffix":""},{"dropping-particle":"","family":"Wu","given":"Xianwen","non-dropping-particle":"","parse-names":false,"suffix":""},{"dropping-particle":"","family":"Zhang","given":"Jiujun","non-dropping-particle":"","parse-names":false,"suffix":""},{"dropping-particle":"","family":"Yi","given":"Jin","non-dropping-particle":"","parse-names":false,"suffix":""}],"container-title":"ACS Energy Letters","id":"ITEM-1","issue":"1","issued":{"date-parts":[["2023","1","13"]]},"page":"457-476","publisher":"American Chemical Society","title":"Alloying Strategy for High-Performance Zinc Metal Anodes","type":"article-journal","volume":"8"},"uris":["http://www.mendeley.com/documents/?uuid=a0001f92-b138-3789-bcf6-59db74535613"]},{"id":"ITEM-2","itemData":{"DOI":"10.1039/C8EE01991F","ISSN":"1754-5706","abstract":"As a promising energy storage device, the rechargeable zinc–air battery (RZAB) has attracted increasing attention because of its high energy density, cost-effectiveness, and high safety, and the rich abundance of zinc, as well as its environmental benignity. However, the widespread application of RZABs still faces considerable challenges derived from zinc-electrodes, electrolytes, and air-electrodes. In this paper, specific attention is given to RZAB zinc-electrode materials and fabrication with focus on the fundamental understanding of zinc-electrode reaction mechanisms, technical challenges, mitigation strategies, and perspectives. Particularly, the approaches to overcome the challenges are also presented and analyzed for facilitating further research and development of RZABs.","author":[{"dropping-particle":"","family":"Yi","given":"Jin","non-dropping-particle":"","parse-names":false,"suffix":""},{"dropping-particle":"","family":"Liang","given":"Pengcheng","non-dropping-particle":"","parse-names":false,"suffix":""},{"dropping-particle":"","family":"Liu","given":"Xiaoyu","non-dropping-particle":"","parse-names":false,"suffix":""},{"dropping-particle":"","family":"Wu","given":"Kai","non-dropping-particle":"","parse-names":false,"suffix":""},{"dropping-particle":"","family":"Liu","given":"Yuyu","non-dropping-particle":"","parse-names":false,"suffix":""},{"dropping-particle":"","family":"Wang","given":"Yonggang","non-dropping-particle":"","parse-names":false,"suffix":""},{"dropping-particle":"","family":"Xia","given":"Yongyao","non-dropping-particle":"","parse-names":false,"suffix":""},{"dropping-particle":"","family":"Zhang","given":"Jiujun","non-dropping-particle":"","parse-names":false,"suffix":""}],"container-title":"Energy &amp; Environmental Science","id":"ITEM-2","issue":"11","issued":{"date-parts":[["2018","11","7"]]},"page":"3075-3095","publisher":"The Royal Society of Chemistry","title":"Challenges, mitigation strategies and perspectives in development of zinc-electrode materials and fabrication for rechargeable zinc–air batteries","type":"article-journal","volume":"11"},"uris":["http://www.mendeley.com/documents/?uuid=9973e7fa-7408-3e55-aa97-f16ccacceeb7"]},{"id":"ITEM-3","itemData":{"DOI":"10.1016/J.JPOWSOUR.2022.231173","ISSN":"0378-7753","abstract":"Zinc (Zn) based metal-air battery has been considered as one of promising candidates for the next-generation batteries due to its high theoretical specific capacity and abundant reserve. However, Zn electrode is susceptible to dendrite growth and corrosion depravation in the long cycling process, causing capacity decline and short lifespan. Herein, a novel zinc-stannum (Zn–Sn) alloy electrode has been facilely prepared through powder sintering technology to restrain the dendrite growing and promote the corrosion resistance. Compared with pure Zn foil electrode, the optimized Zn–Sn10 alloy electrode exhibited a lower voltage hysteresis of 119 mV and a better topography with non-dendrite after cycling 400 h at 0.5 mA cm−2. Meanwhile, the Zn corrosion resistance in alkaline electrolyte has been significantly improved. Theoretical calculations also account for these superiorities by the uniform charge distribution in the superficial ZnSn layer. As a result, the assembled Zn-air battery based on Zn–Sn alloy anode electrode showed satisfactory power density, rate properties and cycling life. This research provides a facile and cost-efficient strategy to stabilize Zn anode and holds great promise in developing high-performance rechargeable Zn-based battery energy systems.","author":[{"dropping-particle":"","family":"Peng","given":"Yumeng","non-dropping-particle":"","parse-names":false,"suffix":""},{"dropping-particle":"","family":"Lai","given":"Changang","non-dropping-particle":"","parse-names":false,"suffix":""},{"dropping-particle":"","family":"Zhang","given":"Ming","non-dropping-particle":"","parse-names":false,"suffix":""},{"dropping-particle":"","family":"Liu","given":"Xianbin","non-dropping-particle":"","parse-names":false,"suffix":""},{"dropping-particle":"","family":"Yin","given":"Yanhong","non-dropping-particle":"","parse-names":false,"suffix":""},{"dropping-particle":"","family":"Li","given":"Yesheng","non-dropping-particle":"","parse-names":false,"suffix":""},{"dropping-particle":"","family":"Wu","given":"Ziping","non-dropping-particle":"","parse-names":false,"suffix":""}],"container-title":"Journal of Power Sources","id":"ITEM-3","issued":{"date-parts":[["2022","4","1"]]},"page":"231173","publisher":"Elsevier","title":"Zn–Sn alloy anode with repressible dendrite grown and meliorative corrosion resistance for Zn-air battery","type":"article-journal","volume":"526"},"uris":["http://www.mendeley.com/documents/?uuid=c2eb49fa-18b1-3d51-8502-b41b0a6d2815"]},{"id":"ITEM-4","itemData":{"DOI":"10.1016/J.JPOWSOUR.2006.02.019","ISSN":"0378-7753","abstract":"In our continued efforts for improving the performance of zinc anodes for a Zn/air battery, we now report the preparation of three alloys and improved performances of anodes made up with these alloys. The alloys contained zinc, nickel, and indium with different weight percentages and were calcined at two different temperatures. Out of the six alloys, the alloy which has a composition of zinc 90%, nickel 7.5% and Indium 2.5% and fired at 500 °C is found to be the best. In the case of the hydrogen evolution reaction, this alloy had its potential shifted to a more negative potential. As far as the cyclic voltammograms were concerned, the difference between the anodic and cathodic part was minimal when compared with other alloys. Surprisingly, this alloy had reversibility even after 100 cycles of the cyclic voltammogram. This is a clear indication that dendrite formation was reduced to a considerable extent. Images taken with a scanning electron microscope also indicated reduced dendrite formation. © 2006 Elsevier B.V. All rights reserved.","author":[{"dropping-particle":"","family":"Lee","given":"Chang Woo","non-dropping-particle":"","parse-names":false,"suffix":""},{"dropping-particle":"","family":"Sathiyanarayanan","given":"K.","non-dropping-particle":"","parse-names":false,"suffix":""},{"dropping-particle":"","family":"Eom","given":"Seung Wook","non-dropping-particle":"","parse-names":false,"suffix":""},{"dropping-particle":"","family":"Yun","given":"Mun Soo","non-dropping-particle":"","parse-names":false,"suffix":""}],"container-title":"Journal of Power Sources","id":"ITEM-4","issue":"2","issued":{"date-parts":[["2006","10","6"]]},"page":"1436-1441","publisher":"Elsevier","title":"Novel alloys to improve the electrochemical behavior of zinc anodes for zinc/air battery","type":"article-journal","volume":"160"},"uris":["http://www.mendeley.com/documents/?uuid=d84b17cf-9450-3c7f-8cff-58aac7807d0c"]},{"id":"ITEM-5","itemData":{"DOI":"10.1016/J.JALLCOM.2023.172523","ISSN":"0925-8388","abstract":"Zinc-air batteries have garnered significant attention owing to their high energy density and substantial anode active substance storage. Despite their potential advantages, the application of zinc-air batteries has been hindered in various domains by rapid performance degradation and reduced service life caused by zinc dendrite growth during cycling. This study presents a method of alloying zinc anodes with rare earth metals, such as Ce and Yb, as well as alkaline earth metal Mg to mitigate the growth of zinc dendrites. This is achieved by altering the anisotropy modulus and intensity at the interface energy of the zinc anode. This approach was verified using a COMSOL phase-field model based on an experimental study. The findings demonstrate that the optimal suppression of zinc dendrite growth was achieved with the anisotropy modulus of 6 and the inhibition efficiency is 35%. Moreover, the degree of anisotropic intensity exhibited by the interfacial energy was inversely proportional to the inhibition of zinc dendrite growth. The most effective approach to inhibit dendrite growth involved using a zinc anode composition of 98% Zn–2% Mg and 93.5% Zn–6.5% Yb. The addition of Ce into the zinc anode was found to increase the anisotropy modulus of the anode interface energy, changing the direction and decreasing the height of zinc dendrite growth. Similarly, the addition of Yb to the zinc anode decreased the anisotropic intensity of the interface energy, thereby impeding the growth of the main stem dendrite.","author":[{"dropping-particle":"","family":"Yuan","given":"Xingping","non-dropping-particle":"","parse-names":false,"suffix":""},{"dropping-particle":"","family":"He","given":"Cuiping","non-dropping-particle":"","parse-names":false,"suffix":""},{"dropping-particle":"","family":"Wang","given":"Jianguo","non-dropping-particle":"","parse-names":false,"suffix":""},{"dropping-particle":"","family":"You","given":"Xiang","non-dropping-particle":"","parse-names":false,"suffix":""},{"dropping-particle":"","family":"Chen","given":"Yuanliang","non-dropping-particle":"","parse-names":false,"suffix":""},{"dropping-particle":"","family":"Gou","given":"Qingyi","non-dropping-particle":"","parse-names":false,"suffix":""},{"dropping-particle":"","family":"Yang","given":"Ni","non-dropping-particle":"","parse-names":false,"suffix":""},{"dropping-particle":"","family":"Xie","given":"Gang","non-dropping-particle":"","parse-names":false,"suffix":""},{"dropping-particle":"","family":"Hou","given":"Yanqing","non-dropping-particle":"","parse-names":false,"suffix":""}],"container-title":"Journal of Alloys and Compounds","id":"ITEM-5","issued":{"date-parts":[["2024","1","5"]]},"page":"172523","publisher":"Elsevier","title":"Inhibition of zinc dendrite growth in zinc-air batteries by alloying the anode with Ce and Yb","type":"article-journal","volume":"970"},"uris":["http://www.mendeley.com/documents/?uuid=ef46da8e-95a2-3794-9047-638f09096629"]}],"mendeley":{"formattedCitation":"&lt;sup&gt;[39,40,131,207,208]&lt;/sup&gt;","plainTextFormattedCitation":"[39,40,131,207,208]","previouslyFormattedCitation":"&lt;sup&gt;[39,40,130,206,207]&lt;/sup&gt;"},"properties":{"noteIndex":0},"schema":"https://github.com/citation-style-language/schema/raw/master/csl-citation.json"}</w:instrText>
            </w:r>
            <w:r w:rsidR="007043D0" w:rsidRPr="003E0254">
              <w:rPr>
                <w:sz w:val="20"/>
                <w:szCs w:val="20"/>
              </w:rPr>
              <w:fldChar w:fldCharType="separate"/>
            </w:r>
            <w:r w:rsidR="00500B8D" w:rsidRPr="003E0254">
              <w:rPr>
                <w:noProof/>
                <w:sz w:val="20"/>
                <w:szCs w:val="20"/>
                <w:vertAlign w:val="superscript"/>
              </w:rPr>
              <w:t>[39,40,131,207,208]</w:t>
            </w:r>
            <w:r w:rsidR="007043D0" w:rsidRPr="003E0254">
              <w:rPr>
                <w:sz w:val="20"/>
                <w:szCs w:val="20"/>
              </w:rPr>
              <w:fldChar w:fldCharType="end"/>
            </w:r>
          </w:p>
          <w:p w14:paraId="0C30327E" w14:textId="77777777" w:rsidR="00FF3605" w:rsidRPr="003E0254" w:rsidRDefault="00FF3605" w:rsidP="007043D0">
            <w:pPr>
              <w:jc w:val="center"/>
              <w:rPr>
                <w:sz w:val="20"/>
                <w:szCs w:val="20"/>
              </w:rPr>
            </w:pPr>
          </w:p>
        </w:tc>
        <w:tc>
          <w:tcPr>
            <w:tcW w:w="770" w:type="pct"/>
            <w:shd w:val="clear" w:color="auto" w:fill="D1D1D1" w:themeFill="background2" w:themeFillShade="E6"/>
            <w:vAlign w:val="center"/>
          </w:tcPr>
          <w:p w14:paraId="300DCBD7" w14:textId="18604040" w:rsidR="00FF3605" w:rsidRPr="003E0254" w:rsidRDefault="00FF3605" w:rsidP="007043D0">
            <w:pPr>
              <w:jc w:val="center"/>
              <w:rPr>
                <w:b/>
                <w:bCs/>
                <w:sz w:val="20"/>
                <w:szCs w:val="20"/>
                <w:u w:val="single"/>
              </w:rPr>
            </w:pPr>
            <w:r w:rsidRPr="003E0254">
              <w:rPr>
                <w:b/>
                <w:bCs/>
                <w:sz w:val="20"/>
                <w:szCs w:val="20"/>
                <w:u w:val="single"/>
              </w:rPr>
              <w:t>Coatings</w:t>
            </w:r>
            <w:r w:rsidR="007F26F6" w:rsidRPr="003E0254">
              <w:rPr>
                <w:sz w:val="20"/>
                <w:szCs w:val="20"/>
              </w:rPr>
              <w:fldChar w:fldCharType="begin" w:fldLock="1"/>
            </w:r>
            <w:r w:rsidR="00500B8D" w:rsidRPr="003E0254">
              <w:rPr>
                <w:sz w:val="20"/>
                <w:szCs w:val="20"/>
              </w:rPr>
              <w:instrText>ADDIN CSL_CITATION {"citationItems":[{"id":"ITEM-1","itemData":{"DOI":"10.1016/J.JECHEM.2023.03.049","ISSN":"2095-4956","abstract":"Alkaline Zn-based primary batteries have been commercialized in the past decades. However, their success has not been extended to secondary batteries due to the poor cycle reversibility of Zn anodes. Although some research has been conducted on alkaline Zn anodes, their performance is still far from commercial requirements. A variety of degradation mechanisms, including passivation, dendrites, morphological changes, and hydrogen precipitation, are claimed responsible for the failure of alkaline Zn metal anodes. What's worse, these constraints always interact with each other, which leads to a single strategy being unable to suppress all the issues. Therefore, a comprehensive evaluation of the positive and negative effects of various strategies on performance is important to promote the commercialization of alkaline Zn batteries. Herein, the recent progress and performance of improvement strategies for Zn anode in alkaline conditions are reviewed systematically. First, the principles and challenges of alkaline Zn anodes are briefly analyzed. Then, various design strategies for alkaline Zn anodes from the perspectives of ion and electron regulation are highlighted. Last, through a comprehensive summary of various performance parameters, the advantages and disadvantages of different strategies are compared and evaluated. On the basis of this assessment, we aim to provide more insights into the anode design of high-performance alkaline rechargeable Zn batteries.","author":[{"dropping-particle":"","family":"Yang","given":"Di","non-dropping-particle":"","parse-names":false,"suffix":""},{"dropping-particle":"","family":"Li","given":"Jinsheng","non-dropping-particle":"","parse-names":false,"suffix":""},{"dropping-particle":"","family":"Liu","given":"Changpeng","non-dropping-particle":"","parse-names":false,"suffix":""},{"dropping-particle":"","family":"Xing","given":"Wei","non-dropping-particle":"","parse-names":false,"suffix":""},{"dropping-particle":"","family":"Zhu","given":"Jianbing","non-dropping-particle":"","parse-names":false,"suffix":""}],"container-title":"Journal of Energy Chemistry","id":"ITEM-1","issued":{"date-parts":[["2023","7","1"]]},"page":"122-138","publisher":"Elsevier","title":"Design strategy and comprehensive performance assessment towards Zn anode for alkaline rechargeable batteries","type":"article-journal","volume":"82"},"uris":["http://www.mendeley.com/documents/?uuid=37bfda30-b6fc-4f80-9c35-7b6290b190d2"]},{"id":"ITEM-2","itemData":{"DOI":"10.1002/AENM.201801090","ISSN":"1614-6840","abstract":"Zn-based batteries are safe, low cost, and environmentally friendly, as well as delivering the highest energy density of all aqueous battery systems. However, the application of Zn-based batteries is being seriously hindered by the uneven electrostripping/electroplating of Zn on the anodes, which always leads to enlarged polarization (capacity fading) or even cell shorting (low cycling stability). How a porous nano-CaCO3 coating can guide uniform and position-selected Zn stripping/plating on the nano-CaCO3-layer/Zn foil interfaces is reported here. This Zn-deposition-guiding ability is mainly ascribed to the porous nature of the nano-CaCO3-layer, since similar functionality (even though relatively inferior) is also found in Zn foils coated with porous acetylene black or nano-SiO2 layers. Furthermore, the potential application of this strategy is demonstrated in Zn|ZnSO4+MnSO4|CNT/MnO2 rechargeable aqueous batteries. Compared with the ones with bare Zn anodes, the battery with a nano-CaCO3-coated Zn anode delivers a 42.7% higher discharge capacity (177 vs 124 mAh g−1 at 1 A g−1) after 1000 cycles.","author":[{"dropping-particle":"","family":"Kang","given":"Litao","non-dropping-particle":"","parse-names":false,"suffix":""},{"dropping-particle":"","family":"Cui","given":"Mangwei","non-dropping-particle":"","parse-names":false,"suffix":""},{"dropping-particle":"","family":"Jiang","given":"Fuyi","non-dropping-particle":"","parse-names":false,"suffix":""},{"dropping-particle":"","family":"Gao","given":"Yanfeng","non-dropping-particle":"","parse-names":false,"suffix":""},{"dropping-particle":"","family":"Luo","given":"Hongjie","non-dropping-particle":"","parse-names":false,"suffix":""},{"dropping-particle":"","family":"Liu","given":"Jianjun","non-dropping-particle":"","parse-names":false,"suffix":""},{"dropping-particle":"","family":"Liang","given":"Wei","non-dropping-particle":"","parse-names":false,"suffix":""},{"dropping-particle":"","family":"Zhi","given":"Chunyi","non-dropping-particle":"","parse-names":false,"suffix":""}],"container-title":"Advanced Energy Materials","id":"ITEM-2","issue":"25","issued":{"date-parts":[["2018","9","1"]]},"page":"1801090","publisher":"John Wiley &amp; Sons, Ltd","title":"Nanoporous CaCO3 Coatings Enabled Uniform Zn Stripping/Plating for Long-Life Zinc Rechargeable Aqueous Batteries","type":"article-journal","volume":"8"},"uris":["http://www.mendeley.com/documents/?uuid=0c4faadf-4d21-3599-96a1-040262a29998"]}],"mendeley":{"formattedCitation":"&lt;sup&gt;[54,209]&lt;/sup&gt;","plainTextFormattedCitation":"[54,209]","previouslyFormattedCitation":"&lt;sup&gt;[53,208]&lt;/sup&gt;"},"properties":{"noteIndex":0},"schema":"https://github.com/citation-style-language/schema/raw/master/csl-citation.json"}</w:instrText>
            </w:r>
            <w:r w:rsidR="007F26F6" w:rsidRPr="003E0254">
              <w:rPr>
                <w:sz w:val="20"/>
                <w:szCs w:val="20"/>
              </w:rPr>
              <w:fldChar w:fldCharType="separate"/>
            </w:r>
            <w:r w:rsidR="00500B8D" w:rsidRPr="003E0254">
              <w:rPr>
                <w:noProof/>
                <w:sz w:val="20"/>
                <w:szCs w:val="20"/>
                <w:vertAlign w:val="superscript"/>
              </w:rPr>
              <w:t>[54,209]</w:t>
            </w:r>
            <w:r w:rsidR="007F26F6" w:rsidRPr="003E0254">
              <w:rPr>
                <w:sz w:val="20"/>
                <w:szCs w:val="20"/>
              </w:rPr>
              <w:fldChar w:fldCharType="end"/>
            </w:r>
          </w:p>
        </w:tc>
        <w:tc>
          <w:tcPr>
            <w:tcW w:w="1034" w:type="pct"/>
            <w:shd w:val="clear" w:color="auto" w:fill="D1D1D1" w:themeFill="background2" w:themeFillShade="E6"/>
            <w:vAlign w:val="center"/>
          </w:tcPr>
          <w:p w14:paraId="05C773C2" w14:textId="5F9AFEE1" w:rsidR="00FF3605" w:rsidRPr="003E0254" w:rsidRDefault="00FF3605" w:rsidP="007043D0">
            <w:pPr>
              <w:jc w:val="center"/>
              <w:rPr>
                <w:b/>
                <w:bCs/>
                <w:sz w:val="20"/>
                <w:szCs w:val="20"/>
                <w:u w:val="single"/>
              </w:rPr>
            </w:pPr>
            <w:r w:rsidRPr="003E0254">
              <w:rPr>
                <w:b/>
                <w:bCs/>
                <w:sz w:val="20"/>
                <w:szCs w:val="20"/>
                <w:u w:val="single"/>
              </w:rPr>
              <w:t>Layered double hydroxide based</w:t>
            </w:r>
            <w:r w:rsidR="00DC652A" w:rsidRPr="003E0254">
              <w:rPr>
                <w:b/>
                <w:bCs/>
                <w:sz w:val="20"/>
                <w:szCs w:val="20"/>
                <w:u w:val="single"/>
              </w:rPr>
              <w:fldChar w:fldCharType="begin" w:fldLock="1"/>
            </w:r>
            <w:r w:rsidR="00500B8D" w:rsidRPr="003E0254">
              <w:rPr>
                <w:b/>
                <w:bCs/>
                <w:sz w:val="20"/>
                <w:szCs w:val="20"/>
                <w:u w:val="single"/>
              </w:rPr>
              <w:instrText>ADDIN CSL_CITATION {"citationItems":[{"id":"ITEM-1","itemData":{"DOI":"10.1016/J.JCIS.2021.01.093","ISSN":"0021-9797","PMID":"33561597","abstract":"Exploiting the low-cost and high-efficiency bifunctional oxygen electrocatalysts to substitute platinum-group metals is highly desirable but challenging for energy storage/conversion technologies. Herein, we develop a combined gelation/self-assemble/freeze drying process to fabricate a free-standing porous architectures through vertical anchoring two-dimensional (2D) CoMn-LDH nanosheets on three-dimensional (3D) hierarchical N,P co-doped graphene aerogels (NPGA) framework. This unique configuration endows CoMn-LDH/NPGA outstanding catalytic activity toward both oxygen reduction reaction (ORR) and oxygen evolution reaction (OER) with a potential difference of ca. 0.72 V between the OER potential at 10 mA cm−2 and the ORR potential at −3 mA cm−2, which is comparable to commercial Pt/C + IrO2 benchmarks, and therefore renders the CoMn-LDH/NPGA assembled zinc-air battery a superior rechargeable performance and cycling stability. In-depth structure-to-property correlation indicates that the prominent bifunctional activity of CoMn-LDH/NPGA are ascribed to large electrochemical active surface area, the rapid mass/charge transfers, the increased exposure and full utilization of active sites originated from the synergistic effect between the uniformly dispersed 2D CoMn-LDH nanosheets and the 3D hierarchical porous NPGA framework.","author":[{"dropping-particle":"","family":"Zhang","given":"Guoquan","non-dropping-particle":"","parse-names":false,"suffix":""},{"dropping-particle":"","family":"Xing","given":"Jiayu","non-dropping-particle":"","parse-names":false,"suffix":""},{"dropping-particle":"","family":"Zhao","given":"Yuanyuan","non-dropping-particle":"","parse-names":false,"suffix":""},{"dropping-particle":"","family":"Yang","given":"Fenglin","non-dropping-particle":"","parse-names":false,"suffix":""}],"container-title":"Journal of Colloid and Interface Science","id":"ITEM-1","issued":{"date-parts":[["2021","5","15"]]},"page":"476-486","publisher":"Academic Press","title":"Hierarchical N,P co-doped graphene aerogels framework assembling vertically grown CoMn-LDH nanosheets as efficient bifunctional electrocatalyst for rechargeable Zinc-air battery","type":"article-journal","volume":"590"},"uris":["http://www.mendeley.com/documents/?uuid=1563f6fd-fde4-3f26-969b-3f6f73725a34"]},{"id":"ITEM-2","itemData":{"DOI":"10.1016/J.APCATB.2020.119869","ISSN":"0926-3373","abstract":"The high-performance non-precious electrocatalysts for both oxygen reduction reaction (ORR) and oxygen evolution reaction (OER) are crucial to the practical application of fuel cells and metal-air batteries. Herein, a novel cactus-like NiCo2S4@NiFe LDH hollow sphere assembled by one-dimensional (1D) NiFe LDH nanowires and two-dimensional (2D) NiFe LDH nanosheets on the NiCo2S4 hollow spheres is prepared by a facile hydrothermal method. The outer NiFe LDH nanowires and NiFe LDH nanosheets can effectively suppress the collapse and corrosion of inner NiCo2S4 hollow structure during long-term stability tests. The integration of the effective OER electrocatalyst NiFe LDH into NiCo2S4 to form heterostructures, as well as the strong electronic interaction between NiCo2S4 and NiFe LDH, can greatly boost both ORR and OER activities. Due to the above merits, the NiCo2S4@NiFe LDH achieves remarkably a small potential gap (ΔE = Ej=10-E1/2) of only 0.667 V. This work offers a facile strategy to design efficient catalysts with heterostructures.","author":[{"dropping-particle":"","family":"Feng","given":"Xueting","non-dropping-particle":"","parse-names":false,"suffix":""},{"dropping-particle":"","family":"Jiao","given":"Qingze","non-dropping-particle":"","parse-names":false,"suffix":""},{"dropping-particle":"","family":"Chen","given":"Wenxing","non-dropping-particle":"","parse-names":false,"suffix":""},{"dropping-particle":"","family":"Dang","given":"Yanliu","non-dropping-particle":"","parse-names":false,"suffix":""},{"dropping-particle":"","family":"Dai","given":"Zheng","non-dropping-particle":"","parse-names":false,"suffix":""},{"dropping-particle":"","family":"Suib","given":"Steven L.","non-dropping-particle":"","parse-names":false,"suffix":""},{"dropping-particle":"","family":"Zhang","given":"Jiatao","non-dropping-particle":"","parse-names":false,"suffix":""},{"dropping-particle":"","family":"Zhao","given":"Yun","non-dropping-particle":"","parse-names":false,"suffix":""},{"dropping-particle":"","family":"Li","given":"Hansheng","non-dropping-particle":"","parse-names":false,"suffix":""},{"dropping-particle":"","family":"Feng","given":"Caihong","non-dropping-particle":"","parse-names":false,"suffix":""}],"container-title":"Applied Catalysis B: Environmental","id":"ITEM-2","issued":{"date-parts":[["2021","6","5"]]},"page":"119869","publisher":"Elsevier","title":"Cactus-like NiCo2S4@NiFe LDH hollow spheres as an effective oxygen bifunctional electrocatalyst in alkaline solution","type":"article-journal","volume":"286"},"uris":["http://www.mendeley.com/documents/?uuid=efd55f76-cf79-3ef8-9d2d-10f7720cb65d"]}],"mendeley":{"formattedCitation":"&lt;sup&gt;[191,210]&lt;/sup&gt;","plainTextFormattedCitation":"[191,210]","previouslyFormattedCitation":"&lt;sup&gt;[190,209]&lt;/sup&gt;"},"properties":{"noteIndex":0},"schema":"https://github.com/citation-style-language/schema/raw/master/csl-citation.json"}</w:instrText>
            </w:r>
            <w:r w:rsidR="00DC652A" w:rsidRPr="003E0254">
              <w:rPr>
                <w:b/>
                <w:bCs/>
                <w:sz w:val="20"/>
                <w:szCs w:val="20"/>
                <w:u w:val="single"/>
              </w:rPr>
              <w:fldChar w:fldCharType="separate"/>
            </w:r>
            <w:r w:rsidR="00500B8D" w:rsidRPr="003E0254">
              <w:rPr>
                <w:bCs/>
                <w:noProof/>
                <w:sz w:val="20"/>
                <w:szCs w:val="20"/>
                <w:vertAlign w:val="superscript"/>
              </w:rPr>
              <w:t>[191,210]</w:t>
            </w:r>
            <w:r w:rsidR="00DC652A" w:rsidRPr="003E0254">
              <w:rPr>
                <w:b/>
                <w:bCs/>
                <w:sz w:val="20"/>
                <w:szCs w:val="20"/>
                <w:u w:val="single"/>
              </w:rPr>
              <w:fldChar w:fldCharType="end"/>
            </w:r>
          </w:p>
        </w:tc>
      </w:tr>
      <w:tr w:rsidR="006515E9" w:rsidRPr="003E0254" w14:paraId="1C9609D9" w14:textId="77777777" w:rsidTr="0039063F">
        <w:trPr>
          <w:jc w:val="center"/>
        </w:trPr>
        <w:tc>
          <w:tcPr>
            <w:tcW w:w="519" w:type="pct"/>
            <w:vMerge/>
            <w:shd w:val="clear" w:color="auto" w:fill="D1D1D1" w:themeFill="background2" w:themeFillShade="E6"/>
            <w:vAlign w:val="center"/>
          </w:tcPr>
          <w:p w14:paraId="3324EB8A" w14:textId="77777777" w:rsidR="00FF3605" w:rsidRPr="003E0254" w:rsidRDefault="00FF3605" w:rsidP="007043D0">
            <w:pPr>
              <w:jc w:val="center"/>
              <w:rPr>
                <w:b/>
                <w:bCs/>
                <w:sz w:val="20"/>
                <w:szCs w:val="20"/>
                <w:u w:val="single"/>
              </w:rPr>
            </w:pPr>
          </w:p>
        </w:tc>
        <w:tc>
          <w:tcPr>
            <w:tcW w:w="1032" w:type="pct"/>
            <w:vMerge/>
            <w:shd w:val="clear" w:color="auto" w:fill="D1D1D1" w:themeFill="background2" w:themeFillShade="E6"/>
            <w:vAlign w:val="center"/>
          </w:tcPr>
          <w:p w14:paraId="2A6CCF72" w14:textId="77777777" w:rsidR="00FF3605" w:rsidRPr="003E0254" w:rsidRDefault="00FF3605" w:rsidP="007043D0">
            <w:pPr>
              <w:jc w:val="center"/>
              <w:rPr>
                <w:b/>
                <w:bCs/>
                <w:sz w:val="20"/>
                <w:szCs w:val="20"/>
                <w:u w:val="single"/>
              </w:rPr>
            </w:pPr>
          </w:p>
        </w:tc>
        <w:tc>
          <w:tcPr>
            <w:tcW w:w="909" w:type="pct"/>
            <w:shd w:val="clear" w:color="auto" w:fill="D1D1D1" w:themeFill="background2" w:themeFillShade="E6"/>
            <w:vAlign w:val="center"/>
          </w:tcPr>
          <w:p w14:paraId="2B5F18BD" w14:textId="20E68329" w:rsidR="00FF3605" w:rsidRPr="003E0254" w:rsidRDefault="00FF3605" w:rsidP="007043D0">
            <w:pPr>
              <w:jc w:val="center"/>
              <w:rPr>
                <w:b/>
                <w:bCs/>
                <w:sz w:val="20"/>
                <w:szCs w:val="20"/>
                <w:u w:val="single"/>
              </w:rPr>
            </w:pPr>
          </w:p>
        </w:tc>
        <w:tc>
          <w:tcPr>
            <w:tcW w:w="737" w:type="pct"/>
            <w:shd w:val="clear" w:color="auto" w:fill="D1D1D1" w:themeFill="background2" w:themeFillShade="E6"/>
            <w:vAlign w:val="center"/>
          </w:tcPr>
          <w:p w14:paraId="7A44D9B5" w14:textId="77777777" w:rsidR="00FF3605" w:rsidRPr="003E0254" w:rsidRDefault="00FF3605" w:rsidP="007043D0">
            <w:pPr>
              <w:jc w:val="center"/>
              <w:rPr>
                <w:b/>
                <w:bCs/>
                <w:sz w:val="20"/>
                <w:szCs w:val="20"/>
                <w:u w:val="single"/>
              </w:rPr>
            </w:pPr>
          </w:p>
        </w:tc>
        <w:tc>
          <w:tcPr>
            <w:tcW w:w="770" w:type="pct"/>
            <w:shd w:val="clear" w:color="auto" w:fill="D1D1D1" w:themeFill="background2" w:themeFillShade="E6"/>
            <w:vAlign w:val="center"/>
          </w:tcPr>
          <w:p w14:paraId="3E60E6CC" w14:textId="77777777" w:rsidR="00FF3605" w:rsidRPr="003E0254" w:rsidRDefault="00FF3605" w:rsidP="007043D0">
            <w:pPr>
              <w:jc w:val="center"/>
              <w:rPr>
                <w:b/>
                <w:bCs/>
                <w:sz w:val="20"/>
                <w:szCs w:val="20"/>
                <w:u w:val="single"/>
              </w:rPr>
            </w:pPr>
          </w:p>
        </w:tc>
        <w:tc>
          <w:tcPr>
            <w:tcW w:w="1034" w:type="pct"/>
            <w:shd w:val="clear" w:color="auto" w:fill="D1D1D1" w:themeFill="background2" w:themeFillShade="E6"/>
            <w:vAlign w:val="center"/>
          </w:tcPr>
          <w:p w14:paraId="2682E545" w14:textId="3E6B55C4" w:rsidR="00FF3605" w:rsidRPr="003E0254" w:rsidRDefault="00FF3605" w:rsidP="007043D0">
            <w:pPr>
              <w:jc w:val="center"/>
              <w:rPr>
                <w:b/>
                <w:bCs/>
                <w:sz w:val="20"/>
                <w:szCs w:val="20"/>
                <w:u w:val="single"/>
              </w:rPr>
            </w:pPr>
            <w:r w:rsidRPr="003E0254">
              <w:rPr>
                <w:b/>
                <w:bCs/>
                <w:sz w:val="20"/>
                <w:szCs w:val="20"/>
                <w:u w:val="single"/>
              </w:rPr>
              <w:t>Metal chalcogenides</w:t>
            </w:r>
            <w:r w:rsidR="00DC652A" w:rsidRPr="003E0254">
              <w:rPr>
                <w:b/>
                <w:bCs/>
                <w:sz w:val="20"/>
                <w:szCs w:val="20"/>
                <w:u w:val="single"/>
              </w:rPr>
              <w:fldChar w:fldCharType="begin" w:fldLock="1"/>
            </w:r>
            <w:r w:rsidR="00500B8D" w:rsidRPr="003E0254">
              <w:rPr>
                <w:b/>
                <w:bCs/>
                <w:sz w:val="20"/>
                <w:szCs w:val="20"/>
                <w:u w:val="single"/>
              </w:rPr>
              <w:instrText>ADDIN CSL_CITATION {"citationItems":[{"id":"ITEM-1","itemData":{"DOI":"10.1002/SMLL.201703748","ISSN":"1613-6829","PMID":"29318748","abstract":"Searching for highly efficient bifunctional electrocatalysts for the oxygen reduction reaction (ORR) and oxygen evolution reaction (OER) using nonnoble metal-based catalysts is essential for the development of many energy conversion systems, including rechargeable fuel cells and metal–air batteries. Here, Co9–xFexS8/Co,Fe-N-C hybrids wrapped by reduced graphene oxide (rGO) (abbreviated as S-Co9–xFexS8@rGO) are synthesized through a semivulcanization and calcination method using graphene oxide (GO) wrapped bimetallic zeolite imidazolate framework (ZIF) Co,Fe-ZIF (CoFe-ZIF@GO) as precursors. Benefiting from the synergistic effect of OER active CoFeS and ORR active Co,Fe-N-C in a single component, as well as high dispersity and enhanced conductivity derived from rGO coating and Fe-doping, the obtained S-Co9–xFexS8@rGO-10 catalyst shows an ultrasmall overpotential of ≈0.29 V at 10 mA cm−2 in OER and a half-wave potential of 0.84 V in ORR, combining a superior oxygen electrode activity of ≈0.68 V in 0.1 m KOH.","author":[{"dropping-particle":"","family":"Liu","given":"Teng","non-dropping-particle":"","parse-names":false,"suffix":""},{"dropping-particle":"","family":"Yang","given":"Fulin","non-dropping-particle":"","parse-names":false,"suffix":""},{"dropping-particle":"","family":"Cheng","given":"Gongzhen","non-dropping-particle":"","parse-names":false,"suffix":""},{"dropping-particle":"","family":"Luo","given":"Wei","non-dropping-particle":"","parse-names":false,"suffix":""},{"dropping-particle":"","family":"Liu","given":"T","non-dropping-particle":"","parse-names":false,"suffix":""},{"dropping-particle":"","family":"Yang","given":"F","non-dropping-particle":"","parse-names":false,"suffix":""},{"dropping-particle":"","family":"Cheng","given":"G","non-dropping-particle":"","parse-names":false,"suffix":""},{"dropping-particle":"","family":"Luo","given":"W","non-dropping-particle":"","parse-names":false,"suffix":""}],"container-title":"Small","id":"ITEM-1","issue":"10","issued":{"date-parts":[["2018","3","1"]]},"page":"1703748","publisher":"John Wiley &amp; Sons, Ltd","title":"Reduced Graphene Oxide-Wrapped Co9–xFexS8/Co,Fe-N-C Composite as Bifunctional Electrocatalyst for Oxygen Reduction and Evolution","type":"article-journal","volume":"14"},"uris":["http://www.mendeley.com/documents/?uuid=4e0b5e2f-3765-379c-99fa-fdc8783abbe6"]},{"id":"ITEM-2","itemData":{"DOI":"10.1002/adfm.201804540","ISSN":"1616-301X","abstract":"The search for efficient and cost</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effective catalysts for bifunctional oxygen reduction and evolution reaction (ORR and OER) is highly demanded because of the sluggish four</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electron transfer involved redox reactions in Zn</w:instrText>
            </w:r>
            <w:r w:rsidR="00500B8D" w:rsidRPr="003E0254">
              <w:rPr>
                <w:rFonts w:ascii="Aptos" w:hAnsi="Aptos" w:cs="Aptos"/>
                <w:b/>
                <w:bCs/>
                <w:sz w:val="20"/>
                <w:szCs w:val="20"/>
                <w:u w:val="single"/>
              </w:rPr>
              <w:instrText>–</w:instrText>
            </w:r>
            <w:r w:rsidR="00500B8D" w:rsidRPr="003E0254">
              <w:rPr>
                <w:b/>
                <w:bCs/>
                <w:sz w:val="20"/>
                <w:szCs w:val="20"/>
                <w:u w:val="single"/>
              </w:rPr>
              <w:instrText>air batteries (ZABs). Herein, (N, P) codoped CoS 2 nanoclusters embedded inside TiO 2 nanoporous films (denoted as N, P/CoS 2 @TiO 2 NPFs) are synthesized as novel bifunctional ORR/OER catalysts for ZABs. The catalytic activity and stability are promoted by the (N, P)</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dopants due to the enhanced conductivity, increased active surface area, and facilitated reaction kinetics. The N, P/CoS 2 @TiO 2 NPFs exhibit exceptional onset potentials of 0.91 and 1.41 V for ORR and OER, respectively. When used as cathodes in ZABs, the N, P/CoS 2 @TiO 2 NPFs exhibit a reduced charge</w:instrText>
            </w:r>
            <w:r w:rsidR="00500B8D" w:rsidRPr="003E0254">
              <w:rPr>
                <w:rFonts w:ascii="Aptos" w:hAnsi="Aptos" w:cs="Aptos"/>
                <w:b/>
                <w:bCs/>
                <w:sz w:val="20"/>
                <w:szCs w:val="20"/>
                <w:u w:val="single"/>
              </w:rPr>
              <w:instrText>–</w:instrText>
            </w:r>
            <w:r w:rsidR="00500B8D" w:rsidRPr="003E0254">
              <w:rPr>
                <w:b/>
                <w:bCs/>
                <w:sz w:val="20"/>
                <w:szCs w:val="20"/>
                <w:u w:val="single"/>
              </w:rPr>
              <w:instrText xml:space="preserve">discharge gap of 0.8 V at 10 mA cm </w:instrText>
            </w:r>
            <w:r w:rsidR="00500B8D" w:rsidRPr="003E0254">
              <w:rPr>
                <w:rFonts w:ascii="Aptos" w:hAnsi="Aptos" w:cs="Aptos"/>
                <w:b/>
                <w:bCs/>
                <w:sz w:val="20"/>
                <w:szCs w:val="20"/>
                <w:u w:val="single"/>
              </w:rPr>
              <w:instrText>−</w:instrText>
            </w:r>
            <w:r w:rsidR="00500B8D" w:rsidRPr="003E0254">
              <w:rPr>
                <w:b/>
                <w:bCs/>
                <w:sz w:val="20"/>
                <w:szCs w:val="20"/>
                <w:u w:val="single"/>
              </w:rPr>
              <w:instrText>2 and a stable cycling performance over 130 h, surpassing the conventional Pt/C+IrO 2 catalysts. Moreover, the assembled ZABs delivering a specific capacity of 610 mAh g −1 can be used for flexible devices. This work provides a path for the rational design of bifunctional electrocatalyst for ZABs.","author":[{"dropping-particle":"","family":"Guo","given":"Limin","non-dropping-particle":"","parse-names":false,"suffix":""},{"dropping-particle":"","family":"Deng","given":"Jinan","non-dropping-particle":"","parse-names":false,"suffix":""},{"dropping-particle":"","family":"Wang","given":"Guanzhi","non-dropping-particle":"","parse-names":false,"suffix":""},{"dropping-particle":"","family":"Hao","given":"Yanan","non-dropping-particle":"","parse-names":false,"suffix":""},{"dropping-particle":"","family":"Bi","given":"Ke","non-dropping-particle":"","parse-names":false,"suffix":""},{"dropping-particle":"","family":"Wang","given":"Xiaohui","non-dropping-particle":"","parse-names":false,"suffix":""},{"dropping-particle":"","family":"Yang","given":"Yang","non-dropping-particle":"","parse-names":false,"suffix":""}],"container-title":"Advanced Functional Materials","id":"ITEM-2","issue":"42","issued":{"date-parts":[["2018","10","27"]]},"page":"1804540","publisher":"John Wiley &amp; Sons, Ltd","title":"N, P</w:instrText>
            </w:r>
            <w:r w:rsidR="00500B8D" w:rsidRPr="003E0254">
              <w:rPr>
                <w:rFonts w:ascii="Cambria Math" w:hAnsi="Cambria Math" w:cs="Cambria Math"/>
                <w:b/>
                <w:bCs/>
                <w:sz w:val="20"/>
                <w:szCs w:val="20"/>
                <w:u w:val="single"/>
              </w:rPr>
              <w:instrText>‐</w:instrText>
            </w:r>
            <w:r w:rsidR="00500B8D" w:rsidRPr="003E0254">
              <w:rPr>
                <w:b/>
                <w:bCs/>
                <w:sz w:val="20"/>
                <w:szCs w:val="20"/>
                <w:u w:val="single"/>
              </w:rPr>
              <w:instrText>doped CoS 2 Embedded in TiO 2 Nanoporous Films for Zn</w:instrText>
            </w:r>
            <w:r w:rsidR="00500B8D" w:rsidRPr="003E0254">
              <w:rPr>
                <w:rFonts w:ascii="Aptos" w:hAnsi="Aptos" w:cs="Aptos"/>
                <w:b/>
                <w:bCs/>
                <w:sz w:val="20"/>
                <w:szCs w:val="20"/>
                <w:u w:val="single"/>
              </w:rPr>
              <w:instrText>–</w:instrText>
            </w:r>
            <w:r w:rsidR="00500B8D" w:rsidRPr="003E0254">
              <w:rPr>
                <w:b/>
                <w:bCs/>
                <w:sz w:val="20"/>
                <w:szCs w:val="20"/>
                <w:u w:val="single"/>
              </w:rPr>
              <w:instrText>Air Batteries","type":"article-journal","volume":"28"},"uris":["http://www.mendeley.com/documents/?uuid=e4730ef2-4e27-3b6d-9ffb-a8c4416204c7"]}],"mendeley":{"formattedCitation":"&lt;sup&gt;[211,212]&lt;/sup&gt;","plainTextFormattedCitation":"[211,212]","previouslyFormattedCitation":"&lt;sup&gt;[210,211]&lt;/sup&gt;"},"properties":{"noteIndex":0},"schema":"https://github.com/citation-style-language/schema/raw/master/csl-citation.json"}</w:instrText>
            </w:r>
            <w:r w:rsidR="00DC652A" w:rsidRPr="003E0254">
              <w:rPr>
                <w:b/>
                <w:bCs/>
                <w:sz w:val="20"/>
                <w:szCs w:val="20"/>
                <w:u w:val="single"/>
              </w:rPr>
              <w:fldChar w:fldCharType="separate"/>
            </w:r>
            <w:r w:rsidR="00500B8D" w:rsidRPr="003E0254">
              <w:rPr>
                <w:bCs/>
                <w:noProof/>
                <w:sz w:val="20"/>
                <w:szCs w:val="20"/>
                <w:vertAlign w:val="superscript"/>
              </w:rPr>
              <w:t>[211,212]</w:t>
            </w:r>
            <w:r w:rsidR="00DC652A" w:rsidRPr="003E0254">
              <w:rPr>
                <w:b/>
                <w:bCs/>
                <w:sz w:val="20"/>
                <w:szCs w:val="20"/>
                <w:u w:val="single"/>
              </w:rPr>
              <w:fldChar w:fldCharType="end"/>
            </w:r>
          </w:p>
        </w:tc>
      </w:tr>
      <w:tr w:rsidR="00283A9B" w:rsidRPr="003E0254" w14:paraId="558982CF" w14:textId="77777777" w:rsidTr="0039063F">
        <w:trPr>
          <w:jc w:val="center"/>
        </w:trPr>
        <w:tc>
          <w:tcPr>
            <w:tcW w:w="519" w:type="pct"/>
            <w:shd w:val="clear" w:color="auto" w:fill="F1A983" w:themeFill="accent2" w:themeFillTint="99"/>
            <w:vAlign w:val="center"/>
          </w:tcPr>
          <w:p w14:paraId="43047D62" w14:textId="0E058D11" w:rsidR="00283A9B" w:rsidRPr="003E0254" w:rsidRDefault="00283A9B" w:rsidP="00283A9B">
            <w:pPr>
              <w:jc w:val="center"/>
              <w:rPr>
                <w:b/>
                <w:bCs/>
                <w:sz w:val="20"/>
                <w:szCs w:val="20"/>
                <w:u w:val="single"/>
              </w:rPr>
            </w:pPr>
            <w:r w:rsidRPr="003E0254">
              <w:rPr>
                <w:b/>
                <w:bCs/>
                <w:sz w:val="20"/>
                <w:szCs w:val="20"/>
                <w:u w:val="single"/>
              </w:rPr>
              <w:t>Gel</w:t>
            </w:r>
          </w:p>
        </w:tc>
        <w:tc>
          <w:tcPr>
            <w:tcW w:w="1032" w:type="pct"/>
            <w:shd w:val="clear" w:color="auto" w:fill="F1A983" w:themeFill="accent2" w:themeFillTint="99"/>
            <w:vAlign w:val="center"/>
          </w:tcPr>
          <w:p w14:paraId="76882355" w14:textId="52C3BFD4" w:rsidR="00283A9B" w:rsidRPr="003E0254" w:rsidRDefault="00283A9B" w:rsidP="00283A9B">
            <w:pPr>
              <w:jc w:val="center"/>
              <w:rPr>
                <w:b/>
                <w:bCs/>
                <w:sz w:val="20"/>
                <w:szCs w:val="20"/>
                <w:u w:val="single"/>
              </w:rPr>
            </w:pPr>
            <w:r w:rsidRPr="003E0254">
              <w:rPr>
                <w:b/>
                <w:bCs/>
                <w:sz w:val="20"/>
                <w:szCs w:val="20"/>
                <w:u w:val="single"/>
              </w:rPr>
              <w:t>Polymer</w:t>
            </w:r>
            <w:r w:rsidRPr="003E0254">
              <w:rPr>
                <w:b/>
                <w:bCs/>
                <w:sz w:val="20"/>
                <w:szCs w:val="20"/>
                <w:u w:val="single"/>
              </w:rPr>
              <w:fldChar w:fldCharType="begin" w:fldLock="1"/>
            </w:r>
            <w:r w:rsidR="00500B8D" w:rsidRPr="003E0254">
              <w:rPr>
                <w:b/>
                <w:bCs/>
                <w:sz w:val="20"/>
                <w:szCs w:val="20"/>
                <w:u w:val="single"/>
              </w:rPr>
              <w:instrText>ADDIN CSL_CITATION {"citationItems":[{"id":"ITEM-1","itemData":{"DOI":"10.1016/J.CEJ.2023.144870","ISSN":"1385-8947","abstract":"Present Zn-air batteries (ZABs) are based on concentrated alkaline liquid electrolytes, with high ionic conductivity, but suffer from leakage, evaporation, and carbonate precipitation due to the semi-open characteristic of these systems. To overcome these issues, gel polymer electrolytes (GPEs), based on naturally occurring biopolymers, arise as a green option to overcome the above-mentioned limitations. In this work, a novel GPE based on pure agarose from seaweed is presented as a smart alternative to liquid (adsorbed on a separator) and gel electrolytes (based on synthetic polymers). The innovative synthesis method described can directly encapsulate concentrated KOH liquid electrolytes into an agarose matrix in one-pot; the process requiring approx. 10 min. The unique gel developed in this work, with 2 wt% agarose and 8 M KOH electrolyte, presents the best compromise between physicochemical and electrochemical properties, at lab scale. The characterization results revealed an outstanding ionic conductivity of 0.45 ± 0.05 S cm−1, ≈100% water retention up to 200–250 h, retarded Zn self-corrosion up to 30 days (symmetric cell under open circuit), average Zn utilization &gt; 70–80% in primary ZABs in the range 1–20 mA cm−2 with peaks of ≈96%. In secondary ZABs the gel electrolyte presents high round-trip efficiency and improved cyclability at high areal capacities, under soft and severe cycling conditions, never tested before. This agarose gel represents a potential benchmark for future development of GPE-based ZABs for stationary applications.","author":[{"dropping-particle":"","family":"García-Gaitán","given":"Estibaliz","non-dropping-particle":"","parse-names":false,"suffix":""},{"dropping-particle":"","family":"Morant-Miñana","given":"María Carmen","non-dropping-particle":"","parse-names":false,"suffix":""},{"dropping-particle":"","family":"Frattini","given":"Domenico","non-dropping-particle":"","parse-names":false,"suffix":""},{"dropping-particle":"","family":"Maddalena","given":"Lorenza","non-dropping-particle":"","parse-names":false,"suffix":""},{"dropping-particle":"","family":"Fina","given":"Alberto","non-dropping-particle":"","parse-names":false,"suffix":""},{"dropping-particle":"","family":"Gerbaldi","given":"Claudio","non-dropping-particle":"","parse-names":false,"suffix":""},{"dropping-particle":"","family":"Cantero","given":"Igor","non-dropping-particle":"","parse-names":false,"suffix":""},{"dropping-particle":"","family":"Ortiz-Vitoriano","given":"Nagore","non-dropping-particle":"","parse-names":false,"suffix":""}],"container-title":"Chemical Engineering Journal","id":"ITEM-1","issued":{"date-parts":[["2023","9","15"]]},"page":"144870","publisher":"Elsevier","title":"Agarose-based Gel Electrolytes for Sustainable Primary and Secondary Zinc-Air Batteries","type":"article-journal","volume":"472"},"uris":["http://www.mendeley.com/documents/?uuid=da4b7fa4-1d3b-3430-ba43-18d980e9f037"]},{"id":"ITEM-2","itemData":{"DOI":"10.1021/ACSAMI.9B00758/ASSET/IMAGES/LARGE/AM-2019-00758F_0006.JPEG","ISSN":"19448252","PMID":"30901190","abstract":"Flexible solid-state zinc-air batteries are promising energy technologies with low cost, superior performance and safety. However, flexible electrolytes are severely limited by their poor mechanical properties. Here, we introduce flexible bacterial cellulose (BC)/poly(vinyl alcohol) (PVA) composite hydrogel electrolytes (BPCE) based on bacterial cellulose (BC) microfibers and poly(vinyl alcohol) (PVA) by an in situ synthesis. Originating from the hydrogen bonds among BC microfibers and PVA matrix, these composites form load-bearing percolating dual network and their mechanical strength is increased 9 times (from 0.102 MPa of pristine PVA to 0.951 MPa of 6-BPCE). 6-BPCE shows extremely high ionic conductivities (80.8 mS cm -1 ). In addition, the solid-state zinc-air batteries can stably cycle over 440 h without large discharge and charge polarizations equipped with zinc anode and Co 3 O 4 @Ni cathode. Moreover, flexible solid-state zinc-air batteries can cycle well at any bending angle. As flexible electrolytes, they open up a new opportunity for the development of superior-performance, flexible, rechargeable, zinc-air batteries.","author":[{"dropping-particle":"","family":"Zhao","given":"Nana","non-dropping-particle":"","parse-names":false,"suffix":""},{"dropping-particle":"","family":"Wu","given":"Feng","non-dropping-particle":"","parse-names":false,"suffix":""},{"dropping-particle":"","family":"Xing","given":"Yi","non-dropping-particle":"","parse-names":false,"suffix":""},{"dropping-particle":"","family":"Qu","given":"Wenjie","non-dropping-particle":"","parse-names":false,"suffix":""},{"dropping-particle":"","family":"Chen","given":"Nan","non-dropping-particle":"","parse-names":false,"suffix":""},{"dropping-particle":"","family":"Shang","given":"Yanxin","non-dropping-particle":"","parse-names":false,"suffix":""},{"dropping-particle":"","family":"Yan","given":"Mingxia","non-dropping-particle":"","parse-names":false,"suffix":""},{"dropping-particle":"","family":"Li","given":"Yuejiao","non-dropping-particle":"","parse-names":false,"suffix":""},{"dropping-particle":"","family":"Li","given":"Li","non-dropping-particle":"","parse-names":false,"suffix":""},{"dropping-particle":"","family":"Chen","given":"Renjie","non-dropping-particle":"","parse-names":false,"suffix":""}],"container-title":"ACS Applied Materials and Interfaces","id":"ITEM-2","issue":"17","issued":{"date-parts":[["2019","5","1"]]},"page":"15537-15542","publisher":"American Chemical Society","title":"Flexible Hydrogel Electrolyte with Superior Mechanical Properties Based on Poly(vinyl alcohol) and Bacterial Cellulose for the Solid-State Zinc-Air Batteries","type":"article-journal","volume":"11"},"uris":["http://www.mendeley.com/documents/?uuid=a962348f-b73f-4876-b900-6ce28b0ea971"]},{"id":"ITEM-3","itemData":{"DOI":"10.1016/J.MTENER.2020.100407","ISSN":"2468-6069","abstract":"Fabrication and assembly of electrodes are of great importance for the manufacturing of batteries, which are the bridge to transfer electrode materials to devices. Here, we demonstrate a 3D-printing technology for the construction of functional electrodes (including anode and cathode) for zinc-air batteries. The printed anode consists of many zinc micro-spheres that allows the high utilization of the zinc. The printed self-standing air cathode features hierarchical porous structure with high surface area, which endows the electrode with high electrocatalytic activity and fast diffusion channel for the reaction. Benefiting from these advantages, the as-assembled zinc-air batteries achieve a high discharge capacity of 670 mA h g−1 at the current density of 5 mA cm−2, and long-term cycle stability at least 350 cycles, which are superior to those of conventional batteries. The reasons behind these properties and their respective characteristics are well explored and clarified. This work successfully validates the feasibility of printing battery electrodes, which might revolutionize battery manufacturing.","author":[{"dropping-particle":"","family":"Zhang","given":"Jian","non-dropping-particle":"","parse-names":false,"suffix":""},{"dropping-particle":"","family":"Li","given":"Xue Liang","non-dropping-particle":"","parse-names":false,"suffix":""},{"dropping-particle":"","family":"Fan","given":"Shuang","non-dropping-particle":"","parse-names":false,"suffix":""},{"dropping-particle":"","family":"Huang","given":"Shaozhuan","non-dropping-particle":"","parse-names":false,"suffix":""},{"dropping-particle":"","family":"Yan","given":"Dong","non-dropping-particle":"","parse-names":false,"suffix":""},{"dropping-particle":"","family":"Liu","given":"Lei","non-dropping-particle":"","parse-names":false,"suffix":""},{"dropping-particle":"","family":"Valdivia y Alvarado","given":"Pablo","non-dropping-particle":"","parse-names":false,"suffix":""},{"dropping-particle":"","family":"Yang","given":"Hui Ying","non-dropping-particle":"","parse-names":false,"suffix":""}],"container-title":"Materials Today Energy","id":"ITEM-3","issued":{"date-parts":[["2020","6","1"]]},"page":"100407","publisher":"Elsevier","title":"3D-printed functional electrodes towards Zn-Air batteries","type":"article-journal","volume":"16"},"uris":["http://www.mendeley.com/documents/?uuid=0fb2bf7b-8883-36f9-b60e-90e070b087e6"]},{"id":"ITEM-4","itemData":{"DOI":"10.1016/J.XCRP.2021.100687","ISSN":"2666-3864","abstract":"Flexible zinc (Zn)-air batteries are recognized as a next-generation battery candidate for emerging smart-wearable devices in portable use. Unfortunately, the high cost of flexible electrolytes and the complex synthesis process limit the commercial application of flexible Zn-air batteries. Here, we report a cost-effective starch gel fabricated through the starch gelation reaction for flexible Zn-air batteries. Benefiting from excellent hydrophilicity and adhesion, the prepared starch gel electrolyte exhibits a high ionic conductivity of 111.5 mS cm−1, leading to the close contact between the electrolyte and the electrodes. Moreover, a flexible Zn-air battery with the starch gel electrolyte delivers a long large cycling number of &gt;200, a peak power density of 84 mW cm−2, extraordinary mechanical flexibility, and rugged reliability under complex conditions. Our work offers a strategy for the design and construction of high-performance solid-state electrolytes for flexible Zn-air batteries.","author":[{"dropping-particle":"","family":"Zuo","given":"Yayu","non-dropping-particle":"","parse-names":false,"suffix":""},{"dropping-particle":"","family":"Wang","given":"Keliang","non-dropping-particle":"","parse-names":false,"suffix":""},{"dropping-particle":"","family":"Wei","given":"Manhui","non-dropping-particle":"","parse-names":false,"suffix":""},{"dropping-particle":"","family":"Zhao","given":"Siyuan","non-dropping-particle":"","parse-names":false,"suffix":""},{"dropping-particle":"","family":"Zhang","given":"Pengfei","non-dropping-particle":"","parse-names":false,"suffix":""},{"dropping-particle":"","family":"Pei","given":"Pucheng","non-dropping-particle":"","parse-names":false,"suffix":""}],"container-title":"Cell Reports Physical Science","id":"ITEM-4","issue":"1","issued":{"date-parts":[["2022","1","19"]]},"page":"100687","publisher":"Cell Press","title":"Starch gel for flexible rechargeable zinc-air batteries","type":"article-journal","volume":"3"},"uris":["http://www.mendeley.com/documents/?uuid=790823b8-24d7-3d23-a2ec-d88105be7f23"]}],"mendeley":{"formattedCitation":"&lt;sup&gt;[195,213–215]&lt;/sup&gt;","plainTextFormattedCitation":"[195,213–215]","previouslyFormattedCitation":"&lt;sup&gt;[194,212–214]&lt;/sup&gt;"},"properties":{"noteIndex":0},"schema":"https://github.com/citation-style-language/schema/raw/master/csl-citation.json"}</w:instrText>
            </w:r>
            <w:r w:rsidRPr="003E0254">
              <w:rPr>
                <w:b/>
                <w:bCs/>
                <w:sz w:val="20"/>
                <w:szCs w:val="20"/>
                <w:u w:val="single"/>
              </w:rPr>
              <w:fldChar w:fldCharType="separate"/>
            </w:r>
            <w:r w:rsidR="00500B8D" w:rsidRPr="003E0254">
              <w:rPr>
                <w:bCs/>
                <w:noProof/>
                <w:sz w:val="20"/>
                <w:szCs w:val="20"/>
                <w:vertAlign w:val="superscript"/>
              </w:rPr>
              <w:t>[195,213–215]</w:t>
            </w:r>
            <w:r w:rsidRPr="003E0254">
              <w:rPr>
                <w:b/>
                <w:bCs/>
                <w:sz w:val="20"/>
                <w:szCs w:val="20"/>
                <w:u w:val="single"/>
              </w:rPr>
              <w:fldChar w:fldCharType="end"/>
            </w:r>
          </w:p>
          <w:p w14:paraId="3C15ACCB" w14:textId="5BD9A7BC" w:rsidR="00283A9B" w:rsidRPr="003E0254" w:rsidRDefault="00283A9B" w:rsidP="00283A9B">
            <w:pPr>
              <w:jc w:val="center"/>
              <w:rPr>
                <w:sz w:val="20"/>
                <w:szCs w:val="20"/>
              </w:rPr>
            </w:pPr>
          </w:p>
        </w:tc>
        <w:tc>
          <w:tcPr>
            <w:tcW w:w="909" w:type="pct"/>
            <w:shd w:val="clear" w:color="auto" w:fill="F1A983" w:themeFill="accent2" w:themeFillTint="99"/>
            <w:vAlign w:val="center"/>
          </w:tcPr>
          <w:p w14:paraId="2692B659" w14:textId="62CFCA20" w:rsidR="00283A9B" w:rsidRPr="003E0254" w:rsidRDefault="00283A9B" w:rsidP="00283A9B">
            <w:pPr>
              <w:jc w:val="center"/>
              <w:rPr>
                <w:b/>
                <w:bCs/>
                <w:sz w:val="20"/>
                <w:szCs w:val="20"/>
                <w:u w:val="single"/>
              </w:rPr>
            </w:pPr>
          </w:p>
        </w:tc>
        <w:tc>
          <w:tcPr>
            <w:tcW w:w="737" w:type="pct"/>
            <w:shd w:val="clear" w:color="auto" w:fill="F1A983" w:themeFill="accent2" w:themeFillTint="99"/>
            <w:vAlign w:val="center"/>
          </w:tcPr>
          <w:p w14:paraId="656A3C90" w14:textId="0D350893" w:rsidR="00283A9B" w:rsidRPr="003E0254" w:rsidRDefault="00283A9B" w:rsidP="00283A9B">
            <w:pPr>
              <w:jc w:val="center"/>
              <w:rPr>
                <w:b/>
                <w:bCs/>
                <w:sz w:val="20"/>
                <w:szCs w:val="20"/>
                <w:u w:val="single"/>
              </w:rPr>
            </w:pPr>
            <w:r w:rsidRPr="003E0254">
              <w:rPr>
                <w:b/>
                <w:bCs/>
                <w:sz w:val="20"/>
                <w:szCs w:val="20"/>
                <w:u w:val="single"/>
              </w:rPr>
              <w:t>Mostly planar Zn</w:t>
            </w:r>
          </w:p>
        </w:tc>
        <w:tc>
          <w:tcPr>
            <w:tcW w:w="770" w:type="pct"/>
            <w:shd w:val="clear" w:color="auto" w:fill="F1A983" w:themeFill="accent2" w:themeFillTint="99"/>
            <w:vAlign w:val="center"/>
          </w:tcPr>
          <w:p w14:paraId="37A23E0C" w14:textId="77777777" w:rsidR="00283A9B" w:rsidRPr="003E0254" w:rsidRDefault="00283A9B" w:rsidP="00283A9B">
            <w:pPr>
              <w:jc w:val="center"/>
              <w:rPr>
                <w:b/>
                <w:bCs/>
                <w:sz w:val="20"/>
                <w:szCs w:val="20"/>
                <w:u w:val="single"/>
              </w:rPr>
            </w:pPr>
          </w:p>
        </w:tc>
        <w:tc>
          <w:tcPr>
            <w:tcW w:w="1034" w:type="pct"/>
            <w:shd w:val="clear" w:color="auto" w:fill="F1A983" w:themeFill="accent2" w:themeFillTint="99"/>
            <w:vAlign w:val="center"/>
          </w:tcPr>
          <w:p w14:paraId="6633351D" w14:textId="77777777" w:rsidR="00283A9B" w:rsidRPr="003E0254" w:rsidRDefault="00283A9B" w:rsidP="00283A9B">
            <w:pPr>
              <w:jc w:val="center"/>
              <w:rPr>
                <w:b/>
                <w:bCs/>
                <w:sz w:val="20"/>
                <w:szCs w:val="20"/>
                <w:u w:val="single"/>
              </w:rPr>
            </w:pPr>
          </w:p>
        </w:tc>
      </w:tr>
      <w:tr w:rsidR="00283A9B" w:rsidRPr="003E0254" w14:paraId="06396D69" w14:textId="77777777" w:rsidTr="00386874">
        <w:trPr>
          <w:jc w:val="center"/>
        </w:trPr>
        <w:tc>
          <w:tcPr>
            <w:tcW w:w="519" w:type="pct"/>
            <w:shd w:val="clear" w:color="auto" w:fill="CAEDFB" w:themeFill="accent4" w:themeFillTint="33"/>
            <w:vAlign w:val="center"/>
          </w:tcPr>
          <w:p w14:paraId="5B0DCF37" w14:textId="47A9D663" w:rsidR="00283A9B" w:rsidRPr="003E0254" w:rsidRDefault="00283A9B" w:rsidP="00283A9B">
            <w:pPr>
              <w:jc w:val="center"/>
              <w:rPr>
                <w:b/>
                <w:bCs/>
                <w:sz w:val="20"/>
                <w:szCs w:val="20"/>
                <w:u w:val="single"/>
              </w:rPr>
            </w:pPr>
            <w:r w:rsidRPr="003E0254">
              <w:rPr>
                <w:b/>
                <w:bCs/>
                <w:sz w:val="20"/>
                <w:szCs w:val="20"/>
                <w:u w:val="single"/>
              </w:rPr>
              <w:t>Others</w:t>
            </w:r>
          </w:p>
        </w:tc>
        <w:tc>
          <w:tcPr>
            <w:tcW w:w="1032" w:type="pct"/>
            <w:shd w:val="clear" w:color="auto" w:fill="CAEDFB" w:themeFill="accent4" w:themeFillTint="33"/>
            <w:vAlign w:val="center"/>
          </w:tcPr>
          <w:p w14:paraId="3BD36A11" w14:textId="0E40BF40" w:rsidR="00283A9B" w:rsidRPr="003E0254" w:rsidRDefault="00283A9B" w:rsidP="00283A9B">
            <w:pPr>
              <w:jc w:val="center"/>
              <w:rPr>
                <w:b/>
                <w:bCs/>
                <w:sz w:val="20"/>
                <w:szCs w:val="20"/>
                <w:u w:val="single"/>
              </w:rPr>
            </w:pPr>
            <w:r w:rsidRPr="003E0254">
              <w:rPr>
                <w:b/>
                <w:bCs/>
                <w:sz w:val="20"/>
                <w:szCs w:val="20"/>
                <w:u w:val="single"/>
              </w:rPr>
              <w:t>Crosslinked PVA/PAA in 6 M KOH</w:t>
            </w:r>
            <w:r w:rsidRPr="003E0254">
              <w:rPr>
                <w:b/>
                <w:bCs/>
                <w:sz w:val="20"/>
                <w:szCs w:val="20"/>
                <w:u w:val="single"/>
              </w:rPr>
              <w:fldChar w:fldCharType="begin" w:fldLock="1"/>
            </w:r>
            <w:r w:rsidR="00500B8D" w:rsidRPr="003E0254">
              <w:rPr>
                <w:b/>
                <w:bCs/>
                <w:sz w:val="20"/>
                <w:szCs w:val="20"/>
                <w:u w:val="single"/>
              </w:rPr>
              <w:instrText>ADDIN CSL_CITATION {"citationItems":[{"id":"ITEM-1","itemData":{"DOI":"10.1021/ACSAMI.8B05215/ASSET/IMAGES/LARGE/AM-2018-05215X_0005.JPEG","ISSN":"19448252","PMID":"29882645","abstract":"The increasing demand for advanced rechargeable batteries spurs development of new power sources beyond currently most widespread lithium-ion batteries. Here, we demonstrate a new class of flexible/rechargeable zinc (Zn)-air batteries based on multifunctional heteronanomat architecture as a scalable/versatile strategy to address this issue. In contrast to conventional electrodes that are mostly prepared by slurry-casting techniques, heteronanomat (denoted as \"HM\") framework-supported electrodes are fabricated through one-pot concurrent electrospraying (for electrode powders/single-walled carbon nanotubes (SWCNTs)) and electrospinning (for polyetherimide (PEI) nanofibers) process. Zn powders (in anodes) and rambutan-shaped cobalt oxide (Co3O4)/multiwalled carbon nanotube (MWCNT) composite powders (in cathodes) are used as electrode active materials for proof of concept. The Zn (or Co3O4/MWCNT) powders are densely packed and spatially bound by the all-fibrous HM frameworks that consist of PEI nanofibers (for structural stability)/SWCNTs (for electrical conduction) networks, leading to the formation of three-dimensional bicontinuous ion/electron transport channels in the electrodes. The HM electrodes are assembled with cross-linked polyvinyl alcohol/polyvinyl acrylic acid gel polymer electrolytes (acting as zincate ion crossover-suppressing, permselective separator membranes). Benefiting from its unique structure and chemical functionalities, the HM-structured Zn-air cell significantly improves mechanical flexibility and electrochemical rechargeability, which are difficult to achieve with conventional Zn-air battery technologies.","author":[{"dropping-particle":"","family":"Lee","given":"Donggue","non-dropping-particle":"","parse-names":false,"suffix":""},{"dropping-particle":"","family":"Kim","given":"Hyun Woo","non-dropping-particle":"","parse-names":false,"suffix":""},{"dropping-particle":"","family":"Kim","given":"Ju Myung","non-dropping-particle":"","parse-names":false,"suffix":""},{"dropping-particle":"","family":"Kim","given":"Ka Hyun","non-dropping-particle":"","parse-names":false,"suffix":""},{"dropping-particle":"","family":"Lee","given":"Sang Young","non-dropping-particle":"","parse-names":false,"suffix":""}],"container-title":"ACS Applied Materials and Interfaces","id":"ITEM-1","issue":"26","issued":{"date-parts":[["2018","7","5"]]},"page":"22210-22217","publisher":"American Chemical Society","title":"Flexible/Rechargeable Zn-Air Batteries Based on Multifunctional Heteronanomat Architecture","type":"article-journal","volume":"10"},"uris":["http://www.mendeley.com/documents/?uuid=7bd02476-946c-3d5a-a451-9f8f0210b65d"]}],"mendeley":{"formattedCitation":"&lt;sup&gt;[216]&lt;/sup&gt;","plainTextFormattedCitation":"[216]","previouslyFormattedCitation":"&lt;sup&gt;[215]&lt;/sup&gt;"},"properties":{"noteIndex":0},"schema":"https://github.com/citation-style-language/schema/raw/master/csl-citation.json"}</w:instrText>
            </w:r>
            <w:r w:rsidRPr="003E0254">
              <w:rPr>
                <w:b/>
                <w:bCs/>
                <w:sz w:val="20"/>
                <w:szCs w:val="20"/>
                <w:u w:val="single"/>
              </w:rPr>
              <w:fldChar w:fldCharType="separate"/>
            </w:r>
            <w:r w:rsidR="00500B8D" w:rsidRPr="003E0254">
              <w:rPr>
                <w:bCs/>
                <w:noProof/>
                <w:sz w:val="20"/>
                <w:szCs w:val="20"/>
                <w:vertAlign w:val="superscript"/>
              </w:rPr>
              <w:t>[216]</w:t>
            </w:r>
            <w:r w:rsidRPr="003E0254">
              <w:rPr>
                <w:b/>
                <w:bCs/>
                <w:sz w:val="20"/>
                <w:szCs w:val="20"/>
                <w:u w:val="single"/>
              </w:rPr>
              <w:fldChar w:fldCharType="end"/>
            </w:r>
            <w:r w:rsidRPr="003E0254">
              <w:rPr>
                <w:b/>
                <w:bCs/>
                <w:sz w:val="20"/>
                <w:szCs w:val="20"/>
                <w:u w:val="single"/>
              </w:rPr>
              <w:t>.</w:t>
            </w:r>
          </w:p>
        </w:tc>
        <w:tc>
          <w:tcPr>
            <w:tcW w:w="909" w:type="pct"/>
            <w:shd w:val="clear" w:color="auto" w:fill="CAEDFB" w:themeFill="accent4" w:themeFillTint="33"/>
            <w:vAlign w:val="center"/>
          </w:tcPr>
          <w:p w14:paraId="3898D608" w14:textId="588A1B05" w:rsidR="00283A9B" w:rsidRPr="003E0254" w:rsidRDefault="00283A9B" w:rsidP="00283A9B">
            <w:pPr>
              <w:jc w:val="center"/>
              <w:rPr>
                <w:b/>
                <w:bCs/>
                <w:sz w:val="20"/>
                <w:szCs w:val="20"/>
                <w:u w:val="single"/>
              </w:rPr>
            </w:pPr>
          </w:p>
        </w:tc>
        <w:tc>
          <w:tcPr>
            <w:tcW w:w="737" w:type="pct"/>
            <w:shd w:val="clear" w:color="auto" w:fill="CAEDFB" w:themeFill="accent4" w:themeFillTint="33"/>
            <w:vAlign w:val="center"/>
          </w:tcPr>
          <w:p w14:paraId="5A57D229" w14:textId="477F0D0A" w:rsidR="00283A9B" w:rsidRPr="003E0254" w:rsidRDefault="00283A9B" w:rsidP="00283A9B">
            <w:pPr>
              <w:jc w:val="center"/>
              <w:rPr>
                <w:b/>
                <w:bCs/>
                <w:sz w:val="20"/>
                <w:szCs w:val="20"/>
                <w:u w:val="single"/>
              </w:rPr>
            </w:pPr>
            <w:r w:rsidRPr="003E0254">
              <w:rPr>
                <w:b/>
                <w:bCs/>
                <w:sz w:val="20"/>
                <w:szCs w:val="20"/>
                <w:u w:val="single"/>
              </w:rPr>
              <w:t>Powder</w:t>
            </w:r>
          </w:p>
        </w:tc>
        <w:tc>
          <w:tcPr>
            <w:tcW w:w="770" w:type="pct"/>
            <w:shd w:val="clear" w:color="auto" w:fill="CAEDFB" w:themeFill="accent4" w:themeFillTint="33"/>
            <w:vAlign w:val="center"/>
          </w:tcPr>
          <w:p w14:paraId="76266641" w14:textId="77777777" w:rsidR="00283A9B" w:rsidRPr="003E0254" w:rsidRDefault="00283A9B" w:rsidP="00283A9B">
            <w:pPr>
              <w:jc w:val="center"/>
              <w:rPr>
                <w:b/>
                <w:bCs/>
                <w:sz w:val="20"/>
                <w:szCs w:val="20"/>
                <w:u w:val="single"/>
              </w:rPr>
            </w:pPr>
          </w:p>
        </w:tc>
        <w:tc>
          <w:tcPr>
            <w:tcW w:w="1034" w:type="pct"/>
            <w:shd w:val="clear" w:color="auto" w:fill="CAEDFB" w:themeFill="accent4" w:themeFillTint="33"/>
            <w:vAlign w:val="center"/>
          </w:tcPr>
          <w:p w14:paraId="3A2DB304" w14:textId="77777777" w:rsidR="00283A9B" w:rsidRPr="003E0254" w:rsidRDefault="00283A9B" w:rsidP="00283A9B">
            <w:pPr>
              <w:jc w:val="center"/>
              <w:rPr>
                <w:b/>
                <w:bCs/>
                <w:sz w:val="20"/>
                <w:szCs w:val="20"/>
                <w:u w:val="single"/>
              </w:rPr>
            </w:pPr>
          </w:p>
        </w:tc>
      </w:tr>
      <w:tr w:rsidR="00283A9B" w:rsidRPr="003E0254" w14:paraId="743808E4" w14:textId="77777777" w:rsidTr="0039063F">
        <w:trPr>
          <w:jc w:val="center"/>
        </w:trPr>
        <w:tc>
          <w:tcPr>
            <w:tcW w:w="519" w:type="pct"/>
            <w:vMerge w:val="restart"/>
            <w:shd w:val="clear" w:color="auto" w:fill="92D050"/>
            <w:vAlign w:val="center"/>
          </w:tcPr>
          <w:p w14:paraId="6426F729" w14:textId="77777777" w:rsidR="00283A9B" w:rsidRPr="003E0254" w:rsidRDefault="00283A9B" w:rsidP="00283A9B">
            <w:pPr>
              <w:jc w:val="center"/>
              <w:rPr>
                <w:b/>
                <w:bCs/>
                <w:sz w:val="20"/>
                <w:szCs w:val="20"/>
                <w:u w:val="single"/>
              </w:rPr>
            </w:pPr>
            <w:r w:rsidRPr="003E0254">
              <w:rPr>
                <w:b/>
                <w:bCs/>
                <w:sz w:val="20"/>
                <w:szCs w:val="20"/>
                <w:u w:val="single"/>
              </w:rPr>
              <w:t>(near)-neutral</w:t>
            </w:r>
          </w:p>
          <w:p w14:paraId="75625430" w14:textId="49BD617F" w:rsidR="00283A9B" w:rsidRPr="003E0254" w:rsidRDefault="00DF2831" w:rsidP="00283A9B">
            <w:pPr>
              <w:jc w:val="center"/>
              <w:rPr>
                <w:b/>
                <w:bCs/>
                <w:sz w:val="20"/>
                <w:szCs w:val="20"/>
                <w:u w:val="single"/>
              </w:rPr>
            </w:pPr>
            <w:r w:rsidRPr="003E0254">
              <w:rPr>
                <w:b/>
                <w:bCs/>
                <w:sz w:val="20"/>
                <w:szCs w:val="20"/>
                <w:u w:val="single"/>
              </w:rPr>
              <w:t>5</w:t>
            </w:r>
            <w:r w:rsidR="00283A9B" w:rsidRPr="003E0254">
              <w:rPr>
                <w:b/>
                <w:bCs/>
                <w:sz w:val="20"/>
                <w:szCs w:val="20"/>
                <w:u w:val="single"/>
              </w:rPr>
              <w:t>&lt;pH&lt;10</w:t>
            </w:r>
          </w:p>
        </w:tc>
        <w:tc>
          <w:tcPr>
            <w:tcW w:w="1032" w:type="pct"/>
            <w:shd w:val="clear" w:color="auto" w:fill="92D050"/>
            <w:vAlign w:val="center"/>
          </w:tcPr>
          <w:p w14:paraId="58449F76" w14:textId="2466F3C2" w:rsidR="00283A9B" w:rsidRPr="003E0254" w:rsidRDefault="00283A9B" w:rsidP="00283A9B">
            <w:pPr>
              <w:jc w:val="center"/>
              <w:rPr>
                <w:b/>
                <w:bCs/>
                <w:sz w:val="20"/>
                <w:szCs w:val="20"/>
                <w:u w:val="single"/>
              </w:rPr>
            </w:pPr>
            <w:r w:rsidRPr="003E0254">
              <w:rPr>
                <w:b/>
                <w:bCs/>
                <w:sz w:val="20"/>
                <w:szCs w:val="20"/>
                <w:u w:val="single"/>
              </w:rPr>
              <w:t>NaCl/NH</w:t>
            </w:r>
            <w:r w:rsidRPr="003E0254">
              <w:rPr>
                <w:b/>
                <w:bCs/>
                <w:sz w:val="20"/>
                <w:szCs w:val="20"/>
                <w:u w:val="single"/>
                <w:vertAlign w:val="subscript"/>
              </w:rPr>
              <w:t>4</w:t>
            </w:r>
            <w:r w:rsidRPr="003E0254">
              <w:rPr>
                <w:b/>
                <w:bCs/>
                <w:sz w:val="20"/>
                <w:szCs w:val="20"/>
                <w:u w:val="single"/>
              </w:rPr>
              <w:t>Cl</w:t>
            </w:r>
            <w:r w:rsidRPr="003E0254">
              <w:rPr>
                <w:b/>
                <w:bCs/>
                <w:sz w:val="20"/>
                <w:szCs w:val="20"/>
                <w:u w:val="single"/>
              </w:rPr>
              <w:fldChar w:fldCharType="begin" w:fldLock="1"/>
            </w:r>
            <w:r w:rsidR="00500B8D" w:rsidRPr="003E0254">
              <w:rPr>
                <w:b/>
                <w:bCs/>
                <w:sz w:val="20"/>
                <w:szCs w:val="20"/>
                <w:u w:val="single"/>
              </w:rPr>
              <w:instrText>ADDIN CSL_CITATION {"citationItems":[{"id":"ITEM-1","itemData":{"DOI":"10.1016/J.JPOWSOUR.2016.09.142","ISSN":"0378-7753","abstract":"Neutral chloride-based electrolyte and directly grown manganese oxide on carbon paper are used as the electrolyte and air cathode respectively for rechargeable Zn-air batteries. Oxygen reduction and oxygen evolution reactions on manganese oxide show dependence of activities on the pH of the electrolyte. Zn-air batteries with chloride-based electrolyte and manganese oxide catalyst exhibit satisfactory voltage profile (discharge and charge voltage of 1 and 2 V at 1 mA cm−2) and excellent cycling stability (≈90 days of continuous cycle test), which is attributed to the reduced carbon corrosion on the air cathode and decreased carbonation in neutral electrolyte. This work describes a robust electrolyte system that improves the cycle life of rechargeable Zn-air batteries.","author":[{"dropping-particle":"","family":"Sumboja","given":"Afriyanti","non-dropping-particle":"","parse-names":false,"suffix":""},{"dropping-particle":"","family":"Ge","given":"Xiaoming","non-dropping-particle":"","parse-names":false,"suffix":""},{"dropping-particle":"","family":"Zheng","given":"Guangyuan","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Journal of Power Sources","id":"ITEM-1","issued":{"date-parts":[["2016","11","15"]]},"page":"330-336","publisher":"Elsevier","title":"Durable rechargeable zinc-air batteries with neutral electrolyte and manganese oxide catalyst","type":"article-journal","volume":"332"},"uris":["http://www.mendeley.com/documents/?uuid=5cfc5202-e67b-3cbf-8530-389a40c4e873"]},{"id":"ITEM-2","itemData":{"DOI":"10.1149/2.0311414JES/XML","ISSN":"0013-4651","abstract":"© The Author(s) 2014. Near-neutral electrolytes based on zinc chloride and ammonium chloride are examined for rechargeable zinc-air battery application. The effects of pH value, salt concentration, and polyethylene glycol and thiourea additives are investigated and a chloride electrolyte is developed. The reversible zinc deposition and zinc stripping processes are studied by cyclic voltammetry with rotating-disc electrode technique. The zinc anode and air cathode behaviors in near-neutral chloride electrolyte are characterized by quasi steady-state polarization and impedance spectroscopy. Prototyped zinc-air battery with near-neutral chloride electrolytes can sustain more than 1000 hours and hundreds of discharge-charge cycles with minimized zinc dendrite formation and no carbonate formation problem, under discharge-charge capacity ranging from 20 to 120 mAh. The near-neutral chloride electrolyte provides a safer and more robust alternative to traditional alkaline electrolyte for rechargeable zinc-air batteries.","author":[{"dropping-particle":"","family":"Thomas Goh","given":"F. W.","non-dropping-particle":"","parse-names":false,"suffix":""},{"dropping-particle":"","family":"Liu","given":"Zhaolin","non-dropping-particle":"","parse-names":false,"suffix":""},{"dropping-particle":"","family":"Hor","given":"T. S. Andy","non-dropping-particle":"","parse-names":false,"suffix":""},{"dropping-particle":"","family":"Zhang","given":"Jie","non-dropping-particle":"","parse-names":false,"suffix":""},{"dropping-particle":"","family":"Ge","given":"Xiaoming","non-dropping-particle":"","parse-names":false,"suffix":""},{"dropping-particle":"","family":"Zong","given":"Yun","non-dropping-particle":"","parse-names":false,"suffix":""},{"dropping-particle":"","family":"Yu","given":"Aishui","non-dropping-particle":"","parse-names":false,"suffix":""},{"dropping-particle":"","family":"Khoo","given":"Weiliang","non-dropping-particle":"","parse-names":false,"suffix":""}],"container-title":"Journal of The Electrochemical Society","id":"ITEM-2","issue":"14","issued":{"date-parts":[["2014","10","1"]]},"page":"A2080-A2086","publisher":"The Electrochemical Society","title":"A Near-Neutral Chloride Electrolyte for Electrically Rechargeable Zinc-Air Batteries","type":"article-journal","volume":"161"},"uris":["http://www.mendeley.com/documents/?uuid=875e0f1c-618e-3b73-8919-449fd47029d0"]},{"id":"ITEM-3","itemData":{"DOI":"10.1039/C9TA01190K","ISSN":"2050-7496","abstract":"This paper presents a combined theoretical and experimental investigation of aqueous near-neutral electrolytes based on chloride salts for rechargeable zinc–air batteries (ZABs). The resilience of near-neutral chloride electrolytes in air could extend ZAB lifetime, but theory-based simulations predict that such electrolytes are vulnerable to other challenges including pH instability and the unwanted precipitation of mixed zinc hydroxide chloride products. In this work, we combine theory-based simulations with experimental methods such as full cell cycling, operando pH measurements, ex situ XRD, SEM, and EDS characterization to investigate the performance of ZABs with aqueous chloride electrolytes. The experimental characterization of near-neutral ZAB cells observes the predicted pH instability and confirms the composition of the final discharge products. Steps to promote greater pH stability and control the precipitation of discharge products are proposed.","author":[{"dropping-particle":"","family":"Clark","given":"Simon","non-dropping-particle":"","parse-names":false,"suffix":""},{"dropping-particle":"","family":"Mainar","given":"Aroa R.","non-dropping-particle":"","parse-names":false,"suffix":""},{"dropping-particle":"","family":"Iruin","given":"Elena","non-dropping-particle":"","parse-names":false,"suffix":""},{"dropping-particle":"","family":"Colmenares","given":"Luis C.","non-dropping-particle":"","parse-names":false,"suffix":""},{"dropping-particle":"","family":"Blázquez","given":"J. Alberto","non-dropping-particle":"","parse-names":false,"suffix":""},{"dropping-particle":"","family":"Tolchard","given":"Julian R.","non-dropping-particle":"","parse-names":false,"suffix":""},{"dropping-particle":"","family":"Latz","given":"Arnulf","non-dropping-particle":"","parse-names":false,"suffix":""},{"dropping-particle":"","family":"Horstmann","given":"Birger","non-dropping-particle":"","parse-names":false,"suffix":""}],"container-title":"Journal of Materials Chemistry A","id":"ITEM-3","issue":"18","issued":{"date-parts":[["2019","5","7"]]},"page":"11387-11399","publisher":"The Royal Society of Chemistry","title":"Towards rechargeable zinc–air batteries with aqueous chloride electrolytes","type":"article-journal","volume":"7"},"uris":["http://www.mendeley.com/documents/?uuid=6bb93f4f-1377-3c4e-99f3-f3b977fdc5ff"]},{"id":"ITEM-4","itemData":{"DOI":"10.1002/BATT.202100116","ISSN":"2566-6223","abstract":"The influence of ethylenediaminetetraacetic acid (EDTA) electrolyte additive on the performance of Zn−air batteries with near-neutral chloride-based electrolytes was examined for primary and secondary batteries. The electrochemical measurements indicated that Zn is not completely active in neat 2 M NaCl, but still could be discharged up to 1 mA cm−2 around −1.0 VAg/AgCl. The characterization of the Zn surfaces revealed the existence of a passive film consisting of Simonkolleite, Zn(OH)2, and/or ZnO. The EDTA additive enhanced the discharge voltages by 200 mV to −1.2 VAg/AgCl indicating an active Zn surface. The effect of EDTA is explained by its chelation abilities with Zn2+ before formation of hydroxide or oxide species. The Zn−air cells with EDTA were operated up to 930 h with specific energies up to 840 Wh kgZn−1. The cells could also be cycled up to 70 cycles while providing enhanced discharge voltages at 1.15 V over 50 cycles. The positive effect of EDTA is dependent on the amount of free EDTA molecules. Nevertheless, the Zn−air cells showed better performance in terms of higher discharge voltage, discharge energies, and lower overpotentials in presence of EDTA.","author":[{"dropping-particle":"","family":"Montiel Guerrero","given":"Saul Said","non-dropping-particle":"","parse-names":false,"suffix":""},{"dropping-particle":"","family":"Durmus","given":"Yasin Emre","non-dropping-particle":"","parse-names":false,"suffix":""},{"dropping-particle":"","family":"Dzieciol","given":"Krzysztof","non-dropping-particle":"","parse-names":false,"suffix":""},{"dropping-particle":"","family":"Basak","given":"Shibabrata","non-dropping-particle":"","parse-names":false,"suffix":""},{"dropping-particle":"","family":"Tempel","given":"Hermann","non-dropping-particle":"","parse-names":false,"suffix":""},{"dropping-particle":"","family":"Waasen","given":"Stefan","non-dropping-particle":"van","parse-names":false,"suffix":""},{"dropping-particle":"","family":"Kungl","given":"Hans","non-dropping-particle":"","parse-names":false,"suffix":""},{"dropping-particle":"","family":"Eichel","given":"Rüdiger A.","non-dropping-particle":"","parse-names":false,"suffix":""}],"container-title":"Batteries &amp; Supercaps","id":"ITEM-4","issue":"12","issued":{"date-parts":[["2021","12","1"]]},"page":"1830-1842","publisher":"John Wiley &amp; Sons, Ltd","title":"Improved Electrochemical Performance of Zinc Anodes by EDTA in Near-Neutral Zinc−Air Batteries","type":"article-journal","volume":"4"},"uris":["http://www.mendeley.com/documents/?uuid=a8bf7973-3c13-39ce-b768-1cd5fca88b31"]},{"id":"ITEM-5","itemData":{"DOI":"10.1016/J.ENCHEM.2021.100055","ISSN":"2589-7780","abstract":"Rechargeable zinc-air batteries (R-ZABs) are attractive for many essential energy storage applications – from portable electronics, electric vehicles to incorporation of renewable energy due to their high energy storage density, abundant raw materials, and inherent safety. However, alkaline electrolytes cause critical obstacles in realizing a long battery life. Thus, neutral electrolytes are attracting growing interest. However, the current understandings of R-ZABs in neutral/near-neutral electrolytes are far behind those in alkaline electrolytes. This review summarizes the latest research progress of neutral electrolytes used in R-ZABs, including aqueous inorganic and organic salt solutions, water-in-salt electrolytes, and quasi-solid electrolytes based on polymer hydrogels. Research efforts in improving the stability of Zn anodes in neutral electrolytes are also reviewed. Reaction mechanisms of oxygen reduction and evolution reactions in alkaline and neutral electrolytes are compared in the context of R-ZABs, together with a summary of potential oxygen electrocatalysts applicable in neutral conditions. Different device configurations are introduced. We further provide our perspectives on future research directions of R-ZABs with neutral electrolytes.","author":[{"dropping-particle":"","family":"Wang","given":"Cheng","non-dropping-particle":"","parse-names":false,"suffix":""},{"dropping-particle":"","family":"Li","given":"Jing","non-dropping-particle":"","parse-names":false,"suffix":""},{"dropping-particle":"","family":"Zhou","given":"Zheng","non-dropping-particle":"","parse-names":false,"suffix":""},{"dropping-particle":"","family":"Pan","given":"Yuqi","non-dropping-particle":"","parse-names":false,"suffix":""},{"dropping-particle":"","family":"Yu","given":"Zixun","non-dropping-particle":"","parse-names":false,"suffix":""},{"dropping-particle":"","family":"Pei","given":"Zengxia","non-dropping-particle":"","parse-names":false,"suffix":""},{"dropping-particle":"","family":"Zhao","given":"Shenlong","non-dropping-particle":"","parse-names":false,"suffix":""},{"dropping-particle":"","family":"Wei","given":"Li","non-dropping-particle":"","parse-names":false,"suffix":""},{"dropping-particle":"","family":"Chen","given":"Yuan","non-dropping-particle":"","parse-names":false,"suffix":""}],"container-title":"EnergyChem","id":"ITEM-5","issue":"4","issued":{"date-parts":[["2021","7","1"]]},"page":"100055","publisher":"Elsevier","title":"Rechargeable zinc-air batteries with neutral electrolytes: Recent advances, challenges, and prospects","type":"article-journal","volume":"3"},"uris":["http://www.mendeley.com/documents/?uuid=abc7e9b2-f42d-357f-8611-2ac1e3509fa7"]},{"id":"ITEM-6","itemData":{"DOI":"10.3389/fchem.2019.00800","ISSN":"22962646","abstract":"© Copyright © 2019 Durmus, Montiel Guerrero, Tempel, Hausen, Kungl and Eichel. Zn alloy electrodes containing 10 wt. % Al were prepared to examine the applicability as anodes in primary Zn–air batteries with neutral 2M NaCl electrolyte. These electrodes were investigated by electrochemical measurements and microscopic techniques (SEM, LSM, AFM). Based on the cyclic voltammetry and intermediate term (24 h) discharge experiments, the only active element in the as-prepared alloy was found to be Zn. It was further confirmed by LSM that Zn rich areas dissolved while Al remained passive during discharge. The passive state of Al was also demonstrated by conductive AFM investigations on the as-cast alloy surfaces. The results on potentiodynamic polarization and weight loss measurements indicated that the alloy electrode was less prone to corrosion than pure Zn electrode. The electrochemical behavior of the electrodes was modified under certain cathodic polarization previous to measurements. Accordingly, originating from Al activation due to application of cathodic potentials, potentiodynamic polarization studies showed a clear shift on the corrosion potentials of the alloy toward more negative values. On the basis of these results, with the precondition of Al activation prior to discharge experiments, the effect of Al alloying on the Zn electrodes was revealed as temporarily enhanced potentials on the discharge profiles in comparison to pure Zn electrodes.","author":[{"dropping-particle":"","family":"Durmus","given":"Y.E.","non-dropping-particle":"","parse-names":false,"suffix":""},{"dropping-particle":"","family":"Montiel Guerrero","given":"S.S.","non-dropping-particle":"","parse-names":false,"suffix":""},{"dropping-particle":"","family":"Tempel","given":"H.","non-dropping-particle":"","parse-names":false,"suffix":""},{"dropping-particle":"","family":"Hausen","given":"F.","non-dropping-particle":"","parse-names":false,"suffix":""},{"dropping-particle":"","family":"Kungl","given":"H.","non-dropping-particle":"","parse-names":false,"suffix":""},{"dropping-particle":"","family":"Eichel","given":"R.-A.","non-dropping-particle":"","parse-names":false,"suffix":""}],"container-title":"Frontiers in Chemistry","id":"ITEM-6","issued":{"date-parts":[["2019"]]},"title":"Influence of Al Alloying on the Electrochemical Behavior of Zn Electrodes for Zn–Air Batteries With Neutral Sodium Chloride Electrolyte","type":"article-journal","volume":"7"},"uris":["http://www.mendeley.com/documents/?uuid=30a7d44f-9f22-3fd4-b6d7-f2b1ea1c002a"]}],"mendeley":{"formattedCitation":"&lt;sup&gt;[177,178,217–220]&lt;/sup&gt;","plainTextFormattedCitation":"[177,178,217–220]","previouslyFormattedCitation":"&lt;sup&gt;[176,177,216–219]&lt;/sup&gt;"},"properties":{"noteIndex":0},"schema":"https://github.com/citation-style-language/schema/raw/master/csl-citation.json"}</w:instrText>
            </w:r>
            <w:r w:rsidRPr="003E0254">
              <w:rPr>
                <w:b/>
                <w:bCs/>
                <w:sz w:val="20"/>
                <w:szCs w:val="20"/>
                <w:u w:val="single"/>
              </w:rPr>
              <w:fldChar w:fldCharType="separate"/>
            </w:r>
            <w:r w:rsidR="00500B8D" w:rsidRPr="003E0254">
              <w:rPr>
                <w:bCs/>
                <w:noProof/>
                <w:sz w:val="20"/>
                <w:szCs w:val="20"/>
                <w:vertAlign w:val="superscript"/>
              </w:rPr>
              <w:t>[177,178,217–220]</w:t>
            </w:r>
            <w:r w:rsidRPr="003E0254">
              <w:rPr>
                <w:b/>
                <w:bCs/>
                <w:sz w:val="20"/>
                <w:szCs w:val="20"/>
                <w:u w:val="single"/>
              </w:rPr>
              <w:fldChar w:fldCharType="end"/>
            </w:r>
          </w:p>
        </w:tc>
        <w:tc>
          <w:tcPr>
            <w:tcW w:w="909" w:type="pct"/>
            <w:vMerge w:val="restart"/>
            <w:shd w:val="clear" w:color="auto" w:fill="92D050"/>
            <w:vAlign w:val="center"/>
          </w:tcPr>
          <w:p w14:paraId="5BA64C9B" w14:textId="453B7026" w:rsidR="00283A9B" w:rsidRPr="003E0254" w:rsidRDefault="00283A9B" w:rsidP="00283A9B">
            <w:pPr>
              <w:jc w:val="center"/>
              <w:rPr>
                <w:b/>
                <w:bCs/>
                <w:sz w:val="20"/>
                <w:szCs w:val="20"/>
                <w:u w:val="single"/>
              </w:rPr>
            </w:pPr>
          </w:p>
        </w:tc>
        <w:tc>
          <w:tcPr>
            <w:tcW w:w="737" w:type="pct"/>
            <w:vMerge w:val="restart"/>
            <w:shd w:val="clear" w:color="auto" w:fill="92D050"/>
            <w:vAlign w:val="center"/>
          </w:tcPr>
          <w:p w14:paraId="15D5AEE0" w14:textId="576719DD" w:rsidR="00283A9B" w:rsidRPr="003E0254" w:rsidRDefault="00283A9B" w:rsidP="00283A9B">
            <w:pPr>
              <w:jc w:val="center"/>
              <w:rPr>
                <w:b/>
                <w:bCs/>
                <w:sz w:val="20"/>
                <w:szCs w:val="20"/>
                <w:u w:val="single"/>
              </w:rPr>
            </w:pPr>
            <w:r w:rsidRPr="003E0254">
              <w:rPr>
                <w:b/>
                <w:bCs/>
                <w:sz w:val="20"/>
                <w:szCs w:val="20"/>
                <w:u w:val="single"/>
              </w:rPr>
              <w:t>Planar Zn</w:t>
            </w:r>
          </w:p>
        </w:tc>
        <w:tc>
          <w:tcPr>
            <w:tcW w:w="770" w:type="pct"/>
            <w:shd w:val="clear" w:color="auto" w:fill="92D050"/>
            <w:vAlign w:val="center"/>
          </w:tcPr>
          <w:p w14:paraId="41A295AD" w14:textId="77777777" w:rsidR="00283A9B" w:rsidRPr="003E0254" w:rsidRDefault="00283A9B" w:rsidP="00283A9B">
            <w:pPr>
              <w:jc w:val="center"/>
              <w:rPr>
                <w:b/>
                <w:bCs/>
                <w:sz w:val="20"/>
                <w:szCs w:val="20"/>
                <w:u w:val="single"/>
              </w:rPr>
            </w:pPr>
          </w:p>
        </w:tc>
        <w:tc>
          <w:tcPr>
            <w:tcW w:w="1034" w:type="pct"/>
            <w:shd w:val="clear" w:color="auto" w:fill="92D050"/>
            <w:vAlign w:val="center"/>
          </w:tcPr>
          <w:p w14:paraId="1554E092" w14:textId="77777777" w:rsidR="00283A9B" w:rsidRPr="003E0254" w:rsidRDefault="00283A9B" w:rsidP="00283A9B">
            <w:pPr>
              <w:jc w:val="center"/>
              <w:rPr>
                <w:b/>
                <w:bCs/>
                <w:sz w:val="20"/>
                <w:szCs w:val="20"/>
                <w:u w:val="single"/>
              </w:rPr>
            </w:pPr>
          </w:p>
        </w:tc>
      </w:tr>
      <w:tr w:rsidR="00283A9B" w:rsidRPr="003E0254" w14:paraId="5E703921" w14:textId="77777777" w:rsidTr="0039063F">
        <w:trPr>
          <w:jc w:val="center"/>
        </w:trPr>
        <w:tc>
          <w:tcPr>
            <w:tcW w:w="519" w:type="pct"/>
            <w:vMerge/>
            <w:shd w:val="clear" w:color="auto" w:fill="92D050"/>
            <w:vAlign w:val="center"/>
          </w:tcPr>
          <w:p w14:paraId="24BA1A73" w14:textId="77777777" w:rsidR="00283A9B" w:rsidRPr="003E0254" w:rsidRDefault="00283A9B" w:rsidP="007043D0">
            <w:pPr>
              <w:jc w:val="center"/>
              <w:rPr>
                <w:b/>
                <w:bCs/>
                <w:sz w:val="20"/>
                <w:szCs w:val="20"/>
                <w:u w:val="single"/>
              </w:rPr>
            </w:pPr>
          </w:p>
        </w:tc>
        <w:tc>
          <w:tcPr>
            <w:tcW w:w="1032" w:type="pct"/>
            <w:shd w:val="clear" w:color="auto" w:fill="92D050"/>
            <w:vAlign w:val="center"/>
          </w:tcPr>
          <w:p w14:paraId="12957EEE" w14:textId="2CA79485" w:rsidR="00283A9B" w:rsidRPr="003E0254" w:rsidRDefault="00283A9B" w:rsidP="007043D0">
            <w:pPr>
              <w:jc w:val="center"/>
              <w:rPr>
                <w:b/>
                <w:bCs/>
                <w:sz w:val="20"/>
                <w:szCs w:val="20"/>
                <w:u w:val="single"/>
              </w:rPr>
            </w:pPr>
          </w:p>
        </w:tc>
        <w:tc>
          <w:tcPr>
            <w:tcW w:w="909" w:type="pct"/>
            <w:vMerge/>
            <w:shd w:val="clear" w:color="auto" w:fill="92D050"/>
            <w:vAlign w:val="center"/>
          </w:tcPr>
          <w:p w14:paraId="0C331913" w14:textId="77777777" w:rsidR="00283A9B" w:rsidRPr="003E0254" w:rsidRDefault="00283A9B" w:rsidP="007043D0">
            <w:pPr>
              <w:jc w:val="center"/>
              <w:rPr>
                <w:b/>
                <w:bCs/>
                <w:sz w:val="20"/>
                <w:szCs w:val="20"/>
                <w:u w:val="single"/>
              </w:rPr>
            </w:pPr>
          </w:p>
        </w:tc>
        <w:tc>
          <w:tcPr>
            <w:tcW w:w="737" w:type="pct"/>
            <w:vMerge/>
            <w:shd w:val="clear" w:color="auto" w:fill="92D050"/>
            <w:vAlign w:val="center"/>
          </w:tcPr>
          <w:p w14:paraId="1F55B29D" w14:textId="77777777" w:rsidR="00283A9B" w:rsidRPr="003E0254" w:rsidRDefault="00283A9B" w:rsidP="007043D0">
            <w:pPr>
              <w:jc w:val="center"/>
              <w:rPr>
                <w:b/>
                <w:bCs/>
                <w:sz w:val="20"/>
                <w:szCs w:val="20"/>
                <w:u w:val="single"/>
              </w:rPr>
            </w:pPr>
          </w:p>
        </w:tc>
        <w:tc>
          <w:tcPr>
            <w:tcW w:w="770" w:type="pct"/>
            <w:shd w:val="clear" w:color="auto" w:fill="92D050"/>
            <w:vAlign w:val="center"/>
          </w:tcPr>
          <w:p w14:paraId="35B1FA2B" w14:textId="77777777" w:rsidR="00283A9B" w:rsidRPr="003E0254" w:rsidRDefault="00283A9B" w:rsidP="007043D0">
            <w:pPr>
              <w:jc w:val="center"/>
              <w:rPr>
                <w:b/>
                <w:bCs/>
                <w:sz w:val="20"/>
                <w:szCs w:val="20"/>
                <w:u w:val="single"/>
              </w:rPr>
            </w:pPr>
          </w:p>
        </w:tc>
        <w:tc>
          <w:tcPr>
            <w:tcW w:w="1034" w:type="pct"/>
            <w:shd w:val="clear" w:color="auto" w:fill="92D050"/>
            <w:vAlign w:val="center"/>
          </w:tcPr>
          <w:p w14:paraId="07D701E4" w14:textId="77777777" w:rsidR="00283A9B" w:rsidRPr="003E0254" w:rsidRDefault="00283A9B" w:rsidP="007043D0">
            <w:pPr>
              <w:jc w:val="center"/>
              <w:rPr>
                <w:b/>
                <w:bCs/>
                <w:sz w:val="20"/>
                <w:szCs w:val="20"/>
                <w:u w:val="single"/>
              </w:rPr>
            </w:pPr>
          </w:p>
        </w:tc>
      </w:tr>
      <w:tr w:rsidR="00283A9B" w:rsidRPr="003E0254" w14:paraId="5FAB9D09" w14:textId="77777777" w:rsidTr="0039063F">
        <w:trPr>
          <w:jc w:val="center"/>
        </w:trPr>
        <w:tc>
          <w:tcPr>
            <w:tcW w:w="519" w:type="pct"/>
            <w:vMerge/>
            <w:shd w:val="clear" w:color="auto" w:fill="92D050"/>
            <w:vAlign w:val="center"/>
          </w:tcPr>
          <w:p w14:paraId="124C94C3" w14:textId="77777777" w:rsidR="00283A9B" w:rsidRPr="003E0254" w:rsidRDefault="00283A9B" w:rsidP="007043D0">
            <w:pPr>
              <w:jc w:val="center"/>
              <w:rPr>
                <w:b/>
                <w:bCs/>
                <w:sz w:val="20"/>
                <w:szCs w:val="20"/>
                <w:u w:val="single"/>
              </w:rPr>
            </w:pPr>
          </w:p>
        </w:tc>
        <w:tc>
          <w:tcPr>
            <w:tcW w:w="1032" w:type="pct"/>
            <w:shd w:val="clear" w:color="auto" w:fill="92D050"/>
            <w:vAlign w:val="center"/>
          </w:tcPr>
          <w:p w14:paraId="1EF3B44A" w14:textId="3BEE5BB4" w:rsidR="00283A9B" w:rsidRPr="003E0254" w:rsidRDefault="00283A9B" w:rsidP="007043D0">
            <w:pPr>
              <w:jc w:val="center"/>
              <w:rPr>
                <w:b/>
                <w:bCs/>
                <w:sz w:val="20"/>
                <w:szCs w:val="20"/>
                <w:u w:val="single"/>
              </w:rPr>
            </w:pPr>
            <w:r w:rsidRPr="003E0254">
              <w:rPr>
                <w:b/>
                <w:bCs/>
                <w:sz w:val="20"/>
                <w:szCs w:val="20"/>
                <w:u w:val="single"/>
              </w:rPr>
              <w:t>Others</w:t>
            </w:r>
            <w:r w:rsidRPr="003E0254">
              <w:rPr>
                <w:b/>
                <w:bCs/>
                <w:sz w:val="20"/>
                <w:szCs w:val="20"/>
                <w:u w:val="single"/>
              </w:rPr>
              <w:fldChar w:fldCharType="begin" w:fldLock="1"/>
            </w:r>
            <w:r w:rsidR="00500B8D" w:rsidRPr="003E0254">
              <w:rPr>
                <w:b/>
                <w:bCs/>
                <w:sz w:val="20"/>
                <w:szCs w:val="20"/>
                <w:u w:val="single"/>
              </w:rPr>
              <w:instrText>ADDIN CSL_CITATION {"citationItems":[{"id":"ITEM-1","itemData":{"DOI":"10.1002/AENM.201903470","ISSN":"1614-6840","abstract":"Aqueous zinc–air batteries (ZABs) are a low-cost, safe, and sustainable technology for stationary energy storage. ZABs with pH-buffered near-neutral electrolytes have the potential for longer lifetime compared to traditional alkaline ZABs due to the slower absorption of carbonates at nonalkaline pH values. However, existing near-neutral electrolytes often contain halide salts, which are corrosive and threaten the precipitation of ZnO as the dominant discharge product. This paper presents a method for designing halide-free aqueous ZAB electrolytes using thermodynamic descriptors to computationally screen components. The dynamic performance of a ZAB with one possible halide-free aqueous electrolyte based on organic salts is simulated using an advanced method of continuum modeling, and the results are validated by experiments. X-ray diffraction, scanning electron microscopy, and energy dispersive X-ray spectroscopy measurements of Zn electrodes show that ZnO is the dominant discharge product, and operando pH measurements confirm the stability of the electrolyte pH during cell cycling. Long-term full cell cycling tests are performed, and rotating ring disk electrode measurements elucidate the mechanism of oxygen reduction reaction and oxygen evolution reaction. The analysis shows that aqueous electrolytes containing organic salts could be a promising field of research for zinc-based batteries, due to their Zn2+ chelating and pH buffering properties. The remaining challenges including the electrochemical stability of the electrolyte components are discussed.","author":[{"dropping-particle":"","family":"Clark","given":"Simon","non-dropping-particle":"","parse-names":false,"suffix":""},{"dropping-particle":"","family":"Mainar","given":"Aroa Ramos","non-dropping-particle":"","parse-names":false,"suffix":""},{"dropping-particle":"","family":"Iruin","given":"Elena","non-dropping-particle":"","parse-names":false,"suffix":""},{"dropping-particle":"","family":"Colmenares","given":"Luis César","non-dropping-particle":"","parse-names":false,"suffix":""},{"dropping-particle":"","family":"Blázquez","given":"Jose Alberto","non-dropping-particle":"","parse-names":false,"suffix":""},{"dropping-particle":"","family":"Tolchard","given":"Julian Richard","non-dropping-particle":"","parse-names":false,"suffix":""},{"dropping-particle":"","family":"Jusys","given":"Zenonas","non-dropping-particle":"","parse-names":false,"suffix":""},{"dropping-particle":"","family":"Horstmann","given":"Birger","non-dropping-particle":"","parse-names":false,"suffix":""}],"container-title":"Advanced Energy Materials","id":"ITEM-1","issue":"10","issued":{"date-parts":[["2020","3","1"]]},"page":"1903470","publisher":"John Wiley &amp; Sons, Ltd","title":"Designing Aqueous Organic Electrolytes for Zinc–Air Batteries: Method, Simulation, and Validation","type":"article-journal","volume":"10"},"uris":["http://www.mendeley.com/documents/?uuid=a636385c-9c11-3f7b-96e1-e8e665f8c145"]},{"id":"ITEM-2","itemData":{"DOI":"10.1016/J.JPOWSOUR.2022.231173","ISSN":"0378-7753","abstract":"Zinc (Zn) based metal-air battery has been considered as one of promising candidates for the next-generation batteries due to its high theoretical specific capacity and abundant reserve. However, Zn electrode is susceptible to dendrite growth and corrosion depravation in the long cycling process, causing capacity decline and short lifespan. Herein, a novel zinc-stannum (Zn–Sn) alloy electrode has been facilely prepared through powder sintering technology to restrain the dendrite growing and promote the corrosion resistance. Compared with pure Zn foil electrode, the optimized Zn–Sn10 alloy electrode exhibited a lower voltage hysteresis of 119 mV and a better topography with non-dendrite after cycling 400 h at 0.5 mA cm−2. Meanwhile, the Zn corrosion resistance in alkaline electrolyte has been significantly improved. Theoretical calculations also account for these superiorities by the uniform charge distribution in the superficial ZnSn layer. As a result, the assembled Zn-air battery based on Zn–Sn alloy anode electrode showed satisfactory power density, rate properties and cycling life. This research provides a facile and cost-efficient strategy to stabilize Zn anode and holds great promise in developing high-performance rechargeable Zn-based battery energy systems.","author":[{"dropping-particle":"","family":"Peng","given":"Yumeng","non-dropping-particle":"","parse-names":false,"suffix":""},{"dropping-particle":"","family":"Lai","given":"Changang","non-dropping-particle":"","parse-names":false,"suffix":""},{"dropping-particle":"","family":"Zhang","given":"Ming","non-dropping-particle":"","parse-names":false,"suffix":""},{"dropping-particle":"","family":"Liu","given":"Xianbin","non-dropping-particle":"","parse-names":false,"suffix":""},{"dropping-particle":"","family":"Yin","given":"Yanhong","non-dropping-particle":"","parse-names":false,"suffix":""},{"dropping-particle":"","family":"Li","given":"Yesheng","non-dropping-particle":"","parse-names":false,"suffix":""},{"dropping-particle":"","family":"Wu","given":"Ziping","non-dropping-particle":"","parse-names":false,"suffix":""}],"container-title":"Journal of Power Sources","id":"ITEM-2","issued":{"date-parts":[["2022","4","1"]]},"page":"231173","publisher":"Elsevier","title":"Zn–Sn alloy anode with repressible dendrite grown and meliorative corrosion resistance for Zn-air battery","type":"article-journal","volume":"526"},"uris":["http://www.mendeley.com/documents/?uuid=c2eb49fa-18b1-3d51-8502-b41b0a6d2815"]}],"mendeley":{"formattedCitation":"&lt;sup&gt;[39,221]&lt;/sup&gt;","plainTextFormattedCitation":"[39,221]","previouslyFormattedCitation":"&lt;sup&gt;[39,220]&lt;/sup&gt;"},"properties":{"noteIndex":0},"schema":"https://github.com/citation-style-language/schema/raw/master/csl-citation.json"}</w:instrText>
            </w:r>
            <w:r w:rsidRPr="003E0254">
              <w:rPr>
                <w:b/>
                <w:bCs/>
                <w:sz w:val="20"/>
                <w:szCs w:val="20"/>
                <w:u w:val="single"/>
              </w:rPr>
              <w:fldChar w:fldCharType="separate"/>
            </w:r>
            <w:r w:rsidR="00500B8D" w:rsidRPr="003E0254">
              <w:rPr>
                <w:bCs/>
                <w:noProof/>
                <w:sz w:val="20"/>
                <w:szCs w:val="20"/>
                <w:vertAlign w:val="superscript"/>
              </w:rPr>
              <w:t>[39,221]</w:t>
            </w:r>
            <w:r w:rsidRPr="003E0254">
              <w:rPr>
                <w:b/>
                <w:bCs/>
                <w:sz w:val="20"/>
                <w:szCs w:val="20"/>
                <w:u w:val="single"/>
              </w:rPr>
              <w:fldChar w:fldCharType="end"/>
            </w:r>
          </w:p>
        </w:tc>
        <w:tc>
          <w:tcPr>
            <w:tcW w:w="909" w:type="pct"/>
            <w:vMerge/>
            <w:shd w:val="clear" w:color="auto" w:fill="92D050"/>
            <w:vAlign w:val="center"/>
          </w:tcPr>
          <w:p w14:paraId="06583E3F" w14:textId="77777777" w:rsidR="00283A9B" w:rsidRPr="003E0254" w:rsidRDefault="00283A9B" w:rsidP="007043D0">
            <w:pPr>
              <w:jc w:val="center"/>
              <w:rPr>
                <w:b/>
                <w:bCs/>
                <w:sz w:val="20"/>
                <w:szCs w:val="20"/>
                <w:u w:val="single"/>
              </w:rPr>
            </w:pPr>
          </w:p>
        </w:tc>
        <w:tc>
          <w:tcPr>
            <w:tcW w:w="737" w:type="pct"/>
            <w:vMerge/>
            <w:shd w:val="clear" w:color="auto" w:fill="92D050"/>
            <w:vAlign w:val="center"/>
          </w:tcPr>
          <w:p w14:paraId="0258B5AE" w14:textId="77777777" w:rsidR="00283A9B" w:rsidRPr="003E0254" w:rsidRDefault="00283A9B" w:rsidP="007043D0">
            <w:pPr>
              <w:jc w:val="center"/>
              <w:rPr>
                <w:b/>
                <w:bCs/>
                <w:sz w:val="20"/>
                <w:szCs w:val="20"/>
                <w:u w:val="single"/>
              </w:rPr>
            </w:pPr>
          </w:p>
        </w:tc>
        <w:tc>
          <w:tcPr>
            <w:tcW w:w="770" w:type="pct"/>
            <w:shd w:val="clear" w:color="auto" w:fill="92D050"/>
            <w:vAlign w:val="center"/>
          </w:tcPr>
          <w:p w14:paraId="203E8FEE" w14:textId="77777777" w:rsidR="00283A9B" w:rsidRPr="003E0254" w:rsidRDefault="00283A9B" w:rsidP="007043D0">
            <w:pPr>
              <w:jc w:val="center"/>
              <w:rPr>
                <w:b/>
                <w:bCs/>
                <w:sz w:val="20"/>
                <w:szCs w:val="20"/>
                <w:u w:val="single"/>
              </w:rPr>
            </w:pPr>
          </w:p>
        </w:tc>
        <w:tc>
          <w:tcPr>
            <w:tcW w:w="1034" w:type="pct"/>
            <w:shd w:val="clear" w:color="auto" w:fill="92D050"/>
            <w:vAlign w:val="center"/>
          </w:tcPr>
          <w:p w14:paraId="1B246E63" w14:textId="77777777" w:rsidR="00283A9B" w:rsidRPr="003E0254" w:rsidRDefault="00283A9B" w:rsidP="007043D0">
            <w:pPr>
              <w:jc w:val="center"/>
              <w:rPr>
                <w:b/>
                <w:bCs/>
                <w:sz w:val="20"/>
                <w:szCs w:val="20"/>
                <w:u w:val="single"/>
              </w:rPr>
            </w:pPr>
          </w:p>
        </w:tc>
      </w:tr>
      <w:tr w:rsidR="00283A9B" w:rsidRPr="003E0254" w14:paraId="613DCF7B" w14:textId="77777777" w:rsidTr="0039063F">
        <w:trPr>
          <w:jc w:val="center"/>
        </w:trPr>
        <w:tc>
          <w:tcPr>
            <w:tcW w:w="519" w:type="pct"/>
            <w:vMerge/>
            <w:shd w:val="clear" w:color="auto" w:fill="92D050"/>
            <w:vAlign w:val="center"/>
          </w:tcPr>
          <w:p w14:paraId="55B450A3" w14:textId="77777777" w:rsidR="00283A9B" w:rsidRPr="003E0254" w:rsidRDefault="00283A9B" w:rsidP="007043D0">
            <w:pPr>
              <w:jc w:val="center"/>
              <w:rPr>
                <w:b/>
                <w:bCs/>
                <w:sz w:val="20"/>
                <w:szCs w:val="20"/>
                <w:u w:val="single"/>
              </w:rPr>
            </w:pPr>
          </w:p>
        </w:tc>
        <w:tc>
          <w:tcPr>
            <w:tcW w:w="1032" w:type="pct"/>
            <w:shd w:val="clear" w:color="auto" w:fill="92D050"/>
            <w:vAlign w:val="center"/>
          </w:tcPr>
          <w:p w14:paraId="01866C6A" w14:textId="160BE23D" w:rsidR="00283A9B" w:rsidRPr="003E0254" w:rsidRDefault="00283A9B" w:rsidP="007043D0">
            <w:pPr>
              <w:jc w:val="center"/>
              <w:rPr>
                <w:b/>
                <w:bCs/>
                <w:sz w:val="20"/>
                <w:szCs w:val="20"/>
                <w:u w:val="single"/>
              </w:rPr>
            </w:pPr>
          </w:p>
        </w:tc>
        <w:tc>
          <w:tcPr>
            <w:tcW w:w="909" w:type="pct"/>
            <w:vMerge/>
            <w:shd w:val="clear" w:color="auto" w:fill="92D050"/>
            <w:vAlign w:val="center"/>
          </w:tcPr>
          <w:p w14:paraId="1CF9C0E7" w14:textId="77777777" w:rsidR="00283A9B" w:rsidRPr="003E0254" w:rsidRDefault="00283A9B" w:rsidP="007043D0">
            <w:pPr>
              <w:jc w:val="center"/>
              <w:rPr>
                <w:b/>
                <w:bCs/>
                <w:sz w:val="20"/>
                <w:szCs w:val="20"/>
                <w:u w:val="single"/>
              </w:rPr>
            </w:pPr>
          </w:p>
        </w:tc>
        <w:tc>
          <w:tcPr>
            <w:tcW w:w="737" w:type="pct"/>
            <w:vMerge/>
            <w:shd w:val="clear" w:color="auto" w:fill="92D050"/>
            <w:vAlign w:val="center"/>
          </w:tcPr>
          <w:p w14:paraId="346A1FB5" w14:textId="77777777" w:rsidR="00283A9B" w:rsidRPr="003E0254" w:rsidRDefault="00283A9B" w:rsidP="007043D0">
            <w:pPr>
              <w:jc w:val="center"/>
              <w:rPr>
                <w:b/>
                <w:bCs/>
                <w:sz w:val="20"/>
                <w:szCs w:val="20"/>
                <w:u w:val="single"/>
              </w:rPr>
            </w:pPr>
          </w:p>
        </w:tc>
        <w:tc>
          <w:tcPr>
            <w:tcW w:w="770" w:type="pct"/>
            <w:shd w:val="clear" w:color="auto" w:fill="92D050"/>
            <w:vAlign w:val="center"/>
          </w:tcPr>
          <w:p w14:paraId="664F3429" w14:textId="77777777" w:rsidR="00283A9B" w:rsidRPr="003E0254" w:rsidRDefault="00283A9B" w:rsidP="007043D0">
            <w:pPr>
              <w:jc w:val="center"/>
              <w:rPr>
                <w:b/>
                <w:bCs/>
                <w:sz w:val="20"/>
                <w:szCs w:val="20"/>
                <w:u w:val="single"/>
              </w:rPr>
            </w:pPr>
          </w:p>
        </w:tc>
        <w:tc>
          <w:tcPr>
            <w:tcW w:w="1034" w:type="pct"/>
            <w:shd w:val="clear" w:color="auto" w:fill="92D050"/>
            <w:vAlign w:val="center"/>
          </w:tcPr>
          <w:p w14:paraId="07910372" w14:textId="77777777" w:rsidR="00283A9B" w:rsidRPr="003E0254" w:rsidRDefault="00283A9B" w:rsidP="007043D0">
            <w:pPr>
              <w:jc w:val="center"/>
              <w:rPr>
                <w:b/>
                <w:bCs/>
                <w:sz w:val="20"/>
                <w:szCs w:val="20"/>
                <w:u w:val="single"/>
              </w:rPr>
            </w:pPr>
          </w:p>
        </w:tc>
      </w:tr>
      <w:bookmarkEnd w:id="8"/>
    </w:tbl>
    <w:p w14:paraId="277AC3B0" w14:textId="77777777" w:rsidR="00B53C39" w:rsidRPr="003E0254" w:rsidRDefault="00B53C39">
      <w:pPr>
        <w:spacing w:line="276" w:lineRule="auto"/>
      </w:pPr>
    </w:p>
    <w:p w14:paraId="2BB1F91A" w14:textId="5AEFAB9A" w:rsidR="00B53C39" w:rsidRPr="003E0254" w:rsidRDefault="00DA35C9">
      <w:pPr>
        <w:pStyle w:val="berschrift4"/>
        <w:spacing w:line="276" w:lineRule="auto"/>
        <w:rPr>
          <w:b/>
          <w:bCs/>
          <w:i w:val="0"/>
          <w:iCs w:val="0"/>
        </w:rPr>
      </w:pPr>
      <w:r w:rsidRPr="003E0254">
        <w:rPr>
          <w:b/>
          <w:bCs/>
          <w:i w:val="0"/>
          <w:iCs w:val="0"/>
        </w:rPr>
        <w:t>2.</w:t>
      </w:r>
      <w:r w:rsidR="003E4F58" w:rsidRPr="003E0254">
        <w:rPr>
          <w:b/>
          <w:bCs/>
          <w:i w:val="0"/>
          <w:iCs w:val="0"/>
        </w:rPr>
        <w:t>4</w:t>
      </w:r>
      <w:r w:rsidRPr="003E0254">
        <w:rPr>
          <w:b/>
          <w:bCs/>
          <w:i w:val="0"/>
          <w:iCs w:val="0"/>
        </w:rPr>
        <w:t>.1 Anode</w:t>
      </w:r>
    </w:p>
    <w:p w14:paraId="6394EEAB" w14:textId="66D26D30" w:rsidR="00B53C39" w:rsidRPr="003E0254" w:rsidRDefault="00DA35C9">
      <w:pPr>
        <w:spacing w:line="276" w:lineRule="auto"/>
        <w:jc w:val="both"/>
      </w:pPr>
      <w:r w:rsidRPr="003E0254">
        <w:t xml:space="preserve">Zinc anodes are essential to the operation of zinc-air batteries, directly impacting their performance, efficiency and longevity. </w:t>
      </w:r>
      <w:r w:rsidR="003452EC" w:rsidRPr="003E0254">
        <w:t xml:space="preserve">Despite the success of primary zinc-air batteries, the commercialization of secondary Zn-air batteries has been limited primarily due to their short cycle life. </w:t>
      </w:r>
      <w:r w:rsidRPr="003E0254">
        <w:t xml:space="preserve">Over the past decades, most of the research </w:t>
      </w:r>
      <w:r w:rsidR="004E5C9F" w:rsidRPr="003E0254">
        <w:t>focused</w:t>
      </w:r>
      <w:r w:rsidRPr="003E0254">
        <w:t xml:space="preserve"> on addressing several key issues related to zinc anodes, including surface passivation, dendrite formation, shape change, corrosion, and hydrogen evolution.</w:t>
      </w:r>
      <w:r w:rsidR="00B247E0" w:rsidRPr="003E0254">
        <w:fldChar w:fldCharType="begin" w:fldLock="1"/>
      </w:r>
      <w:r w:rsidR="0038049A" w:rsidRPr="003E0254">
        <w:instrText>ADDIN CSL_CITATION {"citationItems":[{"id":"ITEM-1","itemData":{"DOI":"10.1039/D2CS00684G","ISSN":"1460-4744","PMID":"37565571","abstract":"Sustainable zinc–air batteries (ZABs) are considered promising energy storage devices owing to their inherent safety, high energy density, wide operating temperature window, environmental friendliness, etc., showing great prospect for future large-scale applications. Thus, tremendous efforts have been devoted to addressing the critical challenges associated with sustainable ZABs, aiming to significantly improve their energy efficiency and prolong their operation lifespan. The growing interest in sustainable ZABs requires in-depth research on oxygen electrocatalysts, electrolytes, and Zn anodes, which have not been systematically reviewed to date. In this review, the fundamentals of ZABs, oxygen electrocatalysts for air cathodes, physicochemical properties of ZAB electrolytes, and issues and strategies for the stabilization of Zn anodes are systematically summarized from the perspective of fundamental characteristics and design principles. Meanwhile, significant advances in the in situ/operando characterization of ZABs are highlighted to provide insights into the reaction mechanism and dynamic evolution of the electrolyte|electrode interface. Finally, several critical thoughts and perspectives are provided regarding the challenges and opportunities for sustainable ZABs. Therefore, this review provides a thorough understanding of the advanced sustainable ZAB chemistry, hoping that this timely and comprehensive review can shed light on the upcoming research horizons of this prosperous area.","author":[{"dropping-particle":"","family":"Wang","given":"Qichen","non-dropping-particle":"","parse-names":false,"suffix":""},{"dropping-particle":"","family":"Kaushik","given":"Shubham","non-dropping-particle":"","parse-names":false,"suffix":""},{"dropping-particle":"","family":"Xiao","given":"Xin","non-dropping-particle":"","parse-names":false,"suffix":""},{"dropping-particle":"","family":"Xu","given":"Qiang","non-dropping-particle":"","parse-names":false,"suffix":""}],"container-title":"Chemical Society Reviews","id":"ITEM-1","issue":"17","issued":{"date-parts":[["2023","8","29"]]},"page":"6139-6190","publisher":"The Royal Society of Chemistry","title":"Sustainable zinc–air battery chemistry: advances, challenges and prospects","type":"article-journal","volume":"52"},"uris":["http://www.mendeley.com/documents/?uuid=8b534511-48a4-3ef5-a779-e5a083d49bb6"]}],"mendeley":{"formattedCitation":"&lt;sup&gt;[26]&lt;/sup&gt;","plainTextFormattedCitation":"[26]","previouslyFormattedCitation":"&lt;sup&gt;[26]&lt;/sup&gt;"},"properties":{"noteIndex":0},"schema":"https://github.com/citation-style-language/schema/raw/master/csl-citation.json"}</w:instrText>
      </w:r>
      <w:r w:rsidR="00B247E0" w:rsidRPr="003E0254">
        <w:fldChar w:fldCharType="separate"/>
      </w:r>
      <w:r w:rsidR="0038049A" w:rsidRPr="003E0254">
        <w:rPr>
          <w:noProof/>
          <w:vertAlign w:val="superscript"/>
        </w:rPr>
        <w:t>[26]</w:t>
      </w:r>
      <w:r w:rsidR="00B247E0" w:rsidRPr="003E0254">
        <w:fldChar w:fldCharType="end"/>
      </w:r>
      <w:r w:rsidRPr="003E0254">
        <w:t xml:space="preserve"> Optimization of the electrode structure through various design and fabrication methods, along with surface modifications, ha</w:t>
      </w:r>
      <w:r w:rsidR="004E5C9F" w:rsidRPr="003E0254">
        <w:t>s</w:t>
      </w:r>
      <w:r w:rsidRPr="003E0254">
        <w:t xml:space="preserve"> proven to be one of the most effective strategies </w:t>
      </w:r>
      <w:r w:rsidR="004E5C9F" w:rsidRPr="003E0254">
        <w:t>to</w:t>
      </w:r>
      <w:r w:rsidRPr="003E0254">
        <w:t xml:space="preserve"> enhanc</w:t>
      </w:r>
      <w:r w:rsidR="004E5C9F" w:rsidRPr="003E0254">
        <w:t>e</w:t>
      </w:r>
      <w:r w:rsidRPr="003E0254">
        <w:t xml:space="preserve"> the electrochemical behavior of the anodes, leading to improvements in performance and reductions in degradation</w:t>
      </w:r>
      <w:r w:rsidR="007E7DF4" w:rsidRPr="003E0254">
        <w:t>.</w:t>
      </w:r>
      <w:r w:rsidR="001A662E" w:rsidRPr="003E0254">
        <w:fldChar w:fldCharType="begin" w:fldLock="1"/>
      </w:r>
      <w:r w:rsidR="00500B8D" w:rsidRPr="003E0254">
        <w:instrText>ADDIN CSL_CITATION {"citationItems":[{"id":"ITEM-1","itemData":{"DOI":"10.1016/J.JECHEM.2023.03.049","ISSN":"2095-4956","abstract":"Alkaline Zn-based primary batteries have been commercialized in the past decades. However, their success has not been extended to secondary batteries due to the poor cycle reversibility of Zn anodes. Although some research has been conducted on alkaline Zn anodes, their performance is still far from commercial requirements. A variety of degradation mechanisms, including passivation, dendrites, morphological changes, and hydrogen precipitation, are claimed responsible for the failure of alkaline Zn metal anodes. What's worse, these constraints always interact with each other, which leads to a single strategy being unable to suppress all the issues. Therefore, a comprehensive evaluation of the positive and negative effects of various strategies on performance is important to promote the commercialization of alkaline Zn batteries. Herein, the recent progress and performance of improvement strategies for Zn anode in alkaline conditions are reviewed systematically. First, the principles and challenges of alkaline Zn anodes are briefly analyzed. Then, various design strategies for alkaline Zn anodes from the perspectives of ion and electron regulation are highlighted. Last, through a comprehensive summary of various performance parameters, the advantages and disadvantages of different strategies are compared and evaluated. On the basis of this assessment, we aim to provide more insights into the anode design of high-performance alkaline rechargeable Zn batteries.","author":[{"dropping-particle":"","family":"Yang","given":"Di","non-dropping-particle":"","parse-names":false,"suffix":""},{"dropping-particle":"","family":"Li","given":"Jinsheng","non-dropping-particle":"","parse-names":false,"suffix":""},{"dropping-particle":"","family":"Liu","given":"Changpeng","non-dropping-particle":"","parse-names":false,"suffix":""},{"dropping-particle":"","family":"Xing","given":"Wei","non-dropping-particle":"","parse-names":false,"suffix":""},{"dropping-particle":"","family":"Zhu","given":"Jianbing","non-dropping-particle":"","parse-names":false,"suffix":""}],"container-title":"Journal of Energy Chemistry","id":"ITEM-1","issued":{"date-parts":[["2023","7","1"]]},"page":"122-138","publisher":"Elsevier","title":"Design strategy and comprehensive performance assessment towards Zn anode for alkaline rechargeable batteries","type":"article-journal","volume":"82"},"uris":["http://www.mendeley.com/documents/?uuid=37bfda30-b6fc-4f80-9c35-7b6290b190d2"]}],"mendeley":{"formattedCitation":"&lt;sup&gt;[54]&lt;/sup&gt;","plainTextFormattedCitation":"[54]","previouslyFormattedCitation":"&lt;sup&gt;[53]&lt;/sup&gt;"},"properties":{"noteIndex":0},"schema":"https://github.com/citation-style-language/schema/raw/master/csl-citation.json"}</w:instrText>
      </w:r>
      <w:r w:rsidR="001A662E" w:rsidRPr="003E0254">
        <w:fldChar w:fldCharType="separate"/>
      </w:r>
      <w:r w:rsidR="00500B8D" w:rsidRPr="003E0254">
        <w:rPr>
          <w:noProof/>
          <w:vertAlign w:val="superscript"/>
        </w:rPr>
        <w:t>[54]</w:t>
      </w:r>
      <w:r w:rsidR="001A662E" w:rsidRPr="003E0254">
        <w:fldChar w:fldCharType="end"/>
      </w:r>
      <w:r w:rsidR="007E7DF4" w:rsidRPr="003E0254">
        <w:t xml:space="preserve"> Table 3 summarizes the most common strategies related to anodes. While most of the research has been conducted in aqueous</w:t>
      </w:r>
      <w:r w:rsidR="000C105A" w:rsidRPr="003E0254">
        <w:t xml:space="preserve"> alkaline</w:t>
      </w:r>
      <w:r w:rsidR="007E7DF4" w:rsidRPr="003E0254">
        <w:t xml:space="preserve"> media, the same strategies can also be applied to other types of electrolytes</w:t>
      </w:r>
      <w:r w:rsidR="005F43DC" w:rsidRPr="003E0254">
        <w:t>. However</w:t>
      </w:r>
      <w:r w:rsidR="00283A9B" w:rsidRPr="003E0254">
        <w:t xml:space="preserve">, the compatibility of the additives and materials should be </w:t>
      </w:r>
      <w:proofErr w:type="gramStart"/>
      <w:r w:rsidR="00283A9B" w:rsidRPr="003E0254">
        <w:t>taken into account</w:t>
      </w:r>
      <w:proofErr w:type="gramEnd"/>
      <w:r w:rsidR="00283A9B" w:rsidRPr="003E0254">
        <w:t xml:space="preserve">. </w:t>
      </w:r>
      <w:r w:rsidR="007E7DF4" w:rsidRPr="003E0254">
        <w:t xml:space="preserve"> </w:t>
      </w:r>
    </w:p>
    <w:p w14:paraId="258F0ACD" w14:textId="56ABF941" w:rsidR="00B53C39" w:rsidRPr="003E0254" w:rsidRDefault="00DA35C9">
      <w:pPr>
        <w:spacing w:line="276" w:lineRule="auto"/>
        <w:jc w:val="both"/>
      </w:pPr>
      <w:r w:rsidRPr="003E0254">
        <w:t xml:space="preserve">Unlike the current research on </w:t>
      </w:r>
      <w:r w:rsidR="00A439A1" w:rsidRPr="003E0254">
        <w:t>zinc-metal</w:t>
      </w:r>
      <w:r w:rsidRPr="003E0254">
        <w:t xml:space="preserve"> batteries, there are only a limited number of studies exploring the use of flat zinc (Zn) metal surfaces in zinc-air batteries. Most of these studies </w:t>
      </w:r>
      <w:r w:rsidR="004E5C9F" w:rsidRPr="003E0254">
        <w:t>focused</w:t>
      </w:r>
      <w:r w:rsidRPr="003E0254">
        <w:t xml:space="preserve"> on developing catalysts for the air cathode. For instance, when a polished zinc plate or foil is used as the anode, zinc-air batteries can achieve good cycling performance for up to 400 cycles at moderate currents.</w:t>
      </w:r>
      <w:r w:rsidR="001172ED" w:rsidRPr="003E0254">
        <w:fldChar w:fldCharType="begin" w:fldLock="1"/>
      </w:r>
      <w:r w:rsidR="00500B8D" w:rsidRPr="003E0254">
        <w:instrText>ADDIN CSL_CITATION {"citationItems":[{"id":"ITEM-1","itemData":{"DOI":"10.1038/s41467-020-15853-1","ISSN":"2041-1723","PMID":"32327651","abstract":"Recent fruitful studies on rechargeable zinc-air battery have led to emergence of various bifunctional oxygen electrocatalysts, especially metal-based materials. However, their electrocatalytic configuration and evolution pathway during battery operation are rarely spotlighted. Herein, to depict the underlying behaviors, a concept named dynamic electrocatalyst is proposed. By selecting a bimetal nitride as representation, a current-driven “shell-bulk” configuration is visualized via time-resolved X-ray and electron spectroscopy analyses. A dynamic picture sketching the generation and maturation of nanoscale oxyhydroxide shell is presented, and periodic valence swings of performance-dominant element are observed. Upon maturation, zinc-air battery experiences a near two-fold enlargement in power density to 234</w:instrText>
      </w:r>
      <w:r w:rsidR="00500B8D" w:rsidRPr="003E0254">
        <w:rPr>
          <w:rFonts w:ascii="Arial" w:hAnsi="Arial" w:cs="Arial"/>
        </w:rPr>
        <w:instrText> </w:instrText>
      </w:r>
      <w:r w:rsidR="00500B8D" w:rsidRPr="003E0254">
        <w:instrText>mW</w:instrText>
      </w:r>
      <w:r w:rsidR="00500B8D" w:rsidRPr="003E0254">
        <w:rPr>
          <w:rFonts w:ascii="Arial" w:hAnsi="Arial" w:cs="Arial"/>
        </w:rPr>
        <w:instrText> </w:instrText>
      </w:r>
      <w:r w:rsidR="00500B8D" w:rsidRPr="003E0254">
        <w:instrText>cm</w:instrText>
      </w:r>
      <w:r w:rsidR="00500B8D" w:rsidRPr="003E0254">
        <w:rPr>
          <w:rFonts w:ascii="Aptos" w:hAnsi="Aptos" w:cs="Aptos"/>
        </w:rPr>
        <w:instrText>−</w:instrText>
      </w:r>
      <w:r w:rsidR="00500B8D" w:rsidRPr="003E0254">
        <w:instrText>2, a&amp;nbsp;gradual narrowing of voltage gap to 0.85</w:instrText>
      </w:r>
      <w:r w:rsidR="00500B8D" w:rsidRPr="003E0254">
        <w:rPr>
          <w:rFonts w:ascii="Arial" w:hAnsi="Arial" w:cs="Arial"/>
        </w:rPr>
        <w:instrText> </w:instrText>
      </w:r>
      <w:r w:rsidR="00500B8D" w:rsidRPr="003E0254">
        <w:instrText>V at 30</w:instrText>
      </w:r>
      <w:r w:rsidR="00500B8D" w:rsidRPr="003E0254">
        <w:rPr>
          <w:rFonts w:ascii="Arial" w:hAnsi="Arial" w:cs="Arial"/>
        </w:rPr>
        <w:instrText> </w:instrText>
      </w:r>
      <w:r w:rsidR="00500B8D" w:rsidRPr="003E0254">
        <w:instrText>mA</w:instrText>
      </w:r>
      <w:r w:rsidR="00500B8D" w:rsidRPr="003E0254">
        <w:rPr>
          <w:rFonts w:ascii="Arial" w:hAnsi="Arial" w:cs="Arial"/>
        </w:rPr>
        <w:instrText> </w:instrText>
      </w:r>
      <w:r w:rsidR="00500B8D" w:rsidRPr="003E0254">
        <w:instrText>cm</w:instrText>
      </w:r>
      <w:r w:rsidR="00500B8D" w:rsidRPr="003E0254">
        <w:rPr>
          <w:rFonts w:ascii="Aptos" w:hAnsi="Aptos" w:cs="Aptos"/>
        </w:rPr>
        <w:instrText>−</w:instrText>
      </w:r>
      <w:r w:rsidR="00500B8D" w:rsidRPr="003E0254">
        <w:instrText>2, followed by stable cycling for hundreds of hours. The revealed configuration can serve as the basis to construct future blueprints for metal-based electrocatalysts, and push zinc-air battery toward practical application. Interest in rechargeable Zn-air batteries has been renewed in recent years, however, their oxygen electrocatalysts remain not fully understood. Here the authors reveal the presence of a current-driven oxyhydroxide shell in a so-called dynamic eletrocatalyst that enables optimized battery performance.","author":[{"dropping-particle":"","family":"Deng","given":"Ya Ping","non-dropping-particle":"","parse-names":false,"suffix":""},{"dropping-particle":"","family":"Jiang","given":"Yi","non-dropping-particle":"","parse-names":false,"suffix":""},{"dropping-particle":"","family":"Liang","given":"Ruilin","non-dropping-particle":"","parse-names":false,"suffix":""},{"dropping-particle":"","family":"Zhang","given":"Shao Jian","non-dropping-particle":"","parse-names":false,"suffix":""},{"dropping-particle":"","family":"Luo","given":"Dan","non-dropping-particle":"","parse-names":false,"suffix":""},{"dropping-particle":"","family":"Hu","given":"Yongfeng","non-dropping-particle":"","parse-names":false,"suffix":""},{"dropping-particle":"","family":"Wang","given":"Xin","non-dropping-particle":"","parse-names":false,"suffix":""},{"dropping-particle":"","family":"Li","given":"Jun Tao","non-dropping-particle":"","parse-names":false,"suffix":""},{"dropping-particle":"","family":"Yu","given":"Aiping","non-dropping-particle":"","parse-names":false,"suffix":""},{"dropping-particle":"","family":"Chen","given":"Zhongwei","non-dropping-particle":"","parse-names":false,"suffix":""}],"container-title":"Nature Communications 2020 11:1","id":"ITEM-1","issue":"1","issued":{"date-parts":[["2020","4","23"]]},"page":"1-10","publisher":"Nature Publishing Group","title":"Dynamic electrocatalyst with current-driven oxyhydroxide shell for rechargeable zinc-air battery","type":"article-journal","volume":"11"},"uris":["http://www.mendeley.com/documents/?uuid=62b3ec99-7d26-3ce9-8e2a-92fdccee53d5"]},{"id":"ITEM-2","itemData":{"DOI":"10.1002/aenm.201701642","ISSN":"1614-6832","abstract":"Porous carbon nitride (PCN) composites are fabricated using a top</w:instrText>
      </w:r>
      <w:r w:rsidR="00500B8D" w:rsidRPr="003E0254">
        <w:rPr>
          <w:rFonts w:ascii="Cambria Math" w:hAnsi="Cambria Math" w:cs="Cambria Math"/>
        </w:rPr>
        <w:instrText>‐</w:instrText>
      </w:r>
      <w:r w:rsidR="00500B8D" w:rsidRPr="003E0254">
        <w:instrText>down strategy, followed by additions of graphene and CoS x nanoparticles. This subsequently enhances conductivity and catalytic activity of PCN (abbreviated as CoS x @PCN/rGO) and is achieved by one</w:instrText>
      </w:r>
      <w:r w:rsidR="00500B8D" w:rsidRPr="003E0254">
        <w:rPr>
          <w:rFonts w:ascii="Cambria Math" w:hAnsi="Cambria Math" w:cs="Cambria Math"/>
        </w:rPr>
        <w:instrText>‐</w:instrText>
      </w:r>
      <w:r w:rsidR="00500B8D" w:rsidRPr="003E0254">
        <w:instrText>step sulfuration of PCN/graphene oxides (GO) composite materials. As a result, the as</w:instrText>
      </w:r>
      <w:r w:rsidR="00500B8D" w:rsidRPr="003E0254">
        <w:rPr>
          <w:rFonts w:ascii="Cambria Math" w:hAnsi="Cambria Math" w:cs="Cambria Math"/>
        </w:rPr>
        <w:instrText>‐</w:instrText>
      </w:r>
      <w:r w:rsidR="00500B8D" w:rsidRPr="003E0254">
        <w:instrText>prepared CoS x @PCN/rGO catalysts display excellent activity and stability toward both oxygen evolution and reduction reactions, surpassing electrocatalytic performance shown by state</w:instrText>
      </w:r>
      <w:r w:rsidR="00500B8D" w:rsidRPr="003E0254">
        <w:rPr>
          <w:rFonts w:ascii="Cambria Math" w:hAnsi="Cambria Math" w:cs="Cambria Math"/>
        </w:rPr>
        <w:instrText>‐</w:instrText>
      </w:r>
      <w:r w:rsidR="00500B8D" w:rsidRPr="003E0254">
        <w:instrText>of</w:instrText>
      </w:r>
      <w:r w:rsidR="00500B8D" w:rsidRPr="003E0254">
        <w:rPr>
          <w:rFonts w:ascii="Cambria Math" w:hAnsi="Cambria Math" w:cs="Cambria Math"/>
        </w:rPr>
        <w:instrText>‐</w:instrText>
      </w:r>
      <w:r w:rsidR="00500B8D" w:rsidRPr="003E0254">
        <w:instrText>the</w:instrText>
      </w:r>
      <w:r w:rsidR="00500B8D" w:rsidRPr="003E0254">
        <w:rPr>
          <w:rFonts w:ascii="Cambria Math" w:hAnsi="Cambria Math" w:cs="Cambria Math"/>
        </w:rPr>
        <w:instrText>‐</w:instrText>
      </w:r>
      <w:r w:rsidR="00500B8D" w:rsidRPr="003E0254">
        <w:instrText>art Pt, RuO 2 and other carbon nitrides. Remarkably, the CoS x @PCN/rGO bifunctional activity allows for applications in zinc</w:instrText>
      </w:r>
      <w:r w:rsidR="00500B8D" w:rsidRPr="003E0254">
        <w:rPr>
          <w:rFonts w:ascii="Cambria Math" w:hAnsi="Cambria Math" w:cs="Cambria Math"/>
        </w:rPr>
        <w:instrText>‐</w:instrText>
      </w:r>
      <w:r w:rsidR="00500B8D" w:rsidRPr="003E0254">
        <w:instrText>air batteries, which show better rechargeability than Pt/C. The enhanced catalytic performance of CoS x @PCN/rGO can primarily be attributed to the highly porous morphology and sufficiently exposed active sites that are favorable for electrocatalytic reactions.","author":[{"dropping-particle":"","family":"Niu","given":"Wenhan","non-dropping-particle":"","parse-names":false,"suffix":""},{"dropping-particle":"","family":"Li","given":"Zhao","non-dropping-particle":"","parse-names":false,"suffix":""},{"dropping-particle":"","family":"Marcus","given":"Kyle","non-dropping-particle":"","parse-names":false,"suffix":""},{"dropping-particle":"","family":"Zhou","given":"Le","non-dropping-particle":"","parse-names":false,"suffix":""},{"dropping-particle":"","family":"Li","given":"Yilun","non-dropping-particle":"","parse-names":false,"suffix":""},{"dropping-particle":"","family":"Ye","given":"Ruquan","non-dropping-particle":"","parse-names":false,"suffix":""},{"dropping-particle":"","family":"Liang","given":"Kun","non-dropping-particle":"","parse-names":false,"suffix":""},{"dropping-particle":"","family":"Yang","given":"Yang","non-dropping-particle":"","parse-names":false,"suffix":""}],"container-title":"Advanced Energy Materials","id":"ITEM-2","issue":"1","issued":{"date-parts":[["2018","1","14"]]},"page":"1701642","publisher":"John Wiley &amp; Sons, Ltd","title":"Surface</w:instrText>
      </w:r>
      <w:r w:rsidR="00500B8D" w:rsidRPr="003E0254">
        <w:rPr>
          <w:rFonts w:ascii="Cambria Math" w:hAnsi="Cambria Math" w:cs="Cambria Math"/>
        </w:rPr>
        <w:instrText>‐</w:instrText>
      </w:r>
      <w:r w:rsidR="00500B8D" w:rsidRPr="003E0254">
        <w:instrText>Modified Porous Carbon Nitride Composites as Highly Efficient Electrocatalyst for Zn</w:instrText>
      </w:r>
      <w:r w:rsidR="00500B8D" w:rsidRPr="003E0254">
        <w:rPr>
          <w:rFonts w:ascii="Cambria Math" w:hAnsi="Cambria Math" w:cs="Cambria Math"/>
        </w:rPr>
        <w:instrText>‐</w:instrText>
      </w:r>
      <w:r w:rsidR="00500B8D" w:rsidRPr="003E0254">
        <w:instrText>Air Batteries","type":"article-journal","volume":"8"},"uris":["http://www.mendeley.com/documents/?uuid=d0b0229e-6ae5-3b83-807f-b4389fa5c251"]},{"id":"ITEM-3","itemData":{"DOI":"10.1039/C9EE02657F","ISSN":"1754-5706","abstract":"Recently, considerable attention has been paid to the stabilization of atomic platinum (Pt) catalysts on desirable supports in order to reduce Pt consumption, improve the catalyst stability, and thereafter enhance the catalyst performance in renewable energy devices such as fuel cells and zinc-air batteries (ZABs). Herein, we rationally designed a novel strategy to stabilize atomic Pt catalysts in alloyed platinum cobalt (PtCo) nanosheets with trapped interstitial fluorine (SA-PtCoF) for ZABs. The trapped interstitial F atoms in the PtCoF matrix induce lattice distortion resulting in weakening of the Pt–Co bond, which is the driving force to form atomic Pt. As a result, the onset potentials of SA-PtCoF are 0.95 V and 1.50 V for the oxygen reduction and evolution reactions (ORR and OER), respectively, superior to commercial Pt/C@RuO2. When used in ZABs, the designed SA-PtCoF can afford a peak power density of 125 mW cm−2 with a specific capacity of 808 mA h gZn−1 and excellent cyclability over 240 h, surpassing the state-of-the-art catalysts.","author":[{"dropping-particle":"","family":"Li","given":"Zhao","non-dropping-particle":"","parse-names":false,"suffix":""},{"dropping-particle":"","family":"Niu","given":"Wenhan","non-dropping-particle":"","parse-names":false,"suffix":""},{"dropping-particle":"","family":"Yang","given":"Zhenzhong","non-dropping-particle":"","parse-names":false,"suffix":""},{"dropping-particle":"","family":"Zaman","given":"Nusaiba","non-dropping-particle":"","parse-names":false,"suffix":""},{"dropping-particle":"","family":"Samarakoon","given":"Widitha","non-dropping-particle":"","parse-names":false,"suffix":""},{"dropping-particle":"","family":"Wang","given":"Maoyu","non-dropping-particle":"","parse-names":false,"suffix":""},{"dropping-particle":"","family":"Kara","given":"Abdelkader","non-dropping-particle":"","parse-names":false,"suffix":""},{"dropping-particle":"","family":"Lucero","given":"Marcos","non-dropping-particle":"","parse-names":false,"suffix":""},{"dropping-particle":"V.","family":"Vyas","given":"Manasi","non-dropping-particle":"","parse-names":false,"suffix":""},{"dropping-particle":"","family":"Cao","given":"Hui","non-dropping-particle":"","parse-names":false,"suffix":""},{"dropping-particle":"","family":"Zhou","given":"Hua","non-dropping-particle":"","parse-names":false,"suffix":""},{"dropping-particle":"","family":"Sterbinsky","given":"George E.","non-dropping-particle":"","parse-names":false,"suffix":""},{"dropping-particle":"","family":"Feng","given":"Zhenxing","non-dropping-particle":"","parse-names":false,"suffix":""},{"dropping-particle":"","family":"Du","given":"Yingge","non-dropping-particle":"","parse-names":false,"suffix":""},{"dropping-particle":"","family":"Yang","given":"Yang","non-dropping-particle":"","parse-names":false,"suffix":""}],"container-title":"Energy &amp; Environmental Science","id":"ITEM-3","issue":"3","issued":{"date-parts":[["2020","3","18"]]},"page":"884-895","publisher":"The Royal Society of Chemistry","title":"Stabilizing atomic Pt with trapped interstitial F in alloyed PtCo nanosheets for high-performance zinc-air batteries","type":"article-journal","volume":"13"},"uris":["http://www.mendeley.com/documents/?uuid=95b651b6-a1f0-3793-b535-7c0ff0196c45"]}],"mendeley":{"formattedCitation":"&lt;sup&gt;[181–183]&lt;/sup&gt;","plainTextFormattedCitation":"[181–183]","previouslyFormattedCitation":"&lt;sup&gt;[180–182]&lt;/sup&gt;"},"properties":{"noteIndex":0},"schema":"https://github.com/citation-style-language/schema/raw/master/csl-citation.json"}</w:instrText>
      </w:r>
      <w:r w:rsidR="001172ED" w:rsidRPr="003E0254">
        <w:fldChar w:fldCharType="separate"/>
      </w:r>
      <w:r w:rsidR="00500B8D" w:rsidRPr="003E0254">
        <w:rPr>
          <w:noProof/>
          <w:vertAlign w:val="superscript"/>
        </w:rPr>
        <w:t>[181–183]</w:t>
      </w:r>
      <w:r w:rsidR="001172ED" w:rsidRPr="003E0254">
        <w:fldChar w:fldCharType="end"/>
      </w:r>
      <w:r w:rsidRPr="003E0254">
        <w:t xml:space="preserve"> However, the practical application of zinc anodes with flat surfaces is hindered by limited utilization </w:t>
      </w:r>
      <w:r w:rsidRPr="003E0254">
        <w:lastRenderedPageBreak/>
        <w:t xml:space="preserve">efficiencies, restrictions on </w:t>
      </w:r>
      <w:r w:rsidR="004E5C9F" w:rsidRPr="003E0254">
        <w:t xml:space="preserve">the actually utilized active </w:t>
      </w:r>
      <w:r w:rsidRPr="003E0254">
        <w:t xml:space="preserve">surface area, and constraints related to additive usage. </w:t>
      </w:r>
    </w:p>
    <w:p w14:paraId="7DDF8307" w14:textId="18423344" w:rsidR="00B53C39" w:rsidRPr="003E0254" w:rsidRDefault="00DA35C9">
      <w:pPr>
        <w:spacing w:line="276" w:lineRule="auto"/>
        <w:jc w:val="both"/>
      </w:pPr>
      <w:r w:rsidRPr="003E0254">
        <w:t xml:space="preserve">Current developments on the anode focus on tailored designs for highly conductive and high surface-area 3D structures that are made entirely of Zn or fabricated either by powder pressing or by electrodepositing zinc onto 2D or 3D substrates. For example, when a 3D Zinc sponge was used as the anode in a silver-zinc battery, it </w:t>
      </w:r>
      <w:r w:rsidR="00BD0BAE" w:rsidRPr="003E0254">
        <w:t>yielded</w:t>
      </w:r>
      <w:r w:rsidRPr="003E0254">
        <w:t xml:space="preserve"> high specific energies and volumetric capacities (based on Zn) for up to 100 cycle</w:t>
      </w:r>
      <w:r w:rsidR="0004055E" w:rsidRPr="003E0254">
        <w:t>s.</w:t>
      </w:r>
      <w:r w:rsidR="0004055E" w:rsidRPr="003E0254">
        <w:fldChar w:fldCharType="begin" w:fldLock="1"/>
      </w:r>
      <w:r w:rsidR="00500B8D" w:rsidRPr="003E0254">
        <w:instrText xml:space="preserve">ADDIN CSL_CITATION {"citationItems":[{"id":"ITEM-1","itemData":{"DOI":"10.1021/ACSAEM.8B01946/ASSET/IMAGES/LARGE/AE-2018-01946P_0003.JPEG","ISSN":"25740962","abstract":"We previously demonstrated that a redesign of the form factor for zinc (Zn) anodes to a monolithic, porous 3D-wired sponge sets a new benchmark for rechargeable alkaline Zn batteries. By engineering the solid volume fraction from the benchmarked 20% (Zn20) to 30% (Zn30), we increase the degree of metallic connectivity, boost mechanical integrity, and out-power the first-generation counterpart. Visualizing the internal structure using X-ray computed microtomography (XCMT) confirms increased interconnectivity within the denser Zn30. To highlight the energy and power improvements, we pair the zinc sponges with a silver oxide cathode in prototype Ag-Zn cells and demonstrate superior performance with Zn30 anodes: 50% improvement in zinc-normalized volumetric capacity (up to 1.6 Ah LZn-1) and supercapacitor-like specific power (up to </w:instrText>
      </w:r>
      <w:r w:rsidR="00500B8D" w:rsidRPr="003E0254">
        <w:rPr>
          <w:rFonts w:ascii="Cambria Math" w:hAnsi="Cambria Math" w:cs="Cambria Math"/>
        </w:rPr>
        <w:instrText>∼</w:instrText>
      </w:r>
      <w:r w:rsidR="00500B8D" w:rsidRPr="003E0254">
        <w:instrText>6 kW kgZn-1), all while maintaining rechargeability.","author":[{"dropping-particle":"","family":"Ko","given":"Jesse S.","non-dropping-particle":"","parse-names":false,"suffix":""},{"dropping-particle":"","family":"Geltmacher","given":"Andrew B.","non-dropping-particle":"","parse-names":false,"suffix":""},{"dropping-particle":"","family":"Hopkins","given":"Brandon J.","non-dropping-particle":"","parse-names":false,"suffix":""},{"dropping-particle":"","family":"Rolison","given":"Debra R.","non-dropping-particle":"","parse-names":false,"suffix":""},{"dropping-particle":"","family":"Long","given":"Jeffrey W.","non-dropping-particle":"","parse-names":false,"suffix":""},{"dropping-particle":"","family":"Parker","given":"Joseph F.","non-dropping-particle":"","parse-names":false,"suffix":""}],"container-title":"ACS Applied Energy Materials","id":"ITEM-1","issue":"1","issued":{"date-parts":[["2019","1","28"]]},"page":"212-216","publisher":"American Chemical Society","title":"Robust 3D Zn sponges enable high-power, energy-dense alkaline batteries","type":"article-journal","volume":"2"},"uris":["http://www.mendeley.com/documents/?uuid=6cf2868d-f2b3-3162-9367-c3b3974612e3"]}],"mendeley":{"formattedCitation":"&lt;sup&gt;[194]&lt;/sup&gt;","plainTextFormattedCitation":"[194]","previouslyFormattedCitation":"&lt;sup&gt;[193]&lt;/sup&gt;"},"properties":{"noteIndex":0},"schema":"https://github.com/citation-style-language/schema/raw/master/csl-citation.json"}</w:instrText>
      </w:r>
      <w:r w:rsidR="0004055E" w:rsidRPr="003E0254">
        <w:fldChar w:fldCharType="separate"/>
      </w:r>
      <w:r w:rsidR="00500B8D" w:rsidRPr="003E0254">
        <w:rPr>
          <w:noProof/>
          <w:vertAlign w:val="superscript"/>
        </w:rPr>
        <w:t>[194]</w:t>
      </w:r>
      <w:r w:rsidR="0004055E" w:rsidRPr="003E0254">
        <w:fldChar w:fldCharType="end"/>
      </w:r>
      <w:r w:rsidRPr="003E0254">
        <w:t xml:space="preserve"> In a subsequent study, a 3D printing method was employed to create 3D Zn electrodes consisting of 90% Zn and 10% carbon based conductive agents, resulting in stable cycling up to 350 cycles with relatively high capacities.</w:t>
      </w:r>
      <w:r w:rsidR="0004055E" w:rsidRPr="003E0254">
        <w:fldChar w:fldCharType="begin" w:fldLock="1"/>
      </w:r>
      <w:r w:rsidR="00500B8D" w:rsidRPr="003E0254">
        <w:instrText>ADDIN CSL_CITATION {"citationItems":[{"id":"ITEM-1","itemData":{"DOI":"10.1016/J.MTENER.2020.100407","ISSN":"2468-6069","abstract":"Fabrication and assembly of electrodes are of great importance for the manufacturing of batteries, which are the bridge to transfer electrode materials to devices. Here, we demonstrate a 3D-printing technology for the construction of functional electrodes (including anode and cathode) for zinc-air batteries. The printed anode consists of many zinc micro-spheres that allows the high utilization of the zinc. The printed self-standing air cathode features hierarchical porous structure with high surface area, which endows the electrode with high electrocatalytic activity and fast diffusion channel for the reaction. Benefiting from these advantages, the as-assembled zinc-air batteries achieve a high discharge capacity of 670 mA h g−1 at the current density of 5 mA cm−2, and long-term cycle stability at least 350 cycles, which are superior to those of conventional batteries. The reasons behind these properties and their respective characteristics are well explored and clarified. This work successfully validates the feasibility of printing battery electrodes, which might revolutionize battery manufacturing.","author":[{"dropping-particle":"","family":"Zhang","given":"Jian","non-dropping-particle":"","parse-names":false,"suffix":""},{"dropping-particle":"","family":"Li","given":"Xue Liang","non-dropping-particle":"","parse-names":false,"suffix":""},{"dropping-particle":"","family":"Fan","given":"Shuang","non-dropping-particle":"","parse-names":false,"suffix":""},{"dropping-particle":"","family":"Huang","given":"Shaozhuan","non-dropping-particle":"","parse-names":false,"suffix":""},{"dropping-particle":"","family":"Yan","given":"Dong","non-dropping-particle":"","parse-names":false,"suffix":""},{"dropping-particle":"","family":"Liu","given":"Lei","non-dropping-particle":"","parse-names":false,"suffix":""},{"dropping-particle":"","family":"Valdivia y Alvarado","given":"Pablo","non-dropping-particle":"","parse-names":false,"suffix":""},{"dropping-particle":"","family":"Yang","given":"Hui Ying","non-dropping-particle":"","parse-names":false,"suffix":""}],"container-title":"Materials Today Energy","id":"ITEM-1","issued":{"date-parts":[["2020","6","1"]]},"page":"100407","publisher":"Elsevier","title":"3D-printed functional electrodes towards Zn-Air batteries","type":"article-journal","volume":"16"},"uris":["http://www.mendeley.com/documents/?uuid=0fb2bf7b-8883-36f9-b60e-90e070b087e6"]}],"mendeley":{"formattedCitation":"&lt;sup&gt;[195]&lt;/sup&gt;","plainTextFormattedCitation":"[195]","previouslyFormattedCitation":"&lt;sup&gt;[194]&lt;/sup&gt;"},"properties":{"noteIndex":0},"schema":"https://github.com/citation-style-language/schema/raw/master/csl-citation.json"}</w:instrText>
      </w:r>
      <w:r w:rsidR="0004055E" w:rsidRPr="003E0254">
        <w:fldChar w:fldCharType="separate"/>
      </w:r>
      <w:r w:rsidR="00500B8D" w:rsidRPr="003E0254">
        <w:rPr>
          <w:noProof/>
          <w:vertAlign w:val="superscript"/>
        </w:rPr>
        <w:t>[195]</w:t>
      </w:r>
      <w:r w:rsidR="0004055E" w:rsidRPr="003E0254">
        <w:fldChar w:fldCharType="end"/>
      </w:r>
      <w:r w:rsidRPr="003E0254">
        <w:t xml:space="preserve"> 3D Zn electrode designs made through electrodeposition allow for the selection of various substrate materials, such as 2D meshes, 3D metal foams, or carbon-based materials. By using pulse</w:t>
      </w:r>
      <w:r w:rsidR="006111A8" w:rsidRPr="003E0254">
        <w:t>d</w:t>
      </w:r>
      <w:r w:rsidRPr="003E0254">
        <w:t xml:space="preserve"> electrodeposition of zinc on copper foam, Yan et al. extended the cycle life of Zn electrodes to 10,000 cycles while maintaining high specific capacities.</w:t>
      </w:r>
      <w:r w:rsidR="0004055E" w:rsidRPr="003E0254">
        <w:fldChar w:fldCharType="begin" w:fldLock="1"/>
      </w:r>
      <w:r w:rsidR="00500B8D" w:rsidRPr="003E0254">
        <w:instrText>ADDIN CSL_CITATION {"citationItems":[{"id":"ITEM-1","itemData":{"DOI":"10.1039/C5RA16264E","ISSN":"2046-2069","abstract":"Three-dimensional (3D) Zn/Cu foam electrodes are fabricated by pulse electro-deposition of zinc on copper foam and investigated as negative electrode materials for zinc-based alkaline batteries. Scanning electron microscopy (SEM) images show that epitaxially layered zinc crystals distribute uniformly on the 3D copper foam-like skeleton. A peak power density of 286 mW cm−2 and utilization of 92% (754 mA h g−1 at 200 mA cm−2) are obtained when the Zn/Cu foam electrodes are used in primary zinc/oxygen batteries and reveal high rate capability and material utilization of the 3D electrodes. To probe the rechargeability of the Zn/Cu foam electrodes, zinc/zinc quasi-symmetric cells are cycled under severe conditions, i.e., a discharge–charge current density of as high as 250 mA cm−2, 100% depth of discharge and without dendrite-suppressing additives that would otherwise suppress dendrite growth, yet the 3D Zn/Cu foam electrodes remain dendrite-free experienced 10</w:instrText>
      </w:r>
      <w:r w:rsidR="00500B8D" w:rsidRPr="003E0254">
        <w:rPr>
          <w:rFonts w:ascii="Arial" w:hAnsi="Arial" w:cs="Arial"/>
        </w:rPr>
        <w:instrText> </w:instrText>
      </w:r>
      <w:r w:rsidR="00500B8D" w:rsidRPr="003E0254">
        <w:instrText>000 discharge</w:instrText>
      </w:r>
      <w:r w:rsidR="00500B8D" w:rsidRPr="003E0254">
        <w:rPr>
          <w:rFonts w:ascii="Aptos" w:hAnsi="Aptos" w:cs="Aptos"/>
        </w:rPr>
        <w:instrText>–</w:instrText>
      </w:r>
      <w:r w:rsidR="00500B8D" w:rsidRPr="003E0254">
        <w:instrText>charge cycles. The specific capacity of the 3D Zn/Cu foam electrodes reaches up to 620 mA h g</w:instrText>
      </w:r>
      <w:r w:rsidR="00500B8D" w:rsidRPr="003E0254">
        <w:rPr>
          <w:rFonts w:ascii="Aptos" w:hAnsi="Aptos" w:cs="Aptos"/>
        </w:rPr>
        <w:instrText>−</w:instrText>
      </w:r>
      <w:r w:rsidR="00500B8D" w:rsidRPr="003E0254">
        <w:instrText>1 after at least 9000 discharge</w:instrText>
      </w:r>
      <w:r w:rsidR="00500B8D" w:rsidRPr="003E0254">
        <w:rPr>
          <w:rFonts w:ascii="Aptos" w:hAnsi="Aptos" w:cs="Aptos"/>
        </w:rPr>
        <w:instrText>–</w:instrText>
      </w:r>
      <w:r w:rsidR="00500B8D" w:rsidRPr="003E0254">
        <w:instrText>charge cycles in a prototype Zn/Ni battery, exhibiting the superior cycling stability of the 3D Zn/Cu foam electrodes.","author":[{"dropping-particle":"","family":"Yan","given":"Zhao","non-dropping-particle":"","parse-names":false,"suffix":""},{"dropping-particle":"","family":"Wang","given":"Erdong","non-dropping-particle":"","parse-names":false,"suffix":""},{"dropping-particle":"","family":"Jiang","given":"Luhua","non-dropping-particle":"","parse-names":false,"suffix":""},{"dropping-particle":"","family":"Sun","given":"Gongquan","non-dropping-particle":"","parse-names":false,"suffix":""}],"container-title":"RSC Advances","id":"ITEM-1","issue":"102","issued":{"date-parts":[["2015","10","1"]]},"page":"83781-83787","publisher":"The Royal Society of Chemistry","title":"Superior cycling stability and high rate capability of three-dimensional Zn/Cu foam electrodes for zinc-based alkaline batteries","type":"article-journal","volume":"5"},"uris":["http://www.mendeley.com/documents/?uuid=d2a5b10d-49bb-3121-9440-50cc027f9430"]}],"mendeley":{"formattedCitation":"&lt;sup&gt;[196]&lt;/sup&gt;","plainTextFormattedCitation":"[196]","previouslyFormattedCitation":"&lt;sup&gt;[195]&lt;/sup&gt;"},"properties":{"noteIndex":0},"schema":"https://github.com/citation-style-language/schema/raw/master/csl-citation.json"}</w:instrText>
      </w:r>
      <w:r w:rsidR="0004055E" w:rsidRPr="003E0254">
        <w:fldChar w:fldCharType="separate"/>
      </w:r>
      <w:r w:rsidR="00500B8D" w:rsidRPr="003E0254">
        <w:rPr>
          <w:noProof/>
          <w:vertAlign w:val="superscript"/>
        </w:rPr>
        <w:t>[196]</w:t>
      </w:r>
      <w:r w:rsidR="0004055E" w:rsidRPr="003E0254">
        <w:fldChar w:fldCharType="end"/>
      </w:r>
      <w:r w:rsidRPr="003E0254">
        <w:t xml:space="preserve"> There is also the option to tailor the properties of the substrate by applying coatings, such as </w:t>
      </w:r>
      <w:r w:rsidR="00BD0BAE" w:rsidRPr="003E0254">
        <w:t>a t</w:t>
      </w:r>
      <w:r w:rsidRPr="003E0254">
        <w:t>in coating</w:t>
      </w:r>
      <w:r w:rsidR="0004055E" w:rsidRPr="003E0254">
        <w:t>,</w:t>
      </w:r>
      <w:r w:rsidR="0004055E" w:rsidRPr="003E0254">
        <w:fldChar w:fldCharType="begin" w:fldLock="1"/>
      </w:r>
      <w:r w:rsidR="00500B8D" w:rsidRPr="003E0254">
        <w:instrText>ADDIN CSL_CITATION {"citationItems":[{"id":"ITEM-1","itemData":{"DOI":"10.1002/ADMA.202301952","ISSN":"1521-4095","PMID":"37067852","abstract":"A conventional two-electrode rechargeable zinc–air battery (RZAB) has two major problems: 1) opposing requirements for the oxygen reduction (ORR) and oxygen evolution (OER) reactions from the catalyst at the air cathode; and 2) zinc-dendrite formation, hydrogen generation, and zinc corrosion at the zinc anode. To tackle these problems, a three-electrode RZAB (T-RZAB) including a hydrophobic discharge cathode, a hydrophilic charge cathode, and a zinc-free anode is developed. The decoupled cathodes enable fast ORR and OER kinetics, and avoid oxidization of the ORR catalyst. The zinc-free anode using tin-coated copper foam that induces the growth of (002)Zn planes, suppresses hydrogen evolution, and prevents Zn corrosion. As a result, the T-RZABs have a high discharge capacity per cycle of 800 mAh cm−2, a low voltage gap between the discharge/charge platforms of 0.66 V, and an ultralong cycle life of 5220 h at a current density of 10 mA cm−2. A large T-RZAB with a discharge capacity of 10 Ah per cycle with no obvious degradation after cycling for 1000 h is developed. Finally, a T-RZAB pack that has an energy density of 151.8 Wh kg−1 and a low cost of 46.7 US dollars kWh−1 is assembled.","author":[{"dropping-particle":"","family":"Zhong","given":"Xiongwei","non-dropping-particle":"","parse-names":false,"suffix":""},{"dropping-particle":"","family":"Shao","given":"Yangfan","non-dropping-particle":"","parse-names":false,"suffix":""},{"dropping-particle":"","family":"Chen","given":"Biao","non-dropping-particle":"","parse-names":false,"suffix":""},{"dropping-particle":"","family":"Li","given":"Chuang","non-dropping-particle":"","parse-names":false,"suffix":""},{"dropping-particle":"","family":"Sheng","given":"Jinzhi","non-dropping-particle":"","parse-names":false,"suffix":""},{"dropping-particle":"","family":"Xiao","given":"Xiao","non-dropping-particle":"","parse-names":false,"suffix":""},{"dropping-particle":"","family":"Xu","given":"Baomin","non-dropping-particle":"","parse-names":false,"suffix":""},{"dropping-particle":"","family":"Li","given":"Jia","non-dropping-particle":"","parse-names":false,"suffix":""},{"dropping-particle":"","family":"Cheng","given":"Hui Ming","non-dropping-particle":"","parse-names":false,"suffix":""},{"dropping-particle":"","family":"Zhou","given":"Guangmin","non-dropping-particle":"","parse-names":false,"suffix":""}],"container-title":"Advanced Materials","id":"ITEM-1","issue":"30","issued":{"date-parts":[["2023","7","1"]]},"page":"2301952","publisher":"John Wiley &amp; Sons, Ltd","title":"Rechargeable Zinc–Air Batteries with an Ultralarge Discharge Capacity per Cycle and an Ultralong Cycle Life","type":"article-journal","volume":"35"},"uris":["http://www.mendeley.com/documents/?uuid=5e97a8c9-2ff2-39db-9d19-8f6dbccbccbe"]}],"mendeley":{"formattedCitation":"&lt;sup&gt;[197]&lt;/sup&gt;","plainTextFormattedCitation":"[197]","previouslyFormattedCitation":"&lt;sup&gt;[196]&lt;/sup&gt;"},"properties":{"noteIndex":0},"schema":"https://github.com/citation-style-language/schema/raw/master/csl-citation.json"}</w:instrText>
      </w:r>
      <w:r w:rsidR="0004055E" w:rsidRPr="003E0254">
        <w:fldChar w:fldCharType="separate"/>
      </w:r>
      <w:r w:rsidR="00500B8D" w:rsidRPr="003E0254">
        <w:rPr>
          <w:noProof/>
          <w:vertAlign w:val="superscript"/>
        </w:rPr>
        <w:t>[197]</w:t>
      </w:r>
      <w:r w:rsidR="0004055E" w:rsidRPr="003E0254">
        <w:fldChar w:fldCharType="end"/>
      </w:r>
      <w:r w:rsidRPr="003E0254">
        <w:t xml:space="preserve"> to improve its electrochemical behavior. However, utilizing such 3D structures poses potential challenges, including the high reactivity of zinc in aqueous electrolytes, relatively low mass loadings, and </w:t>
      </w:r>
      <w:r w:rsidR="006111A8" w:rsidRPr="003E0254">
        <w:t xml:space="preserve">it </w:t>
      </w:r>
      <w:r w:rsidR="00BD0BAE" w:rsidRPr="003E0254">
        <w:t xml:space="preserve">raises </w:t>
      </w:r>
      <w:r w:rsidRPr="003E0254">
        <w:t xml:space="preserve">concerns regarding structural integrity during long-term operation. </w:t>
      </w:r>
    </w:p>
    <w:p w14:paraId="28DF5919" w14:textId="7330630A" w:rsidR="00B53C39" w:rsidRPr="003E0254" w:rsidRDefault="00DA35C9">
      <w:pPr>
        <w:spacing w:line="276" w:lineRule="auto"/>
        <w:jc w:val="both"/>
      </w:pPr>
      <w:r w:rsidRPr="003E0254">
        <w:t xml:space="preserve">One alternative approach involves using powder-based materials that are compressed onto conductive substrates. This method enhances mass loadings and allows for the incorporation of electrode additives that can improve the electrochemical performance of electrodes. </w:t>
      </w:r>
      <w:r w:rsidRPr="003E0254">
        <w:rPr>
          <w:lang w:val="pl-PL"/>
        </w:rPr>
        <w:t>Zinc</w:t>
      </w:r>
      <w:r w:rsidR="0004055E" w:rsidRPr="003E0254">
        <w:fldChar w:fldCharType="begin" w:fldLock="1"/>
      </w:r>
      <w:r w:rsidR="00500B8D" w:rsidRPr="003E0254">
        <w:rPr>
          <w:lang w:val="pl-PL"/>
        </w:rPr>
        <w:instrText xml:space="preserve">ADDIN CSL_CITATION {"citationItems":[{"id":"ITEM-1","itemData":{"DOI":"10.1021/ACS.CHEMMATER.7B00754/ASSET/IMAGES/LARGE/CM-2017-00754E_0008.JPEG","ISSN":"15205002","abstract":"Zinc alkaline anodes command significant share of consumer battery markets and are a key technology for the emerging grid-scale battery market. Improved understanding of this electrode is required for long-cycle deployments at kWh and MWh scale due to strict requirements on performance, cost, and safety. Here we give a modern literature survey of zinc alkaline anodes with levelized performance metrics and also present an experimental assessment of leading formulations. Long-cycle materials characterization, performance metrics, and failure analysis are reported for over 25 unique anode formulations with up to 1500 cycles and </w:instrText>
      </w:r>
      <w:r w:rsidR="00500B8D" w:rsidRPr="003E0254">
        <w:rPr>
          <w:rFonts w:ascii="Cambria Math" w:hAnsi="Cambria Math" w:cs="Cambria Math"/>
          <w:lang w:val="pl-PL"/>
        </w:rPr>
        <w:instrText>∼</w:instrText>
      </w:r>
      <w:r w:rsidR="00500B8D" w:rsidRPr="003E0254">
        <w:rPr>
          <w:lang w:val="pl-PL"/>
        </w:rPr>
        <w:instrText>1.5 years of shelf life per test. Statistical repeatability of these measurements is made for a baseline design (fewest additives) via 15 duplicates. Baseline design capacity density is 38 mAh per mL of anode volume, and lifetime throughput is 72 Ah per mL of anode volume. We then report identical measurements for anodes with improved material properties via additives and other perturbations, some of which achieve capacity density over 192 mAh per mL of anode volume and lifetime throughput of 190 Ah per mL of anode volume. Novel in operando X-ray microscopy of a cycling zinc paste anode reveals the formation of a nanoscale zinc material that cycles electrochemically and replaces the original anode structure over long-cycle life. Ex situ elemental mapping and other materials characterization suggest that the key physical processes are hydrogen evolution reaction (HER), growth of zinc oxide nanoscale material, concentration deficits of OH- and ZnOH42-, and electrodeposition of Zn growths outside and through separator membranes.","author":[{"dropping-particle":"","family":"Turney","given":"Damon E.","non-dropping-particle":"","parse-names":false,"suffix":""},{"dropping-particle":"","family":"Gallaway","given":"Joshua W.","non-dropping-particle":"","parse-names":false,"suffix":""},{"dropping-particle":"","family":"Yadav","given":"Gautam G.","non-dropping-particle":"","parse-names":false,"suffix":""},{"dropping-particle":"","family":"Ramirez","given":"Rodolfo","non-dropping-particle":"","parse-names":false,"suffix":""},{"dropping-particle":"","family":"Nyce","given":"Michael","non-dropping-particle":"","parse-names":false,"suffix":""},{"dropping-particle":"","family":"Banerjee","given":"Sanjoy","non-dropping-particle":"","parse-names":false,"suffix":""},{"dropping-particle":"","family":"Chen-Wiegart","given":"Yu Chen Karen","non-dropping-particle":"","parse-names":false,"suffix":""},{"dropping-particle":"","family":"Wang","given":"Jun","non-dropping-particle":"","parse-names":false,"suffix":""},{"dropping-particle":"","family":"D'Ambrose","given":"Michael J.","non-dropping-particle":"","parse-names":false,"suffix":""},{"dropping-particle":"","family":"Kolhekar","given":"Snehal","non-dropping-particle":"","parse-names":false,"suffix":""},{"dropping-particle":"","family":"Huang","given":"Jinchao","non-dropping-particle":"","parse-names":false,"suffix":""},{"dropping-particle":"","family":"Wei","given":"Xia","non-dropping-particle":"","parse-names":false,"suffix":""}],"container-title":"Chemistry of Materials","id":"ITEM-1","issue":"11","issued":{"date-parts":[["2017","6","13"]]},"page":"4819-4832","publisher":"American Chemical Society","title":"Rechargeable Zinc Alkaline Anodes for Long-Cycle Energy Storage","type":"article-journal","volume":"29"},"uris":["http://www.mendeley.com/documents/?uuid=3b9bba34-9da5-3059-af2a-788fc2db5317"]}],"mendeley":{"formattedCitation":"&lt;sup&gt;[200]&lt;/sup&gt;","plainTextFormattedCitation":"[200]","previouslyFormattedCitation":"&lt;sup&gt;[199]&lt;/sup&gt;"},"properties":{"noteIndex":0},"schema":"https://github.com/citation-style-language/schema/raw/master/csl-citation.json"}</w:instrText>
      </w:r>
      <w:r w:rsidR="0004055E" w:rsidRPr="003E0254">
        <w:fldChar w:fldCharType="separate"/>
      </w:r>
      <w:r w:rsidR="00500B8D" w:rsidRPr="003E0254">
        <w:rPr>
          <w:noProof/>
          <w:vertAlign w:val="superscript"/>
          <w:lang w:val="pl-PL"/>
        </w:rPr>
        <w:t>[200]</w:t>
      </w:r>
      <w:r w:rsidR="0004055E" w:rsidRPr="003E0254">
        <w:fldChar w:fldCharType="end"/>
      </w:r>
      <w:r w:rsidRPr="003E0254">
        <w:rPr>
          <w:lang w:val="pl-PL"/>
        </w:rPr>
        <w:t xml:space="preserve"> or zinc oxide</w:t>
      </w:r>
      <w:r w:rsidR="0004055E" w:rsidRPr="003E0254">
        <w:fldChar w:fldCharType="begin" w:fldLock="1"/>
      </w:r>
      <w:r w:rsidR="00500B8D" w:rsidRPr="003E0254">
        <w:rPr>
          <w:lang w:val="pl-PL"/>
        </w:rPr>
        <w:instrText>ADDIN CSL_CITATION {"citationItems":[{"id":"ITEM-1","itemData":{"DOI":"10.1016/J.JPOWSOUR.2018.06.031","ISSN":"0378-7753","abstract":"Porous ZnO microspheres and globular ZnO are synthesized by facile hydrothermal methods and the electrochemical performance as negative active ingredient of zinc-nickel secondary battery is compared with commercial ZnO. Throughout the process, we first characterize the material by X-ray diffraction (XRD) to confirm the samples and the morphology of the samples before and after charge-discharge process is determined by scanning electron microscope (SEM). Also, Brunauer-Emmett-Teller (BET) measures the specific surface area which plays a vital role in the galvanostatic charge-discharge measurements, cyclic voltammograms (CV) and electrochemical impedance spectroscopy (EIS). Porous ZnO whose maximum discharge specific capacity is up to 643.2 mAh g−1 (coulomb efficiency 97.60%) has outstanding cycling performance and large discharge capacity due to the porous structure and the large specific surface area, and the specific capacity remains essentially above 600 mAh g−1 in the first 600 cycles after the pre-activation process. In addition, the high rate performance of porous ZnO is also examined to demonstrate that porous ZnO as negative active ingredient of zinc-nickel secondary battery has good discharge properties under a large current density.","author":[{"dropping-particle":"","family":"Wang","given":"Limin","non-dropping-particle":"","parse-names":false,"suffix":""},{"dropping-particle":"","family":"Yang","given":"Zhanhong","non-dropping-particle":"","parse-names":false,"suffix":""},{"dropping-particle":"","family":"Chen","given":"Xi","non-dropping-particle":"","parse-names":false,"suffix":""},{"dropping-particle":"","family":"Qin","given":"Haigang","non-dropping-particle":"","parse-names":false,"suffix":""},{"dropping-particle":"","family":"Yan","given":"Peng","non-dropping-particle":"","parse-names":false,"suffix":""}],"container-title":"Journal of Power Sources","id":"ITEM-1","issued":{"date-parts":[["2018","8","31"]]},"page":"615-620","publisher":"Elsevier","title":"Formation of porous ZnO microspheres and its application as anode material with superior cycle stability in zinc-nickel secondary batteries","type":"article-journal","volume":"396"},"uris":["http://www.mendeley.com/documents/?uuid=74104f64-10fe-3080-ab6f-71e626c864ef"]}],"mendeley":{"formattedCitation":"&lt;sup&gt;[201]&lt;/sup&gt;","plainTextFormattedCitation":"[201]","previouslyFormattedCitation":"&lt;sup&gt;[200]&lt;/sup&gt;"},"properties":{"noteIndex":0},"schema":"https://github.com/citation-style-language/schema/raw/master/csl-citation.json"}</w:instrText>
      </w:r>
      <w:r w:rsidR="0004055E" w:rsidRPr="003E0254">
        <w:fldChar w:fldCharType="separate"/>
      </w:r>
      <w:r w:rsidR="00500B8D" w:rsidRPr="003E0254">
        <w:rPr>
          <w:noProof/>
          <w:vertAlign w:val="superscript"/>
          <w:lang w:val="pl-PL"/>
        </w:rPr>
        <w:t>[201]</w:t>
      </w:r>
      <w:r w:rsidR="0004055E" w:rsidRPr="003E0254">
        <w:fldChar w:fldCharType="end"/>
      </w:r>
      <w:r w:rsidRPr="003E0254">
        <w:rPr>
          <w:lang w:val="pl-PL"/>
        </w:rPr>
        <w:t xml:space="preserve"> powders are commonly used to fabricate electrodes. </w:t>
      </w:r>
      <w:r w:rsidRPr="003E0254">
        <w:t>These anodes have demonstrated stable cycling for several hundred cycles while maintaining high specific capacities. This method even allows for the preparation of anodes for flexible zinc-air batteries, achieving relatively high performance.</w:t>
      </w:r>
      <w:r w:rsidR="0004055E" w:rsidRPr="003E0254">
        <w:fldChar w:fldCharType="begin" w:fldLock="1"/>
      </w:r>
      <w:r w:rsidR="00500B8D" w:rsidRPr="003E0254">
        <w:instrText>ADDIN CSL_CITATION {"citationItems":[{"id":"ITEM-1","itemData":{"DOI":"10.1039/C5EE03404C","ISSN":"1754-5706","abstract":"Rechargeable zinc–air batteries, having high energy densities and cost-effectiveness, are important environmentally-benign energy storage solutions. Here we developed a facile strategy for fabricating a nanoporous alkaline-exchange electrolyte membrane from natural cellulose nanofibres, exhibiting high ionic-conductivity and water retention as well as high bending flexibility. These advantages render the membrane a promising solid-state electrolyte for rechargeable zinc–air batteries in lightweight and flexible electronic applications.","author":[{"dropping-particle":"","family":"Fu","given":"Jing","non-dropping-particle":"","parse-names":false,"suffix":""},{"dropping-particle":"","family":"Zhang","given":"Jing","non-dropping-particle":"","parse-names":false,"suffix":""},{"dropping-particle":"","family":"Song","given":"Xueping","non-dropping-particle":"","parse-names":false,"suffix":""},{"dropping-particle":"","family":"Zarrin","given":"Hadis","non-dropping-particle":"","parse-names":false,"suffix":""},{"dropping-particle":"","family":"Tian","given":"Xiaofei","non-dropping-particle":"","parse-names":false,"suffix":""},{"dropping-particle":"","family":"Qiao","given":"Jinli","non-dropping-particle":"","parse-names":false,"suffix":""},{"dropping-particle":"","family":"Rasen","given":"Lathanken","non-dropping-particle":"","parse-names":false,"suffix":""},{"dropping-particle":"","family":"Li","given":"Kecheng","non-dropping-particle":"","parse-names":false,"suffix":""},{"dropping-particle":"","family":"Chen","given":"Zhongwei","non-dropping-particle":"","parse-names":false,"suffix":""}],"container-title":"Energy &amp; Environmental Science","id":"ITEM-1","issue":"2","issued":{"date-parts":[["2016","2","9"]]},"page":"663-670","publisher":"The Royal Society of Chemistry","title":"A flexible solid-state electrolyte for wide-scale integration of rechargeable zinc–air batteries","type":"article-journal","volume":"9"},"uris":["http://www.mendeley.com/documents/?uuid=60d0ecd7-d625-3204-9a13-c3c42d062705"]}],"mendeley":{"formattedCitation":"&lt;sup&gt;[202]&lt;/sup&gt;","plainTextFormattedCitation":"[202]","previouslyFormattedCitation":"&lt;sup&gt;[201]&lt;/sup&gt;"},"properties":{"noteIndex":0},"schema":"https://github.com/citation-style-language/schema/raw/master/csl-citation.json"}</w:instrText>
      </w:r>
      <w:r w:rsidR="0004055E" w:rsidRPr="003E0254">
        <w:fldChar w:fldCharType="separate"/>
      </w:r>
      <w:r w:rsidR="00500B8D" w:rsidRPr="003E0254">
        <w:rPr>
          <w:noProof/>
          <w:vertAlign w:val="superscript"/>
        </w:rPr>
        <w:t>[202]</w:t>
      </w:r>
      <w:r w:rsidR="0004055E" w:rsidRPr="003E0254">
        <w:fldChar w:fldCharType="end"/>
      </w:r>
      <w:r w:rsidRPr="003E0254">
        <w:t xml:space="preserve"> However, challenges remain mostly regarding the structural integrity of the electrodes after many cycles.   </w:t>
      </w:r>
    </w:p>
    <w:p w14:paraId="4E1ACA13" w14:textId="3374DEB1" w:rsidR="00B53C39" w:rsidRPr="003E0254" w:rsidRDefault="00DA35C9">
      <w:pPr>
        <w:spacing w:line="276" w:lineRule="auto"/>
        <w:jc w:val="both"/>
      </w:pPr>
      <w:r w:rsidRPr="003E0254">
        <w:t>Zinc anode alloying is another emerging strategy for enhancing the corrosion resistance and cycling performance of zinc-air batteries. Various metal</w:t>
      </w:r>
      <w:r w:rsidR="006111A8" w:rsidRPr="003E0254">
        <w:t>s</w:t>
      </w:r>
      <w:r w:rsidRPr="003E0254">
        <w:t>, such as aluminum (Al), bismuth (Bi), indium (In), and lead (Pb), can be added to the zinc matrix to modify its electrochemical properties.</w:t>
      </w:r>
      <w:r w:rsidR="00D0617D" w:rsidRPr="003E0254">
        <w:fldChar w:fldCharType="begin" w:fldLock="1"/>
      </w:r>
      <w:r w:rsidR="00500B8D" w:rsidRPr="003E0254">
        <w:instrText>ADDIN CSL_CITATION {"citationItems":[{"id":"ITEM-1","itemData":{"DOI":"10.1021/ACSENERGYLETT.2C01960/ASSET/IMAGES/LARGE/NZ2C01960_0014.JPEG","ISSN":"23808195","abstract":"Owing to the advantages of low cost, high energy density, and environment friendly, aqueous zinc ion batteries (AZIBs) are considered as promising energy storage devices. Inevitable zinc dendrites, corrosion, passivation, and hydrogen evolution reactions of zinc anodes have seriously hampered the practical application of AZIBs. To address the above-mentioned issues, zinc anode alloying is proposed as an emerging modification strategy. Therefore, it is essential to systematically summarize the obtained research results on zinc alloying strategies and analyze new perspectives. Based on the presented studies on zinc alloying anode, different improvement mechanisms are described, such as an artificial interface alloy protective layer, an electrostatic shielding effect, heterogeneous seeds as zincophilic sites, vertical plane matching strategy, etc. According to the different synthesis methods and mechanisms of action, recent advances have been summarized. Finally, the potential development prospects for further upgrading the alloying of zinc anodes are presented.","author":[{"dropping-particle":"","family":"Li","given":"Ruotong","non-dropping-particle":"","parse-names":false,"suffix":""},{"dropping-particle":"","family":"Du","given":"Yingxiao","non-dropping-particle":"","parse-names":false,"suffix":""},{"dropping-particle":"","family":"Li","given":"Yuehua","non-dropping-particle":"","parse-names":false,"suffix":""},{"dropping-particle":"","family":"He","given":"Zhangxing","non-dropping-particle":"","parse-names":false,"suffix":""},{"dropping-particle":"","family":"Dai","given":"Lei","non-dropping-particle":"","parse-names":false,"suffix":""},{"dropping-particle":"","family":"Wang","given":"Ling","non-dropping-particle":"","parse-names":false,"suffix":""},{"dropping-particle":"","family":"Wu","given":"Xianwen","non-dropping-particle":"","parse-names":false,"suffix":""},{"dropping-particle":"","family":"Zhang","given":"Jiujun","non-dropping-particle":"","parse-names":false,"suffix":""},{"dropping-particle":"","family":"Yi","given":"Jin","non-dropping-particle":"","parse-names":false,"suffix":""}],"container-title":"ACS Energy Letters","id":"ITEM-1","issue":"1","issued":{"date-parts":[["2023","1","13"]]},"page":"457-476","publisher":"American Chemical Society","title":"Alloying Strategy for High-Performance Zinc Metal Anodes","type":"article-journal","volume":"8"},"uris":["http://www.mendeley.com/documents/?uuid=a0001f92-b138-3789-bcf6-59db74535613"]},{"id":"ITEM-2","itemData":{"DOI":"10.1039/C8EE01991F","ISSN":"1754-5706","abstract":"As a promising energy storage device, the rechargeable zinc–air battery (RZAB) has attracted increasing attention because of its high energy density, cost-effectiveness, and high safety, and the rich abundance of zinc, as well as its environmental benignity. However, the widespread application of RZABs still faces considerable challenges derived from zinc-electrodes, electrolytes, and air-electrodes. In this paper, specific attention is given to RZAB zinc-electrode materials and fabrication with focus on the fundamental understanding of zinc-electrode reaction mechanisms, technical challenges, mitigation strategies, and perspectives. Particularly, the approaches to overcome the challenges are also presented and analyzed for facilitating further research and development of RZABs.","author":[{"dropping-particle":"","family":"Yi","given":"Jin","non-dropping-particle":"","parse-names":false,"suffix":""},{"dropping-particle":"","family":"Liang","given":"Pengcheng","non-dropping-particle":"","parse-names":false,"suffix":""},{"dropping-particle":"","family":"Liu","given":"Xiaoyu","non-dropping-particle":"","parse-names":false,"suffix":""},{"dropping-particle":"","family":"Wu","given":"Kai","non-dropping-particle":"","parse-names":false,"suffix":""},{"dropping-particle":"","family":"Liu","given":"Yuyu","non-dropping-particle":"","parse-names":false,"suffix":""},{"dropping-particle":"","family":"Wang","given":"Yonggang","non-dropping-particle":"","parse-names":false,"suffix":""},{"dropping-particle":"","family":"Xia","given":"Yongyao","non-dropping-particle":"","parse-names":false,"suffix":""},{"dropping-particle":"","family":"Zhang","given":"Jiujun","non-dropping-particle":"","parse-names":false,"suffix":""}],"container-title":"Energy &amp; Environmental Science","id":"ITEM-2","issue":"11","issued":{"date-parts":[["2018","11","7"]]},"page":"3075-3095","publisher":"The Royal Society of Chemistry","title":"Challenges, mitigation strategies and perspectives in development of zinc-electrode materials and fabrication for rechargeable zinc–air batteries","type":"article-journal","volume":"11"},"uris":["http://www.mendeley.com/documents/?uuid=9973e7fa-7408-3e55-aa97-f16ccacceeb7"]}],"mendeley":{"formattedCitation":"&lt;sup&gt;[131,207]&lt;/sup&gt;","plainTextFormattedCitation":"[131,207]","previouslyFormattedCitation":"&lt;sup&gt;[130,206]&lt;/sup&gt;"},"properties":{"noteIndex":0},"schema":"https://github.com/citation-style-language/schema/raw/master/csl-citation.json"}</w:instrText>
      </w:r>
      <w:r w:rsidR="00D0617D" w:rsidRPr="003E0254">
        <w:fldChar w:fldCharType="separate"/>
      </w:r>
      <w:r w:rsidR="00500B8D" w:rsidRPr="003E0254">
        <w:rPr>
          <w:noProof/>
          <w:vertAlign w:val="superscript"/>
        </w:rPr>
        <w:t>[131,207]</w:t>
      </w:r>
      <w:r w:rsidR="00D0617D" w:rsidRPr="003E0254">
        <w:fldChar w:fldCharType="end"/>
      </w:r>
      <w:r w:rsidRPr="003E0254">
        <w:t xml:space="preserve"> For instance, Peng et al. developed Zn-Sn alloys using a powder sintering method, which showed improved cycling stability compared to pure zinc.</w:t>
      </w:r>
      <w:r w:rsidR="00D0617D" w:rsidRPr="003E0254">
        <w:fldChar w:fldCharType="begin" w:fldLock="1"/>
      </w:r>
      <w:r w:rsidR="000F0B1D" w:rsidRPr="003E0254">
        <w:instrText>ADDIN CSL_CITATION {"citationItems":[{"id":"ITEM-1","itemData":{"DOI":"10.1016/J.JPOWSOUR.2022.231173","ISSN":"0378-7753","abstract":"Zinc (Zn) based metal-air battery has been considered as one of promising candidates for the next-generation batteries due to its high theoretical specific capacity and abundant reserve. However, Zn electrode is susceptible to dendrite growth and corrosion depravation in the long cycling process, causing capacity decline and short lifespan. Herein, a novel zinc-stannum (Zn–Sn) alloy electrode has been facilely prepared through powder sintering technology to restrain the dendrite growing and promote the corrosion resistance. Compared with pure Zn foil electrode, the optimized Zn–Sn10 alloy electrode exhibited a lower voltage hysteresis of 119 mV and a better topography with non-dendrite after cycling 400 h at 0.5 mA cm−2. Meanwhile, the Zn corrosion resistance in alkaline electrolyte has been significantly improved. Theoretical calculations also account for these superiorities by the uniform charge distribution in the superficial ZnSn layer. As a result, the assembled Zn-air battery based on Zn–Sn alloy anode electrode showed satisfactory power density, rate properties and cycling life. This research provides a facile and cost-efficient strategy to stabilize Zn anode and holds great promise in developing high-performance rechargeable Zn-based battery energy systems.","author":[{"dropping-particle":"","family":"Peng","given":"Yumeng","non-dropping-particle":"","parse-names":false,"suffix":""},{"dropping-particle":"","family":"Lai","given":"Changang","non-dropping-particle":"","parse-names":false,"suffix":""},{"dropping-particle":"","family":"Zhang","given":"Ming","non-dropping-particle":"","parse-names":false,"suffix":""},{"dropping-particle":"","family":"Liu","given":"Xianbin","non-dropping-particle":"","parse-names":false,"suffix":""},{"dropping-particle":"","family":"Yin","given":"Yanhong","non-dropping-particle":"","parse-names":false,"suffix":""},{"dropping-particle":"","family":"Li","given":"Yesheng","non-dropping-particle":"","parse-names":false,"suffix":""},{"dropping-particle":"","family":"Wu","given":"Ziping","non-dropping-particle":"","parse-names":false,"suffix":""}],"container-title":"Journal of Power Sources","id":"ITEM-1","issued":{"date-parts":[["2022","4","1"]]},"page":"231173","publisher":"Elsevier","title":"Zn–Sn alloy anode with repressible dendrite grown and meliorative corrosion resistance for Zn-air battery","type":"article-journal","volume":"526"},"uris":["http://www.mendeley.com/documents/?uuid=c2eb49fa-18b1-3d51-8502-b41b0a6d2815"]}],"mendeley":{"formattedCitation":"&lt;sup&gt;[39]&lt;/sup&gt;","plainTextFormattedCitation":"[39]","previouslyFormattedCitation":"&lt;sup&gt;[39]&lt;/sup&gt;"},"properties":{"noteIndex":0},"schema":"https://github.com/citation-style-language/schema/raw/master/csl-citation.json"}</w:instrText>
      </w:r>
      <w:r w:rsidR="00D0617D" w:rsidRPr="003E0254">
        <w:fldChar w:fldCharType="separate"/>
      </w:r>
      <w:r w:rsidR="000F0B1D" w:rsidRPr="003E0254">
        <w:rPr>
          <w:noProof/>
          <w:vertAlign w:val="superscript"/>
        </w:rPr>
        <w:t>[39]</w:t>
      </w:r>
      <w:r w:rsidR="00D0617D" w:rsidRPr="003E0254">
        <w:fldChar w:fldCharType="end"/>
      </w:r>
      <w:r w:rsidRPr="003E0254">
        <w:t xml:space="preserve"> Similarly, other studies with alloys consisting of nickel and indium</w:t>
      </w:r>
      <w:r w:rsidR="00D0617D" w:rsidRPr="003E0254">
        <w:fldChar w:fldCharType="begin" w:fldLock="1"/>
      </w:r>
      <w:r w:rsidR="00500B8D" w:rsidRPr="003E0254">
        <w:instrText>ADDIN CSL_CITATION {"citationItems":[{"id":"ITEM-1","itemData":{"DOI":"10.1016/J.JPOWSOUR.2006.02.019","ISSN":"0378-7753","abstract":"In our continued efforts for improving the performance of zinc anodes for a Zn/air battery, we now report the preparation of three alloys and improved performances of anodes made up with these alloys. The alloys contained zinc, nickel, and indium with different weight percentages and were calcined at two different temperatures. Out of the six alloys, the alloy which has a composition of zinc 90%, nickel 7.5% and Indium 2.5% and fired at 500 °C is found to be the best. In the case of the hydrogen evolution reaction, this alloy had its potential shifted to a more negative potential. As far as the cyclic voltammograms were concerned, the difference between the anodic and cathodic part was minimal when compared with other alloys. Surprisingly, this alloy had reversibility even after 100 cycles of the cyclic voltammogram. This is a clear indication that dendrite formation was reduced to a considerable extent. Images taken with a scanning electron microscope also indicated reduced dendrite formation. © 2006 Elsevier B.V. All rights reserved.","author":[{"dropping-particle":"","family":"Lee","given":"Chang Woo","non-dropping-particle":"","parse-names":false,"suffix":""},{"dropping-particle":"","family":"Sathiyanarayanan","given":"K.","non-dropping-particle":"","parse-names":false,"suffix":""},{"dropping-particle":"","family":"Eom","given":"Seung Wook","non-dropping-particle":"","parse-names":false,"suffix":""},{"dropping-particle":"","family":"Yun","given":"Mun Soo","non-dropping-particle":"","parse-names":false,"suffix":""}],"container-title":"Journal of Power Sources","id":"ITEM-1","issue":"2","issued":{"date-parts":[["2006","10","6"]]},"page":"1436-1441","publisher":"Elsevier","title":"Novel alloys to improve the electrochemical behavior of zinc anodes for zinc/air battery","type":"article-journal","volume":"160"},"uris":["http://www.mendeley.com/documents/?uuid=d84b17cf-9450-3c7f-8cff-58aac7807d0c"]}],"mendeley":{"formattedCitation":"&lt;sup&gt;[208]&lt;/sup&gt;","plainTextFormattedCitation":"[208]","previouslyFormattedCitation":"&lt;sup&gt;[207]&lt;/sup&gt;"},"properties":{"noteIndex":0},"schema":"https://github.com/citation-style-language/schema/raw/master/csl-citation.json"}</w:instrText>
      </w:r>
      <w:r w:rsidR="00D0617D" w:rsidRPr="003E0254">
        <w:fldChar w:fldCharType="separate"/>
      </w:r>
      <w:r w:rsidR="00500B8D" w:rsidRPr="003E0254">
        <w:rPr>
          <w:noProof/>
          <w:vertAlign w:val="superscript"/>
        </w:rPr>
        <w:t>[208]</w:t>
      </w:r>
      <w:r w:rsidR="00D0617D" w:rsidRPr="003E0254">
        <w:fldChar w:fldCharType="end"/>
      </w:r>
      <w:r w:rsidRPr="003E0254">
        <w:t xml:space="preserve"> or ytterbium and cerium</w:t>
      </w:r>
      <w:r w:rsidR="00D0617D" w:rsidRPr="003E0254">
        <w:fldChar w:fldCharType="begin" w:fldLock="1"/>
      </w:r>
      <w:r w:rsidR="000F0B1D" w:rsidRPr="003E0254">
        <w:instrText>ADDIN CSL_CITATION {"citationItems":[{"id":"ITEM-1","itemData":{"DOI":"10.1016/J.JALLCOM.2023.172523","ISSN":"0925-8388","abstract":"Zinc-air batteries have garnered significant attention owing to their high energy density and substantial anode active substance storage. Despite their potential advantages, the application of zinc-air batteries has been hindered in various domains by rapid performance degradation and reduced service life caused by zinc dendrite growth during cycling. This study presents a method of alloying zinc anodes with rare earth metals, such as Ce and Yb, as well as alkaline earth metal Mg to mitigate the growth of zinc dendrites. This is achieved by altering the anisotropy modulus and intensity at the interface energy of the zinc anode. This approach was verified using a COMSOL phase-field model based on an experimental study. The findings demonstrate that the optimal suppression of zinc dendrite growth was achieved with the anisotropy modulus of 6 and the inhibition efficiency is 35%. Moreover, the degree of anisotropic intensity exhibited by the interfacial energy was inversely proportional to the inhibition of zinc dendrite growth. The most effective approach to inhibit dendrite growth involved using a zinc anode composition of 98% Zn–2% Mg and 93.5% Zn–6.5% Yb. The addition of Ce into the zinc anode was found to increase the anisotropy modulus of the anode interface energy, changing the direction and decreasing the height of zinc dendrite growth. Similarly, the addition of Yb to the zinc anode decreased the anisotropic intensity of the interface energy, thereby impeding the growth of the main stem dendrite.","author":[{"dropping-particle":"","family":"Yuan","given":"Xingping","non-dropping-particle":"","parse-names":false,"suffix":""},{"dropping-particle":"","family":"He","given":"Cuiping","non-dropping-particle":"","parse-names":false,"suffix":""},{"dropping-particle":"","family":"Wang","given":"Jianguo","non-dropping-particle":"","parse-names":false,"suffix":""},{"dropping-particle":"","family":"You","given":"Xiang","non-dropping-particle":"","parse-names":false,"suffix":""},{"dropping-particle":"","family":"Chen","given":"Yuanliang","non-dropping-particle":"","parse-names":false,"suffix":""},{"dropping-particle":"","family":"Gou","given":"Qingyi","non-dropping-particle":"","parse-names":false,"suffix":""},{"dropping-particle":"","family":"Yang","given":"Ni","non-dropping-particle":"","parse-names":false,"suffix":""},{"dropping-particle":"","family":"Xie","given":"Gang","non-dropping-particle":"","parse-names":false,"suffix":""},{"dropping-particle":"","family":"Hou","given":"Yanqing","non-dropping-particle":"","parse-names":false,"suffix":""}],"container-title":"Journal of Alloys and Compounds","id":"ITEM-1","issued":{"date-parts":[["2024","1","5"]]},"page":"172523","publisher":"Elsevier","title":"Inhibition of zinc dendrite growth in zinc-air batteries by alloying the anode with Ce and Yb","type":"article-journal","volume":"970"},"uris":["http://www.mendeley.com/documents/?uuid=ef46da8e-95a2-3794-9047-638f09096629"]}],"mendeley":{"formattedCitation":"&lt;sup&gt;[40]&lt;/sup&gt;","plainTextFormattedCitation":"[40]","previouslyFormattedCitation":"&lt;sup&gt;[40]&lt;/sup&gt;"},"properties":{"noteIndex":0},"schema":"https://github.com/citation-style-language/schema/raw/master/csl-citation.json"}</w:instrText>
      </w:r>
      <w:r w:rsidR="00D0617D" w:rsidRPr="003E0254">
        <w:fldChar w:fldCharType="separate"/>
      </w:r>
      <w:r w:rsidR="000F0B1D" w:rsidRPr="003E0254">
        <w:rPr>
          <w:noProof/>
          <w:vertAlign w:val="superscript"/>
        </w:rPr>
        <w:t>[40]</w:t>
      </w:r>
      <w:r w:rsidR="00D0617D" w:rsidRPr="003E0254">
        <w:fldChar w:fldCharType="end"/>
      </w:r>
      <w:r w:rsidRPr="003E0254">
        <w:t xml:space="preserve"> </w:t>
      </w:r>
      <w:r w:rsidR="00D0617D" w:rsidRPr="003E0254">
        <w:t>e</w:t>
      </w:r>
      <w:r w:rsidRPr="003E0254">
        <w:t xml:space="preserve">xhibited a </w:t>
      </w:r>
      <w:r w:rsidR="004B5EA1" w:rsidRPr="003E0254">
        <w:t>substantial</w:t>
      </w:r>
      <w:r w:rsidRPr="003E0254">
        <w:t xml:space="preserve"> reduction in zinc dendrite formation.   </w:t>
      </w:r>
    </w:p>
    <w:p w14:paraId="67B1B0C1" w14:textId="6CD85483" w:rsidR="00B53C39" w:rsidRPr="003E0254" w:rsidRDefault="00DA35C9">
      <w:pPr>
        <w:spacing w:line="276" w:lineRule="auto"/>
        <w:jc w:val="both"/>
      </w:pPr>
      <w:r w:rsidRPr="003E0254">
        <w:t>In addition to various fabrication methods for zinc anodes, incorporating electrode additives is a promising approach to enhance the performance of zinc electrodes. This enhancement primarily focuses on improving electrical conductivity, reducing corrosion, and lowering overpotentials</w:t>
      </w:r>
      <w:r w:rsidR="00D0617D" w:rsidRPr="003E0254">
        <w:t>.</w:t>
      </w:r>
      <w:r w:rsidR="00D0617D" w:rsidRPr="003E0254">
        <w:fldChar w:fldCharType="begin" w:fldLock="1"/>
      </w:r>
      <w:r w:rsidR="00500B8D" w:rsidRPr="003E0254">
        <w:instrText>ADDIN CSL_CITATION {"citationItems":[{"id":"ITEM-1","itemData":{"DOI":"10.1002/ER.3822","ISSN":"1099-114X","abstract":"Electricity will increasingly be produced from sources that are geographically decentralized and/or intermittent in their nature. In consequents, there is an urgent need to increase the storage of energy to guarantee the continuity of energy supply. Rechargeable zinc-air battery is a promising technology due to the high theoretical energy density and the abundant and environmentally benign materials that are used. In the state of the art, the information about secondary zinc anode for rechargeable zinc-air batteries is scarce. The main development of the technology has been lately concentrated on the bifunctional air electrodes while the used zinc anode is mainly based on a planar zinc electrode providing low specific energy densities for the full system. This overview compiles the available information in the literature regarding the development and manufacturing of zinc anodes for electrical rechargeable batteries applications, where secondary porous zinc electrodes are generally desired. In this context, the zinc-based anode electrode composition (namely, active material, binder, conductive material, current collector, and additives), pretreatments, and processing techniques are described and their impact on the zinc anode performance analyzed.","author":[{"dropping-particle":"","family":"Mainar","given":"Aroa R.","non-dropping-particle":"","parse-names":false,"suffix":""},{"dropping-particle":"","family":"Colmenares","given":"Luis C.","non-dropping-particle":"","parse-names":false,"suffix":""},{"dropping-particle":"","family":"Blázquez","given":"J. Alberto","non-dropping-particle":"","parse-names":false,"suffix":""},{"dropping-particle":"","family":"Urdampilleta","given":"Idoia","non-dropping-particle":"","parse-names":false,"suffix":""}],"container-title":"International Journal of Energy Research","id":"ITEM-1","issue":"3","issued":{"date-parts":[["2018","3","10"]]},"page":"903-918","publisher":"John Wiley &amp; Sons, Ltd","title":"A brief overview of secondary zinc anode development: The key of improving zinc-based energy storage systems","type":"article-journal","volume":"42"},"uris":["http://www.mendeley.com/documents/?uuid=88ff8ea0-97a0-39c2-8896-1d3235fbafb4"]}],"mendeley":{"formattedCitation":"&lt;sup&gt;[222]&lt;/sup&gt;","plainTextFormattedCitation":"[222]","previouslyFormattedCitation":"&lt;sup&gt;[221]&lt;/sup&gt;"},"properties":{"noteIndex":0},"schema":"https://github.com/citation-style-language/schema/raw/master/csl-citation.json"}</w:instrText>
      </w:r>
      <w:r w:rsidR="00D0617D" w:rsidRPr="003E0254">
        <w:fldChar w:fldCharType="separate"/>
      </w:r>
      <w:r w:rsidR="00500B8D" w:rsidRPr="003E0254">
        <w:rPr>
          <w:noProof/>
          <w:vertAlign w:val="superscript"/>
        </w:rPr>
        <w:t>[222]</w:t>
      </w:r>
      <w:r w:rsidR="00D0617D" w:rsidRPr="003E0254">
        <w:fldChar w:fldCharType="end"/>
      </w:r>
      <w:r w:rsidRPr="003E0254">
        <w:t xml:space="preserve"> Additives can be classified into several categories: metals and metal (hydro-)oxides, conductive agents, organic additives, and coating layers. For example, Al</w:t>
      </w:r>
      <w:r w:rsidRPr="003E0254">
        <w:rPr>
          <w:vertAlign w:val="subscript"/>
        </w:rPr>
        <w:t>2</w:t>
      </w:r>
      <w:r w:rsidRPr="003E0254">
        <w:t>O</w:t>
      </w:r>
      <w:r w:rsidRPr="003E0254">
        <w:rPr>
          <w:vertAlign w:val="subscript"/>
        </w:rPr>
        <w:t>3</w:t>
      </w:r>
      <w:r w:rsidR="00D0617D" w:rsidRPr="003E0254">
        <w:rPr>
          <w:vertAlign w:val="subscript"/>
        </w:rPr>
        <w:fldChar w:fldCharType="begin" w:fldLock="1"/>
      </w:r>
      <w:r w:rsidR="00500B8D" w:rsidRPr="003E0254">
        <w:rPr>
          <w:vertAlign w:val="subscript"/>
        </w:rPr>
        <w:instrText>ADDIN CSL_CITATION {"citationItems":[{"id":"ITEM-1","itemData":{"DOI":"10.1016/J.JPOWSOUR.2012.11.046","ISSN":"0378-7753","abstract":"The self-discharge of Zn anode material is identified as a main factor that can limit the energy density of alkaline Zn-air batteries. Al2O 3 has most positive effect on controlling the hydrogen evolution reaction accompanied by corroding Zn anode among various additives. The overpotential for hydrogen evolution is measured by potentio-dynamic polarization analysis. Al-oxide with high overpotential for hydrogen evolution reaction is uniformly coated on the surface of Zn powders via chemical solution process. The morphology and composition of the surface-treated and pristine Zn powders are characterized by SEM, EDS, XRD and XPS analyses. Aluminum is distributed homogeneously over the surface of modified Zn powders, indicating uniform coating of Al-oxide, and O1s and Al2p spectra further identified surface coating layer to be the Al-oxide. The Al-oxide coating layer can prevent Zn from exposing to the KOH electrolyte, resulting in minimizing the side reactions within batteries. The 0.25 wt.% aluminum oxide coated Zn anode material provides discharging time of more than 10 h, while the pristine Zn anode delivers only 7 h at 25 mA cm-2. Consequently, a surface-treated Zn electrode can reduce self-discharge which is induced by side reaction such as H2 evolution, resulting in increasing discharge capacity. © 2012 Elsevier B.V. All rights reserved.","author":[{"dropping-particle":"","family":"Lee","given":"Sang Min","non-dropping-particle":"","parse-names":false,"suffix":""},{"dropping-particle":"","family":"Kim","given":"Yeon Joo","non-dropping-particle":"","parse-names":false,"suffix":""},{"dropping-particle":"","family":"Eom","given":"Seung Wook","non-dropping-particle":"","parse-names":false,"suffix":""},{"dropping-particle":"","family":"Choi","given":"Nam Soon","non-dropping-particle":"","parse-names":false,"suffix":""},{"dropping-particle":"","family":"Kim","given":"Ki Won","non-dropping-particle":"","parse-names":false,"suffix":""},{"dropping-particle":"","family":"Cho","given":"Sung Baek","non-dropping-particle":"","parse-names":false,"suffix":""}],"container-title":"Journal of Power Sources","id":"ITEM-1","issued":{"date-parts":[["2013","4","1"]]},"page":"177-184","publisher":"Elsevier","title":"Improvement in self-discharge of Zn anode by applying surface modification for Zn–air batteries with high energy density","type":"article-journal","volume":"227"},"uris":["http://www.mendeley.com/documents/?uuid=2c5e5030-40ef-318d-9828-a47f808e6f55"]}],"mendeley":{"formattedCitation":"&lt;sup&gt;[184]&lt;/sup&gt;","plainTextFormattedCitation":"[184]","previouslyFormattedCitation":"&lt;sup&gt;[183]&lt;/sup&gt;"},"properties":{"noteIndex":0},"schema":"https://github.com/citation-style-language/schema/raw/master/csl-citation.json"}</w:instrText>
      </w:r>
      <w:r w:rsidR="00D0617D" w:rsidRPr="003E0254">
        <w:rPr>
          <w:vertAlign w:val="subscript"/>
        </w:rPr>
        <w:fldChar w:fldCharType="separate"/>
      </w:r>
      <w:r w:rsidR="00500B8D" w:rsidRPr="003E0254">
        <w:rPr>
          <w:noProof/>
          <w:vertAlign w:val="superscript"/>
        </w:rPr>
        <w:t>[184]</w:t>
      </w:r>
      <w:r w:rsidR="00D0617D" w:rsidRPr="003E0254">
        <w:rPr>
          <w:vertAlign w:val="subscript"/>
        </w:rPr>
        <w:fldChar w:fldCharType="end"/>
      </w:r>
      <w:r w:rsidRPr="003E0254">
        <w:t xml:space="preserve"> or Bi</w:t>
      </w:r>
      <w:r w:rsidRPr="003E0254">
        <w:rPr>
          <w:vertAlign w:val="subscript"/>
        </w:rPr>
        <w:t>2</w:t>
      </w:r>
      <w:r w:rsidRPr="003E0254">
        <w:t>O</w:t>
      </w:r>
      <w:r w:rsidRPr="003E0254">
        <w:rPr>
          <w:vertAlign w:val="subscript"/>
        </w:rPr>
        <w:t>3</w:t>
      </w:r>
      <w:r w:rsidR="00D0617D" w:rsidRPr="003E0254">
        <w:rPr>
          <w:vertAlign w:val="subscript"/>
        </w:rPr>
        <w:fldChar w:fldCharType="begin" w:fldLock="1"/>
      </w:r>
      <w:r w:rsidR="00500B8D" w:rsidRPr="003E0254">
        <w:rPr>
          <w:vertAlign w:val="subscript"/>
        </w:rPr>
        <w:instrText>ADDIN CSL_CITATION {"citationItems":[{"id":"ITEM-1","itemData":{"DOI":"10.1007/S11581-019-02973-Y/TABLES/6","ISSN":"18620760","abstract":"In our continual effort to develop a cost effective rechargeable Zn-air batteries, herewith, we demonstrated Zn anodes comprising of (i) 30 wt.% Zn: 3 wt.% bismuth oxide: 10 wt.% potassium sulfide (ZBK), (ii) 30 wt.% Zn: 3 wt.% bismuth oxide: 5 wt.% lead (II) oxide (ZBP), and (iii) 30 wt.% Zn: 3 wt.% bismuth oxide: 10 wt.% potassium sulfide: 5 wt.% lead (II) oxide additives (ZBKP) in 6 M KOH aqueous solutions and 1.88 wt.% polyacrylic acid as the gelling agent. KOH gel constituted the remaining mass of the anode wt.%. Results were confirmed via cycle voltammetry (CV), Tafel, electrochemical impedance spectroscopy (EIS), etc., measurements. Among the various Zn anodes analyzed, ZBKP showed a superior cathodic peak of − 1.805 and 1.950 V vs. Hg/HgCl at 5th and 40th cycles during electrochemical cycle voltammetry. Tafel fitting on linear polarization test shows that ZBK exhibits the highest corrosion behavior followed by ZBP while ZBKP has the lowest corrosion behavior with an estimated corrosion inhibition efficiency of 36.06%. Furthermore, ZBKP displays the lowest dendrite growth, least corrosion rate, and superior capacity even at 60th cycles compared to ZBK and ZBP. In view of our finding, ZBKP has a higher positive electrode potential compare to ZBK and ZBP electrodes. Thus, ZBKP is the most suitable for aqueous battery due to its low minimal side effect. Field emission-scanning electron microscopy/energy dispersive x-ray spectroscopy (FE-SEM/EDS) images confirm that the various elemental additives were evenly deposited on the Zn anode surface. Ex situ spectroscopy and electrochemical performance studies also verified that the dendrite-free nature of improved Zn anode and the modified interfaces between electrolyte and Zn play vital roles towards advancing the energy storage performance. With all this indices and yard stick, the level of improvement we demonstrated in this current study is attractive for the design of an advanced secondary zinc-air batteries.","author":[{"dropping-particle":"","family":"Aremu","given":"Emmanuel Olugbemisola","non-dropping-particle":"","parse-names":false,"suffix":""},{"dropping-particle":"","family":"Park","given":"Da Jeong","non-dropping-particle":"","parse-names":false,"suffix":""},{"dropping-particle":"","family":"Ryu","given":"Kwang Sun","non-dropping-particle":"","parse-names":false,"suffix":""}],"container-title":"Ionics","id":"ITEM-1","issue":"9","issued":{"date-parts":[["2019","9","1"]]},"page":"4197-4207","publisher":"Institute for Ionics","title":"The effects of anode additives towards suppressing dendrite growth and hydrogen gas evolution reaction in Zn-air secondary batteries","type":"article-journal","volume":"25"},"uris":["http://www.mendeley.com/documents/?uuid=5700cc80-efdb-3d20-ad62-81e691034124"]}],"mendeley":{"formattedCitation":"&lt;sup&gt;[185]&lt;/sup&gt;","plainTextFormattedCitation":"[185]","previouslyFormattedCitation":"&lt;sup&gt;[184]&lt;/sup&gt;"},"properties":{"noteIndex":0},"schema":"https://github.com/citation-style-language/schema/raw/master/csl-citation.json"}</w:instrText>
      </w:r>
      <w:r w:rsidR="00D0617D" w:rsidRPr="003E0254">
        <w:rPr>
          <w:vertAlign w:val="subscript"/>
        </w:rPr>
        <w:fldChar w:fldCharType="separate"/>
      </w:r>
      <w:r w:rsidR="00500B8D" w:rsidRPr="003E0254">
        <w:rPr>
          <w:noProof/>
          <w:vertAlign w:val="superscript"/>
        </w:rPr>
        <w:t>[185]</w:t>
      </w:r>
      <w:r w:rsidR="00D0617D" w:rsidRPr="003E0254">
        <w:rPr>
          <w:vertAlign w:val="subscript"/>
        </w:rPr>
        <w:fldChar w:fldCharType="end"/>
      </w:r>
      <w:r w:rsidRPr="003E0254">
        <w:t xml:space="preserve"> </w:t>
      </w:r>
      <w:r w:rsidR="00D0617D" w:rsidRPr="003E0254">
        <w:t>h</w:t>
      </w:r>
      <w:r w:rsidRPr="003E0254">
        <w:t>ave been shown to positively affect hydrogen evolution overpotentials. Additionally, Ca(OH)</w:t>
      </w:r>
      <w:r w:rsidRPr="003E0254">
        <w:rPr>
          <w:vertAlign w:val="subscript"/>
        </w:rPr>
        <w:t>2</w:t>
      </w:r>
      <w:r w:rsidRPr="003E0254">
        <w:t xml:space="preserve"> can be used as an additive to prevent the diffusion of zincate ions, which helps minimize dendritic growth.</w:t>
      </w:r>
      <w:r w:rsidR="00D0617D" w:rsidRPr="003E0254">
        <w:fldChar w:fldCharType="begin" w:fldLock="1"/>
      </w:r>
      <w:r w:rsidR="00500B8D" w:rsidRPr="003E0254">
        <w:instrText>ADDIN CSL_CITATION {"citationItems":[{"id":"ITEM-1","itemData":{"DOI":"10.1023/A:1017923924121/METRICS","ISSN":"0021891X","abstract":"Calcium zincate was prepared by a chemical coprecipitation method and characterized by scanning electron microscopy (SEM) and X-ray diffraction (XRD). The electrochemical performance of pasted zinc electrodes with bismuth and calcium additives was investigated by the charge-discharge method. The addition of metallic bismuth powder improves the discharge performance of zinc electrodes due to the formation of an electronic conduction matrix. The calcium-containing zinc electrodes showed higher discharge capacity, less shape change and longer cycle lifetime. Moreover, zinc electrodes using calcium zincate as active material show better electrochemical performance than those with the physical mixture of zinc oxide and calcium hydroxide.","author":[{"dropping-particle":"","family":"Zhang","given":"C.","non-dropping-particle":"","parse-names":false,"suffix":""},{"dropping-particle":"","family":"Wang","given":"J. M.","non-dropping-particle":"","parse-names":false,"suffix":""},{"dropping-particle":"","family":"Zhang","given":"L.","non-dropping-particle":"","parse-names":false,"suffix":""},{"dropping-particle":"","family":"Zhang","given":"J. Q.","non-dropping-particle":"","parse-names":false,"suffix":""},{"dropping-particle":"","family":"Cao","given":"C. N.","non-dropping-particle":"","parse-names":false,"suffix":""}],"container-title":"Journal of Applied Electrochemistry","id":"ITEM-1","issue":"9","issued":{"date-parts":[["2001","9"]]},"page":"1049-1054","publisher":"Springer","title":"Study of the performance of secondary alkaline pasted zinc electrodes","type":"article-journal","volume":"31"},"uris":["http://www.mendeley.com/documents/?uuid=c8031086-aa7d-320d-8c6f-fb3012147534"]}],"mendeley":{"formattedCitation":"&lt;sup&gt;[186]&lt;/sup&gt;","plainTextFormattedCitation":"[186]","previouslyFormattedCitation":"&lt;sup&gt;[185]&lt;/sup&gt;"},"properties":{"noteIndex":0},"schema":"https://github.com/citation-style-language/schema/raw/master/csl-citation.json"}</w:instrText>
      </w:r>
      <w:r w:rsidR="00D0617D" w:rsidRPr="003E0254">
        <w:fldChar w:fldCharType="separate"/>
      </w:r>
      <w:r w:rsidR="00500B8D" w:rsidRPr="003E0254">
        <w:rPr>
          <w:noProof/>
          <w:vertAlign w:val="superscript"/>
        </w:rPr>
        <w:t>[186]</w:t>
      </w:r>
      <w:r w:rsidR="00D0617D" w:rsidRPr="003E0254">
        <w:fldChar w:fldCharType="end"/>
      </w:r>
      <w:r w:rsidRPr="003E0254">
        <w:t xml:space="preserve"> The introduction of Super P has also been effective in improving conductivity, leading to enhanced electrochemical performance of the battery.</w:t>
      </w:r>
      <w:r w:rsidR="00D0617D" w:rsidRPr="003E0254">
        <w:fldChar w:fldCharType="begin" w:fldLock="1"/>
      </w:r>
      <w:r w:rsidR="00500B8D" w:rsidRPr="003E0254">
        <w:instrText>ADDIN CSL_CITATION {"citationItems":[{"id":"ITEM-1","itemData":{"DOI":"10.1149/2.007306JES/XML","ISSN":"0013-4651","abstract":"Zinc-air batteries were fabricated using porous zinc anodes with various concentrations of Super P carbon black additive. The introduction of Super P significantly improved the electrochemical performance of the batteries. The specific discharge capacity and power density of the Zn anode with 2 wt% Super P anode was 776 mA h g−1 and 20 mW cm−2, respectively. The batteries also exhibited good durability and stability at an open circuit voltage maintained at approximately 1.4 V. The bridging between Zn powders by Super P may explain the improved electrochemical performance of the batteries. Morphological images and structural properties were also analyzed to support these observations.","author":[{"dropping-particle":"","family":"Masri","given":"Mohamad Najmi","non-dropping-particle":"","parse-names":false,"suffix":""},{"dropping-particle":"","family":"Mohamad","given":"Ahmad Azmin","non-dropping-particle":"","parse-names":false,"suffix":""}],"container-title":"Journal of The Electrochemical Society","id":"ITEM-1","issue":"4","issued":{"date-parts":[["2013","2","26"]]},"page":"A715-A721","publisher":"The Electrochemical Society","title":"Effect of Adding Carbon Black to a Porous Zinc Anode in a Zinc-Air Battery","type":"article-journal","volume":"160"},"uris":["http://www.mendeley.com/documents/?uuid=c50ca99f-d330-3801-9816-62e851846dd6"]}],"mendeley":{"formattedCitation":"&lt;sup&gt;[198]&lt;/sup&gt;","plainTextFormattedCitation":"[198]","previouslyFormattedCitation":"&lt;sup&gt;[197]&lt;/sup&gt;"},"properties":{"noteIndex":0},"schema":"https://github.com/citation-style-language/schema/raw/master/csl-citation.json"}</w:instrText>
      </w:r>
      <w:r w:rsidR="00D0617D" w:rsidRPr="003E0254">
        <w:fldChar w:fldCharType="separate"/>
      </w:r>
      <w:r w:rsidR="00500B8D" w:rsidRPr="003E0254">
        <w:rPr>
          <w:noProof/>
          <w:vertAlign w:val="superscript"/>
        </w:rPr>
        <w:t>[198]</w:t>
      </w:r>
      <w:r w:rsidR="00D0617D" w:rsidRPr="003E0254">
        <w:fldChar w:fldCharType="end"/>
      </w:r>
      <w:r w:rsidRPr="003E0254">
        <w:t xml:space="preserve"> Alternatively, applying a coating layer—either at the particle level or on the electrode surface—can modify </w:t>
      </w:r>
      <w:r w:rsidR="00BD0BAE" w:rsidRPr="003E0254">
        <w:t xml:space="preserve">the </w:t>
      </w:r>
      <w:r w:rsidRPr="003E0254">
        <w:t xml:space="preserve">deposition </w:t>
      </w:r>
      <w:r w:rsidR="00BD0BAE" w:rsidRPr="003E0254">
        <w:t>process</w:t>
      </w:r>
      <w:r w:rsidRPr="003E0254">
        <w:t xml:space="preserve"> and address passivation issues.</w:t>
      </w:r>
      <w:r w:rsidR="00D0617D" w:rsidRPr="003E0254">
        <w:fldChar w:fldCharType="begin" w:fldLock="1"/>
      </w:r>
      <w:r w:rsidR="00500B8D" w:rsidRPr="003E0254">
        <w:instrText>ADDIN CSL_CITATION {"citationItems":[{"id":"ITEM-1","itemData":{"DOI":"10.1016/J.JECHEM.2023.03.049","ISSN":"2095-4956","abstract":"Alkaline Zn-based primary batteries have been commercialized in the past decades. However, their success has not been extended to secondary batteries due to the poor cycle reversibility of Zn anodes. Although some research has been conducted on alkaline Zn anodes, their performance is still far from commercial requirements. A variety of degradation mechanisms, including passivation, dendrites, morphological changes, and hydrogen precipitation, are claimed responsible for the failure of alkaline Zn metal anodes. What's worse, these constraints always interact with each other, which leads to a single strategy being unable to suppress all the issues. Therefore, a comprehensive evaluation of the positive and negative effects of various strategies on performance is important to promote the commercialization of alkaline Zn batteries. Herein, the recent progress and performance of improvement strategies for Zn anode in alkaline conditions are reviewed systematically. First, the principles and challenges of alkaline Zn anodes are briefly analyzed. Then, various design strategies for alkaline Zn anodes from the perspectives of ion and electron regulation are highlighted. Last, through a comprehensive summary of various performance parameters, the advantages and disadvantages of different strategies are compared and evaluated. On the basis of this assessment, we aim to provide more insights into the anode design of high-performance alkaline rechargeable Zn batteries.","author":[{"dropping-particle":"","family":"Yang","given":"Di","non-dropping-particle":"","parse-names":false,"suffix":""},{"dropping-particle":"","family":"Li","given":"Jinsheng","non-dropping-particle":"","parse-names":false,"suffix":""},{"dropping-particle":"","family":"Liu","given":"Changpeng","non-dropping-particle":"","parse-names":false,"suffix":""},{"dropping-particle":"","family":"Xing","given":"Wei","non-dropping-particle":"","parse-names":false,"suffix":""},{"dropping-particle":"","family":"Zhu","given":"Jianbing","non-dropping-particle":"","parse-names":false,"suffix":""}],"container-title":"Journal of Energy Chemistry","id":"ITEM-1","issued":{"date-parts":[["2023","7","1"]]},"page":"122-138","publisher":"Elsevier","title":"Design strategy and comprehensive performance assessment towards Zn anode for alkaline rechargeable batteries","type":"article-journal","volume":"82"},"uris":["http://www.mendeley.com/documents/?uuid=37bfda30-b6fc-4f80-9c35-7b6290b190d2"]}],"mendeley":{"formattedCitation":"&lt;sup&gt;[54]&lt;/sup&gt;","plainTextFormattedCitation":"[54]","previouslyFormattedCitation":"&lt;sup&gt;[53]&lt;/sup&gt;"},"properties":{"noteIndex":0},"schema":"https://github.com/citation-style-language/schema/raw/master/csl-citation.json"}</w:instrText>
      </w:r>
      <w:r w:rsidR="00D0617D" w:rsidRPr="003E0254">
        <w:fldChar w:fldCharType="separate"/>
      </w:r>
      <w:r w:rsidR="00500B8D" w:rsidRPr="003E0254">
        <w:rPr>
          <w:noProof/>
          <w:vertAlign w:val="superscript"/>
        </w:rPr>
        <w:t>[54]</w:t>
      </w:r>
      <w:r w:rsidR="00D0617D" w:rsidRPr="003E0254">
        <w:fldChar w:fldCharType="end"/>
      </w:r>
      <w:r w:rsidRPr="003E0254">
        <w:t xml:space="preserve"> Despite the positive effects of these additives, </w:t>
      </w:r>
      <w:r w:rsidRPr="003E0254">
        <w:lastRenderedPageBreak/>
        <w:t xml:space="preserve">each type has its limitations, ranging from environmental impacts to costs. Therefore, careful attention must be given when selecting additives. </w:t>
      </w:r>
    </w:p>
    <w:p w14:paraId="159F066E" w14:textId="77777777" w:rsidR="00B53C39" w:rsidRPr="003E0254" w:rsidRDefault="00B53C39">
      <w:pPr>
        <w:spacing w:line="276" w:lineRule="auto"/>
      </w:pPr>
    </w:p>
    <w:p w14:paraId="10C67651" w14:textId="3962063A" w:rsidR="00B53C39" w:rsidRPr="003E0254" w:rsidRDefault="00DA35C9">
      <w:pPr>
        <w:pStyle w:val="berschrift4"/>
        <w:spacing w:line="276" w:lineRule="auto"/>
        <w:rPr>
          <w:b/>
          <w:bCs/>
          <w:i w:val="0"/>
          <w:iCs w:val="0"/>
        </w:rPr>
      </w:pPr>
      <w:r w:rsidRPr="003E0254">
        <w:rPr>
          <w:b/>
          <w:bCs/>
          <w:i w:val="0"/>
          <w:iCs w:val="0"/>
        </w:rPr>
        <w:t>2.</w:t>
      </w:r>
      <w:r w:rsidR="003E4F58" w:rsidRPr="003E0254">
        <w:rPr>
          <w:b/>
          <w:bCs/>
          <w:i w:val="0"/>
          <w:iCs w:val="0"/>
        </w:rPr>
        <w:t>4</w:t>
      </w:r>
      <w:r w:rsidRPr="003E0254">
        <w:rPr>
          <w:b/>
          <w:bCs/>
          <w:i w:val="0"/>
          <w:iCs w:val="0"/>
        </w:rPr>
        <w:t>.2 Electrolyte</w:t>
      </w:r>
    </w:p>
    <w:p w14:paraId="3B3053E1" w14:textId="2E57B075" w:rsidR="00595C50" w:rsidRPr="003E0254" w:rsidRDefault="00595C50" w:rsidP="00595C50">
      <w:pPr>
        <w:spacing w:line="276" w:lineRule="auto"/>
        <w:jc w:val="both"/>
      </w:pPr>
      <w:r w:rsidRPr="003E0254">
        <w:t>A suitable electrolyte should have a high ionic conductivity (&gt;10</w:t>
      </w:r>
      <w:r w:rsidRPr="003E0254">
        <w:rPr>
          <w:vertAlign w:val="superscript"/>
        </w:rPr>
        <w:t xml:space="preserve">-4 </w:t>
      </w:r>
      <w:r w:rsidRPr="003E0254">
        <w:t>S</w:t>
      </w:r>
      <w:r w:rsidR="00B13673" w:rsidRPr="003E0254">
        <w:t> </w:t>
      </w:r>
      <w:r w:rsidRPr="003E0254">
        <w:t>cm</w:t>
      </w:r>
      <w:r w:rsidR="00B13673" w:rsidRPr="003E0254">
        <w:rPr>
          <w:vertAlign w:val="superscript"/>
        </w:rPr>
        <w:t>-1</w:t>
      </w:r>
      <w:r w:rsidRPr="003E0254">
        <w:t>) and low electronic conductivity (&lt;10</w:t>
      </w:r>
      <w:r w:rsidRPr="003E0254">
        <w:rPr>
          <w:vertAlign w:val="superscript"/>
        </w:rPr>
        <w:t>-10</w:t>
      </w:r>
      <w:r w:rsidRPr="003E0254">
        <w:t xml:space="preserve"> </w:t>
      </w:r>
      <w:r w:rsidR="00B13673" w:rsidRPr="003E0254">
        <w:t>S cm</w:t>
      </w:r>
      <w:r w:rsidR="00B13673" w:rsidRPr="003E0254">
        <w:rPr>
          <w:vertAlign w:val="superscript"/>
        </w:rPr>
        <w:t>-1</w:t>
      </w:r>
      <w:r w:rsidRPr="003E0254">
        <w:t xml:space="preserve">), a high </w:t>
      </w:r>
      <w:r w:rsidR="00CA3E59" w:rsidRPr="003E0254">
        <w:t>electro</w:t>
      </w:r>
      <w:r w:rsidRPr="003E0254">
        <w:t>chemical stability</w:t>
      </w:r>
      <w:r w:rsidR="00CA3E59" w:rsidRPr="003E0254">
        <w:t xml:space="preserve"> window</w:t>
      </w:r>
      <w:r w:rsidRPr="003E0254">
        <w:t xml:space="preserve">, be of low cost and </w:t>
      </w:r>
      <w:r w:rsidR="00B13673" w:rsidRPr="003E0254">
        <w:t>ensure</w:t>
      </w:r>
      <w:r w:rsidRPr="003E0254">
        <w:t xml:space="preserve"> safety. </w:t>
      </w:r>
      <w:r w:rsidR="00B13673" w:rsidRPr="003E0254">
        <w:t>In the context of zinc-air batteries,</w:t>
      </w:r>
      <w:r w:rsidRPr="003E0254">
        <w:t xml:space="preserve"> typical</w:t>
      </w:r>
      <w:r w:rsidR="00B13673" w:rsidRPr="003E0254">
        <w:t>ly</w:t>
      </w:r>
      <w:r w:rsidRPr="003E0254">
        <w:t xml:space="preserve"> alkaline electrolytes are studied.</w:t>
      </w:r>
      <w:r w:rsidR="004940EA" w:rsidRPr="003E0254">
        <w:fldChar w:fldCharType="begin" w:fldLock="1"/>
      </w:r>
      <w:r w:rsidR="00500B8D" w:rsidRPr="003E0254">
        <w:instrText>ADDIN CSL_CITATION {"citationItems":[{"id":"ITEM-1","itemData":{"DOI":"10.1002/CEY2.67","ISSN":"2637-9368","abstract":"Aqueous zinc-ion batteries (ZIBs) have been intensively investigated as potential energy storage devices on account of their low cost, environmental benignity, and intrinsically safe merits. With the exploitation of high-performance cathode materials, electrolyte systems, and in-depth mechanism investigation, the electrochemical performances of ZIBs have been greatly enhanced. However, there are still some challenges that need to be overcome before its commercialization. Among them, the obstinate dendrites, corrosion, and hydrogen evolution reaction (HER) on Zn anodes are critical issues that severely limit the practical applications of ZIBs. To address these issues, various strategies have been proposed, and tremendous progress has been achieved in the past few years. In this article, we analyze the origins and effects of the dendrites, corrosion, and HER on Zn anodes in neutral and mildly acid aqueous solutions at first. And then, a scientific understanding of the fundamental design principles and strategies to suppress these problems are emphasized. Apart from these, this article also puts forward some requirements for the practical applications of Zn anodes as well as several cost-effective-modifying strategies. Finally, perspectives on the future development of Zn anodes in aqueous solutions are also briefly anticipated. This article provides pertinent insights into the challenges on anodes for the development of high-performance ZIBs, which will greatly contribute to their practical applications.","author":[{"dropping-particle":"","family":"Xie","given":"Chunlin","non-dropping-particle":"","parse-names":false,"suffix":""},{"dropping-particle":"","family":"Li","given":"Yihu","non-dropping-particle":"","parse-names":false,"suffix":""},{"dropping-particle":"","family":"Wang","given":"Qi","non-dropping-particle":"","parse-names":false,"suffix":""},{"dropping-particle":"","family":"Sun","given":"Dan","non-dropping-particle":"","parse-names":false,"suffix":""},{"dropping-particle":"","family":"Tang","given":"Yougen","non-dropping-particle":"","parse-names":false,"suffix":""},{"dropping-particle":"","family":"Wang","given":"Haiyan","non-dropping-particle":"","parse-names":false,"suffix":""}],"container-title":"Carbon Energy","id":"ITEM-1","issue":"4","issued":{"date-parts":[["2020","12","1"]]},"page":"540-560","publisher":"John Wiley &amp; Sons, Ltd","title":"Issues and solutions toward zinc anode in aqueous zinc-ion batteries: A mini review","type":"article-journal","volume":"2"},"uris":["http://www.mendeley.com/documents/?uuid=740afceb-6135-4d29-864b-f3c978db1665"]}],"mendeley":{"formattedCitation":"&lt;sup&gt;[122]&lt;/sup&gt;","plainTextFormattedCitation":"[122]","previouslyFormattedCitation":"&lt;sup&gt;[121]&lt;/sup&gt;"},"properties":{"noteIndex":0},"schema":"https://github.com/citation-style-language/schema/raw/master/csl-citation.json"}</w:instrText>
      </w:r>
      <w:r w:rsidR="004940EA" w:rsidRPr="003E0254">
        <w:fldChar w:fldCharType="separate"/>
      </w:r>
      <w:r w:rsidR="00500B8D" w:rsidRPr="003E0254">
        <w:rPr>
          <w:noProof/>
          <w:vertAlign w:val="superscript"/>
        </w:rPr>
        <w:t>[122]</w:t>
      </w:r>
      <w:r w:rsidR="004940EA" w:rsidRPr="003E0254">
        <w:fldChar w:fldCharType="end"/>
      </w:r>
      <w:r w:rsidRPr="003E0254">
        <w:t xml:space="preserve"> Some disadvantages are </w:t>
      </w:r>
      <w:r w:rsidR="00B13673" w:rsidRPr="003E0254">
        <w:t xml:space="preserve">the </w:t>
      </w:r>
      <w:r w:rsidRPr="003E0254">
        <w:t xml:space="preserve">corrosion of zinc, the evaporation of the electrolyte, the limited temperature window, </w:t>
      </w:r>
      <w:r w:rsidR="00B13673" w:rsidRPr="003E0254">
        <w:t xml:space="preserve">creep, seepage, and </w:t>
      </w:r>
      <w:r w:rsidRPr="003E0254">
        <w:t>leakage and a low thermodynamic stability. Aqueous electrolytes are the most used electrolyte in zinc-air</w:t>
      </w:r>
      <w:r w:rsidR="00B61D72" w:rsidRPr="003E0254">
        <w:t xml:space="preserve"> </w:t>
      </w:r>
      <w:r w:rsidRPr="003E0254">
        <w:t>batteries</w:t>
      </w:r>
      <w:r w:rsidR="004940EA" w:rsidRPr="003E0254">
        <w:t xml:space="preserve"> </w:t>
      </w:r>
      <w:r w:rsidRPr="003E0254">
        <w:t>(ZAB), because of their low cost, sustainability, high ionic conductivity</w:t>
      </w:r>
      <w:r w:rsidR="006111A8" w:rsidRPr="003E0254">
        <w:t>,</w:t>
      </w:r>
      <w:r w:rsidRPr="003E0254">
        <w:t xml:space="preserve"> and compatibility with the zinc electrode.</w:t>
      </w:r>
      <w:r w:rsidR="0048790E" w:rsidRPr="003E0254">
        <w:t xml:space="preserve"> </w:t>
      </w:r>
      <w:r w:rsidR="00B13673" w:rsidRPr="003E0254">
        <w:t>Current</w:t>
      </w:r>
      <w:r w:rsidRPr="003E0254">
        <w:t xml:space="preserve"> ZAB</w:t>
      </w:r>
      <w:r w:rsidR="00B13673" w:rsidRPr="003E0254">
        <w:t>s</w:t>
      </w:r>
      <w:r w:rsidRPr="003E0254">
        <w:t xml:space="preserve"> are based on concentrated alkaline liquid electrolytes, with high ionic conductivity, but suffer from leakage, evaporation, and carbonate precipitation due to the semi-open </w:t>
      </w:r>
      <w:r w:rsidR="006111A8" w:rsidRPr="003E0254">
        <w:t>design</w:t>
      </w:r>
      <w:r w:rsidRPr="003E0254">
        <w:t xml:space="preserve"> of these systems. </w:t>
      </w:r>
      <w:r w:rsidR="00B13673" w:rsidRPr="003E0254">
        <w:t>T</w:t>
      </w:r>
      <w:r w:rsidRPr="003E0254">
        <w:t xml:space="preserve">he use of an aqueous electrolyte like KOH with a </w:t>
      </w:r>
      <w:r w:rsidR="002D1321" w:rsidRPr="003E0254">
        <w:t>concentration of</w:t>
      </w:r>
      <w:r w:rsidRPr="003E0254">
        <w:t xml:space="preserve"> 6M</w:t>
      </w:r>
      <w:r w:rsidR="002D1321" w:rsidRPr="003E0254">
        <w:t xml:space="preserve"> is most common</w:t>
      </w:r>
      <w:r w:rsidRPr="003E0254">
        <w:t xml:space="preserve">. The challenge of the electrolyte is the composition </w:t>
      </w:r>
      <w:r w:rsidR="002D1321" w:rsidRPr="003E0254">
        <w:t xml:space="preserve">change </w:t>
      </w:r>
      <w:r w:rsidRPr="003E0254">
        <w:t xml:space="preserve">of the electrolyte </w:t>
      </w:r>
      <w:r w:rsidR="002D1321" w:rsidRPr="003E0254">
        <w:t>due to</w:t>
      </w:r>
      <w:r w:rsidRPr="003E0254">
        <w:t xml:space="preserve"> reacting with </w:t>
      </w:r>
      <w:r w:rsidR="00B61D72" w:rsidRPr="003E0254">
        <w:t>CO</w:t>
      </w:r>
      <w:r w:rsidR="00B61D72" w:rsidRPr="003E0254">
        <w:rPr>
          <w:vertAlign w:val="subscript"/>
        </w:rPr>
        <w:t>2</w:t>
      </w:r>
      <w:r w:rsidRPr="003E0254">
        <w:t>. In 2022 a</w:t>
      </w:r>
      <w:r w:rsidR="00B61D72" w:rsidRPr="003E0254">
        <w:t>n</w:t>
      </w:r>
      <w:r w:rsidRPr="003E0254">
        <w:t xml:space="preserve"> electrolyte was developed, which consist</w:t>
      </w:r>
      <w:r w:rsidR="002D1321" w:rsidRPr="003E0254">
        <w:t>ed</w:t>
      </w:r>
      <w:r w:rsidRPr="003E0254">
        <w:t xml:space="preserve"> of 6 M KOH and 0</w:t>
      </w:r>
      <w:r w:rsidR="002D1321" w:rsidRPr="003E0254">
        <w:t>.</w:t>
      </w:r>
      <w:r w:rsidRPr="003E0254">
        <w:t xml:space="preserve">2 M </w:t>
      </w:r>
      <w:proofErr w:type="gramStart"/>
      <w:r w:rsidRPr="003E0254">
        <w:t>Zn(</w:t>
      </w:r>
      <w:proofErr w:type="gramEnd"/>
      <w:r w:rsidRPr="003E0254">
        <w:t>Ac)</w:t>
      </w:r>
      <w:r w:rsidRPr="003E0254">
        <w:rPr>
          <w:vertAlign w:val="subscript"/>
        </w:rPr>
        <w:t>2</w:t>
      </w:r>
      <w:r w:rsidRPr="003E0254">
        <w:t>. This electrolyte improved cycling and zinc utilization. This concept was further developed by Wei et al.</w:t>
      </w:r>
      <w:r w:rsidR="004940EA" w:rsidRPr="003E0254">
        <w:fldChar w:fldCharType="begin" w:fldLock="1"/>
      </w:r>
      <w:r w:rsidR="00500B8D" w:rsidRPr="003E0254">
        <w:instrText>ADDIN CSL_CITATION {"citationItems":[{"id":"ITEM-1","itemData":{"DOI":"10.1126/science.abb9554","ISSN":"10959203","PMID":"33384369","abstract":"Rechargeable alkaline zinc-air batteries promise high energy density and safety but suffer from the sluggish 4 electron (e-)/oxygen (O2) chemistry that requires participation of water and from the electrochemical irreversibility originating from parasitic reactions caused by caustic electrolytes and atmospheric carbon dioxide. Here, we report a zinc-O2/zinc peroxide (ZnO2) chemistry that proceeds through a 2e-/O2process in nonalkaline aqueous electrolytes, which enables highly reversible redox reactions in zinc-air batteries. This ZnO2chemistry was made possible by a water-poor and zinc ion (Zn2+)-rich inner Helmholtz layer on the air cathode caused by the hydrophobic trifluoromethanesulfonate anions. The nonalkaline zinc-air battery thus constructed not only tolerates stable operations in ambient air but also exhibits substantially better reversibility than its alkaline counterpart.","author":[{"dropping-particle":"","family":"Sun","given":"Wei","non-dropping-particle":"","parse-names":false,"suffix":""},{"dropping-particle":"","family":"Wang","given":"Fei","non-dropping-particle":"","parse-names":false,"suffix":""},{"dropping-particle":"","family":"Zhang","given":"Bao","non-dropping-particle":"","parse-names":false,"suffix":""},{"dropping-particle":"","family":"Zhang","given":"Mengyi","non-dropping-particle":"","parse-names":false,"suffix":""},{"dropping-particle":"","family":"Küpers","given":"Verena","non-dropping-particle":"","parse-names":false,"suffix":""},{"dropping-particle":"","family":"Ji","given":"Xiao","non-dropping-particle":"","parse-names":false,"suffix":""},{"dropping-particle":"","family":"Theile","given":"Claudia","non-dropping-particle":"","parse-names":false,"suffix":""},{"dropping-particle":"","family":"Bieker","given":"Peter","non-dropping-particle":"","parse-names":false,"suffix":""},{"dropping-particle":"","family":"Xu","given":"Kang","non-dropping-particle":"","parse-names":false,"suffix":""},{"dropping-particle":"","family":"Wang","given":"Chunsheng","non-dropping-particle":"","parse-names":false,"suffix":""},{"dropping-particle":"","family":"Winter","given":"Martin","non-dropping-particle":"","parse-names":false,"suffix":""}],"container-title":"Science","id":"ITEM-1","issue":"6524","issued":{"date-parts":[["2021","1","1"]]},"page":"46-51","publisher":"American Association for the Advancement of Science","title":"A rechargeable zinc-air battery based on zinc peroxide chemistry","type":"article-journal","volume":"371"},"uris":["http://www.mendeley.com/documents/?uuid=66193c09-fe31-3f36-97b4-81039577d23d"]}],"mendeley":{"formattedCitation":"&lt;sup&gt;[223]&lt;/sup&gt;","plainTextFormattedCitation":"[223]","previouslyFormattedCitation":"&lt;sup&gt;[222]&lt;/sup&gt;"},"properties":{"noteIndex":0},"schema":"https://github.com/citation-style-language/schema/raw/master/csl-citation.json"}</w:instrText>
      </w:r>
      <w:r w:rsidR="004940EA" w:rsidRPr="003E0254">
        <w:fldChar w:fldCharType="separate"/>
      </w:r>
      <w:r w:rsidR="00500B8D" w:rsidRPr="003E0254">
        <w:rPr>
          <w:noProof/>
          <w:vertAlign w:val="superscript"/>
        </w:rPr>
        <w:t>[223]</w:t>
      </w:r>
      <w:r w:rsidR="004940EA" w:rsidRPr="003E0254">
        <w:fldChar w:fldCharType="end"/>
      </w:r>
      <w:r w:rsidR="00853505" w:rsidRPr="003E0254">
        <w:t>.</w:t>
      </w:r>
      <w:r w:rsidR="00820A49" w:rsidRPr="003E0254">
        <w:t xml:space="preserve"> </w:t>
      </w:r>
      <w:r w:rsidR="00853505" w:rsidRPr="003E0254">
        <w:t xml:space="preserve">By using zinc-peroxide instead of the </w:t>
      </w:r>
      <w:proofErr w:type="gramStart"/>
      <w:r w:rsidR="00853505" w:rsidRPr="003E0254">
        <w:t>Zn(</w:t>
      </w:r>
      <w:proofErr w:type="gramEnd"/>
      <w:r w:rsidR="00853505" w:rsidRPr="003E0254">
        <w:t>OH)</w:t>
      </w:r>
      <w:r w:rsidR="006111A8" w:rsidRPr="003E0254">
        <w:rPr>
          <w:vertAlign w:val="subscript"/>
        </w:rPr>
        <w:t>2</w:t>
      </w:r>
      <w:r w:rsidR="00853505" w:rsidRPr="003E0254">
        <w:t xml:space="preserve"> reaction path, </w:t>
      </w:r>
      <w:r w:rsidR="006111A8" w:rsidRPr="003E0254">
        <w:t>high cycle</w:t>
      </w:r>
      <w:r w:rsidR="00853505" w:rsidRPr="003E0254">
        <w:t xml:space="preserve"> life and zinc utilization could be achieved. </w:t>
      </w:r>
      <w:r w:rsidR="000D0BA2" w:rsidRPr="003E0254">
        <w:t>An acid</w:t>
      </w:r>
      <w:r w:rsidR="006111A8" w:rsidRPr="003E0254">
        <w:t>ic</w:t>
      </w:r>
      <w:r w:rsidR="000D0BA2" w:rsidRPr="003E0254">
        <w:t xml:space="preserve"> aqueous electrolyte</w:t>
      </w:r>
      <w:r w:rsidR="006111A8" w:rsidRPr="003E0254">
        <w:t>, i.e.,</w:t>
      </w:r>
      <w:r w:rsidR="000D0BA2" w:rsidRPr="003E0254">
        <w:t xml:space="preserve"> zinc </w:t>
      </w:r>
      <w:proofErr w:type="spellStart"/>
      <w:r w:rsidR="000D0BA2" w:rsidRPr="003E0254">
        <w:t>trifluoromethanesulfonate</w:t>
      </w:r>
      <w:proofErr w:type="spellEnd"/>
      <w:r w:rsidR="000D0BA2" w:rsidRPr="003E0254">
        <w:t xml:space="preserve"> (</w:t>
      </w:r>
      <w:proofErr w:type="gramStart"/>
      <w:r w:rsidR="000D0BA2" w:rsidRPr="003E0254">
        <w:t>Zn(</w:t>
      </w:r>
      <w:proofErr w:type="gramEnd"/>
      <w:r w:rsidR="000D0BA2" w:rsidRPr="003E0254">
        <w:t>OTF)</w:t>
      </w:r>
      <w:r w:rsidR="000D0BA2" w:rsidRPr="003E0254">
        <w:rPr>
          <w:vertAlign w:val="subscript"/>
        </w:rPr>
        <w:t>2</w:t>
      </w:r>
      <w:r w:rsidR="000D0BA2" w:rsidRPr="003E0254">
        <w:t xml:space="preserve"> 1M) was used. </w:t>
      </w:r>
      <w:r w:rsidR="00820A49" w:rsidRPr="003E0254">
        <w:t>T</w:t>
      </w:r>
      <w:r w:rsidRPr="003E0254">
        <w:t>his system r</w:t>
      </w:r>
      <w:r w:rsidR="00820A49" w:rsidRPr="003E0254">
        <w:t>a</w:t>
      </w:r>
      <w:r w:rsidRPr="003E0254">
        <w:t>n</w:t>
      </w:r>
      <w:r w:rsidR="00820A49" w:rsidRPr="003E0254">
        <w:t xml:space="preserve"> </w:t>
      </w:r>
      <w:r w:rsidRPr="003E0254">
        <w:t>for over 500</w:t>
      </w:r>
      <w:r w:rsidR="00820A49" w:rsidRPr="003E0254">
        <w:t> </w:t>
      </w:r>
      <w:r w:rsidRPr="003E0254">
        <w:t xml:space="preserve">h without exchanging the zinc anode. </w:t>
      </w:r>
      <w:r w:rsidR="00064056" w:rsidRPr="003E0254">
        <w:t>However</w:t>
      </w:r>
      <w:r w:rsidR="00B61D72" w:rsidRPr="003E0254">
        <w:t>,</w:t>
      </w:r>
      <w:r w:rsidRPr="003E0254">
        <w:t xml:space="preserve"> </w:t>
      </w:r>
      <w:r w:rsidR="006111A8" w:rsidRPr="003E0254">
        <w:t>when</w:t>
      </w:r>
      <w:r w:rsidRPr="003E0254">
        <w:t xml:space="preserve"> using aqueous </w:t>
      </w:r>
      <w:proofErr w:type="gramStart"/>
      <w:r w:rsidRPr="003E0254">
        <w:t>electrolytes</w:t>
      </w:r>
      <w:proofErr w:type="gramEnd"/>
      <w:r w:rsidRPr="003E0254">
        <w:t xml:space="preserve"> the ZAB still fac</w:t>
      </w:r>
      <w:r w:rsidR="00820A49" w:rsidRPr="003E0254">
        <w:t>es</w:t>
      </w:r>
      <w:r w:rsidRPr="003E0254">
        <w:t xml:space="preserve"> the problem of hydrogen evolution and the formation of zinc dendrites on the zinc surface. This is </w:t>
      </w:r>
      <w:r w:rsidR="00820A49" w:rsidRPr="003E0254">
        <w:t>also</w:t>
      </w:r>
      <w:r w:rsidRPr="003E0254">
        <w:t xml:space="preserve"> the main issue, when using a pure alkaline electrolyte as shown in the matrix below.</w:t>
      </w:r>
      <w:r w:rsidR="004940EA" w:rsidRPr="003E0254">
        <w:fldChar w:fldCharType="begin" w:fldLock="1"/>
      </w:r>
      <w:r w:rsidR="00500B8D" w:rsidRPr="003E0254">
        <w:instrText>ADDIN CSL_CITATION {"citationItems":[{"id":"ITEM-1","itemData":{"DOI":"10.1021/ACSAMI.8B05215/ASSET/IMAGES/LARGE/AM-2018-05215X_0005.JPEG","ISSN":"19448252","PMID":"29882645","abstract":"The increasing demand for advanced rechargeable batteries spurs development of new power sources beyond currently most widespread lithium-ion batteries. Here, we demonstrate a new class of flexible/rechargeable zinc (Zn)-air batteries based on multifunctional heteronanomat architecture as a scalable/versatile strategy to address this issue. In contrast to conventional electrodes that are mostly prepared by slurry-casting techniques, heteronanomat (denoted as \"HM\") framework-supported electrodes are fabricated through one-pot concurrent electrospraying (for electrode powders/single-walled carbon nanotubes (SWCNTs)) and electrospinning (for polyetherimide (PEI) nanofibers) process. Zn powders (in anodes) and rambutan-shaped cobalt oxide (Co3O4)/multiwalled carbon nanotube (MWCNT) composite powders (in cathodes) are used as electrode active materials for proof of concept. The Zn (or Co3O4/MWCNT) powders are densely packed and spatially bound by the all-fibrous HM frameworks that consist of PEI nanofibers (for structural stability)/SWCNTs (for electrical conduction) networks, leading to the formation of three-dimensional bicontinuous ion/electron transport channels in the electrodes. The HM electrodes are assembled with cross-linked polyvinyl alcohol/polyvinyl acrylic acid gel polymer electrolytes (acting as zincate ion crossover-suppressing, permselective separator membranes). Benefiting from its unique structure and chemical functionalities, the HM-structured Zn-air cell significantly improves mechanical flexibility and electrochemical rechargeability, which are difficult to achieve with conventional Zn-air battery technologies.","author":[{"dropping-particle":"","family":"Lee","given":"Donggue","non-dropping-particle":"","parse-names":false,"suffix":""},{"dropping-particle":"","family":"Kim","given":"Hyun Woo","non-dropping-particle":"","parse-names":false,"suffix":""},{"dropping-particle":"","family":"Kim","given":"Ju Myung","non-dropping-particle":"","parse-names":false,"suffix":""},{"dropping-particle":"","family":"Kim","given":"Ka Hyun","non-dropping-particle":"","parse-names":false,"suffix":""},{"dropping-particle":"","family":"Lee","given":"Sang Young","non-dropping-particle":"","parse-names":false,"suffix":""}],"container-title":"ACS Applied Materials and Interfaces","id":"ITEM-1","issue":"26","issued":{"date-parts":[["2018","7","5"]]},"page":"22210-22217","publisher":"American Chemical Society","title":"Flexible/Rechargeable Zn-Air Batteries Based on Multifunctional Heteronanomat Architecture","type":"article-journal","volume":"10"},"uris":["http://www.mendeley.com/documents/?uuid=7bd02476-946c-3d5a-a451-9f8f0210b65d"]}],"mendeley":{"formattedCitation":"&lt;sup&gt;[216]&lt;/sup&gt;","plainTextFormattedCitation":"[216]","previouslyFormattedCitation":"&lt;sup&gt;[215]&lt;/sup&gt;"},"properties":{"noteIndex":0},"schema":"https://github.com/citation-style-language/schema/raw/master/csl-citation.json"}</w:instrText>
      </w:r>
      <w:r w:rsidR="004940EA" w:rsidRPr="003E0254">
        <w:fldChar w:fldCharType="separate"/>
      </w:r>
      <w:r w:rsidR="00500B8D" w:rsidRPr="003E0254">
        <w:rPr>
          <w:noProof/>
          <w:vertAlign w:val="superscript"/>
        </w:rPr>
        <w:t>[216]</w:t>
      </w:r>
      <w:r w:rsidR="004940EA" w:rsidRPr="003E0254">
        <w:fldChar w:fldCharType="end"/>
      </w:r>
    </w:p>
    <w:p w14:paraId="480EBE92" w14:textId="3E321FD9" w:rsidR="00595C50" w:rsidRPr="003E0254" w:rsidRDefault="00820A49" w:rsidP="00595C50">
      <w:pPr>
        <w:spacing w:line="276" w:lineRule="auto"/>
        <w:jc w:val="both"/>
      </w:pPr>
      <w:r w:rsidRPr="003E0254">
        <w:t xml:space="preserve">Using gel type electrolytes is a promising </w:t>
      </w:r>
      <w:r w:rsidR="00595C50" w:rsidRPr="003E0254">
        <w:t>concept to prevent leakage and the reaction with CO</w:t>
      </w:r>
      <w:r w:rsidR="00595C50" w:rsidRPr="003E0254">
        <w:rPr>
          <w:vertAlign w:val="subscript"/>
        </w:rPr>
        <w:t>2</w:t>
      </w:r>
      <w:r w:rsidR="00595C50" w:rsidRPr="003E0254">
        <w:t xml:space="preserve"> from the air. </w:t>
      </w:r>
      <w:r w:rsidRPr="003E0254">
        <w:t>Such</w:t>
      </w:r>
      <w:r w:rsidR="00595C50" w:rsidRPr="003E0254">
        <w:t xml:space="preserve"> electrolyte</w:t>
      </w:r>
      <w:r w:rsidRPr="003E0254">
        <w:t>s</w:t>
      </w:r>
      <w:r w:rsidR="00595C50" w:rsidRPr="003E0254">
        <w:t xml:space="preserve"> </w:t>
      </w:r>
      <w:r w:rsidRPr="003E0254">
        <w:t xml:space="preserve">are prepared by </w:t>
      </w:r>
      <w:r w:rsidR="00595C50" w:rsidRPr="003E0254">
        <w:t>mixing KOH and hydroponics gels.</w:t>
      </w:r>
      <w:r w:rsidR="009955F8" w:rsidRPr="003E0254">
        <w:fldChar w:fldCharType="begin" w:fldLock="1"/>
      </w:r>
      <w:r w:rsidR="00500B8D" w:rsidRPr="003E0254">
        <w:instrText>ADDIN CSL_CITATION {"citationItems":[{"id":"ITEM-1","itemData":{"DOI":"10.1016/J.JPOWSOUR.2005.10.110","ISSN":"0378-7753","abstract":"The gel electrolyte for the zinc-air cell was prepared by mixing hydroponics gel with a 6 M potassium hydroxide aqueous solution. The self-discharge of cells was characterized by measuring the open-circuit voltage. The effect of a discharge rate of 50 mA constant current on cell voltage and plateau hour, as well as the voltage-current and current density-power density were measured and analysed. The electrode degradation after discharge cycling was characterized by structural and surface methods. The oxidation of the electrode surface further blocked the utilization of the Zn anode and was identified as a cause for the failure of the cell. © 2005 Elsevier B.V. All rights reserved.","author":[{"dropping-particle":"","family":"Mohamad","given":"A. A.","non-dropping-particle":"","parse-names":false,"suffix":""}],"container-title":"Journal of Power Sources","id":"ITEM-1","issue":"1","issued":{"date-parts":[["2006","9","13"]]},"page":"752-757","publisher":"Elsevier","title":"Zn/gelled 6 M KOH/O2 zinc–air battery","type":"article-journal","volume":"159"},"uris":["http://www.mendeley.com/documents/?uuid=adfd43a4-03f8-3560-8483-518756da2023"]}],"mendeley":{"formattedCitation":"&lt;sup&gt;[224]&lt;/sup&gt;","plainTextFormattedCitation":"[224]","previouslyFormattedCitation":"&lt;sup&gt;[223]&lt;/sup&gt;"},"properties":{"noteIndex":0},"schema":"https://github.com/citation-style-language/schema/raw/master/csl-citation.json"}</w:instrText>
      </w:r>
      <w:r w:rsidR="009955F8" w:rsidRPr="003E0254">
        <w:fldChar w:fldCharType="separate"/>
      </w:r>
      <w:r w:rsidR="00500B8D" w:rsidRPr="003E0254">
        <w:rPr>
          <w:noProof/>
          <w:vertAlign w:val="superscript"/>
        </w:rPr>
        <w:t>[224]</w:t>
      </w:r>
      <w:r w:rsidR="009955F8" w:rsidRPr="003E0254">
        <w:fldChar w:fldCharType="end"/>
      </w:r>
      <w:r w:rsidR="00595C50" w:rsidRPr="003E0254">
        <w:t xml:space="preserve"> </w:t>
      </w:r>
      <w:r w:rsidR="0061152D" w:rsidRPr="003E0254">
        <w:t>Such</w:t>
      </w:r>
      <w:r w:rsidR="00595C50" w:rsidRPr="003E0254">
        <w:t xml:space="preserve"> gel</w:t>
      </w:r>
      <w:r w:rsidR="0061152D" w:rsidRPr="003E0254">
        <w:t>s</w:t>
      </w:r>
      <w:r w:rsidR="00595C50" w:rsidRPr="003E0254">
        <w:t xml:space="preserve"> could be used as electrolyte</w:t>
      </w:r>
      <w:r w:rsidR="0061152D" w:rsidRPr="003E0254">
        <w:t>s</w:t>
      </w:r>
      <w:r w:rsidR="00595C50" w:rsidRPr="003E0254">
        <w:t xml:space="preserve"> in ZAB</w:t>
      </w:r>
      <w:r w:rsidR="0061152D" w:rsidRPr="003E0254">
        <w:t>s</w:t>
      </w:r>
      <w:r w:rsidR="00595C50" w:rsidRPr="003E0254">
        <w:t xml:space="preserve">, but </w:t>
      </w:r>
      <w:r w:rsidR="0061152D" w:rsidRPr="003E0254">
        <w:t>such</w:t>
      </w:r>
      <w:r w:rsidR="00595C50" w:rsidRPr="003E0254">
        <w:t xml:space="preserve"> electrolyte</w:t>
      </w:r>
      <w:r w:rsidR="0061152D" w:rsidRPr="003E0254">
        <w:t>s</w:t>
      </w:r>
      <w:r w:rsidR="00595C50" w:rsidRPr="003E0254">
        <w:t xml:space="preserve"> </w:t>
      </w:r>
      <w:r w:rsidR="0061152D" w:rsidRPr="003E0254">
        <w:t>are</w:t>
      </w:r>
      <w:r w:rsidR="00595C50" w:rsidRPr="003E0254">
        <w:t xml:space="preserve"> not very stable and </w:t>
      </w:r>
      <w:r w:rsidR="006F4BFA" w:rsidRPr="003E0254">
        <w:t>do</w:t>
      </w:r>
      <w:r w:rsidR="00595C50" w:rsidRPr="003E0254">
        <w:t xml:space="preserve"> not hinder the formation of dendrites on the zinc electrode. But the concep</w:t>
      </w:r>
      <w:r w:rsidR="0061152D" w:rsidRPr="003E0254">
        <w:t>t</w:t>
      </w:r>
      <w:r w:rsidR="00595C50" w:rsidRPr="003E0254">
        <w:t xml:space="preserve"> was improved by using different </w:t>
      </w:r>
      <w:r w:rsidR="0061152D" w:rsidRPr="003E0254">
        <w:t>p</w:t>
      </w:r>
      <w:r w:rsidR="00595C50" w:rsidRPr="003E0254">
        <w:t xml:space="preserve">olymers and gels. </w:t>
      </w:r>
      <w:r w:rsidR="0061152D" w:rsidRPr="003E0254">
        <w:t>F</w:t>
      </w:r>
      <w:r w:rsidR="00595C50" w:rsidRPr="003E0254">
        <w:t>or example</w:t>
      </w:r>
      <w:r w:rsidR="0061152D" w:rsidRPr="003E0254">
        <w:t>,</w:t>
      </w:r>
      <w:r w:rsidR="00595C50" w:rsidRPr="003E0254">
        <w:t xml:space="preserve"> the use of </w:t>
      </w:r>
      <w:r w:rsidR="00FE4D17" w:rsidRPr="003E0254">
        <w:t>a</w:t>
      </w:r>
      <w:r w:rsidR="00595C50" w:rsidRPr="003E0254">
        <w:t>garose in highly concentrated KOH was very beneficial.</w:t>
      </w:r>
      <w:r w:rsidR="009955F8" w:rsidRPr="003E0254">
        <w:fldChar w:fldCharType="begin" w:fldLock="1"/>
      </w:r>
      <w:r w:rsidR="00500B8D" w:rsidRPr="003E0254">
        <w:instrText>ADDIN CSL_CITATION {"citationItems":[{"id":"ITEM-1","itemData":{"DOI":"10.1016/J.CEJ.2023.144870","ISSN":"1385-8947","abstract":"Present Zn-air batteries (ZABs) are based on concentrated alkaline liquid electrolytes, with high ionic conductivity, but suffer from leakage, evaporation, and carbonate precipitation due to the semi-open characteristic of these systems. To overcome these issues, gel polymer electrolytes (GPEs), based on naturally occurring biopolymers, arise as a green option to overcome the above-mentioned limitations. In this work, a novel GPE based on pure agarose from seaweed is presented as a smart alternative to liquid (adsorbed on a separator) and gel electrolytes (based on synthetic polymers). The innovative synthesis method described can directly encapsulate concentrated KOH liquid electrolytes into an agarose matrix in one-pot; the process requiring approx. 10 min. The unique gel developed in this work, with 2 wt% agarose and 8 M KOH electrolyte, presents the best compromise between physicochemical and electrochemical properties, at lab scale. The characterization results revealed an outstanding ionic conductivity of 0.45 ± 0.05 S cm−1, ≈100% water retention up to 200–250 h, retarded Zn self-corrosion up to 30 days (symmetric cell under open circuit), average Zn utilization &gt; 70–80% in primary ZABs in the range 1–20 mA cm−2 with peaks of ≈96%. In secondary ZABs the gel electrolyte presents high round-trip efficiency and improved cyclability at high areal capacities, under soft and severe cycling conditions, never tested before. This agarose gel represents a potential benchmark for future development of GPE-based ZABs for stationary applications.","author":[{"dropping-particle":"","family":"García-Gaitán","given":"Estibaliz","non-dropping-particle":"","parse-names":false,"suffix":""},{"dropping-particle":"","family":"Morant-Miñana","given":"María Carmen","non-dropping-particle":"","parse-names":false,"suffix":""},{"dropping-particle":"","family":"Frattini","given":"Domenico","non-dropping-particle":"","parse-names":false,"suffix":""},{"dropping-particle":"","family":"Maddalena","given":"Lorenza","non-dropping-particle":"","parse-names":false,"suffix":""},{"dropping-particle":"","family":"Fina","given":"Alberto","non-dropping-particle":"","parse-names":false,"suffix":""},{"dropping-particle":"","family":"Gerbaldi","given":"Claudio","non-dropping-particle":"","parse-names":false,"suffix":""},{"dropping-particle":"","family":"Cantero","given":"Igor","non-dropping-particle":"","parse-names":false,"suffix":""},{"dropping-particle":"","family":"Ortiz-Vitoriano","given":"Nagore","non-dropping-particle":"","parse-names":false,"suffix":""}],"container-title":"Chemical Engineering Journal","id":"ITEM-1","issued":{"date-parts":[["2023","9","15"]]},"page":"144870","publisher":"Elsevier","title":"Agarose-based Gel Electrolytes for Sustainable Primary and Secondary Zinc-Air Batteries","type":"article-journal","volume":"472"},"uris":["http://www.mendeley.com/documents/?uuid=da4b7fa4-1d3b-3430-ba43-18d980e9f037"]}],"mendeley":{"formattedCitation":"&lt;sup&gt;[213]&lt;/sup&gt;","plainTextFormattedCitation":"[213]","previouslyFormattedCitation":"&lt;sup&gt;[212]&lt;/sup&gt;"},"properties":{"noteIndex":0},"schema":"https://github.com/citation-style-language/schema/raw/master/csl-citation.json"}</w:instrText>
      </w:r>
      <w:r w:rsidR="009955F8" w:rsidRPr="003E0254">
        <w:fldChar w:fldCharType="separate"/>
      </w:r>
      <w:r w:rsidR="00500B8D" w:rsidRPr="003E0254">
        <w:rPr>
          <w:noProof/>
          <w:vertAlign w:val="superscript"/>
        </w:rPr>
        <w:t>[213]</w:t>
      </w:r>
      <w:r w:rsidR="009955F8" w:rsidRPr="003E0254">
        <w:fldChar w:fldCharType="end"/>
      </w:r>
      <w:r w:rsidR="00595C50" w:rsidRPr="003E0254">
        <w:t xml:space="preserve"> By also using Zn paste</w:t>
      </w:r>
      <w:r w:rsidR="00FE4D17" w:rsidRPr="003E0254">
        <w:t>,</w:t>
      </w:r>
      <w:r w:rsidR="00595C50" w:rsidRPr="003E0254">
        <w:t xml:space="preserve"> the ZAB could be cycled </w:t>
      </w:r>
      <w:r w:rsidR="00FE4D17" w:rsidRPr="003E0254">
        <w:t>up to</w:t>
      </w:r>
      <w:r w:rsidR="00595C50" w:rsidRPr="003E0254">
        <w:t xml:space="preserve"> 300 times. Even more cycles could be achieved when the gel </w:t>
      </w:r>
      <w:r w:rsidR="00FE4D17" w:rsidRPr="003E0254">
        <w:t>wa</w:t>
      </w:r>
      <w:r w:rsidR="00595C50" w:rsidRPr="003E0254">
        <w:t xml:space="preserve">s made of </w:t>
      </w:r>
      <w:proofErr w:type="gramStart"/>
      <w:r w:rsidR="00FE4D17" w:rsidRPr="003E0254">
        <w:t>p</w:t>
      </w:r>
      <w:r w:rsidR="00595C50" w:rsidRPr="003E0254">
        <w:t>oly(</w:t>
      </w:r>
      <w:proofErr w:type="gramEnd"/>
      <w:r w:rsidR="00595C50" w:rsidRPr="003E0254">
        <w:t xml:space="preserve">vinyl alcohol) and </w:t>
      </w:r>
      <w:r w:rsidR="00FE4D17" w:rsidRPr="003E0254">
        <w:t>b</w:t>
      </w:r>
      <w:r w:rsidR="00595C50" w:rsidRPr="003E0254">
        <w:t xml:space="preserve">acterial </w:t>
      </w:r>
      <w:r w:rsidR="00FE4D17" w:rsidRPr="003E0254">
        <w:t>c</w:t>
      </w:r>
      <w:r w:rsidR="00595C50" w:rsidRPr="003E0254">
        <w:t xml:space="preserve">ellulose. In this gel not only KOH </w:t>
      </w:r>
      <w:r w:rsidR="00FE4D17" w:rsidRPr="003E0254">
        <w:t xml:space="preserve">was used, </w:t>
      </w:r>
      <w:r w:rsidR="00595C50" w:rsidRPr="003E0254">
        <w:t xml:space="preserve">but also </w:t>
      </w:r>
      <w:r w:rsidR="00FE4D17" w:rsidRPr="003E0254">
        <w:t>zinc a</w:t>
      </w:r>
      <w:r w:rsidR="00595C50" w:rsidRPr="003E0254">
        <w:t>cetate</w:t>
      </w:r>
      <w:r w:rsidR="00FE4D17" w:rsidRPr="003E0254">
        <w:t>,</w:t>
      </w:r>
      <w:r w:rsidR="00595C50" w:rsidRPr="003E0254">
        <w:t xml:space="preserve"> </w:t>
      </w:r>
      <w:r w:rsidR="00FE4D17" w:rsidRPr="003E0254">
        <w:t xml:space="preserve">and </w:t>
      </w:r>
      <w:r w:rsidR="00595C50" w:rsidRPr="003E0254">
        <w:t>the cycle number c</w:t>
      </w:r>
      <w:r w:rsidR="00FE4D17" w:rsidRPr="003E0254">
        <w:t>ould</w:t>
      </w:r>
      <w:r w:rsidR="00595C50" w:rsidRPr="003E0254">
        <w:t xml:space="preserve"> be increase</w:t>
      </w:r>
      <w:r w:rsidR="00FE4D17" w:rsidRPr="003E0254">
        <w:t>d</w:t>
      </w:r>
      <w:r w:rsidR="00595C50" w:rsidRPr="003E0254">
        <w:t xml:space="preserve"> to 650 cycles.</w:t>
      </w:r>
      <w:r w:rsidR="009955F8" w:rsidRPr="003E0254">
        <w:fldChar w:fldCharType="begin" w:fldLock="1"/>
      </w:r>
      <w:r w:rsidR="00500B8D" w:rsidRPr="003E0254">
        <w:instrText>ADDIN CSL_CITATION {"citationItems":[{"id":"ITEM-1","itemData":{"DOI":"10.1021/ACSAMI.9B00758/ASSET/IMAGES/LARGE/AM-2019-00758F_0006.JPEG","ISSN":"19448252","PMID":"30901190","abstract":"Flexible solid-state zinc-air batteries are promising energy technologies with low cost, superior performance and safety. However, flexible electrolytes are severely limited by their poor mechanical properties. Here, we introduce flexible bacterial cellulose (BC)/poly(vinyl alcohol) (PVA) composite hydrogel electrolytes (BPCE) based on bacterial cellulose (BC) microfibers and poly(vinyl alcohol) (PVA) by an in situ synthesis. Originating from the hydrogen bonds among BC microfibers and PVA matrix, these composites form load-bearing percolating dual network and their mechanical strength is increased 9 times (from 0.102 MPa of pristine PVA to 0.951 MPa of 6-BPCE). 6-BPCE shows extremely high ionic conductivities (80.8 mS cm -1 ). In addition, the solid-state zinc-air batteries can stably cycle over 440 h without large discharge and charge polarizations equipped with zinc anode and Co 3 O 4 @Ni cathode. Moreover, flexible solid-state zinc-air batteries can cycle well at any bending angle. As flexible electrolytes, they open up a new opportunity for the development of superior-performance, flexible, rechargeable, zinc-air batteries.","author":[{"dropping-particle":"","family":"Zhao","given":"Nana","non-dropping-particle":"","parse-names":false,"suffix":""},{"dropping-particle":"","family":"Wu","given":"Feng","non-dropping-particle":"","parse-names":false,"suffix":""},{"dropping-particle":"","family":"Xing","given":"Yi","non-dropping-particle":"","parse-names":false,"suffix":""},{"dropping-particle":"","family":"Qu","given":"Wenjie","non-dropping-particle":"","parse-names":false,"suffix":""},{"dropping-particle":"","family":"Chen","given":"Nan","non-dropping-particle":"","parse-names":false,"suffix":""},{"dropping-particle":"","family":"Shang","given":"Yanxin","non-dropping-particle":"","parse-names":false,"suffix":""},{"dropping-particle":"","family":"Yan","given":"Mingxia","non-dropping-particle":"","parse-names":false,"suffix":""},{"dropping-particle":"","family":"Li","given":"Yuejiao","non-dropping-particle":"","parse-names":false,"suffix":""},{"dropping-particle":"","family":"Li","given":"Li","non-dropping-particle":"","parse-names":false,"suffix":""},{"dropping-particle":"","family":"Chen","given":"Renjie","non-dropping-particle":"","parse-names":false,"suffix":""}],"container-title":"ACS Applied Materials and Interfaces","id":"ITEM-1","issue":"17","issued":{"date-parts":[["2019","5","1"]]},"page":"15537-15542","publisher":"American Chemical Society","title":"Flexible Hydrogel Electrolyte with Superior Mechanical Properties Based on Poly(vinyl alcohol) and Bacterial Cellulose for the Solid-State Zinc-Air Batteries","type":"article-journal","volume":"11"},"uris":["http://www.mendeley.com/documents/?uuid=a962348f-b73f-4876-b900-6ce28b0ea971"]}],"mendeley":{"formattedCitation":"&lt;sup&gt;[214]&lt;/sup&gt;","plainTextFormattedCitation":"[214]","previouslyFormattedCitation":"&lt;sup&gt;[213]&lt;/sup&gt;"},"properties":{"noteIndex":0},"schema":"https://github.com/citation-style-language/schema/raw/master/csl-citation.json"}</w:instrText>
      </w:r>
      <w:r w:rsidR="009955F8" w:rsidRPr="003E0254">
        <w:fldChar w:fldCharType="separate"/>
      </w:r>
      <w:r w:rsidR="00500B8D" w:rsidRPr="003E0254">
        <w:rPr>
          <w:noProof/>
          <w:vertAlign w:val="superscript"/>
        </w:rPr>
        <w:t>[214]</w:t>
      </w:r>
      <w:r w:rsidR="009955F8" w:rsidRPr="003E0254">
        <w:fldChar w:fldCharType="end"/>
      </w:r>
      <w:r w:rsidR="00595C50" w:rsidRPr="003E0254">
        <w:t xml:space="preserve"> This is the reason </w:t>
      </w:r>
      <w:r w:rsidR="006F4BFA" w:rsidRPr="003E0254">
        <w:t xml:space="preserve">for </w:t>
      </w:r>
      <w:r w:rsidR="00595C50" w:rsidRPr="003E0254">
        <w:t>research shift</w:t>
      </w:r>
      <w:r w:rsidR="00A1769D" w:rsidRPr="003E0254">
        <w:t>ing</w:t>
      </w:r>
      <w:r w:rsidR="00595C50" w:rsidRPr="003E0254">
        <w:t xml:space="preserve"> to gel, polymer</w:t>
      </w:r>
      <w:r w:rsidR="0019792E" w:rsidRPr="003E0254">
        <w:t>,</w:t>
      </w:r>
      <w:r w:rsidR="00595C50" w:rsidRPr="003E0254">
        <w:t xml:space="preserve"> and all solid</w:t>
      </w:r>
      <w:r w:rsidR="00A56666" w:rsidRPr="003E0254">
        <w:t>-</w:t>
      </w:r>
      <w:r w:rsidR="00595C50" w:rsidRPr="003E0254">
        <w:t>state electrolytes. With the development of hybrid electrolyte</w:t>
      </w:r>
      <w:r w:rsidR="00A56666" w:rsidRPr="003E0254">
        <w:t>s</w:t>
      </w:r>
      <w:r w:rsidR="00595C50" w:rsidRPr="003E0254">
        <w:t>, polyacrylamide (PAM) polymers have been used in zinc-air batteries.</w:t>
      </w:r>
      <w:r w:rsidR="009955F8" w:rsidRPr="003E0254">
        <w:fldChar w:fldCharType="begin" w:fldLock="1"/>
      </w:r>
      <w:r w:rsidR="00500B8D" w:rsidRPr="003E0254">
        <w:instrText>ADDIN CSL_CITATION {"citationItems":[{"id":"ITEM-1","itemData":{"DOI":"10.1039/D0TA11068J","ISSN":"2050-7496","abstract":"Aqueous-based Zn–air and Al–air batteries are considered to be promising post-lithium energy storage technologies owing to their safety, environmental friendliness, affordability, and high energy density. Nevertheless, traditional liquid Zn–air and Al–air batteries have problems such as volatilization and leakage, as well as the realization of miniaturized, portable, and wearable electronic devices. The practice of optimizing the battery structure by replacing the flowing electrolyte with a solid type has emerged and made significant progress in the past ten years. Herein, this review provides a guiding and comprehensive summary of the basic understanding and manufacturing ideas of the solid electrolyte for Zn–air and Al–air batteries. First, two types of alkaline solid electrolytes are distinguished, including alkaline anion exchange membranes (AAEMs) and gel polymer electrolytes (GPEs). Then, three sorts of major framework materials (i.e., artificial organic polymer, biomass materials, and inorganic materials) are reviewed and discussed. Most importantly, the latest research progress and improvement strategies to enhance the electrolyte membrane performances involving conductivity, mechanical properties, and electrochemical stability are also highlighted. Finally, challenges and prospects for the future development of alkaline solid electrolytes are emphasized.","author":[{"dropping-particle":"","family":"Wei","given":"Yuantao","non-dropping-particle":"","parse-names":false,"suffix":""},{"dropping-particle":"","family":"Shi","given":"Yuchuan","non-dropping-particle":"","parse-names":false,"suffix":""},{"dropping-particle":"","family":"Chen","given":"Ye","non-dropping-particle":"","parse-names":false,"suffix":""},{"dropping-particle":"","family":"Xiao","given":"Chunhui","non-dropping-particle":"","parse-names":false,"suffix":""},{"dropping-particle":"","family":"Ding","given":"Shujiang","non-dropping-particle":"","parse-names":false,"suffix":""}],"container-title":"Journal of Materials Chemistry A","id":"ITEM-1","issue":"8","issued":{"date-parts":[["2021","3","2"]]},"page":"4415-4453","publisher":"The Royal Society of Chemistry","title":"Development of solid electrolytes in Zn–air and Al–air batteries: from material selection to performance improvement strategies","type":"article-journal","volume":"9"},"uris":["http://www.mendeley.com/documents/?uuid=c66a3921-f973-3d3f-b4cf-77913a83f5a1"]}],"mendeley":{"formattedCitation":"&lt;sup&gt;[225]&lt;/sup&gt;","plainTextFormattedCitation":"[225]","previouslyFormattedCitation":"&lt;sup&gt;[224]&lt;/sup&gt;"},"properties":{"noteIndex":0},"schema":"https://github.com/citation-style-language/schema/raw/master/csl-citation.json"}</w:instrText>
      </w:r>
      <w:r w:rsidR="009955F8" w:rsidRPr="003E0254">
        <w:fldChar w:fldCharType="separate"/>
      </w:r>
      <w:r w:rsidR="00500B8D" w:rsidRPr="003E0254">
        <w:rPr>
          <w:noProof/>
          <w:vertAlign w:val="superscript"/>
        </w:rPr>
        <w:t>[225]</w:t>
      </w:r>
      <w:r w:rsidR="009955F8" w:rsidRPr="003E0254">
        <w:fldChar w:fldCharType="end"/>
      </w:r>
      <w:r w:rsidR="00595C50" w:rsidRPr="003E0254">
        <w:t xml:space="preserve"> The us</w:t>
      </w:r>
      <w:r w:rsidR="00D137F9" w:rsidRPr="003E0254">
        <w:t>age</w:t>
      </w:r>
      <w:r w:rsidR="00595C50" w:rsidRPr="003E0254">
        <w:t xml:space="preserve"> of polymer electrolytes has some advantages like high conductivity, water absorption/water retention and mechanical strength</w:t>
      </w:r>
      <w:r w:rsidR="00D137F9" w:rsidRPr="003E0254">
        <w:t>,</w:t>
      </w:r>
      <w:r w:rsidR="00595C50" w:rsidRPr="003E0254">
        <w:t xml:space="preserve"> therefor</w:t>
      </w:r>
      <w:r w:rsidR="00D137F9" w:rsidRPr="003E0254">
        <w:t>e</w:t>
      </w:r>
      <w:r w:rsidR="00595C50" w:rsidRPr="003E0254">
        <w:t xml:space="preserve"> </w:t>
      </w:r>
      <w:r w:rsidR="00D137F9" w:rsidRPr="003E0254">
        <w:t xml:space="preserve">becoming </w:t>
      </w:r>
      <w:r w:rsidR="00595C50" w:rsidRPr="003E0254">
        <w:t>one of the most used gel polymers for ZAB</w:t>
      </w:r>
      <w:r w:rsidR="00D137F9" w:rsidRPr="003E0254">
        <w:t>s</w:t>
      </w:r>
      <w:r w:rsidR="00595C50" w:rsidRPr="003E0254">
        <w:t>.</w:t>
      </w:r>
      <w:r w:rsidR="009955F8" w:rsidRPr="003E0254">
        <w:fldChar w:fldCharType="begin" w:fldLock="1"/>
      </w:r>
      <w:r w:rsidR="00500B8D" w:rsidRPr="003E0254">
        <w:instrText>ADDIN CSL_CITATION {"citationItems":[{"id":"ITEM-1","itemData":{"DOI":"10.1016/J.JPOWSOUR.2019.227653","ISSN":"0378-7753","abstract":"The rapid development of flexible electronic devices prompts the extensive attentions of the all-solid-state flexible zinc-air batteries (ZABs). Nevertheless, the low energy conversion efficiency and output power density hinder the practical application of all-solid-state flexible ZABs due to the lacks of bifunctional oxygen catalysts with high catalytic activity and flexible solid electrolytes with high ionic conductivity. Herein, we report an active and cost-effective oxygen catalyst of manganese dioxide (MnO2) nanowires supported on nitrogen-doped reduced graphene oxide (MnO2/NRGO-Urea) synthesized by a facile one-pot process. Along with superior stability, MnO2/NRGO-Urea shows the prominent activities for oxygen reduction and evolution reactions (ORR and OER), and lowest potential difference between ORR and OER among most of the manganese dioxides reported recently. Importantly, the polyacrylamide (PAM) based alkaline gel electrolyte (AGE) which shows much higher hydroxide-ion conductivity (215.6 mS cm−2) than the state-of-the-art polyvinyl alcohol (PVA)-based AGEs is employed in the all-solid-state flexible ZAB. Thanks to the MnO2/NRGO-Urea catalyst and PAM-based AGE, the maximum power density (Pmax) of the as-fabricated all-solid-state flexible ZAB reaches 105.0 mW cm−2 with extraordinary mechanical flexibility and robustness. Our work offers a cost-effective strategy for all-solid-state flexible ZABs with high power density and excellent energy conversion efficiency.","author":[{"dropping-particle":"","family":"Miao","given":"He","non-dropping-particle":"","parse-names":false,"suffix":""},{"dropping-particle":"","family":"Chen","given":"Bin","non-dropping-particle":"","parse-names":false,"suffix":""},{"dropping-particle":"","family":"Li","given":"Shihua","non-dropping-particle":"","parse-names":false,"suffix":""},{"dropping-particle":"","family":"Wu","given":"Xuyang","non-dropping-particle":"","parse-names":false,"suffix":""},{"dropping-particle":"","family":"Wang","given":"Qin","non-dropping-particle":"","parse-names":false,"suffix":""},{"dropping-particle":"","family":"Zhang","given":"Chunfei","non-dropping-particle":"","parse-names":false,"suffix":""},{"dropping-particle":"","family":"Sun","given":"Zixu","non-dropping-particle":"","parse-names":false,"suffix":""},{"dropping-particle":"","family":"Li","given":"Hong","non-dropping-particle":"","parse-names":false,"suffix":""}],"container-title":"Journal of Power Sources","id":"ITEM-1","issued":{"date-parts":[["2020","2","29"]]},"page":"227653","publisher":"Elsevier","title":"All-solid-state flexible zinc-air battery with polyacrylamide alkaline gel electrolyte","type":"article-journal","volume":"450"},"uris":["http://www.mendeley.com/documents/?uuid=96c81cfc-c143-380f-82bb-a3a9968fca4e"]}],"mendeley":{"formattedCitation":"&lt;sup&gt;[226]&lt;/sup&gt;","plainTextFormattedCitation":"[226]","previouslyFormattedCitation":"&lt;sup&gt;[225]&lt;/sup&gt;"},"properties":{"noteIndex":0},"schema":"https://github.com/citation-style-language/schema/raw/master/csl-citation.json"}</w:instrText>
      </w:r>
      <w:r w:rsidR="009955F8" w:rsidRPr="003E0254">
        <w:fldChar w:fldCharType="separate"/>
      </w:r>
      <w:r w:rsidR="00500B8D" w:rsidRPr="003E0254">
        <w:rPr>
          <w:noProof/>
          <w:vertAlign w:val="superscript"/>
        </w:rPr>
        <w:t>[226]</w:t>
      </w:r>
      <w:r w:rsidR="009955F8" w:rsidRPr="003E0254">
        <w:fldChar w:fldCharType="end"/>
      </w:r>
      <w:r w:rsidR="00595C50" w:rsidRPr="003E0254">
        <w:t xml:space="preserve"> </w:t>
      </w:r>
      <w:r w:rsidR="00D137F9" w:rsidRPr="003E0254">
        <w:t>P</w:t>
      </w:r>
      <w:r w:rsidR="00595C50" w:rsidRPr="003E0254">
        <w:t xml:space="preserve">olyacrylic acid (PAA) can </w:t>
      </w:r>
      <w:r w:rsidR="00D137F9" w:rsidRPr="003E0254">
        <w:t xml:space="preserve">also </w:t>
      </w:r>
      <w:r w:rsidR="00595C50" w:rsidRPr="003E0254">
        <w:t>be used as a polymer for gel polymer electrolytes. This polymer shows a much better in</w:t>
      </w:r>
      <w:r w:rsidR="00D137F9" w:rsidRPr="003E0254">
        <w:t>ter</w:t>
      </w:r>
      <w:r w:rsidR="00595C50" w:rsidRPr="003E0254">
        <w:t>face contact to the electrode surfaces, because of the softness of the material.</w:t>
      </w:r>
      <w:r w:rsidR="009955F8" w:rsidRPr="003E0254">
        <w:fldChar w:fldCharType="begin" w:fldLock="1"/>
      </w:r>
      <w:r w:rsidR="00500B8D" w:rsidRPr="003E0254">
        <w:instrText>ADDIN CSL_CITATION {"citationItems":[{"id":"ITEM-1","itemData":{"DOI":"10.1016/J.ELECTACTA.2019.135021","ISSN":"0013-4686","abstract":"In this report, hydrated hydrogels are investigated for application in rechargeable zinc–air batteries (ZABs) based on their ionic conductivities, chemical stability, electrochemical windows and mechanical properties. Three different hydrogel networks, i.e., poly(vinyl alcohol) (PVA), poly(acrylic acid) (PAA) and poly(4-vinylbenzenesulfonate-co-[3-(methacryloylamino)propyl]trimethylammonium chloride) (PAM), were chosen based on their chemical composition and different charged functional groups in the polymer network. Since the hydrogel network affects electrolyte uptake, which in turn may influence conductivity, understanding the correlation between hydrogel species and ionic conductivity provides insight into designing an appropriate gel polymer electrolyte (GPE) for ZABs. The relationship between ionic conductivity, water uptake and temperature are discussed. In ZAB cycling tests, although GPEs have a higher bulk resistance than aqueous electrolytes, they have lower interfacial and charge transfer resistances. The total resistance values for PVA and PAA, with 6 M KOH, vary from 4 to 6 Ω, which are lower than the values for KOH solution (</w:instrText>
      </w:r>
      <w:r w:rsidR="00500B8D" w:rsidRPr="003E0254">
        <w:rPr>
          <w:rFonts w:ascii="Cambria Math" w:hAnsi="Cambria Math" w:cs="Cambria Math"/>
        </w:rPr>
        <w:instrText>∼</w:instrText>
      </w:r>
      <w:r w:rsidR="00500B8D" w:rsidRPr="003E0254">
        <w:instrText xml:space="preserve">11 </w:instrText>
      </w:r>
      <w:r w:rsidR="00500B8D" w:rsidRPr="003E0254">
        <w:rPr>
          <w:rFonts w:ascii="Aptos" w:hAnsi="Aptos" w:cs="Aptos"/>
        </w:rPr>
        <w:instrText>Ω</w:instrText>
      </w:r>
      <w:r w:rsidR="00500B8D" w:rsidRPr="003E0254">
        <w:instrText>) and PAM with 6 M KOH (</w:instrText>
      </w:r>
      <w:r w:rsidR="00500B8D" w:rsidRPr="003E0254">
        <w:rPr>
          <w:rFonts w:ascii="Cambria Math" w:hAnsi="Cambria Math" w:cs="Cambria Math"/>
        </w:rPr>
        <w:instrText>∼</w:instrText>
      </w:r>
      <w:r w:rsidR="00500B8D" w:rsidRPr="003E0254">
        <w:instrText xml:space="preserve">14 </w:instrText>
      </w:r>
      <w:r w:rsidR="00500B8D" w:rsidRPr="003E0254">
        <w:rPr>
          <w:rFonts w:ascii="Aptos" w:hAnsi="Aptos" w:cs="Aptos"/>
        </w:rPr>
        <w:instrText>Ω</w:instrText>
      </w:r>
      <w:r w:rsidR="00500B8D" w:rsidRPr="003E0254">
        <w:instrText>). As such, this study demonstrates that GPEs show considerable promise for use as electrolytes in ZABs.","author":[{"dropping-particle":"","family":"Tran","given":"Thuy Nguyen Thanh","non-dropping-particle":"","parse-names":false,"suffix":""},{"dropping-particle":"","family":"Chung","given":"Hyun Joong","non-dropping-particle":"","parse-names":false,"suffix":""},{"dropping-particle":"","family":"Ivey","given":"Douglas G.","non-dropping-particle":"","parse-names":false,"suffix":""}],"container-title":"Electrochimica Acta","id":"ITEM-1","issued":{"date-parts":[["2019","12","10"]]},"page":"135021","publisher":"Pergamon","title":"A study of alkaline gel polymer electrolytes for rechargeable zinc–air batteries","type":"article-journal","volume":"327"},"uris":["http://www.mendeley.com/documents/?uuid=21fc82b8-556e-355c-b740-a7f9e02da594"]}],"mendeley":{"formattedCitation":"&lt;sup&gt;[227]&lt;/sup&gt;","plainTextFormattedCitation":"[227]","previouslyFormattedCitation":"&lt;sup&gt;[226]&lt;/sup&gt;"},"properties":{"noteIndex":0},"schema":"https://github.com/citation-style-language/schema/raw/master/csl-citation.json"}</w:instrText>
      </w:r>
      <w:r w:rsidR="009955F8" w:rsidRPr="003E0254">
        <w:fldChar w:fldCharType="separate"/>
      </w:r>
      <w:r w:rsidR="00500B8D" w:rsidRPr="003E0254">
        <w:rPr>
          <w:noProof/>
          <w:vertAlign w:val="superscript"/>
        </w:rPr>
        <w:t>[227]</w:t>
      </w:r>
      <w:r w:rsidR="009955F8" w:rsidRPr="003E0254">
        <w:fldChar w:fldCharType="end"/>
      </w:r>
      <w:r w:rsidR="00595C50" w:rsidRPr="003E0254">
        <w:t xml:space="preserve"> In addition, PVA, PEG with salts for polyethylene glycol or even </w:t>
      </w:r>
      <w:r w:rsidR="00B61D72" w:rsidRPr="003E0254">
        <w:t>p</w:t>
      </w:r>
      <w:r w:rsidR="00595C50" w:rsidRPr="003E0254">
        <w:t>olyethylen</w:t>
      </w:r>
      <w:r w:rsidR="00D137F9" w:rsidRPr="003E0254">
        <w:t>e</w:t>
      </w:r>
      <w:r w:rsidR="00595C50" w:rsidRPr="003E0254">
        <w:t xml:space="preserve"> oxide</w:t>
      </w:r>
      <w:r w:rsidR="00D137F9" w:rsidRPr="003E0254">
        <w:t xml:space="preserve"> (PEO)</w:t>
      </w:r>
      <w:r w:rsidR="00595C50" w:rsidRPr="003E0254">
        <w:t xml:space="preserve"> can </w:t>
      </w:r>
      <w:r w:rsidR="00D137F9" w:rsidRPr="003E0254">
        <w:t xml:space="preserve">also </w:t>
      </w:r>
      <w:r w:rsidR="00595C50" w:rsidRPr="003E0254">
        <w:t>be used. In current research low-cost environmentally friendly gel polymers, such as agar gel</w:t>
      </w:r>
      <w:r w:rsidR="0019792E" w:rsidRPr="003E0254">
        <w:t>,</w:t>
      </w:r>
      <w:r w:rsidR="00595C50" w:rsidRPr="003E0254">
        <w:t xml:space="preserve"> have been developed for solid-state electrolytes.</w:t>
      </w:r>
      <w:r w:rsidR="00D137F9" w:rsidRPr="003E0254">
        <w:fldChar w:fldCharType="begin" w:fldLock="1"/>
      </w:r>
      <w:r w:rsidR="00500B8D" w:rsidRPr="003E0254">
        <w:instrText>ADDIN CSL_CITATION {"citationItems":[{"id":"ITEM-1","itemData":{"DOI":"10.1021/ACSAMI.8B05215/ASSET/IMAGES/LARGE/AM-2018-05215X_0005.JPEG","ISSN":"19448252","PMID":"29882645","abstract":"The increasing demand for advanced rechargeable batteries spurs development of new power sources beyond currently most widespread lithium-ion batteries. Here, we demonstrate a new class of flexible/rechargeable zinc (Zn)-air batteries based on multifunctional heteronanomat architecture as a scalable/versatile strategy to address this issue. In contrast to conventional electrodes that are mostly prepared by slurry-casting techniques, heteronanomat (denoted as \"HM\") framework-supported electrodes are fabricated through one-pot concurrent electrospraying (for electrode powders/single-walled carbon nanotubes (SWCNTs)) and electrospinning (for polyetherimide (PEI) nanofibers) process. Zn powders (in anodes) and rambutan-shaped cobalt oxide (Co3O4)/multiwalled carbon nanotube (MWCNT) composite powders (in cathodes) are used as electrode active materials for proof of concept. The Zn (or Co3O4/MWCNT) powders are densely packed and spatially bound by the all-fibrous HM frameworks that consist of PEI nanofibers (for structural stability)/SWCNTs (for electrical conduction) networks, leading to the formation of three-dimensional bicontinuous ion/electron transport channels in the electrodes. The HM electrodes are assembled with cross-linked polyvinyl alcohol/polyvinyl acrylic acid gel polymer electrolytes (acting as zincate ion crossover-suppressing, permselective separator membranes). Benefiting from its unique structure and chemical functionalities, the HM-structured Zn-air cell significantly improves mechanical flexibility and electrochemical rechargeability, which are difficult to achieve with conventional Zn-air battery technologies.","author":[{"dropping-particle":"","family":"Lee","given":"Donggue","non-dropping-particle":"","parse-names":false,"suffix":""},{"dropping-particle":"","family":"Kim","given":"Hyun Woo","non-dropping-particle":"","parse-names":false,"suffix":""},{"dropping-particle":"","family":"Kim","given":"Ju Myung","non-dropping-particle":"","parse-names":false,"suffix":""},{"dropping-particle":"","family":"Kim","given":"Ka Hyun","non-dropping-particle":"","parse-names":false,"suffix":""},{"dropping-particle":"","family":"Lee","given":"Sang Young","non-dropping-particle":"","parse-names":false,"suffix":""}],"container-title":"ACS Applied Materials and Interfaces","id":"ITEM-1","issue":"26","issued":{"date-parts":[["2018","7","5"]]},"page":"22210-22217","publisher":"American Chemical Society","title":"Flexible/Rechargeable Zn-Air Batteries Based on Multifunctional Heteronanomat Architecture","type":"article-journal","volume":"10"},"uris":["http://www.mendeley.com/documents/?uuid=7bd02476-946c-3d5a-a451-9f8f0210b65d"]},{"id":"ITEM-2","itemData":{"DOI":"10.1016/J.CEJ.2022.139301","ISSN":"1385-8947","abstract":"Flexible zinc-air batteries (FZABs) have excellent application prospects in flexible wearable electronic devices due to their high safety and low cost. However, zinc electrode passivation, low conductivity of the solid-state electrolyte (SSE), and poor mechanical properties severely limit the areal capacity of the FZABs, which is challenging to meet the requirements of flexible electronic equipment for flexible power supply devices. Herein, an environment-friendly Agar gel SSE is prepared for FZABs. To further improve the mechanical strength and electrochemical performance of the Agar-based zinc-air battery, melamine-Agar SSE (M-Agar SSE) is fabricated by introducing melamine foam (M foam) skeleton into Agar gel. Compared with Agar gel electrolyte, the prepared M-Agar SSE delivers essentially improved properties in terms of mechanical strength, water retention capability, and ionic conductivity. Therefore, the FZAB based on the M-Agar SSE can achieve a maximum output power of 126 mW cM-2 and a high areal capacity of 24 mAh cM-2. In addition, the assembled sandwich-type batteries adapt to extreme working conditions without significant electrochemical performance degradation, demonstrating their great potential for flexible wearable devices.","author":[{"dropping-particle":"","family":"Zuo","given":"Yayu","non-dropping-particle":"","parse-names":false,"suffix":""},{"dropping-particle":"","family":"Wang","given":"Keliang","non-dropping-particle":"","parse-names":false,"suffix":""},{"dropping-particle":"","family":"Wei","given":"Manhui","non-dropping-particle":"","parse-names":false,"suffix":""},{"dropping-particle":"","family":"Zhang","given":"Pengfei","non-dropping-particle":"","parse-names":false,"suffix":""},{"dropping-particle":"","family":"Zhao","given":"Siyuan","non-dropping-particle":"","parse-names":false,"suffix":""},{"dropping-particle":"","family":"Pei","given":"Pucheng","non-dropping-particle":"","parse-names":false,"suffix":""},{"dropping-particle":"","family":"Wang","given":"Hengwei","non-dropping-particle":"","parse-names":false,"suffix":""},{"dropping-particle":"","family":"Chen","given":"Zhuo","non-dropping-particle":"","parse-names":false,"suffix":""},{"dropping-particle":"","family":"Shang","given":"Nuo","non-dropping-particle":"","parse-names":false,"suffix":""}],"container-title":"Chemical Engineering Journal","id":"ITEM-2","issued":{"date-parts":[["2023","1","15"]]},"page":"139301","publisher":"Elsevier","title":"An Agar gel modulation with melamine foam skeleton for flexible Zn-air batteries","type":"article-journal","volume":"452"},"uris":["http://www.mendeley.com/documents/?uuid=5f0ad8b9-3181-3cc6-b991-915dcf28c4a3"]}],"mendeley":{"formattedCitation":"&lt;sup&gt;[216,228]&lt;/sup&gt;","plainTextFormattedCitation":"[216,228]","previouslyFormattedCitation":"&lt;sup&gt;[215,227]&lt;/sup&gt;"},"properties":{"noteIndex":0},"schema":"https://github.com/citation-style-language/schema/raw/master/csl-citation.json"}</w:instrText>
      </w:r>
      <w:r w:rsidR="00D137F9" w:rsidRPr="003E0254">
        <w:fldChar w:fldCharType="separate"/>
      </w:r>
      <w:r w:rsidR="00500B8D" w:rsidRPr="003E0254">
        <w:rPr>
          <w:noProof/>
          <w:vertAlign w:val="superscript"/>
        </w:rPr>
        <w:t>[216,228]</w:t>
      </w:r>
      <w:r w:rsidR="00D137F9" w:rsidRPr="003E0254">
        <w:fldChar w:fldCharType="end"/>
      </w:r>
      <w:r w:rsidR="00595C50" w:rsidRPr="003E0254">
        <w:t xml:space="preserve"> </w:t>
      </w:r>
    </w:p>
    <w:p w14:paraId="1D726254" w14:textId="60AEF19E" w:rsidR="00AC32D3" w:rsidRPr="003E0254" w:rsidRDefault="000D0BA2" w:rsidP="00595C50">
      <w:pPr>
        <w:spacing w:line="276" w:lineRule="auto"/>
        <w:jc w:val="both"/>
      </w:pPr>
      <w:r w:rsidRPr="003E0254">
        <w:t>Z</w:t>
      </w:r>
      <w:r w:rsidR="000707F7" w:rsidRPr="003E0254">
        <w:t xml:space="preserve">inc-air batteries using chloride-based (near-)neutral electrolytes with a pH around 7 have gained attention due to their advantages, including reduced corrosion of zinc, decreased dendrite formation, and </w:t>
      </w:r>
      <w:r w:rsidR="000707F7" w:rsidRPr="003E0254">
        <w:lastRenderedPageBreak/>
        <w:t>the absence of carbonization in the electrolytes</w:t>
      </w:r>
      <w:r w:rsidR="00AC32D3" w:rsidRPr="003E0254">
        <w:t>.</w:t>
      </w:r>
      <w:r w:rsidR="00AC32D3" w:rsidRPr="003E0254">
        <w:fldChar w:fldCharType="begin" w:fldLock="1"/>
      </w:r>
      <w:r w:rsidR="000F0B1D" w:rsidRPr="003E0254">
        <w:instrText>ADDIN CSL_CITATION {"citationItems":[{"id":"ITEM-1","itemData":{"DOI":"10.1016/J.EST.2017.12.004","ISSN":"2352-152X","abstract":"The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Storage","id":"ITEM-1","issued":{"date-parts":[["2018","2","1"]]},"page":"304-328","publisher":"Elsevier","title":"An overview of progress in electrolytes for secondary zinc-air batteries and other storage systems based on zinc","type":"article-journal","volume":"15"},"uris":["http://www.mendeley.com/documents/?uuid=1c32803a-05b4-4918-a283-2a75934802d4"]}],"mendeley":{"formattedCitation":"&lt;sup&gt;[35]&lt;/sup&gt;","plainTextFormattedCitation":"[35]","previouslyFormattedCitation":"&lt;sup&gt;[35]&lt;/sup&gt;"},"properties":{"noteIndex":0},"schema":"https://github.com/citation-style-language/schema/raw/master/csl-citation.json"}</w:instrText>
      </w:r>
      <w:r w:rsidR="00AC32D3" w:rsidRPr="003E0254">
        <w:fldChar w:fldCharType="separate"/>
      </w:r>
      <w:r w:rsidR="000F0B1D" w:rsidRPr="003E0254">
        <w:rPr>
          <w:noProof/>
          <w:vertAlign w:val="superscript"/>
        </w:rPr>
        <w:t>[35]</w:t>
      </w:r>
      <w:r w:rsidR="00AC32D3" w:rsidRPr="003E0254">
        <w:fldChar w:fldCharType="end"/>
      </w:r>
      <w:r w:rsidR="00AC32D3" w:rsidRPr="003E0254">
        <w:t xml:space="preserve"> </w:t>
      </w:r>
      <w:r w:rsidR="000707F7" w:rsidRPr="003E0254">
        <w:t>These batteries demonstrate exceptional cycling stability and maintain acceptable charge and discharge voltages at relatively low applied currents</w:t>
      </w:r>
      <w:r w:rsidR="00AC32D3" w:rsidRPr="003E0254">
        <w:t>.</w:t>
      </w:r>
      <w:r w:rsidR="000707F7" w:rsidRPr="003E0254">
        <w:fldChar w:fldCharType="begin" w:fldLock="1"/>
      </w:r>
      <w:r w:rsidR="00500B8D" w:rsidRPr="003E0254">
        <w:instrText>ADDIN CSL_CITATION {"citationItems":[{"id":"ITEM-1","itemData":{"DOI":"10.1016/J.JPOWSOUR.2016.09.142","ISSN":"0378-7753","abstract":"Neutral chloride-based electrolyte and directly grown manganese oxide on carbon paper are used as the electrolyte and air cathode respectively for rechargeable Zn-air batteries. Oxygen reduction and oxygen evolution reactions on manganese oxide show dependence of activities on the pH of the electrolyte. Zn-air batteries with chloride-based electrolyte and manganese oxide catalyst exhibit satisfactory voltage profile (discharge and charge voltage of 1 and 2 V at 1 mA cm−2) and excellent cycling stability (≈90 days of continuous cycle test), which is attributed to the reduced carbon corrosion on the air cathode and decreased carbonation in neutral electrolyte. This work describes a robust electrolyte system that improves the cycle life of rechargeable Zn-air batteries.","author":[{"dropping-particle":"","family":"Sumboja","given":"Afriyanti","non-dropping-particle":"","parse-names":false,"suffix":""},{"dropping-particle":"","family":"Ge","given":"Xiaoming","non-dropping-particle":"","parse-names":false,"suffix":""},{"dropping-particle":"","family":"Zheng","given":"Guangyuan","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Journal of Power Sources","id":"ITEM-1","issued":{"date-parts":[["2016","11","15"]]},"page":"330-336","publisher":"Elsevier","title":"Durable rechargeable zinc-air batteries with neutral electrolyte and manganese oxide catalyst","type":"article-journal","volume":"332"},"uris":["http://www.mendeley.com/documents/?uuid=5cfc5202-e67b-3cbf-8530-389a40c4e873"]},{"id":"ITEM-2","itemData":{"DOI":"10.1149/2.0311414JES/XML","ISSN":"0013-4651","abstract":"© The Author(s) 2014. Near-neutral electrolytes based on zinc chloride and ammonium chloride are examined for rechargeable zinc-air battery application. The effects of pH value, salt concentration, and polyethylene glycol and thiourea additives are investigated and a chloride electrolyte is developed. The reversible zinc deposition and zinc stripping processes are studied by cyclic voltammetry with rotating-disc electrode technique. The zinc anode and air cathode behaviors in near-neutral chloride electrolyte are characterized by quasi steady-state polarization and impedance spectroscopy. Prototyped zinc-air battery with near-neutral chloride electrolytes can sustain more than 1000 hours and hundreds of discharge-charge cycles with minimized zinc dendrite formation and no carbonate formation problem, under discharge-charge capacity ranging from 20 to 120 mAh. The near-neutral chloride electrolyte provides a safer and more robust alternative to traditional alkaline electrolyte for rechargeable zinc-air batteries.","author":[{"dropping-particle":"","family":"Thomas Goh","given":"F. W.","non-dropping-particle":"","parse-names":false,"suffix":""},{"dropping-particle":"","family":"Liu","given":"Zhaolin","non-dropping-particle":"","parse-names":false,"suffix":""},{"dropping-particle":"","family":"Hor","given":"T. S. Andy","non-dropping-particle":"","parse-names":false,"suffix":""},{"dropping-particle":"","family":"Zhang","given":"Jie","non-dropping-particle":"","parse-names":false,"suffix":""},{"dropping-particle":"","family":"Ge","given":"Xiaoming","non-dropping-particle":"","parse-names":false,"suffix":""},{"dropping-particle":"","family":"Zong","given":"Yun","non-dropping-particle":"","parse-names":false,"suffix":""},{"dropping-particle":"","family":"Yu","given":"Aishui","non-dropping-particle":"","parse-names":false,"suffix":""},{"dropping-particle":"","family":"Khoo","given":"Weiliang","non-dropping-particle":"","parse-names":false,"suffix":""}],"container-title":"Journal of The Electrochemical Society","id":"ITEM-2","issue":"14","issued":{"date-parts":[["2014","10","1"]]},"page":"A2080-A2086","publisher":"The Electrochemical Society","title":"A Near-Neutral Chloride Electrolyte for Electrically Rechargeable Zinc-Air Batteries","type":"article-journal","volume":"161"},"uris":["http://www.mendeley.com/documents/?uuid=875e0f1c-618e-3b73-8919-449fd47029d0"]}],"mendeley":{"formattedCitation":"&lt;sup&gt;[177,217]&lt;/sup&gt;","plainTextFormattedCitation":"[177,217]","previouslyFormattedCitation":"&lt;sup&gt;[176,216]&lt;/sup&gt;"},"properties":{"noteIndex":0},"schema":"https://github.com/citation-style-language/schema/raw/master/csl-citation.json"}</w:instrText>
      </w:r>
      <w:r w:rsidR="000707F7" w:rsidRPr="003E0254">
        <w:fldChar w:fldCharType="separate"/>
      </w:r>
      <w:r w:rsidR="00500B8D" w:rsidRPr="003E0254">
        <w:rPr>
          <w:noProof/>
          <w:vertAlign w:val="superscript"/>
        </w:rPr>
        <w:t>[177,217]</w:t>
      </w:r>
      <w:r w:rsidR="000707F7" w:rsidRPr="003E0254">
        <w:fldChar w:fldCharType="end"/>
      </w:r>
      <w:r w:rsidR="00AC32D3" w:rsidRPr="003E0254">
        <w:t xml:space="preserve"> </w:t>
      </w:r>
      <w:r w:rsidR="000707F7" w:rsidRPr="003E0254">
        <w:t>The improved stability is attributed to reduced carbon corrosion in the air cathode and less carbonation in batteries with neutral electrolytes. Issues related to the potential formation of a passivation layer on the zinc surface can be addressed by using electrolyte additives.</w:t>
      </w:r>
      <w:r w:rsidR="000707F7" w:rsidRPr="003E0254">
        <w:fldChar w:fldCharType="begin" w:fldLock="1"/>
      </w:r>
      <w:r w:rsidR="00500B8D" w:rsidRPr="003E0254">
        <w:instrText>ADDIN CSL_CITATION {"citationItems":[{"id":"ITEM-1","itemData":{"DOI":"10.1002/BATT.202100116","ISSN":"2566-6223","abstract":"The influence of ethylenediaminetetraacetic acid (EDTA) electrolyte additive on the performance of Zn−air batteries with near-neutral chloride-based electrolytes was examined for primary and secondary batteries. The electrochemical measurements indicated that Zn is not completely active in neat 2 M NaCl, but still could be discharged up to 1 mA cm−2 around −1.0 VAg/AgCl. The characterization of the Zn surfaces revealed the existence of a passive film consisting of Simonkolleite, Zn(OH)2, and/or ZnO. The EDTA additive enhanced the discharge voltages by 200 mV to −1.2 VAg/AgCl indicating an active Zn surface. The effect of EDTA is explained by its chelation abilities with Zn2+ before formation of hydroxide or oxide species. The Zn−air cells with EDTA were operated up to 930 h with specific energies up to 840 Wh kgZn−1. The cells could also be cycled up to 70 cycles while providing enhanced discharge voltages at 1.15 V over 50 cycles. The positive effect of EDTA is dependent on the amount of free EDTA molecules. Nevertheless, the Zn−air cells showed better performance in terms of higher discharge voltage, discharge energies, and lower overpotentials in presence of EDTA.","author":[{"dropping-particle":"","family":"Montiel Guerrero","given":"Saul Said","non-dropping-particle":"","parse-names":false,"suffix":""},{"dropping-particle":"","family":"Durmus","given":"Yasin Emre","non-dropping-particle":"","parse-names":false,"suffix":""},{"dropping-particle":"","family":"Dzieciol","given":"Krzysztof","non-dropping-particle":"","parse-names":false,"suffix":""},{"dropping-particle":"","family":"Basak","given":"Shibabrata","non-dropping-particle":"","parse-names":false,"suffix":""},{"dropping-particle":"","family":"Tempel","given":"Hermann","non-dropping-particle":"","parse-names":false,"suffix":""},{"dropping-particle":"","family":"Waasen","given":"Stefan","non-dropping-particle":"van","parse-names":false,"suffix":""},{"dropping-particle":"","family":"Kungl","given":"Hans","non-dropping-particle":"","parse-names":false,"suffix":""},{"dropping-particle":"","family":"Eichel","given":"Rüdiger A.","non-dropping-particle":"","parse-names":false,"suffix":""}],"container-title":"Batteries &amp; Supercaps","id":"ITEM-1","issue":"12","issued":{"date-parts":[["2021","12","1"]]},"page":"1830-1842","publisher":"John Wiley &amp; Sons, Ltd","title":"Improved Electrochemical Performance of Zinc Anodes by EDTA in Near-Neutral Zinc−Air Batteries","type":"article-journal","volume":"4"},"uris":["http://www.mendeley.com/documents/?uuid=a8bf7973-3c13-39ce-b768-1cd5fca88b31"]}],"mendeley":{"formattedCitation":"&lt;sup&gt;[178]&lt;/sup&gt;","plainTextFormattedCitation":"[178]","previouslyFormattedCitation":"&lt;sup&gt;[177]&lt;/sup&gt;"},"properties":{"noteIndex":0},"schema":"https://github.com/citation-style-language/schema/raw/master/csl-citation.json"}</w:instrText>
      </w:r>
      <w:r w:rsidR="000707F7" w:rsidRPr="003E0254">
        <w:fldChar w:fldCharType="separate"/>
      </w:r>
      <w:r w:rsidR="00500B8D" w:rsidRPr="003E0254">
        <w:rPr>
          <w:noProof/>
          <w:vertAlign w:val="superscript"/>
        </w:rPr>
        <w:t>[178]</w:t>
      </w:r>
      <w:r w:rsidR="000707F7" w:rsidRPr="003E0254">
        <w:fldChar w:fldCharType="end"/>
      </w:r>
      <w:r w:rsidR="000707F7" w:rsidRPr="003E0254">
        <w:t xml:space="preserve"> Additionally, the performance of zinc-air batteries with neutral electrolytes at high applied currents can be enhanced by incorporating more active catalysts and fine-tuning the properties of the neutral electrolyte.</w:t>
      </w:r>
    </w:p>
    <w:p w14:paraId="78B1CD17" w14:textId="394F3054" w:rsidR="00595C50" w:rsidRPr="003E0254" w:rsidRDefault="00595C50" w:rsidP="00595C50">
      <w:pPr>
        <w:spacing w:line="276" w:lineRule="auto"/>
        <w:jc w:val="both"/>
      </w:pPr>
      <w:r w:rsidRPr="003E0254">
        <w:t xml:space="preserve">Another </w:t>
      </w:r>
      <w:r w:rsidR="00C6281A" w:rsidRPr="003E0254">
        <w:t>approach</w:t>
      </w:r>
      <w:r w:rsidRPr="003E0254">
        <w:t xml:space="preserve"> is to shift the research towards non-aqueous electrolytes. They offer the benefit of having a higher operating voltage</w:t>
      </w:r>
      <w:r w:rsidR="00682078" w:rsidRPr="003E0254">
        <w:t xml:space="preserve"> without </w:t>
      </w:r>
      <w:r w:rsidR="00C6281A" w:rsidRPr="003E0254">
        <w:t xml:space="preserve">the presence of </w:t>
      </w:r>
      <w:r w:rsidR="00682078" w:rsidRPr="003E0254">
        <w:t>parasitic</w:t>
      </w:r>
      <w:r w:rsidRPr="003E0254">
        <w:t xml:space="preserve"> hydrogen evolution. One of the main drawbacks of using non-aqueous </w:t>
      </w:r>
      <w:r w:rsidR="000C5656" w:rsidRPr="003E0254">
        <w:t>electrolytes</w:t>
      </w:r>
      <w:r w:rsidRPr="003E0254">
        <w:t xml:space="preserve"> is the high </w:t>
      </w:r>
      <w:r w:rsidR="000520A5" w:rsidRPr="003E0254">
        <w:t>volatility</w:t>
      </w:r>
      <w:r w:rsidRPr="003E0254">
        <w:t xml:space="preserve"> and </w:t>
      </w:r>
      <w:r w:rsidR="00B61D72" w:rsidRPr="003E0254">
        <w:t>therefore</w:t>
      </w:r>
      <w:r w:rsidRPr="003E0254">
        <w:t xml:space="preserve"> the risk of drying out the cell.</w:t>
      </w:r>
      <w:r w:rsidR="0008541A" w:rsidRPr="003E0254">
        <w:fldChar w:fldCharType="begin" w:fldLock="1"/>
      </w:r>
      <w:r w:rsidR="000F0B1D" w:rsidRPr="003E0254">
        <w:instrText>ADDIN CSL_CITATION {"citationItems":[{"id":"ITEM-1","itemData":{"DOI":"10.1016/J.EST.2017.12.004","ISSN":"2352-152X","abstract":"The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Storage","id":"ITEM-1","issued":{"date-parts":[["2018","2","1"]]},"page":"304-328","publisher":"Elsevier","title":"An overview of progress in electrolytes for secondary zinc-air batteries and other storage systems based on zinc","type":"article-journal","volume":"15"},"uris":["http://www.mendeley.com/documents/?uuid=1c32803a-05b4-4918-a283-2a75934802d4"]}],"mendeley":{"formattedCitation":"&lt;sup&gt;[35]&lt;/sup&gt;","plainTextFormattedCitation":"[35]","previouslyFormattedCitation":"&lt;sup&gt;[35]&lt;/sup&gt;"},"properties":{"noteIndex":0},"schema":"https://github.com/citation-style-language/schema/raw/master/csl-citation.json"}</w:instrText>
      </w:r>
      <w:r w:rsidR="0008541A" w:rsidRPr="003E0254">
        <w:fldChar w:fldCharType="separate"/>
      </w:r>
      <w:r w:rsidR="000F0B1D" w:rsidRPr="003E0254">
        <w:rPr>
          <w:noProof/>
          <w:vertAlign w:val="superscript"/>
        </w:rPr>
        <w:t>[35]</w:t>
      </w:r>
      <w:r w:rsidR="0008541A" w:rsidRPr="003E0254">
        <w:fldChar w:fldCharType="end"/>
      </w:r>
      <w:r w:rsidRPr="003E0254">
        <w:t xml:space="preserve"> To overcome this</w:t>
      </w:r>
      <w:r w:rsidR="00C6281A" w:rsidRPr="003E0254">
        <w:t xml:space="preserve"> issue</w:t>
      </w:r>
      <w:r w:rsidR="00B61D72" w:rsidRPr="003E0254">
        <w:t>,</w:t>
      </w:r>
      <w:r w:rsidRPr="003E0254">
        <w:t xml:space="preserve"> ionic liquids as molten salts have been studied.</w:t>
      </w:r>
      <w:r w:rsidR="00DF2831" w:rsidRPr="003E0254">
        <w:fldChar w:fldCharType="begin" w:fldLock="1"/>
      </w:r>
      <w:r w:rsidR="00500B8D" w:rsidRPr="003E0254">
        <w:instrText>ADDIN CSL_CITATION {"citationItems":[{"id":"ITEM-1","itemData":{"DOI":"10.1149/2.0121906JES/XML","ISSN":"0013-4651","abstract":"Due to its low cost, high abundance and non-toxicity zinc metal is a very promising electrode material for rechargeable batteries. The main drawback of using zinc in aqueous alkaline solutions is the formation of zinc dendrites, which lead to cell failure, and a low coulombic efficiency. In this study the suppression of dendritic zinc growth by applying either pure 1-ethylimidazolium trifluoromethane sulfonate or 1-ethylimidazolium trifluoromethane sulfonate / water mixtures with zinc trifluoromethane sulfonate as electrolyte formulations was examined. The surface morphology of the deposited zinc is significantly influenced by the amount of water present in the electrolyte. Cyclic voltammetry measurements showed a less negative reduction potential of zinc with increasing water content. Additionally, the presence of air in the electrolyte proved to be another factor influencing the cyclic voltammetry results. Furthermore, galvanostatic cycling data showed a lowering of the overpotential and constant potentials during long-term cycling of 100 cycles if water is present in the electrolyte, and SEM micrographs confirmed that the surface structure remains compact even after long-term cycling.","author":[{"dropping-particle":"","family":"Bayer","given":"Martin","non-dropping-particle":"","parse-names":false,"suffix":""},{"dropping-particle":"","family":"Overhoff","given":"Gerrit Michael","non-dropping-particle":"","parse-names":false,"suffix":""},{"dropping-particle":"","family":"Gui","given":"Alicia Lei","non-dropping-particle":"","parse-names":false,"suffix":""},{"dropping-particle":"","family":"Winter","given":"Martin","non-dropping-particle":"","parse-names":false,"suffix":""},{"dropping-particle":"","family":"Bieker","given":"Peter","non-dropping-particle":"","parse-names":false,"suffix":""},{"dropping-particle":"","family":"Schulze","given":"Susanne","non-dropping-particle":"","parse-names":false,"suffix":""}],"container-title":"Journal of The Electrochemical Society","id":"ITEM-1","issue":"6","issued":{"date-parts":[["2019","3","16"]]},"page":"A909-A914","publisher":"The Electrochemical Society","title":"Influence of Water Content on the Surface Morphology of Zinc Deposited from EMImOTf/Water Mixtures","type":"article-journal","volume":"166"},"uris":["http://www.mendeley.com/documents/?uuid=be152461-7834-393e-9d30-597eaa90f235"]}],"mendeley":{"formattedCitation":"&lt;sup&gt;[229]&lt;/sup&gt;","plainTextFormattedCitation":"[229]","previouslyFormattedCitation":"&lt;sup&gt;[228]&lt;/sup&gt;"},"properties":{"noteIndex":0},"schema":"https://github.com/citation-style-language/schema/raw/master/csl-citation.json"}</w:instrText>
      </w:r>
      <w:r w:rsidR="00DF2831" w:rsidRPr="003E0254">
        <w:fldChar w:fldCharType="separate"/>
      </w:r>
      <w:r w:rsidR="00500B8D" w:rsidRPr="003E0254">
        <w:rPr>
          <w:noProof/>
          <w:vertAlign w:val="superscript"/>
        </w:rPr>
        <w:t>[229]</w:t>
      </w:r>
      <w:r w:rsidR="00DF2831" w:rsidRPr="003E0254">
        <w:fldChar w:fldCharType="end"/>
      </w:r>
      <w:r w:rsidRPr="003E0254">
        <w:t xml:space="preserve"> They have several advantages over organic electrolytes, which </w:t>
      </w:r>
      <w:r w:rsidR="00B61D72" w:rsidRPr="003E0254">
        <w:t>allow</w:t>
      </w:r>
      <w:r w:rsidRPr="003E0254">
        <w:t xml:space="preserve"> for enhanced reaction kinetics at higher temperatures without any loss of electrolyte.</w:t>
      </w:r>
      <w:r w:rsidR="00C6281A" w:rsidRPr="003E0254">
        <w:fldChar w:fldCharType="begin" w:fldLock="1"/>
      </w:r>
      <w:r w:rsidR="00500B8D" w:rsidRPr="003E0254">
        <w:instrText>ADDIN CSL_CITATION {"citationItems":[{"id":"ITEM-1","itemData":{"DOI":"10.1016/J.ELECTACTA.2006.03.016","ISSN":"0013-4686","abstract":"Salts having a low melting point are liquid at room temperature, or even below, and form a new class of liquids usually called room temperature ionic liquids (RTIL). Information about RTILs can be found in the literature with such key words as: room temperature molten salt, low-temperature molten salt, ambient-temperature molten salt, liquid organic salt or simply ionic liquid. Their physicochemical properties are the same as high temperature ionic liquids, but the practical aspects of their maintenance or handling are different enough to merit a distinction. The class of ionic liquids, based on tetraalkylammonium cation and chloroaluminate anion, has been extensively studied since late 1970s of the XX century, following the works of Osteryoung. Systematic research on the application of chloroaluminate ionic liquids as solvents was performed in 1980s. However, ionic liquids based on aluminium halides are moisture sensitive. During the last decade an increasing number of new ionic liquids have been prepared and used as solvents. The general aim of this paper was to review the physical and chemical properties of RTILs from the point of view of their possible application as electrolytes in electrochemical processes and devices. The following points are discussed: melting and freezing, conductivity, viscosity, temperature dependence of conductivity, transport and transference numbers, electrochemical stability, possible application in aluminium electroplating, lithium batteries and in electrochemical capacitors. © 2006 Elsevier Ltd. All rights reserved.","author":[{"dropping-particle":"","family":"Galiński","given":"Maciej","non-dropping-particle":"","parse-names":false,"suffix":""},{"dropping-particle":"","family":"Lewandowski","given":"Andrzej","non-dropping-particle":"","parse-names":false,"suffix":""},{"dropping-particle":"","family":"Stepniak","given":"Izabela","non-dropping-particle":"","parse-names":false,"suffix":""}],"container-title":"Electrochimica Acta","id":"ITEM-1","issue":"26","issued":{"date-parts":[["2006","8","15"]]},"page":"5567-5580","publisher":"Pergamon","title":"Ionic liquids as electrolytes","type":"article-journal","volume":"51"},"uris":["http://www.mendeley.com/documents/?uuid=1f34169f-9d3b-39fa-86a5-89f4e753c7ee"]}],"mendeley":{"formattedCitation":"&lt;sup&gt;[230]&lt;/sup&gt;","plainTextFormattedCitation":"[230]","previouslyFormattedCitation":"&lt;sup&gt;[229]&lt;/sup&gt;"},"properties":{"noteIndex":0},"schema":"https://github.com/citation-style-language/schema/raw/master/csl-citation.json"}</w:instrText>
      </w:r>
      <w:r w:rsidR="00C6281A" w:rsidRPr="003E0254">
        <w:fldChar w:fldCharType="separate"/>
      </w:r>
      <w:r w:rsidR="00500B8D" w:rsidRPr="003E0254">
        <w:rPr>
          <w:noProof/>
          <w:vertAlign w:val="superscript"/>
        </w:rPr>
        <w:t>[230]</w:t>
      </w:r>
      <w:r w:rsidR="00C6281A" w:rsidRPr="003E0254">
        <w:fldChar w:fldCharType="end"/>
      </w:r>
      <w:r w:rsidRPr="003E0254">
        <w:t xml:space="preserve"> </w:t>
      </w:r>
      <w:r w:rsidR="00B61D72" w:rsidRPr="003E0254">
        <w:t>These electrolytes</w:t>
      </w:r>
      <w:r w:rsidRPr="003E0254">
        <w:t xml:space="preserve"> </w:t>
      </w:r>
      <w:r w:rsidR="00C6281A" w:rsidRPr="003E0254">
        <w:t>can</w:t>
      </w:r>
      <w:r w:rsidRPr="003E0254">
        <w:t xml:space="preserve"> suppress the corrosion of zinc,</w:t>
      </w:r>
      <w:r w:rsidR="0019792E" w:rsidRPr="003E0254">
        <w:t xml:space="preserve"> e.g.,</w:t>
      </w:r>
      <w:r w:rsidRPr="003E0254">
        <w:t xml:space="preserve"> when 1-ethyl-3-methylimidazolium dicyanamide(</w:t>
      </w:r>
      <w:proofErr w:type="spellStart"/>
      <w:r w:rsidRPr="003E0254">
        <w:t>emin</w:t>
      </w:r>
      <w:proofErr w:type="spellEnd"/>
      <w:r w:rsidRPr="003E0254">
        <w:t>)(</w:t>
      </w:r>
      <w:proofErr w:type="spellStart"/>
      <w:r w:rsidRPr="003E0254">
        <w:t>dca</w:t>
      </w:r>
      <w:proofErr w:type="spellEnd"/>
      <w:r w:rsidRPr="003E0254">
        <w:t>) ionic liquid is used.</w:t>
      </w:r>
      <w:r w:rsidR="00C6281A" w:rsidRPr="003E0254">
        <w:fldChar w:fldCharType="begin" w:fldLock="1"/>
      </w:r>
      <w:r w:rsidR="00500B8D" w:rsidRPr="003E0254">
        <w:instrText>ADDIN CSL_CITATION {"citationItems":[{"id":"ITEM-1","itemData":{"DOI":"10.1016/J.ELECOM.2012.02.034","ISSN":"1388-2481","abstract":"The electrodeposition and dissolution of Zn 2+ have been investigated in 1-ethyl-3-methylimidazolium dicyanamide [emim][dca] ionic liquid to support the development of Zn-based secondary batteries. Cyclic voltammetry indicates that the zinc salt dissolved in the ionic liquid (IL) is a critical factor in the observed Zn/Zn 2+ electrochemistry. The Zn 2+ salt anions were found to have varying interaction strengths with the dissolved Zn 2+ species in the order dicyanamide &lt; sulfate &lt; chloride &lt; acetate. The concentration of water was found to be a crucial parameter for obtaining a uniform, dendrite free morphology when depositing zinc at a potential of - 2.15 V vs. Fc 0/+. When deposited on glassy carbon, Zn(dca) 2 in [emim][dca] displays high current densities and efficiencies appropriate for use in energy storage applications and has been found to allow the deposition of zinc metal in uniform, non-dendritic morphologies. © 2012 Elsevier B.V.","author":[{"dropping-particle":"","family":"Simons","given":"T. J.","non-dropping-particle":"","parse-names":false,"suffix":""},{"dropping-particle":"","family":"Torriero","given":"A. A.J.","non-dropping-particle":"","parse-names":false,"suffix":""},{"dropping-particle":"","family":"Howlett","given":"P. C.","non-dropping-particle":"","parse-names":false,"suffix":""},{"dropping-particle":"","family":"MacFarlane","given":"D. R.","non-dropping-particle":"","parse-names":false,"suffix":""},{"dropping-particle":"","family":"Forsyth","given":"M.","non-dropping-particle":"","parse-names":false,"suffix":""}],"container-title":"Electrochemistry Communications","id":"ITEM-1","issue":"1","issued":{"date-parts":[["2012","1","1"]]},"page":"119-122","publisher":"Elsevier","title":"High current density, efficient cycling of Zn2+ in 1-ethyl-3-methylimidazolium dicyanamide ionic liquid: The effect of Zn2+ salt and water concentration","type":"article-journal","volume":"18"},"uris":["http://www.mendeley.com/documents/?uuid=c2711108-ee87-3523-bc9f-65ced85f19be"]}],"mendeley":{"formattedCitation":"&lt;sup&gt;[231]&lt;/sup&gt;","plainTextFormattedCitation":"[231]","previouslyFormattedCitation":"&lt;sup&gt;[230]&lt;/sup&gt;"},"properties":{"noteIndex":0},"schema":"https://github.com/citation-style-language/schema/raw/master/csl-citation.json"}</w:instrText>
      </w:r>
      <w:r w:rsidR="00C6281A" w:rsidRPr="003E0254">
        <w:fldChar w:fldCharType="separate"/>
      </w:r>
      <w:r w:rsidR="00500B8D" w:rsidRPr="003E0254">
        <w:rPr>
          <w:noProof/>
          <w:vertAlign w:val="superscript"/>
        </w:rPr>
        <w:t>[231]</w:t>
      </w:r>
      <w:r w:rsidR="00C6281A" w:rsidRPr="003E0254">
        <w:fldChar w:fldCharType="end"/>
      </w:r>
      <w:r w:rsidRPr="003E0254">
        <w:t xml:space="preserve"> </w:t>
      </w:r>
      <w:r w:rsidR="000C5656" w:rsidRPr="003E0254">
        <w:t>Such a</w:t>
      </w:r>
      <w:r w:rsidRPr="003E0254">
        <w:t xml:space="preserve"> </w:t>
      </w:r>
      <w:r w:rsidR="00B61D72" w:rsidRPr="003E0254">
        <w:t>cell</w:t>
      </w:r>
      <w:r w:rsidRPr="003E0254">
        <w:t xml:space="preserve"> has the potential to be used in a secondary battery. </w:t>
      </w:r>
      <w:r w:rsidR="00064056" w:rsidRPr="003E0254">
        <w:t>However</w:t>
      </w:r>
      <w:r w:rsidR="00B61D72" w:rsidRPr="003E0254">
        <w:t>,</w:t>
      </w:r>
      <w:r w:rsidRPr="003E0254">
        <w:t xml:space="preserve"> Xu et al</w:t>
      </w:r>
      <w:r w:rsidR="00B61D72" w:rsidRPr="003E0254">
        <w:t>.</w:t>
      </w:r>
      <w:r w:rsidRPr="003E0254">
        <w:t xml:space="preserve"> </w:t>
      </w:r>
      <w:r w:rsidR="00833211" w:rsidRPr="003E0254">
        <w:t>observed</w:t>
      </w:r>
      <w:r w:rsidRPr="003E0254">
        <w:t xml:space="preserve"> high overpotentials</w:t>
      </w:r>
      <w:r w:rsidR="0019792E" w:rsidRPr="003E0254">
        <w:t xml:space="preserve"> with</w:t>
      </w:r>
      <w:r w:rsidRPr="003E0254">
        <w:t xml:space="preserve"> ionic liquids.</w:t>
      </w:r>
      <w:r w:rsidR="00C6281A" w:rsidRPr="003E0254">
        <w:fldChar w:fldCharType="begin" w:fldLock="1"/>
      </w:r>
      <w:r w:rsidR="00500B8D" w:rsidRPr="003E0254">
        <w:instrText>ADDIN CSL_CITATION {"citationItems":[{"id":"ITEM-1","itemData":{"DOI":"10.1016/J.ELECTACTA.2012.11.023","ISSN":"0013-4686","abstract":"Motivated by the potential of using room temperature ionic liquids (RTILs) as electrolytes to replace traditional aqueous electrolytes for Zn-anode secondary batteries, Zn/Zn(II) redox reactions have been studied in four aprotic RTILs based on pyrrolidinium ([Pyrr]+) and imidazolium ([Im] +) cations, and bis(trifluoromethanesulfonyl)imide ([TFSI] -) and dicyanamide ([DCA]-) anions. Cyclic voltammetry results suggest a smaller overpotential for Zn redox in [Im]+ cation based and [DCA]- anion based RTILs than in [Pyrr]+ and [TFSI]- based RTILs. Potentiodynamic polarization experiments indicate a strong dependence of the electrode reaction mechanism for the Zn species on the RTIL anions. In [TFSI]- based RTILs, Zn2+ ions are the electroactive species, with the electrode reaction being a single-step, two-electron transfer process. In [DCA]- based RTILs, two-step, single-electron reactions account for the electrode mechanism. The exchange current densities derived from Tafel analysis for the Zn species in the four RTILs are greater than 10-3 mA/cm2, with the [Im]+ cation based RTIL possessing the highest value of 9.9 × 10-3 mA/cm2. The results obtained will assist in obtaining a better understanding of the electrochemical behavior of Zn in RTILs, shedding light on the development of RTILs for Zn-anode secondary batteries. © 2012 Elsevier Ltd. All Rights Reserved.","author":[{"dropping-particle":"","family":"Xu","given":"M.","non-dropping-particle":"","parse-names":false,"suffix":""},{"dropping-particle":"","family":"Ivey","given":"D. G.","non-dropping-particle":"","parse-names":false,"suffix":""},{"dropping-particle":"","family":"Xie","given":"Z.","non-dropping-particle":"","parse-names":false,"suffix":""},{"dropping-particle":"","family":"Qu","given":"W.","non-dropping-particle":"","parse-names":false,"suffix":""}],"container-title":"Electrochimica Acta","id":"ITEM-1","issued":{"date-parts":[["2013","2","1"]]},"page":"756-762","publisher":"Pergamon","title":"Electrochemical behavior of Zn/Zn(II) couples in aprotic ionic liquids based on pyrrolidinium and imidazolium cations and bis(trifluoromethanesulfonyl)imide and dicyanamide anions","type":"article-journal","volume":"89"},"uris":["http://www.mendeley.com/documents/?uuid=a5527bd8-97f3-3f76-9ec9-68067c0257ad"]}],"mendeley":{"formattedCitation":"&lt;sup&gt;[232]&lt;/sup&gt;","plainTextFormattedCitation":"[232]","previouslyFormattedCitation":"&lt;sup&gt;[231]&lt;/sup&gt;"},"properties":{"noteIndex":0},"schema":"https://github.com/citation-style-language/schema/raw/master/csl-citation.json"}</w:instrText>
      </w:r>
      <w:r w:rsidR="00C6281A" w:rsidRPr="003E0254">
        <w:fldChar w:fldCharType="separate"/>
      </w:r>
      <w:r w:rsidR="00500B8D" w:rsidRPr="003E0254">
        <w:rPr>
          <w:noProof/>
          <w:vertAlign w:val="superscript"/>
        </w:rPr>
        <w:t>[232]</w:t>
      </w:r>
      <w:r w:rsidR="00C6281A" w:rsidRPr="003E0254">
        <w:fldChar w:fldCharType="end"/>
      </w:r>
      <w:r w:rsidRPr="003E0254">
        <w:t xml:space="preserve">  </w:t>
      </w:r>
    </w:p>
    <w:p w14:paraId="7C24FB5B" w14:textId="73A25A4F" w:rsidR="00853505" w:rsidRPr="003E0254" w:rsidRDefault="00853505" w:rsidP="00853505">
      <w:pPr>
        <w:spacing w:line="276" w:lineRule="auto"/>
        <w:jc w:val="both"/>
      </w:pPr>
      <w:r w:rsidRPr="003E0254">
        <w:t xml:space="preserve">It is also possible to use additives to improve the electrolyte and the overall battery performance. Here the main goal is to overcome anode limitations. In this respect many different additives </w:t>
      </w:r>
      <w:r w:rsidR="003A6F83" w:rsidRPr="003E0254">
        <w:t>have</w:t>
      </w:r>
      <w:r w:rsidRPr="003E0254">
        <w:t xml:space="preserve"> been used, i.e. conductive organic or inorganic additives and surfactants.</w:t>
      </w:r>
      <w:r w:rsidRPr="003E0254">
        <w:fldChar w:fldCharType="begin" w:fldLock="1"/>
      </w:r>
      <w:r w:rsidR="00500B8D" w:rsidRPr="003E0254">
        <w:instrText>ADDIN CSL_CITATION {"citationItems":[{"id":"ITEM-1","itemData":{"DOI":"10.1016/J.EST.2017.12.004","ISSN":"2352-152X","abstract":"The revived interest and research on the development of novel energy storage systems with exceptional inherent safety, environmentally benign and low cost for integration in large scale electricity grid and electric vehicles is now driven by the global energy policies. Within various technical challenges yet to be resolved and despite extensive studies, the low cycle life of the zinc anode is still hindering the implementation of rechargeable zinc batteries at industrial scale. This review presents an extensive overview of electrolytes for rechargeable zinc batteries in relation to the anode issues which are closely affected by the electrolyte nature. Widely studied aqueous electrolytes, from alkaline to acidic pH, as well as non-aqueous systems including polymeric and room temperature ionic liquids are reported. References from early rechargeable Zn-air research to recent results on novel Zn hybrid systems have been analyzed. The ambition is to identify the challenges of the electrolyte system and to compile the proposed improvements and solutions. Ultimately, all the technologies based on zinc, including the more recently proposed novel zinc hybrid batteries combining the strong points of lithium-ion, redox-flow and metal-air systems, can benefit from this compilation in order to improve secondary zinc based batteries performance.","author":[{"dropping-particle":"","family":"Mainar","given":"Aroa R.","non-dropping-particle":"","parse-names":false,"suffix":""},{"dropping-particle":"","family":"Iruin","given":"Elena","non-dropping-particle":"","parse-names":false,"suffix":""},{"dropping-particle":"","family":"Colmenares","given":"Luis C.","non-dropping-particle":"","parse-names":false,"suffix":""},{"dropping-particle":"","family":"Kvasha","given":"Andriy","non-dropping-particle":"","parse-names":false,"suffix":""},{"dropping-particle":"","family":"Meatza","given":"Iratxe","non-dropping-particle":"de","parse-names":false,"suffix":""},{"dropping-particle":"","family":"Bengoechea","given":"Miguel","non-dropping-particle":"","parse-names":false,"suffix":""},{"dropping-particle":"","family":"Leonet","given":"Olatz","non-dropping-particle":"","parse-names":false,"suffix":""},{"dropping-particle":"","family":"Boyano","given":"Iker","non-dropping-particle":"","parse-names":false,"suffix":""},{"dropping-particle":"","family":"Zhang","given":"Zhengcheng","non-dropping-particle":"","parse-names":false,"suffix":""},{"dropping-particle":"","family":"Blazquez","given":"J. Alberto","non-dropping-particle":"","parse-names":false,"suffix":""}],"container-title":"Journal of Energy Storage","id":"ITEM-1","issued":{"date-parts":[["2018","2","1"]]},"page":"304-328","publisher":"Elsevier","title":"An overview of progress in electrolytes for secondary zinc-air batteries and other storage systems based on zinc","type":"article-journal","volume":"15"},"uris":["http://www.mendeley.com/documents/?uuid=1c32803a-05b4-4918-a283-2a75934802d4"]},{"id":"ITEM-2","itemData":{"DOI":"10.1023/A:1013058615990/METRICS","ISSN":"10704272","abstract":"The influence exerted by addition of α-hydroxynaphthoic acid and combined additive Hg + Pb + α-hydroxynaphthoic acid on the corrosion and self-discharge of a porous zinc electrode in alkali solution was studied. © 2001 MAIK \"Nauka/Interperiodica\".","author":[{"dropping-particle":"","family":"Devyatkina","given":"T. I.","non-dropping-particle":"","parse-names":false,"suffix":""},{"dropping-particle":"","family":"Gun'ko","given":"Yu L.","non-dropping-particle":"","parse-names":false,"suffix":""},{"dropping-particle":"","family":"Mikhalenko","given":"M. G.","non-dropping-particle":"","parse-names":false,"suffix":""}],"container-title":"Russian Journal of Applied Chemistry","id":"ITEM-2","issue":"7","issued":{"date-parts":[["2001"]]},"page":"1122-1125","publisher":"Maik Nauka-Interperiodica Publishing","title":"Development of ways to diminish corrosion of zinc electrode","type":"article-journal","volume":"74"},"uris":["http://www.mendeley.com/documents/?uuid=d458d8cf-895a-3aa0-bfc9-14164b763a07"]},{"id":"ITEM-3","itemData":{"DOI":"10.1016/J.JPOWSOUR.2016.09.142","ISSN":"0378-7753","abstract":"Neutral chloride-based electrolyte and directly grown manganese oxide on carbon paper are used as the electrolyte and air cathode respectively for rechargeable Zn-air batteries. Oxygen reduction and oxygen evolution reactions on manganese oxide show dependence of activities on the pH of the electrolyte. Zn-air batteries with chloride-based electrolyte and manganese oxide catalyst exhibit satisfactory voltage profile (discharge and charge voltage of 1 and 2 V at 1 mA cm−2) and excellent cycling stability (≈90 days of continuous cycle test), which is attributed to the reduced carbon corrosion on the air cathode and decreased carbonation in neutral electrolyte. This work describes a robust electrolyte system that improves the cycle life of rechargeable Zn-air batteries.","author":[{"dropping-particle":"","family":"Sumboja","given":"Afriyanti","non-dropping-particle":"","parse-names":false,"suffix":""},{"dropping-particle":"","family":"Ge","given":"Xiaoming","non-dropping-particle":"","parse-names":false,"suffix":""},{"dropping-particle":"","family":"Zheng","given":"Guangyuan","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Journal of Power Sources","id":"ITEM-3","issued":{"date-parts":[["2016","11","15"]]},"page":"330-336","publisher":"Elsevier","title":"Durable rechargeable zinc-air batteries with neutral electrolyte and manganese oxide catalyst","type":"article-journal","volume":"332"},"uris":["http://www.mendeley.com/documents/?uuid=5cfc5202-e67b-3cbf-8530-389a40c4e873"]},{"id":"ITEM-4","itemData":{"DOI":"10.1002/BATT.202100116","ISSN":"2566-6223","abstract":"The influence of ethylenediaminetetraacetic acid (EDTA) electrolyte additive on the performance of Zn−air batteries with near-neutral chloride-based electrolytes was examined for primary and secondary batteries. The electrochemical measurements indicated that Zn is not completely active in neat 2 M NaCl, but still could be discharged up to 1 mA cm−2 around −1.0 VAg/AgCl. The characterization of the Zn surfaces revealed the existence of a passive film consisting of Simonkolleite, Zn(OH)2, and/or ZnO. The EDTA additive enhanced the discharge voltages by 200 mV to −1.2 VAg/AgCl indicating an active Zn surface. The effect of EDTA is explained by its chelation abilities with Zn2+ before formation of hydroxide or oxide species. The Zn−air cells with EDTA were operated up to 930 h with specific energies up to 840 Wh kgZn−1. The cells could also be cycled up to 70 cycles while providing enhanced discharge voltages at 1.15 V over 50 cycles. The positive effect of EDTA is dependent on the amount of free EDTA molecules. Nevertheless, the Zn−air cells showed better performance in terms of higher discharge voltage, discharge energies, and lower overpotentials in presence of EDTA.","author":[{"dropping-particle":"","family":"Montiel Guerrero","given":"Saul Said","non-dropping-particle":"","parse-names":false,"suffix":""},{"dropping-particle":"","family":"Durmus","given":"Yasin Emre","non-dropping-particle":"","parse-names":false,"suffix":""},{"dropping-particle":"","family":"Dzieciol","given":"Krzysztof","non-dropping-particle":"","parse-names":false,"suffix":""},{"dropping-particle":"","family":"Basak","given":"Shibabrata","non-dropping-particle":"","parse-names":false,"suffix":""},{"dropping-particle":"","family":"Tempel","given":"Hermann","non-dropping-particle":"","parse-names":false,"suffix":""},{"dropping-particle":"","family":"Waasen","given":"Stefan","non-dropping-particle":"van","parse-names":false,"suffix":""},{"dropping-particle":"","family":"Kungl","given":"Hans","non-dropping-particle":"","parse-names":false,"suffix":""},{"dropping-particle":"","family":"Eichel","given":"Rüdiger A.","non-dropping-particle":"","parse-names":false,"suffix":""}],"container-title":"Batteries &amp; Supercaps","id":"ITEM-4","issue":"12","issued":{"date-parts":[["2021","12","1"]]},"page":"1830-1842","publisher":"John Wiley &amp; Sons, Ltd","title":"Improved Electrochemical Performance of Zinc Anodes by EDTA in Near-Neutral Zinc−Air Batteries","type":"article-journal","volume":"4"},"uris":["http://www.mendeley.com/documents/?uuid=a8bf7973-3c13-39ce-b768-1cd5fca88b31"]},{"id":"ITEM-5","itemData":{"DOI":"10.1039/C9TA01190K","ISSN":"2050-7496","abstract":"This paper presents a combined theoretical and experimental investigation of aqueous near-neutral electrolytes based on chloride salts for rechargeable zinc–air batteries (ZABs). The resilience of near-neutral chloride electrolytes in air could extend ZAB lifetime, but theory-based simulations predict that such electrolytes are vulnerable to other challenges including pH instability and the unwanted precipitation of mixed zinc hydroxide chloride products. In this work, we combine theory-based simulations with experimental methods such as full cell cycling, operando pH measurements, ex situ XRD, SEM, and EDS characterization to investigate the performance of ZABs with aqueous chloride electrolytes. The experimental characterization of near-neutral ZAB cells observes the predicted pH instability and confirms the composition of the final discharge products. Steps to promote greater pH stability and control the precipitation of discharge products are proposed.","author":[{"dropping-particle":"","family":"Clark","given":"Simon","non-dropping-particle":"","parse-names":false,"suffix":""},{"dropping-particle":"","family":"Mainar","given":"Aroa R.","non-dropping-particle":"","parse-names":false,"suffix":""},{"dropping-particle":"","family":"Iruin","given":"Elena","non-dropping-particle":"","parse-names":false,"suffix":""},{"dropping-particle":"","family":"Colmenares","given":"Luis C.","non-dropping-particle":"","parse-names":false,"suffix":""},{"dropping-particle":"","family":"Blázquez","given":"J. Alberto","non-dropping-particle":"","parse-names":false,"suffix":""},{"dropping-particle":"","family":"Tolchard","given":"Julian R.","non-dropping-particle":"","parse-names":false,"suffix":""},{"dropping-particle":"","family":"Latz","given":"Arnulf","non-dropping-particle":"","parse-names":false,"suffix":""},{"dropping-particle":"","family":"Horstmann","given":"Birger","non-dropping-particle":"","parse-names":false,"suffix":""}],"container-title":"Journal of Materials Chemistry A","id":"ITEM-5","issue":"18","issued":{"date-parts":[["2019","5","7"]]},"page":"11387-11399","publisher":"The Royal Society of Chemistry","title":"Towards rechargeable zinc–air batteries with aqueous chloride electrolytes","type":"article-journal","volume":"7"},"uris":["http://www.mendeley.com/documents/?uuid=6bb93f4f-1377-3c4e-99f3-f3b977fdc5ff"]},{"id":"ITEM-6","itemData":{"DOI":"10.1149/2.0311414JES/XML","ISSN":"0013-4651","abstract":"© The Author(s) 2014. Near-neutral electrolytes based on zinc chloride and ammonium chloride are examined for rechargeable zinc-air battery application. The effects of pH value, salt concentration, and polyethylene glycol and thiourea additives are investigated and a chloride electrolyte is developed. The reversible zinc deposition and zinc stripping processes are studied by cyclic voltammetry with rotating-disc electrode technique. The zinc anode and air cathode behaviors in near-neutral chloride electrolyte are characterized by quasi steady-state polarization and impedance spectroscopy. Prototyped zinc-air battery with near-neutral chloride electrolytes can sustain more than 1000 hours and hundreds of discharge-charge cycles with minimized zinc dendrite formation and no carbonate formation problem, under discharge-charge capacity ranging from 20 to 120 mAh. The near-neutral chloride electrolyte provides a safer and more robust alternative to traditional alkaline electrolyte for rechargeable zinc-air batteries.","author":[{"dropping-particle":"","family":"Thomas Goh","given":"F. W.","non-dropping-particle":"","parse-names":false,"suffix":""},{"dropping-particle":"","family":"Liu","given":"Zhaolin","non-dropping-particle":"","parse-names":false,"suffix":""},{"dropping-particle":"","family":"Hor","given":"T. S. Andy","non-dropping-particle":"","parse-names":false,"suffix":""},{"dropping-particle":"","family":"Zhang","given":"Jie","non-dropping-particle":"","parse-names":false,"suffix":""},{"dropping-particle":"","family":"Ge","given":"Xiaoming","non-dropping-particle":"","parse-names":false,"suffix":""},{"dropping-particle":"","family":"Zong","given":"Yun","non-dropping-particle":"","parse-names":false,"suffix":""},{"dropping-particle":"","family":"Yu","given":"Aishui","non-dropping-particle":"","parse-names":false,"suffix":""},{"dropping-particle":"","family":"Khoo","given":"Weiliang","non-dropping-particle":"","parse-names":false,"suffix":""}],"container-title":"Journal of The Electrochemical Society","id":"ITEM-6","issue":"14","issued":{"date-parts":[["2014","10","1"]]},"page":"A2080-A2086","publisher":"The Electrochemical Society","title":"A Near-Neutral Chloride Electrolyte for Electrically Rechargeable Zinc-Air Batteries","type":"article-journal","volume":"161"},"uris":["http://www.mendeley.com/documents/?uuid=875e0f1c-618e-3b73-8919-449fd47029d0"]},{"id":"ITEM-7","itemData":{"DOI":"10.1002/AENM.201903470","ISSN":"1614-6840","abstract":"Aqueous zinc–air batteries (ZABs) are a low-cost, safe, and sustainable technology for stationary energy storage. ZABs with pH-buffered near-neutral electrolytes have the potential for longer lifetime compared to traditional alkaline ZABs due to the slower absorption of carbonates at nonalkaline pH values. However, existing near-neutral electrolytes often contain halide salts, which are corrosive and threaten the precipitation of ZnO as the dominant discharge product. This paper presents a method for designing halide-free aqueous ZAB electrolytes using thermodynamic descriptors to computationally screen components. The dynamic performance of a ZAB with one possible halide-free aqueous electrolyte based on organic salts is simulated using an advanced method of continuum modeling, and the results are validated by experiments. X-ray diffraction, scanning electron microscopy, and energy dispersive X-ray spectroscopy measurements of Zn electrodes show that ZnO is the dominant discharge product, and operando pH measurements confirm the stability of the electrolyte pH during cell cycling. Long-term full cell cycling tests are performed, and rotating ring disk electrode measurements elucidate the mechanism of oxygen reduction reaction and oxygen evolution reaction. The analysis shows that aqueous electrolytes containing organic salts could be a promising field of research for zinc-based batteries, due to their Zn2+ chelating and pH buffering properties. The remaining challenges including the electrochemical stability of the electrolyte components are discussed.","author":[{"dropping-particle":"","family":"Clark","given":"Simon","non-dropping-particle":"","parse-names":false,"suffix":""},{"dropping-particle":"","family":"Mainar","given":"Aroa Ramos","non-dropping-particle":"","parse-names":false,"suffix":""},{"dropping-particle":"","family":"Iruin","given":"Elena","non-dropping-particle":"","parse-names":false,"suffix":""},{"dropping-particle":"","family":"Colmenares","given":"Luis César","non-dropping-particle":"","parse-names":false,"suffix":""},{"dropping-particle":"","family":"Blázquez","given":"Jose Alberto","non-dropping-particle":"","parse-names":false,"suffix":""},{"dropping-particle":"","family":"Tolchard","given":"Julian Richard","non-dropping-particle":"","parse-names":false,"suffix":""},{"dropping-particle":"","family":"Jusys","given":"Zenonas","non-dropping-particle":"","parse-names":false,"suffix":""},{"dropping-particle":"","family":"Horstmann","given":"Birger","non-dropping-particle":"","parse-names":false,"suffix":""}],"container-title":"Advanced Energy Materials","id":"ITEM-7","issue":"10","issued":{"date-parts":[["2020","3","1"]]},"page":"1903470","publisher":"John Wiley &amp; Sons, Ltd","title":"Designing Aqueous Organic Electrolytes for Zinc–Air Batteries: Method, Simulation, and Validation","type":"article-journal","volume":"10"},"uris":["http://www.mendeley.com/documents/?uuid=a636385c-9c11-3f7b-96e1-e8e665f8c145"]},{"id":"ITEM-8","itemData":{"DOI":"10.1016/j.isci.2023.107097","ISSN":"25890042","abstract":"A robust imaging protocol utilizing laboratory XCT is presented. Hybrid 2D/3D imaging at different scales with real-time monitoring allowed to assess, in operation, the evolution of zinc electrodes within three environments, namely alkaline, near-neutral, and mildly acidic. Different combinations of currents were used to demonstrate various scenarios exhibiting both dendritic and smooth deposition of active material. Directly from radiograms, the volume of the electrode and therefore its growth/dissolution rate was estimated and compared against tomographic reconstructions and theoretical values. The protocol combines simplistic cell design with multiple three-dimensional and two-dimensional acquisitions at different magnifications, providing a unique insight into electrode's morphology evolution within various environments.","author":[{"dropping-particle":"","family":"Dzięcioł","given":"Krzysztof","non-dropping-particle":"","parse-names":false,"suffix":""},{"dropping-particle":"","family":"Durmus","given":"Yasin Emre","non-dropping-particle":"","parse-names":false,"suffix":""},{"dropping-particle":"","family":"Tempel","given":"Hermann","non-dropping-particle":"","parse-names":false,"suffix":""},{"dropping-particle":"","family":"Kungl","given":"Hans","non-dropping-particle":"","parse-names":false,"suffix":""},{"dropping-particle":"","family":"Bauer","given":"Alexander","non-dropping-particle":"","parse-names":false,"suffix":""},{"dropping-particle":"","family":"Eichel","given":"Rüdiger A.","non-dropping-particle":"","parse-names":false,"suffix":""}],"container-title":"iScience","id":"ITEM-8","issue":"7","issued":{"date-parts":[["2023","7","21"]]},"page":"107097","publisher":"Elsevier Inc.","title":"Laboratory X-ray computed tomography imaging protocol allowing the operando investigation of electrode material evolution in various environments","type":"article-journal","volume":"26"},"uris":["http://www.mendeley.com/documents/?uuid=6ef77c58-05f6-358b-9b28-24f08d538072"]}],"mendeley":{"formattedCitation":"&lt;sup&gt;[35,177,178,217,218,221,233,234]&lt;/sup&gt;","plainTextFormattedCitation":"[35,177,178,217,218,221,233,234]","previouslyFormattedCitation":"&lt;sup&gt;[35,176,177,216,217,220,232,233]&lt;/sup&gt;"},"properties":{"noteIndex":0},"schema":"https://github.com/citation-style-language/schema/raw/master/csl-citation.json"}</w:instrText>
      </w:r>
      <w:r w:rsidRPr="003E0254">
        <w:fldChar w:fldCharType="separate"/>
      </w:r>
      <w:r w:rsidR="00500B8D" w:rsidRPr="003E0254">
        <w:rPr>
          <w:noProof/>
          <w:vertAlign w:val="superscript"/>
        </w:rPr>
        <w:t>[35,177,178,217,218,221,233,234]</w:t>
      </w:r>
      <w:r w:rsidRPr="003E0254">
        <w:fldChar w:fldCharType="end"/>
      </w:r>
      <w:r w:rsidRPr="003E0254">
        <w:t xml:space="preserve"> As mentioned above, the common aim is to overcome anode limitations, thus increasing the reversibility. </w:t>
      </w:r>
      <w:r w:rsidR="0019792E" w:rsidRPr="003E0254">
        <w:t>For</w:t>
      </w:r>
      <w:r w:rsidRPr="003E0254">
        <w:t xml:space="preserve"> zinc-based batteries, </w:t>
      </w:r>
      <w:r w:rsidR="0019792E" w:rsidRPr="003E0254">
        <w:t>applying</w:t>
      </w:r>
      <w:r w:rsidRPr="003E0254">
        <w:t xml:space="preserve"> alkaline </w:t>
      </w:r>
      <w:r w:rsidR="000D0BA2" w:rsidRPr="003E0254">
        <w:t xml:space="preserve">electrolytes </w:t>
      </w:r>
      <w:r w:rsidR="0019792E" w:rsidRPr="003E0254">
        <w:t>is</w:t>
      </w:r>
      <w:r w:rsidRPr="003E0254">
        <w:t xml:space="preserve"> one of the most </w:t>
      </w:r>
      <w:r w:rsidR="0019792E" w:rsidRPr="003E0254">
        <w:t>common</w:t>
      </w:r>
      <w:r w:rsidRPr="003E0254">
        <w:t xml:space="preserve"> strategies to reduc</w:t>
      </w:r>
      <w:r w:rsidR="0019792E" w:rsidRPr="003E0254">
        <w:t>e t</w:t>
      </w:r>
      <w:r w:rsidRPr="003E0254">
        <w:t>he high solubility of zinc in the strongly alkaline electrolyte. The pursuit of an extended cycle life has enabled this technology to, for example, adjust the alkalinity and ionic strength of the electrolyte</w:t>
      </w:r>
      <w:r w:rsidR="0019792E" w:rsidRPr="003E0254">
        <w:t>,</w:t>
      </w:r>
      <w:r w:rsidRPr="003E0254">
        <w:t xml:space="preserve"> thus reducing zinc solubility as well as minimizing shape change and dendrite formation (i.e., cycle life) of the system. Here many different approaches have been </w:t>
      </w:r>
      <w:r w:rsidR="000D0BA2" w:rsidRPr="003E0254">
        <w:t>investigated</w:t>
      </w:r>
      <w:r w:rsidRPr="003E0254">
        <w:t xml:space="preserve">. Some of them have been listed in </w:t>
      </w:r>
      <w:r w:rsidR="006515E9" w:rsidRPr="003E0254">
        <w:t>T</w:t>
      </w:r>
      <w:r w:rsidRPr="003E0254">
        <w:t xml:space="preserve">able 3. </w:t>
      </w:r>
    </w:p>
    <w:p w14:paraId="28B5B86D" w14:textId="70767CA4" w:rsidR="00B53C39" w:rsidRPr="003E0254" w:rsidRDefault="00595C50" w:rsidP="00595C50">
      <w:pPr>
        <w:spacing w:line="276" w:lineRule="auto"/>
        <w:jc w:val="both"/>
      </w:pPr>
      <w:r w:rsidRPr="003E0254">
        <w:t xml:space="preserve">In addition it </w:t>
      </w:r>
      <w:r w:rsidR="00833211" w:rsidRPr="003E0254">
        <w:t>was</w:t>
      </w:r>
      <w:r w:rsidRPr="003E0254">
        <w:t xml:space="preserve"> found that ionic liquids were too viscous to effectively wet the gas-diffusi</w:t>
      </w:r>
      <w:r w:rsidR="00833211" w:rsidRPr="003E0254">
        <w:t>on</w:t>
      </w:r>
      <w:r w:rsidRPr="003E0254">
        <w:t xml:space="preserve"> electrode, giving rise to a quick voltage </w:t>
      </w:r>
      <w:r w:rsidR="00682078" w:rsidRPr="003E0254">
        <w:t>decay</w:t>
      </w:r>
      <w:r w:rsidRPr="003E0254">
        <w:t xml:space="preserve"> in the zinc–air battery during discharge.</w:t>
      </w:r>
      <w:r w:rsidR="00C6281A" w:rsidRPr="003E0254">
        <w:fldChar w:fldCharType="begin" w:fldLock="1"/>
      </w:r>
      <w:r w:rsidR="00500B8D" w:rsidRPr="003E0254">
        <w:instrText>ADDIN CSL_CITATION {"citationItems":[{"id":"ITEM-1","itemData":{"DOI":"10.1524/ZPCH.2012.0152/MACHINEREADABLECITATION/RIS","ISSN":"09429352","abstract":"With the rising production of regenerative energy stronger focus on energy storage is necessary. One possibility to store electric energy is the use of battery technology. Especially high energy densities can be realized with metal-air batteries. Zinc-air batteries are known since more than 100 years, but have until now found use only in special markets. A well-known example is the battery for hearing aids. Many attempts have been undertaken to develop rechargeable zinc-based batteries, but only with limited success. Reasons for this fact and directions for future needs, applications and developments are discussed in the paper. Furthermore, first experiments for the use of ionic liquids as electrolytes in zinc-air-batteries are presented. © by Oldenbourg Wissenschaftsverlag, München.","author":[{"dropping-particle":"","family":"Harting","given":"Katrin","non-dropping-particle":"","parse-names":false,"suffix":""},{"dropping-particle":"","family":"Kunz","given":"Ulrich","non-dropping-particle":"","parse-names":false,"suffix":""},{"dropping-particle":"","family":"Turek","given":"Thomas","non-dropping-particle":"","parse-names":false,"suffix":""}],"container-title":"Zeitschrift fur Physikalische Chemie","id":"ITEM-1","issue":"2","issued":{"date-parts":[["2012","2","1"]]},"page":"151-166","publisher":"De Gruyter (O)","title":"Zinc-air batteries: Prospects and challenges for future improvement","type":"article-journal","volume":"226"},"uris":["http://www.mendeley.com/documents/?uuid=eb0640ee-414f-3461-8955-48899875060d"]}],"mendeley":{"formattedCitation":"&lt;sup&gt;[235]&lt;/sup&gt;","plainTextFormattedCitation":"[235]","previouslyFormattedCitation":"&lt;sup&gt;[234]&lt;/sup&gt;"},"properties":{"noteIndex":0},"schema":"https://github.com/citation-style-language/schema/raw/master/csl-citation.json"}</w:instrText>
      </w:r>
      <w:r w:rsidR="00C6281A" w:rsidRPr="003E0254">
        <w:fldChar w:fldCharType="separate"/>
      </w:r>
      <w:r w:rsidR="00500B8D" w:rsidRPr="003E0254">
        <w:rPr>
          <w:noProof/>
          <w:vertAlign w:val="superscript"/>
        </w:rPr>
        <w:t>[235]</w:t>
      </w:r>
      <w:r w:rsidR="00C6281A" w:rsidRPr="003E0254">
        <w:fldChar w:fldCharType="end"/>
      </w:r>
      <w:r w:rsidRPr="003E0254">
        <w:t xml:space="preserve"> Using pure 1-butyl-3-methylimidazolium dicyanamide ([BMIM][</w:t>
      </w:r>
      <w:proofErr w:type="spellStart"/>
      <w:r w:rsidRPr="003E0254">
        <w:t>dca</w:t>
      </w:r>
      <w:proofErr w:type="spellEnd"/>
      <w:r w:rsidRPr="003E0254">
        <w:t>]) as the electrolyte, a discharge current density of 0.2</w:t>
      </w:r>
      <w:r w:rsidR="00833211" w:rsidRPr="003E0254">
        <w:t> </w:t>
      </w:r>
      <w:r w:rsidRPr="003E0254">
        <w:t>mA</w:t>
      </w:r>
      <w:r w:rsidR="00833211" w:rsidRPr="003E0254">
        <w:t> </w:t>
      </w:r>
      <w:r w:rsidRPr="003E0254">
        <w:t>cm</w:t>
      </w:r>
      <w:r w:rsidRPr="003E0254">
        <w:rPr>
          <w:vertAlign w:val="superscript"/>
        </w:rPr>
        <w:t>−2</w:t>
      </w:r>
      <w:r w:rsidR="00833211" w:rsidRPr="003E0254">
        <w:t xml:space="preserve"> </w:t>
      </w:r>
      <w:r w:rsidRPr="003E0254">
        <w:t>at 0.8</w:t>
      </w:r>
      <w:r w:rsidR="00833211" w:rsidRPr="003E0254">
        <w:t> </w:t>
      </w:r>
      <w:r w:rsidRPr="003E0254">
        <w:t>V</w:t>
      </w:r>
      <w:r w:rsidR="00833211" w:rsidRPr="003E0254">
        <w:t xml:space="preserve"> was obtained</w:t>
      </w:r>
      <w:r w:rsidRPr="003E0254">
        <w:t>.</w:t>
      </w:r>
      <w:r w:rsidR="00833211" w:rsidRPr="003E0254">
        <w:t xml:space="preserve"> </w:t>
      </w:r>
      <w:r w:rsidRPr="003E0254">
        <w:t>So far, the performance of zinc</w:t>
      </w:r>
      <w:r w:rsidR="00833211" w:rsidRPr="003E0254">
        <w:t>-</w:t>
      </w:r>
      <w:r w:rsidRPr="003E0254">
        <w:t xml:space="preserve">air batteries using KOH as the electrolyte </w:t>
      </w:r>
      <w:r w:rsidR="00833211" w:rsidRPr="003E0254">
        <w:t>has</w:t>
      </w:r>
      <w:r w:rsidRPr="003E0254">
        <w:t xml:space="preserve"> not yet be</w:t>
      </w:r>
      <w:r w:rsidR="00833211" w:rsidRPr="003E0254">
        <w:t>en</w:t>
      </w:r>
      <w:r w:rsidRPr="003E0254">
        <w:t xml:space="preserve"> </w:t>
      </w:r>
      <w:r w:rsidR="00833211" w:rsidRPr="003E0254">
        <w:t>matched when applying</w:t>
      </w:r>
      <w:r w:rsidRPr="003E0254">
        <w:t xml:space="preserve"> any aprotic electrolyte</w:t>
      </w:r>
      <w:r w:rsidR="00833211" w:rsidRPr="003E0254">
        <w:t xml:space="preserve"> instead.</w:t>
      </w:r>
    </w:p>
    <w:p w14:paraId="5E70ED83" w14:textId="77777777" w:rsidR="00B53C39" w:rsidRPr="003E0254" w:rsidRDefault="00B53C39">
      <w:pPr>
        <w:spacing w:line="276" w:lineRule="auto"/>
      </w:pPr>
    </w:p>
    <w:p w14:paraId="2D54921C" w14:textId="08B02DAB" w:rsidR="00B53C39" w:rsidRPr="003E0254" w:rsidRDefault="00DA35C9">
      <w:pPr>
        <w:pStyle w:val="berschrift4"/>
        <w:spacing w:line="276" w:lineRule="auto"/>
        <w:rPr>
          <w:b/>
          <w:bCs/>
          <w:i w:val="0"/>
          <w:iCs w:val="0"/>
        </w:rPr>
      </w:pPr>
      <w:r w:rsidRPr="003E0254">
        <w:rPr>
          <w:b/>
          <w:bCs/>
          <w:i w:val="0"/>
          <w:iCs w:val="0"/>
        </w:rPr>
        <w:t>2.</w:t>
      </w:r>
      <w:r w:rsidR="003E4F58" w:rsidRPr="003E0254">
        <w:rPr>
          <w:b/>
          <w:bCs/>
          <w:i w:val="0"/>
          <w:iCs w:val="0"/>
        </w:rPr>
        <w:t>4</w:t>
      </w:r>
      <w:r w:rsidRPr="003E0254">
        <w:rPr>
          <w:b/>
          <w:bCs/>
          <w:i w:val="0"/>
          <w:iCs w:val="0"/>
        </w:rPr>
        <w:t>.3 Cathode</w:t>
      </w:r>
    </w:p>
    <w:p w14:paraId="2075F5A5" w14:textId="2A89B131" w:rsidR="00B53C39" w:rsidRPr="003E0254" w:rsidRDefault="00DA35C9" w:rsidP="00267DB6">
      <w:pPr>
        <w:pBdr>
          <w:top w:val="none" w:sz="4" w:space="0" w:color="000000"/>
          <w:left w:val="none" w:sz="4" w:space="0" w:color="000000"/>
          <w:bottom w:val="none" w:sz="4" w:space="0" w:color="000000"/>
          <w:right w:val="none" w:sz="4" w:space="0" w:color="000000"/>
        </w:pBdr>
        <w:spacing w:line="276" w:lineRule="auto"/>
        <w:jc w:val="both"/>
      </w:pPr>
      <w:r w:rsidRPr="003E0254">
        <w:rPr>
          <w:rFonts w:eastAsia="Calibri" w:cs="Calibri"/>
          <w:color w:val="000000"/>
        </w:rPr>
        <w:t>The round trip efficiency of rechargeable zinc-air cells is poor compared to many other battery technologies, as relatively high overpotentials are required to drive the respective electrochemical charge and discharge reactions that occur on the air electrode side.</w:t>
      </w:r>
      <w:r w:rsidR="0097260B" w:rsidRPr="003E0254">
        <w:rPr>
          <w:rFonts w:eastAsia="Calibri" w:cs="Calibri"/>
          <w:color w:val="000000"/>
        </w:rPr>
        <w:fldChar w:fldCharType="begin" w:fldLock="1"/>
      </w:r>
      <w:r w:rsidR="00500B8D" w:rsidRPr="003E0254">
        <w:rPr>
          <w:rFonts w:eastAsia="Calibri" w:cs="Calibri"/>
          <w:color w:val="000000"/>
        </w:rPr>
        <w:instrText>ADDIN CSL_CITATION {"citationItems":[{"id":"ITEM-1","itemData":{"DOI":"10.1002/AENM.201200013","ISSN":"1614-6840","abstract":"Electrical energy storage and conversion is vital to a clean, sustainable, and secure energy future. Among all electrochemical energy storage devices, metal-air batteries have potential to offer the highest energy density, representing the most promising systems for portable (electronics), mobile (electrical vehicles), and stationary (micro-grids) applications. To date, however, many fundamental issues are yet to be overcome to realize this potential. For example, efficient catalysts for oxygen reduction reaction (ORR) and oxygen evolution reaction (OER) at the air-electrode are yet to be developed to signifi- cantly reduce the polarization loss in metal-air batteries, which severely hinders the rate capability, energy efficiency, and operational life. In this progress report, a brief overview is first presented of the critical issues relevant to airelectrodes in metal-air batteries. Some recent advancements in the development of non-precious catalysts for ORR in Li-air and Zn-air batteries are then highlighted, including transition metal oxides, low-dimensional carbon-based structures, and other catalysts such as transition-metal macrocycles and metal nitrides. New directions and future perspectives for metal-air batteries are also outlined. ©2012 WILEY-VCH Verlag GmbH &amp; Co. KGaA, Weinheim.","author":[{"dropping-particle":"","family":"Cao","given":"Ruiguo","non-dropping-particle":"","parse-names":false,"suffix":""},{"dropping-particle":"","family":"Lee","given":"Jang Soo","non-dropping-particle":"","parse-names":false,"suffix":""},{"dropping-particle":"","family":"Liu","given":"Meilin","non-dropping-particle":"","parse-names":false,"suffix":""},{"dropping-particle":"","family":"Cho","given":"Jaephil","non-dropping-particle":"","parse-names":false,"suffix":""}],"container-title":"Advanced Energy Materials","id":"ITEM-1","issue":"7","issued":{"date-parts":[["2012","7","1"]]},"page":"816-829","publisher":"John Wiley &amp; Sons, Ltd","title":"Recent Progress in Non-Precious Catalysts for Metal-Air Batteries","type":"article-journal","volume":"2"},"uris":["http://www.mendeley.com/documents/?uuid=7e52ced4-e056-37b2-a52c-af1a1b073a05"]}],"mendeley":{"formattedCitation":"&lt;sup&gt;[236]&lt;/sup&gt;","plainTextFormattedCitation":"[236]","previouslyFormattedCitation":"&lt;sup&gt;[235]&lt;/sup&gt;"},"properties":{"noteIndex":0},"schema":"https://github.com/citation-style-language/schema/raw/master/csl-citation.json"}</w:instrText>
      </w:r>
      <w:r w:rsidR="0097260B" w:rsidRPr="003E0254">
        <w:rPr>
          <w:rFonts w:eastAsia="Calibri" w:cs="Calibri"/>
          <w:color w:val="000000"/>
        </w:rPr>
        <w:fldChar w:fldCharType="separate"/>
      </w:r>
      <w:r w:rsidR="00500B8D" w:rsidRPr="003E0254">
        <w:rPr>
          <w:rFonts w:eastAsia="Calibri" w:cs="Calibri"/>
          <w:noProof/>
          <w:color w:val="000000"/>
          <w:vertAlign w:val="superscript"/>
        </w:rPr>
        <w:t>[236]</w:t>
      </w:r>
      <w:r w:rsidR="0097260B" w:rsidRPr="003E0254">
        <w:rPr>
          <w:rFonts w:eastAsia="Calibri" w:cs="Calibri"/>
          <w:color w:val="000000"/>
        </w:rPr>
        <w:fldChar w:fldCharType="end"/>
      </w:r>
      <w:r w:rsidRPr="003E0254">
        <w:rPr>
          <w:rFonts w:eastAsia="Calibri" w:cs="Calibri"/>
          <w:color w:val="000000"/>
        </w:rPr>
        <w:t xml:space="preserve"> It is critical to further develop catalyst materials that effectively facilitate the oxygen reduction reaction (ORR) during discharge and the oxygen evolution reaction (OER) during charging cycles:</w:t>
      </w:r>
    </w:p>
    <w:p w14:paraId="685D7AA1" w14:textId="52E4BB05" w:rsidR="00B53C39" w:rsidRPr="003E0254" w:rsidRDefault="00DA35C9" w:rsidP="00064C5A">
      <w:pPr>
        <w:pBdr>
          <w:top w:val="none" w:sz="4" w:space="0" w:color="000000"/>
          <w:left w:val="none" w:sz="4" w:space="0" w:color="000000"/>
          <w:bottom w:val="none" w:sz="4" w:space="0" w:color="000000"/>
          <w:right w:val="none" w:sz="4" w:space="0" w:color="000000"/>
        </w:pBdr>
        <w:spacing w:line="276" w:lineRule="auto"/>
        <w:ind w:left="2832"/>
        <w:jc w:val="center"/>
      </w:pPr>
      <w:r w:rsidRPr="003E0254">
        <w:rPr>
          <w:rFonts w:eastAsia="Calibri" w:cs="Calibri"/>
          <w:color w:val="000000"/>
        </w:rPr>
        <w:t>O</w:t>
      </w:r>
      <w:r w:rsidRPr="003E0254">
        <w:rPr>
          <w:rFonts w:eastAsia="Calibri" w:cs="Calibri"/>
          <w:color w:val="000000"/>
          <w:sz w:val="18"/>
          <w:vertAlign w:val="subscript"/>
        </w:rPr>
        <w:t xml:space="preserve">2 </w:t>
      </w:r>
      <w:r w:rsidRPr="003E0254">
        <w:rPr>
          <w:rFonts w:eastAsia="Calibri" w:cs="Calibri"/>
          <w:color w:val="000000"/>
        </w:rPr>
        <w:t>+ 4e</w:t>
      </w:r>
      <w:r w:rsidRPr="003E0254">
        <w:rPr>
          <w:rFonts w:eastAsia="Calibri" w:cs="Calibri"/>
          <w:color w:val="000000"/>
          <w:sz w:val="18"/>
          <w:vertAlign w:val="superscript"/>
        </w:rPr>
        <w:t>-</w:t>
      </w:r>
      <w:r w:rsidRPr="003E0254">
        <w:rPr>
          <w:rFonts w:eastAsia="Calibri" w:cs="Calibri"/>
          <w:color w:val="000000"/>
        </w:rPr>
        <w:t xml:space="preserve"> + 2H</w:t>
      </w:r>
      <w:r w:rsidRPr="003E0254">
        <w:rPr>
          <w:rFonts w:eastAsia="Calibri" w:cs="Calibri"/>
          <w:color w:val="000000"/>
          <w:sz w:val="18"/>
          <w:vertAlign w:val="subscript"/>
        </w:rPr>
        <w:t>2</w:t>
      </w:r>
      <w:r w:rsidRPr="003E0254">
        <w:rPr>
          <w:rFonts w:eastAsia="Calibri" w:cs="Calibri"/>
          <w:color w:val="000000"/>
        </w:rPr>
        <w:t>O ↔ 4OH</w:t>
      </w:r>
      <w:r w:rsidRPr="003E0254">
        <w:rPr>
          <w:rFonts w:eastAsia="Calibri" w:cs="Calibri"/>
          <w:color w:val="000000"/>
          <w:sz w:val="18"/>
          <w:vertAlign w:val="superscript"/>
        </w:rPr>
        <w:t>-</w:t>
      </w:r>
      <w:r w:rsidR="00064C5A" w:rsidRPr="003E0254">
        <w:rPr>
          <w:rFonts w:eastAsia="Calibri" w:cs="Calibri"/>
          <w:color w:val="000000"/>
          <w:sz w:val="18"/>
          <w:vertAlign w:val="superscript"/>
        </w:rPr>
        <w:tab/>
      </w:r>
      <w:r w:rsidR="00064C5A" w:rsidRPr="003E0254">
        <w:rPr>
          <w:rFonts w:eastAsia="Calibri" w:cs="Calibri"/>
          <w:color w:val="000000"/>
          <w:sz w:val="18"/>
          <w:vertAlign w:val="superscript"/>
        </w:rPr>
        <w:tab/>
      </w:r>
      <w:r w:rsidR="00064C5A" w:rsidRPr="003E0254">
        <w:rPr>
          <w:rFonts w:eastAsia="Calibri" w:cs="Calibri"/>
          <w:color w:val="000000"/>
          <w:sz w:val="18"/>
          <w:vertAlign w:val="superscript"/>
        </w:rPr>
        <w:tab/>
      </w:r>
      <w:r w:rsidR="00064C5A" w:rsidRPr="003E0254">
        <w:rPr>
          <w:rFonts w:eastAsia="Calibri" w:cs="Calibri"/>
          <w:color w:val="000000"/>
          <w:sz w:val="18"/>
          <w:vertAlign w:val="superscript"/>
        </w:rPr>
        <w:tab/>
      </w:r>
    </w:p>
    <w:p w14:paraId="65365B76" w14:textId="187193F1" w:rsidR="00B53C39" w:rsidRPr="003E0254" w:rsidRDefault="00DA35C9" w:rsidP="00267DB6">
      <w:pPr>
        <w:pBdr>
          <w:top w:val="none" w:sz="4" w:space="0" w:color="000000"/>
          <w:left w:val="none" w:sz="4" w:space="0" w:color="000000"/>
          <w:bottom w:val="none" w:sz="4" w:space="0" w:color="000000"/>
          <w:right w:val="none" w:sz="4" w:space="0" w:color="000000"/>
        </w:pBdr>
        <w:spacing w:line="276" w:lineRule="auto"/>
        <w:jc w:val="both"/>
      </w:pPr>
      <w:r w:rsidRPr="003E0254">
        <w:rPr>
          <w:rFonts w:eastAsia="Calibri" w:cs="Calibri"/>
          <w:color w:val="000000"/>
        </w:rPr>
        <w:lastRenderedPageBreak/>
        <w:t>The electrode features an active layer, a gas diffusion layer, and a current collector.</w:t>
      </w:r>
      <w:r w:rsidR="0097260B" w:rsidRPr="003E0254">
        <w:rPr>
          <w:rFonts w:eastAsia="Calibri" w:cs="Calibri"/>
          <w:color w:val="000000"/>
        </w:rPr>
        <w:fldChar w:fldCharType="begin" w:fldLock="1"/>
      </w:r>
      <w:r w:rsidR="000F0B1D" w:rsidRPr="003E0254">
        <w:rPr>
          <w:rFonts w:eastAsia="Calibri" w:cs="Calibri"/>
          <w:color w:val="000000"/>
        </w:rPr>
        <w:instrText>ADDIN CSL_CITATION {"citationItems":[{"id":"ITEM-1","itemData":{"DOI":"10.1007/S40820-024-01328-1","ISBN":"0123456789","ISSN":"2150-5551","abstract":"Zinc–air batteries (ZABs) are gaining attention as an ideal option for various applications requiring high-capacity batteries, such as portable electronics, electric vehicles, and renewable energy storage. ZABs offer advantages such as low environmental impact, enhanced safety compared to Li-ion batteries, and cost-effectiveness due to the abundance of zinc. However, early research faced challenges due to parasitic reactions at the zinc anode and slow oxygen redox kinetics. Recent advancements in restructuring the anode, utilizing alternative electrolytes, and developing bifunctional oxygen catalysts have significantly improved ZABs. Scientists have achieved battery reversibility over thousands of cycles, introduced new electrolytes, and achieved energy efficiency records surpassing 70%. Despite these achievements, there are challenges related to lower power density, shorter lifespan, and air electrode corrosion leading to performance degradation. This review paper discusses different battery configurations, and reaction mechanisms for electrically and mechanically rechargeable ZABs, and proposes remedies to enhance overall battery performance. The paper also explores recent advancements, applications, and the future prospects of electrically/mechanically rechargeable ZABs.","author":[{"dropping-particle":"","family":"Nazir","given":"Ghazanfar","non-dropping-particle":"","parse-names":false,"suffix":""},{"dropping-particle":"","family":"Rehman","given":"Adeela","non-dropping-particle":"","parse-names":false,"suffix":""},{"dropping-particle":"","family":"Lee","given":"Jong Hoon","non-dropping-particle":"","parse-names":false,"suffix":""},{"dropping-particle":"","family":"Kim","given":"Choong Hee","non-dropping-particle":"","parse-names":false,"suffix":""},{"dropping-particle":"","family":"Gautam","given":"Jagadis","non-dropping-particle":"","parse-names":false,"suffix":""},{"dropping-particle":"","family":"Heo","given":"Kwang","non-dropping-particle":"","parse-names":false,"suffix":""},{"dropping-particle":"","family":"Hussain","given":"Sajjad","non-dropping-particle":"","parse-names":false,"suffix":""},{"dropping-particle":"","family":"Ikram","given":"Muhammad","non-dropping-particle":"","parse-names":false,"suffix":""},{"dropping-particle":"","family":"AlObaid","given":"Abeer A.","non-dropping-particle":"","parse-names":false,"suffix":""},{"dropping-particle":"","family":"Lee","given":"Seul Yi","non-dropping-particle":"","parse-names":false,"suffix":""},{"dropping-particle":"","family":"Park","given":"Soo Jin","non-dropping-particle":"","parse-names":false,"suffix":""}],"container-title":"Nano-Micro Letters 2024 16:1","id":"ITEM-1","issue":"1","issued":{"date-parts":[["2024","2","29"]]},"page":"1-44","publisher":"Springer","title":"A Review of Rechargeable Zinc–Air Batteries: Recent Progress and Future Perspectives","type":"article-journal","volume":"16"},"uris":["http://www.mendeley.com/documents/?uuid=32ece0ca-1d07-48ed-bd9b-b4c24179575a"]}],"mendeley":{"formattedCitation":"&lt;sup&gt;[36]&lt;/sup&gt;","plainTextFormattedCitation":"[36]","previouslyFormattedCitation":"&lt;sup&gt;[36]&lt;/sup&gt;"},"properties":{"noteIndex":0},"schema":"https://github.com/citation-style-language/schema/raw/master/csl-citation.json"}</w:instrText>
      </w:r>
      <w:r w:rsidR="0097260B" w:rsidRPr="003E0254">
        <w:rPr>
          <w:rFonts w:eastAsia="Calibri" w:cs="Calibri"/>
          <w:color w:val="000000"/>
        </w:rPr>
        <w:fldChar w:fldCharType="separate"/>
      </w:r>
      <w:r w:rsidR="000F0B1D" w:rsidRPr="003E0254">
        <w:rPr>
          <w:rFonts w:eastAsia="Calibri" w:cs="Calibri"/>
          <w:noProof/>
          <w:color w:val="000000"/>
          <w:vertAlign w:val="superscript"/>
        </w:rPr>
        <w:t>[36]</w:t>
      </w:r>
      <w:r w:rsidR="0097260B" w:rsidRPr="003E0254">
        <w:rPr>
          <w:rFonts w:eastAsia="Calibri" w:cs="Calibri"/>
          <w:color w:val="000000"/>
        </w:rPr>
        <w:fldChar w:fldCharType="end"/>
      </w:r>
      <w:r w:rsidRPr="003E0254">
        <w:rPr>
          <w:rFonts w:eastAsia="Calibri" w:cs="Calibri"/>
          <w:color w:val="000000"/>
        </w:rPr>
        <w:t xml:space="preserve"> Typical catalyst layers consist of carbon particles onto which the catalyst nanoparticles are dispersed. The gas diffusion layer exhibits a relatively high porosity for facile mass transfer of gaseous reactant and product species. The current collector typically consists of expanded metal, mesh, or foam made of stainless steel or nickel.</w:t>
      </w:r>
      <w:r w:rsidR="000D0BA2" w:rsidRPr="003E0254">
        <w:rPr>
          <w:rFonts w:eastAsia="Calibri" w:cs="Calibri"/>
          <w:color w:val="000000"/>
        </w:rPr>
        <w:t xml:space="preserve"> Cohesion of the layers is provided by a binding polymer, predominantly polytetrafluoroethylene (PTFE), which also </w:t>
      </w:r>
      <w:r w:rsidRPr="003E0254">
        <w:rPr>
          <w:rFonts w:eastAsia="Calibri" w:cs="Calibri"/>
          <w:color w:val="000000"/>
        </w:rPr>
        <w:t xml:space="preserve">acts as a hydrophobic agent to enable adequate gaseous reactant transport to the active sites and prevent flooding of the electrode. </w:t>
      </w:r>
      <w:r w:rsidR="00F7411D" w:rsidRPr="003E0254">
        <w:rPr>
          <w:rFonts w:eastAsia="Calibri" w:cs="Calibri"/>
          <w:color w:val="000000"/>
        </w:rPr>
        <w:t xml:space="preserve">At present, there is no alternative that is competitive with PTFE in terms of its efficacy and stability, but it is an important research topic. </w:t>
      </w:r>
      <w:r w:rsidRPr="003E0254">
        <w:rPr>
          <w:rFonts w:eastAsia="Calibri" w:cs="Calibri"/>
          <w:color w:val="000000"/>
        </w:rPr>
        <w:t xml:space="preserve">The ORR requires a three-phase boundary, i.e., access to the active catalyst sites for oxygen must be provided in conjunction with adequate electronic (catalyst and support) and ionic (electrolyte) conductivity. The generated oxygen must be readily removed from the electrode. </w:t>
      </w:r>
      <w:r w:rsidR="00EE4F98" w:rsidRPr="003E0254">
        <w:rPr>
          <w:rFonts w:eastAsia="Calibri" w:cs="Calibri"/>
          <w:color w:val="000000"/>
        </w:rPr>
        <w:t>Thus,</w:t>
      </w:r>
      <w:r w:rsidRPr="003E0254">
        <w:rPr>
          <w:rFonts w:eastAsia="Calibri" w:cs="Calibri"/>
          <w:color w:val="000000"/>
        </w:rPr>
        <w:t xml:space="preserve"> the requirements for the incorporation of a hydrophobic agent are fundamentally different for ORR and OER catalysts, and the respective electrode structures, which poses a design challenge for </w:t>
      </w:r>
      <w:r w:rsidR="00AD5D3D" w:rsidRPr="003E0254">
        <w:rPr>
          <w:rFonts w:eastAsia="Calibri" w:cs="Calibri"/>
          <w:color w:val="000000"/>
        </w:rPr>
        <w:t>electrode</w:t>
      </w:r>
      <w:r w:rsidR="00EE4F98" w:rsidRPr="003E0254">
        <w:rPr>
          <w:rFonts w:eastAsia="Calibri" w:cs="Calibri"/>
          <w:color w:val="000000"/>
        </w:rPr>
        <w:t xml:space="preserve"> development</w:t>
      </w:r>
      <w:r w:rsidRPr="003E0254">
        <w:rPr>
          <w:rFonts w:eastAsia="Calibri" w:cs="Calibri"/>
          <w:color w:val="000000"/>
        </w:rPr>
        <w:t>. Agglomeration or detachment of catalyst particles and thus loss of active surface area hamper the long-term performance of rechargeable zinc-air batteries. Irreversible oxidation of active components leads to higher overpotentials during the charge-discharge process, which can be adverse to the extent of cell failure.</w:t>
      </w:r>
      <w:r w:rsidR="00267DB6" w:rsidRPr="003E0254">
        <w:rPr>
          <w:rFonts w:eastAsia="Calibri" w:cs="Calibri"/>
          <w:color w:val="000000"/>
        </w:rPr>
        <w:fldChar w:fldCharType="begin" w:fldLock="1"/>
      </w:r>
      <w:r w:rsidR="00500B8D" w:rsidRPr="003E0254">
        <w:rPr>
          <w:rFonts w:eastAsia="Calibri" w:cs="Calibri"/>
          <w:color w:val="000000"/>
        </w:rPr>
        <w:instrText>ADDIN CSL_CITATION {"citationItems":[{"id":"ITEM-1","itemData":{"DOI":"10.3390/nanoenergyadv3010003","ISSN":"2673-706X","abstract":"Zinc–air batteries are promising candidates as stationary power sources because of their high specific energy density, high volumetric energy density, environmental friendliness, and low cost. The oxygen-related reactions at the air electrode are kinetically slow; thus, the air electrode integrated with an oxygen electrocatalyst is the most critical component, and inevitably determines the performance of a Zn–air battery. The aim of this paper was to document progress in researching bifunctional catalysts for Zn–air batteries. The catalysts are divided into several categories: noble metal, metal nanoparticle (single and bimetallic), multicomponent nanoparticle, metal chalcogenide, metal oxide, layered double hydroxide, and non-metal materials. Finally, the battery performance is compared and discussed.","author":[{"dropping-particle":"","family":"Phuc","given":"Nguyen Huu Huy","non-dropping-particle":"","parse-names":false,"suffix":""},{"dropping-particle":"","family":"Anh Tu","given":"Tran","non-dropping-particle":"","parse-names":false,"suffix":""},{"dropping-particle":"","family":"Cam Loc","given":"Luu","non-dropping-particle":"","parse-names":false,"suffix":""},{"dropping-particle":"","family":"Xuan Viet","given":"Cao","non-dropping-particle":"","parse-names":false,"suffix":""},{"dropping-particle":"","family":"Thi Thuy Phuong","given":"Pham","non-dropping-particle":"","parse-names":false,"suffix":""},{"dropping-particle":"","family":"Tri","given":"Nguyen","non-dropping-particle":"","parse-names":false,"suffix":""},{"dropping-particle":"","family":"Thang","given":"Le","non-dropping-particle":"Van","parse-names":false,"suffix":""}],"container-title":"Nanoenergy Advances","id":"ITEM-1","issue":"1","issued":{"date-parts":[["2023","2","2"]]},"page":"13-47","publisher":"Multidisciplinary Digital Publishing Institute","title":"A Review of Bifunctional Catalysts for Zinc-Air Batteries","type":"article-journal","volume":"3"},"uris":["http://www.mendeley.com/documents/?uuid=06bb3387-8e88-39cd-ba1f-83159777e2f3"]}],"mendeley":{"formattedCitation":"&lt;sup&gt;[237]&lt;/sup&gt;","plainTextFormattedCitation":"[237]","previouslyFormattedCitation":"&lt;sup&gt;[236]&lt;/sup&gt;"},"properties":{"noteIndex":0},"schema":"https://github.com/citation-style-language/schema/raw/master/csl-citation.json"}</w:instrText>
      </w:r>
      <w:r w:rsidR="00267DB6" w:rsidRPr="003E0254">
        <w:rPr>
          <w:rFonts w:eastAsia="Calibri" w:cs="Calibri"/>
          <w:color w:val="000000"/>
        </w:rPr>
        <w:fldChar w:fldCharType="separate"/>
      </w:r>
      <w:r w:rsidR="00500B8D" w:rsidRPr="003E0254">
        <w:rPr>
          <w:rFonts w:eastAsia="Calibri" w:cs="Calibri"/>
          <w:noProof/>
          <w:color w:val="000000"/>
          <w:vertAlign w:val="superscript"/>
        </w:rPr>
        <w:t>[237]</w:t>
      </w:r>
      <w:r w:rsidR="00267DB6" w:rsidRPr="003E0254">
        <w:rPr>
          <w:rFonts w:eastAsia="Calibri" w:cs="Calibri"/>
          <w:color w:val="000000"/>
        </w:rPr>
        <w:fldChar w:fldCharType="end"/>
      </w:r>
      <w:r w:rsidRPr="003E0254">
        <w:rPr>
          <w:rFonts w:eastAsia="Calibri" w:cs="Calibri"/>
          <w:color w:val="000000"/>
        </w:rPr>
        <w:t xml:space="preserve">    </w:t>
      </w:r>
    </w:p>
    <w:p w14:paraId="715FAA10" w14:textId="2794EB90" w:rsidR="00B53C39" w:rsidRPr="003E0254" w:rsidRDefault="00DA35C9" w:rsidP="00267DB6">
      <w:pPr>
        <w:pBdr>
          <w:top w:val="none" w:sz="4" w:space="0" w:color="000000"/>
          <w:left w:val="none" w:sz="4" w:space="0" w:color="000000"/>
          <w:bottom w:val="none" w:sz="4" w:space="0" w:color="000000"/>
          <w:right w:val="none" w:sz="4" w:space="0" w:color="000000"/>
        </w:pBdr>
        <w:spacing w:line="276" w:lineRule="auto"/>
        <w:jc w:val="both"/>
      </w:pPr>
      <w:r w:rsidRPr="003E0254">
        <w:rPr>
          <w:rFonts w:eastAsia="Calibri" w:cs="Calibri"/>
          <w:color w:val="000000"/>
        </w:rPr>
        <w:t>Carbon does have certain limitations with respect to chemical and electrochemical stability. High anodic potentials lead to carbon corrosion, which is often exacerbated by the catalyst.</w:t>
      </w:r>
      <w:r w:rsidR="00267DB6" w:rsidRPr="003E0254">
        <w:rPr>
          <w:rFonts w:eastAsia="Calibri" w:cs="Calibri"/>
          <w:color w:val="000000"/>
        </w:rPr>
        <w:fldChar w:fldCharType="begin" w:fldLock="1"/>
      </w:r>
      <w:r w:rsidR="00500B8D" w:rsidRPr="003E0254">
        <w:rPr>
          <w:rFonts w:eastAsia="Calibri" w:cs="Calibri"/>
          <w:color w:val="000000"/>
        </w:rPr>
        <w:instrText>ADDIN CSL_CITATION {"citationItems":[{"id":"ITEM-1","itemData":{"DOI":"10.1039/D1TA01748A","ISSN":"2050-7496","abstract":"Carbon materials have been used as supporting substrates for electrocatalytically active species in many important reactions due to their high electrical conductivity and chemical inertness. To secure durable electrocatalysis, the fundamental understanding and prevention of corrosion are pivotal. The real-time monitoring of evolved CO2 enabled by differential electrochemical mass spectroscopy (DEMS) has provided potential-resolved information about carbon corrosion. However, this approach is typically limited to acidic media and it is unavailable in alkaline media because of the carbonation of the CO2 tracer. In this study, we investigate carbon corrosion using carbon monoxide (CO) as a corrosion marker. The electrochemical oxidation of selected model substrates (i.e., activated carbon, graphite, and Pt/C) is analyzed under dynamic and static potential excursions using DEMS. The results demonstrate that the CO tracer successfully monitored carbon corrosion in both acidic and alkaline media. The corrosion in alkaline media is qualitatively analogous to that in acidic media, but it is quantitatively alleviated, as confirmed by the decreased DEMS intensity and the decreased faradaic charge flowed.","author":[{"dropping-particle":"","family":"Ji","given":"Sang Gu","non-dropping-particle":"","parse-names":false,"suffix":""},{"dropping-particle":"","family":"Kim","given":"Haesol","non-dropping-particle":"","parse-names":false,"suffix":""},{"dropping-particle":"","family":"Lee","given":"Woong Hee","non-dropping-particle":"","parse-names":false,"suffix":""},{"dropping-particle":"","family":"Oh","given":"Hyung Suk","non-dropping-particle":"","parse-names":false,"suffix":""},{"dropping-particle":"","family":"Choi","given":"Chang Hyuck","non-dropping-particle":"","parse-names":false,"suffix":""}],"container-title":"Journal of Materials Chemistry A","id":"ITEM-1","issue":"35","issued":{"date-parts":[["2021","9","14"]]},"page":"19834-19839","publisher":"The Royal Society of Chemistry","title":"Real-time monitoring of electrochemical carbon corrosion in alkaline media","type":"article-journal","volume":"9"},"uris":["http://www.mendeley.com/documents/?uuid=60c368cc-d27e-353a-b3c2-a35b0d8b0b1a"]}],"mendeley":{"formattedCitation":"&lt;sup&gt;[238]&lt;/sup&gt;","plainTextFormattedCitation":"[238]","previouslyFormattedCitation":"&lt;sup&gt;[237]&lt;/sup&gt;"},"properties":{"noteIndex":0},"schema":"https://github.com/citation-style-language/schema/raw/master/csl-citation.json"}</w:instrText>
      </w:r>
      <w:r w:rsidR="00267DB6" w:rsidRPr="003E0254">
        <w:rPr>
          <w:rFonts w:eastAsia="Calibri" w:cs="Calibri"/>
          <w:color w:val="000000"/>
        </w:rPr>
        <w:fldChar w:fldCharType="separate"/>
      </w:r>
      <w:r w:rsidR="00500B8D" w:rsidRPr="003E0254">
        <w:rPr>
          <w:rFonts w:eastAsia="Calibri" w:cs="Calibri"/>
          <w:noProof/>
          <w:color w:val="000000"/>
          <w:vertAlign w:val="superscript"/>
        </w:rPr>
        <w:t>[238]</w:t>
      </w:r>
      <w:r w:rsidR="00267DB6" w:rsidRPr="003E0254">
        <w:rPr>
          <w:rFonts w:eastAsia="Calibri" w:cs="Calibri"/>
          <w:color w:val="000000"/>
        </w:rPr>
        <w:fldChar w:fldCharType="end"/>
      </w:r>
      <w:r w:rsidRPr="003E0254">
        <w:rPr>
          <w:rFonts w:eastAsia="Calibri" w:cs="Calibri"/>
          <w:color w:val="000000"/>
        </w:rPr>
        <w:t xml:space="preserve"> The oxygen gas bubbles can cause mechanical stress leading to detachment. This problem can be circumvented by applying a carbon-free metal oxide-based charge electrode in addition to, but spatially separated from, an ORR gas diffusion electrode, both working in conjunction with the zinc anode at the expense of increased complexity and lower energy density. </w:t>
      </w:r>
    </w:p>
    <w:p w14:paraId="29D08A22" w14:textId="5ABAB7BA" w:rsidR="00267DB6" w:rsidRPr="003E0254" w:rsidRDefault="00DA35C9" w:rsidP="00267DB6">
      <w:pPr>
        <w:pBdr>
          <w:top w:val="none" w:sz="4" w:space="0" w:color="000000"/>
          <w:left w:val="none" w:sz="4" w:space="0" w:color="000000"/>
          <w:bottom w:val="none" w:sz="4" w:space="0" w:color="000000"/>
          <w:right w:val="none" w:sz="4" w:space="0" w:color="000000"/>
        </w:pBdr>
        <w:spacing w:line="276" w:lineRule="auto"/>
        <w:jc w:val="both"/>
        <w:rPr>
          <w:rFonts w:eastAsia="Calibri" w:cs="Calibri"/>
          <w:color w:val="000000"/>
        </w:rPr>
      </w:pPr>
      <w:r w:rsidRPr="003E0254">
        <w:rPr>
          <w:rFonts w:eastAsia="Calibri" w:cs="Calibri"/>
          <w:color w:val="000000"/>
        </w:rPr>
        <w:t>In principle, separate individual high-performing catalysts can be employed for the ORR and OER, respectively. With respect to the ORR, platinum is the unsurpassed benchmark catalyst in terms of activity. Silver exhibits certain kinetic parameters matching those obtained with platinum at higher hydroxide concentrations, albeit without approaching the ORR activity of platinum at practically relevant current densities.</w:t>
      </w:r>
      <w:r w:rsidR="00267DB6" w:rsidRPr="003E0254">
        <w:rPr>
          <w:rFonts w:eastAsia="Calibri" w:cs="Calibri"/>
          <w:color w:val="000000"/>
        </w:rPr>
        <w:fldChar w:fldCharType="begin" w:fldLock="1"/>
      </w:r>
      <w:r w:rsidR="00500B8D" w:rsidRPr="003E0254">
        <w:rPr>
          <w:rFonts w:eastAsia="Calibri" w:cs="Calibri"/>
          <w:color w:val="000000"/>
        </w:rPr>
        <w:instrText>ADDIN CSL_CITATION {"citationItems":[{"id":"ITEM-1","itemData":{"DOI":"10.1023/A:1021231503922/METRICS","ISSN":"0021891X","abstract":"In air cathodes for chlorine-sodium hydroxide production, silver is a suitable catalyst for the oxygen reduction reaction (ORR), as is platinum. The ORR mechanism, studied with both rotating disc and ring-disc electrodes and impedance spectroscopy, is first order towards O2. However, the reaction can involve a direct four-electron or two-electron pathway. Although the latter involves different chemistry, including decomposition of hydrogen peroxide, the two pathways are difficult to distinguish, probably because they have the same rate-determining step. Considering kinetics/solubility ratios, temperature increase favours the ORR kinetics on both metals, whereas an increase in sodium hydroxide concentration is only positive for silver: for high sodium hydroxide concentration, platinum properties are hindered by greater adsorbed oxygenated species coverage. Thus, silver becomes competitive to platinum in high concentration alkaline media.","author":[{"dropping-particle":"","family":"Chatenet","given":"M.","non-dropping-particle":"","parse-names":false,"suffix":""},{"dropping-particle":"","family":"Genies-Bultel","given":"L.","non-dropping-particle":"","parse-names":false,"suffix":""},{"dropping-particle":"","family":"Aurousseau","given":"M.","non-dropping-particle":"","parse-names":false,"suffix":""},{"dropping-particle":"","family":"Durand","given":"R.","non-dropping-particle":"","parse-names":false,"suffix":""},{"dropping-particle":"","family":"Andolfatto","given":"F.","non-dropping-particle":"","parse-names":false,"suffix":""}],"container-title":"Journal of Applied Electrochemistry","id":"ITEM-1","issue":"10","issued":{"date-parts":[["2002","10"]]},"page":"1131-1140","publisher":"Springer","title":"Oxygen reduction on silver catalysts in solutions containing various concentrations of sodium hydroxide - Comparison with platinum","type":"article-journal","volume":"32"},"uris":["http://www.mendeley.com/documents/?uuid=2e034fb1-5892-3ef0-8cbe-1de274072d69"]},{"id":"ITEM-2","itemData":{"DOI":"10.1002/CELC.201800913","ISSN":"2196-0216","abstract":"The development of efficient platinum-free catalysts for electrocatalytic oxygen reduction reaction (ORR) is one of the main challenges in the fuel cell research. Silver-based materials are highly active towards ORR in alkaline conditions and recent achievements in improving the performance of anion exchange membrane fuel cells (AEMFCs) have provoked many scientists to study these catalysts. This minireview is focused on the ORR performance of monometallic Ag catalysts and Ag-based composites, the electrochemical oxygen reduction behaviour of Ag-containing alloys is outside the scope of this review. The effect of the morphology of Ag nanostructures on catalysts’ ORR activity and pathway is discussed and the role of the support material is described. The performance of AEMFCs using Ag-based cathode catalysts is also reviewed.","author":[{"dropping-particle":"","family":"Erikson","given":"Heiki","non-dropping-particle":"","parse-names":false,"suffix":""},{"dropping-particle":"","family":"Sarapuu","given":"Ave","non-dropping-particle":"","parse-names":false,"suffix":""},{"dropping-particle":"","family":"Tammeveski","given":"Kaido","non-dropping-particle":"","parse-names":false,"suffix":""}],"container-title":"ChemElectroChem","id":"ITEM-2","issue":"1","issued":{"date-parts":[["2019","1","2"]]},"page":"73-86","publisher":"John Wiley &amp; Sons, Ltd","title":"Oxygen Reduction Reaction on Silver Catalysts in Alkaline Media: a Minireview","type":"article-journal","volume":"6"},"uris":["http://www.mendeley.com/documents/?uuid=cc0c4e8e-eded-3152-b398-7d9f37356013"]}],"mendeley":{"formattedCitation":"&lt;sup&gt;[239,240]&lt;/sup&gt;","plainTextFormattedCitation":"[239,240]","previouslyFormattedCitation":"&lt;sup&gt;[238,239]&lt;/sup&gt;"},"properties":{"noteIndex":0},"schema":"https://github.com/citation-style-language/schema/raw/master/csl-citation.json"}</w:instrText>
      </w:r>
      <w:r w:rsidR="00267DB6" w:rsidRPr="003E0254">
        <w:rPr>
          <w:rFonts w:eastAsia="Calibri" w:cs="Calibri"/>
          <w:color w:val="000000"/>
        </w:rPr>
        <w:fldChar w:fldCharType="separate"/>
      </w:r>
      <w:r w:rsidR="00500B8D" w:rsidRPr="003E0254">
        <w:rPr>
          <w:rFonts w:eastAsia="Calibri" w:cs="Calibri"/>
          <w:noProof/>
          <w:color w:val="000000"/>
          <w:vertAlign w:val="superscript"/>
        </w:rPr>
        <w:t>[239,240]</w:t>
      </w:r>
      <w:r w:rsidR="00267DB6" w:rsidRPr="003E0254">
        <w:rPr>
          <w:rFonts w:eastAsia="Calibri" w:cs="Calibri"/>
          <w:color w:val="000000"/>
        </w:rPr>
        <w:fldChar w:fldCharType="end"/>
      </w:r>
      <w:r w:rsidRPr="003E0254">
        <w:rPr>
          <w:rFonts w:eastAsia="Calibri" w:cs="Calibri"/>
          <w:color w:val="000000"/>
        </w:rPr>
        <w:t xml:space="preserve"> Iridium oxide, ruthenium oxide, or mixtures thereof are well-known oxygen evolution catalysts, in particular as anode catalysts in PEM electrolysis cells with high performance and stability.</w:t>
      </w:r>
      <w:r w:rsidR="00267DB6" w:rsidRPr="003E0254">
        <w:rPr>
          <w:rFonts w:eastAsia="Calibri" w:cs="Calibri"/>
          <w:color w:val="000000"/>
        </w:rPr>
        <w:fldChar w:fldCharType="begin" w:fldLock="1"/>
      </w:r>
      <w:r w:rsidR="00500B8D" w:rsidRPr="003E0254">
        <w:rPr>
          <w:rFonts w:eastAsia="Calibri" w:cs="Calibri"/>
          <w:color w:val="000000"/>
        </w:rPr>
        <w:instrText>ADDIN CSL_CITATION {"citationItems":[{"id":"ITEM-1","itemData":{"DOI":"10.31635/CCSCHEM.024.202403989","ISSN":"2096-5745","abstract":"Electrochemical catalysts play an irreplaceable role in the fields of high-performance metal–air batteries, fuel cells, and water splitting, and are the source of promoting high performance of the ...","author":[{"dropping-particle":"","family":"Chang","given":"Qian","non-dropping-particle":"","parse-names":false,"suffix":""},{"dropping-particle":"","family":"Fu","given":"Xinlong","non-dropping-particle":"","parse-names":false,"suffix":""},{"dropping-particle":"","family":"Gao","given":"Jingchi","non-dropping-particle":"","parse-names":false,"suffix":""},{"dropping-particle":"","family":"Zhang","given":"Zhihui","non-dropping-particle":"","parse-names":false,"suffix":""},{"dropping-particle":"","family":"Wang","given":"Yi","non-dropping-particle":"","parse-names":false,"suffix":""},{"dropping-particle":"","family":"Huang","given":"Changshui","non-dropping-particle":"","parse-names":false,"suffix":""},{"dropping-particle":"","family":"Li","given":"Yuliang","non-dropping-particle":"","parse-names":false,"suffix":""}],"container-title":"CCS Chemistry","id":"ITEM-1","issued":{"date-parts":[["2025","2","1"]]},"page":"1-14","publisher":"Chinese Chemical SocietyZhongguancun, Haidian, Beijing 100190, China","title":"Electronic Reservoir Regulation Stabling IrOx as Efficient Cathode for Solid-State Zinc–Air Batteries","type":"article-journal","volume":"7"},"uris":["http://www.mendeley.com/documents/?uuid=aae6ddea-e636-3919-a559-22008f02a05d"]},{"id":"ITEM-2","itemData":{"DOI":"10.1038/s41598-017-07259-9","ISSN":"2045-2322","PMID":"28769087","abstract":"Ruthenium oxide (RuO2) is the best oxygen evolution reaction (OER) electrocatalyst. Herein, we demonstrated that RuO2 can be also efficiently used as an oxygen reduction reaction (ORR) electrocatalyst, thereby serving as a bifunctional material for rechargeable Zn–air batteries. We found two forms of RuO2 (i.e. hydrous and anhydrous, respectively h-RuO2 and ah-RuO2) to show different ORR and OER electrocatalytic characteristics. Thus, h-RuO2 required large ORR overpotentials, although it completed the ORR via a 4e process. In contrast, h-RuO2 triggered the OER at lower overpotentials at the expense of showing very unstable electrocatalytic activity. To capitalize on the advantages of h-RuO2 while improving its drawbacks, we designed a unique structure (RuO2@C) where h-RuO2 nanoparticles were embedded in a carbon matrix. A double hydrophilic block copolymer-templated ruthenium precursor was transformed into RuO2 nanoparticles upon formation of the carbon matrix via annealing. The carbon matrix allowed overcoming the limitations of h-RuO2 by improving its poor conductivity and protecting the catalyst from dissolution during OER. The bifunctional RuO2@C catalyst demonstrated a very low potential gap (ΔE OER-ORR</w:instrText>
      </w:r>
      <w:r w:rsidR="00500B8D" w:rsidRPr="003E0254">
        <w:rPr>
          <w:rFonts w:ascii="Arial" w:eastAsia="Calibri" w:hAnsi="Arial" w:cs="Arial"/>
          <w:color w:val="000000"/>
        </w:rPr>
        <w:instrText> </w:instrText>
      </w:r>
      <w:r w:rsidR="00500B8D" w:rsidRPr="003E0254">
        <w:rPr>
          <w:rFonts w:eastAsia="Calibri" w:cs="Calibri"/>
          <w:color w:val="000000"/>
        </w:rPr>
        <w:instrText>=</w:instrText>
      </w:r>
      <w:r w:rsidR="00500B8D" w:rsidRPr="003E0254">
        <w:rPr>
          <w:rFonts w:ascii="Arial" w:eastAsia="Calibri" w:hAnsi="Arial" w:cs="Arial"/>
          <w:color w:val="000000"/>
        </w:rPr>
        <w:instrText> </w:instrText>
      </w:r>
      <w:r w:rsidR="00500B8D" w:rsidRPr="003E0254">
        <w:rPr>
          <w:rFonts w:eastAsia="Calibri" w:cs="Calibri"/>
          <w:color w:val="000000"/>
        </w:rPr>
        <w:instrText>ca. 1.0</w:instrText>
      </w:r>
      <w:r w:rsidR="00500B8D" w:rsidRPr="003E0254">
        <w:rPr>
          <w:rFonts w:ascii="Arial" w:eastAsia="Calibri" w:hAnsi="Arial" w:cs="Arial"/>
          <w:color w:val="000000"/>
        </w:rPr>
        <w:instrText> </w:instrText>
      </w:r>
      <w:r w:rsidR="00500B8D" w:rsidRPr="003E0254">
        <w:rPr>
          <w:rFonts w:eastAsia="Calibri" w:cs="Calibri"/>
          <w:color w:val="000000"/>
        </w:rPr>
        <w:instrText>V) at 20</w:instrText>
      </w:r>
      <w:r w:rsidR="00500B8D" w:rsidRPr="003E0254">
        <w:rPr>
          <w:rFonts w:ascii="Arial" w:eastAsia="Calibri" w:hAnsi="Arial" w:cs="Arial"/>
          <w:color w:val="000000"/>
        </w:rPr>
        <w:instrText> </w:instrText>
      </w:r>
      <w:r w:rsidR="00500B8D" w:rsidRPr="003E0254">
        <w:rPr>
          <w:rFonts w:eastAsia="Calibri" w:cs="Calibri"/>
          <w:color w:val="000000"/>
        </w:rPr>
        <w:instrText>mA</w:instrText>
      </w:r>
      <w:r w:rsidR="00500B8D" w:rsidRPr="003E0254">
        <w:rPr>
          <w:rFonts w:ascii="Arial" w:eastAsia="Calibri" w:hAnsi="Arial" w:cs="Arial"/>
          <w:color w:val="000000"/>
        </w:rPr>
        <w:instrText> </w:instrText>
      </w:r>
      <w:r w:rsidR="00500B8D" w:rsidRPr="003E0254">
        <w:rPr>
          <w:rFonts w:eastAsia="Calibri" w:cs="Calibri"/>
          <w:color w:val="000000"/>
        </w:rPr>
        <w:instrText>cm</w:instrText>
      </w:r>
      <w:r w:rsidR="00500B8D" w:rsidRPr="003E0254">
        <w:rPr>
          <w:rFonts w:ascii="Aptos" w:eastAsia="Calibri" w:hAnsi="Aptos" w:cs="Aptos"/>
          <w:color w:val="000000"/>
        </w:rPr>
        <w:instrText>−</w:instrText>
      </w:r>
      <w:r w:rsidR="00500B8D" w:rsidRPr="003E0254">
        <w:rPr>
          <w:rFonts w:eastAsia="Calibri" w:cs="Calibri"/>
          <w:color w:val="000000"/>
        </w:rPr>
        <w:instrText>2. The Zn||RuO2@C cell showed an excellent stability (i.e. no overpotential was observed after more than 40</w:instrText>
      </w:r>
      <w:r w:rsidR="00500B8D" w:rsidRPr="003E0254">
        <w:rPr>
          <w:rFonts w:ascii="Arial" w:eastAsia="Calibri" w:hAnsi="Arial" w:cs="Arial"/>
          <w:color w:val="000000"/>
        </w:rPr>
        <w:instrText> </w:instrText>
      </w:r>
      <w:r w:rsidR="00500B8D" w:rsidRPr="003E0254">
        <w:rPr>
          <w:rFonts w:eastAsia="Calibri" w:cs="Calibri"/>
          <w:color w:val="000000"/>
        </w:rPr>
        <w:instrText>h).","author":[{"dropping-particle":"","family":"Park","given":"Han Saem","non-dropping-particle":"","parse-names":false,"suffix":""},{"dropping-particle":"","family":"Seo","given":"Eunyong","non-dropping-particle":"","parse-names":false,"suffix":""},{"dropping-particle":"","family":"Yang","given":"Juchan","non-dropping-particle":"","parse-names":false,"suffix":""},{"dropping-particle":"","family":"Lee","given":"Yeongdae","non-dropping-particle":"","parse-names":false,"suffix":""},{"dropping-particle":"","family":"Kim","given":"Byeong Su","non-dropping-particle":"","parse-names":false,"suffix":""},{"dropping-particle":"","family":"Song","given":"Hyun Kon","non-dropping-particle":"","parse-names":false,"suffix":""}],"container-title":"Scientific Reports 2017 7:1","id":"ITEM-2","issue":"1","issued":{"date-parts":[["2017","8","2"]]},"page":"1-9","publisher":"Nature Publishing Group","title":"Bifunctional hydrous RuO2 nanocluster electrocatalyst embedded in carbon matrix for efficient and durable operation of rechargeable zinc–air batteries","type":"article-journal","volume":"7"},"uris":["http://www.mendeley.com/documents/?uuid=8cae0b17-f578-3715-8968-cffa95dde71a"]}],"mendeley":{"formattedCitation":"&lt;sup&gt;[241,242]&lt;/sup&gt;","plainTextFormattedCitation":"[241,242]","previouslyFormattedCitation":"&lt;sup&gt;[240,241]&lt;/sup&gt;"},"properties":{"noteIndex":0},"schema":"https://github.com/citation-style-language/schema/raw/master/csl-citation.json"}</w:instrText>
      </w:r>
      <w:r w:rsidR="00267DB6" w:rsidRPr="003E0254">
        <w:rPr>
          <w:rFonts w:eastAsia="Calibri" w:cs="Calibri"/>
          <w:color w:val="000000"/>
        </w:rPr>
        <w:fldChar w:fldCharType="separate"/>
      </w:r>
      <w:r w:rsidR="00500B8D" w:rsidRPr="003E0254">
        <w:rPr>
          <w:rFonts w:eastAsia="Calibri" w:cs="Calibri"/>
          <w:noProof/>
          <w:color w:val="000000"/>
          <w:vertAlign w:val="superscript"/>
        </w:rPr>
        <w:t>[241,242]</w:t>
      </w:r>
      <w:r w:rsidR="00267DB6" w:rsidRPr="003E0254">
        <w:rPr>
          <w:rFonts w:eastAsia="Calibri" w:cs="Calibri"/>
          <w:color w:val="000000"/>
        </w:rPr>
        <w:fldChar w:fldCharType="end"/>
      </w:r>
      <w:r w:rsidRPr="003E0254">
        <w:rPr>
          <w:rFonts w:eastAsia="Calibri" w:cs="Calibri"/>
          <w:color w:val="000000"/>
        </w:rPr>
        <w:t xml:space="preserve"> Noble metals combined with, e.g., transition metals allow electrode fabrication with a lower cost penalty.</w:t>
      </w:r>
      <w:r w:rsidR="00267DB6" w:rsidRPr="003E0254">
        <w:rPr>
          <w:rFonts w:eastAsia="Calibri" w:cs="Calibri"/>
          <w:color w:val="000000"/>
        </w:rPr>
        <w:fldChar w:fldCharType="begin" w:fldLock="1"/>
      </w:r>
      <w:r w:rsidR="00500B8D" w:rsidRPr="003E0254">
        <w:rPr>
          <w:rFonts w:eastAsia="Calibri" w:cs="Calibri"/>
          <w:color w:val="000000"/>
        </w:rPr>
        <w:instrText>ADDIN CSL_CITATION {"citationItems":[{"id":"ITEM-1","itemData":{"DOI":"10.1002/ANIE.201705778","ISSN":"1521-3773","PMID":"28666066","abstract":"Electrocatalysts for both the oxygen reduction and evolution reactions (ORR and OER) are vital for the performances of rechargeable metal–air batteries. Herein, we report an advanced bifunctional oxygen electrocatalyst consisting of porous metallic nickel-iron nitride (Ni3FeN) supporting ordered Fe3Pt intermetallic nanoalloy. In this hybrid catalyst, the bimetallic nitride Ni3FeN mainly contributes to the high activity for the OER while the ordered Fe3Pt nanoalloy contributes to the excellent activity for the ORR. Robust Ni3FeN-supported Fe3Pt catalysts show superior catalytic performance to the state-of-the-art ORR catalyst (Pt/C) and OER catalyst (Ir/C). The Fe3Pt/Ni3FeN bifunctional catalyst enables Zn–air batteries to achieve a long-term cycling performance of over 480 h at 10 mA cm−2 with high efficiency. The extraordinarily high performance of the Fe3Pt/Ni3FeN bifunctional catalyst makes it a very promising air cathode in alkaline electrolyte.","author":[{"dropping-particle":"","family":"Cui","given":"Zhiming","non-dropping-particle":"","parse-names":false,"suffix":""},{"dropping-particle":"","family":"Fu","given":"Gengtao","non-dropping-particle":"","parse-names":false,"suffix":""},{"dropping-particle":"","family":"Li","given":"Yutao","non-dropping-particle":"","parse-names":false,"suffix":""},{"dropping-particle":"","family":"Goodenough","given":"John B.","non-dropping-particle":"","parse-names":false,"suffix":""}],"container-title":"Angewandte Chemie International Edition","id":"ITEM-1","issue":"33","issued":{"date-parts":[["2017","8","7"]]},"page":"9901-9905","publisher":"John Wiley &amp; Sons, Ltd","title":"Ni3FeN-Supported Fe3Pt Intermetallic Nanoalloy as a High-Performance Bifunctional Catalyst for Metal–Air Batteries","type":"article-journal","volume":"56"},"uris":["http://www.mendeley.com/documents/?uuid=2a327657-a1e3-3205-8dba-128dab9c9888"]},{"id":"ITEM-2","itemData":{"DOI":"10.1021/ACSAMI.7B18948/ASSET/IMAGES/LARGE/AM-2017-189486_0002.JPEG","ISSN":"19448252","PMID":"29509399","abstract":"Because of the sluggish kinetics of the oxygen evolution reaction (OER) and oxygen reduction reaction (ORR), binary ruthenium-tin oxides synthesized by a hydrothermal method with postannealing at 450 °C for 2 h are first proposed as bifunctional catalysts for these two reactions on the air electrode of rechargeable zinc-air batteries. The binary Ru-Sn oxides in various compositions show the typical oxide solid solution in the rutile phase. Among all binary Ru-Sn oxides, RuSn73 (70 atom % RuO2 and 30 atom % SnO2) and RuSn37 (30 atom % RuO2 and 70 atom % SnO2) show the highest catalytic activities toward the OER and ORR, respectively. Consequently, a novel design of the air electrode consisting of a RuSn37 coating on the carbon paper and a Ti mesh coated with RuSn73 (denoted RuSn(37-C|73-Ti)) is proposed to possess the optimal charge-discharge performances. A unique cell employing such an air electrode has been demonstrated to exhibit a very low charge-discharge cell voltage gap of 0.75 V at 10 mA cm-2. This cell with a peak power density of 120 mW cm-2 at the current density of 235 mA cm-2 also shows an outstanding charge-discharge stability over 80 h. This cell also exhibits an exceptionally high charge rate capability at 150 mA cm-2 with a low charging voltage of 2.0 V.","author":[{"dropping-particle":"","family":"You","given":"Ting Hsuan","non-dropping-particle":"","parse-names":false,"suffix":""},{"dropping-particle":"","family":"Hu","given":"Chi Chang","non-dropping-particle":"","parse-names":false,"suffix":""}],"container-title":"ACS Applied Materials and Interfaces","id":"ITEM-2","issue":"12","issued":{"date-parts":[["2018","3","28"]]},"page":"10064-10075","publisher":"American Chemical Society","title":"Designing Binary Ru-Sn Oxides with Optimized Performances for the Air Electrode of Rechargeable Zinc-Air Batteries","type":"article-journal","volume":"10"},"uris":["http://www.mendeley.com/documents/?uuid=263fbb8b-afba-3242-848f-ca54435bf229"]}],"mendeley":{"formattedCitation":"&lt;sup&gt;[187,243]&lt;/sup&gt;","plainTextFormattedCitation":"[187,243]","previouslyFormattedCitation":"&lt;sup&gt;[186,242]&lt;/sup&gt;"},"properties":{"noteIndex":0},"schema":"https://github.com/citation-style-language/schema/raw/master/csl-citation.json"}</w:instrText>
      </w:r>
      <w:r w:rsidR="00267DB6" w:rsidRPr="003E0254">
        <w:rPr>
          <w:rFonts w:eastAsia="Calibri" w:cs="Calibri"/>
          <w:color w:val="000000"/>
        </w:rPr>
        <w:fldChar w:fldCharType="separate"/>
      </w:r>
      <w:r w:rsidR="00500B8D" w:rsidRPr="003E0254">
        <w:rPr>
          <w:rFonts w:eastAsia="Calibri" w:cs="Calibri"/>
          <w:noProof/>
          <w:color w:val="000000"/>
          <w:vertAlign w:val="superscript"/>
        </w:rPr>
        <w:t>[187,243]</w:t>
      </w:r>
      <w:r w:rsidR="00267DB6" w:rsidRPr="003E0254">
        <w:rPr>
          <w:rFonts w:eastAsia="Calibri" w:cs="Calibri"/>
          <w:color w:val="000000"/>
        </w:rPr>
        <w:fldChar w:fldCharType="end"/>
      </w:r>
      <w:r w:rsidRPr="003E0254">
        <w:rPr>
          <w:rFonts w:eastAsia="Calibri" w:cs="Calibri"/>
          <w:color w:val="000000"/>
        </w:rPr>
        <w:t xml:space="preserve"> Further, purely non-noble metal-based materials represent a viable alternative. For instance, nickel exhibited decent OER </w:t>
      </w:r>
      <w:r w:rsidR="00AD5D3D" w:rsidRPr="003E0254">
        <w:rPr>
          <w:rFonts w:eastAsia="Calibri" w:cs="Calibri"/>
          <w:color w:val="000000"/>
        </w:rPr>
        <w:t xml:space="preserve">performance compared to </w:t>
      </w:r>
      <w:proofErr w:type="spellStart"/>
      <w:r w:rsidR="00AD5D3D" w:rsidRPr="003E0254">
        <w:rPr>
          <w:rFonts w:eastAsia="Calibri" w:cs="Calibri"/>
          <w:color w:val="000000"/>
        </w:rPr>
        <w:t>iridum</w:t>
      </w:r>
      <w:proofErr w:type="spellEnd"/>
      <w:r w:rsidR="00AD5D3D" w:rsidRPr="003E0254">
        <w:rPr>
          <w:rFonts w:eastAsia="Calibri" w:cs="Calibri"/>
          <w:color w:val="000000"/>
        </w:rPr>
        <w:t>.</w:t>
      </w:r>
      <w:r w:rsidR="009F4F59" w:rsidRPr="003E0254">
        <w:rPr>
          <w:rFonts w:eastAsia="Calibri" w:cs="Calibri"/>
          <w:color w:val="000000"/>
        </w:rPr>
        <w:fldChar w:fldCharType="begin" w:fldLock="1"/>
      </w:r>
      <w:r w:rsidR="00500B8D" w:rsidRPr="003E0254">
        <w:rPr>
          <w:rFonts w:eastAsia="Calibri" w:cs="Calibri"/>
          <w:color w:val="000000"/>
        </w:rPr>
        <w:instrText>ADDIN CSL_CITATION {"citationItems":[{"id":"ITEM-1","itemData":{"DOI":"10.1002/CCTC.201500952","ISSN":"1867-3899","abstract":"Although transition-metal oxides are common non-platinum group metal catalysts for the industrially important oxygen reduction reaction (ORR) and oxygen evolution reaction (OER), the performance gap between transition-metal oxides and platinum group metal catalysts is still substantial and there is a continuing need to search for alternatives. In this study, transition-metal (Mn, Fe, Co, and Ni) phosphates prepared by a solution chemistry method under ambient conditions are found to display interesting electrocatalytic properties for the ORR and OER in alkaline solution. Among them, manganese phosphate is more active than most state-of-the-art manganese oxides for the ORR, and nickel phosphate is as active as the best Ni-based catalysts for the OER. Hence these phosphates can be used as tandem catalysts for rechargeable metal-air batteries in which both the ORR and OER take place. The good performance may be attributed to the stabilization of the catalytic centers by the phosphate framework. This study establishes phosphates as yet another class of highly active low-cost non-platinum group metal alternatives for oxygen electrocatalysis in alkaline solution. Great phosphate! First-row transition-metal (Mn, Fe, Co, Ni) phosphates with high surface areas are synthesized by a solution chemistry method under ambient conditions and are catalytically active for oxygen electrochemical reactions in alkaline solution. Among them, Mn(II) and Ni(II) phosphates are the most active for the oxygen reduction and oxygen evolution reactions, respectively.","author":[{"dropping-particle":"","family":"Zhan","given":"Yi","non-dropping-particle":"","parse-names":false,"suffix":""},{"dropping-particle":"","family":"Lu","given":"Meihua","non-dropping-particle":"","parse-names":false,"suffix":""},{"dropping-particle":"","family":"Yang","given":"Shiliu","non-dropping-particle":"","parse-names":false,"suffix":""},{"dropping-particle":"","family":"Xu","given":"Chaohe","non-dropping-particle":"","parse-names":false,"suffix":""},{"dropping-particle":"","family":"Liu","given":"Zhaolin","non-dropping-particle":"","parse-names":false,"suffix":""},{"dropping-particle":"","family":"Lee","given":"Jim Yang","non-dropping-particle":"","parse-names":false,"suffix":""}],"container-title":"ChemCatChem","id":"ITEM-1","issue":"2","issued":{"date-parts":[["2016","1","1"]]},"page":"372-379","publisher":"John Wiley &amp; Sons, Ltd","title":"Activity of Transition-Metal (Manganese, Iron, Cobalt, and Nickel) Phosphates for Oxygen Electrocatalysis in Alkaline Solution","type":"article-journal","volume":"8"},"uris":["http://www.mendeley.com/documents/?uuid=d5af358e-1e90-3a50-94df-b6f0bd712fed"]}],"mendeley":{"formattedCitation":"&lt;sup&gt;[244]&lt;/sup&gt;","plainTextFormattedCitation":"[244]","previouslyFormattedCitation":"&lt;sup&gt;[243]&lt;/sup&gt;"},"properties":{"noteIndex":0},"schema":"https://github.com/citation-style-language/schema/raw/master/csl-citation.json"}</w:instrText>
      </w:r>
      <w:r w:rsidR="009F4F59" w:rsidRPr="003E0254">
        <w:rPr>
          <w:rFonts w:eastAsia="Calibri" w:cs="Calibri"/>
          <w:color w:val="000000"/>
        </w:rPr>
        <w:fldChar w:fldCharType="separate"/>
      </w:r>
      <w:r w:rsidR="00500B8D" w:rsidRPr="003E0254">
        <w:rPr>
          <w:rFonts w:eastAsia="Calibri" w:cs="Calibri"/>
          <w:noProof/>
          <w:color w:val="000000"/>
          <w:vertAlign w:val="superscript"/>
        </w:rPr>
        <w:t>[244]</w:t>
      </w:r>
      <w:r w:rsidR="009F4F59" w:rsidRPr="003E0254">
        <w:rPr>
          <w:rFonts w:eastAsia="Calibri" w:cs="Calibri"/>
          <w:color w:val="000000"/>
        </w:rPr>
        <w:fldChar w:fldCharType="end"/>
      </w:r>
      <w:r w:rsidR="00AD5D3D" w:rsidRPr="003E0254">
        <w:rPr>
          <w:rFonts w:eastAsia="Calibri" w:cs="Calibri"/>
          <w:color w:val="000000"/>
        </w:rPr>
        <w:t xml:space="preserve"> </w:t>
      </w:r>
    </w:p>
    <w:p w14:paraId="3E200E0A" w14:textId="7ECB6522" w:rsidR="00267DB6" w:rsidRPr="003E0254" w:rsidRDefault="00267DB6" w:rsidP="00267DB6">
      <w:pPr>
        <w:pBdr>
          <w:top w:val="none" w:sz="4" w:space="0" w:color="000000"/>
          <w:left w:val="none" w:sz="4" w:space="0" w:color="000000"/>
          <w:bottom w:val="none" w:sz="4" w:space="0" w:color="000000"/>
          <w:right w:val="none" w:sz="4" w:space="0" w:color="000000"/>
        </w:pBdr>
        <w:spacing w:line="276" w:lineRule="auto"/>
        <w:jc w:val="both"/>
        <w:rPr>
          <w:rFonts w:cs="Calibri"/>
        </w:rPr>
      </w:pPr>
      <w:r w:rsidRPr="003E0254">
        <w:rPr>
          <w:rFonts w:eastAsia="Calibri" w:cs="Calibri"/>
          <w:color w:val="000000"/>
        </w:rPr>
        <w:t xml:space="preserve">It is desirable to utilize bifunctional catalyst materials, which facilitate both the charge and discharge reactions. Such catalyst compositions consist of noble metals, transition metals, metallic (oxide) nanoparticles, layered double hydroxides, metal chalcogenides or combinations thereof. To enable high activity through fine dispersion of the catalyst particles, carbonaceous materials with high surface areas act as a catalyst support. </w:t>
      </w:r>
      <w:r w:rsidRPr="003E0254">
        <w:rPr>
          <w:rFonts w:cs="Calibri"/>
        </w:rPr>
        <w:t>An Fe</w:t>
      </w:r>
      <w:r w:rsidRPr="003E0254">
        <w:rPr>
          <w:rFonts w:cs="Calibri"/>
          <w:vertAlign w:val="subscript"/>
        </w:rPr>
        <w:t>3</w:t>
      </w:r>
      <w:r w:rsidRPr="003E0254">
        <w:rPr>
          <w:rFonts w:cs="Calibri"/>
        </w:rPr>
        <w:t>Pt intermetallic nano-alloy supported by Ni</w:t>
      </w:r>
      <w:r w:rsidRPr="003E0254">
        <w:rPr>
          <w:rFonts w:cs="Calibri"/>
          <w:vertAlign w:val="subscript"/>
        </w:rPr>
        <w:t>3</w:t>
      </w:r>
      <w:r w:rsidRPr="003E0254">
        <w:rPr>
          <w:rFonts w:cs="Calibri"/>
        </w:rPr>
        <w:t>FeN exhibited high ORR performance with a half-wave potential of 0.93 V vs. RHE.</w:t>
      </w:r>
      <w:r w:rsidRPr="003E0254">
        <w:rPr>
          <w:rFonts w:cs="Calibri"/>
        </w:rPr>
        <w:fldChar w:fldCharType="begin" w:fldLock="1"/>
      </w:r>
      <w:r w:rsidR="00500B8D" w:rsidRPr="003E0254">
        <w:rPr>
          <w:rFonts w:cs="Calibri"/>
        </w:rPr>
        <w:instrText>ADDIN CSL_CITATION {"citationItems":[{"id":"ITEM-1","itemData":{"DOI":"10.1002/ANIE.201705778","ISSN":"1521-3773","PMID":"28666066","abstract":"Electrocatalysts for both the oxygen reduction and evolution reactions (ORR and OER) are vital for the performances of rechargeable metal–air batteries. Herein, we report an advanced bifunctional oxygen electrocatalyst consisting of porous metallic nickel-iron nitride (Ni3FeN) supporting ordered Fe3Pt intermetallic nanoalloy. In this hybrid catalyst, the bimetallic nitride Ni3FeN mainly contributes to the high activity for the OER while the ordered Fe3Pt nanoalloy contributes to the excellent activity for the ORR. Robust Ni3FeN-supported Fe3Pt catalysts show superior catalytic performance to the state-of-the-art ORR catalyst (Pt/C) and OER catalyst (Ir/C). The Fe3Pt/Ni3FeN bifunctional catalyst enables Zn–air batteries to achieve a long-term cycling performance of over 480 h at 10 mA cm−2 with high efficiency. The extraordinarily high performance of the Fe3Pt/Ni3FeN bifunctional catalyst makes it a very promising air cathode in alkaline electrolyte.","author":[{"dropping-particle":"","family":"Cui","given":"Zhiming","non-dropping-particle":"","parse-names":false,"suffix":""},{"dropping-particle":"","family":"Fu","given":"Gengtao","non-dropping-particle":"","parse-names":false,"suffix":""},{"dropping-particle":"","family":"Li","given":"Yutao","non-dropping-particle":"","parse-names":false,"suffix":""},{"dropping-particle":"","family":"Goodenough","given":"John B.","non-dropping-particle":"","parse-names":false,"suffix":""}],"container-title":"Angewandte Chemie International Edition","id":"ITEM-1","issue":"33","issued":{"date-parts":[["2017","8","7"]]},"page":"9901-9905","publisher":"John Wiley &amp; Sons, Ltd","title":"Ni3FeN-Supported Fe3Pt Intermetallic Nanoalloy as a High-Performance Bifunctional Catalyst for Metal–Air Batteries","type":"article-journal","volume":"56"},"uris":["http://www.mendeley.com/documents/?uuid=2a327657-a1e3-3205-8dba-128dab9c9888"]}],"mendeley":{"formattedCitation":"&lt;sup&gt;[187]&lt;/sup&gt;","plainTextFormattedCitation":"[187]","previouslyFormattedCitation":"&lt;sup&gt;[186]&lt;/sup&gt;"},"properties":{"noteIndex":0},"schema":"https://github.com/citation-style-language/schema/raw/master/csl-citation.json"}</w:instrText>
      </w:r>
      <w:r w:rsidRPr="003E0254">
        <w:rPr>
          <w:rFonts w:cs="Calibri"/>
        </w:rPr>
        <w:fldChar w:fldCharType="separate"/>
      </w:r>
      <w:r w:rsidR="00500B8D" w:rsidRPr="003E0254">
        <w:rPr>
          <w:rFonts w:cs="Calibri"/>
          <w:noProof/>
          <w:vertAlign w:val="superscript"/>
        </w:rPr>
        <w:t>[187]</w:t>
      </w:r>
      <w:r w:rsidRPr="003E0254">
        <w:rPr>
          <w:rFonts w:cs="Calibri"/>
        </w:rPr>
        <w:fldChar w:fldCharType="end"/>
      </w:r>
      <w:r w:rsidRPr="003E0254">
        <w:rPr>
          <w:rFonts w:cs="Calibri"/>
        </w:rPr>
        <w:t xml:space="preserve"> A noble-metal free variant, i.e., cobalt oxide supported on nitrogen-doped mesoporous carbon, also exhibited a high half-wave potential of 0.91</w:t>
      </w:r>
      <w:r w:rsidR="00004B62" w:rsidRPr="003E0254">
        <w:rPr>
          <w:rFonts w:cs="Calibri"/>
        </w:rPr>
        <w:t xml:space="preserve"> </w:t>
      </w:r>
      <w:r w:rsidRPr="003E0254">
        <w:rPr>
          <w:rFonts w:cs="Calibri"/>
        </w:rPr>
        <w:t>V vs. RHE and an OER overpotential of 0.27 V vs. RHE at 10 mA cm</w:t>
      </w:r>
      <w:r w:rsidRPr="003E0254">
        <w:rPr>
          <w:rFonts w:cs="Calibri"/>
          <w:vertAlign w:val="superscript"/>
        </w:rPr>
        <w:t>-2</w:t>
      </w:r>
      <w:r w:rsidRPr="003E0254">
        <w:rPr>
          <w:rFonts w:cs="Calibri"/>
        </w:rPr>
        <w:t xml:space="preserve">, which is close to 0.24 V vs. RHE obtained with </w:t>
      </w:r>
      <w:proofErr w:type="spellStart"/>
      <w:r w:rsidRPr="003E0254">
        <w:rPr>
          <w:rFonts w:cs="Calibri"/>
        </w:rPr>
        <w:t>IrCo</w:t>
      </w:r>
      <w:proofErr w:type="spellEnd"/>
      <w:r w:rsidRPr="003E0254">
        <w:rPr>
          <w:rFonts w:cs="Calibri"/>
        </w:rPr>
        <w:t xml:space="preserve"> supported on nitrogen-doped carbon nanotubes.</w:t>
      </w:r>
      <w:r w:rsidRPr="003E0254">
        <w:rPr>
          <w:rFonts w:cs="Calibri"/>
        </w:rPr>
        <w:fldChar w:fldCharType="begin" w:fldLock="1"/>
      </w:r>
      <w:r w:rsidR="00500B8D" w:rsidRPr="003E0254">
        <w:rPr>
          <w:rFonts w:cs="Calibri"/>
        </w:rPr>
        <w:instrText>ADDIN CSL_CITATION {"citationItems":[{"id":"ITEM-1","itemData":{"DOI":"10.1016/J.CEJ.2021.132825","ISSN":"1385-8947","abstract":"Development of cost-efficeint and high activity muli-functional catalysts for gas-involved reactions such as Oxygen reduction evolution (ORR), oxygen evolution reaction (OER) and hydrogen evolution recation reaction (HER) is desirable but challenging. Herein, low-loading of Iridium (Ir) (≈2.3 wt%) decorated cobalt nanoparticles embedded in nitrogen-doped carbon nanotube/porous carbon sheets (IrCo@NCNT/PC) is prepared to serve as the OER/HER/ORR trifunctional electrocatalyst. The resulting composites demonstrate excellent OER and HER activity in both acidic and alkaline electrolytes, including low overpotentials at 10 mA cm−2 (η10) for OER (about 291 and 240 mV) and HER (about 26.8 and 37 mV), respectively, which are superior to the benchmarking Pt/C and IrO2 catalysts. Hence, low cell voltages of 1.51 and 1.45 V are required at j = 10 mA cm−2 (j10) for overall water splitting (OWS) in the acidic and alkaline electrolytes, respectively. In addition, the as-prepared IrCo@NCNT/PC also shows efficient ORR performance with a high half-wave potential (E1/2) of 0.83 V vs. RHE. It is then used as the air cathode for rechargeable Zn-air battery (r-ZAB), and exhibits an outstanding specific capacity (810 mAh g−1), low charge-discharge polarization (ΔE = 0.896 V at j = 50 mA cm−2) and long cycling performance (increased only 0.15 V after 195 cycles).","author":[{"dropping-particle":"","family":"Zhao","given":"Dengke","non-dropping-particle":"","parse-names":false,"suffix":""},{"dropping-particle":"","family":"Zhu","given":"Yuguang","non-dropping-particle":"","parse-names":false,"suffix":""},{"dropping-particle":"","family":"Wu","given":"Qikai","non-dropping-particle":"","parse-names":false,"suffix":""},{"dropping-particle":"","family":"Zhou","given":"Wei","non-dropping-particle":"","parse-names":false,"suffix":""},{"dropping-particle":"","family":"Dan","given":"Jiacheng","non-dropping-particle":"","parse-names":false,"suffix":""},{"dropping-particle":"","family":"Zhu","given":"Hao","non-dropping-particle":"","parse-names":false,"suffix":""},{"dropping-particle":"","family":"Lei","given":"Wen","non-dropping-particle":"","parse-names":false,"suffix":""},{"dropping-particle":"","family":"Ma","given":"Li Jun","non-dropping-particle":"","parse-names":false,"suffix":""},{"dropping-particle":"","family":"Li","given":"Ligui","non-dropping-particle":"","parse-names":false,"suffix":""}],"container-title":"Chemical Engineering Journal","id":"ITEM-1","issued":{"date-parts":[["2022","2","15"]]},"page":"132825","publisher":"Elsevier","title":"Low-loading Ir decorated cobalt encapsulated N-doped carbon nanotubes/porous carbon sheet implements efficient hydrogen/oxygen trifunctional electrocatalysis","type":"article-journal","volume":"430"},"uris":["http://www.mendeley.com/documents/?uuid=92de5dd2-809b-47a4-ab60-6905e0646942"]}],"mendeley":{"formattedCitation":"&lt;sup&gt;[189]&lt;/sup&gt;","plainTextFormattedCitation":"[189]","previouslyFormattedCitation":"&lt;sup&gt;[188]&lt;/sup&gt;"},"properties":{"noteIndex":0},"schema":"https://github.com/citation-style-language/schema/raw/master/csl-citation.json"}</w:instrText>
      </w:r>
      <w:r w:rsidRPr="003E0254">
        <w:rPr>
          <w:rFonts w:cs="Calibri"/>
        </w:rPr>
        <w:fldChar w:fldCharType="separate"/>
      </w:r>
      <w:r w:rsidR="00500B8D" w:rsidRPr="003E0254">
        <w:rPr>
          <w:rFonts w:cs="Calibri"/>
          <w:noProof/>
          <w:vertAlign w:val="superscript"/>
        </w:rPr>
        <w:t>[189]</w:t>
      </w:r>
      <w:r w:rsidRPr="003E0254">
        <w:rPr>
          <w:rFonts w:cs="Calibri"/>
        </w:rPr>
        <w:fldChar w:fldCharType="end"/>
      </w:r>
      <w:r w:rsidRPr="003E0254">
        <w:rPr>
          <w:rFonts w:cs="Calibri"/>
        </w:rPr>
        <w:t xml:space="preserve"> </w:t>
      </w:r>
      <w:r w:rsidR="0048791C" w:rsidRPr="003E0254">
        <w:rPr>
          <w:rFonts w:eastAsia="Calibri" w:cs="Calibri"/>
          <w:color w:val="000000"/>
        </w:rPr>
        <w:t xml:space="preserve">Other cobalt containing catalyst </w:t>
      </w:r>
      <w:r w:rsidR="0048791C" w:rsidRPr="003E0254">
        <w:rPr>
          <w:rFonts w:eastAsia="Calibri" w:cs="Calibri"/>
          <w:color w:val="000000"/>
        </w:rPr>
        <w:lastRenderedPageBreak/>
        <w:t xml:space="preserve">compositions without any noble metals also yielded reduced overpotentials for charge and discharge and substantially extended cycle life compared to combined </w:t>
      </w:r>
      <w:proofErr w:type="spellStart"/>
      <w:r w:rsidR="0048791C" w:rsidRPr="003E0254">
        <w:rPr>
          <w:rFonts w:eastAsia="Calibri" w:cs="Calibri"/>
          <w:color w:val="000000"/>
        </w:rPr>
        <w:t>Ir</w:t>
      </w:r>
      <w:proofErr w:type="spellEnd"/>
      <w:r w:rsidR="0048791C" w:rsidRPr="003E0254">
        <w:rPr>
          <w:rFonts w:eastAsia="Calibri" w:cs="Calibri"/>
          <w:color w:val="000000"/>
        </w:rPr>
        <w:t xml:space="preserve"> and Pt</w:t>
      </w:r>
      <w:r w:rsidR="0048791C" w:rsidRPr="003E0254">
        <w:rPr>
          <w:rFonts w:ascii="Calibri" w:hAnsi="Calibri" w:cs="Calibri"/>
        </w:rPr>
        <w:t>.</w:t>
      </w:r>
      <w:r w:rsidR="0048791C" w:rsidRPr="003E0254">
        <w:rPr>
          <w:rFonts w:ascii="Calibri" w:hAnsi="Calibri" w:cs="Calibri"/>
        </w:rPr>
        <w:fldChar w:fldCharType="begin" w:fldLock="1"/>
      </w:r>
      <w:r w:rsidR="00500B8D" w:rsidRPr="003E0254">
        <w:rPr>
          <w:rFonts w:ascii="Calibri" w:hAnsi="Calibri" w:cs="Calibri"/>
        </w:rPr>
        <w:instrText>ADDIN CSL_CITATION {"citationItems":[{"id":"ITEM-1","itemData":{"DOI":"10.1016/J.ENSM.2019.12.043","ISSN":"2405-8297","abstract":"Cobalt oxides are promising bifunctional oxygen electrocatalysts due to their intrinsic activities toward both dissociation and formation of oxygen molecules. Unfortunately, their practical utilization is seriously hindered by the limited accessible active sites and inferior activity. Herein, vertically-aligned porous nanoarrays composed of ultrafine nitrogen-doped cobalt oxide (NP-Co3O4) nanoparticles (4-5 ​nm) are in-situ fabricated on carbon cloth (CC) via mild oxidation of Co-based zeolitic-imidazolate-framework (Co-ZIF) nanoarrays. The oxidation decomposition of 2-methylimidazolate ligands between Co nodes not only confines the growth of cobalt oxides, but also provides the nitrogen sources for realizing low-temperature (200 ​°C) nitrogen doping. In alkaline electrolyte, the as-built NP-Co3O4/CC manifests an extremely high oxygen reduction reaction (ORR) half-wave potential of ~0.9 ​V and a decreased oxygen evolution reaction (OER) overpotential of 330 ​mV ​at 10 ​mA ​cm−2, displaying a record low potential gap of 0.66 ​V. As bifunctional oxygen electrodes in rechargeable aqueous and all-solid-state flexible zinc-air batteries, the NP-Co3O4/CC-based batteries exhibit ultrahigh power densities up to 200 ​mW ​cm−2 and 99.8 ​mW ​cm−3, respectively, which are much higher than those of reported bifunctional oxygen electrocatalysts. This work paves a new avenue for the fabrication of porous nitrogen doped metal oxides towards high-performance zinc-air batteries.","author":[{"dropping-particle":"","family":"Wang","given":"Xia","non-dropping-particle":"","parse-names":false,"suffix":""},{"dropping-particle":"","family":"Liao","given":"Zhongquan","non-dropping-particle":"","parse-names":false,"suffix":""},{"dropping-particle":"","family":"Fu","given":"Yubin","non-dropping-particle":"","parse-names":false,"suffix":""},{"dropping-particle":"","family":"Neumann","given":"Christof","non-dropping-particle":"","parse-names":false,"suffix":""},{"dropping-particle":"","family":"Turchanin","given":"Andrey","non-dropping-particle":"","parse-names":false,"suffix":""},{"dropping-particle":"","family":"Nam","given":"Gyutae","non-dropping-particle":"","parse-names":false,"suffix":""},{"dropping-particle":"","family":"Zschech","given":"Ehrenfried","non-dropping-particle":"","parse-names":false,"suffix":""},{"dropping-particle":"","family":"Cho","given":"Jaephil","non-dropping-particle":"","parse-names":false,"suffix":""},{"dropping-particle":"","family":"Zhang","given":"Jian","non-dropping-particle":"","parse-names":false,"suffix":""},{"dropping-particle":"","family":"Feng","given":"Xinliang","non-dropping-particle":"","parse-names":false,"suffix":""}],"container-title":"Energy Storage Materials","id":"ITEM-1","issued":{"date-parts":[["2020","4","1"]]},"page":"157-164","publisher":"Elsevier","title":"Confined growth of porous nitrogen-doped cobalt oxide nanoarrays as bifunctional oxygen electrocatalysts for rechargeable zinc–air batteries","type":"article-journal","volume":"26"},"uris":["http://www.mendeley.com/documents/?uuid=3ed16e27-b23c-39f2-a8f4-850819203675"]},{"id":"ITEM-2","itemData":{"DOI":"10.1016/J.JCIS.2021.01.093","ISSN":"0021-9797","PMID":"33561597","abstract":"Exploiting the low-cost and high-efficiency bifunctional oxygen electrocatalysts to substitute platinum-group metals is highly desirable but challenging for energy storage/conversion technologies. Herein, we develop a combined gelation/self-assemble/freeze drying process to fabricate a free-standing porous architectures through vertical anchoring two-dimensional (2D) CoMn-LDH nanosheets on three-dimensional (3D) hierarchical N,P co-doped graphene aerogels (NPGA) framework. This unique configuration endows CoMn-LDH/NPGA outstanding catalytic activity toward both oxygen reduction reaction (ORR) and oxygen evolution reaction (OER) with a potential difference of ca. 0.72 V between the OER potential at 10 mA cm−2 and the ORR potential at −3 mA cm−2, which is comparable to commercial Pt/C + IrO2 benchmarks, and therefore renders the CoMn-LDH/NPGA assembled zinc-air battery a superior rechargeable performance and cycling stability. In-depth structure-to-property correlation indicates that the prominent bifunctional activity of CoMn-LDH/NPGA are ascribed to large electrochemical active surface area, the rapid mass/charge transfers, the increased exposure and full utilization of active sites originated from the synergistic effect between the uniformly dispersed 2D CoMn-LDH nanosheets and the 3D hierarchical porous NPGA framework.","author":[{"dropping-particle":"","family":"Zhang","given":"Guoquan","non-dropping-particle":"","parse-names":false,"suffix":""},{"dropping-particle":"","family":"Xing","given":"Jiayu","non-dropping-particle":"","parse-names":false,"suffix":""},{"dropping-particle":"","family":"Zhao","given":"Yuanyuan","non-dropping-particle":"","parse-names":false,"suffix":""},{"dropping-particle":"","family":"Yang","given":"Fenglin","non-dropping-particle":"","parse-names":false,"suffix":""}],"container-title":"Journal of Colloid and Interface Science","id":"ITEM-2","issued":{"date-parts":[["2021","5","15"]]},"page":"476-486","publisher":"Academic Press","title":"Hierarchical N,P co-doped graphene aerogels framework assembling vertically grown CoMn-LDH nanosheets as efficient bifunctional electrocatalyst for rechargeable Zinc-air battery","type":"article-journal","volume":"590"},"uris":["http://www.mendeley.com/documents/?uuid=1563f6fd-fde4-3f26-969b-3f6f73725a34"]}],"mendeley":{"formattedCitation":"&lt;sup&gt;[190,191]&lt;/sup&gt;","plainTextFormattedCitation":"[190,191]","previouslyFormattedCitation":"&lt;sup&gt;[189,190]&lt;/sup&gt;"},"properties":{"noteIndex":0},"schema":"https://github.com/citation-style-language/schema/raw/master/csl-citation.json"}</w:instrText>
      </w:r>
      <w:r w:rsidR="0048791C" w:rsidRPr="003E0254">
        <w:rPr>
          <w:rFonts w:ascii="Calibri" w:hAnsi="Calibri" w:cs="Calibri"/>
        </w:rPr>
        <w:fldChar w:fldCharType="separate"/>
      </w:r>
      <w:r w:rsidR="00500B8D" w:rsidRPr="003E0254">
        <w:rPr>
          <w:rFonts w:ascii="Calibri" w:hAnsi="Calibri" w:cs="Calibri"/>
          <w:noProof/>
          <w:vertAlign w:val="superscript"/>
        </w:rPr>
        <w:t>[190,191]</w:t>
      </w:r>
      <w:r w:rsidR="0048791C" w:rsidRPr="003E0254">
        <w:rPr>
          <w:rFonts w:ascii="Calibri" w:hAnsi="Calibri" w:cs="Calibri"/>
        </w:rPr>
        <w:fldChar w:fldCharType="end"/>
      </w:r>
      <w:r w:rsidR="0048791C" w:rsidRPr="003E0254">
        <w:rPr>
          <w:rFonts w:ascii="Calibri" w:hAnsi="Calibri" w:cs="Calibri"/>
        </w:rPr>
        <w:t xml:space="preserve"> </w:t>
      </w:r>
      <w:r w:rsidRPr="003E0254">
        <w:rPr>
          <w:rFonts w:cs="Calibri"/>
        </w:rPr>
        <w:t>Cobalt is a common element in many of the best performing catalysts</w:t>
      </w:r>
      <w:r w:rsidR="004A779E" w:rsidRPr="003E0254">
        <w:rPr>
          <w:rFonts w:cs="Calibri"/>
        </w:rPr>
        <w:fldChar w:fldCharType="begin" w:fldLock="1"/>
      </w:r>
      <w:r w:rsidR="00500B8D" w:rsidRPr="003E0254">
        <w:rPr>
          <w:rFonts w:cs="Calibri"/>
        </w:rPr>
        <w:instrText xml:space="preserve">ADDIN CSL_CITATION {"citationItems":[{"id":"ITEM-1","itemData":{"DOI":"10.1016/J.ENSM.2020.03.026","ISSN":"2405-8297","abstract":"The development of earth-abundant and cost-effective electro-catalysts at the air cathodes for both oxygen reduction and evolution reactions (ORR and OER) with sluggish kinetics are central to the overall performance of rechargeable metal-air batteries, remaining an issue that is gaining increasing interest in recent years. Herein, we report a nitrogen-doped mesoporous carbon supported clustered CoOx composite catalyst (CoOx/NMC) synthesized from the anchored atomically dispersed CoOOH species by an efficient two-step nucleation method. Due to the synergistic and size effects, CoOx/NMC exhibits an enhanced bifunctional electrocatalytic performance in alkaline media than the state of the art commercial Pt/C catalyst for ORR and the OER catalyst (Ir/C). More importantly, the advanced CoOx/NMC catalyst enables recharge Zn-air batteries (ZABs) to achieve long-term cycling performance over 400 </w:instrText>
      </w:r>
      <w:r w:rsidR="00500B8D" w:rsidRPr="003E0254">
        <w:rPr>
          <w:rFonts w:ascii="Arial" w:hAnsi="Arial" w:cs="Arial"/>
        </w:rPr>
        <w:instrText>​</w:instrText>
      </w:r>
      <w:r w:rsidR="00500B8D" w:rsidRPr="003E0254">
        <w:rPr>
          <w:rFonts w:cs="Calibri"/>
        </w:rPr>
        <w:instrText xml:space="preserve">h by galvanostatic charge-discharge at current density of 10 </w:instrText>
      </w:r>
      <w:r w:rsidR="00500B8D" w:rsidRPr="003E0254">
        <w:rPr>
          <w:rFonts w:ascii="Arial" w:hAnsi="Arial" w:cs="Arial"/>
        </w:rPr>
        <w:instrText>​</w:instrText>
      </w:r>
      <w:r w:rsidR="00500B8D" w:rsidRPr="003E0254">
        <w:rPr>
          <w:rFonts w:cs="Calibri"/>
        </w:rPr>
        <w:instrText xml:space="preserve">mA </w:instrText>
      </w:r>
      <w:r w:rsidR="00500B8D" w:rsidRPr="003E0254">
        <w:rPr>
          <w:rFonts w:ascii="Arial" w:hAnsi="Arial" w:cs="Arial"/>
        </w:rPr>
        <w:instrText>​</w:instrText>
      </w:r>
      <w:r w:rsidR="00500B8D" w:rsidRPr="003E0254">
        <w:rPr>
          <w:rFonts w:cs="Calibri"/>
        </w:rPr>
        <w:instrText>cm</w:instrText>
      </w:r>
      <w:r w:rsidR="00500B8D" w:rsidRPr="003E0254">
        <w:rPr>
          <w:rFonts w:ascii="Aptos" w:hAnsi="Aptos" w:cs="Aptos"/>
        </w:rPr>
        <w:instrText>−</w:instrText>
      </w:r>
      <w:r w:rsidR="00500B8D" w:rsidRPr="003E0254">
        <w:rPr>
          <w:rFonts w:cs="Calibri"/>
        </w:rPr>
        <w:instrText>2 with high efficiency, suggesting a very promising alternative to the conventional Pt/C and Ir/C catalysts for an air cathode.","author":[{"dropping-particle":"","family":"Huang","given":"Kai","non-dropping-particle":"","parse-names":false,"suffix":""},{"dropping-particle":"","family":"Wang","given":"Ruyue","non-dropping-particle":"","parse-names":false,"suffix":""},{"dropping-particle":"","family":"Zhao","given":"Shijing","non-dropping-particle":"","parse-names":false,"suffix":""},{"dropping-particle":"","family":"Du","given":"Peng","non-dropping-particle":"","parse-names":false,"suffix":""},{"dropping-particle":"","family":"Wang","given":"Hao","non-dropping-particle":"","parse-names":false,"suffix":""},{"dropping-particle":"","family":"Wei","given":"Hehe","non-dropping-particle":"","parse-names":false,"suffix":""},{"dropping-particle":"","family":"Long","given":"Yuanzheng","non-dropping-particle":"","parse-names":false,"suffix":""},{"dropping-particle":"","family":"Deng","given":"Bohan","non-dropping-particle":"","parse-names":false,"suffix":""},{"dropping-particle":"","family":"Lei","given":"Ming","non-dropping-particle":"","parse-names":false,"suffix":""},{"dropping-particle":"","family":"Ge","given":"Binghui","non-dropping-particle":"","parse-names":false,"suffix":""},{"dropping-particle":"","family":"Gou","given":"Huiyang","non-dropping-particle":"","parse-names":false,"suffix":""},{"dropping-particle":"","family":"Zhang","given":"Ru","non-dropping-particle":"","parse-names":false,"suffix":""},{"dropping-particle":"","family":"Wu","given":"Hui","non-dropping-particle":"","parse-names":false,"suffix":""}],"container-title":"Energy Storage Materials","id":"ITEM-1","issued":{"date-parts":[["2020","8","1"]]},"page":"156-162","publisher":"Elsevier","title":"Atomic species derived CoOx clusters on nitrogen doped mesoporous carbon as advanced bifunctional electro-catalysts for Zn-air battery","type":"article-journal","volume":"29"},"uris":["http://www.mendeley.com/documents/?uuid=1369b1fd-32e6-300e-b3d0-469f233ef7c6"]},{"id":"ITEM-2","itemData":{"DOI":"10.1002/SMLL.201703748","ISSN":"1613-6829","PMID":"29318748","abstract":"Searching for highly efficient bifunctional electrocatalysts for the oxygen reduction reaction (ORR) and oxygen evolution reaction (OER) using nonnoble metal-based catalysts is essential for the development of many energy conversion systems, including rechargeable fuel cells and metal–air batteries. Here, Co9–xFexS8/Co,Fe-N-C hybrids wrapped by reduced graphene oxide (rGO) (abbreviated as S-Co9–xFexS8@rGO) are synthesized through a semivulcanization and calcination method using graphene oxide (GO) wrapped bimetallic zeolite imidazolate framework (ZIF) Co,Fe-ZIF (CoFe-ZIF@GO) as precursors. Benefiting from the synergistic effect of OER active CoFeS and ORR active Co,Fe-N-C in a single component, as well as high dispersity and enhanced conductivity derived from rGO coating and Fe-doping, the obtained S-Co9–xFexS8@rGO-10 catalyst shows an ultrasmall overpotential of ≈0.29 V at 10 mA cm−2 in OER and a half-wave potential of 0.84 V in ORR, combining a superior oxygen electrode activity of ≈0.68 V in 0.1 m KOH.","author":[{"dropping-particle":"","family":"Liu","given":"Teng","non-dropping-particle":"","parse-names":false,"suffix":""},{"dropping-particle":"","family":"Yang","given":"Fulin","non-dropping-particle":"","parse-names":false,"suffix":""},{"dropping-particle":"","family":"Cheng","given":"Gongzhen","non-dropping-particle":"","parse-names":false,"suffix":""},{"dropping-particle":"","family":"Luo","given":"Wei","non-dropping-particle":"","parse-names":false,"suffix":""},{"dropping-particle":"","family":"Liu","given":"T","non-dropping-particle":"","parse-names":false,"suffix":""},{"dropping-particle":"","family":"Yang","given":"F","non-dropping-particle":"","parse-names":false,"suffix":""},{"dropping-particle":"","family":"Cheng","given":"G","non-dropping-particle":"","parse-names":false,"suffix":""},{"dropping-particle":"","family":"Luo","given":"W","non-dropping-particle":"","parse-names":false,"suffix":""}],"container-title":"Small","id":"ITEM-2","issue":"10","issued":{"date-parts":[["2018","3","1"]]},"page":"1703748","publisher":"John Wiley &amp; Sons, Ltd","title":"Reduced Graphene Oxide-Wrapped Co9–xFexS8/Co,Fe-N-C Composite as Bifunctional Electrocatalyst for Oxygen Reduction and Evolution","type":"article-journal","volume":"14"},"uris":["http://www.mendeley.com/documents/?uuid=4e0b5e2f-3765-379c-99fa-fdc8783abbe6"]}],"mendeley":{"formattedCitation":"&lt;sup&gt;[38,211]&lt;/sup&gt;","plainTextFormattedCitation":"[38,211]","previouslyFormattedCitation":"&lt;sup&gt;[38,210]&lt;/sup&gt;"},"properties":{"noteIndex":0},"schema":"https://github.com/citation-style-language/schema/raw/master/csl-citation.json"}</w:instrText>
      </w:r>
      <w:r w:rsidR="004A779E" w:rsidRPr="003E0254">
        <w:rPr>
          <w:rFonts w:cs="Calibri"/>
        </w:rPr>
        <w:fldChar w:fldCharType="separate"/>
      </w:r>
      <w:r w:rsidR="00500B8D" w:rsidRPr="003E0254">
        <w:rPr>
          <w:rFonts w:cs="Calibri"/>
          <w:noProof/>
          <w:vertAlign w:val="superscript"/>
        </w:rPr>
        <w:t>[38,211]</w:t>
      </w:r>
      <w:r w:rsidR="004A779E" w:rsidRPr="003E0254">
        <w:rPr>
          <w:rFonts w:cs="Calibri"/>
        </w:rPr>
        <w:fldChar w:fldCharType="end"/>
      </w:r>
      <w:r w:rsidRPr="003E0254">
        <w:rPr>
          <w:rFonts w:cs="Calibri"/>
        </w:rPr>
        <w:t>, but it is also a key material for lithium-ion batteries, and therefore, there are some concerns with respect to cost</w:t>
      </w:r>
      <w:r w:rsidR="003A6F83" w:rsidRPr="003E0254">
        <w:rPr>
          <w:rFonts w:cs="Calibri"/>
        </w:rPr>
        <w:t>, sustainability, and human rights violations</w:t>
      </w:r>
      <w:r w:rsidRPr="003E0254">
        <w:rPr>
          <w:rFonts w:cs="Calibri"/>
        </w:rPr>
        <w:t>.</w:t>
      </w:r>
      <w:r w:rsidRPr="003E0254">
        <w:rPr>
          <w:rFonts w:eastAsia="Calibri" w:cs="Calibri"/>
          <w:color w:val="000000"/>
        </w:rPr>
        <w:t xml:space="preserve"> The support material or the catalyst itself is often doped, e.g., with nitrogen, to further boost performance. </w:t>
      </w:r>
    </w:p>
    <w:p w14:paraId="003208E2" w14:textId="77777777" w:rsidR="00B53C39" w:rsidRPr="003E0254" w:rsidRDefault="00B53C39">
      <w:pPr>
        <w:spacing w:line="276" w:lineRule="auto"/>
      </w:pPr>
    </w:p>
    <w:p w14:paraId="1A8B6619" w14:textId="682EAA13" w:rsidR="00B53C39" w:rsidRPr="003E0254" w:rsidRDefault="00DA35C9">
      <w:pPr>
        <w:pStyle w:val="berschrift4"/>
        <w:spacing w:line="276" w:lineRule="auto"/>
        <w:rPr>
          <w:b/>
          <w:bCs/>
          <w:i w:val="0"/>
          <w:iCs w:val="0"/>
        </w:rPr>
      </w:pPr>
      <w:r w:rsidRPr="003E0254">
        <w:rPr>
          <w:b/>
          <w:bCs/>
          <w:i w:val="0"/>
          <w:iCs w:val="0"/>
        </w:rPr>
        <w:t>2.</w:t>
      </w:r>
      <w:r w:rsidR="003E4F58" w:rsidRPr="003E0254">
        <w:rPr>
          <w:b/>
          <w:bCs/>
          <w:i w:val="0"/>
          <w:iCs w:val="0"/>
        </w:rPr>
        <w:t>4</w:t>
      </w:r>
      <w:r w:rsidRPr="003E0254">
        <w:rPr>
          <w:b/>
          <w:bCs/>
          <w:i w:val="0"/>
          <w:iCs w:val="0"/>
        </w:rPr>
        <w:t>.</w:t>
      </w:r>
      <w:r w:rsidR="0072636E" w:rsidRPr="003E0254">
        <w:rPr>
          <w:b/>
          <w:bCs/>
          <w:i w:val="0"/>
          <w:iCs w:val="0"/>
        </w:rPr>
        <w:t>4</w:t>
      </w:r>
      <w:r w:rsidRPr="003E0254">
        <w:rPr>
          <w:b/>
          <w:bCs/>
          <w:i w:val="0"/>
          <w:iCs w:val="0"/>
        </w:rPr>
        <w:t xml:space="preserve"> Summary and </w:t>
      </w:r>
      <w:r w:rsidR="000E3AB3" w:rsidRPr="003E0254">
        <w:rPr>
          <w:b/>
          <w:bCs/>
          <w:i w:val="0"/>
          <w:iCs w:val="0"/>
        </w:rPr>
        <w:t>Outlook</w:t>
      </w:r>
      <w:r w:rsidR="00A97A8B" w:rsidRPr="003E0254">
        <w:rPr>
          <w:b/>
          <w:bCs/>
          <w:i w:val="0"/>
          <w:iCs w:val="0"/>
        </w:rPr>
        <w:t xml:space="preserve"> of Zinc-Air Batteries</w:t>
      </w:r>
    </w:p>
    <w:p w14:paraId="3218921A" w14:textId="4132A738" w:rsidR="00A97A8B" w:rsidRPr="003E0254" w:rsidRDefault="00A97A8B" w:rsidP="00A97A8B">
      <w:pPr>
        <w:spacing w:line="276" w:lineRule="auto"/>
        <w:jc w:val="both"/>
      </w:pPr>
      <w:r w:rsidRPr="003E0254">
        <w:t>Zinc-air batteries, along with iron-air batteries</w:t>
      </w:r>
      <w:r w:rsidR="00911CD2" w:rsidRPr="003E0254">
        <w:fldChar w:fldCharType="begin" w:fldLock="1"/>
      </w:r>
      <w:r w:rsidR="00500B8D" w:rsidRPr="003E0254">
        <w:instrText>ADDIN CSL_CITATION {"citationItems":[{"id":"ITEM-1","itemData":{"DOI":"10.3390/ma121321341-55","ISSN":"19961944","abstract":"© 2019 by the authors. Metal-air batteries provide a most promising battery technology given their outstanding potential energy densities, which are desirable for both stationary and mobile applications in a \"beyond lithium-ion\" battery market. Silicon- and iron-air batteries underwent less research and development compared to lithium- and zinc-air batteries. Nevertheless, in the recent past, the two also-ran battery systems made considerable progress and attracted rising research interest due to the excellent resource-efficiency of silicon and iron. Silicon and iron are among the top five of the most abundant elements in the Earth's crust, which ensures almost infinite material supply of the anode materials, even for large scale applications. Furthermore, primary silicon-air batteries are set to provide one of the highest energy densities among all types of batteries, while iron-air batteries are frequently considered as a highly rechargeable system with decent performance characteristics. Considering fundamental aspects for the anode materials, i.e., the metal electrodes, in this review we will first outline the challenges, which explicitly apply to silicon- and iron-air batteries and prevented them from a broad implementation so far. Afterwards, we provide an extensive literature survey regarding state-of-the-art experimental approaches, which are set to resolve the aforementioned challenges and might enable the introduction of silicon- and iron-air batteries into the battery market in the future.","author":[{"dropping-particle":"","family":"Weinrich","given":"H.","non-dropping-particle":"","parse-names":false,"suffix":""},{"dropping-particle":"","family":"Durmus","given":"Y.E.","non-dropping-particle":"","parse-names":false,"suffix":""},{"dropping-particle":"","family":"Tempel","given":"H.","non-dropping-particle":"","parse-names":false,"suffix":""},{"dropping-particle":"","family":"Kungl","given":"H.","non-dropping-particle":"","parse-names":false,"suffix":""},{"dropping-particle":"","family":"Eichel","given":"R.-A.","non-dropping-particle":"","parse-names":false,"suffix":""}],"container-title":"Materials","id":"ITEM-1","issue":"13","issued":{"date-parts":[["2019"]]},"title":"Silicon and iron as resource-efficient anode materials for ambient-temperature metal-air batteries: A review","type":"article-journal","volume":"12"},"uris":["http://www.mendeley.com/documents/?uuid=448fded0-f539-3b7a-96ef-f8495ea5c5e3"]}],"mendeley":{"formattedCitation":"&lt;sup&gt;[245]&lt;/sup&gt;","plainTextFormattedCitation":"[245]","previouslyFormattedCitation":"&lt;sup&gt;[244]&lt;/sup&gt;"},"properties":{"noteIndex":0},"schema":"https://github.com/citation-style-language/schema/raw/master/csl-citation.json"}</w:instrText>
      </w:r>
      <w:r w:rsidR="00911CD2" w:rsidRPr="003E0254">
        <w:fldChar w:fldCharType="separate"/>
      </w:r>
      <w:r w:rsidR="00500B8D" w:rsidRPr="003E0254">
        <w:rPr>
          <w:noProof/>
          <w:vertAlign w:val="superscript"/>
        </w:rPr>
        <w:t>[245]</w:t>
      </w:r>
      <w:r w:rsidR="00911CD2" w:rsidRPr="003E0254">
        <w:fldChar w:fldCharType="end"/>
      </w:r>
      <w:r w:rsidRPr="003E0254">
        <w:t xml:space="preserve">, play a </w:t>
      </w:r>
      <w:r w:rsidR="004B5EA1" w:rsidRPr="003E0254">
        <w:t xml:space="preserve">notable </w:t>
      </w:r>
      <w:r w:rsidRPr="003E0254">
        <w:t>role among the various metal-air battery technologies due to their rechargeability and the use of abundant active materials. In comparison to conventional Li-ion batteries, Zn-air batteries can achieve up to twice the practical specific energy and volumetric energy density at the cell level, reaching energy densities of up to 500 </w:t>
      </w:r>
      <w:proofErr w:type="spellStart"/>
      <w:r w:rsidRPr="003E0254">
        <w:t>Wh</w:t>
      </w:r>
      <w:proofErr w:type="spellEnd"/>
      <w:r w:rsidRPr="003E0254">
        <w:t> kg</w:t>
      </w:r>
      <w:r w:rsidRPr="003E0254">
        <w:rPr>
          <w:vertAlign w:val="superscript"/>
        </w:rPr>
        <w:t>-1</w:t>
      </w:r>
      <w:r w:rsidRPr="003E0254">
        <w:t xml:space="preserve"> and volumetric energy densities of up to 1400 </w:t>
      </w:r>
      <w:proofErr w:type="spellStart"/>
      <w:r w:rsidRPr="003E0254">
        <w:t>Wh</w:t>
      </w:r>
      <w:proofErr w:type="spellEnd"/>
      <w:r w:rsidRPr="003E0254">
        <w:t> L</w:t>
      </w:r>
      <w:r w:rsidRPr="003E0254">
        <w:rPr>
          <w:vertAlign w:val="superscript"/>
        </w:rPr>
        <w:t>-1</w:t>
      </w:r>
      <w:r w:rsidRPr="003E0254">
        <w:t>.</w:t>
      </w:r>
      <w:r w:rsidRPr="003E0254">
        <w:fldChar w:fldCharType="begin" w:fldLock="1"/>
      </w:r>
      <w:r w:rsidR="00500B8D" w:rsidRPr="003E0254">
        <w:instrText>ADDIN CSL_CITATION {"citationItems":[{"id":"ITEM-1","itemData":{"DOI":"10.1021/ACSENERGYLETT.9B00510/ASSET/IMAGES/LARGE/NZ-2019-00510T_0003.JPEG","ISSN":"23808195","abstract":"A variety of batteries employing an alkaline zinc anode have been investigated and partially commercialized over the last decades. Of these, electrically rechargeable zinc-air batteries have been considered, since the mid 20th century, as a sustainable alternative for future green energy storage. Despite significant research efforts, it has so far not been possible to commercialize this battery on a large scale because of insufficient performance. The herein presented overview is not yet another review; on the basis of a total of 70 articles published during the last 20 years in lab-scale research, we assess the state-of-the-art performance of alkaline zinc anodes for application in zinc-air batteries. We define descriptors for the underlying analysis focusing on the practical relevance and reveal that the expectations for this battery type are unfortunately too high. Most importantly, the ultimate long-lasting alkaline zinc anode has yet to be identified; this is a challenging, but appealing task for interdisciplinary research.","author":[{"dropping-particle":"","family":"Stock","given":"Daniel","non-dropping-particle":"","parse-names":false,"suffix":""},{"dropping-particle":"","family":"Dongmo","given":"Saustin","non-dropping-particle":"","parse-names":false,"suffix":""},{"dropping-particle":"","family":"Janek","given":"Jürgen","non-dropping-particle":"","parse-names":false,"suffix":""},{"dropping-particle":"","family":"Schröder","given":"Daniel","non-dropping-particle":"","parse-names":false,"suffix":""}],"container-title":"ACS Energy Letters","id":"ITEM-1","issue":"6","issued":{"date-parts":[["2019","6","14"]]},"page":"1287-1300","publisher":"American Chemical Society","title":"Benchmarking Anode Concepts: The Future of Electrically Rechargeable Zinc-Air Batteries","type":"article-journal","volume":"4"},"uris":["http://www.mendeley.com/documents/?uuid=09a36596-1013-3fe7-8e94-29cba572a994"]},{"id":"ITEM-2","itemData":{"DOI":"10.1016/J.JECHEM.2023.03.049","ISSN":"2095-4956","abstract":"Alkaline Zn-based primary batteries have been commercialized in the past decades. However, their success has not been extended to secondary batteries due to the poor cycle reversibility of Zn anodes. Although some research has been conducted on alkaline Zn anodes, their performance is still far from commercial requirements. A variety of degradation mechanisms, including passivation, dendrites, morphological changes, and hydrogen precipitation, are claimed responsible for the failure of alkaline Zn metal anodes. What's worse, these constraints always interact with each other, which leads to a single strategy being unable to suppress all the issues. Therefore, a comprehensive evaluation of the positive and negative effects of various strategies on performance is important to promote the commercialization of alkaline Zn batteries. Herein, the recent progress and performance of improvement strategies for Zn anode in alkaline conditions are reviewed systematically. First, the principles and challenges of alkaline Zn anodes are briefly analyzed. Then, various design strategies for alkaline Zn anodes from the perspectives of ion and electron regulation are highlighted. Last, through a comprehensive summary of various performance parameters, the advantages and disadvantages of different strategies are compared and evaluated. On the basis of this assessment, we aim to provide more insights into the anode design of high-performance alkaline rechargeable Zn batteries.","author":[{"dropping-particle":"","family":"Yang","given":"Di","non-dropping-particle":"","parse-names":false,"suffix":""},{"dropping-particle":"","family":"Li","given":"Jinsheng","non-dropping-particle":"","parse-names":false,"suffix":""},{"dropping-particle":"","family":"Liu","given":"Changpeng","non-dropping-particle":"","parse-names":false,"suffix":""},{"dropping-particle":"","family":"Xing","given":"Wei","non-dropping-particle":"","parse-names":false,"suffix":""},{"dropping-particle":"","family":"Zhu","given":"Jianbing","non-dropping-particle":"","parse-names":false,"suffix":""}],"container-title":"Journal of Energy Chemistry","id":"ITEM-2","issued":{"date-parts":[["2023","7","1"]]},"page":"122-138","publisher":"Elsevier","title":"Design strategy and comprehensive performance assessment towards Zn anode for alkaline rechargeable batteries","type":"article-journal","volume":"82"},"uris":["http://www.mendeley.com/documents/?uuid=37bfda30-b6fc-4f80-9c35-7b6290b190d2"]}],"mendeley":{"formattedCitation":"&lt;sup&gt;[54,246]&lt;/sup&gt;","plainTextFormattedCitation":"[54,246]","previouslyFormattedCitation":"&lt;sup&gt;[53,245]&lt;/sup&gt;"},"properties":{"noteIndex":0},"schema":"https://github.com/citation-style-language/schema/raw/master/csl-citation.json"}</w:instrText>
      </w:r>
      <w:r w:rsidRPr="003E0254">
        <w:fldChar w:fldCharType="separate"/>
      </w:r>
      <w:r w:rsidR="00500B8D" w:rsidRPr="003E0254">
        <w:rPr>
          <w:noProof/>
          <w:vertAlign w:val="superscript"/>
        </w:rPr>
        <w:t>[54,246]</w:t>
      </w:r>
      <w:r w:rsidRPr="003E0254">
        <w:fldChar w:fldCharType="end"/>
      </w:r>
      <w:r w:rsidRPr="003E0254">
        <w:t xml:space="preserve"> However, one of the critical challenges is to maintain this high performance during long-term secondary battery operation, where zinc-air batteries currently fall short due to challenges related to the anode</w:t>
      </w:r>
      <w:r w:rsidR="008D3CA9" w:rsidRPr="003E0254">
        <w:t>, the electrolyte,</w:t>
      </w:r>
      <w:r w:rsidRPr="003E0254">
        <w:t xml:space="preserve"> and the cathode.</w:t>
      </w:r>
      <w:r w:rsidRPr="003E0254">
        <w:fldChar w:fldCharType="begin" w:fldLock="1"/>
      </w:r>
      <w:r w:rsidR="0038049A" w:rsidRPr="003E0254">
        <w:instrText>ADDIN CSL_CITATION {"citationItems":[{"id":"ITEM-1","itemData":{"DOI":"10.1002/SMLL.202306396","ISSN":"1613-6829","abstract":"Rechargeable zinc–air batteries (Re-ZABs) are one of the most promising next-generation batteries that can hold more energy while being cost-effective and safer than existing devices. Nevertheless, zinc dendrites, non-portability, and limited charge–discharge cycles have long been obstacles to the commercialization of Re-ZABs. Over the past 30 years, milestone breakthroughs have been made in technical indicators (safety, high energy density, and long battery life), battery components (air cathode, zinc anode, and gas diffusion layer), and battery configurations (flexibility and portability), however, a comprehensive review on advanced design strategies for Re-ZABs system from multiple angles is still lacking. This review underscores the progress and strategies proposed so far to pursuit the high-efficiency Re-ZABs system, including the aspects of rechargeability (from primary to rechargeable), air cathode (from unifunctional to bifunctional), zinc anode (from dendritic to stable), electrolytes (from aqueous to non-aqueous), battery configurations (from non-portable to portable), and industrialization progress (from laboratorial to practical). Critical appraisals of the advanced modification approaches (such as surface/interface modulation, nanoconfinement catalysis, defect electrochemistry, synergistic electrocatalysis, etc.) are highlighted for cost-effective flexible Re-ZABs with good sustainability and high energy density. Finally, insights are further rendered properly for the future research directions of advanced zinc–air batteries.","author":[{"dropping-particle":"","family":"Lv","given":"Xian Wei","non-dropping-particle":"","parse-names":false,"suffix":""},{"dropping-particle":"","family":"Wang","given":"Zhongli","non-dropping-particle":"","parse-names":false,"suffix":""},{"dropping-particle":"","family":"Lai","given":"Zhuangzhuang","non-dropping-particle":"","parse-names":false,"suffix":""},{"dropping-particle":"","family":"Liu","given":"Yuping","non-dropping-particle":"","parse-names":false,"suffix":""},{"dropping-particle":"","family":"Ma","given":"Tianyi","non-dropping-particle":"","parse-names":false,"suffix":""},{"dropping-particle":"","family":"Geng","given":"Jianxin","non-dropping-particle":"","parse-names":false,"suffix":""},{"dropping-particle":"","family":"Yuan","given":"Zhong Yong","non-dropping-particle":"","parse-names":false,"suffix":""}],"container-title":"Small","id":"ITEM-1","issue":"4","issued":{"date-parts":[["2024","1","1"]]},"page":"2306396","publisher":"John Wiley &amp; Sons, Ltd","title":"Rechargeable Zinc–Air Batteries: Advances, Challenges, and Prospects","type":"article-journal","volume":"20"},"uris":["http://www.mendeley.com/documents/?uuid=10915b3e-5179-3b00-abbc-d7c542c4830f"]}],"mendeley":{"formattedCitation":"&lt;sup&gt;[25]&lt;/sup&gt;","plainTextFormattedCitation":"[25]","previouslyFormattedCitation":"&lt;sup&gt;[25]&lt;/sup&gt;"},"properties":{"noteIndex":0},"schema":"https://github.com/citation-style-language/schema/raw/master/csl-citation.json"}</w:instrText>
      </w:r>
      <w:r w:rsidRPr="003E0254">
        <w:fldChar w:fldCharType="separate"/>
      </w:r>
      <w:r w:rsidR="0038049A" w:rsidRPr="003E0254">
        <w:rPr>
          <w:noProof/>
          <w:vertAlign w:val="superscript"/>
        </w:rPr>
        <w:t>[25]</w:t>
      </w:r>
      <w:r w:rsidRPr="003E0254">
        <w:fldChar w:fldCharType="end"/>
      </w:r>
      <w:r w:rsidRPr="003E0254">
        <w:t xml:space="preserve"> Nevertheless, the current developments and </w:t>
      </w:r>
      <w:r w:rsidR="00AD5D3D" w:rsidRPr="003E0254">
        <w:t xml:space="preserve">the </w:t>
      </w:r>
      <w:r w:rsidRPr="003E0254">
        <w:t xml:space="preserve">right combination of materials may lead to specific energies </w:t>
      </w:r>
      <w:r w:rsidR="00AD5D3D" w:rsidRPr="003E0254">
        <w:t xml:space="preserve">of </w:t>
      </w:r>
      <w:r w:rsidRPr="003E0254">
        <w:t>up to 450 </w:t>
      </w:r>
      <w:proofErr w:type="spellStart"/>
      <w:r w:rsidRPr="003E0254">
        <w:t>Wh</w:t>
      </w:r>
      <w:proofErr w:type="spellEnd"/>
      <w:r w:rsidRPr="003E0254">
        <w:t> kg</w:t>
      </w:r>
      <w:r w:rsidRPr="003E0254">
        <w:rPr>
          <w:vertAlign w:val="superscript"/>
        </w:rPr>
        <w:t>-1</w:t>
      </w:r>
      <w:r w:rsidRPr="003E0254">
        <w:t xml:space="preserve"> at the system level.</w:t>
      </w:r>
      <w:r w:rsidRPr="003E0254">
        <w:fldChar w:fldCharType="begin" w:fldLock="1"/>
      </w:r>
      <w:r w:rsidR="00500B8D" w:rsidRPr="003E0254">
        <w:instrText>ADDIN CSL_CITATION {"citationItems":[{"id":"ITEM-1","itemData":{"DOI":"10.1021/ACSENERGYLETT.0C01994/ASSET/IMAGES/LARGE/NZ0C01994_0003.JPEG","ISSN":"23808195","abstract":"Commercial primary zinc-Air batteries provide 450 Wh kgcell-1 (at the cell level), but the practical specific energy of secondary zinc-Air batteries remains unclear. Using a specific-energy model and data from reported zinc-Air cells, we show that some rechargeable zinc-Air electrode materials may already be capable of enabling system-level specific energies between 200 and 450 Wh kgsys-1. These values rival best-case projections for battery packs using lithium-sulfur, lithium metal paired with layered metal oxides, or open lithium-Air. By performing a sensitivity analysis on the reported specific-energy model, we show that depth of discharge, areal discharge capacity, and solid-volume fraction of the porous Zn electrode are the most important parameters for increasing specific energy, rather than discharge voltage. To achieve a high specific energy, bipolar zinc-Air cells need to cycle above 40% depth of discharge with areal discharge energies &gt;100 mWh cmgeo-2.","author":[{"dropping-particle":"","family":"Hopkins","given":"Brandon J.","non-dropping-particle":"","parse-names":false,"suffix":""},{"dropping-particle":"","family":"Chervin","given":"Christopher N.","non-dropping-particle":"","parse-names":false,"suffix":""},{"dropping-particle":"","family":"Long","given":"Jeffrey W.","non-dropping-particle":"","parse-names":false,"suffix":""},{"dropping-particle":"","family":"Rolison","given":"Debra R.","non-dropping-particle":"","parse-names":false,"suffix":""},{"dropping-particle":"","family":"Parker","given":"Joseph F.","non-dropping-particle":"","parse-names":false,"suffix":""}],"container-title":"ACS Energy Letters","id":"ITEM-1","issue":"11","issued":{"date-parts":[["2020","11","13"]]},"page":"3405-3408","publisher":"American Chemical Society","title":"Projecting the Specific Energy of Rechargeable Zinc-Air Batteries","type":"article-journal","volume":"5"},"uris":["http://www.mendeley.com/documents/?uuid=d72ce08c-d1a2-367f-98f3-404e0304983c"]}],"mendeley":{"formattedCitation":"&lt;sup&gt;[247]&lt;/sup&gt;","plainTextFormattedCitation":"[247]","previouslyFormattedCitation":"&lt;sup&gt;[246]&lt;/sup&gt;"},"properties":{"noteIndex":0},"schema":"https://github.com/citation-style-language/schema/raw/master/csl-citation.json"}</w:instrText>
      </w:r>
      <w:r w:rsidRPr="003E0254">
        <w:fldChar w:fldCharType="separate"/>
      </w:r>
      <w:r w:rsidR="00500B8D" w:rsidRPr="003E0254">
        <w:rPr>
          <w:noProof/>
          <w:vertAlign w:val="superscript"/>
        </w:rPr>
        <w:t>[247]</w:t>
      </w:r>
      <w:r w:rsidRPr="003E0254">
        <w:fldChar w:fldCharType="end"/>
      </w:r>
    </w:p>
    <w:p w14:paraId="5467DE02" w14:textId="77777777" w:rsidR="00A97A8B" w:rsidRPr="003E0254" w:rsidRDefault="00A97A8B">
      <w:pPr>
        <w:spacing w:line="276" w:lineRule="auto"/>
      </w:pPr>
    </w:p>
    <w:p w14:paraId="5964366F" w14:textId="77777777" w:rsidR="000501B3" w:rsidRPr="003E0254" w:rsidRDefault="000501B3">
      <w:pPr>
        <w:spacing w:line="276" w:lineRule="auto"/>
      </w:pPr>
    </w:p>
    <w:p w14:paraId="4A4A941A" w14:textId="77777777" w:rsidR="000501B3" w:rsidRPr="003E0254" w:rsidRDefault="000501B3">
      <w:pPr>
        <w:spacing w:line="276" w:lineRule="auto"/>
      </w:pPr>
    </w:p>
    <w:p w14:paraId="691A95EC" w14:textId="73B7C35E" w:rsidR="002D04EA" w:rsidRPr="003E0254" w:rsidRDefault="002D04EA" w:rsidP="002D04EA">
      <w:pPr>
        <w:pStyle w:val="Beschriftung"/>
        <w:keepNext/>
      </w:pPr>
      <w:r w:rsidRPr="003E0254">
        <w:t xml:space="preserve">Table </w:t>
      </w:r>
      <w:r w:rsidR="0054077B" w:rsidRPr="003E0254">
        <w:fldChar w:fldCharType="begin"/>
      </w:r>
      <w:r w:rsidR="0054077B" w:rsidRPr="003E0254">
        <w:instrText xml:space="preserve"> SEQ Table \* ARABIC </w:instrText>
      </w:r>
      <w:r w:rsidR="0054077B" w:rsidRPr="003E0254">
        <w:fldChar w:fldCharType="separate"/>
      </w:r>
      <w:r w:rsidR="00BC65F2" w:rsidRPr="003E0254">
        <w:rPr>
          <w:noProof/>
        </w:rPr>
        <w:t>4</w:t>
      </w:r>
      <w:r w:rsidR="0054077B" w:rsidRPr="003E0254">
        <w:rPr>
          <w:noProof/>
        </w:rPr>
        <w:fldChar w:fldCharType="end"/>
      </w:r>
      <w:r w:rsidRPr="003E0254">
        <w:t xml:space="preserve">: </w:t>
      </w:r>
      <w:r w:rsidR="009D63DD" w:rsidRPr="003E0254">
        <w:t>Examples of high-performing zinc-air batteries featuring various cell chemistries.</w:t>
      </w:r>
    </w:p>
    <w:tbl>
      <w:tblPr>
        <w:tblStyle w:val="Tabellenraster"/>
        <w:tblW w:w="0" w:type="auto"/>
        <w:jc w:val="center"/>
        <w:tblLayout w:type="fixed"/>
        <w:tblLook w:val="04A0" w:firstRow="1" w:lastRow="0" w:firstColumn="1" w:lastColumn="0" w:noHBand="0" w:noVBand="1"/>
      </w:tblPr>
      <w:tblGrid>
        <w:gridCol w:w="1517"/>
        <w:gridCol w:w="873"/>
        <w:gridCol w:w="1115"/>
        <w:gridCol w:w="1138"/>
        <w:gridCol w:w="742"/>
        <w:gridCol w:w="1058"/>
        <w:gridCol w:w="932"/>
        <w:gridCol w:w="630"/>
        <w:gridCol w:w="1345"/>
      </w:tblGrid>
      <w:tr w:rsidR="00E27323" w:rsidRPr="003E0254" w14:paraId="5F051886" w14:textId="77777777" w:rsidTr="005B1B4B">
        <w:trPr>
          <w:jc w:val="center"/>
        </w:trPr>
        <w:tc>
          <w:tcPr>
            <w:tcW w:w="1517" w:type="dxa"/>
            <w:vAlign w:val="center"/>
          </w:tcPr>
          <w:p w14:paraId="007AECB4" w14:textId="77777777" w:rsidR="004A779E" w:rsidRPr="003E0254" w:rsidRDefault="004A779E" w:rsidP="00DE06D3">
            <w:pPr>
              <w:spacing w:line="235" w:lineRule="atLeast"/>
              <w:jc w:val="center"/>
              <w:rPr>
                <w:b/>
                <w:bCs/>
                <w:sz w:val="20"/>
                <w:szCs w:val="20"/>
              </w:rPr>
            </w:pPr>
            <w:r w:rsidRPr="003E0254">
              <w:rPr>
                <w:b/>
                <w:bCs/>
                <w:sz w:val="20"/>
                <w:szCs w:val="20"/>
              </w:rPr>
              <w:t>Components</w:t>
            </w:r>
          </w:p>
        </w:tc>
        <w:tc>
          <w:tcPr>
            <w:tcW w:w="5858" w:type="dxa"/>
            <w:gridSpan w:val="6"/>
            <w:vAlign w:val="center"/>
          </w:tcPr>
          <w:p w14:paraId="06D76499" w14:textId="77777777" w:rsidR="004A779E" w:rsidRPr="003E0254" w:rsidRDefault="004A779E" w:rsidP="00DE06D3">
            <w:pPr>
              <w:spacing w:line="235" w:lineRule="atLeast"/>
              <w:jc w:val="center"/>
              <w:rPr>
                <w:b/>
                <w:bCs/>
                <w:sz w:val="20"/>
                <w:szCs w:val="20"/>
              </w:rPr>
            </w:pPr>
            <w:r w:rsidRPr="003E0254">
              <w:rPr>
                <w:b/>
                <w:bCs/>
                <w:sz w:val="20"/>
                <w:szCs w:val="20"/>
              </w:rPr>
              <w:t>Performance Indicator</w:t>
            </w:r>
          </w:p>
        </w:tc>
        <w:tc>
          <w:tcPr>
            <w:tcW w:w="630" w:type="dxa"/>
            <w:vAlign w:val="center"/>
          </w:tcPr>
          <w:p w14:paraId="103B05B2" w14:textId="77777777" w:rsidR="004A779E" w:rsidRPr="003E0254" w:rsidRDefault="004A779E" w:rsidP="00DE06D3">
            <w:pPr>
              <w:spacing w:line="235" w:lineRule="atLeast"/>
              <w:jc w:val="center"/>
              <w:rPr>
                <w:b/>
                <w:bCs/>
                <w:sz w:val="20"/>
                <w:szCs w:val="20"/>
              </w:rPr>
            </w:pPr>
            <w:r w:rsidRPr="003E0254">
              <w:rPr>
                <w:b/>
                <w:bCs/>
                <w:sz w:val="20"/>
                <w:szCs w:val="20"/>
              </w:rPr>
              <w:t>REF</w:t>
            </w:r>
          </w:p>
        </w:tc>
        <w:tc>
          <w:tcPr>
            <w:tcW w:w="1345" w:type="dxa"/>
            <w:vAlign w:val="center"/>
          </w:tcPr>
          <w:p w14:paraId="435640EA" w14:textId="77777777" w:rsidR="004A779E" w:rsidRPr="003E0254" w:rsidRDefault="004A779E" w:rsidP="00DE06D3">
            <w:pPr>
              <w:spacing w:line="235" w:lineRule="atLeast"/>
              <w:jc w:val="center"/>
              <w:rPr>
                <w:b/>
                <w:bCs/>
                <w:sz w:val="20"/>
                <w:szCs w:val="20"/>
              </w:rPr>
            </w:pPr>
            <w:r w:rsidRPr="003E0254">
              <w:rPr>
                <w:b/>
                <w:bCs/>
                <w:sz w:val="20"/>
                <w:szCs w:val="20"/>
              </w:rPr>
              <w:t>Comment</w:t>
            </w:r>
          </w:p>
        </w:tc>
      </w:tr>
      <w:tr w:rsidR="00DE06D3" w:rsidRPr="003E0254" w14:paraId="343192A0" w14:textId="77777777" w:rsidTr="005B1B4B">
        <w:trPr>
          <w:trHeight w:val="611"/>
          <w:jc w:val="center"/>
        </w:trPr>
        <w:tc>
          <w:tcPr>
            <w:tcW w:w="1517" w:type="dxa"/>
            <w:vAlign w:val="center"/>
          </w:tcPr>
          <w:p w14:paraId="242DB3EC" w14:textId="20CB6530" w:rsidR="004A779E" w:rsidRPr="003E0254" w:rsidRDefault="004A779E" w:rsidP="00DE06D3">
            <w:pPr>
              <w:spacing w:line="235" w:lineRule="atLeast"/>
              <w:jc w:val="center"/>
              <w:rPr>
                <w:sz w:val="20"/>
                <w:szCs w:val="20"/>
              </w:rPr>
            </w:pPr>
          </w:p>
        </w:tc>
        <w:tc>
          <w:tcPr>
            <w:tcW w:w="873" w:type="dxa"/>
            <w:vAlign w:val="center"/>
          </w:tcPr>
          <w:p w14:paraId="085C3536" w14:textId="77777777" w:rsidR="004A779E" w:rsidRPr="003E0254" w:rsidRDefault="004A779E" w:rsidP="00DE06D3">
            <w:pPr>
              <w:spacing w:line="235" w:lineRule="atLeast"/>
              <w:jc w:val="center"/>
              <w:rPr>
                <w:sz w:val="20"/>
                <w:szCs w:val="20"/>
              </w:rPr>
            </w:pPr>
            <w:r w:rsidRPr="003E0254">
              <w:rPr>
                <w:sz w:val="20"/>
                <w:szCs w:val="20"/>
              </w:rPr>
              <w:t>Cycle number</w:t>
            </w:r>
          </w:p>
        </w:tc>
        <w:tc>
          <w:tcPr>
            <w:tcW w:w="1115" w:type="dxa"/>
            <w:vAlign w:val="center"/>
          </w:tcPr>
          <w:p w14:paraId="54720F3D" w14:textId="7395DDE1" w:rsidR="004A779E" w:rsidRPr="003E0254" w:rsidRDefault="005B1B4B" w:rsidP="00DE06D3">
            <w:pPr>
              <w:spacing w:line="235" w:lineRule="atLeast"/>
              <w:jc w:val="center"/>
              <w:rPr>
                <w:sz w:val="20"/>
                <w:szCs w:val="20"/>
              </w:rPr>
            </w:pPr>
            <w:r w:rsidRPr="003E0254">
              <w:rPr>
                <w:sz w:val="20"/>
                <w:szCs w:val="20"/>
              </w:rPr>
              <w:t xml:space="preserve">Coulombic </w:t>
            </w:r>
            <w:r w:rsidR="004A779E" w:rsidRPr="003E0254">
              <w:rPr>
                <w:sz w:val="20"/>
                <w:szCs w:val="20"/>
              </w:rPr>
              <w:t>Efficiency</w:t>
            </w:r>
          </w:p>
        </w:tc>
        <w:tc>
          <w:tcPr>
            <w:tcW w:w="1138" w:type="dxa"/>
            <w:vAlign w:val="center"/>
          </w:tcPr>
          <w:p w14:paraId="36BF80F6" w14:textId="77777777" w:rsidR="004A779E" w:rsidRPr="003E0254" w:rsidRDefault="004A779E" w:rsidP="00DE06D3">
            <w:pPr>
              <w:spacing w:line="235" w:lineRule="atLeast"/>
              <w:jc w:val="center"/>
              <w:rPr>
                <w:sz w:val="20"/>
                <w:szCs w:val="20"/>
              </w:rPr>
            </w:pPr>
            <w:r w:rsidRPr="003E0254">
              <w:rPr>
                <w:sz w:val="20"/>
                <w:szCs w:val="20"/>
              </w:rPr>
              <w:t>Capacity</w:t>
            </w:r>
          </w:p>
        </w:tc>
        <w:tc>
          <w:tcPr>
            <w:tcW w:w="742" w:type="dxa"/>
            <w:vAlign w:val="center"/>
          </w:tcPr>
          <w:p w14:paraId="6BC32320" w14:textId="77777777" w:rsidR="004A779E" w:rsidRPr="003E0254" w:rsidRDefault="004A779E" w:rsidP="00DE06D3">
            <w:pPr>
              <w:spacing w:line="235" w:lineRule="atLeast"/>
              <w:jc w:val="center"/>
              <w:rPr>
                <w:sz w:val="20"/>
                <w:szCs w:val="20"/>
              </w:rPr>
            </w:pPr>
            <w:r w:rsidRPr="003E0254">
              <w:rPr>
                <w:sz w:val="20"/>
                <w:szCs w:val="20"/>
              </w:rPr>
              <w:t>DoD</w:t>
            </w:r>
          </w:p>
        </w:tc>
        <w:tc>
          <w:tcPr>
            <w:tcW w:w="1058" w:type="dxa"/>
            <w:vAlign w:val="center"/>
          </w:tcPr>
          <w:p w14:paraId="38276096" w14:textId="77777777" w:rsidR="004A779E" w:rsidRPr="003E0254" w:rsidRDefault="004A779E" w:rsidP="00DE06D3">
            <w:pPr>
              <w:spacing w:line="235" w:lineRule="atLeast"/>
              <w:jc w:val="center"/>
              <w:rPr>
                <w:sz w:val="20"/>
                <w:szCs w:val="20"/>
              </w:rPr>
            </w:pPr>
            <w:r w:rsidRPr="003E0254">
              <w:rPr>
                <w:sz w:val="20"/>
                <w:szCs w:val="20"/>
              </w:rPr>
              <w:t>Current density/c-rate</w:t>
            </w:r>
          </w:p>
        </w:tc>
        <w:tc>
          <w:tcPr>
            <w:tcW w:w="932" w:type="dxa"/>
            <w:vAlign w:val="center"/>
          </w:tcPr>
          <w:p w14:paraId="59B12BF0" w14:textId="77777777" w:rsidR="004A779E" w:rsidRPr="003E0254" w:rsidRDefault="004A779E" w:rsidP="00DE06D3">
            <w:pPr>
              <w:spacing w:line="235" w:lineRule="atLeast"/>
              <w:jc w:val="center"/>
              <w:rPr>
                <w:sz w:val="20"/>
                <w:szCs w:val="20"/>
              </w:rPr>
            </w:pPr>
            <w:r w:rsidRPr="003E0254">
              <w:rPr>
                <w:sz w:val="20"/>
                <w:szCs w:val="20"/>
              </w:rPr>
              <w:t>Mass loading</w:t>
            </w:r>
          </w:p>
        </w:tc>
        <w:tc>
          <w:tcPr>
            <w:tcW w:w="630" w:type="dxa"/>
            <w:vAlign w:val="center"/>
          </w:tcPr>
          <w:p w14:paraId="7CEF8108" w14:textId="77777777" w:rsidR="004A779E" w:rsidRPr="003E0254" w:rsidRDefault="004A779E" w:rsidP="00DE06D3">
            <w:pPr>
              <w:spacing w:line="235" w:lineRule="atLeast"/>
              <w:jc w:val="center"/>
              <w:rPr>
                <w:sz w:val="20"/>
                <w:szCs w:val="20"/>
              </w:rPr>
            </w:pPr>
          </w:p>
        </w:tc>
        <w:tc>
          <w:tcPr>
            <w:tcW w:w="1345" w:type="dxa"/>
            <w:vAlign w:val="center"/>
          </w:tcPr>
          <w:p w14:paraId="0B3610DD" w14:textId="77777777" w:rsidR="004A779E" w:rsidRPr="003E0254" w:rsidRDefault="004A779E" w:rsidP="00DE06D3">
            <w:pPr>
              <w:spacing w:line="235" w:lineRule="atLeast"/>
              <w:jc w:val="center"/>
              <w:rPr>
                <w:sz w:val="20"/>
                <w:szCs w:val="20"/>
              </w:rPr>
            </w:pPr>
          </w:p>
        </w:tc>
      </w:tr>
      <w:tr w:rsidR="00DE06D3" w:rsidRPr="003E0254" w14:paraId="3FFDFCDE" w14:textId="77777777" w:rsidTr="005B1B4B">
        <w:trPr>
          <w:jc w:val="center"/>
        </w:trPr>
        <w:tc>
          <w:tcPr>
            <w:tcW w:w="1517" w:type="dxa"/>
            <w:vAlign w:val="center"/>
          </w:tcPr>
          <w:p w14:paraId="7126F810" w14:textId="6201E9F9" w:rsidR="004A779E" w:rsidRPr="003E0254" w:rsidRDefault="00AC3A3E" w:rsidP="00DE06D3">
            <w:pPr>
              <w:spacing w:line="235" w:lineRule="atLeast"/>
              <w:jc w:val="center"/>
              <w:rPr>
                <w:sz w:val="20"/>
                <w:szCs w:val="20"/>
              </w:rPr>
            </w:pPr>
            <w:r w:rsidRPr="003E0254">
              <w:rPr>
                <w:sz w:val="20"/>
                <w:szCs w:val="20"/>
              </w:rPr>
              <w:t>Fe</w:t>
            </w:r>
            <w:r w:rsidRPr="003E0254">
              <w:rPr>
                <w:sz w:val="20"/>
                <w:szCs w:val="20"/>
                <w:vertAlign w:val="subscript"/>
              </w:rPr>
              <w:t>3</w:t>
            </w:r>
            <w:r w:rsidRPr="003E0254">
              <w:rPr>
                <w:sz w:val="20"/>
                <w:szCs w:val="20"/>
              </w:rPr>
              <w:t>Pt/Ni</w:t>
            </w:r>
            <w:r w:rsidRPr="003E0254">
              <w:rPr>
                <w:sz w:val="20"/>
                <w:szCs w:val="20"/>
                <w:vertAlign w:val="subscript"/>
              </w:rPr>
              <w:t>3</w:t>
            </w:r>
            <w:r w:rsidRPr="003E0254">
              <w:rPr>
                <w:sz w:val="20"/>
                <w:szCs w:val="20"/>
              </w:rPr>
              <w:t xml:space="preserve">FeN </w:t>
            </w:r>
            <w:r w:rsidR="00A60A91" w:rsidRPr="003E0254">
              <w:rPr>
                <w:sz w:val="20"/>
                <w:szCs w:val="20"/>
              </w:rPr>
              <w:t>|</w:t>
            </w:r>
            <w:r w:rsidR="004A779E" w:rsidRPr="003E0254">
              <w:rPr>
                <w:sz w:val="20"/>
                <w:szCs w:val="20"/>
              </w:rPr>
              <w:t xml:space="preserve"> 6 M KOH + 0.2 M ZnCl</w:t>
            </w:r>
            <w:r w:rsidR="004A779E" w:rsidRPr="003E0254">
              <w:rPr>
                <w:sz w:val="20"/>
                <w:szCs w:val="20"/>
                <w:vertAlign w:val="subscript"/>
              </w:rPr>
              <w:t>2</w:t>
            </w:r>
            <w:r w:rsidR="00A60A91" w:rsidRPr="003E0254">
              <w:rPr>
                <w:sz w:val="20"/>
                <w:szCs w:val="20"/>
              </w:rPr>
              <w:t xml:space="preserve"> |</w:t>
            </w:r>
            <w:r w:rsidR="004A779E" w:rsidRPr="003E0254">
              <w:rPr>
                <w:sz w:val="20"/>
                <w:szCs w:val="20"/>
              </w:rPr>
              <w:t xml:space="preserve"> </w:t>
            </w:r>
            <w:proofErr w:type="spellStart"/>
            <w:r w:rsidRPr="003E0254">
              <w:rPr>
                <w:sz w:val="20"/>
                <w:szCs w:val="20"/>
              </w:rPr>
              <w:t>Zn</w:t>
            </w:r>
            <w:r w:rsidRPr="003E0254">
              <w:rPr>
                <w:sz w:val="20"/>
                <w:szCs w:val="20"/>
                <w:vertAlign w:val="subscript"/>
              </w:rPr>
              <w:t>plate</w:t>
            </w:r>
            <w:proofErr w:type="spellEnd"/>
            <w:r w:rsidRPr="003E0254">
              <w:rPr>
                <w:sz w:val="20"/>
                <w:szCs w:val="20"/>
              </w:rPr>
              <w:t xml:space="preserve"> </w:t>
            </w:r>
          </w:p>
        </w:tc>
        <w:tc>
          <w:tcPr>
            <w:tcW w:w="873" w:type="dxa"/>
            <w:vAlign w:val="center"/>
          </w:tcPr>
          <w:p w14:paraId="7F077385" w14:textId="77777777" w:rsidR="004A779E" w:rsidRPr="003E0254" w:rsidRDefault="004A779E" w:rsidP="00DE06D3">
            <w:pPr>
              <w:spacing w:line="235" w:lineRule="atLeast"/>
              <w:jc w:val="center"/>
              <w:rPr>
                <w:sz w:val="20"/>
                <w:szCs w:val="20"/>
              </w:rPr>
            </w:pPr>
            <w:r w:rsidRPr="003E0254">
              <w:rPr>
                <w:sz w:val="20"/>
                <w:szCs w:val="20"/>
              </w:rPr>
              <w:t>240</w:t>
            </w:r>
          </w:p>
        </w:tc>
        <w:tc>
          <w:tcPr>
            <w:tcW w:w="1115" w:type="dxa"/>
            <w:vAlign w:val="center"/>
          </w:tcPr>
          <w:p w14:paraId="5BE7C34E" w14:textId="77777777" w:rsidR="004A779E" w:rsidRPr="003E0254" w:rsidRDefault="004A779E" w:rsidP="00DE06D3">
            <w:pPr>
              <w:spacing w:line="235" w:lineRule="atLeast"/>
              <w:jc w:val="center"/>
              <w:rPr>
                <w:sz w:val="20"/>
                <w:szCs w:val="20"/>
              </w:rPr>
            </w:pPr>
            <w:r w:rsidRPr="003E0254">
              <w:rPr>
                <w:sz w:val="20"/>
                <w:szCs w:val="20"/>
              </w:rPr>
              <w:t>56.3 %</w:t>
            </w:r>
          </w:p>
        </w:tc>
        <w:tc>
          <w:tcPr>
            <w:tcW w:w="1138" w:type="dxa"/>
            <w:vAlign w:val="center"/>
          </w:tcPr>
          <w:p w14:paraId="653C6944" w14:textId="77777777" w:rsidR="004A779E" w:rsidRPr="003E0254" w:rsidRDefault="004A779E" w:rsidP="00DE06D3">
            <w:pPr>
              <w:spacing w:line="235" w:lineRule="atLeast"/>
              <w:jc w:val="center"/>
              <w:rPr>
                <w:sz w:val="20"/>
                <w:szCs w:val="20"/>
              </w:rPr>
            </w:pPr>
          </w:p>
        </w:tc>
        <w:tc>
          <w:tcPr>
            <w:tcW w:w="742" w:type="dxa"/>
            <w:vAlign w:val="center"/>
          </w:tcPr>
          <w:p w14:paraId="599F3F0D" w14:textId="77777777" w:rsidR="004A779E" w:rsidRPr="003E0254" w:rsidRDefault="004A779E" w:rsidP="00DE06D3">
            <w:pPr>
              <w:spacing w:line="235" w:lineRule="atLeast"/>
              <w:jc w:val="center"/>
              <w:rPr>
                <w:sz w:val="20"/>
                <w:szCs w:val="20"/>
              </w:rPr>
            </w:pPr>
          </w:p>
        </w:tc>
        <w:tc>
          <w:tcPr>
            <w:tcW w:w="1058" w:type="dxa"/>
            <w:vAlign w:val="center"/>
          </w:tcPr>
          <w:p w14:paraId="4D42BE66" w14:textId="77777777" w:rsidR="004A779E" w:rsidRPr="003E0254" w:rsidRDefault="004A779E" w:rsidP="00DE06D3">
            <w:pPr>
              <w:spacing w:line="235" w:lineRule="atLeast"/>
              <w:jc w:val="center"/>
              <w:rPr>
                <w:sz w:val="20"/>
                <w:szCs w:val="20"/>
              </w:rPr>
            </w:pPr>
            <w:r w:rsidRPr="003E0254">
              <w:rPr>
                <w:sz w:val="20"/>
                <w:szCs w:val="20"/>
              </w:rPr>
              <w:t>10 mA cm</w:t>
            </w:r>
            <w:r w:rsidRPr="003E0254">
              <w:rPr>
                <w:sz w:val="20"/>
                <w:szCs w:val="20"/>
                <w:vertAlign w:val="superscript"/>
              </w:rPr>
              <w:t>-2</w:t>
            </w:r>
          </w:p>
        </w:tc>
        <w:tc>
          <w:tcPr>
            <w:tcW w:w="932" w:type="dxa"/>
            <w:vAlign w:val="center"/>
          </w:tcPr>
          <w:p w14:paraId="148F1F61" w14:textId="77777777" w:rsidR="004A779E" w:rsidRPr="003E0254" w:rsidRDefault="004A779E" w:rsidP="00DE06D3">
            <w:pPr>
              <w:spacing w:line="235" w:lineRule="atLeast"/>
              <w:jc w:val="center"/>
              <w:rPr>
                <w:sz w:val="20"/>
                <w:szCs w:val="20"/>
              </w:rPr>
            </w:pPr>
            <w:r w:rsidRPr="003E0254">
              <w:rPr>
                <w:sz w:val="20"/>
                <w:szCs w:val="20"/>
              </w:rPr>
              <w:t>0.12 mg cm</w:t>
            </w:r>
            <w:r w:rsidRPr="003E0254">
              <w:rPr>
                <w:sz w:val="20"/>
                <w:szCs w:val="20"/>
                <w:vertAlign w:val="superscript"/>
              </w:rPr>
              <w:t>-2</w:t>
            </w:r>
          </w:p>
        </w:tc>
        <w:tc>
          <w:tcPr>
            <w:tcW w:w="630" w:type="dxa"/>
            <w:vAlign w:val="center"/>
          </w:tcPr>
          <w:p w14:paraId="51B39B49" w14:textId="7DF9A1C3" w:rsidR="004A779E" w:rsidRPr="003E0254" w:rsidRDefault="004A779E" w:rsidP="00DE06D3">
            <w:pPr>
              <w:spacing w:line="235" w:lineRule="atLeast"/>
              <w:jc w:val="center"/>
              <w:rPr>
                <w:sz w:val="20"/>
                <w:szCs w:val="20"/>
              </w:rPr>
            </w:pPr>
            <w:r w:rsidRPr="003E0254">
              <w:rPr>
                <w:sz w:val="20"/>
                <w:szCs w:val="20"/>
              </w:rPr>
              <w:t>Cui et al.</w:t>
            </w:r>
            <w:r w:rsidR="00E27323" w:rsidRPr="003E0254">
              <w:rPr>
                <w:sz w:val="20"/>
                <w:szCs w:val="20"/>
              </w:rPr>
              <w:fldChar w:fldCharType="begin" w:fldLock="1"/>
            </w:r>
            <w:r w:rsidR="00500B8D" w:rsidRPr="003E0254">
              <w:rPr>
                <w:sz w:val="20"/>
                <w:szCs w:val="20"/>
              </w:rPr>
              <w:instrText>ADDIN CSL_CITATION {"citationItems":[{"id":"ITEM-1","itemData":{"DOI":"10.1002/ANIE.201705778","ISSN":"1521-3773","PMID":"28666066","abstract":"Electrocatalysts for both the oxygen reduction and evolution reactions (ORR and OER) are vital for the performances of rechargeable metal–air batteries. Herein, we report an advanced bifunctional oxygen electrocatalyst consisting of porous metallic nickel-iron nitride (Ni3FeN) supporting ordered Fe3Pt intermetallic nanoalloy. In this hybrid catalyst, the bimetallic nitride Ni3FeN mainly contributes to the high activity for the OER while the ordered Fe3Pt nanoalloy contributes to the excellent activity for the ORR. Robust Ni3FeN-supported Fe3Pt catalysts show superior catalytic performance to the state-of-the-art ORR catalyst (Pt/C) and OER catalyst (Ir/C). The Fe3Pt/Ni3FeN bifunctional catalyst enables Zn–air batteries to achieve a long-term cycling performance of over 480 h at 10 mA cm−2 with high efficiency. The extraordinarily high performance of the Fe3Pt/Ni3FeN bifunctional catalyst makes it a very promising air cathode in alkaline electrolyte.","author":[{"dropping-particle":"","family":"Cui","given":"Zhiming","non-dropping-particle":"","parse-names":false,"suffix":""},{"dropping-particle":"","family":"Fu","given":"Gengtao","non-dropping-particle":"","parse-names":false,"suffix":""},{"dropping-particle":"","family":"Li","given":"Yutao","non-dropping-particle":"","parse-names":false,"suffix":""},{"dropping-particle":"","family":"Goodenough","given":"John B.","non-dropping-particle":"","parse-names":false,"suffix":""}],"container-title":"Angewandte Chemie International Edition","id":"ITEM-1","issue":"33","issued":{"date-parts":[["2017","8","7"]]},"page":"9901-9905","publisher":"John Wiley &amp; Sons, Ltd","title":"Ni3FeN-Supported Fe3Pt Intermetallic Nanoalloy as a High-Performance Bifunctional Catalyst for Metal–Air Batteries","type":"article-journal","volume":"56"},"uris":["http://www.mendeley.com/documents/?uuid=2a327657-a1e3-3205-8dba-128dab9c9888"]}],"mendeley":{"formattedCitation":"&lt;sup&gt;[187]&lt;/sup&gt;","plainTextFormattedCitation":"[187]","previouslyFormattedCitation":"&lt;sup&gt;[186]&lt;/sup&gt;"},"properties":{"noteIndex":0},"schema":"https://github.com/citation-style-language/schema/raw/master/csl-citation.json"}</w:instrText>
            </w:r>
            <w:r w:rsidR="00E27323" w:rsidRPr="003E0254">
              <w:rPr>
                <w:sz w:val="20"/>
                <w:szCs w:val="20"/>
              </w:rPr>
              <w:fldChar w:fldCharType="separate"/>
            </w:r>
            <w:r w:rsidR="00500B8D" w:rsidRPr="003E0254">
              <w:rPr>
                <w:noProof/>
                <w:sz w:val="20"/>
                <w:szCs w:val="20"/>
                <w:vertAlign w:val="superscript"/>
              </w:rPr>
              <w:t>[187]</w:t>
            </w:r>
            <w:r w:rsidR="00E27323" w:rsidRPr="003E0254">
              <w:rPr>
                <w:sz w:val="20"/>
                <w:szCs w:val="20"/>
              </w:rPr>
              <w:fldChar w:fldCharType="end"/>
            </w:r>
          </w:p>
        </w:tc>
        <w:tc>
          <w:tcPr>
            <w:tcW w:w="1345" w:type="dxa"/>
            <w:vAlign w:val="center"/>
          </w:tcPr>
          <w:p w14:paraId="62CF2652" w14:textId="77777777" w:rsidR="004A779E" w:rsidRPr="003E0254" w:rsidRDefault="004A779E" w:rsidP="00DE06D3">
            <w:pPr>
              <w:spacing w:line="235" w:lineRule="atLeast"/>
              <w:jc w:val="center"/>
              <w:rPr>
                <w:sz w:val="20"/>
                <w:szCs w:val="20"/>
              </w:rPr>
            </w:pPr>
            <w:r w:rsidRPr="003E0254">
              <w:rPr>
                <w:sz w:val="20"/>
                <w:szCs w:val="20"/>
              </w:rPr>
              <w:t xml:space="preserve">Higher </w:t>
            </w:r>
            <w:proofErr w:type="spellStart"/>
            <w:r w:rsidRPr="003E0254">
              <w:rPr>
                <w:sz w:val="20"/>
                <w:szCs w:val="20"/>
              </w:rPr>
              <w:t>efficieny</w:t>
            </w:r>
            <w:proofErr w:type="spellEnd"/>
            <w:r w:rsidRPr="003E0254">
              <w:rPr>
                <w:sz w:val="20"/>
                <w:szCs w:val="20"/>
              </w:rPr>
              <w:t xml:space="preserve"> compared to Pt/</w:t>
            </w:r>
            <w:proofErr w:type="spellStart"/>
            <w:r w:rsidRPr="003E0254">
              <w:rPr>
                <w:sz w:val="20"/>
                <w:szCs w:val="20"/>
              </w:rPr>
              <w:t>Ir</w:t>
            </w:r>
            <w:proofErr w:type="spellEnd"/>
            <w:r w:rsidRPr="003E0254">
              <w:rPr>
                <w:sz w:val="20"/>
                <w:szCs w:val="20"/>
              </w:rPr>
              <w:t xml:space="preserve"> catalyst</w:t>
            </w:r>
          </w:p>
        </w:tc>
      </w:tr>
      <w:tr w:rsidR="00DE06D3" w:rsidRPr="003E0254" w14:paraId="13B594D0" w14:textId="77777777" w:rsidTr="005B1B4B">
        <w:trPr>
          <w:jc w:val="center"/>
        </w:trPr>
        <w:tc>
          <w:tcPr>
            <w:tcW w:w="1517" w:type="dxa"/>
            <w:vAlign w:val="center"/>
          </w:tcPr>
          <w:p w14:paraId="18FC2CE3" w14:textId="164C0FBD" w:rsidR="004A779E" w:rsidRPr="003E0254" w:rsidRDefault="00AC3A3E" w:rsidP="00DE06D3">
            <w:pPr>
              <w:spacing w:line="235" w:lineRule="atLeast"/>
              <w:jc w:val="center"/>
              <w:rPr>
                <w:sz w:val="20"/>
                <w:szCs w:val="20"/>
                <w:lang w:val="pl-PL"/>
              </w:rPr>
            </w:pPr>
            <w:r w:rsidRPr="003E0254">
              <w:rPr>
                <w:sz w:val="20"/>
                <w:szCs w:val="20"/>
                <w:lang w:val="pl-PL"/>
              </w:rPr>
              <w:t>N-doped Co</w:t>
            </w:r>
            <w:r w:rsidRPr="003E0254">
              <w:rPr>
                <w:sz w:val="20"/>
                <w:szCs w:val="20"/>
                <w:vertAlign w:val="subscript"/>
                <w:lang w:val="pl-PL"/>
              </w:rPr>
              <w:t>3</w:t>
            </w:r>
            <w:r w:rsidRPr="003E0254">
              <w:rPr>
                <w:sz w:val="20"/>
                <w:szCs w:val="20"/>
                <w:lang w:val="pl-PL"/>
              </w:rPr>
              <w:t>O</w:t>
            </w:r>
            <w:r w:rsidRPr="003E0254">
              <w:rPr>
                <w:sz w:val="20"/>
                <w:szCs w:val="20"/>
                <w:vertAlign w:val="subscript"/>
                <w:lang w:val="pl-PL"/>
              </w:rPr>
              <w:t>4</w:t>
            </w:r>
            <w:r w:rsidRPr="003E0254">
              <w:rPr>
                <w:sz w:val="20"/>
                <w:szCs w:val="20"/>
                <w:lang w:val="pl-PL"/>
              </w:rPr>
              <w:t xml:space="preserve"> </w:t>
            </w:r>
            <w:r w:rsidR="00A60A91" w:rsidRPr="003E0254">
              <w:rPr>
                <w:sz w:val="20"/>
                <w:szCs w:val="20"/>
                <w:lang w:val="pl-PL"/>
              </w:rPr>
              <w:t xml:space="preserve">| </w:t>
            </w:r>
            <w:r w:rsidR="004A779E" w:rsidRPr="003E0254">
              <w:rPr>
                <w:sz w:val="20"/>
                <w:szCs w:val="20"/>
                <w:lang w:val="pl-PL"/>
              </w:rPr>
              <w:t>6 M KOH + 0.2 M Zn acetate</w:t>
            </w:r>
            <w:r w:rsidR="00A60A91" w:rsidRPr="003E0254">
              <w:rPr>
                <w:sz w:val="20"/>
                <w:szCs w:val="20"/>
                <w:lang w:val="pl-PL"/>
              </w:rPr>
              <w:t xml:space="preserve"> |</w:t>
            </w:r>
            <w:r w:rsidR="004A779E" w:rsidRPr="003E0254">
              <w:rPr>
                <w:sz w:val="20"/>
                <w:szCs w:val="20"/>
                <w:lang w:val="pl-PL"/>
              </w:rPr>
              <w:t xml:space="preserve"> </w:t>
            </w:r>
            <w:r w:rsidRPr="003E0254">
              <w:rPr>
                <w:sz w:val="20"/>
                <w:szCs w:val="20"/>
                <w:lang w:val="pl-PL"/>
              </w:rPr>
              <w:t>Zn</w:t>
            </w:r>
            <w:r w:rsidRPr="003E0254">
              <w:rPr>
                <w:sz w:val="20"/>
                <w:szCs w:val="20"/>
                <w:vertAlign w:val="subscript"/>
                <w:lang w:val="pl-PL"/>
              </w:rPr>
              <w:t>foil</w:t>
            </w:r>
          </w:p>
        </w:tc>
        <w:tc>
          <w:tcPr>
            <w:tcW w:w="873" w:type="dxa"/>
            <w:vAlign w:val="center"/>
          </w:tcPr>
          <w:p w14:paraId="1D52BA29" w14:textId="77777777" w:rsidR="004A779E" w:rsidRPr="003E0254" w:rsidRDefault="004A779E" w:rsidP="00DE06D3">
            <w:pPr>
              <w:spacing w:line="235" w:lineRule="atLeast"/>
              <w:jc w:val="center"/>
              <w:rPr>
                <w:sz w:val="20"/>
                <w:szCs w:val="20"/>
              </w:rPr>
            </w:pPr>
            <w:r w:rsidRPr="003E0254">
              <w:rPr>
                <w:sz w:val="20"/>
                <w:szCs w:val="20"/>
              </w:rPr>
              <w:t>1200</w:t>
            </w:r>
          </w:p>
        </w:tc>
        <w:tc>
          <w:tcPr>
            <w:tcW w:w="1115" w:type="dxa"/>
            <w:vAlign w:val="center"/>
          </w:tcPr>
          <w:p w14:paraId="09BC8B7E" w14:textId="77777777" w:rsidR="004A779E" w:rsidRPr="003E0254" w:rsidRDefault="004A779E" w:rsidP="00DE06D3">
            <w:pPr>
              <w:spacing w:line="235" w:lineRule="atLeast"/>
              <w:jc w:val="center"/>
              <w:rPr>
                <w:sz w:val="20"/>
                <w:szCs w:val="20"/>
              </w:rPr>
            </w:pPr>
            <w:r w:rsidRPr="003E0254">
              <w:rPr>
                <w:sz w:val="20"/>
                <w:szCs w:val="20"/>
              </w:rPr>
              <w:t>58 %</w:t>
            </w:r>
          </w:p>
        </w:tc>
        <w:tc>
          <w:tcPr>
            <w:tcW w:w="1138" w:type="dxa"/>
            <w:vAlign w:val="center"/>
          </w:tcPr>
          <w:p w14:paraId="21401706" w14:textId="77777777" w:rsidR="004A779E" w:rsidRPr="003E0254" w:rsidRDefault="004A779E" w:rsidP="00DE06D3">
            <w:pPr>
              <w:spacing w:line="235" w:lineRule="atLeast"/>
              <w:jc w:val="center"/>
              <w:rPr>
                <w:sz w:val="20"/>
                <w:szCs w:val="20"/>
              </w:rPr>
            </w:pPr>
          </w:p>
        </w:tc>
        <w:tc>
          <w:tcPr>
            <w:tcW w:w="742" w:type="dxa"/>
            <w:vAlign w:val="center"/>
          </w:tcPr>
          <w:p w14:paraId="32C00823" w14:textId="77777777" w:rsidR="004A779E" w:rsidRPr="003E0254" w:rsidRDefault="004A779E" w:rsidP="00DE06D3">
            <w:pPr>
              <w:spacing w:line="235" w:lineRule="atLeast"/>
              <w:jc w:val="center"/>
              <w:rPr>
                <w:sz w:val="20"/>
                <w:szCs w:val="20"/>
              </w:rPr>
            </w:pPr>
          </w:p>
        </w:tc>
        <w:tc>
          <w:tcPr>
            <w:tcW w:w="1058" w:type="dxa"/>
            <w:vAlign w:val="center"/>
          </w:tcPr>
          <w:p w14:paraId="0C050115" w14:textId="77777777" w:rsidR="004A779E" w:rsidRPr="003E0254" w:rsidRDefault="004A779E" w:rsidP="00DE06D3">
            <w:pPr>
              <w:spacing w:line="235" w:lineRule="atLeast"/>
              <w:jc w:val="center"/>
              <w:rPr>
                <w:sz w:val="20"/>
                <w:szCs w:val="20"/>
              </w:rPr>
            </w:pPr>
            <w:r w:rsidRPr="003E0254">
              <w:rPr>
                <w:sz w:val="20"/>
                <w:szCs w:val="20"/>
              </w:rPr>
              <w:t>5 mA cm</w:t>
            </w:r>
            <w:r w:rsidRPr="003E0254">
              <w:rPr>
                <w:sz w:val="20"/>
                <w:szCs w:val="20"/>
                <w:vertAlign w:val="superscript"/>
              </w:rPr>
              <w:t>-2</w:t>
            </w:r>
          </w:p>
        </w:tc>
        <w:tc>
          <w:tcPr>
            <w:tcW w:w="932" w:type="dxa"/>
            <w:vAlign w:val="center"/>
          </w:tcPr>
          <w:p w14:paraId="3707385A" w14:textId="77777777" w:rsidR="004A779E" w:rsidRPr="003E0254" w:rsidRDefault="004A779E" w:rsidP="00DE06D3">
            <w:pPr>
              <w:spacing w:line="235" w:lineRule="atLeast"/>
              <w:jc w:val="center"/>
              <w:rPr>
                <w:sz w:val="20"/>
                <w:szCs w:val="20"/>
              </w:rPr>
            </w:pPr>
            <w:r w:rsidRPr="003E0254">
              <w:rPr>
                <w:sz w:val="20"/>
                <w:szCs w:val="20"/>
              </w:rPr>
              <w:t>NA</w:t>
            </w:r>
          </w:p>
        </w:tc>
        <w:tc>
          <w:tcPr>
            <w:tcW w:w="630" w:type="dxa"/>
            <w:vAlign w:val="center"/>
          </w:tcPr>
          <w:p w14:paraId="2B09B79A" w14:textId="31B56162" w:rsidR="004A779E" w:rsidRPr="003E0254" w:rsidRDefault="004A779E" w:rsidP="00DE06D3">
            <w:pPr>
              <w:spacing w:line="235" w:lineRule="atLeast"/>
              <w:jc w:val="center"/>
              <w:rPr>
                <w:sz w:val="20"/>
                <w:szCs w:val="20"/>
              </w:rPr>
            </w:pPr>
            <w:r w:rsidRPr="003E0254">
              <w:rPr>
                <w:sz w:val="20"/>
                <w:szCs w:val="20"/>
              </w:rPr>
              <w:t>Wang et al.</w:t>
            </w:r>
            <w:r w:rsidR="00E27323" w:rsidRPr="003E0254">
              <w:rPr>
                <w:sz w:val="20"/>
                <w:szCs w:val="20"/>
              </w:rPr>
              <w:fldChar w:fldCharType="begin" w:fldLock="1"/>
            </w:r>
            <w:r w:rsidR="00500B8D" w:rsidRPr="003E0254">
              <w:rPr>
                <w:sz w:val="20"/>
                <w:szCs w:val="20"/>
              </w:rPr>
              <w:instrText xml:space="preserve">ADDIN CSL_CITATION {"citationItems":[{"id":"ITEM-1","itemData":{"DOI":"10.1016/J.ENSM.2019.12.043","ISSN":"2405-8297","abstract":"Cobalt oxides are promising bifunctional oxygen electrocatalysts due to their intrinsic activities toward both dissociation and formation of oxygen molecules. Unfortunately, their practical utilization is seriously hindered by the limited accessible active sites and inferior activity. Herein, vertically-aligned porous nanoarrays composed of ultrafine nitrogen-doped cobalt oxide (NP-Co3O4) nanoparticles (4-5 </w:instrText>
            </w:r>
            <w:r w:rsidR="00500B8D" w:rsidRPr="003E0254">
              <w:rPr>
                <w:rFonts w:ascii="Arial" w:hAnsi="Arial" w:cs="Arial"/>
                <w:sz w:val="20"/>
                <w:szCs w:val="20"/>
              </w:rPr>
              <w:instrText>​</w:instrText>
            </w:r>
            <w:r w:rsidR="00500B8D" w:rsidRPr="003E0254">
              <w:rPr>
                <w:sz w:val="20"/>
                <w:szCs w:val="20"/>
              </w:rPr>
              <w:instrText xml:space="preserve">nm) are in-situ fabricated on carbon cloth (CC) via mild oxidation of Co-based zeolitic-imidazolate-framework (Co-ZIF) nanoarrays. The oxidation decomposition of 2-methylimidazolate ligands between Co nodes not only confines the growth of cobalt oxides, but also provides the nitrogen sources for realizing low-temperature (200 </w:instrText>
            </w:r>
            <w:r w:rsidR="00500B8D" w:rsidRPr="003E0254">
              <w:rPr>
                <w:rFonts w:ascii="Arial" w:hAnsi="Arial" w:cs="Arial"/>
                <w:sz w:val="20"/>
                <w:szCs w:val="20"/>
              </w:rPr>
              <w:instrText>​</w:instrText>
            </w:r>
            <w:r w:rsidR="00500B8D" w:rsidRPr="003E0254">
              <w:rPr>
                <w:rFonts w:ascii="Aptos" w:hAnsi="Aptos" w:cs="Aptos"/>
                <w:sz w:val="20"/>
                <w:szCs w:val="20"/>
              </w:rPr>
              <w:instrText>°</w:instrText>
            </w:r>
            <w:r w:rsidR="00500B8D" w:rsidRPr="003E0254">
              <w:rPr>
                <w:sz w:val="20"/>
                <w:szCs w:val="20"/>
              </w:rPr>
              <w:instrText xml:space="preserve">C) nitrogen doping. In alkaline electrolyte, the as-built NP-Co3O4/CC manifests an extremely high oxygen reduction reaction (ORR) half-wave potential of ~0.9 </w:instrText>
            </w:r>
            <w:r w:rsidR="00500B8D" w:rsidRPr="003E0254">
              <w:rPr>
                <w:rFonts w:ascii="Arial" w:hAnsi="Arial" w:cs="Arial"/>
                <w:sz w:val="20"/>
                <w:szCs w:val="20"/>
              </w:rPr>
              <w:instrText>​</w:instrText>
            </w:r>
            <w:r w:rsidR="00500B8D" w:rsidRPr="003E0254">
              <w:rPr>
                <w:sz w:val="20"/>
                <w:szCs w:val="20"/>
              </w:rPr>
              <w:instrText xml:space="preserve">V and a decreased oxygen evolution reaction (OER) overpotential of 330 </w:instrText>
            </w:r>
            <w:r w:rsidR="00500B8D" w:rsidRPr="003E0254">
              <w:rPr>
                <w:rFonts w:ascii="Arial" w:hAnsi="Arial" w:cs="Arial"/>
                <w:sz w:val="20"/>
                <w:szCs w:val="20"/>
              </w:rPr>
              <w:instrText>​</w:instrText>
            </w:r>
            <w:r w:rsidR="00500B8D" w:rsidRPr="003E0254">
              <w:rPr>
                <w:sz w:val="20"/>
                <w:szCs w:val="20"/>
              </w:rPr>
              <w:instrText xml:space="preserve">mV </w:instrText>
            </w:r>
            <w:r w:rsidR="00500B8D" w:rsidRPr="003E0254">
              <w:rPr>
                <w:rFonts w:ascii="Arial" w:hAnsi="Arial" w:cs="Arial"/>
                <w:sz w:val="20"/>
                <w:szCs w:val="20"/>
              </w:rPr>
              <w:instrText>​</w:instrText>
            </w:r>
            <w:r w:rsidR="00500B8D" w:rsidRPr="003E0254">
              <w:rPr>
                <w:sz w:val="20"/>
                <w:szCs w:val="20"/>
              </w:rPr>
              <w:instrText xml:space="preserve">at 10 </w:instrText>
            </w:r>
            <w:r w:rsidR="00500B8D" w:rsidRPr="003E0254">
              <w:rPr>
                <w:rFonts w:ascii="Arial" w:hAnsi="Arial" w:cs="Arial"/>
                <w:sz w:val="20"/>
                <w:szCs w:val="20"/>
              </w:rPr>
              <w:instrText>​</w:instrText>
            </w:r>
            <w:r w:rsidR="00500B8D" w:rsidRPr="003E0254">
              <w:rPr>
                <w:sz w:val="20"/>
                <w:szCs w:val="20"/>
              </w:rPr>
              <w:instrText xml:space="preserve">mA </w:instrText>
            </w:r>
            <w:r w:rsidR="00500B8D" w:rsidRPr="003E0254">
              <w:rPr>
                <w:rFonts w:ascii="Arial" w:hAnsi="Arial" w:cs="Arial"/>
                <w:sz w:val="20"/>
                <w:szCs w:val="20"/>
              </w:rPr>
              <w:instrText>​</w:instrText>
            </w:r>
            <w:r w:rsidR="00500B8D" w:rsidRPr="003E0254">
              <w:rPr>
                <w:sz w:val="20"/>
                <w:szCs w:val="20"/>
              </w:rPr>
              <w:instrText>cm</w:instrText>
            </w:r>
            <w:r w:rsidR="00500B8D" w:rsidRPr="003E0254">
              <w:rPr>
                <w:rFonts w:ascii="Aptos" w:hAnsi="Aptos" w:cs="Aptos"/>
                <w:sz w:val="20"/>
                <w:szCs w:val="20"/>
              </w:rPr>
              <w:instrText>−</w:instrText>
            </w:r>
            <w:r w:rsidR="00500B8D" w:rsidRPr="003E0254">
              <w:rPr>
                <w:sz w:val="20"/>
                <w:szCs w:val="20"/>
              </w:rPr>
              <w:instrText xml:space="preserve">2, displaying a record low potential gap of 0.66 </w:instrText>
            </w:r>
            <w:r w:rsidR="00500B8D" w:rsidRPr="003E0254">
              <w:rPr>
                <w:rFonts w:ascii="Arial" w:hAnsi="Arial" w:cs="Arial"/>
                <w:sz w:val="20"/>
                <w:szCs w:val="20"/>
              </w:rPr>
              <w:instrText>​</w:instrText>
            </w:r>
            <w:r w:rsidR="00500B8D" w:rsidRPr="003E0254">
              <w:rPr>
                <w:sz w:val="20"/>
                <w:szCs w:val="20"/>
              </w:rPr>
              <w:instrText xml:space="preserve">V. As bifunctional oxygen electrodes in rechargeable aqueous and all-solid-state flexible zinc-air batteries, the NP-Co3O4/CC-based batteries exhibit ultrahigh power densities up to 200 </w:instrText>
            </w:r>
            <w:r w:rsidR="00500B8D" w:rsidRPr="003E0254">
              <w:rPr>
                <w:rFonts w:ascii="Arial" w:hAnsi="Arial" w:cs="Arial"/>
                <w:sz w:val="20"/>
                <w:szCs w:val="20"/>
              </w:rPr>
              <w:instrText>​</w:instrText>
            </w:r>
            <w:r w:rsidR="00500B8D" w:rsidRPr="003E0254">
              <w:rPr>
                <w:sz w:val="20"/>
                <w:szCs w:val="20"/>
              </w:rPr>
              <w:instrText xml:space="preserve">mW </w:instrText>
            </w:r>
            <w:r w:rsidR="00500B8D" w:rsidRPr="003E0254">
              <w:rPr>
                <w:rFonts w:ascii="Arial" w:hAnsi="Arial" w:cs="Arial"/>
                <w:sz w:val="20"/>
                <w:szCs w:val="20"/>
              </w:rPr>
              <w:instrText>​</w:instrText>
            </w:r>
            <w:r w:rsidR="00500B8D" w:rsidRPr="003E0254">
              <w:rPr>
                <w:sz w:val="20"/>
                <w:szCs w:val="20"/>
              </w:rPr>
              <w:instrText>cm</w:instrText>
            </w:r>
            <w:r w:rsidR="00500B8D" w:rsidRPr="003E0254">
              <w:rPr>
                <w:rFonts w:ascii="Aptos" w:hAnsi="Aptos" w:cs="Aptos"/>
                <w:sz w:val="20"/>
                <w:szCs w:val="20"/>
              </w:rPr>
              <w:instrText>−</w:instrText>
            </w:r>
            <w:r w:rsidR="00500B8D" w:rsidRPr="003E0254">
              <w:rPr>
                <w:sz w:val="20"/>
                <w:szCs w:val="20"/>
              </w:rPr>
              <w:instrText xml:space="preserve">2 and 99.8 </w:instrText>
            </w:r>
            <w:r w:rsidR="00500B8D" w:rsidRPr="003E0254">
              <w:rPr>
                <w:rFonts w:ascii="Arial" w:hAnsi="Arial" w:cs="Arial"/>
                <w:sz w:val="20"/>
                <w:szCs w:val="20"/>
              </w:rPr>
              <w:instrText>​</w:instrText>
            </w:r>
            <w:r w:rsidR="00500B8D" w:rsidRPr="003E0254">
              <w:rPr>
                <w:sz w:val="20"/>
                <w:szCs w:val="20"/>
              </w:rPr>
              <w:instrText xml:space="preserve">mW </w:instrText>
            </w:r>
            <w:r w:rsidR="00500B8D" w:rsidRPr="003E0254">
              <w:rPr>
                <w:rFonts w:ascii="Arial" w:hAnsi="Arial" w:cs="Arial"/>
                <w:sz w:val="20"/>
                <w:szCs w:val="20"/>
              </w:rPr>
              <w:instrText>​</w:instrText>
            </w:r>
            <w:r w:rsidR="00500B8D" w:rsidRPr="003E0254">
              <w:rPr>
                <w:sz w:val="20"/>
                <w:szCs w:val="20"/>
              </w:rPr>
              <w:instrText>cm</w:instrText>
            </w:r>
            <w:r w:rsidR="00500B8D" w:rsidRPr="003E0254">
              <w:rPr>
                <w:rFonts w:ascii="Aptos" w:hAnsi="Aptos" w:cs="Aptos"/>
                <w:sz w:val="20"/>
                <w:szCs w:val="20"/>
              </w:rPr>
              <w:instrText>−</w:instrText>
            </w:r>
            <w:r w:rsidR="00500B8D" w:rsidRPr="003E0254">
              <w:rPr>
                <w:sz w:val="20"/>
                <w:szCs w:val="20"/>
              </w:rPr>
              <w:instrText>3, respectively, which are much higher than those of reported bifunctional oxygen electrocatalysts. This work paves a new avenue for the fabrication of porous nitrogen doped metal oxides towards high-performance zinc-air batteries.","author":[{"dropping-particle":"","family":"Wang","given":"Xia","non-dropping-particle":"","parse-names":false,"suffix":""},{"dropping-particle":"","family":"Liao","given":"Zhongquan","non-dropping-particle":"","parse-names":false,"suffix":""},{"dropping-particle":"","family":"Fu","given":"Yubin","non-dropping-particle":"","parse-names":false,"suffix":""},{"dropping-particle":"","family":"Neumann","given":"Christof","non-dropping-particle":"","parse-names":false,"suffix":""},{"dropping-particle":"","family":"Turchanin","given":"Andrey","non-dropping-particle":"","parse-names":false,"suffix":""},{"dropping-particle":"","family":"Nam","given":"Gyutae","non-dropping-particle":"","parse-names":false,"suffix":""},{"dropping-particle":"","family":"Zschech","given":"Ehrenfried","non-dropping-particle":"","parse-names":false,"suffix":""},{"dropping-particle":"","family":"Cho","given":"Jaephil","non-dropping-particle":"","parse-names":false,"suffix":""},{"dropping-particle":"","family":"Zhang","given":"Jian","non-dropping-particle":"","parse-names":false,"suffix":""},{"dropping-particle":"","family":"Feng","given":"Xinliang","non-dropping-particle":"","parse-names":false,"suffix":""}],"container-title":"Energy Storage Materials","id":"ITEM-1","issued":{"date-parts":[["2020","4","1"]]},"page":"157-164","publisher":"Elsevier","title":"Confined growth of porous nitrogen-doped cobalt oxide nanoarrays as bifunctional oxygen electrocatalysts for rechargeable zinc–air batteries","type":"article-journal","volume":"26"},"uris":["http://www.mendeley.com/documents/?uuid=3ed16e27-b23c-39f2-a8f4-850819203675"]}],"mendeley":{"formattedCitation":"&lt;sup&gt;[190]&lt;/sup&gt;","plainTextFormattedCitation":"[190]","previouslyFormattedCitation":"&lt;sup&gt;[189]&lt;/sup&gt;"},"properties":{"noteIndex":0},"schema":"https://github.com/citation-style-language/schema/raw/master/csl-citation.json"}</w:instrText>
            </w:r>
            <w:r w:rsidR="00E27323" w:rsidRPr="003E0254">
              <w:rPr>
                <w:sz w:val="20"/>
                <w:szCs w:val="20"/>
              </w:rPr>
              <w:fldChar w:fldCharType="separate"/>
            </w:r>
            <w:r w:rsidR="00500B8D" w:rsidRPr="003E0254">
              <w:rPr>
                <w:noProof/>
                <w:sz w:val="20"/>
                <w:szCs w:val="20"/>
                <w:vertAlign w:val="superscript"/>
              </w:rPr>
              <w:t>[190]</w:t>
            </w:r>
            <w:r w:rsidR="00E27323" w:rsidRPr="003E0254">
              <w:rPr>
                <w:sz w:val="20"/>
                <w:szCs w:val="20"/>
              </w:rPr>
              <w:fldChar w:fldCharType="end"/>
            </w:r>
          </w:p>
        </w:tc>
        <w:tc>
          <w:tcPr>
            <w:tcW w:w="1345" w:type="dxa"/>
            <w:vAlign w:val="center"/>
          </w:tcPr>
          <w:p w14:paraId="4AC8C836" w14:textId="77777777" w:rsidR="004A779E" w:rsidRPr="003E0254" w:rsidRDefault="004A779E" w:rsidP="00DE06D3">
            <w:pPr>
              <w:spacing w:line="235" w:lineRule="atLeast"/>
              <w:jc w:val="center"/>
              <w:rPr>
                <w:sz w:val="20"/>
                <w:szCs w:val="20"/>
              </w:rPr>
            </w:pPr>
            <w:r w:rsidRPr="003E0254">
              <w:rPr>
                <w:sz w:val="20"/>
                <w:szCs w:val="20"/>
              </w:rPr>
              <w:t>Improved charge and discharge voltage and extended cycle life compared to Pt/</w:t>
            </w:r>
            <w:proofErr w:type="spellStart"/>
            <w:r w:rsidRPr="003E0254">
              <w:rPr>
                <w:sz w:val="20"/>
                <w:szCs w:val="20"/>
              </w:rPr>
              <w:t>Ir</w:t>
            </w:r>
            <w:proofErr w:type="spellEnd"/>
            <w:r w:rsidRPr="003E0254">
              <w:rPr>
                <w:sz w:val="20"/>
                <w:szCs w:val="20"/>
              </w:rPr>
              <w:t xml:space="preserve"> catalyst</w:t>
            </w:r>
          </w:p>
        </w:tc>
      </w:tr>
      <w:tr w:rsidR="00DE06D3" w:rsidRPr="003E0254" w14:paraId="522342A4" w14:textId="77777777" w:rsidTr="005B1B4B">
        <w:trPr>
          <w:jc w:val="center"/>
        </w:trPr>
        <w:tc>
          <w:tcPr>
            <w:tcW w:w="1517" w:type="dxa"/>
            <w:vAlign w:val="center"/>
          </w:tcPr>
          <w:p w14:paraId="73F2C583" w14:textId="06AE3F8A" w:rsidR="004A779E" w:rsidRPr="003E0254" w:rsidRDefault="00AC3A3E" w:rsidP="00DE06D3">
            <w:pPr>
              <w:spacing w:line="235" w:lineRule="atLeast"/>
              <w:jc w:val="center"/>
              <w:rPr>
                <w:sz w:val="20"/>
                <w:szCs w:val="20"/>
              </w:rPr>
            </w:pPr>
            <w:proofErr w:type="spellStart"/>
            <w:r w:rsidRPr="003E0254">
              <w:rPr>
                <w:sz w:val="20"/>
                <w:szCs w:val="20"/>
              </w:rPr>
              <w:t>CoMn</w:t>
            </w:r>
            <w:proofErr w:type="spellEnd"/>
            <w:r w:rsidRPr="003E0254">
              <w:rPr>
                <w:sz w:val="20"/>
                <w:szCs w:val="20"/>
              </w:rPr>
              <w:t xml:space="preserve"> LDH/</w:t>
            </w:r>
            <w:proofErr w:type="gramStart"/>
            <w:r w:rsidRPr="003E0254">
              <w:rPr>
                <w:sz w:val="20"/>
                <w:szCs w:val="20"/>
              </w:rPr>
              <w:t>N,P</w:t>
            </w:r>
            <w:proofErr w:type="gramEnd"/>
            <w:r w:rsidRPr="003E0254">
              <w:rPr>
                <w:sz w:val="20"/>
                <w:szCs w:val="20"/>
              </w:rPr>
              <w:t xml:space="preserve">-doped graphene </w:t>
            </w:r>
            <w:r w:rsidR="00A60A91" w:rsidRPr="003E0254">
              <w:rPr>
                <w:sz w:val="20"/>
                <w:szCs w:val="20"/>
              </w:rPr>
              <w:t>|</w:t>
            </w:r>
            <w:r w:rsidR="004A779E" w:rsidRPr="003E0254">
              <w:rPr>
                <w:sz w:val="20"/>
                <w:szCs w:val="20"/>
              </w:rPr>
              <w:t>6 M KOH + 0.2 M Zn acetate</w:t>
            </w:r>
            <w:r w:rsidR="00A60A91" w:rsidRPr="003E0254">
              <w:rPr>
                <w:sz w:val="20"/>
                <w:szCs w:val="20"/>
              </w:rPr>
              <w:t xml:space="preserve"> |</w:t>
            </w:r>
            <w:r w:rsidR="004A779E" w:rsidRPr="003E0254">
              <w:rPr>
                <w:sz w:val="20"/>
                <w:szCs w:val="20"/>
              </w:rPr>
              <w:t xml:space="preserve"> </w:t>
            </w:r>
            <w:proofErr w:type="spellStart"/>
            <w:r w:rsidRPr="003E0254">
              <w:rPr>
                <w:sz w:val="20"/>
                <w:szCs w:val="20"/>
              </w:rPr>
              <w:t>Zn</w:t>
            </w:r>
            <w:r w:rsidRPr="003E0254">
              <w:rPr>
                <w:sz w:val="20"/>
                <w:szCs w:val="20"/>
                <w:vertAlign w:val="subscript"/>
              </w:rPr>
              <w:t>plate</w:t>
            </w:r>
            <w:proofErr w:type="spellEnd"/>
          </w:p>
        </w:tc>
        <w:tc>
          <w:tcPr>
            <w:tcW w:w="873" w:type="dxa"/>
            <w:vAlign w:val="center"/>
          </w:tcPr>
          <w:p w14:paraId="43903650" w14:textId="77777777" w:rsidR="004A779E" w:rsidRPr="003E0254" w:rsidRDefault="004A779E" w:rsidP="00DE06D3">
            <w:pPr>
              <w:spacing w:line="235" w:lineRule="atLeast"/>
              <w:jc w:val="center"/>
              <w:rPr>
                <w:sz w:val="20"/>
                <w:szCs w:val="20"/>
              </w:rPr>
            </w:pPr>
            <w:r w:rsidRPr="003E0254">
              <w:rPr>
                <w:sz w:val="20"/>
                <w:szCs w:val="20"/>
              </w:rPr>
              <w:t>432</w:t>
            </w:r>
          </w:p>
        </w:tc>
        <w:tc>
          <w:tcPr>
            <w:tcW w:w="1115" w:type="dxa"/>
            <w:vAlign w:val="center"/>
          </w:tcPr>
          <w:p w14:paraId="0E80817E" w14:textId="77777777" w:rsidR="004A779E" w:rsidRPr="003E0254" w:rsidRDefault="004A779E" w:rsidP="00DE06D3">
            <w:pPr>
              <w:spacing w:line="235" w:lineRule="atLeast"/>
              <w:jc w:val="center"/>
              <w:rPr>
                <w:sz w:val="20"/>
                <w:szCs w:val="20"/>
              </w:rPr>
            </w:pPr>
            <w:r w:rsidRPr="003E0254">
              <w:rPr>
                <w:sz w:val="20"/>
                <w:szCs w:val="20"/>
              </w:rPr>
              <w:t>60 %</w:t>
            </w:r>
          </w:p>
        </w:tc>
        <w:tc>
          <w:tcPr>
            <w:tcW w:w="1138" w:type="dxa"/>
            <w:vAlign w:val="center"/>
          </w:tcPr>
          <w:p w14:paraId="72F47DDC" w14:textId="77777777" w:rsidR="004A779E" w:rsidRPr="003E0254" w:rsidRDefault="004A779E" w:rsidP="00DE06D3">
            <w:pPr>
              <w:spacing w:line="235" w:lineRule="atLeast"/>
              <w:jc w:val="center"/>
              <w:rPr>
                <w:sz w:val="20"/>
                <w:szCs w:val="20"/>
              </w:rPr>
            </w:pPr>
          </w:p>
        </w:tc>
        <w:tc>
          <w:tcPr>
            <w:tcW w:w="742" w:type="dxa"/>
            <w:vAlign w:val="center"/>
          </w:tcPr>
          <w:p w14:paraId="288D5EE1" w14:textId="77777777" w:rsidR="004A779E" w:rsidRPr="003E0254" w:rsidRDefault="004A779E" w:rsidP="00DE06D3">
            <w:pPr>
              <w:spacing w:line="235" w:lineRule="atLeast"/>
              <w:jc w:val="center"/>
              <w:rPr>
                <w:sz w:val="20"/>
                <w:szCs w:val="20"/>
              </w:rPr>
            </w:pPr>
          </w:p>
        </w:tc>
        <w:tc>
          <w:tcPr>
            <w:tcW w:w="1058" w:type="dxa"/>
            <w:vAlign w:val="center"/>
          </w:tcPr>
          <w:p w14:paraId="527D9E40" w14:textId="77777777" w:rsidR="004A779E" w:rsidRPr="003E0254" w:rsidRDefault="004A779E" w:rsidP="00DE06D3">
            <w:pPr>
              <w:spacing w:line="235" w:lineRule="atLeast"/>
              <w:jc w:val="center"/>
              <w:rPr>
                <w:sz w:val="20"/>
                <w:szCs w:val="20"/>
              </w:rPr>
            </w:pPr>
            <w:r w:rsidRPr="003E0254">
              <w:rPr>
                <w:sz w:val="20"/>
                <w:szCs w:val="20"/>
              </w:rPr>
              <w:t>5 mA cm</w:t>
            </w:r>
            <w:r w:rsidRPr="003E0254">
              <w:rPr>
                <w:sz w:val="20"/>
                <w:szCs w:val="20"/>
                <w:vertAlign w:val="superscript"/>
              </w:rPr>
              <w:t>-2</w:t>
            </w:r>
          </w:p>
        </w:tc>
        <w:tc>
          <w:tcPr>
            <w:tcW w:w="932" w:type="dxa"/>
            <w:vAlign w:val="center"/>
          </w:tcPr>
          <w:p w14:paraId="382CE627" w14:textId="77777777" w:rsidR="004A779E" w:rsidRPr="003E0254" w:rsidRDefault="004A779E" w:rsidP="00DE06D3">
            <w:pPr>
              <w:spacing w:line="235" w:lineRule="atLeast"/>
              <w:jc w:val="center"/>
              <w:rPr>
                <w:sz w:val="20"/>
                <w:szCs w:val="20"/>
              </w:rPr>
            </w:pPr>
            <w:r w:rsidRPr="003E0254">
              <w:rPr>
                <w:sz w:val="20"/>
                <w:szCs w:val="20"/>
              </w:rPr>
              <w:t>NA</w:t>
            </w:r>
          </w:p>
        </w:tc>
        <w:tc>
          <w:tcPr>
            <w:tcW w:w="630" w:type="dxa"/>
            <w:vAlign w:val="center"/>
          </w:tcPr>
          <w:p w14:paraId="2D862509" w14:textId="315CA2D9" w:rsidR="004A779E" w:rsidRPr="003E0254" w:rsidRDefault="004A779E" w:rsidP="00DE06D3">
            <w:pPr>
              <w:spacing w:line="235" w:lineRule="atLeast"/>
              <w:jc w:val="center"/>
              <w:rPr>
                <w:sz w:val="20"/>
                <w:szCs w:val="20"/>
              </w:rPr>
            </w:pPr>
            <w:r w:rsidRPr="003E0254">
              <w:rPr>
                <w:sz w:val="20"/>
                <w:szCs w:val="20"/>
              </w:rPr>
              <w:t>Zhang et al.</w:t>
            </w:r>
            <w:r w:rsidR="00E27323" w:rsidRPr="003E0254">
              <w:rPr>
                <w:sz w:val="20"/>
                <w:szCs w:val="20"/>
              </w:rPr>
              <w:fldChar w:fldCharType="begin" w:fldLock="1"/>
            </w:r>
            <w:r w:rsidR="00500B8D" w:rsidRPr="003E0254">
              <w:rPr>
                <w:sz w:val="20"/>
                <w:szCs w:val="20"/>
              </w:rPr>
              <w:instrText>ADDIN CSL_CITATION {"citationItems":[{"id":"ITEM-1","itemData":{"DOI":"10.1016/J.JCIS.2021.01.093","ISSN":"0021-9797","PMID":"33561597","abstract":"Exploiting the low-cost and high-efficiency bifunctional oxygen electrocatalysts to substitute platinum-group metals is highly desirable but challenging for energy storage/conversion technologies. Herein, we develop a combined gelation/self-assemble/freeze drying process to fabricate a free-standing porous architectures through vertical anchoring two-dimensional (2D) CoMn-LDH nanosheets on three-dimensional (3D) hierarchical N,P co-doped graphene aerogels (NPGA) framework. This unique configuration endows CoMn-LDH/NPGA outstanding catalytic activity toward both oxygen reduction reaction (ORR) and oxygen evolution reaction (OER) with a potential difference of ca. 0.72 V between the OER potential at 10 mA cm−2 and the ORR potential at −3 mA cm−2, which is comparable to commercial Pt/C + IrO2 benchmarks, and therefore renders the CoMn-LDH/NPGA assembled zinc-air battery a superior rechargeable performance and cycling stability. In-depth structure-to-property correlation indicates that the prominent bifunctional activity of CoMn-LDH/NPGA are ascribed to large electrochemical active surface area, the rapid mass/charge transfers, the increased exposure and full utilization of active sites originated from the synergistic effect between the uniformly dispersed 2D CoMn-LDH nanosheets and the 3D hierarchical porous NPGA framework.","author":[{"dropping-particle":"","family":"Zhang","given":"Guoquan","non-dropping-particle":"","parse-names":false,"suffix":""},{"dropping-particle":"","family":"Xing","given":"Jiayu","non-dropping-particle":"","parse-names":false,"suffix":""},{"dropping-particle":"","family":"Zhao","given":"Yuanyuan","non-dropping-particle":"","parse-names":false,"suffix":""},{"dropping-particle":"","family":"Yang","given":"Fenglin","non-dropping-particle":"","parse-names":false,"suffix":""}],"container-title":"Journal of Colloid and Interface Science","id":"ITEM-1","issued":{"date-parts":[["2021","5","15"]]},"page":"476-486","publisher":"Academic Press","title":"Hierarchical N,P co-doped graphene aerogels framework assembling vertically grown CoMn-LDH nanosheets as efficient bifunctional electrocatalyst for rechargeable Zinc-air battery","type":"article-journal","volume":"590"},"uris":["http://www.mendeley.com/documents/?uuid=1563f6fd-fde4-3f26-969b-3f6f73725a34"]}],"mendeley":{"formattedCitation":"&lt;sup&gt;[191]&lt;/sup&gt;","plainTextFormattedCitation":"[191]","previouslyFormattedCitation":"&lt;sup&gt;[190]&lt;/sup&gt;"},"properties":{"noteIndex":0},"schema":"https://github.com/citation-style-language/schema/raw/master/csl-citation.json"}</w:instrText>
            </w:r>
            <w:r w:rsidR="00E27323" w:rsidRPr="003E0254">
              <w:rPr>
                <w:sz w:val="20"/>
                <w:szCs w:val="20"/>
              </w:rPr>
              <w:fldChar w:fldCharType="separate"/>
            </w:r>
            <w:r w:rsidR="00500B8D" w:rsidRPr="003E0254">
              <w:rPr>
                <w:noProof/>
                <w:sz w:val="20"/>
                <w:szCs w:val="20"/>
                <w:vertAlign w:val="superscript"/>
              </w:rPr>
              <w:t>[191]</w:t>
            </w:r>
            <w:r w:rsidR="00E27323" w:rsidRPr="003E0254">
              <w:rPr>
                <w:sz w:val="20"/>
                <w:szCs w:val="20"/>
              </w:rPr>
              <w:fldChar w:fldCharType="end"/>
            </w:r>
          </w:p>
        </w:tc>
        <w:tc>
          <w:tcPr>
            <w:tcW w:w="1345" w:type="dxa"/>
            <w:vAlign w:val="center"/>
          </w:tcPr>
          <w:p w14:paraId="69F75FCE" w14:textId="77777777" w:rsidR="004A779E" w:rsidRPr="003E0254" w:rsidRDefault="004A779E" w:rsidP="00DE06D3">
            <w:pPr>
              <w:spacing w:line="235" w:lineRule="atLeast"/>
              <w:jc w:val="center"/>
              <w:rPr>
                <w:sz w:val="20"/>
                <w:szCs w:val="20"/>
              </w:rPr>
            </w:pPr>
            <w:r w:rsidRPr="003E0254">
              <w:rPr>
                <w:sz w:val="20"/>
                <w:szCs w:val="20"/>
              </w:rPr>
              <w:t xml:space="preserve">Superior charge and discharge voltage and extended cycle life </w:t>
            </w:r>
            <w:r w:rsidRPr="003E0254">
              <w:rPr>
                <w:sz w:val="20"/>
                <w:szCs w:val="20"/>
              </w:rPr>
              <w:lastRenderedPageBreak/>
              <w:t>compared to Pt/IrO</w:t>
            </w:r>
            <w:r w:rsidRPr="003E0254">
              <w:rPr>
                <w:sz w:val="20"/>
                <w:szCs w:val="20"/>
                <w:vertAlign w:val="subscript"/>
              </w:rPr>
              <w:t>2</w:t>
            </w:r>
            <w:r w:rsidRPr="003E0254">
              <w:rPr>
                <w:sz w:val="20"/>
                <w:szCs w:val="20"/>
              </w:rPr>
              <w:t xml:space="preserve"> catalyst</w:t>
            </w:r>
          </w:p>
        </w:tc>
      </w:tr>
      <w:tr w:rsidR="00DE06D3" w:rsidRPr="003E0254" w14:paraId="142B27BA" w14:textId="77777777" w:rsidTr="005B1B4B">
        <w:trPr>
          <w:jc w:val="center"/>
        </w:trPr>
        <w:tc>
          <w:tcPr>
            <w:tcW w:w="1517" w:type="dxa"/>
            <w:vAlign w:val="center"/>
          </w:tcPr>
          <w:p w14:paraId="3FF60FF8" w14:textId="036C9D3E" w:rsidR="00AC3A3E" w:rsidRPr="003E0254" w:rsidRDefault="00AC3A3E" w:rsidP="00AC3A3E">
            <w:pPr>
              <w:spacing w:line="235" w:lineRule="atLeast"/>
              <w:jc w:val="center"/>
              <w:rPr>
                <w:sz w:val="20"/>
                <w:szCs w:val="20"/>
              </w:rPr>
            </w:pPr>
            <w:proofErr w:type="spellStart"/>
            <w:r w:rsidRPr="003E0254">
              <w:rPr>
                <w:sz w:val="20"/>
                <w:szCs w:val="20"/>
              </w:rPr>
              <w:lastRenderedPageBreak/>
              <w:t>CF@SnFeNC</w:t>
            </w:r>
            <w:proofErr w:type="spellEnd"/>
            <w:r w:rsidRPr="003E0254">
              <w:rPr>
                <w:sz w:val="20"/>
                <w:szCs w:val="20"/>
              </w:rPr>
              <w:t xml:space="preserve"> </w:t>
            </w:r>
            <w:r w:rsidR="004A779E" w:rsidRPr="003E0254">
              <w:rPr>
                <w:sz w:val="20"/>
                <w:szCs w:val="20"/>
              </w:rPr>
              <w:t xml:space="preserve">| 6M KOH+0.2M </w:t>
            </w:r>
            <w:proofErr w:type="gramStart"/>
            <w:r w:rsidR="004A779E" w:rsidRPr="003E0254">
              <w:rPr>
                <w:sz w:val="20"/>
                <w:szCs w:val="20"/>
              </w:rPr>
              <w:t>Zn(</w:t>
            </w:r>
            <w:proofErr w:type="gramEnd"/>
            <w:r w:rsidR="004A779E" w:rsidRPr="003E0254">
              <w:rPr>
                <w:sz w:val="20"/>
                <w:szCs w:val="20"/>
              </w:rPr>
              <w:t>Ac)</w:t>
            </w:r>
            <w:r w:rsidR="004A779E" w:rsidRPr="003E0254">
              <w:rPr>
                <w:sz w:val="20"/>
                <w:szCs w:val="20"/>
                <w:vertAlign w:val="subscript"/>
              </w:rPr>
              <w:t>2</w:t>
            </w:r>
            <w:r w:rsidR="004A779E" w:rsidRPr="003E0254">
              <w:rPr>
                <w:sz w:val="20"/>
                <w:szCs w:val="20"/>
              </w:rPr>
              <w:t xml:space="preserve">+S </w:t>
            </w:r>
            <w:proofErr w:type="spellStart"/>
            <w:r w:rsidR="004A779E" w:rsidRPr="003E0254">
              <w:rPr>
                <w:sz w:val="20"/>
                <w:szCs w:val="20"/>
              </w:rPr>
              <w:t>ZnO</w:t>
            </w:r>
            <w:proofErr w:type="spellEnd"/>
            <w:r w:rsidR="004A779E" w:rsidRPr="003E0254">
              <w:rPr>
                <w:sz w:val="20"/>
                <w:szCs w:val="20"/>
              </w:rPr>
              <w:t xml:space="preserve"> |</w:t>
            </w:r>
            <w:r w:rsidRPr="003E0254">
              <w:rPr>
                <w:sz w:val="20"/>
                <w:szCs w:val="20"/>
              </w:rPr>
              <w:t xml:space="preserve"> F-Ni</w:t>
            </w:r>
            <w:r w:rsidRPr="003E0254">
              <w:rPr>
                <w:sz w:val="20"/>
                <w:szCs w:val="20"/>
                <w:vertAlign w:val="subscript"/>
              </w:rPr>
              <w:t>27</w:t>
            </w:r>
            <w:r w:rsidRPr="003E0254">
              <w:rPr>
                <w:sz w:val="20"/>
                <w:szCs w:val="20"/>
              </w:rPr>
              <w:t>Fe</w:t>
            </w:r>
            <w:r w:rsidRPr="003E0254">
              <w:rPr>
                <w:sz w:val="20"/>
                <w:szCs w:val="20"/>
                <w:vertAlign w:val="subscript"/>
              </w:rPr>
              <w:t>10</w:t>
            </w:r>
          </w:p>
          <w:p w14:paraId="75CCB0D5" w14:textId="5DCF6D0A" w:rsidR="004A779E" w:rsidRPr="003E0254" w:rsidRDefault="00AC3A3E" w:rsidP="00AC3A3E">
            <w:pPr>
              <w:spacing w:line="235" w:lineRule="atLeast"/>
              <w:jc w:val="center"/>
              <w:rPr>
                <w:sz w:val="20"/>
                <w:szCs w:val="20"/>
                <w:lang w:val="pl-PL"/>
              </w:rPr>
            </w:pPr>
            <w:r w:rsidRPr="003E0254">
              <w:rPr>
                <w:sz w:val="20"/>
                <w:szCs w:val="20"/>
                <w:lang w:val="pl-PL"/>
              </w:rPr>
              <w:t>LDH</w:t>
            </w:r>
          </w:p>
        </w:tc>
        <w:tc>
          <w:tcPr>
            <w:tcW w:w="873" w:type="dxa"/>
            <w:vAlign w:val="center"/>
          </w:tcPr>
          <w:p w14:paraId="48A8DF41" w14:textId="77777777" w:rsidR="004A779E" w:rsidRPr="003E0254" w:rsidRDefault="004A779E" w:rsidP="00DE06D3">
            <w:pPr>
              <w:spacing w:line="235" w:lineRule="atLeast"/>
              <w:jc w:val="center"/>
              <w:rPr>
                <w:sz w:val="20"/>
                <w:szCs w:val="20"/>
              </w:rPr>
            </w:pPr>
            <w:r w:rsidRPr="003E0254">
              <w:rPr>
                <w:sz w:val="20"/>
                <w:szCs w:val="20"/>
              </w:rPr>
              <w:t>5220 h</w:t>
            </w:r>
          </w:p>
        </w:tc>
        <w:tc>
          <w:tcPr>
            <w:tcW w:w="1115" w:type="dxa"/>
            <w:vAlign w:val="center"/>
          </w:tcPr>
          <w:p w14:paraId="11898E78" w14:textId="77777777" w:rsidR="004A779E" w:rsidRPr="003E0254" w:rsidRDefault="004A779E" w:rsidP="00DE06D3">
            <w:pPr>
              <w:spacing w:line="235" w:lineRule="atLeast"/>
              <w:jc w:val="center"/>
              <w:rPr>
                <w:sz w:val="20"/>
                <w:szCs w:val="20"/>
              </w:rPr>
            </w:pPr>
          </w:p>
        </w:tc>
        <w:tc>
          <w:tcPr>
            <w:tcW w:w="1138" w:type="dxa"/>
            <w:vAlign w:val="center"/>
          </w:tcPr>
          <w:p w14:paraId="652B3A81" w14:textId="77777777" w:rsidR="004A779E" w:rsidRPr="003E0254" w:rsidRDefault="004A779E" w:rsidP="00DE06D3">
            <w:pPr>
              <w:spacing w:line="235" w:lineRule="atLeast"/>
              <w:jc w:val="center"/>
              <w:rPr>
                <w:sz w:val="20"/>
                <w:szCs w:val="20"/>
              </w:rPr>
            </w:pPr>
            <w:r w:rsidRPr="003E0254">
              <w:rPr>
                <w:sz w:val="20"/>
                <w:szCs w:val="20"/>
              </w:rPr>
              <w:t xml:space="preserve">800 </w:t>
            </w:r>
            <w:proofErr w:type="spellStart"/>
            <w:r w:rsidRPr="003E0254">
              <w:rPr>
                <w:sz w:val="20"/>
                <w:szCs w:val="20"/>
              </w:rPr>
              <w:t>mAh</w:t>
            </w:r>
            <w:proofErr w:type="spellEnd"/>
            <w:r w:rsidRPr="003E0254">
              <w:rPr>
                <w:sz w:val="20"/>
                <w:szCs w:val="20"/>
              </w:rPr>
              <w:t xml:space="preserve"> cm</w:t>
            </w:r>
            <w:r w:rsidRPr="003E0254">
              <w:rPr>
                <w:sz w:val="20"/>
                <w:szCs w:val="20"/>
                <w:vertAlign w:val="superscript"/>
              </w:rPr>
              <w:t>-2</w:t>
            </w:r>
          </w:p>
        </w:tc>
        <w:tc>
          <w:tcPr>
            <w:tcW w:w="742" w:type="dxa"/>
            <w:vAlign w:val="center"/>
          </w:tcPr>
          <w:p w14:paraId="46704772" w14:textId="77777777" w:rsidR="004A779E" w:rsidRPr="003E0254" w:rsidRDefault="004A779E" w:rsidP="00DE06D3">
            <w:pPr>
              <w:spacing w:line="235" w:lineRule="atLeast"/>
              <w:jc w:val="center"/>
              <w:rPr>
                <w:sz w:val="20"/>
                <w:szCs w:val="20"/>
              </w:rPr>
            </w:pPr>
            <w:r w:rsidRPr="003E0254">
              <w:rPr>
                <w:sz w:val="20"/>
                <w:szCs w:val="20"/>
              </w:rPr>
              <w:t>88.1%</w:t>
            </w:r>
          </w:p>
        </w:tc>
        <w:tc>
          <w:tcPr>
            <w:tcW w:w="1058" w:type="dxa"/>
            <w:vAlign w:val="center"/>
          </w:tcPr>
          <w:p w14:paraId="5C71BF6C" w14:textId="77777777" w:rsidR="004A779E" w:rsidRPr="003E0254" w:rsidRDefault="004A779E" w:rsidP="00DE06D3">
            <w:pPr>
              <w:spacing w:line="235" w:lineRule="atLeast"/>
              <w:jc w:val="center"/>
              <w:rPr>
                <w:sz w:val="20"/>
                <w:szCs w:val="20"/>
              </w:rPr>
            </w:pPr>
            <w:r w:rsidRPr="003E0254">
              <w:rPr>
                <w:sz w:val="20"/>
                <w:szCs w:val="20"/>
              </w:rPr>
              <w:t>10 mA cm</w:t>
            </w:r>
            <w:r w:rsidRPr="003E0254">
              <w:rPr>
                <w:sz w:val="20"/>
                <w:szCs w:val="20"/>
                <w:vertAlign w:val="superscript"/>
              </w:rPr>
              <w:t>-2</w:t>
            </w:r>
          </w:p>
        </w:tc>
        <w:tc>
          <w:tcPr>
            <w:tcW w:w="932" w:type="dxa"/>
            <w:vAlign w:val="center"/>
          </w:tcPr>
          <w:p w14:paraId="12C9785D" w14:textId="77777777" w:rsidR="004A779E" w:rsidRPr="003E0254" w:rsidRDefault="004A779E" w:rsidP="00DE06D3">
            <w:pPr>
              <w:spacing w:line="235" w:lineRule="atLeast"/>
              <w:jc w:val="center"/>
              <w:rPr>
                <w:sz w:val="20"/>
                <w:szCs w:val="20"/>
              </w:rPr>
            </w:pPr>
          </w:p>
        </w:tc>
        <w:tc>
          <w:tcPr>
            <w:tcW w:w="630" w:type="dxa"/>
            <w:vAlign w:val="center"/>
          </w:tcPr>
          <w:p w14:paraId="561B515D" w14:textId="1DADDF45" w:rsidR="004A779E" w:rsidRPr="003E0254" w:rsidRDefault="004A779E" w:rsidP="00DE06D3">
            <w:pPr>
              <w:spacing w:line="235" w:lineRule="atLeast"/>
              <w:jc w:val="center"/>
              <w:rPr>
                <w:sz w:val="20"/>
                <w:szCs w:val="20"/>
              </w:rPr>
            </w:pPr>
            <w:r w:rsidRPr="003E0254">
              <w:rPr>
                <w:sz w:val="20"/>
                <w:szCs w:val="20"/>
              </w:rPr>
              <w:t>Zhong</w:t>
            </w:r>
            <w:r w:rsidR="00E27323" w:rsidRPr="003E0254">
              <w:rPr>
                <w:sz w:val="20"/>
                <w:szCs w:val="20"/>
              </w:rPr>
              <w:t xml:space="preserve"> et al.</w:t>
            </w:r>
            <w:r w:rsidR="00E27323" w:rsidRPr="003E0254">
              <w:rPr>
                <w:sz w:val="20"/>
                <w:szCs w:val="20"/>
              </w:rPr>
              <w:fldChar w:fldCharType="begin" w:fldLock="1"/>
            </w:r>
            <w:r w:rsidR="00500B8D" w:rsidRPr="003E0254">
              <w:rPr>
                <w:sz w:val="20"/>
                <w:szCs w:val="20"/>
              </w:rPr>
              <w:instrText>ADDIN CSL_CITATION {"citationItems":[{"id":"ITEM-1","itemData":{"DOI":"10.1002/ADMA.202301952","ISSN":"1521-4095","PMID":"37067852","abstract":"A conventional two-electrode rechargeable zinc–air battery (RZAB) has two major problems: 1) opposing requirements for the oxygen reduction (ORR) and oxygen evolution (OER) reactions from the catalyst at the air cathode; and 2) zinc-dendrite formation, hydrogen generation, and zinc corrosion at the zinc anode. To tackle these problems, a three-electrode RZAB (T-RZAB) including a hydrophobic discharge cathode, a hydrophilic charge cathode, and a zinc-free anode is developed. The decoupled cathodes enable fast ORR and OER kinetics, and avoid oxidization of the ORR catalyst. The zinc-free anode using tin-coated copper foam that induces the growth of (002)Zn planes, suppresses hydrogen evolution, and prevents Zn corrosion. As a result, the T-RZABs have a high discharge capacity per cycle of 800 mAh cm−2, a low voltage gap between the discharge/charge platforms of 0.66 V, and an ultralong cycle life of 5220 h at a current density of 10 mA cm−2. A large T-RZAB with a discharge capacity of 10 Ah per cycle with no obvious degradation after cycling for 1000 h is developed. Finally, a T-RZAB pack that has an energy density of 151.8 Wh kg−1 and a low cost of 46.7 US dollars kWh−1 is assembled.","author":[{"dropping-particle":"","family":"Zhong","given":"Xiongwei","non-dropping-particle":"","parse-names":false,"suffix":""},{"dropping-particle":"","family":"Shao","given":"Yangfan","non-dropping-particle":"","parse-names":false,"suffix":""},{"dropping-particle":"","family":"Chen","given":"Biao","non-dropping-particle":"","parse-names":false,"suffix":""},{"dropping-particle":"","family":"Li","given":"Chuang","non-dropping-particle":"","parse-names":false,"suffix":""},{"dropping-particle":"","family":"Sheng","given":"Jinzhi","non-dropping-particle":"","parse-names":false,"suffix":""},{"dropping-particle":"","family":"Xiao","given":"Xiao","non-dropping-particle":"","parse-names":false,"suffix":""},{"dropping-particle":"","family":"Xu","given":"Baomin","non-dropping-particle":"","parse-names":false,"suffix":""},{"dropping-particle":"","family":"Li","given":"Jia","non-dropping-particle":"","parse-names":false,"suffix":""},{"dropping-particle":"","family":"Cheng","given":"Hui Ming","non-dropping-particle":"","parse-names":false,"suffix":""},{"dropping-particle":"","family":"Zhou","given":"Guangmin","non-dropping-particle":"","parse-names":false,"suffix":""}],"container-title":"Advanced Materials","id":"ITEM-1","issue":"30","issued":{"date-parts":[["2023","7","1"]]},"page":"2301952","publisher":"John Wiley &amp; Sons, Ltd","title":"Rechargeable Zinc–Air Batteries with an Ultralarge Discharge Capacity per Cycle and an Ultralong Cycle Life","type":"article-journal","volume":"35"},"uris":["http://www.mendeley.com/documents/?uuid=5e97a8c9-2ff2-39db-9d19-8f6dbccbccbe"]}],"mendeley":{"formattedCitation":"&lt;sup&gt;[197]&lt;/sup&gt;","plainTextFormattedCitation":"[197]","previouslyFormattedCitation":"&lt;sup&gt;[196]&lt;/sup&gt;"},"properties":{"noteIndex":0},"schema":"https://github.com/citation-style-language/schema/raw/master/csl-citation.json"}</w:instrText>
            </w:r>
            <w:r w:rsidR="00E27323" w:rsidRPr="003E0254">
              <w:rPr>
                <w:sz w:val="20"/>
                <w:szCs w:val="20"/>
              </w:rPr>
              <w:fldChar w:fldCharType="separate"/>
            </w:r>
            <w:r w:rsidR="00500B8D" w:rsidRPr="003E0254">
              <w:rPr>
                <w:noProof/>
                <w:sz w:val="20"/>
                <w:szCs w:val="20"/>
                <w:vertAlign w:val="superscript"/>
              </w:rPr>
              <w:t>[197]</w:t>
            </w:r>
            <w:r w:rsidR="00E27323" w:rsidRPr="003E0254">
              <w:rPr>
                <w:sz w:val="20"/>
                <w:szCs w:val="20"/>
              </w:rPr>
              <w:fldChar w:fldCharType="end"/>
            </w:r>
          </w:p>
        </w:tc>
        <w:tc>
          <w:tcPr>
            <w:tcW w:w="1345" w:type="dxa"/>
            <w:vAlign w:val="center"/>
          </w:tcPr>
          <w:p w14:paraId="2517913A" w14:textId="6A52B320" w:rsidR="004A779E" w:rsidRPr="003E0254" w:rsidRDefault="004A779E" w:rsidP="00DE06D3">
            <w:pPr>
              <w:spacing w:line="235" w:lineRule="atLeast"/>
              <w:jc w:val="center"/>
              <w:rPr>
                <w:sz w:val="20"/>
                <w:szCs w:val="20"/>
              </w:rPr>
            </w:pPr>
            <w:r w:rsidRPr="003E0254">
              <w:rPr>
                <w:sz w:val="20"/>
                <w:szCs w:val="20"/>
              </w:rPr>
              <w:t>Three-electrode full-cell. Excellent cycling at high DOD.</w:t>
            </w:r>
          </w:p>
        </w:tc>
      </w:tr>
      <w:tr w:rsidR="00DE06D3" w:rsidRPr="003E0254" w14:paraId="791313DE" w14:textId="77777777" w:rsidTr="005B1B4B">
        <w:trPr>
          <w:jc w:val="center"/>
        </w:trPr>
        <w:tc>
          <w:tcPr>
            <w:tcW w:w="1517" w:type="dxa"/>
            <w:vAlign w:val="center"/>
          </w:tcPr>
          <w:p w14:paraId="4C781F6E" w14:textId="585ECCF9" w:rsidR="004A779E" w:rsidRPr="003E0254" w:rsidRDefault="00AC3A3E" w:rsidP="00DE06D3">
            <w:pPr>
              <w:spacing w:line="235" w:lineRule="atLeast"/>
              <w:jc w:val="center"/>
              <w:rPr>
                <w:sz w:val="20"/>
                <w:szCs w:val="20"/>
              </w:rPr>
            </w:pPr>
            <w:r w:rsidRPr="003E0254">
              <w:rPr>
                <w:sz w:val="20"/>
                <w:szCs w:val="20"/>
              </w:rPr>
              <w:t>MnO</w:t>
            </w:r>
            <w:r w:rsidRPr="003E0254">
              <w:rPr>
                <w:sz w:val="20"/>
                <w:szCs w:val="20"/>
                <w:vertAlign w:val="subscript"/>
              </w:rPr>
              <w:t>2</w:t>
            </w:r>
            <w:r w:rsidRPr="003E0254">
              <w:rPr>
                <w:sz w:val="20"/>
                <w:szCs w:val="20"/>
              </w:rPr>
              <w:t xml:space="preserve"> </w:t>
            </w:r>
            <w:r w:rsidR="004A779E" w:rsidRPr="003E0254">
              <w:rPr>
                <w:sz w:val="20"/>
                <w:szCs w:val="20"/>
              </w:rPr>
              <w:t xml:space="preserve">| 45% KOH | </w:t>
            </w:r>
            <w:proofErr w:type="spellStart"/>
            <w:r w:rsidRPr="003E0254">
              <w:rPr>
                <w:sz w:val="20"/>
                <w:szCs w:val="20"/>
              </w:rPr>
              <w:t>ZnO</w:t>
            </w:r>
            <w:proofErr w:type="spellEnd"/>
            <w:r w:rsidRPr="003E0254">
              <w:rPr>
                <w:sz w:val="20"/>
                <w:szCs w:val="20"/>
              </w:rPr>
              <w:t xml:space="preserve"> paste </w:t>
            </w:r>
          </w:p>
        </w:tc>
        <w:tc>
          <w:tcPr>
            <w:tcW w:w="873" w:type="dxa"/>
            <w:vAlign w:val="center"/>
          </w:tcPr>
          <w:p w14:paraId="375AAF5B" w14:textId="77777777" w:rsidR="004A779E" w:rsidRPr="003E0254" w:rsidRDefault="004A779E" w:rsidP="00DE06D3">
            <w:pPr>
              <w:spacing w:line="235" w:lineRule="atLeast"/>
              <w:jc w:val="center"/>
              <w:rPr>
                <w:sz w:val="20"/>
                <w:szCs w:val="20"/>
              </w:rPr>
            </w:pPr>
            <w:r w:rsidRPr="003E0254">
              <w:rPr>
                <w:sz w:val="20"/>
                <w:szCs w:val="20"/>
              </w:rPr>
              <w:t>1000</w:t>
            </w:r>
          </w:p>
        </w:tc>
        <w:tc>
          <w:tcPr>
            <w:tcW w:w="1115" w:type="dxa"/>
            <w:vAlign w:val="center"/>
          </w:tcPr>
          <w:p w14:paraId="2D05FB38" w14:textId="77777777" w:rsidR="004A779E" w:rsidRPr="003E0254" w:rsidRDefault="004A779E" w:rsidP="00DE06D3">
            <w:pPr>
              <w:spacing w:line="235" w:lineRule="atLeast"/>
              <w:jc w:val="center"/>
              <w:rPr>
                <w:sz w:val="20"/>
                <w:szCs w:val="20"/>
              </w:rPr>
            </w:pPr>
          </w:p>
        </w:tc>
        <w:tc>
          <w:tcPr>
            <w:tcW w:w="1138" w:type="dxa"/>
            <w:vAlign w:val="center"/>
          </w:tcPr>
          <w:p w14:paraId="59835FEB" w14:textId="1B7A78ED" w:rsidR="004A779E" w:rsidRPr="003E0254" w:rsidRDefault="004A779E" w:rsidP="00DE06D3">
            <w:pPr>
              <w:spacing w:line="235" w:lineRule="atLeast"/>
              <w:jc w:val="center"/>
              <w:rPr>
                <w:sz w:val="20"/>
                <w:szCs w:val="20"/>
              </w:rPr>
            </w:pPr>
            <w:r w:rsidRPr="003E0254">
              <w:rPr>
                <w:sz w:val="20"/>
                <w:szCs w:val="20"/>
              </w:rPr>
              <w:t xml:space="preserve">192 </w:t>
            </w:r>
            <w:proofErr w:type="spellStart"/>
            <w:r w:rsidRPr="003E0254">
              <w:rPr>
                <w:sz w:val="20"/>
                <w:szCs w:val="20"/>
              </w:rPr>
              <w:t>mAh</w:t>
            </w:r>
            <w:proofErr w:type="spellEnd"/>
            <w:r w:rsidR="00DE06D3" w:rsidRPr="003E0254">
              <w:rPr>
                <w:sz w:val="20"/>
                <w:szCs w:val="20"/>
              </w:rPr>
              <w:t> </w:t>
            </w:r>
            <w:proofErr w:type="spellStart"/>
            <w:r w:rsidRPr="003E0254">
              <w:rPr>
                <w:sz w:val="20"/>
                <w:szCs w:val="20"/>
              </w:rPr>
              <w:t>mL</w:t>
            </w:r>
            <w:r w:rsidR="00DE06D3" w:rsidRPr="003E0254">
              <w:rPr>
                <w:sz w:val="20"/>
                <w:szCs w:val="20"/>
                <w:vertAlign w:val="subscript"/>
              </w:rPr>
              <w:t>anode</w:t>
            </w:r>
            <w:proofErr w:type="spellEnd"/>
            <w:r w:rsidR="00DE06D3" w:rsidRPr="003E0254">
              <w:rPr>
                <w:sz w:val="20"/>
                <w:szCs w:val="20"/>
                <w:vertAlign w:val="superscript"/>
              </w:rPr>
              <w:t xml:space="preserve"> -1</w:t>
            </w:r>
            <w:r w:rsidRPr="003E0254">
              <w:rPr>
                <w:sz w:val="20"/>
                <w:szCs w:val="20"/>
              </w:rPr>
              <w:t xml:space="preserve"> </w:t>
            </w:r>
          </w:p>
        </w:tc>
        <w:tc>
          <w:tcPr>
            <w:tcW w:w="742" w:type="dxa"/>
            <w:vAlign w:val="center"/>
          </w:tcPr>
          <w:p w14:paraId="2003ACA4" w14:textId="77777777" w:rsidR="004A779E" w:rsidRPr="003E0254" w:rsidRDefault="004A779E" w:rsidP="00DE06D3">
            <w:pPr>
              <w:spacing w:line="235" w:lineRule="atLeast"/>
              <w:jc w:val="center"/>
              <w:rPr>
                <w:sz w:val="20"/>
                <w:szCs w:val="20"/>
              </w:rPr>
            </w:pPr>
            <w:r w:rsidRPr="003E0254">
              <w:rPr>
                <w:sz w:val="20"/>
                <w:szCs w:val="20"/>
              </w:rPr>
              <w:t>15%</w:t>
            </w:r>
          </w:p>
        </w:tc>
        <w:tc>
          <w:tcPr>
            <w:tcW w:w="1058" w:type="dxa"/>
            <w:vAlign w:val="center"/>
          </w:tcPr>
          <w:p w14:paraId="4802C321" w14:textId="77777777" w:rsidR="004A779E" w:rsidRPr="003E0254" w:rsidRDefault="004A779E" w:rsidP="00DE06D3">
            <w:pPr>
              <w:spacing w:line="235" w:lineRule="atLeast"/>
              <w:jc w:val="center"/>
              <w:rPr>
                <w:sz w:val="20"/>
                <w:szCs w:val="20"/>
              </w:rPr>
            </w:pPr>
            <w:r w:rsidRPr="003E0254">
              <w:rPr>
                <w:sz w:val="20"/>
                <w:szCs w:val="20"/>
              </w:rPr>
              <w:t>6.5 mA cm</w:t>
            </w:r>
            <w:r w:rsidRPr="003E0254">
              <w:rPr>
                <w:sz w:val="20"/>
                <w:szCs w:val="20"/>
                <w:vertAlign w:val="superscript"/>
              </w:rPr>
              <w:t>-2</w:t>
            </w:r>
          </w:p>
        </w:tc>
        <w:tc>
          <w:tcPr>
            <w:tcW w:w="932" w:type="dxa"/>
            <w:vAlign w:val="center"/>
          </w:tcPr>
          <w:p w14:paraId="2D04A1A1" w14:textId="77777777" w:rsidR="004A779E" w:rsidRPr="003E0254" w:rsidRDefault="004A779E" w:rsidP="00DE06D3">
            <w:pPr>
              <w:spacing w:line="235" w:lineRule="atLeast"/>
              <w:jc w:val="center"/>
              <w:rPr>
                <w:sz w:val="20"/>
                <w:szCs w:val="20"/>
              </w:rPr>
            </w:pPr>
          </w:p>
        </w:tc>
        <w:tc>
          <w:tcPr>
            <w:tcW w:w="630" w:type="dxa"/>
            <w:vAlign w:val="center"/>
          </w:tcPr>
          <w:p w14:paraId="25B972C2" w14:textId="63132B6A" w:rsidR="004A779E" w:rsidRPr="003E0254" w:rsidRDefault="004A779E" w:rsidP="00DE06D3">
            <w:pPr>
              <w:spacing w:line="235" w:lineRule="atLeast"/>
              <w:jc w:val="center"/>
              <w:rPr>
                <w:sz w:val="20"/>
                <w:szCs w:val="20"/>
              </w:rPr>
            </w:pPr>
            <w:r w:rsidRPr="003E0254">
              <w:rPr>
                <w:sz w:val="20"/>
                <w:szCs w:val="20"/>
              </w:rPr>
              <w:t xml:space="preserve">Turney </w:t>
            </w:r>
            <w:r w:rsidR="00E27323" w:rsidRPr="003E0254">
              <w:rPr>
                <w:sz w:val="20"/>
                <w:szCs w:val="20"/>
              </w:rPr>
              <w:t>et al.</w:t>
            </w:r>
            <w:r w:rsidR="00E27323" w:rsidRPr="003E0254">
              <w:rPr>
                <w:sz w:val="20"/>
                <w:szCs w:val="20"/>
              </w:rPr>
              <w:fldChar w:fldCharType="begin" w:fldLock="1"/>
            </w:r>
            <w:r w:rsidR="00500B8D" w:rsidRPr="003E0254">
              <w:rPr>
                <w:sz w:val="20"/>
                <w:szCs w:val="20"/>
              </w:rPr>
              <w:instrText xml:space="preserve">ADDIN CSL_CITATION {"citationItems":[{"id":"ITEM-1","itemData":{"DOI":"10.1021/ACS.CHEMMATER.7B00754/ASSET/IMAGES/LARGE/CM-2017-00754E_0008.JPEG","ISSN":"15205002","abstract":"Zinc alkaline anodes command significant share of consumer battery markets and are a key technology for the emerging grid-scale battery market. Improved understanding of this electrode is required for long-cycle deployments at kWh and MWh scale due to strict requirements on performance, cost, and safety. Here we give a modern literature survey of zinc alkaline anodes with levelized performance metrics and also present an experimental assessment of leading formulations. Long-cycle materials characterization, performance metrics, and failure analysis are reported for over 25 unique anode formulations with up to 1500 cycles and </w:instrText>
            </w:r>
            <w:r w:rsidR="00500B8D" w:rsidRPr="003E0254">
              <w:rPr>
                <w:rFonts w:ascii="Cambria Math" w:hAnsi="Cambria Math" w:cs="Cambria Math"/>
                <w:sz w:val="20"/>
                <w:szCs w:val="20"/>
              </w:rPr>
              <w:instrText>∼</w:instrText>
            </w:r>
            <w:r w:rsidR="00500B8D" w:rsidRPr="003E0254">
              <w:rPr>
                <w:sz w:val="20"/>
                <w:szCs w:val="20"/>
              </w:rPr>
              <w:instrText>1.5 years of shelf life per test. Statistical repeatability of these measurements is made for a baseline design (fewest additives) via 15 duplicates. Baseline design capacity density is 38 mAh per mL of anode volume, and lifetime throughput is 72 Ah per mL of anode volume. We then report identical measurements for anodes with improved material properties via additives and other perturbations, some of which achieve capacity density over 192 mAh per mL of anode volume and lifetime throughput of 190 Ah per mL of anode volume. Novel in operando X-ray microscopy of a cycling zinc paste anode reveals the formation of a nanoscale zinc material that cycles electrochemically and replaces the original anode structure over long-cycle life. Ex situ elemental mapping and other materials characterization suggest that the key physical processes are hydrogen evolution reaction (HER), growth of zinc oxide nanoscale material, concentration deficits of OH- and ZnOH42-, and electrodeposition of Zn growths outside and through separator membranes.","author":[{"dropping-particle":"","family":"Turney","given":"Damon E.","non-dropping-particle":"","parse-names":false,"suffix":""},{"dropping-particle":"","family":"Gallaway","given":"Joshua W.","non-dropping-particle":"","parse-names":false,"suffix":""},{"dropping-particle":"","family":"Yadav","given":"Gautam G.","non-dropping-particle":"","parse-names":false,"suffix":""},{"dropping-particle":"","family":"Ramirez","given":"Rodolfo","non-dropping-particle":"","parse-names":false,"suffix":""},{"dropping-particle":"","family":"Nyce","given":"Michael","non-dropping-particle":"","parse-names":false,"suffix":""},{"dropping-particle":"","family":"Banerjee","given":"Sanjoy","non-dropping-particle":"","parse-names":false,"suffix":""},{"dropping-particle":"","family":"Chen-Wiegart","given":"Yu Chen Karen","non-dropping-particle":"","parse-names":false,"suffix":""},{"dropping-particle":"","family":"Wang","given":"Jun","non-dropping-particle":"","parse-names":false,"suffix":""},{"dropping-particle":"","family":"D'Ambrose","given":"Michael J.","non-dropping-particle":"","parse-names":false,"suffix":""},{"dropping-particle":"","family":"Kolhekar","given":"Snehal","non-dropping-particle":"","parse-names":false,"suffix":""},{"dropping-particle":"","family":"Huang","given":"Jinchao","non-dropping-particle":"","parse-names":false,"suffix":""},{"dropping-particle":"","family":"Wei","given":"Xia","non-dropping-particle":"","parse-names":false,"suffix":""}],"container-title":"Chemistry of Materials","id":"ITEM-1","issue":"11","issued":{"date-parts":[["2017","6","13"]]},"page":"4819-4832","publisher":"American Chemical Society","title":"Rechargeable Zinc Alkaline Anodes for Long-Cycle Energy Storage","type":"article-journal","volume":"29"},"uris":["http://www.mendeley.com/documents/?uuid=3b9bba34-9da5-3059-af2a-788fc2db5317"]}],"mendeley":{"formattedCitation":"&lt;sup&gt;[200]&lt;/sup&gt;","plainTextFormattedCitation":"[200]","previouslyFormattedCitation":"&lt;sup&gt;[199]&lt;/sup&gt;"},"properties":{"noteIndex":0},"schema":"https://github.com/citation-style-language/schema/raw/master/csl-citation.json"}</w:instrText>
            </w:r>
            <w:r w:rsidR="00E27323" w:rsidRPr="003E0254">
              <w:rPr>
                <w:sz w:val="20"/>
                <w:szCs w:val="20"/>
              </w:rPr>
              <w:fldChar w:fldCharType="separate"/>
            </w:r>
            <w:r w:rsidR="00500B8D" w:rsidRPr="003E0254">
              <w:rPr>
                <w:noProof/>
                <w:sz w:val="20"/>
                <w:szCs w:val="20"/>
                <w:vertAlign w:val="superscript"/>
              </w:rPr>
              <w:t>[200]</w:t>
            </w:r>
            <w:r w:rsidR="00E27323" w:rsidRPr="003E0254">
              <w:rPr>
                <w:sz w:val="20"/>
                <w:szCs w:val="20"/>
              </w:rPr>
              <w:fldChar w:fldCharType="end"/>
            </w:r>
          </w:p>
        </w:tc>
        <w:tc>
          <w:tcPr>
            <w:tcW w:w="1345" w:type="dxa"/>
            <w:vAlign w:val="center"/>
          </w:tcPr>
          <w:p w14:paraId="4671067F" w14:textId="42FBC840" w:rsidR="004A779E" w:rsidRPr="003E0254" w:rsidRDefault="008B36F6" w:rsidP="00DE06D3">
            <w:pPr>
              <w:spacing w:line="235" w:lineRule="atLeast"/>
              <w:jc w:val="center"/>
              <w:rPr>
                <w:sz w:val="20"/>
                <w:szCs w:val="20"/>
              </w:rPr>
            </w:pPr>
            <w:r w:rsidRPr="003E0254">
              <w:rPr>
                <w:sz w:val="20"/>
                <w:szCs w:val="20"/>
              </w:rPr>
              <w:t>Long-term cyclin</w:t>
            </w:r>
            <w:r w:rsidR="0010696D" w:rsidRPr="003E0254">
              <w:rPr>
                <w:sz w:val="20"/>
                <w:szCs w:val="20"/>
              </w:rPr>
              <w:t xml:space="preserve">g without use of Pb or Hg </w:t>
            </w:r>
            <w:r w:rsidRPr="003E0254">
              <w:rPr>
                <w:sz w:val="20"/>
                <w:szCs w:val="20"/>
              </w:rPr>
              <w:t xml:space="preserve"> </w:t>
            </w:r>
          </w:p>
        </w:tc>
      </w:tr>
      <w:tr w:rsidR="00DE06D3" w:rsidRPr="003E0254" w14:paraId="5A3FC31A" w14:textId="77777777" w:rsidTr="005B1B4B">
        <w:trPr>
          <w:jc w:val="center"/>
        </w:trPr>
        <w:tc>
          <w:tcPr>
            <w:tcW w:w="1517" w:type="dxa"/>
            <w:vAlign w:val="center"/>
          </w:tcPr>
          <w:p w14:paraId="2C6B2CA1" w14:textId="426CBD17" w:rsidR="004A779E" w:rsidRPr="003E0254" w:rsidRDefault="004A779E" w:rsidP="00DE06D3">
            <w:pPr>
              <w:spacing w:line="235" w:lineRule="atLeast"/>
              <w:jc w:val="center"/>
              <w:rPr>
                <w:sz w:val="20"/>
                <w:szCs w:val="20"/>
              </w:rPr>
            </w:pPr>
            <w:r w:rsidRPr="003E0254">
              <w:rPr>
                <w:sz w:val="20"/>
                <w:szCs w:val="20"/>
              </w:rPr>
              <w:t xml:space="preserve">3D </w:t>
            </w:r>
            <w:proofErr w:type="spellStart"/>
            <w:r w:rsidRPr="003E0254">
              <w:rPr>
                <w:sz w:val="20"/>
                <w:szCs w:val="20"/>
              </w:rPr>
              <w:t>Zn</w:t>
            </w:r>
            <w:r w:rsidRPr="003E0254">
              <w:rPr>
                <w:sz w:val="20"/>
                <w:szCs w:val="20"/>
                <w:vertAlign w:val="subscript"/>
              </w:rPr>
              <w:t>Cu</w:t>
            </w:r>
            <w:proofErr w:type="spellEnd"/>
            <w:r w:rsidRPr="003E0254">
              <w:rPr>
                <w:sz w:val="20"/>
                <w:szCs w:val="20"/>
                <w:vertAlign w:val="subscript"/>
              </w:rPr>
              <w:t xml:space="preserve"> foam</w:t>
            </w:r>
            <w:r w:rsidRPr="003E0254">
              <w:rPr>
                <w:sz w:val="20"/>
                <w:szCs w:val="20"/>
              </w:rPr>
              <w:t xml:space="preserve"> </w:t>
            </w:r>
            <w:r w:rsidR="00AC3A3E" w:rsidRPr="003E0254">
              <w:rPr>
                <w:sz w:val="20"/>
                <w:szCs w:val="20"/>
              </w:rPr>
              <w:t xml:space="preserve">| </w:t>
            </w:r>
            <w:r w:rsidRPr="003E0254">
              <w:rPr>
                <w:sz w:val="20"/>
                <w:szCs w:val="20"/>
              </w:rPr>
              <w:t xml:space="preserve">8 M KOH + 0.5 M </w:t>
            </w:r>
            <w:proofErr w:type="spellStart"/>
            <w:r w:rsidRPr="003E0254">
              <w:rPr>
                <w:sz w:val="20"/>
                <w:szCs w:val="20"/>
              </w:rPr>
              <w:t>ZnO</w:t>
            </w:r>
            <w:proofErr w:type="spellEnd"/>
            <w:r w:rsidR="00AC3A3E" w:rsidRPr="003E0254">
              <w:rPr>
                <w:sz w:val="20"/>
                <w:szCs w:val="20"/>
              </w:rPr>
              <w:t xml:space="preserve"> |</w:t>
            </w:r>
            <w:r w:rsidRPr="003E0254">
              <w:rPr>
                <w:sz w:val="20"/>
                <w:szCs w:val="20"/>
              </w:rPr>
              <w:t xml:space="preserve"> Zn</w:t>
            </w:r>
          </w:p>
        </w:tc>
        <w:tc>
          <w:tcPr>
            <w:tcW w:w="873" w:type="dxa"/>
            <w:vAlign w:val="center"/>
          </w:tcPr>
          <w:p w14:paraId="269BE5D8" w14:textId="77777777" w:rsidR="004A779E" w:rsidRPr="003E0254" w:rsidRDefault="004A779E" w:rsidP="00DE06D3">
            <w:pPr>
              <w:spacing w:line="235" w:lineRule="atLeast"/>
              <w:jc w:val="center"/>
              <w:rPr>
                <w:sz w:val="20"/>
                <w:szCs w:val="20"/>
              </w:rPr>
            </w:pPr>
            <w:r w:rsidRPr="003E0254">
              <w:rPr>
                <w:sz w:val="20"/>
                <w:szCs w:val="20"/>
              </w:rPr>
              <w:t>10000</w:t>
            </w:r>
          </w:p>
        </w:tc>
        <w:tc>
          <w:tcPr>
            <w:tcW w:w="1115" w:type="dxa"/>
            <w:vAlign w:val="center"/>
          </w:tcPr>
          <w:p w14:paraId="45CD62A4" w14:textId="77777777" w:rsidR="004A779E" w:rsidRPr="003E0254" w:rsidRDefault="004A779E" w:rsidP="00DE06D3">
            <w:pPr>
              <w:spacing w:line="235" w:lineRule="atLeast"/>
              <w:jc w:val="center"/>
              <w:rPr>
                <w:sz w:val="20"/>
                <w:szCs w:val="20"/>
              </w:rPr>
            </w:pPr>
          </w:p>
        </w:tc>
        <w:tc>
          <w:tcPr>
            <w:tcW w:w="1138" w:type="dxa"/>
            <w:vAlign w:val="center"/>
          </w:tcPr>
          <w:p w14:paraId="734DF8E1" w14:textId="77777777" w:rsidR="004A779E" w:rsidRPr="003E0254" w:rsidRDefault="004A779E" w:rsidP="00DE06D3">
            <w:pPr>
              <w:spacing w:line="235" w:lineRule="atLeast"/>
              <w:jc w:val="center"/>
              <w:rPr>
                <w:sz w:val="20"/>
                <w:szCs w:val="20"/>
              </w:rPr>
            </w:pPr>
          </w:p>
        </w:tc>
        <w:tc>
          <w:tcPr>
            <w:tcW w:w="742" w:type="dxa"/>
            <w:vAlign w:val="center"/>
          </w:tcPr>
          <w:p w14:paraId="1151BEA3" w14:textId="77777777" w:rsidR="004A779E" w:rsidRPr="003E0254" w:rsidRDefault="004A779E" w:rsidP="00DE06D3">
            <w:pPr>
              <w:spacing w:line="235" w:lineRule="atLeast"/>
              <w:jc w:val="center"/>
              <w:rPr>
                <w:sz w:val="20"/>
                <w:szCs w:val="20"/>
              </w:rPr>
            </w:pPr>
            <w:r w:rsidRPr="003E0254">
              <w:rPr>
                <w:sz w:val="20"/>
                <w:szCs w:val="20"/>
              </w:rPr>
              <w:t>100%</w:t>
            </w:r>
          </w:p>
        </w:tc>
        <w:tc>
          <w:tcPr>
            <w:tcW w:w="1058" w:type="dxa"/>
            <w:vAlign w:val="center"/>
          </w:tcPr>
          <w:p w14:paraId="080B201A" w14:textId="77777777" w:rsidR="004A779E" w:rsidRPr="003E0254" w:rsidRDefault="004A779E" w:rsidP="00DE06D3">
            <w:pPr>
              <w:spacing w:line="235" w:lineRule="atLeast"/>
              <w:jc w:val="center"/>
              <w:rPr>
                <w:sz w:val="20"/>
                <w:szCs w:val="20"/>
              </w:rPr>
            </w:pPr>
            <w:r w:rsidRPr="003E0254">
              <w:rPr>
                <w:sz w:val="20"/>
                <w:szCs w:val="20"/>
              </w:rPr>
              <w:t>250 mA cm</w:t>
            </w:r>
            <w:r w:rsidRPr="003E0254">
              <w:rPr>
                <w:sz w:val="20"/>
                <w:szCs w:val="20"/>
                <w:vertAlign w:val="superscript"/>
              </w:rPr>
              <w:t>-2</w:t>
            </w:r>
          </w:p>
        </w:tc>
        <w:tc>
          <w:tcPr>
            <w:tcW w:w="932" w:type="dxa"/>
            <w:vAlign w:val="center"/>
          </w:tcPr>
          <w:p w14:paraId="2DDB315B" w14:textId="77777777" w:rsidR="004A779E" w:rsidRPr="003E0254" w:rsidRDefault="004A779E" w:rsidP="00DE06D3">
            <w:pPr>
              <w:spacing w:line="235" w:lineRule="atLeast"/>
              <w:jc w:val="center"/>
              <w:rPr>
                <w:sz w:val="20"/>
                <w:szCs w:val="20"/>
              </w:rPr>
            </w:pPr>
          </w:p>
        </w:tc>
        <w:tc>
          <w:tcPr>
            <w:tcW w:w="630" w:type="dxa"/>
            <w:vAlign w:val="center"/>
          </w:tcPr>
          <w:p w14:paraId="4D013478" w14:textId="49E3BA5C" w:rsidR="004A779E" w:rsidRPr="003E0254" w:rsidRDefault="004A779E" w:rsidP="00DE06D3">
            <w:pPr>
              <w:spacing w:line="235" w:lineRule="atLeast"/>
              <w:jc w:val="center"/>
              <w:rPr>
                <w:sz w:val="20"/>
                <w:szCs w:val="20"/>
              </w:rPr>
            </w:pPr>
            <w:r w:rsidRPr="003E0254">
              <w:rPr>
                <w:sz w:val="20"/>
                <w:szCs w:val="20"/>
              </w:rPr>
              <w:t>Yan</w:t>
            </w:r>
            <w:r w:rsidR="00E27323" w:rsidRPr="003E0254">
              <w:rPr>
                <w:sz w:val="20"/>
                <w:szCs w:val="20"/>
              </w:rPr>
              <w:t xml:space="preserve"> et al.</w:t>
            </w:r>
            <w:r w:rsidR="00E27323" w:rsidRPr="003E0254">
              <w:rPr>
                <w:sz w:val="20"/>
                <w:szCs w:val="20"/>
              </w:rPr>
              <w:fldChar w:fldCharType="begin" w:fldLock="1"/>
            </w:r>
            <w:r w:rsidR="00500B8D" w:rsidRPr="003E0254">
              <w:rPr>
                <w:sz w:val="20"/>
                <w:szCs w:val="20"/>
              </w:rPr>
              <w:instrText>ADDIN CSL_CITATION {"citationItems":[{"id":"ITEM-1","itemData":{"DOI":"10.1039/C5RA16264E","ISSN":"2046-2069","abstract":"Three-dimensional (3D) Zn/Cu foam electrodes are fabricated by pulse electro-deposition of zinc on copper foam and investigated as negative electrode materials for zinc-based alkaline batteries. Scanning electron microscopy (SEM) images show that epitaxially layered zinc crystals distribute uniformly on the 3D copper foam-like skeleton. A peak power density of 286 mW cm−2 and utilization of 92% (754 mA h g−1 at 200 mA cm−2) are obtained when the Zn/Cu foam electrodes are used in primary zinc/oxygen batteries and reveal high rate capability and material utilization of the 3D electrodes. To probe the rechargeability of the Zn/Cu foam electrodes, zinc/zinc quasi-symmetric cells are cycled under severe conditions, i.e., a discharge–charge current density of as high as 250 mA cm−2, 100% depth of discharge and without dendrite-suppressing additives that would otherwise suppress dendrite growth, yet the 3D Zn/Cu foam electrodes remain dendrite-free experienced 10</w:instrText>
            </w:r>
            <w:r w:rsidR="00500B8D" w:rsidRPr="003E0254">
              <w:rPr>
                <w:rFonts w:ascii="Arial" w:hAnsi="Arial" w:cs="Arial"/>
                <w:sz w:val="20"/>
                <w:szCs w:val="20"/>
              </w:rPr>
              <w:instrText> </w:instrText>
            </w:r>
            <w:r w:rsidR="00500B8D" w:rsidRPr="003E0254">
              <w:rPr>
                <w:sz w:val="20"/>
                <w:szCs w:val="20"/>
              </w:rPr>
              <w:instrText>000 discharge</w:instrText>
            </w:r>
            <w:r w:rsidR="00500B8D" w:rsidRPr="003E0254">
              <w:rPr>
                <w:rFonts w:ascii="Aptos" w:hAnsi="Aptos" w:cs="Aptos"/>
                <w:sz w:val="20"/>
                <w:szCs w:val="20"/>
              </w:rPr>
              <w:instrText>–</w:instrText>
            </w:r>
            <w:r w:rsidR="00500B8D" w:rsidRPr="003E0254">
              <w:rPr>
                <w:sz w:val="20"/>
                <w:szCs w:val="20"/>
              </w:rPr>
              <w:instrText>charge cycles. The specific capacity of the 3D Zn/Cu foam electrodes reaches up to 620 mA h g</w:instrText>
            </w:r>
            <w:r w:rsidR="00500B8D" w:rsidRPr="003E0254">
              <w:rPr>
                <w:rFonts w:ascii="Aptos" w:hAnsi="Aptos" w:cs="Aptos"/>
                <w:sz w:val="20"/>
                <w:szCs w:val="20"/>
              </w:rPr>
              <w:instrText>−</w:instrText>
            </w:r>
            <w:r w:rsidR="00500B8D" w:rsidRPr="003E0254">
              <w:rPr>
                <w:sz w:val="20"/>
                <w:szCs w:val="20"/>
              </w:rPr>
              <w:instrText>1 after at least 9000 discharge</w:instrText>
            </w:r>
            <w:r w:rsidR="00500B8D" w:rsidRPr="003E0254">
              <w:rPr>
                <w:rFonts w:ascii="Aptos" w:hAnsi="Aptos" w:cs="Aptos"/>
                <w:sz w:val="20"/>
                <w:szCs w:val="20"/>
              </w:rPr>
              <w:instrText>–</w:instrText>
            </w:r>
            <w:r w:rsidR="00500B8D" w:rsidRPr="003E0254">
              <w:rPr>
                <w:sz w:val="20"/>
                <w:szCs w:val="20"/>
              </w:rPr>
              <w:instrText>charge cycles in a prototype Zn/Ni battery, exhibiting the superior cycling stability of the 3D Zn/Cu foam electrodes.","author":[{"dropping-particle":"","family":"Yan","given":"Zhao","non-dropping-particle":"","parse-names":false,"suffix":""},{"dropping-particle":"","family":"Wang","given":"Erdong","non-dropping-particle":"","parse-names":false,"suffix":""},{"dropping-particle":"","family":"Jiang","given":"Luhua","non-dropping-particle":"","parse-names":false,"suffix":""},{"dropping-particle":"","family":"Sun","given":"Gongquan","non-dropping-particle":"","parse-names":false,"suffix":""}],"container-title":"RSC Advances","id":"ITEM-1","issue":"102","issued":{"date-parts":[["2015","10","1"]]},"page":"83781-83787","publisher":"The Royal Society of Chemistry","title":"Superior cycling stability and high rate capability of three-dimensional Zn/Cu foam electrodes for zinc-based alkaline batteries","type":"article-journal","volume":"5"},"uris":["http://www.mendeley.com/documents/?uuid=d2a5b10d-49bb-3121-9440-50cc027f9430"]}],"mendeley":{"formattedCitation":"&lt;sup&gt;[196]&lt;/sup&gt;","plainTextFormattedCitation":"[196]","previouslyFormattedCitation":"&lt;sup&gt;[195]&lt;/sup&gt;"},"properties":{"noteIndex":0},"schema":"https://github.com/citation-style-language/schema/raw/master/csl-citation.json"}</w:instrText>
            </w:r>
            <w:r w:rsidR="00E27323" w:rsidRPr="003E0254">
              <w:rPr>
                <w:sz w:val="20"/>
                <w:szCs w:val="20"/>
              </w:rPr>
              <w:fldChar w:fldCharType="separate"/>
            </w:r>
            <w:r w:rsidR="00500B8D" w:rsidRPr="003E0254">
              <w:rPr>
                <w:noProof/>
                <w:sz w:val="20"/>
                <w:szCs w:val="20"/>
                <w:vertAlign w:val="superscript"/>
              </w:rPr>
              <w:t>[196]</w:t>
            </w:r>
            <w:r w:rsidR="00E27323" w:rsidRPr="003E0254">
              <w:rPr>
                <w:sz w:val="20"/>
                <w:szCs w:val="20"/>
              </w:rPr>
              <w:fldChar w:fldCharType="end"/>
            </w:r>
          </w:p>
        </w:tc>
        <w:tc>
          <w:tcPr>
            <w:tcW w:w="1345" w:type="dxa"/>
            <w:vAlign w:val="center"/>
          </w:tcPr>
          <w:p w14:paraId="2D5613BB" w14:textId="77777777" w:rsidR="004A779E" w:rsidRPr="003E0254" w:rsidRDefault="004A779E" w:rsidP="00DE06D3">
            <w:pPr>
              <w:spacing w:line="235" w:lineRule="atLeast"/>
              <w:jc w:val="center"/>
              <w:rPr>
                <w:sz w:val="20"/>
                <w:szCs w:val="20"/>
              </w:rPr>
            </w:pPr>
            <w:r w:rsidRPr="003E0254">
              <w:rPr>
                <w:sz w:val="20"/>
                <w:szCs w:val="20"/>
              </w:rPr>
              <w:t>Robust 3D electrode with no dendrite, 620 mA h g</w:t>
            </w:r>
            <w:r w:rsidRPr="003E0254">
              <w:rPr>
                <w:sz w:val="20"/>
                <w:szCs w:val="20"/>
                <w:vertAlign w:val="superscript"/>
              </w:rPr>
              <w:t>−1</w:t>
            </w:r>
            <w:r w:rsidRPr="003E0254">
              <w:rPr>
                <w:sz w:val="20"/>
                <w:szCs w:val="20"/>
              </w:rPr>
              <w:t xml:space="preserve"> after 9000 cycles in Zn/Ni battery.</w:t>
            </w:r>
          </w:p>
        </w:tc>
      </w:tr>
      <w:tr w:rsidR="00DE06D3" w:rsidRPr="003E0254" w14:paraId="38561A9A" w14:textId="77777777" w:rsidTr="005B1B4B">
        <w:trPr>
          <w:jc w:val="center"/>
        </w:trPr>
        <w:tc>
          <w:tcPr>
            <w:tcW w:w="1517" w:type="dxa"/>
            <w:vAlign w:val="center"/>
          </w:tcPr>
          <w:p w14:paraId="684D7388" w14:textId="48079FDD" w:rsidR="0017026C" w:rsidRPr="003E0254" w:rsidRDefault="00AC3A3E" w:rsidP="00AC3A3E">
            <w:pPr>
              <w:spacing w:line="235" w:lineRule="atLeast"/>
              <w:jc w:val="center"/>
              <w:rPr>
                <w:sz w:val="20"/>
                <w:szCs w:val="20"/>
              </w:rPr>
            </w:pPr>
            <w:r w:rsidRPr="003E0254">
              <w:rPr>
                <w:sz w:val="20"/>
                <w:szCs w:val="20"/>
              </w:rPr>
              <w:t>Co</w:t>
            </w:r>
            <w:r w:rsidRPr="003E0254">
              <w:rPr>
                <w:sz w:val="20"/>
                <w:szCs w:val="20"/>
                <w:vertAlign w:val="subscript"/>
              </w:rPr>
              <w:t>3</w:t>
            </w:r>
            <w:r w:rsidRPr="003E0254">
              <w:rPr>
                <w:sz w:val="20"/>
                <w:szCs w:val="20"/>
              </w:rPr>
              <w:t>O</w:t>
            </w:r>
            <w:r w:rsidRPr="003E0254">
              <w:rPr>
                <w:sz w:val="20"/>
                <w:szCs w:val="20"/>
                <w:vertAlign w:val="subscript"/>
              </w:rPr>
              <w:t>4</w:t>
            </w:r>
            <w:r w:rsidRPr="003E0254">
              <w:rPr>
                <w:sz w:val="20"/>
                <w:szCs w:val="20"/>
              </w:rPr>
              <w:t>@Ni foam |</w:t>
            </w:r>
            <w:r w:rsidR="0017026C" w:rsidRPr="003E0254">
              <w:rPr>
                <w:sz w:val="20"/>
                <w:szCs w:val="20"/>
              </w:rPr>
              <w:t xml:space="preserve"> BG-PVA in 6 M KOH + 0.2 M Zn Acetate</w:t>
            </w:r>
            <w:r w:rsidRPr="003E0254">
              <w:rPr>
                <w:sz w:val="20"/>
                <w:szCs w:val="20"/>
              </w:rPr>
              <w:t xml:space="preserve"> |</w:t>
            </w:r>
            <w:r w:rsidR="0017026C" w:rsidRPr="003E0254">
              <w:rPr>
                <w:sz w:val="20"/>
                <w:szCs w:val="20"/>
              </w:rPr>
              <w:t xml:space="preserve"> </w:t>
            </w:r>
            <w:r w:rsidRPr="003E0254">
              <w:rPr>
                <w:sz w:val="20"/>
                <w:szCs w:val="20"/>
              </w:rPr>
              <w:t>Zn foil</w:t>
            </w:r>
          </w:p>
        </w:tc>
        <w:tc>
          <w:tcPr>
            <w:tcW w:w="873" w:type="dxa"/>
            <w:vAlign w:val="center"/>
          </w:tcPr>
          <w:p w14:paraId="7E560743" w14:textId="08FE7F8F" w:rsidR="0017026C" w:rsidRPr="003E0254" w:rsidRDefault="0017026C" w:rsidP="00DE06D3">
            <w:pPr>
              <w:spacing w:line="235" w:lineRule="atLeast"/>
              <w:jc w:val="center"/>
              <w:rPr>
                <w:sz w:val="20"/>
                <w:szCs w:val="20"/>
              </w:rPr>
            </w:pPr>
            <w:r w:rsidRPr="003E0254">
              <w:rPr>
                <w:sz w:val="20"/>
                <w:szCs w:val="20"/>
              </w:rPr>
              <w:t>650</w:t>
            </w:r>
          </w:p>
        </w:tc>
        <w:tc>
          <w:tcPr>
            <w:tcW w:w="1115" w:type="dxa"/>
            <w:vAlign w:val="center"/>
          </w:tcPr>
          <w:p w14:paraId="456193E5" w14:textId="2FD9F21A" w:rsidR="0017026C" w:rsidRPr="003E0254" w:rsidRDefault="0017026C" w:rsidP="00DE06D3">
            <w:pPr>
              <w:spacing w:line="235" w:lineRule="atLeast"/>
              <w:jc w:val="center"/>
              <w:rPr>
                <w:sz w:val="20"/>
                <w:szCs w:val="20"/>
              </w:rPr>
            </w:pPr>
            <w:r w:rsidRPr="003E0254">
              <w:rPr>
                <w:sz w:val="20"/>
                <w:szCs w:val="20"/>
              </w:rPr>
              <w:t>100%</w:t>
            </w:r>
          </w:p>
        </w:tc>
        <w:tc>
          <w:tcPr>
            <w:tcW w:w="1138" w:type="dxa"/>
            <w:vAlign w:val="center"/>
          </w:tcPr>
          <w:p w14:paraId="4B738A16" w14:textId="5729926E" w:rsidR="0017026C" w:rsidRPr="003E0254" w:rsidRDefault="0017026C" w:rsidP="00DE06D3">
            <w:pPr>
              <w:spacing w:line="235" w:lineRule="atLeast"/>
              <w:jc w:val="center"/>
              <w:rPr>
                <w:sz w:val="20"/>
                <w:szCs w:val="20"/>
              </w:rPr>
            </w:pPr>
            <w:r w:rsidRPr="003E0254">
              <w:rPr>
                <w:sz w:val="20"/>
                <w:szCs w:val="20"/>
              </w:rPr>
              <w:t>80 mA cm</w:t>
            </w:r>
            <w:r w:rsidRPr="003E0254">
              <w:rPr>
                <w:sz w:val="20"/>
                <w:szCs w:val="20"/>
                <w:vertAlign w:val="superscript"/>
              </w:rPr>
              <w:t>-2</w:t>
            </w:r>
          </w:p>
        </w:tc>
        <w:tc>
          <w:tcPr>
            <w:tcW w:w="742" w:type="dxa"/>
            <w:vAlign w:val="center"/>
          </w:tcPr>
          <w:p w14:paraId="2A855C4A" w14:textId="77777777" w:rsidR="0017026C" w:rsidRPr="003E0254" w:rsidRDefault="0017026C" w:rsidP="00DE06D3">
            <w:pPr>
              <w:spacing w:line="235" w:lineRule="atLeast"/>
              <w:jc w:val="center"/>
              <w:rPr>
                <w:sz w:val="20"/>
                <w:szCs w:val="20"/>
              </w:rPr>
            </w:pPr>
          </w:p>
        </w:tc>
        <w:tc>
          <w:tcPr>
            <w:tcW w:w="1058" w:type="dxa"/>
            <w:vAlign w:val="center"/>
          </w:tcPr>
          <w:p w14:paraId="593244BE" w14:textId="77777777" w:rsidR="0017026C" w:rsidRPr="003E0254" w:rsidRDefault="0017026C" w:rsidP="00DE06D3">
            <w:pPr>
              <w:spacing w:line="235" w:lineRule="atLeast"/>
              <w:jc w:val="center"/>
              <w:rPr>
                <w:sz w:val="20"/>
                <w:szCs w:val="20"/>
              </w:rPr>
            </w:pPr>
          </w:p>
        </w:tc>
        <w:tc>
          <w:tcPr>
            <w:tcW w:w="932" w:type="dxa"/>
            <w:vAlign w:val="center"/>
          </w:tcPr>
          <w:p w14:paraId="78842043" w14:textId="77777777" w:rsidR="0017026C" w:rsidRPr="003E0254" w:rsidRDefault="0017026C" w:rsidP="00DE06D3">
            <w:pPr>
              <w:spacing w:line="235" w:lineRule="atLeast"/>
              <w:jc w:val="center"/>
              <w:rPr>
                <w:sz w:val="20"/>
                <w:szCs w:val="20"/>
              </w:rPr>
            </w:pPr>
          </w:p>
        </w:tc>
        <w:tc>
          <w:tcPr>
            <w:tcW w:w="630" w:type="dxa"/>
            <w:vAlign w:val="center"/>
          </w:tcPr>
          <w:p w14:paraId="7FD6921D" w14:textId="2299A682" w:rsidR="0017026C" w:rsidRPr="003E0254" w:rsidRDefault="0017026C" w:rsidP="00DE06D3">
            <w:pPr>
              <w:spacing w:line="235" w:lineRule="atLeast"/>
              <w:jc w:val="center"/>
              <w:rPr>
                <w:sz w:val="20"/>
                <w:szCs w:val="20"/>
              </w:rPr>
            </w:pPr>
            <w:r w:rsidRPr="003E0254">
              <w:rPr>
                <w:sz w:val="20"/>
                <w:szCs w:val="20"/>
              </w:rPr>
              <w:t>Zhao et al.</w:t>
            </w:r>
            <w:r w:rsidRPr="003E0254">
              <w:rPr>
                <w:sz w:val="20"/>
                <w:szCs w:val="20"/>
              </w:rPr>
              <w:fldChar w:fldCharType="begin" w:fldLock="1"/>
            </w:r>
            <w:r w:rsidR="00500B8D" w:rsidRPr="003E0254">
              <w:rPr>
                <w:sz w:val="20"/>
                <w:szCs w:val="20"/>
              </w:rPr>
              <w:instrText>ADDIN CSL_CITATION {"citationItems":[{"id":"ITEM-1","itemData":{"DOI":"10.1021/ACSAMI.9B00758/ASSET/IMAGES/LARGE/AM-2019-00758F_0006.JPEG","ISSN":"19448252","PMID":"30901190","abstract":"Flexible solid-state zinc-air batteries are promising energy technologies with low cost, superior performance and safety. However, flexible electrolytes are severely limited by their poor mechanical properties. Here, we introduce flexible bacterial cellulose (BC)/poly(vinyl alcohol) (PVA) composite hydrogel electrolytes (BPCE) based on bacterial cellulose (BC) microfibers and poly(vinyl alcohol) (PVA) by an in situ synthesis. Originating from the hydrogen bonds among BC microfibers and PVA matrix, these composites form load-bearing percolating dual network and their mechanical strength is increased 9 times (from 0.102 MPa of pristine PVA to 0.951 MPa of 6-BPCE). 6-BPCE shows extremely high ionic conductivities (80.8 mS cm -1 ). In addition, the solid-state zinc-air batteries can stably cycle over 440 h without large discharge and charge polarizations equipped with zinc anode and Co 3 O 4 @Ni cathode. Moreover, flexible solid-state zinc-air batteries can cycle well at any bending angle. As flexible electrolytes, they open up a new opportunity for the development of superior-performance, flexible, rechargeable, zinc-air batteries.","author":[{"dropping-particle":"","family":"Zhao","given":"Nana","non-dropping-particle":"","parse-names":false,"suffix":""},{"dropping-particle":"","family":"Wu","given":"Feng","non-dropping-particle":"","parse-names":false,"suffix":""},{"dropping-particle":"","family":"Xing","given":"Yi","non-dropping-particle":"","parse-names":false,"suffix":""},{"dropping-particle":"","family":"Qu","given":"Wenjie","non-dropping-particle":"","parse-names":false,"suffix":""},{"dropping-particle":"","family":"Chen","given":"Nan","non-dropping-particle":"","parse-names":false,"suffix":""},{"dropping-particle":"","family":"Shang","given":"Yanxin","non-dropping-particle":"","parse-names":false,"suffix":""},{"dropping-particle":"","family":"Yan","given":"Mingxia","non-dropping-particle":"","parse-names":false,"suffix":""},{"dropping-particle":"","family":"Li","given":"Yuejiao","non-dropping-particle":"","parse-names":false,"suffix":""},{"dropping-particle":"","family":"Li","given":"Li","non-dropping-particle":"","parse-names":false,"suffix":""},{"dropping-particle":"","family":"Chen","given":"Renjie","non-dropping-particle":"","parse-names":false,"suffix":""}],"container-title":"ACS Applied Materials and Interfaces","id":"ITEM-1","issue":"17","issued":{"date-parts":[["2019","5","1"]]},"page":"15537-15542","publisher":"American Chemical Society","title":"Flexible Hydrogel Electrolyte with Superior Mechanical Properties Based on Poly(vinyl alcohol) and Bacterial Cellulose for the Solid-State Zinc-Air Batteries","type":"article-journal","volume":"11"},"uris":["http://www.mendeley.com/documents/?uuid=a962348f-b73f-4876-b900-6ce28b0ea971"]}],"mendeley":{"formattedCitation":"&lt;sup&gt;[214]&lt;/sup&gt;","plainTextFormattedCitation":"[214]","previouslyFormattedCitation":"&lt;sup&gt;[213]&lt;/sup&gt;"},"properties":{"noteIndex":0},"schema":"https://github.com/citation-style-language/schema/raw/master/csl-citation.json"}</w:instrText>
            </w:r>
            <w:r w:rsidRPr="003E0254">
              <w:rPr>
                <w:sz w:val="20"/>
                <w:szCs w:val="20"/>
              </w:rPr>
              <w:fldChar w:fldCharType="separate"/>
            </w:r>
            <w:r w:rsidR="00500B8D" w:rsidRPr="003E0254">
              <w:rPr>
                <w:noProof/>
                <w:sz w:val="20"/>
                <w:szCs w:val="20"/>
                <w:vertAlign w:val="superscript"/>
              </w:rPr>
              <w:t>[214]</w:t>
            </w:r>
            <w:r w:rsidRPr="003E0254">
              <w:rPr>
                <w:sz w:val="20"/>
                <w:szCs w:val="20"/>
              </w:rPr>
              <w:fldChar w:fldCharType="end"/>
            </w:r>
          </w:p>
        </w:tc>
        <w:tc>
          <w:tcPr>
            <w:tcW w:w="1345" w:type="dxa"/>
            <w:vAlign w:val="center"/>
          </w:tcPr>
          <w:p w14:paraId="65B05267" w14:textId="420B84B0" w:rsidR="0017026C" w:rsidRPr="003E0254" w:rsidRDefault="0017026C" w:rsidP="00DE06D3">
            <w:pPr>
              <w:spacing w:line="235" w:lineRule="atLeast"/>
              <w:jc w:val="center"/>
              <w:rPr>
                <w:sz w:val="20"/>
                <w:szCs w:val="20"/>
              </w:rPr>
            </w:pPr>
            <w:r w:rsidRPr="003E0254">
              <w:rPr>
                <w:sz w:val="20"/>
                <w:szCs w:val="20"/>
              </w:rPr>
              <w:t xml:space="preserve">Flexible </w:t>
            </w:r>
            <w:proofErr w:type="spellStart"/>
            <w:r w:rsidRPr="003E0254">
              <w:rPr>
                <w:sz w:val="20"/>
                <w:szCs w:val="20"/>
              </w:rPr>
              <w:t>soild</w:t>
            </w:r>
            <w:proofErr w:type="spellEnd"/>
            <w:r w:rsidRPr="003E0254">
              <w:rPr>
                <w:sz w:val="20"/>
                <w:szCs w:val="20"/>
              </w:rPr>
              <w:t xml:space="preserve"> state Zn cell</w:t>
            </w:r>
          </w:p>
        </w:tc>
      </w:tr>
      <w:tr w:rsidR="00097AE6" w:rsidRPr="003E0254" w14:paraId="3427003F" w14:textId="77777777" w:rsidTr="005B1B4B">
        <w:trPr>
          <w:jc w:val="center"/>
        </w:trPr>
        <w:tc>
          <w:tcPr>
            <w:tcW w:w="1517" w:type="dxa"/>
            <w:vAlign w:val="center"/>
          </w:tcPr>
          <w:p w14:paraId="3F45C4C4" w14:textId="2A94AAA2" w:rsidR="00097AE6" w:rsidRPr="003E0254" w:rsidRDefault="00AC3A3E" w:rsidP="00097AE6">
            <w:pPr>
              <w:spacing w:line="235" w:lineRule="atLeast"/>
              <w:jc w:val="center"/>
              <w:rPr>
                <w:sz w:val="20"/>
                <w:szCs w:val="20"/>
              </w:rPr>
            </w:pPr>
            <w:r w:rsidRPr="003E0254">
              <w:rPr>
                <w:sz w:val="20"/>
                <w:szCs w:val="20"/>
              </w:rPr>
              <w:t>MnO</w:t>
            </w:r>
            <w:r w:rsidRPr="003E0254">
              <w:rPr>
                <w:sz w:val="20"/>
                <w:szCs w:val="20"/>
                <w:vertAlign w:val="subscript"/>
              </w:rPr>
              <w:t>2</w:t>
            </w:r>
            <w:r w:rsidRPr="003E0254">
              <w:rPr>
                <w:sz w:val="20"/>
                <w:szCs w:val="20"/>
              </w:rPr>
              <w:t>@C |</w:t>
            </w:r>
            <w:r w:rsidR="00097AE6" w:rsidRPr="003E0254">
              <w:rPr>
                <w:sz w:val="20"/>
                <w:szCs w:val="20"/>
              </w:rPr>
              <w:t xml:space="preserve"> 5 M NH</w:t>
            </w:r>
            <w:r w:rsidR="00097AE6" w:rsidRPr="003E0254">
              <w:rPr>
                <w:sz w:val="20"/>
                <w:szCs w:val="20"/>
                <w:vertAlign w:val="subscript"/>
              </w:rPr>
              <w:t>4</w:t>
            </w:r>
            <w:r w:rsidR="00097AE6" w:rsidRPr="003E0254">
              <w:rPr>
                <w:sz w:val="20"/>
                <w:szCs w:val="20"/>
              </w:rPr>
              <w:t>Cl + 35 g L</w:t>
            </w:r>
            <w:r w:rsidR="00097AE6" w:rsidRPr="003E0254">
              <w:rPr>
                <w:sz w:val="20"/>
                <w:szCs w:val="20"/>
                <w:vertAlign w:val="superscript"/>
              </w:rPr>
              <w:t>-1</w:t>
            </w:r>
            <w:r w:rsidR="00097AE6" w:rsidRPr="003E0254">
              <w:rPr>
                <w:sz w:val="20"/>
                <w:szCs w:val="20"/>
              </w:rPr>
              <w:t xml:space="preserve"> ZnCl</w:t>
            </w:r>
            <w:r w:rsidR="00097AE6" w:rsidRPr="003E0254">
              <w:rPr>
                <w:sz w:val="20"/>
                <w:szCs w:val="20"/>
                <w:vertAlign w:val="subscript"/>
              </w:rPr>
              <w:t>2</w:t>
            </w:r>
            <w:r w:rsidRPr="003E0254">
              <w:rPr>
                <w:sz w:val="20"/>
                <w:szCs w:val="20"/>
              </w:rPr>
              <w:t xml:space="preserve"> | Zn foil</w:t>
            </w:r>
          </w:p>
        </w:tc>
        <w:tc>
          <w:tcPr>
            <w:tcW w:w="873" w:type="dxa"/>
            <w:vAlign w:val="center"/>
          </w:tcPr>
          <w:p w14:paraId="729A7834" w14:textId="72041733" w:rsidR="00097AE6" w:rsidRPr="003E0254" w:rsidRDefault="00097AE6" w:rsidP="00097AE6">
            <w:pPr>
              <w:spacing w:line="235" w:lineRule="atLeast"/>
              <w:jc w:val="center"/>
              <w:rPr>
                <w:sz w:val="20"/>
                <w:szCs w:val="20"/>
              </w:rPr>
            </w:pPr>
            <w:r w:rsidRPr="003E0254">
              <w:rPr>
                <w:sz w:val="20"/>
                <w:szCs w:val="20"/>
              </w:rPr>
              <w:t>500</w:t>
            </w:r>
          </w:p>
        </w:tc>
        <w:tc>
          <w:tcPr>
            <w:tcW w:w="1115" w:type="dxa"/>
            <w:vAlign w:val="center"/>
          </w:tcPr>
          <w:p w14:paraId="2B025D66" w14:textId="21FAF4A4" w:rsidR="00097AE6" w:rsidRPr="003E0254" w:rsidRDefault="00097AE6" w:rsidP="00097AE6">
            <w:pPr>
              <w:spacing w:line="235" w:lineRule="atLeast"/>
              <w:jc w:val="center"/>
              <w:rPr>
                <w:sz w:val="20"/>
                <w:szCs w:val="20"/>
              </w:rPr>
            </w:pPr>
            <w:r w:rsidRPr="003E0254">
              <w:rPr>
                <w:sz w:val="20"/>
                <w:szCs w:val="20"/>
              </w:rPr>
              <w:t>98,5%</w:t>
            </w:r>
          </w:p>
        </w:tc>
        <w:tc>
          <w:tcPr>
            <w:tcW w:w="1138" w:type="dxa"/>
            <w:vAlign w:val="center"/>
          </w:tcPr>
          <w:p w14:paraId="14C5EB4C" w14:textId="33880DD2" w:rsidR="00097AE6" w:rsidRPr="003E0254" w:rsidRDefault="00097AE6" w:rsidP="00097AE6">
            <w:pPr>
              <w:spacing w:line="235" w:lineRule="atLeast"/>
              <w:jc w:val="center"/>
              <w:rPr>
                <w:sz w:val="20"/>
                <w:szCs w:val="20"/>
              </w:rPr>
            </w:pPr>
            <w:r w:rsidRPr="003E0254">
              <w:rPr>
                <w:sz w:val="20"/>
                <w:szCs w:val="20"/>
              </w:rPr>
              <w:t>168 mA cm</w:t>
            </w:r>
            <w:r w:rsidRPr="003E0254">
              <w:rPr>
                <w:sz w:val="20"/>
                <w:szCs w:val="20"/>
                <w:vertAlign w:val="superscript"/>
              </w:rPr>
              <w:t>-2</w:t>
            </w:r>
          </w:p>
        </w:tc>
        <w:tc>
          <w:tcPr>
            <w:tcW w:w="742" w:type="dxa"/>
            <w:vAlign w:val="center"/>
          </w:tcPr>
          <w:p w14:paraId="07E082E7" w14:textId="77777777" w:rsidR="00097AE6" w:rsidRPr="003E0254" w:rsidRDefault="00097AE6" w:rsidP="00097AE6">
            <w:pPr>
              <w:spacing w:line="235" w:lineRule="atLeast"/>
              <w:jc w:val="center"/>
              <w:rPr>
                <w:sz w:val="20"/>
                <w:szCs w:val="20"/>
              </w:rPr>
            </w:pPr>
          </w:p>
        </w:tc>
        <w:tc>
          <w:tcPr>
            <w:tcW w:w="1058" w:type="dxa"/>
            <w:vAlign w:val="center"/>
          </w:tcPr>
          <w:p w14:paraId="4B0A858D" w14:textId="05870DC1" w:rsidR="00097AE6" w:rsidRPr="003E0254" w:rsidRDefault="00097AE6" w:rsidP="00097AE6">
            <w:pPr>
              <w:spacing w:line="235" w:lineRule="atLeast"/>
              <w:jc w:val="center"/>
              <w:rPr>
                <w:sz w:val="20"/>
                <w:szCs w:val="20"/>
              </w:rPr>
            </w:pPr>
            <w:r w:rsidRPr="003E0254">
              <w:rPr>
                <w:sz w:val="20"/>
                <w:szCs w:val="20"/>
              </w:rPr>
              <w:t>13.8 mA cm</w:t>
            </w:r>
            <w:r w:rsidRPr="003E0254">
              <w:rPr>
                <w:sz w:val="20"/>
                <w:szCs w:val="20"/>
                <w:vertAlign w:val="superscript"/>
              </w:rPr>
              <w:t>2</w:t>
            </w:r>
          </w:p>
        </w:tc>
        <w:tc>
          <w:tcPr>
            <w:tcW w:w="932" w:type="dxa"/>
            <w:vAlign w:val="center"/>
          </w:tcPr>
          <w:p w14:paraId="6DB23D73" w14:textId="77777777" w:rsidR="00097AE6" w:rsidRPr="003E0254" w:rsidRDefault="00097AE6" w:rsidP="00097AE6">
            <w:pPr>
              <w:spacing w:line="235" w:lineRule="atLeast"/>
              <w:jc w:val="center"/>
              <w:rPr>
                <w:sz w:val="20"/>
                <w:szCs w:val="20"/>
              </w:rPr>
            </w:pPr>
          </w:p>
        </w:tc>
        <w:tc>
          <w:tcPr>
            <w:tcW w:w="630" w:type="dxa"/>
            <w:vAlign w:val="center"/>
          </w:tcPr>
          <w:p w14:paraId="69EC4CB3" w14:textId="52380D47" w:rsidR="00097AE6" w:rsidRPr="003E0254" w:rsidRDefault="00097AE6" w:rsidP="00097AE6">
            <w:pPr>
              <w:spacing w:line="235" w:lineRule="atLeast"/>
              <w:jc w:val="center"/>
              <w:rPr>
                <w:sz w:val="20"/>
                <w:szCs w:val="20"/>
              </w:rPr>
            </w:pPr>
            <w:proofErr w:type="spellStart"/>
            <w:r w:rsidRPr="003E0254">
              <w:rPr>
                <w:sz w:val="20"/>
                <w:szCs w:val="20"/>
              </w:rPr>
              <w:t>Sumboja</w:t>
            </w:r>
            <w:proofErr w:type="spellEnd"/>
            <w:r w:rsidRPr="003E0254">
              <w:rPr>
                <w:sz w:val="20"/>
                <w:szCs w:val="20"/>
              </w:rPr>
              <w:t xml:space="preserve"> et al.</w:t>
            </w:r>
            <w:r w:rsidRPr="003E0254">
              <w:rPr>
                <w:sz w:val="20"/>
                <w:szCs w:val="20"/>
              </w:rPr>
              <w:fldChar w:fldCharType="begin" w:fldLock="1"/>
            </w:r>
            <w:r w:rsidR="00500B8D" w:rsidRPr="003E0254">
              <w:rPr>
                <w:sz w:val="20"/>
                <w:szCs w:val="20"/>
              </w:rPr>
              <w:instrText>ADDIN CSL_CITATION {"citationItems":[{"id":"ITEM-1","itemData":{"DOI":"10.1016/J.JPOWSOUR.2016.09.142","ISSN":"0378-7753","abstract":"Neutral chloride-based electrolyte and directly grown manganese oxide on carbon paper are used as the electrolyte and air cathode respectively for rechargeable Zn-air batteries. Oxygen reduction and oxygen evolution reactions on manganese oxide show dependence of activities on the pH of the electrolyte. Zn-air batteries with chloride-based electrolyte and manganese oxide catalyst exhibit satisfactory voltage profile (discharge and charge voltage of 1 and 2 V at 1 mA cm−2) and excellent cycling stability (≈90 days of continuous cycle test), which is attributed to the reduced carbon corrosion on the air cathode and decreased carbonation in neutral electrolyte. This work describes a robust electrolyte system that improves the cycle life of rechargeable Zn-air batteries.","author":[{"dropping-particle":"","family":"Sumboja","given":"Afriyanti","non-dropping-particle":"","parse-names":false,"suffix":""},{"dropping-particle":"","family":"Ge","given":"Xiaoming","non-dropping-particle":"","parse-names":false,"suffix":""},{"dropping-particle":"","family":"Zheng","given":"Guangyuan","non-dropping-particle":"","parse-names":false,"suffix":""},{"dropping-particle":"","family":"Goh","given":"F. W.Thomas","non-dropping-particle":"","parse-names":false,"suffix":""},{"dropping-particle":"","family":"Hor","given":"T. S.Andy","non-dropping-particle":"","parse-names":false,"suffix":""},{"dropping-particle":"","family":"Zong","given":"Yun","non-dropping-particle":"","parse-names":false,"suffix":""},{"dropping-particle":"","family":"Liu","given":"Zhaolin","non-dropping-particle":"","parse-names":false,"suffix":""}],"container-title":"Journal of Power Sources","id":"ITEM-1","issued":{"date-parts":[["2016","11","15"]]},"page":"330-336","publisher":"Elsevier","title":"Durable rechargeable zinc-air batteries with neutral electrolyte and manganese oxide catalyst","type":"article-journal","volume":"332"},"uris":["http://www.mendeley.com/documents/?uuid=5cfc5202-e67b-3cbf-8530-389a40c4e873"]}],"mendeley":{"formattedCitation":"&lt;sup&gt;[177]&lt;/sup&gt;","plainTextFormattedCitation":"[177]","previouslyFormattedCitation":"&lt;sup&gt;[176]&lt;/sup&gt;"},"properties":{"noteIndex":0},"schema":"https://github.com/citation-style-language/schema/raw/master/csl-citation.json"}</w:instrText>
            </w:r>
            <w:r w:rsidRPr="003E0254">
              <w:rPr>
                <w:sz w:val="20"/>
                <w:szCs w:val="20"/>
              </w:rPr>
              <w:fldChar w:fldCharType="separate"/>
            </w:r>
            <w:r w:rsidR="00500B8D" w:rsidRPr="003E0254">
              <w:rPr>
                <w:noProof/>
                <w:sz w:val="20"/>
                <w:szCs w:val="20"/>
                <w:vertAlign w:val="superscript"/>
              </w:rPr>
              <w:t>[177]</w:t>
            </w:r>
            <w:r w:rsidRPr="003E0254">
              <w:rPr>
                <w:sz w:val="20"/>
                <w:szCs w:val="20"/>
              </w:rPr>
              <w:fldChar w:fldCharType="end"/>
            </w:r>
          </w:p>
        </w:tc>
        <w:tc>
          <w:tcPr>
            <w:tcW w:w="1345" w:type="dxa"/>
            <w:vAlign w:val="center"/>
          </w:tcPr>
          <w:p w14:paraId="29476CD5" w14:textId="1E243258" w:rsidR="00097AE6" w:rsidRPr="003E0254" w:rsidRDefault="00097AE6" w:rsidP="00097AE6">
            <w:pPr>
              <w:spacing w:line="235" w:lineRule="atLeast"/>
              <w:jc w:val="center"/>
              <w:rPr>
                <w:sz w:val="20"/>
                <w:szCs w:val="20"/>
              </w:rPr>
            </w:pPr>
            <w:r w:rsidRPr="003E0254">
              <w:rPr>
                <w:sz w:val="20"/>
                <w:szCs w:val="20"/>
              </w:rPr>
              <w:t>Near neutral electrolyte</w:t>
            </w:r>
          </w:p>
        </w:tc>
      </w:tr>
    </w:tbl>
    <w:p w14:paraId="37A76152" w14:textId="77777777" w:rsidR="00B53C39" w:rsidRPr="003E0254" w:rsidRDefault="00B53C39">
      <w:pPr>
        <w:spacing w:line="276" w:lineRule="auto"/>
      </w:pPr>
    </w:p>
    <w:p w14:paraId="25ADE788" w14:textId="1833A9CD" w:rsidR="00B53C39" w:rsidRPr="003E0254" w:rsidRDefault="00DA35C9" w:rsidP="00CB18B5">
      <w:pPr>
        <w:pBdr>
          <w:top w:val="none" w:sz="4" w:space="0" w:color="000000"/>
          <w:left w:val="none" w:sz="4" w:space="0" w:color="000000"/>
          <w:bottom w:val="none" w:sz="4" w:space="0" w:color="000000"/>
          <w:right w:val="none" w:sz="4" w:space="0" w:color="000000"/>
        </w:pBdr>
        <w:spacing w:line="276" w:lineRule="auto"/>
        <w:jc w:val="both"/>
      </w:pPr>
      <w:r w:rsidRPr="003E0254">
        <w:t xml:space="preserve">Table </w:t>
      </w:r>
      <w:r w:rsidR="00F402C4" w:rsidRPr="003E0254">
        <w:t>4</w:t>
      </w:r>
      <w:r w:rsidRPr="003E0254">
        <w:t xml:space="preserve"> provides a few examples of </w:t>
      </w:r>
      <w:r w:rsidR="00F402C4" w:rsidRPr="003E0254">
        <w:t>high</w:t>
      </w:r>
      <w:r w:rsidRPr="003E0254">
        <w:t xml:space="preserve"> performing </w:t>
      </w:r>
      <w:r w:rsidR="00F402C4" w:rsidRPr="003E0254">
        <w:t xml:space="preserve">cells obtained from the </w:t>
      </w:r>
      <w:r w:rsidRPr="003E0254">
        <w:t>literature on zinc-air batteries. It is important to note that comparing the performance of zinc-air batteries or zinc-anodes across different published studies is quite challenging due to variations in experimental conditions and the</w:t>
      </w:r>
      <w:r w:rsidR="00AD5D3D" w:rsidRPr="003E0254">
        <w:t xml:space="preserve"> partial</w:t>
      </w:r>
      <w:r w:rsidRPr="003E0254">
        <w:t xml:space="preserve"> lack of reported experimental parameters.</w:t>
      </w:r>
      <w:r w:rsidR="00CB18B5" w:rsidRPr="003E0254">
        <w:fldChar w:fldCharType="begin" w:fldLock="1"/>
      </w:r>
      <w:r w:rsidR="00500B8D" w:rsidRPr="003E0254">
        <w:instrText>ADDIN CSL_CITATION {"citationItems":[{"id":"ITEM-1","itemData":{"DOI":"10.1021/ACSENERGYLETT.9B00510/ASSET/IMAGES/LARGE/NZ-2019-00510T_0003.JPEG","ISSN":"23808195","abstract":"A variety of batteries employing an alkaline zinc anode have been investigated and partially commercialized over the last decades. Of these, electrically rechargeable zinc-air batteries have been considered, since the mid 20th century, as a sustainable alternative for future green energy storage. Despite significant research efforts, it has so far not been possible to commercialize this battery on a large scale because of insufficient performance. The herein presented overview is not yet another review; on the basis of a total of 70 articles published during the last 20 years in lab-scale research, we assess the state-of-the-art performance of alkaline zinc anodes for application in zinc-air batteries. We define descriptors for the underlying analysis focusing on the practical relevance and reveal that the expectations for this battery type are unfortunately too high. Most importantly, the ultimate long-lasting alkaline zinc anode has yet to be identified; this is a challenging, but appealing task for interdisciplinary research.","author":[{"dropping-particle":"","family":"Stock","given":"Daniel","non-dropping-particle":"","parse-names":false,"suffix":""},{"dropping-particle":"","family":"Dongmo","given":"Saustin","non-dropping-particle":"","parse-names":false,"suffix":""},{"dropping-particle":"","family":"Janek","given":"Jürgen","non-dropping-particle":"","parse-names":false,"suffix":""},{"dropping-particle":"","family":"Schröder","given":"Daniel","non-dropping-particle":"","parse-names":false,"suffix":""}],"container-title":"ACS Energy Letters","id":"ITEM-1","issue":"6","issued":{"date-parts":[["2019","6","14"]]},"page":"1287-1300","publisher":"American Chemical Society","title":"Benchmarking Anode Concepts: The Future of Electrically Rechargeable Zinc-Air Batteries","type":"article-journal","volume":"4"},"uris":["http://www.mendeley.com/documents/?uuid=09a36596-1013-3fe7-8e94-29cba572a994"]}],"mendeley":{"formattedCitation":"&lt;sup&gt;[246]&lt;/sup&gt;","plainTextFormattedCitation":"[246]","previouslyFormattedCitation":"&lt;sup&gt;[245]&lt;/sup&gt;"},"properties":{"noteIndex":0},"schema":"https://github.com/citation-style-language/schema/raw/master/csl-citation.json"}</w:instrText>
      </w:r>
      <w:r w:rsidR="00CB18B5" w:rsidRPr="003E0254">
        <w:fldChar w:fldCharType="separate"/>
      </w:r>
      <w:r w:rsidR="00500B8D" w:rsidRPr="003E0254">
        <w:rPr>
          <w:noProof/>
          <w:vertAlign w:val="superscript"/>
        </w:rPr>
        <w:t>[246]</w:t>
      </w:r>
      <w:r w:rsidR="00CB18B5" w:rsidRPr="003E0254">
        <w:fldChar w:fldCharType="end"/>
      </w:r>
      <w:r w:rsidRPr="003E0254">
        <w:t xml:space="preserve"> The following works include some comparison tables focusing on anode performance and/or full-cell performance: Turney</w:t>
      </w:r>
      <w:r w:rsidR="00CB18B5" w:rsidRPr="003E0254">
        <w:t xml:space="preserve"> et al.</w:t>
      </w:r>
      <w:r w:rsidR="00CB18B5" w:rsidRPr="003E0254">
        <w:fldChar w:fldCharType="begin" w:fldLock="1"/>
      </w:r>
      <w:r w:rsidR="00500B8D" w:rsidRPr="003E0254">
        <w:instrText xml:space="preserve">ADDIN CSL_CITATION {"citationItems":[{"id":"ITEM-1","itemData":{"DOI":"10.1021/ACS.CHEMMATER.7B00754/ASSET/IMAGES/LARGE/CM-2017-00754E_0008.JPEG","ISSN":"15205002","abstract":"Zinc alkaline anodes command significant share of consumer battery markets and are a key technology for the emerging grid-scale battery market. Improved understanding of this electrode is required for long-cycle deployments at kWh and MWh scale due to strict requirements on performance, cost, and safety. Here we give a modern literature survey of zinc alkaline anodes with levelized performance metrics and also present an experimental assessment of leading formulations. Long-cycle materials characterization, performance metrics, and failure analysis are reported for over 25 unique anode formulations with up to 1500 cycles and </w:instrText>
      </w:r>
      <w:r w:rsidR="00500B8D" w:rsidRPr="003E0254">
        <w:rPr>
          <w:rFonts w:ascii="Cambria Math" w:hAnsi="Cambria Math" w:cs="Cambria Math"/>
        </w:rPr>
        <w:instrText>∼</w:instrText>
      </w:r>
      <w:r w:rsidR="00500B8D" w:rsidRPr="003E0254">
        <w:instrText>1.5 years of shelf life per test. Statistical repeatability of these measurements is made for a baseline design (fewest additives) via 15 duplicates. Baseline design capacity density is 38 mAh per mL of anode volume, and lifetime throughput is 72 Ah per mL of anode volume. We then report identical measurements for anodes with improved material properties via additives and other perturbations, some of which achieve capacity density over 192 mAh per mL of anode volume and lifetime throughput of 190 Ah per mL of anode volume. Novel in operando X-ray microscopy of a cycling zinc paste anode reveals the formation of a nanoscale zinc material that cycles electrochemically and replaces the original anode structure over long-cycle life. Ex situ elemental mapping and other materials characterization suggest that the key physical processes are hydrogen evolution reaction (HER), growth of zinc oxide nanoscale material, concentration deficits of OH- and ZnOH42-, and electrodeposition of Zn growths outside and through separator membranes.","author":[{"dropping-particle":"","family":"Turney","given":"Damon E.","non-dropping-particle":"","parse-names":false,"suffix":""},{"dropping-particle":"","family":"Gallaway","given":"Joshua W.","non-dropping-particle":"","parse-names":false,"suffix":""},{"dropping-particle":"","family":"Yadav","given":"Gautam G.","non-dropping-particle":"","parse-names":false,"suffix":""},{"dropping-particle":"","family":"Ramirez","given":"Rodolfo","non-dropping-particle":"","parse-names":false,"suffix":""},{"dropping-particle":"","family":"Nyce","given":"Michael","non-dropping-particle":"","parse-names":false,"suffix":""},{"dropping-particle":"","family":"Banerjee","given":"Sanjoy","non-dropping-particle":"","parse-names":false,"suffix":""},{"dropping-particle":"","family":"Chen-Wiegart","given":"Yu Chen Karen","non-dropping-particle":"","parse-names":false,"suffix":""},{"dropping-particle":"","family":"Wang","given":"Jun","non-dropping-particle":"","parse-names":false,"suffix":""},{"dropping-particle":"","family":"D'Ambrose","given":"Michael J.","non-dropping-particle":"","parse-names":false,"suffix":""},{"dropping-particle":"","family":"Kolhekar","given":"Snehal","non-dropping-particle":"","parse-names":false,"suffix":""},{"dropping-particle":"","family":"Huang","given":"Jinchao","non-dropping-particle":"","parse-names":false,"suffix":""},{"dropping-particle":"","family":"Wei","given":"Xia","non-dropping-particle":"","parse-names":false,"suffix":""}],"container-title":"Chemistry of Materials","id":"ITEM-1","issue":"11","issued":{"date-parts":[["2017","6","13"]]},"page":"4819-4832","publisher":"American Chemical Society","title":"Rechargeable Zinc Alkaline Anodes for Long-Cycle Energy Storage","type":"article-journal","volume":"29"},"uris":["http://www.mendeley.com/documents/?uuid=3b9bba34-9da5-3059-af2a-788fc2db5317"]}],"mendeley":{"formattedCitation":"&lt;sup&gt;[200]&lt;/sup&gt;","plainTextFormattedCitation":"[200]","previouslyFormattedCitation":"&lt;sup&gt;[199]&lt;/sup&gt;"},"properties":{"noteIndex":0},"schema":"https://github.com/citation-style-language/schema/raw/master/csl-citation.json"}</w:instrText>
      </w:r>
      <w:r w:rsidR="00CB18B5" w:rsidRPr="003E0254">
        <w:fldChar w:fldCharType="separate"/>
      </w:r>
      <w:r w:rsidR="00500B8D" w:rsidRPr="003E0254">
        <w:rPr>
          <w:noProof/>
          <w:vertAlign w:val="superscript"/>
        </w:rPr>
        <w:t>[200]</w:t>
      </w:r>
      <w:r w:rsidR="00CB18B5" w:rsidRPr="003E0254">
        <w:fldChar w:fldCharType="end"/>
      </w:r>
      <w:r w:rsidRPr="003E0254">
        <w:t>, Yang</w:t>
      </w:r>
      <w:r w:rsidR="00CB18B5" w:rsidRPr="003E0254">
        <w:t xml:space="preserve"> et al.</w:t>
      </w:r>
      <w:r w:rsidR="00CB18B5" w:rsidRPr="003E0254">
        <w:fldChar w:fldCharType="begin" w:fldLock="1"/>
      </w:r>
      <w:r w:rsidR="00500B8D" w:rsidRPr="003E0254">
        <w:instrText>ADDIN CSL_CITATION {"citationItems":[{"id":"ITEM-1","itemData":{"DOI":"10.1016/J.JECHEM.2023.03.049","ISSN":"2095-4956","abstract":"Alkaline Zn-based primary batteries have been commercialized in the past decades. However, their success has not been extended to secondary batteries due to the poor cycle reversibility of Zn anodes. Although some research has been conducted on alkaline Zn anodes, their performance is still far from commercial requirements. A variety of degradation mechanisms, including passivation, dendrites, morphological changes, and hydrogen precipitation, are claimed responsible for the failure of alkaline Zn metal anodes. What's worse, these constraints always interact with each other, which leads to a single strategy being unable to suppress all the issues. Therefore, a comprehensive evaluation of the positive and negative effects of various strategies on performance is important to promote the commercialization of alkaline Zn batteries. Herein, the recent progress and performance of improvement strategies for Zn anode in alkaline conditions are reviewed systematically. First, the principles and challenges of alkaline Zn anodes are briefly analyzed. Then, various design strategies for alkaline Zn anodes from the perspectives of ion and electron regulation are highlighted. Last, through a comprehensive summary of various performance parameters, the advantages and disadvantages of different strategies are compared and evaluated. On the basis of this assessment, we aim to provide more insights into the anode design of high-performance alkaline rechargeable Zn batteries.","author":[{"dropping-particle":"","family":"Yang","given":"Di","non-dropping-particle":"","parse-names":false,"suffix":""},{"dropping-particle":"","family":"Li","given":"Jinsheng","non-dropping-particle":"","parse-names":false,"suffix":""},{"dropping-particle":"","family":"Liu","given":"Changpeng","non-dropping-particle":"","parse-names":false,"suffix":""},{"dropping-particle":"","family":"Xing","given":"Wei","non-dropping-particle":"","parse-names":false,"suffix":""},{"dropping-particle":"","family":"Zhu","given":"Jianbing","non-dropping-particle":"","parse-names":false,"suffix":""}],"container-title":"Journal of Energy Chemistry","id":"ITEM-1","issued":{"date-parts":[["2023","7","1"]]},"page":"122-138","publisher":"Elsevier","title":"Design strategy and comprehensive performance assessment towards Zn anode for alkaline rechargeable batteries","type":"article-journal","volume":"82"},"uris":["http://www.mendeley.com/documents/?uuid=37bfda30-b6fc-4f80-9c35-7b6290b190d2"]}],"mendeley":{"formattedCitation":"&lt;sup&gt;[54]&lt;/sup&gt;","plainTextFormattedCitation":"[54]","previouslyFormattedCitation":"&lt;sup&gt;[53]&lt;/sup&gt;"},"properties":{"noteIndex":0},"schema":"https://github.com/citation-style-language/schema/raw/master/csl-citation.json"}</w:instrText>
      </w:r>
      <w:r w:rsidR="00CB18B5" w:rsidRPr="003E0254">
        <w:fldChar w:fldCharType="separate"/>
      </w:r>
      <w:r w:rsidR="00500B8D" w:rsidRPr="003E0254">
        <w:rPr>
          <w:noProof/>
          <w:vertAlign w:val="superscript"/>
        </w:rPr>
        <w:t>[54]</w:t>
      </w:r>
      <w:r w:rsidR="00CB18B5" w:rsidRPr="003E0254">
        <w:fldChar w:fldCharType="end"/>
      </w:r>
      <w:r w:rsidRPr="003E0254">
        <w:t xml:space="preserve">, Stock </w:t>
      </w:r>
      <w:r w:rsidR="00CB18B5" w:rsidRPr="003E0254">
        <w:t>et al.</w:t>
      </w:r>
      <w:r w:rsidR="00CB18B5" w:rsidRPr="003E0254">
        <w:fldChar w:fldCharType="begin" w:fldLock="1"/>
      </w:r>
      <w:r w:rsidR="00500B8D" w:rsidRPr="003E0254">
        <w:instrText>ADDIN CSL_CITATION {"citationItems":[{"id":"ITEM-1","itemData":{"DOI":"10.1021/ACSENERGYLETT.9B00510/ASSET/IMAGES/LARGE/NZ-2019-00510T_0003.JPEG","ISSN":"23808195","abstract":"A variety of batteries employing an alkaline zinc anode have been investigated and partially commercialized over the last decades. Of these, electrically rechargeable zinc-air batteries have been considered, since the mid 20th century, as a sustainable alternative for future green energy storage. Despite significant research efforts, it has so far not been possible to commercialize this battery on a large scale because of insufficient performance. The herein presented overview is not yet another review; on the basis of a total of 70 articles published during the last 20 years in lab-scale research, we assess the state-of-the-art performance of alkaline zinc anodes for application in zinc-air batteries. We define descriptors for the underlying analysis focusing on the practical relevance and reveal that the expectations for this battery type are unfortunately too high. Most importantly, the ultimate long-lasting alkaline zinc anode has yet to be identified; this is a challenging, but appealing task for interdisciplinary research.","author":[{"dropping-particle":"","family":"Stock","given":"Daniel","non-dropping-particle":"","parse-names":false,"suffix":""},{"dropping-particle":"","family":"Dongmo","given":"Saustin","non-dropping-particle":"","parse-names":false,"suffix":""},{"dropping-particle":"","family":"Janek","given":"Jürgen","non-dropping-particle":"","parse-names":false,"suffix":""},{"dropping-particle":"","family":"Schröder","given":"Daniel","non-dropping-particle":"","parse-names":false,"suffix":""}],"container-title":"ACS Energy Letters","id":"ITEM-1","issue":"6","issued":{"date-parts":[["2019","6","14"]]},"page":"1287-1300","publisher":"American Chemical Society","title":"Benchmarking Anode Concepts: The Future of Electrically Rechargeable Zinc-Air Batteries","type":"article-journal","volume":"4"},"uris":["http://www.mendeley.com/documents/?uuid=09a36596-1013-3fe7-8e94-29cba572a994"]}],"mendeley":{"formattedCitation":"&lt;sup&gt;[246]&lt;/sup&gt;","plainTextFormattedCitation":"[246]","previouslyFormattedCitation":"&lt;sup&gt;[245]&lt;/sup&gt;"},"properties":{"noteIndex":0},"schema":"https://github.com/citation-style-language/schema/raw/master/csl-citation.json"}</w:instrText>
      </w:r>
      <w:r w:rsidR="00CB18B5" w:rsidRPr="003E0254">
        <w:fldChar w:fldCharType="separate"/>
      </w:r>
      <w:r w:rsidR="00500B8D" w:rsidRPr="003E0254">
        <w:rPr>
          <w:noProof/>
          <w:vertAlign w:val="superscript"/>
        </w:rPr>
        <w:t>[246]</w:t>
      </w:r>
      <w:r w:rsidR="00CB18B5" w:rsidRPr="003E0254">
        <w:fldChar w:fldCharType="end"/>
      </w:r>
      <w:r w:rsidRPr="003E0254">
        <w:t>.</w:t>
      </w:r>
    </w:p>
    <w:p w14:paraId="587A868D" w14:textId="011124AA" w:rsidR="00CB18B5" w:rsidRPr="003E0254" w:rsidRDefault="00DA35C9" w:rsidP="00CB18B5">
      <w:pPr>
        <w:spacing w:line="276" w:lineRule="auto"/>
        <w:jc w:val="both"/>
      </w:pPr>
      <w:r w:rsidRPr="003E0254">
        <w:t xml:space="preserve">The research on zinc-air batteries, especially within the last few decades, mostly focused on the bifunctional air electrode. </w:t>
      </w:r>
      <w:r w:rsidR="00CB18B5" w:rsidRPr="003E0254">
        <w:t>The works described in references</w:t>
      </w:r>
      <w:r w:rsidRPr="003E0254">
        <w:fldChar w:fldCharType="begin" w:fldLock="1"/>
      </w:r>
      <w:r w:rsidR="00500B8D" w:rsidRPr="003E0254">
        <w:instrText xml:space="preserve">ADDIN CSL_CITATION {"citationItems":[{"id":"ITEM-1","itemData":{"DOI":"10.1002/ANIE.201705778","ISSN":"1521-3773","PMID":"28666066","abstract":"Electrocatalysts for both the oxygen reduction and evolution reactions (ORR and OER) are vital for the performances of rechargeable metal–air batteries. Herein, we report an advanced bifunctional oxygen electrocatalyst consisting of porous metallic nickel-iron nitride (Ni3FeN) supporting ordered Fe3Pt intermetallic nanoalloy. In this hybrid catalyst, the bimetallic nitride Ni3FeN mainly contributes to the high activity for the OER while the ordered Fe3Pt nanoalloy contributes to the excellent activity for the ORR. Robust Ni3FeN-supported Fe3Pt catalysts show superior catalytic performance to the state-of-the-art ORR catalyst (Pt/C) and OER catalyst (Ir/C). The Fe3Pt/Ni3FeN bifunctional catalyst enables Zn–air batteries to achieve a long-term cycling performance of over 480 h at 10 mA cm−2 with high efficiency. The extraordinarily high performance of the Fe3Pt/Ni3FeN bifunctional catalyst makes it a very promising air cathode in alkaline electrolyte.","author":[{"dropping-particle":"","family":"Cui","given":"Zhiming","non-dropping-particle":"","parse-names":false,"suffix":""},{"dropping-particle":"","family":"Fu","given":"Gengtao","non-dropping-particle":"","parse-names":false,"suffix":""},{"dropping-particle":"","family":"Li","given":"Yutao","non-dropping-particle":"","parse-names":false,"suffix":""},{"dropping-particle":"","family":"Goodenough","given":"John B.","non-dropping-particle":"","parse-names":false,"suffix":""}],"container-title":"Angewandte Chemie International Edition","id":"ITEM-1","issue":"33","issued":{"date-parts":[["2017","8","7"]]},"page":"9901-9905","publisher":"John Wiley &amp; Sons, Ltd","title":"Ni3FeN-Supported Fe3Pt Intermetallic Nanoalloy as a High-Performance Bifunctional Catalyst for Metal–Air Batteries","type":"article-journal","volume":"56"},"uris":["http://www.mendeley.com/documents/?uuid=2a327657-a1e3-3205-8dba-128dab9c9888"]},{"id":"ITEM-2","itemData":{"DOI":"10.1016/J.ENSM.2019.12.043","ISSN":"2405-8297","abstract":"Cobalt oxides are promising bifunctional oxygen electrocatalysts due to their intrinsic activities toward both dissociation and formation of oxygen molecules. Unfortunately, their practical utilization is seriously hindered by the limited accessible active sites and inferior activity. Herein, vertically-aligned porous nanoarrays composed of ultrafine nitrogen-doped cobalt oxide (NP-Co3O4) nanoparticles (4-5 </w:instrText>
      </w:r>
      <w:r w:rsidR="00500B8D" w:rsidRPr="003E0254">
        <w:rPr>
          <w:rFonts w:ascii="Arial" w:hAnsi="Arial" w:cs="Arial"/>
        </w:rPr>
        <w:instrText>​</w:instrText>
      </w:r>
      <w:r w:rsidR="00500B8D" w:rsidRPr="003E0254">
        <w:instrText xml:space="preserve">nm) are in-situ fabricated on carbon cloth (CC) via mild oxidation of Co-based zeolitic-imidazolate-framework (Co-ZIF) nanoarrays. The oxidation decomposition of 2-methylimidazolate ligands between Co nodes not only confines the growth of cobalt oxides, but also provides the nitrogen sources for realizing low-temperature (200 </w:instrText>
      </w:r>
      <w:r w:rsidR="00500B8D" w:rsidRPr="003E0254">
        <w:rPr>
          <w:rFonts w:ascii="Arial" w:hAnsi="Arial" w:cs="Arial"/>
        </w:rPr>
        <w:instrText>​</w:instrText>
      </w:r>
      <w:r w:rsidR="00500B8D" w:rsidRPr="003E0254">
        <w:rPr>
          <w:rFonts w:ascii="Aptos" w:hAnsi="Aptos" w:cs="Aptos"/>
        </w:rPr>
        <w:instrText>°</w:instrText>
      </w:r>
      <w:r w:rsidR="00500B8D" w:rsidRPr="003E0254">
        <w:instrText xml:space="preserve">C) nitrogen doping. In alkaline electrolyte, the as-built NP-Co3O4/CC manifests an extremely high oxygen reduction reaction (ORR) half-wave potential of ~0.9 </w:instrText>
      </w:r>
      <w:r w:rsidR="00500B8D" w:rsidRPr="003E0254">
        <w:rPr>
          <w:rFonts w:ascii="Arial" w:hAnsi="Arial" w:cs="Arial"/>
        </w:rPr>
        <w:instrText>​</w:instrText>
      </w:r>
      <w:r w:rsidR="00500B8D" w:rsidRPr="003E0254">
        <w:instrText xml:space="preserve">V and a decreased oxygen evolution reaction (OER) overpotential of 330 </w:instrText>
      </w:r>
      <w:r w:rsidR="00500B8D" w:rsidRPr="003E0254">
        <w:rPr>
          <w:rFonts w:ascii="Arial" w:hAnsi="Arial" w:cs="Arial"/>
        </w:rPr>
        <w:instrText>​</w:instrText>
      </w:r>
      <w:r w:rsidR="00500B8D" w:rsidRPr="003E0254">
        <w:instrText xml:space="preserve">mV </w:instrText>
      </w:r>
      <w:r w:rsidR="00500B8D" w:rsidRPr="003E0254">
        <w:rPr>
          <w:rFonts w:ascii="Arial" w:hAnsi="Arial" w:cs="Arial"/>
        </w:rPr>
        <w:instrText>​</w:instrText>
      </w:r>
      <w:r w:rsidR="00500B8D" w:rsidRPr="003E0254">
        <w:instrText xml:space="preserve">at 10 </w:instrText>
      </w:r>
      <w:r w:rsidR="00500B8D" w:rsidRPr="003E0254">
        <w:rPr>
          <w:rFonts w:ascii="Arial" w:hAnsi="Arial" w:cs="Arial"/>
        </w:rPr>
        <w:instrText>​</w:instrText>
      </w:r>
      <w:r w:rsidR="00500B8D" w:rsidRPr="003E0254">
        <w:instrText xml:space="preserve">mA </w:instrText>
      </w:r>
      <w:r w:rsidR="00500B8D" w:rsidRPr="003E0254">
        <w:rPr>
          <w:rFonts w:ascii="Arial" w:hAnsi="Arial" w:cs="Arial"/>
        </w:rPr>
        <w:instrText>​</w:instrText>
      </w:r>
      <w:r w:rsidR="00500B8D" w:rsidRPr="003E0254">
        <w:instrText>cm</w:instrText>
      </w:r>
      <w:r w:rsidR="00500B8D" w:rsidRPr="003E0254">
        <w:rPr>
          <w:rFonts w:ascii="Aptos" w:hAnsi="Aptos" w:cs="Aptos"/>
        </w:rPr>
        <w:instrText>−</w:instrText>
      </w:r>
      <w:r w:rsidR="00500B8D" w:rsidRPr="003E0254">
        <w:instrText xml:space="preserve">2, displaying a record low potential gap of 0.66 </w:instrText>
      </w:r>
      <w:r w:rsidR="00500B8D" w:rsidRPr="003E0254">
        <w:rPr>
          <w:rFonts w:ascii="Arial" w:hAnsi="Arial" w:cs="Arial"/>
        </w:rPr>
        <w:instrText>​</w:instrText>
      </w:r>
      <w:r w:rsidR="00500B8D" w:rsidRPr="003E0254">
        <w:instrText xml:space="preserve">V. As bifunctional oxygen electrodes in rechargeable aqueous and all-solid-state flexible zinc-air batteries, the NP-Co3O4/CC-based batteries exhibit ultrahigh power densities up to 200 </w:instrText>
      </w:r>
      <w:r w:rsidR="00500B8D" w:rsidRPr="003E0254">
        <w:rPr>
          <w:rFonts w:ascii="Arial" w:hAnsi="Arial" w:cs="Arial"/>
        </w:rPr>
        <w:instrText>​</w:instrText>
      </w:r>
      <w:r w:rsidR="00500B8D" w:rsidRPr="003E0254">
        <w:instrText xml:space="preserve">mW </w:instrText>
      </w:r>
      <w:r w:rsidR="00500B8D" w:rsidRPr="003E0254">
        <w:rPr>
          <w:rFonts w:ascii="Arial" w:hAnsi="Arial" w:cs="Arial"/>
        </w:rPr>
        <w:instrText>​</w:instrText>
      </w:r>
      <w:r w:rsidR="00500B8D" w:rsidRPr="003E0254">
        <w:instrText>cm</w:instrText>
      </w:r>
      <w:r w:rsidR="00500B8D" w:rsidRPr="003E0254">
        <w:rPr>
          <w:rFonts w:ascii="Aptos" w:hAnsi="Aptos" w:cs="Aptos"/>
        </w:rPr>
        <w:instrText>−</w:instrText>
      </w:r>
      <w:r w:rsidR="00500B8D" w:rsidRPr="003E0254">
        <w:instrText xml:space="preserve">2 and 99.8 </w:instrText>
      </w:r>
      <w:r w:rsidR="00500B8D" w:rsidRPr="003E0254">
        <w:rPr>
          <w:rFonts w:ascii="Arial" w:hAnsi="Arial" w:cs="Arial"/>
        </w:rPr>
        <w:instrText>​</w:instrText>
      </w:r>
      <w:r w:rsidR="00500B8D" w:rsidRPr="003E0254">
        <w:instrText xml:space="preserve">mW </w:instrText>
      </w:r>
      <w:r w:rsidR="00500B8D" w:rsidRPr="003E0254">
        <w:rPr>
          <w:rFonts w:ascii="Arial" w:hAnsi="Arial" w:cs="Arial"/>
        </w:rPr>
        <w:instrText>​</w:instrText>
      </w:r>
      <w:r w:rsidR="00500B8D" w:rsidRPr="003E0254">
        <w:instrText>cm</w:instrText>
      </w:r>
      <w:r w:rsidR="00500B8D" w:rsidRPr="003E0254">
        <w:rPr>
          <w:rFonts w:ascii="Aptos" w:hAnsi="Aptos" w:cs="Aptos"/>
        </w:rPr>
        <w:instrText>−</w:instrText>
      </w:r>
      <w:r w:rsidR="00500B8D" w:rsidRPr="003E0254">
        <w:instrText>3, respectively, which are much higher than those of reported bifunctional oxygen electrocatalysts. This work paves a new avenue for the fabrication of porous nitrogen doped metal oxides towards high-performance zinc-air batteries.","author":[{"dropping-particle":"","family":"Wang","given":"Xia","non-dropping-particle":"","parse-names":false,"suffix":""},{"dropping-particle":"","family":"Liao","given":"Zhongquan","non-dropping-particle":"","parse-names":false,"suffix":""},{"dropping-particle":"","family":"Fu","given":"Yubin","non-dropping-particle":"","parse-names":false,"suffix":""},{"dropping-particle":"","family":"Neumann","given":"Christof","non-dropping-particle":"","parse-names":false,"suffix":""},{"dropping-particle":"","family":"Turchanin","given":"Andrey","non-dropping-particle":"","parse-names":false,"suffix":""},{"dropping-particle":"","family":"Nam","given":"Gyutae","non-dropping-particle":"","parse-names":false,"suffix":""},{"dropping-particle":"","family":"Zschech","given":"Ehrenfried","non-dropping-particle":"","parse-names":false,"suffix":""},{"dropping-particle":"","family":"Cho","given":"Jaephil","non-dropping-particle":"","parse-names":false,"suffix":""},{"dropping-particle":"","family":"Zhang","given":"Jian","non-dropping-particle":"","parse-names":false,"suffix":""},{"dropping-particle":"","family":"Feng","given":"Xinliang","non-dropping-particle":"","parse-names":false,"suffix":""}],"container-title":"Energy Storage Materials","id":"ITEM-2","issued":{"date-parts":[["2020","4","1"]]},"page":"157-164","publisher":"Elsevier","title":"Confined growth of porous nitrogen-doped cobalt oxide nanoarrays as bifunctional oxygen electrocatalysts for rechargeable zinc–air batteries","type":"article-journal","volume":"26"},"uris":["http://www.mendeley.com/documents/?uuid=3ed16e27-b23c-39f2-a8f4-850819203675"]},{"id":"ITEM-3","itemData":{"DOI":"10.1016/J.JCIS.2021.01.093","ISSN":"0021-9797","PMID":"33561597","abstract":"Exploiting the low-cost and high-efficiency bifunctional oxygen electrocatalysts to substitute platinum-group metals is highly desirable but challenging for energy storage/conversion technologies. Herein, we develop a combined gelation/self-assemble/freeze drying process to fabricate a free-standing porous architectures through vertical anchoring two-dimensional (2D) CoMn-LDH nanosheets on three-dimensional (3D) hierarchical N,P co-doped graphene aerogels (NPGA) framework. This unique configuration endows CoMn-LDH/NPGA outstanding catalytic activity toward both oxygen reduction reaction (ORR) and oxygen evolution reaction (OER) with a potential difference of ca. 0.72 V between the OER potential at 10 mA cm−2 and the ORR potential at −3 mA cm−2, which is comparable to commercial Pt/C + IrO2 benchmarks, and therefore renders the CoMn-LDH/NPGA assembled zinc-air battery a superior rechargeable performance and cycling stability. In-depth structure-to-property correlation indicates that the prominent bifunctional activity of CoMn-LDH/NPGA are ascribed to large electrochemical active surface area, the rapid mass/charge transfers, the increased exposure and full utilization of active sites originated from the synergistic effect between the uniformly dispersed 2D CoMn-LDH nanosheets and the 3D hierarchical porous NPGA framework.","author":[{"dropping-particle":"","family":"Zhang","given":"Guoquan","non-dropping-particle":"","parse-names":false,"suffix":""},{"dropping-particle":"","family":"Xing","given":"Jiayu","non-dropping-particle":"","parse-names":false,"suffix":""},{"dropping-particle":"","family":"Zhao","given":"Yuanyuan","non-dropping-particle":"","parse-names":false,"suffix":""},{"dropping-particle":"","family":"Yang","given":"Fenglin","non-dropping-particle":"","parse-names":false,"suffix":""}],"container-title":"Journal of Colloid and Interface Science","id":"ITEM-3","issued":{"date-parts":[["2021","5","15"]]},"page":"476-486","publisher":"Academic Press","title":"Hierarchical N,P co-doped graphene aerogels framework assembling vertically grown CoMn-LDH nanosheets as efficient bifunctional electrocatalyst for rechargeable Zinc-air battery","type":"article-journal","volume":"590"},"uris":["http://www.mendeley.com/documents/?uuid=1563f6fd-fde4-3f26-969b-3f6f73725a34"]}],"mendeley":{"formattedCitation":"&lt;sup&gt;[187,190,191]&lt;/sup&gt;","plainTextFormattedCitation":"[187,190,191]","previouslyFormattedCitation":"&lt;sup&gt;[186,189,190]&lt;/sup&gt;"},"properties":{"noteIndex":0},"schema":"https://github.com/citation-style-language/schema/raw/master/csl-citation.json"}</w:instrText>
      </w:r>
      <w:r w:rsidRPr="003E0254">
        <w:fldChar w:fldCharType="separate"/>
      </w:r>
      <w:r w:rsidR="00500B8D" w:rsidRPr="003E0254">
        <w:rPr>
          <w:noProof/>
          <w:vertAlign w:val="superscript"/>
        </w:rPr>
        <w:t>[187,190,191]</w:t>
      </w:r>
      <w:r w:rsidRPr="003E0254">
        <w:fldChar w:fldCharType="end"/>
      </w:r>
      <w:r w:rsidR="00CB18B5" w:rsidRPr="003E0254">
        <w:t xml:space="preserve"> in the table above focused on the development of high performing bifunctional cathode catalysts. These are high surface nanostructured materials with tailored compositions to enable both the charge and discharge reactions at low overpotentials, which translates into high efficiency. All featured catalyst compositions outperform pure noble metal-based catalysts, both in terms of activity and cycling stability. As cobalt is a critical material for lithium-ion battery technologies and is also quite expensive compared to other transition metals, the amount of cobalt should be reduced, or alternative elements should be implemented, if possible. Both the OER and the ORR performance can be improved by taking advantage of catalyst-support interactions, </w:t>
      </w:r>
      <w:r w:rsidR="00CB18B5" w:rsidRPr="003E0254">
        <w:lastRenderedPageBreak/>
        <w:t>which favorably alter the local electron density.</w:t>
      </w:r>
      <w:r w:rsidRPr="003E0254">
        <w:fldChar w:fldCharType="begin" w:fldLock="1"/>
      </w:r>
      <w:r w:rsidR="00500B8D" w:rsidRPr="003E0254">
        <w:instrText>ADDIN CSL_CITATION {"citationItems":[{"id":"ITEM-1","itemData":{"DOI":"10.1007/S40820-024-01511-4/FIGURES/5","ISSN":"21505551","abstract":"Ni3Fe oxide, with an average size of 3.5 ± 1.5 nm, was successfully deposited onto polyaniline (PANI) support through a solvothermal strategy followed by calcination. The catalyst–support interaction between Ni3Fe oxide and PANI can enhance the Ni-O covalency via the interfacial Ni-N bond. Ni3Fe oxide/PANI-assembled Zn-air batteries achieve superior cycling life for over 400 h at 10 mA cm−2 and a low charge potential of around 1.95 V.","author":[{"dropping-particle":"","family":"Zou","given":"Xiaohong","non-dropping-particle":"","parse-names":false,"suffix":""},{"dropping-particle":"","family":"Lu","given":"Qian","non-dropping-particle":"","parse-names":false,"suffix":""},{"dropping-particle":"","family":"Tang","given":"Mingcong","non-dropping-particle":"","parse-names":false,"suffix":""},{"dropping-particle":"","family":"Wu","given":"Jie","non-dropping-particle":"","parse-names":false,"suffix":""},{"dropping-particle":"","family":"Zhang","given":"Kouer","non-dropping-particle":"","parse-names":false,"suffix":""},{"dropping-particle":"","family":"Li","given":"Wenzhi","non-dropping-particle":"","parse-names":false,"suffix":""},{"dropping-particle":"","family":"Hu","given":"Yunxia","non-dropping-particle":"","parse-names":false,"suffix":""},{"dropping-particle":"","family":"Xu","given":"Xiaomin","non-dropping-particle":"","parse-names":false,"suffix":""},{"dropping-particle":"","family":"Zhang","given":"Xiao","non-dropping-particle":"","parse-names":false,"suffix":""},{"dropping-particle":"","family":"Shao","given":"Zongping","non-dropping-particle":"","parse-names":false,"suffix":""},{"dropping-particle":"","family":"An","given":"Liang","non-dropping-particle":"","parse-names":false,"suffix":""}],"container-title":"Nano-Micro Letters","id":"ITEM-1","issue":"1","issued":{"date-parts":[["2025","12","1"]]},"page":"1-15","publisher":"Springer Science and Business Media B.V.","title":"Catalyst–Support Interaction in Polyaniline-Supported Ni3Fe Oxide to Boost Oxygen Evolution Activities for Rechargeable Zn-Air Batteries","type":"article-journal","volume":"17"},"uris":["http://www.mendeley.com/documents/?uuid=f707f028-87bc-3bec-9ea0-c1cdbb44b7ed"]}],"mendeley":{"formattedCitation":"&lt;sup&gt;[248]&lt;/sup&gt;","plainTextFormattedCitation":"[248]","previouslyFormattedCitation":"&lt;sup&gt;[247]&lt;/sup&gt;"},"properties":{"noteIndex":0},"schema":"https://github.com/citation-style-language/schema/raw/master/csl-citation.json"}</w:instrText>
      </w:r>
      <w:r w:rsidRPr="003E0254">
        <w:fldChar w:fldCharType="separate"/>
      </w:r>
      <w:r w:rsidR="00500B8D" w:rsidRPr="003E0254">
        <w:rPr>
          <w:noProof/>
          <w:vertAlign w:val="superscript"/>
        </w:rPr>
        <w:t>[248]</w:t>
      </w:r>
      <w:r w:rsidRPr="003E0254">
        <w:fldChar w:fldCharType="end"/>
      </w:r>
      <w:r w:rsidR="00CB18B5" w:rsidRPr="003E0254">
        <w:t xml:space="preserve"> Since moving away from alkaline electrolytes towards near neutral electrolytes offers certain advantages, e.g., reduced leakage and electrode seepage, it is important to ensure that future catalyst development will be focused on testing materials under such conditions. For the vast majority of secondary zinc-air cells studied in the literature, the cycling time was fairly short, and typically the current density was 10</w:t>
      </w:r>
      <w:r w:rsidR="00FE1D01" w:rsidRPr="003E0254">
        <w:t> </w:t>
      </w:r>
      <w:r w:rsidR="00CB18B5" w:rsidRPr="003E0254">
        <w:t>mA</w:t>
      </w:r>
      <w:r w:rsidR="00FE1D01" w:rsidRPr="003E0254">
        <w:t> </w:t>
      </w:r>
      <w:r w:rsidR="00CB18B5" w:rsidRPr="003E0254">
        <w:t>cm</w:t>
      </w:r>
      <w:r w:rsidR="00CB18B5" w:rsidRPr="003E0254">
        <w:rPr>
          <w:vertAlign w:val="superscript"/>
        </w:rPr>
        <w:t>-2</w:t>
      </w:r>
      <w:r w:rsidR="00CB18B5" w:rsidRPr="003E0254">
        <w:t xml:space="preserve"> or lower for full cell testing, which is impractical regarding applications in the field. Further, there is a lack of post-test and post-mortem analytical data, which would be beneficial for an in-depth understanding of degradation mechanisms.</w:t>
      </w:r>
      <w:r w:rsidRPr="003E0254">
        <w:fldChar w:fldCharType="begin" w:fldLock="1"/>
      </w:r>
      <w:r w:rsidR="000F0B1D" w:rsidRPr="003E0254">
        <w:instrText>ADDIN CSL_CITATION {"citationItems":[{"id":"ITEM-1","itemData":{"DOI":"10.1007/S40820-024-01328-1","ISBN":"0123456789","ISSN":"2150-5551","abstract":"Zinc–air batteries (ZABs) are gaining attention as an ideal option for various applications requiring high-capacity batteries, such as portable electronics, electric vehicles, and renewable energy storage. ZABs offer advantages such as low environmental impact, enhanced safety compared to Li-ion batteries, and cost-effectiveness due to the abundance of zinc. However, early research faced challenges due to parasitic reactions at the zinc anode and slow oxygen redox kinetics. Recent advancements in restructuring the anode, utilizing alternative electrolytes, and developing bifunctional oxygen catalysts have significantly improved ZABs. Scientists have achieved battery reversibility over thousands of cycles, introduced new electrolytes, and achieved energy efficiency records surpassing 70%. Despite these achievements, there are challenges related to lower power density, shorter lifespan, and air electrode corrosion leading to performance degradation. This review paper discusses different battery configurations, and reaction mechanisms for electrically and mechanically rechargeable ZABs, and proposes remedies to enhance overall battery performance. The paper also explores recent advancements, applications, and the future prospects of electrically/mechanically rechargeable ZABs.","author":[{"dropping-particle":"","family":"Nazir","given":"Ghazanfar","non-dropping-particle":"","parse-names":false,"suffix":""},{"dropping-particle":"","family":"Rehman","given":"Adeela","non-dropping-particle":"","parse-names":false,"suffix":""},{"dropping-particle":"","family":"Lee","given":"Jong Hoon","non-dropping-particle":"","parse-names":false,"suffix":""},{"dropping-particle":"","family":"Kim","given":"Choong Hee","non-dropping-particle":"","parse-names":false,"suffix":""},{"dropping-particle":"","family":"Gautam","given":"Jagadis","non-dropping-particle":"","parse-names":false,"suffix":""},{"dropping-particle":"","family":"Heo","given":"Kwang","non-dropping-particle":"","parse-names":false,"suffix":""},{"dropping-particle":"","family":"Hussain","given":"Sajjad","non-dropping-particle":"","parse-names":false,"suffix":""},{"dropping-particle":"","family":"Ikram","given":"Muhammad","non-dropping-particle":"","parse-names":false,"suffix":""},{"dropping-particle":"","family":"AlObaid","given":"Abeer A.","non-dropping-particle":"","parse-names":false,"suffix":""},{"dropping-particle":"","family":"Lee","given":"Seul Yi","non-dropping-particle":"","parse-names":false,"suffix":""},{"dropping-particle":"","family":"Park","given":"Soo Jin","non-dropping-particle":"","parse-names":false,"suffix":""}],"container-title":"Nano-Micro Letters 2024 16:1","id":"ITEM-1","issue":"1","issued":{"date-parts":[["2024","2","29"]]},"page":"1-44","publisher":"Springer","title":"A Review of Rechargeable Zinc–Air Batteries: Recent Progress and Future Perspectives","type":"article-journal","volume":"16"},"uris":["http://www.mendeley.com/documents/?uuid=32ece0ca-1d07-48ed-bd9b-b4c24179575a"]}],"mendeley":{"formattedCitation":"&lt;sup&gt;[36]&lt;/sup&gt;","plainTextFormattedCitation":"[36]","previouslyFormattedCitation":"&lt;sup&gt;[36]&lt;/sup&gt;"},"properties":{"noteIndex":0},"schema":"https://github.com/citation-style-language/schema/raw/master/csl-citation.json"}</w:instrText>
      </w:r>
      <w:r w:rsidRPr="003E0254">
        <w:fldChar w:fldCharType="separate"/>
      </w:r>
      <w:r w:rsidR="000F0B1D" w:rsidRPr="003E0254">
        <w:rPr>
          <w:noProof/>
          <w:vertAlign w:val="superscript"/>
        </w:rPr>
        <w:t>[36]</w:t>
      </w:r>
      <w:r w:rsidRPr="003E0254">
        <w:fldChar w:fldCharType="end"/>
      </w:r>
      <w:r w:rsidR="00CB18B5" w:rsidRPr="003E0254">
        <w:t xml:space="preserve"> These issues should be addressed in future work. Accelerated stress tests and deep discharge cycles should be investigated systematically as well. </w:t>
      </w:r>
    </w:p>
    <w:p w14:paraId="79E4A505" w14:textId="3E158FB3" w:rsidR="006A5AFF" w:rsidRPr="003E0254" w:rsidRDefault="006A5AFF" w:rsidP="006A5AFF">
      <w:pPr>
        <w:jc w:val="both"/>
      </w:pPr>
      <w:r w:rsidRPr="003E0254">
        <w:t xml:space="preserve">The advancements on the anode side have been relatively limited compared to those </w:t>
      </w:r>
      <w:r w:rsidR="007C33A4" w:rsidRPr="003E0254">
        <w:t>with respect to</w:t>
      </w:r>
      <w:r w:rsidRPr="003E0254">
        <w:t xml:space="preserve"> the air cathode. Most research </w:t>
      </w:r>
      <w:r w:rsidR="007C33A4" w:rsidRPr="003E0254">
        <w:t>focused</w:t>
      </w:r>
      <w:r w:rsidRPr="003E0254">
        <w:t xml:space="preserve"> on addressing the primary challenges of shape change, dendrite growth, corrosion, and passivation by optimizing the electrode structure, as discussed in section 2.</w:t>
      </w:r>
      <w:r w:rsidR="008613D2" w:rsidRPr="003E0254">
        <w:t>4</w:t>
      </w:r>
      <w:r w:rsidRPr="003E0254">
        <w:t xml:space="preserve">.1. Among various options, a promising approach is to use a 3D anode structure made from Zn and </w:t>
      </w:r>
      <w:proofErr w:type="spellStart"/>
      <w:r w:rsidRPr="003E0254">
        <w:t>ZnO</w:t>
      </w:r>
      <w:proofErr w:type="spellEnd"/>
      <w:r w:rsidRPr="003E0254">
        <w:t xml:space="preserve"> powder due to its high surface area. This method offers flexibility in adjusting electrode properties, including </w:t>
      </w:r>
      <w:r w:rsidR="00AD5D3D" w:rsidRPr="003E0254">
        <w:t>particle</w:t>
      </w:r>
      <w:r w:rsidRPr="003E0254">
        <w:t xml:space="preserve"> size and the selection of electrode additives. Additionally, it facilitates the scal</w:t>
      </w:r>
      <w:r w:rsidR="00737935" w:rsidRPr="003E0254">
        <w:t>e-u</w:t>
      </w:r>
      <w:r w:rsidRPr="003E0254">
        <w:t xml:space="preserve">p of the electrode size to meet </w:t>
      </w:r>
      <w:r w:rsidR="00737935" w:rsidRPr="003E0254">
        <w:t xml:space="preserve">practical </w:t>
      </w:r>
      <w:r w:rsidRPr="003E0254">
        <w:t>requirements, especially for large-scale applications. Challenges associated with high surface areas, such as corrosion and hydrogen evolution, can be mitigated by incorporating additives within the electrode. It</w:t>
      </w:r>
      <w:r w:rsidR="00737935" w:rsidRPr="003E0254">
        <w:t xml:space="preserve"> i</w:t>
      </w:r>
      <w:r w:rsidRPr="003E0254">
        <w:t xml:space="preserve">s important to remember that the issues related to </w:t>
      </w:r>
      <w:r w:rsidR="00737935" w:rsidRPr="003E0254">
        <w:t xml:space="preserve">the </w:t>
      </w:r>
      <w:r w:rsidRPr="003E0254">
        <w:t xml:space="preserve">anode cannot be solved with a single solution alone. Instead, a synergistic approach that combines the use of electrode additives, surface coatings, and adjustments to electrolyte properties is necessary.     </w:t>
      </w:r>
    </w:p>
    <w:p w14:paraId="5017C90D" w14:textId="6F474EC7" w:rsidR="00FD0FA6" w:rsidRPr="003E0254" w:rsidRDefault="00FD0FA6" w:rsidP="00FD0FA6">
      <w:pPr>
        <w:spacing w:line="276" w:lineRule="auto"/>
        <w:jc w:val="both"/>
      </w:pPr>
      <w:r w:rsidRPr="003E0254">
        <w:t xml:space="preserve">Traditionally the electrolyte for zinc-air batteries is </w:t>
      </w:r>
      <w:r w:rsidR="00AD5D3D" w:rsidRPr="003E0254">
        <w:t>an</w:t>
      </w:r>
      <w:r w:rsidRPr="003E0254">
        <w:t xml:space="preserve"> aqueous alkaline electrolyte with KOH. This does not lead to </w:t>
      </w:r>
      <w:r w:rsidR="0017026C" w:rsidRPr="003E0254">
        <w:t>stable</w:t>
      </w:r>
      <w:r w:rsidRPr="003E0254">
        <w:t xml:space="preserve"> cycling of the battery, due to leakage, evaporation and hydrogen </w:t>
      </w:r>
      <w:r w:rsidR="00736F33" w:rsidRPr="003E0254">
        <w:t>evaluation</w:t>
      </w:r>
      <w:r w:rsidRPr="003E0254">
        <w:t xml:space="preserve">. </w:t>
      </w:r>
      <w:r w:rsidR="0017026C" w:rsidRPr="003E0254">
        <w:t>Therefore,</w:t>
      </w:r>
      <w:r w:rsidRPr="003E0254">
        <w:t xml:space="preserve"> tailoring of the electrolyte is necessary. Here a combination with additives seems to be a promising way to go forward.</w:t>
      </w:r>
      <w:r w:rsidR="0017026C" w:rsidRPr="003E0254">
        <w:fldChar w:fldCharType="begin" w:fldLock="1"/>
      </w:r>
      <w:r w:rsidR="00500B8D" w:rsidRPr="003E0254">
        <w:instrText>ADDIN CSL_CITATION {"citationItems":[{"id":"ITEM-1","itemData":{"DOI":"10.1016/J.ELECTACTA.2016.07.041","ISSN":"0013-4686","abstract":"Electrochemical behavior of Ag, Bi, Cu, Fe, Ni and Sn substrates on zinc deposition was evaluated over battery cycling by cyclic voltammetry and electrochemical impedance spectroscopy. The effect of Bi, Cu, Ni, and Sn substrates on zinc electrodeposition during battery cycling was investigated using scanning electron microscopy and X-ray diffraction. The corrosion behavior of each metal in 9 M KOH and the corrosion rates of zinc plated on each substrate were analyzed by Tafel extrapolation method from the potentiodynamic polarization curves and electrochemical impedance spectroscopy. Although the charge-transfer resistance (Rct) of zinc electrodeposition is lowest on Sn, Sn eventually corrodes on cycling in alkaline media. Use of Ni as a substrate causes zinc to deteriorate on account of rapid hydrogen evolution. Bi and Cu substrates are more suitable for use as current collectors in zinc-anode alkaline rechargeable batteries because of their low corrosion rate and compact zinc deposition over battery cycling.","author":[{"dropping-particle":"","family":"Wei","given":"Xia","non-dropping-particle":"","parse-names":false,"suffix":""},{"dropping-particle":"","family":"Desai","given":"Divyaraj","non-dropping-particle":"","parse-names":false,"suffix":""},{"dropping-particle":"","family":"Yadav","given":"Gautam G.","non-dropping-particle":"","parse-names":false,"suffix":""},{"dropping-particle":"","family":"Turney","given":"Damon E.","non-dropping-particle":"","parse-names":false,"suffix":""},{"dropping-particle":"","family":"Couzis","given":"Alexander","non-dropping-particle":"","parse-names":false,"suffix":""},{"dropping-particle":"","family":"Banerjee","given":"Sanjoy","non-dropping-particle":"","parse-names":false,"suffix":""}],"container-title":"Electrochimica Acta","id":"ITEM-1","issued":{"date-parts":[["2016","9","10"]]},"page":"603-613","publisher":"Pergamon","title":"Impact of anode substrates on electrodeposited zinc over cycling in zinc-anode rechargeable alkaline batteries","type":"article-journal","volume":"212"},"uris":["http://www.mendeley.com/documents/?uuid=6e7bb6f0-a40b-3b5a-93c1-a066d06372e5"]}],"mendeley":{"formattedCitation":"&lt;sup&gt;[249]&lt;/sup&gt;","plainTextFormattedCitation":"[249]","previouslyFormattedCitation":"&lt;sup&gt;[248]&lt;/sup&gt;"},"properties":{"noteIndex":0},"schema":"https://github.com/citation-style-language/schema/raw/master/csl-citation.json"}</w:instrText>
      </w:r>
      <w:r w:rsidR="0017026C" w:rsidRPr="003E0254">
        <w:fldChar w:fldCharType="separate"/>
      </w:r>
      <w:r w:rsidR="00500B8D" w:rsidRPr="003E0254">
        <w:rPr>
          <w:noProof/>
          <w:vertAlign w:val="superscript"/>
        </w:rPr>
        <w:t>[249]</w:t>
      </w:r>
      <w:r w:rsidR="0017026C" w:rsidRPr="003E0254">
        <w:fldChar w:fldCharType="end"/>
      </w:r>
      <w:r w:rsidRPr="003E0254">
        <w:t xml:space="preserve"> In particular working with electrolytes with near or light acidic conditions are a good alternative for the pure KOH electrolytes used before in a ZAB.</w:t>
      </w:r>
      <w:r w:rsidR="0017026C" w:rsidRPr="003E0254">
        <w:fldChar w:fldCharType="begin" w:fldLock="1"/>
      </w:r>
      <w:r w:rsidR="00500B8D" w:rsidRPr="003E0254">
        <w:instrText>ADDIN CSL_CITATION {"citationItems":[{"id":"ITEM-1","itemData":{"DOI":"10.1126/science.abb9554","ISSN":"10959203","PMID":"33384369","abstract":"Rechargeable alkaline zinc-air batteries promise high energy density and safety but suffer from the sluggish 4 electron (e-)/oxygen (O2) chemistry that requires participation of water and from the electrochemical irreversibility originating from parasitic reactions caused by caustic electrolytes and atmospheric carbon dioxide. Here, we report a zinc-O2/zinc peroxide (ZnO2) chemistry that proceeds through a 2e-/O2process in nonalkaline aqueous electrolytes, which enables highly reversible redox reactions in zinc-air batteries. This ZnO2chemistry was made possible by a water-poor and zinc ion (Zn2+)-rich inner Helmholtz layer on the air cathode caused by the hydrophobic trifluoromethanesulfonate anions. The nonalkaline zinc-air battery thus constructed not only tolerates stable operations in ambient air but also exhibits substantially better reversibility than its alkaline counterpart.","author":[{"dropping-particle":"","family":"Sun","given":"Wei","non-dropping-particle":"","parse-names":false,"suffix":""},{"dropping-particle":"","family":"Wang","given":"Fei","non-dropping-particle":"","parse-names":false,"suffix":""},{"dropping-particle":"","family":"Zhang","given":"Bao","non-dropping-particle":"","parse-names":false,"suffix":""},{"dropping-particle":"","family":"Zhang","given":"Mengyi","non-dropping-particle":"","parse-names":false,"suffix":""},{"dropping-particle":"","family":"Küpers","given":"Verena","non-dropping-particle":"","parse-names":false,"suffix":""},{"dropping-particle":"","family":"Ji","given":"Xiao","non-dropping-particle":"","parse-names":false,"suffix":""},{"dropping-particle":"","family":"Theile","given":"Claudia","non-dropping-particle":"","parse-names":false,"suffix":""},{"dropping-particle":"","family":"Bieker","given":"Peter","non-dropping-particle":"","parse-names":false,"suffix":""},{"dropping-particle":"","family":"Xu","given":"Kang","non-dropping-particle":"","parse-names":false,"suffix":""},{"dropping-particle":"","family":"Wang","given":"Chunsheng","non-dropping-particle":"","parse-names":false,"suffix":""},{"dropping-particle":"","family":"Winter","given":"Martin","non-dropping-particle":"","parse-names":false,"suffix":""}],"container-title":"Science","id":"ITEM-1","issue":"6524","issued":{"date-parts":[["2021","1","1"]]},"page":"46-51","publisher":"American Association for the Advancement of Science","title":"A rechargeable zinc-air battery based on zinc peroxide chemistry","type":"article-journal","volume":"371"},"uris":["http://www.mendeley.com/documents/?uuid=66193c09-fe31-3f36-97b4-81039577d23d"]}],"mendeley":{"formattedCitation":"&lt;sup&gt;[223]&lt;/sup&gt;","plainTextFormattedCitation":"[223]","previouslyFormattedCitation":"&lt;sup&gt;[222]&lt;/sup&gt;"},"properties":{"noteIndex":0},"schema":"https://github.com/citation-style-language/schema/raw/master/csl-citation.json"}</w:instrText>
      </w:r>
      <w:r w:rsidR="0017026C" w:rsidRPr="003E0254">
        <w:fldChar w:fldCharType="separate"/>
      </w:r>
      <w:r w:rsidR="00500B8D" w:rsidRPr="003E0254">
        <w:rPr>
          <w:noProof/>
          <w:vertAlign w:val="superscript"/>
        </w:rPr>
        <w:t>[223]</w:t>
      </w:r>
      <w:r w:rsidR="0017026C" w:rsidRPr="003E0254">
        <w:fldChar w:fldCharType="end"/>
      </w:r>
      <w:r w:rsidRPr="003E0254">
        <w:t xml:space="preserve"> Here we still see the formation of hydrogen at higher currents. But </w:t>
      </w:r>
      <w:r w:rsidR="0017026C" w:rsidRPr="003E0254">
        <w:t>stable</w:t>
      </w:r>
      <w:r w:rsidRPr="003E0254">
        <w:t xml:space="preserve"> cycling and long</w:t>
      </w:r>
      <w:r w:rsidR="0017026C" w:rsidRPr="003E0254">
        <w:t>-</w:t>
      </w:r>
      <w:r w:rsidRPr="003E0254">
        <w:t xml:space="preserve">term stability of the metal anode is achieved. </w:t>
      </w:r>
      <w:r w:rsidR="0017026C" w:rsidRPr="003E0254">
        <w:t>Also,</w:t>
      </w:r>
      <w:r w:rsidRPr="003E0254">
        <w:t xml:space="preserve"> </w:t>
      </w:r>
      <w:r w:rsidR="00310DA1" w:rsidRPr="003E0254">
        <w:t>it has been shown that pure aprotic electrolytes suffer from the same disadvantages as lithium-air cells. To address these issues, gel polymer electrolytes (GPE) have been proposed as a suitable alternative for use in zinc-air batteries. GPEs are less prone to leakage, pose no chemical exposure</w:t>
      </w:r>
      <w:r w:rsidR="00AD5D3D" w:rsidRPr="003E0254">
        <w:t xml:space="preserve"> hazards</w:t>
      </w:r>
      <w:r w:rsidR="00310DA1" w:rsidRPr="003E0254">
        <w:t>, and help prevent short circuits</w:t>
      </w:r>
      <w:r w:rsidRPr="003E0254">
        <w:t>.</w:t>
      </w:r>
      <w:r w:rsidR="0017026C" w:rsidRPr="003E0254">
        <w:fldChar w:fldCharType="begin" w:fldLock="1"/>
      </w:r>
      <w:r w:rsidR="00500B8D" w:rsidRPr="003E0254">
        <w:instrText>ADDIN CSL_CITATION {"citationItems":[{"id":"ITEM-1","itemData":{"DOI":"10.1016/J.CEJ.2023.144870","ISSN":"1385-8947","abstract":"Present Zn-air batteries (ZABs) are based on concentrated alkaline liquid electrolytes, with high ionic conductivity, but suffer from leakage, evaporation, and carbonate precipitation due to the semi-open characteristic of these systems. To overcome these issues, gel polymer electrolytes (GPEs), based on naturally occurring biopolymers, arise as a green option to overcome the above-mentioned limitations. In this work, a novel GPE based on pure agarose from seaweed is presented as a smart alternative to liquid (adsorbed on a separator) and gel electrolytes (based on synthetic polymers). The innovative synthesis method described can directly encapsulate concentrated KOH liquid electrolytes into an agarose matrix in one-pot; the process requiring approx. 10 min. The unique gel developed in this work, with 2 wt% agarose and 8 M KOH electrolyte, presents the best compromise between physicochemical and electrochemical properties, at lab scale. The characterization results revealed an outstanding ionic conductivity of 0.45 ± 0.05 S cm−1, ≈100% water retention up to 200–250 h, retarded Zn self-corrosion up to 30 days (symmetric cell under open circuit), average Zn utilization &gt; 70–80% in primary ZABs in the range 1–20 mA cm−2 with peaks of ≈96%. In secondary ZABs the gel electrolyte presents high round-trip efficiency and improved cyclability at high areal capacities, under soft and severe cycling conditions, never tested before. This agarose gel represents a potential benchmark for future development of GPE-based ZABs for stationary applications.","author":[{"dropping-particle":"","family":"García-Gaitán","given":"Estibaliz","non-dropping-particle":"","parse-names":false,"suffix":""},{"dropping-particle":"","family":"Morant-Miñana","given":"María Carmen","non-dropping-particle":"","parse-names":false,"suffix":""},{"dropping-particle":"","family":"Frattini","given":"Domenico","non-dropping-particle":"","parse-names":false,"suffix":""},{"dropping-particle":"","family":"Maddalena","given":"Lorenza","non-dropping-particle":"","parse-names":false,"suffix":""},{"dropping-particle":"","family":"Fina","given":"Alberto","non-dropping-particle":"","parse-names":false,"suffix":""},{"dropping-particle":"","family":"Gerbaldi","given":"Claudio","non-dropping-particle":"","parse-names":false,"suffix":""},{"dropping-particle":"","family":"Cantero","given":"Igor","non-dropping-particle":"","parse-names":false,"suffix":""},{"dropping-particle":"","family":"Ortiz-Vitoriano","given":"Nagore","non-dropping-particle":"","parse-names":false,"suffix":""}],"container-title":"Chemical Engineering Journal","id":"ITEM-1","issued":{"date-parts":[["2023","9","15"]]},"page":"144870","publisher":"Elsevier","title":"Agarose-based Gel Electrolytes for Sustainable Primary and Secondary Zinc-Air Batteries","type":"article-journal","volume":"472"},"uris":["http://www.mendeley.com/documents/?uuid=da4b7fa4-1d3b-3430-ba43-18d980e9f037"]}],"mendeley":{"formattedCitation":"&lt;sup&gt;[213]&lt;/sup&gt;","plainTextFormattedCitation":"[213]","previouslyFormattedCitation":"&lt;sup&gt;[212]&lt;/sup&gt;"},"properties":{"noteIndex":0},"schema":"https://github.com/citation-style-language/schema/raw/master/csl-citation.json"}</w:instrText>
      </w:r>
      <w:r w:rsidR="0017026C" w:rsidRPr="003E0254">
        <w:fldChar w:fldCharType="separate"/>
      </w:r>
      <w:r w:rsidR="00500B8D" w:rsidRPr="003E0254">
        <w:rPr>
          <w:noProof/>
          <w:vertAlign w:val="superscript"/>
        </w:rPr>
        <w:t>[213]</w:t>
      </w:r>
      <w:r w:rsidR="0017026C" w:rsidRPr="003E0254">
        <w:fldChar w:fldCharType="end"/>
      </w:r>
      <w:r w:rsidRPr="003E0254">
        <w:t xml:space="preserve"> </w:t>
      </w:r>
      <w:r w:rsidR="00310DA1" w:rsidRPr="003E0254">
        <w:t>These electrolytes exhibit a good cycle life, and because they incorporate liquid components, they can offer improved performance. Additionally, the materials used in GPEs can be environmentally friendly, making them a viable alternative to traditional liquid electrolytes in ZAB applications.</w:t>
      </w:r>
      <w:r w:rsidR="0048790E" w:rsidRPr="003E0254">
        <w:t xml:space="preserve"> It is generally reported that aqueous electrolytes are safer than organic electrolytes due to their non-volatility; however potential hydrogen evolution during charging requires special attention, particularly for large-scale applications.</w:t>
      </w:r>
    </w:p>
    <w:p w14:paraId="0C7F25E2" w14:textId="321C151D" w:rsidR="00B53C39" w:rsidRPr="003E0254" w:rsidRDefault="00DA35C9" w:rsidP="00CB18B5">
      <w:pPr>
        <w:spacing w:line="276" w:lineRule="auto"/>
        <w:jc w:val="both"/>
      </w:pPr>
      <w:r w:rsidRPr="003E0254">
        <w:t xml:space="preserve">As shown in some examples in Table </w:t>
      </w:r>
      <w:r w:rsidR="00737935" w:rsidRPr="003E0254">
        <w:t>4</w:t>
      </w:r>
      <w:r w:rsidRPr="003E0254">
        <w:t xml:space="preserve">, individual experiments may demonstrate extremely high cycling numbers or capacities, even under high current loads. However, these values are not easily comparable to the performance of state-of-the-art batteries at cell level. This indicates that there is considerable room for improvement </w:t>
      </w:r>
      <w:r w:rsidR="00AD5D3D" w:rsidRPr="003E0254">
        <w:t>for</w:t>
      </w:r>
      <w:r w:rsidRPr="003E0254">
        <w:t xml:space="preserve"> zinc-air batteries to achieve performance metrics </w:t>
      </w:r>
      <w:r w:rsidR="00AD5D3D" w:rsidRPr="003E0254">
        <w:t xml:space="preserve">that are suitable </w:t>
      </w:r>
      <w:r w:rsidRPr="003E0254">
        <w:t>for real-world applications. It</w:t>
      </w:r>
      <w:r w:rsidR="00FD0FA6" w:rsidRPr="003E0254">
        <w:t xml:space="preserve"> i</w:t>
      </w:r>
      <w:r w:rsidRPr="003E0254">
        <w:t xml:space="preserve">s also important to note that, despite their long history, global efforts to develop zinc-air batteries—comprising both academic and industrial initiatives—are </w:t>
      </w:r>
      <w:r w:rsidR="00FD0FA6" w:rsidRPr="003E0254">
        <w:t>at a smaller scale</w:t>
      </w:r>
      <w:r w:rsidRPr="003E0254">
        <w:t xml:space="preserve"> than those focused </w:t>
      </w:r>
      <w:r w:rsidRPr="003E0254">
        <w:lastRenderedPageBreak/>
        <w:t xml:space="preserve">on conventional Li-ion batteries. Therefore, </w:t>
      </w:r>
      <w:r w:rsidR="0072636E" w:rsidRPr="003E0254">
        <w:t>comparisons with Li-based batteries may not be entirely appropriate. R</w:t>
      </w:r>
      <w:r w:rsidRPr="003E0254">
        <w:t xml:space="preserve">ather than positioning zinc-air batteries as competitors </w:t>
      </w:r>
      <w:r w:rsidR="00AD5D3D" w:rsidRPr="003E0254">
        <w:t>with</w:t>
      </w:r>
      <w:r w:rsidRPr="003E0254">
        <w:t xml:space="preserve"> Li-ion, the focus should be on developing them for specific applications where they can offer complementary solutions.</w:t>
      </w:r>
      <w:r w:rsidR="001058AB" w:rsidRPr="003E0254">
        <w:fldChar w:fldCharType="begin" w:fldLock="1"/>
      </w:r>
      <w:r w:rsidR="00500B8D" w:rsidRPr="003E0254">
        <w:instrText>ADDIN CSL_CITATION {"citationItems":[{"id":"ITEM-1","itemData":{"DOI":"10.1002/AENM.202000089","ISSN":"1614-6840","abstract":"In recent years, the electrochemical power sources community has launched massive research programs, conferences, and workshops on the “post Li battery era.” However, in this report it is shown that the quest for post Li-ion and Li battery technologies is incorrect in its essence. This is the outcome of a three day discussion on the future technologies that could provide an answer to a question that many ask these days: Which are the technologies that can be regarded as alternative to Li-ion batteries? The answer to this question is a rather surprising one: Li-ion battery technology will be here for many years to come, and therefore the use of “post Li-ion” battery technologies would be misleading. However, there are applications with needs for which Li-ion batteries will not be able to provide complete technological solutions, as well as lower cost and sustainability. In these specific cases, other battery technologies will play a key role. Here, the term “side-by-side technologies” is coined alongside a discussion of its meaning. The progress report does not cover the topic of Li-metal battery technologies, but covers the technologies of sodium-ion, multivalent, metal–air, and flow batteries.","author":[{"dropping-particle":"","family":"Durmus","given":"Yasin Emre","non-dropping-particle":"","parse-names":false,"suffix":""},{"dropping-particle":"","family":"Zhang","given":"Huang","non-dropping-particle":"","parse-names":false,"suffix":""},{"dropping-particle":"","family":"Baakes","given":"Florian","non-dropping-particle":"","parse-names":false,"suffix":""},{"dropping-particle":"","family":"Desmaizieres","given":"Gauthier","non-dropping-particle":"","parse-names":false,"suffix":""},{"dropping-particle":"","family":"Hayun","given":"Hagay","non-dropping-particle":"","parse-names":false,"suffix":""},{"dropping-particle":"","family":"Yang","given":"Liangtao","non-dropping-particle":"","parse-names":false,"suffix":""},{"dropping-particle":"","family":"Kolek","given":"Martin","non-dropping-particle":"","parse-names":false,"suffix":""},{"dropping-particle":"","family":"Küpers","given":"Verena","non-dropping-particle":"","parse-names":false,"suffix":""},{"dropping-particle":"","family":"Janek","given":"Jürgen","non-dropping-particle":"","parse-names":false,"suffix":""},{"dropping-particle":"","family":"Mandler","given":"Daniel","non-dropping-particle":"","parse-names":false,"suffix":""},{"dropping-particle":"","family":"Passerini","given":"Stefano","non-dropping-particle":"","parse-names":false,"suffix":""},{"dropping-particle":"","family":"Ein-Eli","given":"Yair","non-dropping-particle":"","parse-names":false,"suffix":""}],"container-title":"Advanced Energy Materials","id":"ITEM-1","issue":"24","issued":{"date-parts":[["2020","6","1"]]},"page":"2000089","publisher":"John Wiley &amp; Sons, Ltd","title":"Side by Side Battery Technologies with Lithium-Ion Based Batteries","type":"article-journal","volume":"10"},"uris":["http://www.mendeley.com/documents/?uuid=a27fd065-7e43-3f4a-95ad-a25129878ec6"]}],"mendeley":{"formattedCitation":"&lt;sup&gt;[250]&lt;/sup&gt;","plainTextFormattedCitation":"[250]","previouslyFormattedCitation":"&lt;sup&gt;[249]&lt;/sup&gt;"},"properties":{"noteIndex":0},"schema":"https://github.com/citation-style-language/schema/raw/master/csl-citation.json"}</w:instrText>
      </w:r>
      <w:r w:rsidR="001058AB" w:rsidRPr="003E0254">
        <w:fldChar w:fldCharType="separate"/>
      </w:r>
      <w:r w:rsidR="00500B8D" w:rsidRPr="003E0254">
        <w:rPr>
          <w:noProof/>
          <w:vertAlign w:val="superscript"/>
        </w:rPr>
        <w:t>[250]</w:t>
      </w:r>
      <w:r w:rsidR="001058AB" w:rsidRPr="003E0254">
        <w:fldChar w:fldCharType="end"/>
      </w:r>
    </w:p>
    <w:p w14:paraId="2D718528" w14:textId="77777777" w:rsidR="00B53C39" w:rsidRPr="003E0254" w:rsidRDefault="00B53C39">
      <w:pPr>
        <w:spacing w:line="276" w:lineRule="auto"/>
      </w:pPr>
    </w:p>
    <w:p w14:paraId="60302305" w14:textId="640D1554" w:rsidR="000D0BA2" w:rsidRPr="003E0254" w:rsidRDefault="00DA35C9" w:rsidP="000D0BA2">
      <w:pPr>
        <w:pStyle w:val="berschrift3"/>
        <w:spacing w:line="276" w:lineRule="auto"/>
        <w:rPr>
          <w:b/>
          <w:bCs/>
        </w:rPr>
      </w:pPr>
      <w:r w:rsidRPr="003E0254">
        <w:rPr>
          <w:b/>
          <w:bCs/>
        </w:rPr>
        <w:t>2.</w:t>
      </w:r>
      <w:r w:rsidR="003E4F58" w:rsidRPr="003E0254">
        <w:rPr>
          <w:b/>
          <w:bCs/>
        </w:rPr>
        <w:t>5</w:t>
      </w:r>
      <w:r w:rsidRPr="003E0254">
        <w:rPr>
          <w:b/>
          <w:bCs/>
        </w:rPr>
        <w:t xml:space="preserve"> Zinc-</w:t>
      </w:r>
      <w:r w:rsidR="00A97A8B" w:rsidRPr="003E0254">
        <w:rPr>
          <w:b/>
          <w:bCs/>
        </w:rPr>
        <w:t>B</w:t>
      </w:r>
      <w:r w:rsidRPr="003E0254">
        <w:rPr>
          <w:b/>
          <w:bCs/>
        </w:rPr>
        <w:t xml:space="preserve">ased </w:t>
      </w:r>
      <w:r w:rsidR="00A97A8B" w:rsidRPr="003E0254">
        <w:rPr>
          <w:b/>
          <w:bCs/>
        </w:rPr>
        <w:t>R</w:t>
      </w:r>
      <w:r w:rsidRPr="003E0254">
        <w:rPr>
          <w:b/>
          <w:bCs/>
        </w:rPr>
        <w:t>edox</w:t>
      </w:r>
      <w:r w:rsidR="009755F7" w:rsidRPr="003E0254">
        <w:rPr>
          <w:b/>
          <w:bCs/>
        </w:rPr>
        <w:t xml:space="preserve"> </w:t>
      </w:r>
      <w:r w:rsidR="00A97A8B" w:rsidRPr="003E0254">
        <w:rPr>
          <w:b/>
          <w:bCs/>
        </w:rPr>
        <w:t>F</w:t>
      </w:r>
      <w:r w:rsidRPr="003E0254">
        <w:rPr>
          <w:b/>
          <w:bCs/>
        </w:rPr>
        <w:t xml:space="preserve">low </w:t>
      </w:r>
      <w:bookmarkStart w:id="9" w:name="_Hlk189809335"/>
      <w:r w:rsidR="00A97A8B" w:rsidRPr="003E0254">
        <w:rPr>
          <w:b/>
          <w:bCs/>
        </w:rPr>
        <w:t>B</w:t>
      </w:r>
      <w:r w:rsidR="000D0BA2" w:rsidRPr="003E0254">
        <w:rPr>
          <w:b/>
          <w:bCs/>
        </w:rPr>
        <w:t>atteries</w:t>
      </w:r>
    </w:p>
    <w:p w14:paraId="25D5CA76" w14:textId="664E98A9" w:rsidR="00F0268C" w:rsidRPr="003E0254" w:rsidRDefault="00F0268C" w:rsidP="00F0268C">
      <w:pPr>
        <w:spacing w:line="276" w:lineRule="auto"/>
        <w:jc w:val="both"/>
        <w:rPr>
          <w:lang w:eastAsia="de-DE"/>
        </w:rPr>
      </w:pPr>
      <w:r w:rsidRPr="003E0254">
        <w:rPr>
          <w:lang w:eastAsia="de-DE"/>
        </w:rPr>
        <w:t xml:space="preserve">Zinc-based </w:t>
      </w:r>
      <w:r w:rsidR="009755F7" w:rsidRPr="003E0254">
        <w:rPr>
          <w:lang w:eastAsia="de-DE"/>
        </w:rPr>
        <w:t>redox flow</w:t>
      </w:r>
      <w:r w:rsidRPr="003E0254">
        <w:rPr>
          <w:lang w:eastAsia="de-DE"/>
        </w:rPr>
        <w:t xml:space="preserve"> batteries (Zinc-RFBs) differ from conventional </w:t>
      </w:r>
      <w:r w:rsidR="009755F7" w:rsidRPr="003E0254">
        <w:rPr>
          <w:lang w:eastAsia="de-DE"/>
        </w:rPr>
        <w:t>redox flow</w:t>
      </w:r>
      <w:r w:rsidRPr="003E0254">
        <w:rPr>
          <w:lang w:eastAsia="de-DE"/>
        </w:rPr>
        <w:t xml:space="preserve"> systems by utilizing a solid zinc anode, where energy is stored through the reversible electrodeposition and dissolution of metallic zinc. While electrodeposition also occurs in some </w:t>
      </w:r>
      <w:r w:rsidR="00A439A1" w:rsidRPr="003E0254">
        <w:rPr>
          <w:lang w:eastAsia="de-DE"/>
        </w:rPr>
        <w:t>zinc-metal</w:t>
      </w:r>
      <w:r w:rsidRPr="003E0254">
        <w:rPr>
          <w:lang w:eastAsia="de-DE"/>
        </w:rPr>
        <w:t xml:space="preserve"> and zinc-air batteries, </w:t>
      </w:r>
      <w:r w:rsidR="0062410A" w:rsidRPr="003E0254">
        <w:rPr>
          <w:lang w:eastAsia="de-DE"/>
        </w:rPr>
        <w:t>zinc RFBs</w:t>
      </w:r>
      <w:r w:rsidRPr="003E0254">
        <w:rPr>
          <w:lang w:eastAsia="de-DE"/>
        </w:rPr>
        <w:t xml:space="preserve"> uniquely integrate this process within a flow system, making them inherently hybrid </w:t>
      </w:r>
      <w:r w:rsidR="009755F7" w:rsidRPr="003E0254">
        <w:rPr>
          <w:lang w:eastAsia="de-DE"/>
        </w:rPr>
        <w:t>redox flow</w:t>
      </w:r>
      <w:r w:rsidRPr="003E0254">
        <w:rPr>
          <w:lang w:eastAsia="de-DE"/>
        </w:rPr>
        <w:t xml:space="preserve"> batteries, see</w:t>
      </w:r>
      <w:r w:rsidR="00A97A8B" w:rsidRPr="003E0254">
        <w:rPr>
          <w:lang w:eastAsia="de-DE"/>
        </w:rPr>
        <w:t xml:space="preserve"> Figure 6</w:t>
      </w:r>
      <w:r w:rsidRPr="003E0254">
        <w:rPr>
          <w:lang w:eastAsia="de-DE"/>
        </w:rPr>
        <w:t>. Zinc-RFBs have since evolved through various chemistries. The following sections outline their historical development, key chemistries, and electrochemical principles.</w:t>
      </w:r>
    </w:p>
    <w:p w14:paraId="720BB913" w14:textId="35CF67FB" w:rsidR="00B53C39" w:rsidRPr="003E0254" w:rsidRDefault="00F0268C" w:rsidP="000D0BA2">
      <w:pPr>
        <w:spacing w:line="276" w:lineRule="auto"/>
        <w:jc w:val="both"/>
      </w:pPr>
      <w:r w:rsidRPr="003E0254">
        <w:rPr>
          <w:lang w:eastAsia="de-DE"/>
        </w:rPr>
        <w:t>T</w:t>
      </w:r>
      <w:r w:rsidR="000D0BA2" w:rsidRPr="003E0254">
        <w:rPr>
          <w:lang w:eastAsia="de-DE"/>
        </w:rPr>
        <w:t xml:space="preserve">he historical development of zinc-based </w:t>
      </w:r>
      <w:r w:rsidR="009755F7" w:rsidRPr="003E0254">
        <w:rPr>
          <w:lang w:eastAsia="de-DE"/>
        </w:rPr>
        <w:t>redox flow</w:t>
      </w:r>
      <w:r w:rsidR="000D0BA2" w:rsidRPr="003E0254">
        <w:rPr>
          <w:lang w:eastAsia="de-DE"/>
        </w:rPr>
        <w:t xml:space="preserve"> batteries </w:t>
      </w:r>
      <w:r w:rsidR="00DA35C9" w:rsidRPr="003E0254">
        <w:rPr>
          <w:lang w:eastAsia="de-DE"/>
        </w:rPr>
        <w:t>can be traced back to the late 19</w:t>
      </w:r>
      <w:r w:rsidR="00DA35C9" w:rsidRPr="003E0254">
        <w:rPr>
          <w:vertAlign w:val="superscript"/>
          <w:lang w:eastAsia="de-DE"/>
        </w:rPr>
        <w:t>th</w:t>
      </w:r>
      <w:r w:rsidR="009B54EC" w:rsidRPr="003E0254">
        <w:rPr>
          <w:lang w:eastAsia="de-DE"/>
        </w:rPr>
        <w:t xml:space="preserve"> </w:t>
      </w:r>
      <w:r w:rsidR="00DA35C9" w:rsidRPr="003E0254">
        <w:rPr>
          <w:lang w:eastAsia="de-DE"/>
        </w:rPr>
        <w:t>century.</w:t>
      </w:r>
      <w:r w:rsidR="00DA35C9" w:rsidRPr="003E0254">
        <w:t xml:space="preserve"> Zinc-based redox flow batteries always feature a solid zinc anode. Consequently, zinc redox flow cells, in contrast to all-liquid redox flow cells, </w:t>
      </w:r>
      <w:r w:rsidR="0011201F" w:rsidRPr="003E0254">
        <w:t>store charge</w:t>
      </w:r>
      <w:r w:rsidR="00DA35C9" w:rsidRPr="003E0254">
        <w:t xml:space="preserve"> within the conversion cell via electrodeposition of metallic zinc on the current collector.</w:t>
      </w:r>
      <w:r w:rsidR="00F3508E" w:rsidRPr="003E0254">
        <w:fldChar w:fldCharType="begin" w:fldLock="1"/>
      </w:r>
      <w:r w:rsidR="00500B8D" w:rsidRPr="003E0254">
        <w:instrText>ADDIN CSL_CITATION {"citationItems":[{"id":"ITEM-1","itemData":{"DOI":"10.3390/BATTERIES9010004","ISSN":"2313-0105","abstract":"Renewable energy sources have been a topic of ever-increasing interest, not least due to escalating environmental changes. The significant rise of research into energy harvesting and storage over the years has yielded a plethora of approaches and methodologies, and associated reviews of individual aspects thereof. Here, we aim at highlighting a rather new avenue within the field of batteries, the (noaqueous) all-organic redox-flow battery, albeit seeking to provide a comprehensive and wide-ranging overview of the subject matter that covers all associated aspects. This way, subject matter on a historical perspective, general types of redox-flow cells, electrolyte design and function, flow kinetics, and cell design are housed within one work, providing perspective on the all-organic redox-flow battery in a broader sense.","author":[{"dropping-particle":"","family":"Kortekaas","given":"Luuk","non-dropping-particle":"","parse-names":false,"suffix":""},{"dropping-particle":"","family":"Fricke","given":"Sebastian","non-dropping-particle":"","parse-names":false,"suffix":""},{"dropping-particle":"","family":"Korshunov","given":"Aleksandr","non-dropping-particle":"","parse-names":false,"suffix":""},{"dropping-particle":"","family":"Cekic-Laskovic","given":"Isidora","non-dropping-particle":"","parse-names":false,"suffix":""},{"dropping-particle":"","family":"Winter","given":"Martin","non-dropping-particle":"","parse-names":false,"suffix":""},{"dropping-particle":"","family":"Grünebaum","given":"Mariano","non-dropping-particle":"","parse-names":false,"suffix":""}],"container-title":"Batteries 2023, Vol. 9, Page 4","id":"ITEM-1","issue":"1","issued":{"date-parts":[["2022","12","22"]]},"page":"4","publisher":"Multidisciplinary Digital Publishing Institute","title":"Building Bridges: Unifying Design and Development Aspects for Advancing Non-Aqueous Redox-Flow Batteries","type":"article-journal","volume":"9"},"uris":["http://www.mendeley.com/documents/?uuid=e2ffaa66-5629-3eab-b8ac-3a9fbd8af4c4"]}],"mendeley":{"formattedCitation":"&lt;sup&gt;[251]&lt;/sup&gt;","plainTextFormattedCitation":"[251]","previouslyFormattedCitation":"&lt;sup&gt;[250]&lt;/sup&gt;"},"properties":{"noteIndex":0},"schema":"https://github.com/citation-style-language/schema/raw/master/csl-citation.json"}</w:instrText>
      </w:r>
      <w:r w:rsidR="00F3508E" w:rsidRPr="003E0254">
        <w:fldChar w:fldCharType="separate"/>
      </w:r>
      <w:r w:rsidR="00500B8D" w:rsidRPr="003E0254">
        <w:rPr>
          <w:noProof/>
          <w:vertAlign w:val="superscript"/>
        </w:rPr>
        <w:t>[251]</w:t>
      </w:r>
      <w:r w:rsidR="00F3508E" w:rsidRPr="003E0254">
        <w:fldChar w:fldCharType="end"/>
      </w:r>
      <w:r w:rsidR="00DA35C9" w:rsidRPr="003E0254">
        <w:t xml:space="preserve"> Therefore, zinc-based redox flow cells are inherently hybrid redox flow cells. A schematic representation is shown in Figure </w:t>
      </w:r>
      <w:r w:rsidR="009B54EC" w:rsidRPr="003E0254">
        <w:t>6</w:t>
      </w:r>
      <w:r w:rsidR="00DA35C9" w:rsidRPr="003E0254">
        <w:t xml:space="preserve"> below.</w:t>
      </w:r>
      <w:bookmarkEnd w:id="9"/>
    </w:p>
    <w:p w14:paraId="75446D2B" w14:textId="4C487032" w:rsidR="000D0BA2" w:rsidRPr="003E0254" w:rsidRDefault="000D0BA2" w:rsidP="000D0BA2">
      <w:pPr>
        <w:spacing w:line="276" w:lineRule="auto"/>
        <w:jc w:val="both"/>
        <w:rPr>
          <w:rFonts w:ascii="Cambria Math" w:hAnsi="Cambria Math"/>
          <w:lang w:eastAsia="de-DE"/>
        </w:rPr>
      </w:pPr>
      <w:r w:rsidRPr="003E0254">
        <w:rPr>
          <w:lang w:eastAsia="de-DE"/>
        </w:rPr>
        <w:t>The first zinc-bromine cells were developed in the 1870s, marking the beginning of zinc-based RFB technology.</w:t>
      </w:r>
      <w:r w:rsidRPr="003E0254">
        <w:rPr>
          <w:lang w:eastAsia="de-DE"/>
        </w:rPr>
        <w:fldChar w:fldCharType="begin" w:fldLock="1"/>
      </w:r>
      <w:r w:rsidR="00500B8D" w:rsidRPr="003E0254">
        <w:rPr>
          <w:lang w:eastAsia="de-DE"/>
        </w:rPr>
        <w:instrText>ADDIN CSL_CITATION {"citationItems":[{"id":"ITEM-1","itemData":{"DOI":"10.1149/1945-7111/acb8de","ISSN":"0013-4651","abstract":"We present a quantitative bibliometric study of flow battery technology from the first zinc-bromine cells in the 1870’s to megawatt vanadium RFB installations in the 2020’s. We emphasize, that the cost advantage of RFBs in multi-hour charge-discharge cycles is compromised by an inferior energy efficiency of these systems, and that there are limits on the efficiency improvement due to internal cross-over and the cost of power (at low current densities) and due to an acceptable pressure drop (at high current densities). Differences between lithium-ion and vanadium redox flow batteries (VRFBs) are discussed from the end-user perspective. We conclude, that the area-specific resistance, cross-over current and durability of contemporaneous VRFBs are appropriate for commercialization in multi-hour stationary energy storage markets, and the most import direction in the VRFB development today is the reduction of stack materials and manufacturing costs. Chromium-iron RFBs should be given a renewed attention, since it seems to be the most promising durable low-energy-cost chemistry.","author":[{"dropping-particle":"V.","family":"Tolmachev","given":"Yuriy","non-dropping-particle":"","parse-names":false,"suffix":""}],"container-title":"Journal of The Electrochemical Society","id":"ITEM-1","issue":"3","issued":{"date-parts":[["2023","3","1"]]},"page":"030505","publisher":"IOP Publishing","title":"Review—Flow Batteries from 1879 to 2022 and Beyond","type":"article-journal","volume":"170"},"uris":["http://www.mendeley.com/documents/?uuid=2b3b5d46-5c8b-35dc-b5cb-bee0a21e0b87"]}],"mendeley":{"formattedCitation":"&lt;sup&gt;[252]&lt;/sup&gt;","plainTextFormattedCitation":"[252]","previouslyFormattedCitation":"&lt;sup&gt;[251]&lt;/sup&gt;"},"properties":{"noteIndex":0},"schema":"https://github.com/citation-style-language/schema/raw/master/csl-citation.json"}</w:instrText>
      </w:r>
      <w:r w:rsidRPr="003E0254">
        <w:rPr>
          <w:lang w:eastAsia="de-DE"/>
        </w:rPr>
        <w:fldChar w:fldCharType="separate"/>
      </w:r>
      <w:r w:rsidR="00500B8D" w:rsidRPr="003E0254">
        <w:rPr>
          <w:noProof/>
          <w:vertAlign w:val="superscript"/>
          <w:lang w:eastAsia="de-DE"/>
        </w:rPr>
        <w:t>[252]</w:t>
      </w:r>
      <w:r w:rsidRPr="003E0254">
        <w:rPr>
          <w:lang w:eastAsia="de-DE"/>
        </w:rPr>
        <w:fldChar w:fldCharType="end"/>
      </w:r>
      <w:r w:rsidRPr="003E0254">
        <w:rPr>
          <w:lang w:eastAsia="de-DE"/>
        </w:rPr>
        <w:t xml:space="preserve"> Over the decades, various zinc-based cells were explored by coupling </w:t>
      </w:r>
      <w:r w:rsidR="00A439A1" w:rsidRPr="003E0254">
        <w:rPr>
          <w:lang w:eastAsia="de-DE"/>
        </w:rPr>
        <w:t>zinc</w:t>
      </w:r>
      <w:r w:rsidR="0062410A" w:rsidRPr="003E0254">
        <w:rPr>
          <w:lang w:eastAsia="de-DE"/>
        </w:rPr>
        <w:t xml:space="preserve"> </w:t>
      </w:r>
      <w:r w:rsidR="00A439A1" w:rsidRPr="003E0254">
        <w:rPr>
          <w:lang w:eastAsia="de-DE"/>
        </w:rPr>
        <w:t>metal</w:t>
      </w:r>
      <w:r w:rsidRPr="003E0254">
        <w:rPr>
          <w:lang w:eastAsia="de-DE"/>
        </w:rPr>
        <w:t xml:space="preserve"> with suitable catholytes, including zinc-halide, </w:t>
      </w:r>
      <w:r w:rsidR="000F4472" w:rsidRPr="003E0254">
        <w:rPr>
          <w:lang w:eastAsia="de-DE"/>
        </w:rPr>
        <w:t>-</w:t>
      </w:r>
      <w:r w:rsidRPr="003E0254">
        <w:rPr>
          <w:lang w:eastAsia="de-DE"/>
        </w:rPr>
        <w:t>manganese, -iron, -nickel, -lead, -cerium, -ferrocene and -organic (</w:t>
      </w:r>
      <w:r w:rsidRPr="003E0254">
        <w:t>2,2,6,6-tetramethylpiperidinyloxyl (TEMPO)- or quinone-based</w:t>
      </w:r>
      <w:r w:rsidRPr="003E0254">
        <w:rPr>
          <w:lang w:eastAsia="de-DE"/>
        </w:rPr>
        <w:t>) systems.</w:t>
      </w:r>
      <w:r w:rsidRPr="003E0254">
        <w:rPr>
          <w:lang w:eastAsia="de-DE"/>
        </w:rPr>
        <w:fldChar w:fldCharType="begin" w:fldLock="1"/>
      </w:r>
      <w:r w:rsidR="002F6D4C" w:rsidRPr="003E0254">
        <w:rPr>
          <w:lang w:eastAsia="de-DE"/>
        </w:rPr>
        <w:instrText>ADDIN CSL_CITATION {"citationItems":[{"id":"ITEM-1","itemData":{"DOI":"10.1088/1361-6463/ac4182","ISSN":"0022-3727","abstract":"Zinc-based redox flow batteries (ZRFBs) have been considered as ones of the most promising large-scale energy storage technologies owing to their low cost, high safety, and environmental friendliness. However, their commercial application is still hindered by a few key problems. First, the hydrogen evolution and zinc dendrite formation cause poor cycling life, of which needs to ameliorated or overcome by finding suitable anolytes. Second, the stability and energy density of catholytes are unsatisfactory due to oxidation, corrosion, and low electrolyte concentration. Meanwhile, highly catalytic electrode materials remain to be explored and the ion selectivity and cost efficiency of membrane materials demands further improvement. In this review, we summarize different types of ZRFBs according to their electrolyte environments including ZRFBs using neutral, acidic, and alkaline electrolytes, then highlight the advances of key materials including electrode and membrane materials for ZRFBs, and finally discuss the challenges and perspectives for the future development of high-performance ZRFBs.","author":[{"dropping-particle":"","family":"Wang","given":"Guixiang","non-dropping-particle":"","parse-names":false,"suffix":""},{"dropping-particle":"","family":"Zou","given":"Haitao","non-dropping-particle":"","parse-names":false,"suffix":""},{"dropping-particle":"","family":"Zhu","given":"Xiaobo","non-dropping-particle":"","parse-names":false,"suffix":""},{"dropping-particle":"","family":"Ding","given":"Mei","non-dropping-particle":"","parse-names":false,"suffix":""},{"dropping-particle":"","family":"Jia","given":"Chuankun","non-dropping-particle":"","parse-names":false,"suffix":""}],"container-title":"Journal of Physics D: Applied Physics","id":"ITEM-1","issue":"16","issued":{"date-parts":[["2022","4","21"]]},"page":"163001","publisher":"IOP Publishing","title":"Recent progress in zinc-based redox flow batteries: a review","type":"article-journal","volume":"55"},"uris":["http://www.mendeley.com/documents/?uuid=b2f01424-46c9-4454-af23-112002d8a32b"]}],"mendeley":{"formattedCitation":"&lt;sup&gt;[15]&lt;/sup&gt;","plainTextFormattedCitation":"[15]","previouslyFormattedCitation":"&lt;sup&gt;[15]&lt;/sup&gt;"},"properties":{"noteIndex":0},"schema":"https://github.com/citation-style-language/schema/raw/master/csl-citation.json"}</w:instrText>
      </w:r>
      <w:r w:rsidRPr="003E0254">
        <w:rPr>
          <w:lang w:eastAsia="de-DE"/>
        </w:rPr>
        <w:fldChar w:fldCharType="separate"/>
      </w:r>
      <w:r w:rsidR="00A94915" w:rsidRPr="003E0254">
        <w:rPr>
          <w:noProof/>
          <w:vertAlign w:val="superscript"/>
          <w:lang w:eastAsia="de-DE"/>
        </w:rPr>
        <w:t>[15]</w:t>
      </w:r>
      <w:r w:rsidRPr="003E0254">
        <w:rPr>
          <w:lang w:eastAsia="de-DE"/>
        </w:rPr>
        <w:fldChar w:fldCharType="end"/>
      </w:r>
      <w:r w:rsidRPr="003E0254">
        <w:rPr>
          <w:lang w:eastAsia="de-DE"/>
        </w:rPr>
        <w:t xml:space="preserve"> Similar to regular zinc batteries, these cells can be divided in</w:t>
      </w:r>
      <w:r w:rsidR="00534DC9" w:rsidRPr="003E0254">
        <w:rPr>
          <w:lang w:eastAsia="de-DE"/>
        </w:rPr>
        <w:t>to</w:t>
      </w:r>
      <w:r w:rsidRPr="003E0254">
        <w:rPr>
          <w:lang w:eastAsia="de-DE"/>
        </w:rPr>
        <w:t xml:space="preserve"> those with neutral or acidic anolyte with </w:t>
      </w:r>
      <m:oMath>
        <m:r>
          <m:rPr>
            <m:sty m:val="p"/>
          </m:rPr>
          <w:rPr>
            <w:rFonts w:ascii="Cambria Math" w:hAnsi="Cambria Math" w:cs="Calibri"/>
            <w:lang w:eastAsia="de-DE"/>
          </w:rPr>
          <m:t xml:space="preserve">Zn ↔ </m:t>
        </m:r>
        <m:sSup>
          <m:sSupPr>
            <m:ctrlPr>
              <w:rPr>
                <w:rFonts w:ascii="Cambria Math" w:eastAsia="Cambria Math" w:hAnsi="Cambria Math" w:cs="Cambria Math"/>
                <w:lang w:eastAsia="de-DE"/>
              </w:rPr>
            </m:ctrlPr>
          </m:sSupPr>
          <m:e>
            <m:r>
              <m:rPr>
                <m:sty m:val="p"/>
              </m:rPr>
              <w:rPr>
                <w:rFonts w:ascii="Cambria Math" w:hAnsi="Cambria Math" w:cs="Calibri"/>
                <w:lang w:eastAsia="de-DE"/>
              </w:rPr>
              <m:t>Zn</m:t>
            </m:r>
          </m:e>
          <m:sup>
            <m:r>
              <w:rPr>
                <w:rFonts w:ascii="Cambria Math" w:hAnsi="Cambria Math" w:cs="Calibri"/>
                <w:lang w:eastAsia="de-DE"/>
              </w:rPr>
              <m:t>2+</m:t>
            </m:r>
          </m:sup>
        </m:sSup>
        <m:r>
          <m:rPr>
            <m:sty m:val="p"/>
          </m:rPr>
          <w:rPr>
            <w:rFonts w:ascii="Cambria Math" w:hAnsi="Cambria Math" w:cs="Calibri"/>
            <w:lang w:eastAsia="de-DE"/>
          </w:rPr>
          <m:t>+ 2</m:t>
        </m:r>
        <m:sSup>
          <m:sSupPr>
            <m:ctrlPr>
              <w:rPr>
                <w:rFonts w:ascii="Cambria Math" w:eastAsia="Cambria Math" w:hAnsi="Cambria Math" w:cs="Cambria Math"/>
                <w:lang w:eastAsia="de-DE"/>
              </w:rPr>
            </m:ctrlPr>
          </m:sSupPr>
          <m:e>
            <m:r>
              <m:rPr>
                <m:sty m:val="p"/>
              </m:rPr>
              <w:rPr>
                <w:rFonts w:ascii="Cambria Math" w:hAnsi="Cambria Math" w:cs="Calibri"/>
                <w:lang w:eastAsia="de-DE"/>
              </w:rPr>
              <m:t>e</m:t>
            </m:r>
          </m:e>
          <m:sup>
            <m:r>
              <w:rPr>
                <w:rFonts w:ascii="Cambria Math" w:hAnsi="Cambria Math" w:cs="Calibri"/>
                <w:lang w:eastAsia="de-DE"/>
              </w:rPr>
              <m:t>-</m:t>
            </m:r>
          </m:sup>
        </m:sSup>
        <m:r>
          <m:rPr>
            <m:sty m:val="p"/>
          </m:rPr>
          <w:rPr>
            <w:rFonts w:ascii="Cambria Math" w:hAnsi="Cambria Math"/>
            <w:lang w:eastAsia="de-DE"/>
          </w:rPr>
          <m:t xml:space="preserve"> </m:t>
        </m:r>
      </m:oMath>
      <w:r w:rsidRPr="003E0254">
        <w:rPr>
          <w:rFonts w:eastAsiaTheme="minorEastAsia"/>
          <w:lang w:eastAsia="de-DE"/>
        </w:rPr>
        <w:t xml:space="preserve"> (</w:t>
      </w:r>
      <w:r w:rsidRPr="003E0254">
        <w:rPr>
          <w:rFonts w:ascii="Cambria" w:eastAsiaTheme="minorEastAsia" w:hAnsi="Cambria"/>
          <w:lang w:eastAsia="de-DE"/>
        </w:rPr>
        <w:t>φ</w:t>
      </w:r>
      <w:r w:rsidRPr="003E0254">
        <w:rPr>
          <w:rFonts w:eastAsiaTheme="minorEastAsia"/>
          <w:lang w:eastAsia="de-DE"/>
        </w:rPr>
        <w:t xml:space="preserve">= -0.76 vs. SHE) </w:t>
      </w:r>
      <w:r w:rsidRPr="003E0254">
        <w:rPr>
          <w:lang w:eastAsia="de-DE"/>
        </w:rPr>
        <w:t xml:space="preserve">at the negative electrode, and cells with a basic anolyte with the half-cell reaction </w:t>
      </w:r>
      <m:oMath>
        <m:r>
          <m:rPr>
            <m:sty m:val="p"/>
          </m:rPr>
          <w:rPr>
            <w:rFonts w:ascii="Cambria Math" w:hAnsi="Cambria Math" w:cs="Calibri"/>
            <w:lang w:eastAsia="de-DE"/>
          </w:rPr>
          <m:t>Zn + 4</m:t>
        </m:r>
        <m:sSup>
          <m:sSupPr>
            <m:ctrlPr>
              <w:rPr>
                <w:rFonts w:ascii="Cambria Math" w:eastAsia="Cambria Math" w:hAnsi="Cambria Math" w:cs="Cambria Math"/>
                <w:lang w:eastAsia="de-DE"/>
              </w:rPr>
            </m:ctrlPr>
          </m:sSupPr>
          <m:e>
            <m:r>
              <m:rPr>
                <m:sty m:val="p"/>
              </m:rPr>
              <w:rPr>
                <w:rFonts w:ascii="Cambria Math" w:hAnsi="Cambria Math" w:cs="Calibri"/>
                <w:lang w:eastAsia="de-DE"/>
              </w:rPr>
              <m:t>OH</m:t>
            </m:r>
          </m:e>
          <m:sup>
            <m:r>
              <w:rPr>
                <w:rFonts w:ascii="Cambria Math" w:hAnsi="Cambria Math" w:cs="Calibri"/>
                <w:lang w:eastAsia="de-DE"/>
              </w:rPr>
              <m:t>-</m:t>
            </m:r>
          </m:sup>
        </m:sSup>
        <m:r>
          <m:rPr>
            <m:sty m:val="p"/>
          </m:rPr>
          <w:rPr>
            <w:rFonts w:ascii="Cambria Math" w:hAnsi="Cambria Math" w:cs="Calibri"/>
            <w:lang w:eastAsia="de-DE"/>
          </w:rPr>
          <m:t xml:space="preserve">↔ </m:t>
        </m:r>
        <m:sSubSup>
          <m:sSubSupPr>
            <m:ctrlPr>
              <w:rPr>
                <w:rFonts w:ascii="Cambria Math" w:eastAsia="Cambria Math" w:hAnsi="Cambria Math" w:cs="Cambria Math"/>
                <w:lang w:eastAsia="de-DE"/>
              </w:rPr>
            </m:ctrlPr>
          </m:sSubSupPr>
          <m:e>
            <m:r>
              <m:rPr>
                <m:sty m:val="p"/>
              </m:rPr>
              <w:rPr>
                <w:rFonts w:ascii="Cambria Math" w:hAnsi="Cambria Math" w:cs="Calibri"/>
                <w:lang w:eastAsia="de-DE"/>
              </w:rPr>
              <m:t>Zn(OH)</m:t>
            </m:r>
          </m:e>
          <m:sub>
            <m:r>
              <m:rPr>
                <m:sty m:val="p"/>
              </m:rPr>
              <w:rPr>
                <w:rFonts w:ascii="Cambria Math" w:hAnsi="Cambria Math" w:cs="Calibri"/>
                <w:lang w:eastAsia="de-DE"/>
              </w:rPr>
              <m:t>4</m:t>
            </m:r>
          </m:sub>
          <m:sup>
            <m:r>
              <m:rPr>
                <m:sty m:val="p"/>
              </m:rPr>
              <w:rPr>
                <w:rFonts w:ascii="Cambria Math" w:hAnsi="Cambria Math" w:cs="Calibri"/>
                <w:lang w:eastAsia="de-DE"/>
              </w:rPr>
              <m:t>2-</m:t>
            </m:r>
          </m:sup>
        </m:sSubSup>
        <m:r>
          <w:rPr>
            <w:rFonts w:ascii="Cambria Math" w:hAnsi="Cambria Math" w:cs="Calibri"/>
            <w:lang w:eastAsia="de-DE"/>
          </w:rPr>
          <m:t>+2</m:t>
        </m:r>
        <m:sSup>
          <m:sSupPr>
            <m:ctrlPr>
              <w:rPr>
                <w:rFonts w:ascii="Cambria Math" w:eastAsia="Cambria Math" w:hAnsi="Cambria Math" w:cs="Cambria Math"/>
                <w:lang w:eastAsia="de-DE"/>
              </w:rPr>
            </m:ctrlPr>
          </m:sSupPr>
          <m:e>
            <m:r>
              <m:rPr>
                <m:sty m:val="p"/>
              </m:rPr>
              <w:rPr>
                <w:rFonts w:ascii="Cambria Math" w:hAnsi="Cambria Math" w:cs="Calibri"/>
                <w:lang w:eastAsia="de-DE"/>
              </w:rPr>
              <m:t>e</m:t>
            </m:r>
          </m:e>
          <m:sup>
            <m:r>
              <w:rPr>
                <w:rFonts w:ascii="Cambria Math" w:hAnsi="Cambria Math" w:cs="Calibri"/>
                <w:lang w:eastAsia="de-DE"/>
              </w:rPr>
              <m:t>-</m:t>
            </m:r>
          </m:sup>
        </m:sSup>
      </m:oMath>
      <w:r w:rsidRPr="003E0254">
        <w:rPr>
          <w:rFonts w:eastAsiaTheme="minorEastAsia"/>
          <w:lang w:eastAsia="de-DE"/>
        </w:rPr>
        <w:t xml:space="preserve"> (</w:t>
      </w:r>
      <w:r w:rsidRPr="003E0254">
        <w:rPr>
          <w:rFonts w:ascii="Cambria" w:eastAsiaTheme="minorEastAsia" w:hAnsi="Cambria"/>
          <w:lang w:eastAsia="de-DE"/>
        </w:rPr>
        <w:t>φ</w:t>
      </w:r>
      <w:r w:rsidRPr="003E0254">
        <w:rPr>
          <w:rFonts w:eastAsiaTheme="minorEastAsia"/>
          <w:lang w:eastAsia="de-DE"/>
        </w:rPr>
        <w:t>= -1.22 vs. SHE).</w:t>
      </w:r>
    </w:p>
    <w:p w14:paraId="00BE56FF" w14:textId="77777777" w:rsidR="00B53C39" w:rsidRPr="003E0254" w:rsidRDefault="00DA35C9">
      <w:pPr>
        <w:keepNext/>
        <w:spacing w:line="276" w:lineRule="auto"/>
        <w:jc w:val="both"/>
      </w:pPr>
      <w:r w:rsidRPr="003E0254">
        <w:rPr>
          <w:noProof/>
        </w:rPr>
        <w:lastRenderedPageBreak/>
        <mc:AlternateContent>
          <mc:Choice Requires="wpg">
            <w:drawing>
              <wp:inline distT="0" distB="0" distL="0" distR="0" wp14:anchorId="766FAF80" wp14:editId="35ACB6C4">
                <wp:extent cx="5937885" cy="3336925"/>
                <wp:effectExtent l="0" t="0" r="5715" b="0"/>
                <wp:docPr id="6" name="Grafik 1"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780771" name="Grafik 1" descr="A diagram of a cell&#10;&#10;AI-generated content may be incorrect."/>
                        <pic:cNvPicPr>
                          <a:picLocks noChangeAspect="1"/>
                        </pic:cNvPicPr>
                      </pic:nvPicPr>
                      <pic:blipFill>
                        <a:blip r:embed="rId13"/>
                        <a:stretch/>
                      </pic:blipFill>
                      <pic:spPr bwMode="auto">
                        <a:xfrm>
                          <a:off x="0" y="0"/>
                          <a:ext cx="5937885" cy="3336925"/>
                        </a:xfrm>
                        <a:prstGeom prst="rect">
                          <a:avLst/>
                        </a:prstGeom>
                        <a:noFill/>
                        <a:ln>
                          <a:noFill/>
                        </a:ln>
                      </pic:spPr>
                    </pic:pic>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467.55pt;height:262.75pt;mso-wrap-distance-left:0.00pt;mso-wrap-distance-top:0.00pt;mso-wrap-distance-right:0.00pt;mso-wrap-distance-bottom:0.00pt;z-index:1;" stroked="f">
                <v:imagedata r:id="rId57" o:title=""/>
                <o:lock v:ext="edit" rotation="t"/>
              </v:shape>
            </w:pict>
          </mc:Fallback>
        </mc:AlternateContent>
      </w:r>
    </w:p>
    <w:p w14:paraId="211C18E7" w14:textId="1AC1DD2F" w:rsidR="00B53C39" w:rsidRPr="003E0254" w:rsidRDefault="00DA35C9">
      <w:pPr>
        <w:pStyle w:val="Beschriftung"/>
        <w:spacing w:line="276" w:lineRule="auto"/>
        <w:jc w:val="both"/>
      </w:pPr>
      <w:r w:rsidRPr="003E0254">
        <w:t xml:space="preserve">Figure </w:t>
      </w:r>
      <w:r w:rsidRPr="003E0254">
        <w:fldChar w:fldCharType="begin"/>
      </w:r>
      <w:r w:rsidRPr="003E0254">
        <w:instrText xml:space="preserve">SEQ Figure \* ARABIC </w:instrText>
      </w:r>
      <w:r w:rsidRPr="003E0254">
        <w:fldChar w:fldCharType="separate"/>
      </w:r>
      <w:r w:rsidR="00481F8C" w:rsidRPr="003E0254">
        <w:rPr>
          <w:noProof/>
        </w:rPr>
        <w:t>6</w:t>
      </w:r>
      <w:r w:rsidRPr="003E0254">
        <w:fldChar w:fldCharType="end"/>
      </w:r>
      <w:r w:rsidRPr="003E0254">
        <w:t xml:space="preserve">: Comparison of </w:t>
      </w:r>
      <w:r w:rsidR="009B54EC" w:rsidRPr="003E0254">
        <w:t>z</w:t>
      </w:r>
      <w:r w:rsidRPr="003E0254">
        <w:t xml:space="preserve">inc hybrid redox flow cell setup (left) and general </w:t>
      </w:r>
      <w:r w:rsidR="009B54EC" w:rsidRPr="003E0254">
        <w:t>a</w:t>
      </w:r>
      <w:r w:rsidRPr="003E0254">
        <w:t>ll-</w:t>
      </w:r>
      <w:r w:rsidR="009B54EC" w:rsidRPr="003E0254">
        <w:t>l</w:t>
      </w:r>
      <w:r w:rsidRPr="003E0254">
        <w:t>iquid redox flow cell setup (right): During the charging process, zinc ions (Zn²</w:t>
      </w:r>
      <w:r w:rsidRPr="003E0254">
        <w:rPr>
          <w:rFonts w:ascii="Cambria Math" w:hAnsi="Cambria Math" w:cs="Cambria Math"/>
        </w:rPr>
        <w:t>⁺</w:t>
      </w:r>
      <w:r w:rsidRPr="003E0254">
        <w:t>), stored as zinc salt solutions in the reservoir (3), are electrochemically deposited onto the current collector (1) as metallic zinc (2). The negative half-cell is physically separated from the positive half-cell by a membrane (5). In addition to standard liquid-liquid redox conversion processes, the positive half-cell (6) may function as a gas redox conversion chamber (7) or as a hybrid solid-liquid conversion system utilizing an active material (8).</w:t>
      </w:r>
    </w:p>
    <w:p w14:paraId="532C3280" w14:textId="35B8EB80" w:rsidR="000602BF" w:rsidRPr="003E0254" w:rsidRDefault="00DA35C9" w:rsidP="000602BF">
      <w:pPr>
        <w:spacing w:line="276" w:lineRule="auto"/>
        <w:jc w:val="both"/>
      </w:pPr>
      <w:bookmarkStart w:id="10" w:name="_Hlk189809309"/>
      <w:r w:rsidRPr="003E0254">
        <w:rPr>
          <w:lang w:eastAsia="de-DE"/>
        </w:rPr>
        <w:t>The zinc-bromine flow battery gained attention due to high energy density, and high cell voltage.</w:t>
      </w:r>
      <w:r w:rsidR="00F3508E" w:rsidRPr="003E0254">
        <w:rPr>
          <w:lang w:eastAsia="de-DE"/>
        </w:rPr>
        <w:fldChar w:fldCharType="begin" w:fldLock="1"/>
      </w:r>
      <w:r w:rsidR="00500B8D" w:rsidRPr="003E0254">
        <w:rPr>
          <w:lang w:eastAsia="de-DE"/>
        </w:rPr>
        <w:instrText>ADDIN CSL_CITATION {"citationItems":[{"id":"ITEM-1","itemData":{"DOI":"10.1002/ENTE.201700481","ISSN":"2194-4296","abstract":"The zinc–bromine flow battery (ZBFB) is regarded as one of the most promising candidates for large-scale energy storage owing to its high energy density and low cost. However, because of the large internal resistance and poor electrocatalytic activity of graphite- or carbon-felt electrodes, conventional ZBFBs usually can only be operated at a relatively low current density, which limits their widespread application. Herein, we propose an asymmetrical cell by replacing the conventional thick felt electrode with a thin and electrocatalytically active carbon-paper (CP) electrode interfacing with a flow-field structure. With the enhanced electrocatalytic activity of CP for the Br2/Br− redox reaction and the reduced internal resistance of the thinner electrode, the ZBFB with this newly proposed structure exhibits an energy efficiency of up to 83.5 % at a current density of 40 mA cm−2, much higher than that with a graphite-felt electrode of only 73.0 %. Remarkably, the battery can even be operated at a high current density up to 100 mA cm−2 while maintaining an energy efficiency of more than 70 %, demonstrating an excellent rate capability.","author":[{"dropping-particle":"","family":"Wu","given":"Maochun","non-dropping-particle":"","parse-names":false,"suffix":""},{"dropping-particle":"","family":"Zhao","given":"Tianshou","non-dropping-particle":"","parse-names":false,"suffix":""},{"dropping-particle":"","family":"Zhang","given":"Ruihan","non-dropping-particle":"","parse-names":false,"suffix":""},{"dropping-particle":"","family":"Jiang","given":"Haoran","non-dropping-particle":"","parse-names":false,"suffix":""},{"dropping-particle":"","family":"Wei","given":"Lei","non-dropping-particle":"","parse-names":false,"suffix":""}],"container-title":"Energy Technology","id":"ITEM-1","issue":"2","issued":{"date-parts":[["2018","2","1"]]},"page":"333-339","publisher":"John Wiley &amp; Sons, Ltd","title":"A Zinc–Bromine Flow Battery with Improved Design of Cell Structure and Electrodes","type":"article-journal","volume":"6"},"uris":["http://www.mendeley.com/documents/?uuid=4edad9fd-7614-3476-8ca7-190ae08e352d"]}],"mendeley":{"formattedCitation":"&lt;sup&gt;[253]&lt;/sup&gt;","plainTextFormattedCitation":"[253]","previouslyFormattedCitation":"&lt;sup&gt;[252]&lt;/sup&gt;"},"properties":{"noteIndex":0},"schema":"https://github.com/citation-style-language/schema/raw/master/csl-citation.json"}</w:instrText>
      </w:r>
      <w:r w:rsidR="00F3508E" w:rsidRPr="003E0254">
        <w:rPr>
          <w:lang w:eastAsia="de-DE"/>
        </w:rPr>
        <w:fldChar w:fldCharType="separate"/>
      </w:r>
      <w:r w:rsidR="00500B8D" w:rsidRPr="003E0254">
        <w:rPr>
          <w:noProof/>
          <w:vertAlign w:val="superscript"/>
          <w:lang w:eastAsia="de-DE"/>
        </w:rPr>
        <w:t>[253]</w:t>
      </w:r>
      <w:r w:rsidR="00F3508E" w:rsidRPr="003E0254">
        <w:rPr>
          <w:lang w:eastAsia="de-DE"/>
        </w:rPr>
        <w:fldChar w:fldCharType="end"/>
      </w:r>
      <w:r w:rsidRPr="003E0254">
        <w:rPr>
          <w:lang w:eastAsia="de-DE"/>
        </w:rPr>
        <w:t xml:space="preserve"> So far, the </w:t>
      </w:r>
      <w:r w:rsidR="00996CC5" w:rsidRPr="003E0254">
        <w:rPr>
          <w:lang w:eastAsia="de-DE"/>
        </w:rPr>
        <w:t>Br</w:t>
      </w:r>
      <w:r w:rsidR="00996CC5" w:rsidRPr="003E0254">
        <w:rPr>
          <w:vertAlign w:val="subscript"/>
          <w:lang w:eastAsia="de-DE"/>
        </w:rPr>
        <w:t>2</w:t>
      </w:r>
      <w:r w:rsidR="00996CC5" w:rsidRPr="003E0254">
        <w:rPr>
          <w:lang w:eastAsia="de-DE"/>
        </w:rPr>
        <w:t xml:space="preserve">||Zn </w:t>
      </w:r>
      <w:r w:rsidRPr="003E0254">
        <w:rPr>
          <w:lang w:eastAsia="de-DE"/>
        </w:rPr>
        <w:t>flow battery, which works with a pH neutral anolyte, is the only grid-scale zinc-based RFB that reached a commercially relevant level.</w:t>
      </w:r>
      <w:r w:rsidR="00620A3E" w:rsidRPr="003E0254">
        <w:rPr>
          <w:lang w:eastAsia="de-DE"/>
        </w:rPr>
        <w:fldChar w:fldCharType="begin" w:fldLock="1"/>
      </w:r>
      <w:r w:rsidR="00500B8D" w:rsidRPr="003E0254">
        <w:rPr>
          <w:lang w:eastAsia="de-DE"/>
        </w:rPr>
        <w:instrText>ADDIN CSL_CITATION {"citationItems":[{"id":"ITEM-1","itemData":{"DOI":"10.1002/adma.202108856","ISSN":"0935-9648","PMID":"35119150","abstract":"Aqueous rechargeable zinc</w:instrText>
      </w:r>
      <w:r w:rsidR="00500B8D" w:rsidRPr="003E0254">
        <w:rPr>
          <w:rFonts w:ascii="Cambria Math" w:hAnsi="Cambria Math" w:cs="Cambria Math"/>
          <w:lang w:eastAsia="de-DE"/>
        </w:rPr>
        <w:instrText>‐</w:instrText>
      </w:r>
      <w:r w:rsidR="00500B8D" w:rsidRPr="003E0254">
        <w:rPr>
          <w:lang w:eastAsia="de-DE"/>
        </w:rPr>
        <w:instrText>iodine batteries (ZIBs), including zinc</w:instrText>
      </w:r>
      <w:r w:rsidR="00500B8D" w:rsidRPr="003E0254">
        <w:rPr>
          <w:rFonts w:ascii="Cambria Math" w:hAnsi="Cambria Math" w:cs="Cambria Math"/>
          <w:lang w:eastAsia="de-DE"/>
        </w:rPr>
        <w:instrText>‐</w:instrText>
      </w:r>
      <w:r w:rsidR="00500B8D" w:rsidRPr="003E0254">
        <w:rPr>
          <w:lang w:eastAsia="de-DE"/>
        </w:rPr>
        <w:instrText>iodine redox flow batteries and static ZIBs, are promising candidates for future grid</w:instrText>
      </w:r>
      <w:r w:rsidR="00500B8D" w:rsidRPr="003E0254">
        <w:rPr>
          <w:rFonts w:ascii="Cambria Math" w:hAnsi="Cambria Math" w:cs="Cambria Math"/>
          <w:lang w:eastAsia="de-DE"/>
        </w:rPr>
        <w:instrText>‐</w:instrText>
      </w:r>
      <w:r w:rsidR="00500B8D" w:rsidRPr="003E0254">
        <w:rPr>
          <w:lang w:eastAsia="de-DE"/>
        </w:rPr>
        <w:instrText>scale electrochemical energy storage. They are safe with great theoretical capacity, high energy, and power density. Nevertheless, to make aqueous rechargeable ZIBs practically feasible, there are quite a few hurdles that need to be overcome, including self</w:instrText>
      </w:r>
      <w:r w:rsidR="00500B8D" w:rsidRPr="003E0254">
        <w:rPr>
          <w:rFonts w:ascii="Cambria Math" w:hAnsi="Cambria Math" w:cs="Cambria Math"/>
          <w:lang w:eastAsia="de-DE"/>
        </w:rPr>
        <w:instrText>‐</w:instrText>
      </w:r>
      <w:r w:rsidR="00500B8D" w:rsidRPr="003E0254">
        <w:rPr>
          <w:lang w:eastAsia="de-DE"/>
        </w:rPr>
        <w:instrText>discharge, sluggish kinetics, low energy density, and instability of Zn metal anodes. This article first reviews the electrochemistry in aqueous rechargeable ZIBs, including the flow and static battery configurations and their electrode reactions. Then the authors discuss the fundamental questions of ZIBs and highlight the key strategies and recent accomplishments in tackling the challenges. Last, they share their thoughts on the future research development in aqueous rechargeable ZIBs.","author":[{"dropping-particle":"","family":"Lin","given":"Dun","non-dropping-particle":"","parse-names":false,"suffix":""},{"dropping-particle":"","family":"Li","given":"Yat","non-dropping-particle":"","parse-names":false,"suffix":""}],"container-title":"Advanced Materials","id":"ITEM-1","issue":"23","issued":{"date-parts":[["2022","6","3"]]},"page":"2108856","publisher":"John Wiley &amp; Sons, Ltd","title":"Recent Advances of Aqueous Rechargeable Zinc</w:instrText>
      </w:r>
      <w:r w:rsidR="00500B8D" w:rsidRPr="003E0254">
        <w:rPr>
          <w:rFonts w:ascii="Cambria Math" w:hAnsi="Cambria Math" w:cs="Cambria Math"/>
          <w:lang w:eastAsia="de-DE"/>
        </w:rPr>
        <w:instrText>‐</w:instrText>
      </w:r>
      <w:r w:rsidR="00500B8D" w:rsidRPr="003E0254">
        <w:rPr>
          <w:lang w:eastAsia="de-DE"/>
        </w:rPr>
        <w:instrText>Iodine Batteries: Challenges, Solutions, and Prospects","type":"article-journal","volume":"34"},"uris":["http://www.mendeley.com/documents/?uuid=2016683a-99e4-3695-b560-a372ed9f3a54"]}],"mendeley":{"formattedCitation":"&lt;sup&gt;[254]&lt;/sup&gt;","plainTextFormattedCitation":"[254]","previouslyFormattedCitation":"&lt;sup&gt;[253]&lt;/sup&gt;"},"properties":{"noteIndex":0},"schema":"https://github.com/citation-style-language/schema/raw/master/csl-citation.json"}</w:instrText>
      </w:r>
      <w:r w:rsidR="00620A3E" w:rsidRPr="003E0254">
        <w:rPr>
          <w:lang w:eastAsia="de-DE"/>
        </w:rPr>
        <w:fldChar w:fldCharType="separate"/>
      </w:r>
      <w:r w:rsidR="00500B8D" w:rsidRPr="003E0254">
        <w:rPr>
          <w:noProof/>
          <w:vertAlign w:val="superscript"/>
          <w:lang w:eastAsia="de-DE"/>
        </w:rPr>
        <w:t>[254]</w:t>
      </w:r>
      <w:r w:rsidR="00620A3E" w:rsidRPr="003E0254">
        <w:rPr>
          <w:lang w:eastAsia="de-DE"/>
        </w:rPr>
        <w:fldChar w:fldCharType="end"/>
      </w:r>
      <w:r w:rsidRPr="003E0254">
        <w:rPr>
          <w:lang w:eastAsia="de-DE"/>
        </w:rPr>
        <w:t xml:space="preserve"> The system delivers a high output voltage of 1.85</w:t>
      </w:r>
      <w:r w:rsidR="00620A3E" w:rsidRPr="003E0254">
        <w:rPr>
          <w:lang w:eastAsia="de-DE"/>
        </w:rPr>
        <w:t> </w:t>
      </w:r>
      <w:r w:rsidRPr="003E0254">
        <w:rPr>
          <w:lang w:eastAsia="de-DE"/>
        </w:rPr>
        <w:t>V, a theoretical capacity of 335 </w:t>
      </w:r>
      <w:proofErr w:type="spellStart"/>
      <w:r w:rsidRPr="003E0254">
        <w:rPr>
          <w:lang w:eastAsia="de-DE"/>
        </w:rPr>
        <w:t>mAh</w:t>
      </w:r>
      <w:proofErr w:type="spellEnd"/>
      <w:r w:rsidRPr="003E0254">
        <w:rPr>
          <w:lang w:eastAsia="de-DE"/>
        </w:rPr>
        <w:t> g</w:t>
      </w:r>
      <w:r w:rsidRPr="003E0254">
        <w:rPr>
          <w:vertAlign w:val="subscript"/>
          <w:lang w:eastAsia="de-DE"/>
        </w:rPr>
        <w:t>Br</w:t>
      </w:r>
      <w:r w:rsidRPr="003E0254">
        <w:rPr>
          <w:vertAlign w:val="superscript"/>
          <w:lang w:eastAsia="de-DE"/>
        </w:rPr>
        <w:noBreakHyphen/>
        <w:t>1</w:t>
      </w:r>
      <w:r w:rsidR="00534DC9" w:rsidRPr="003E0254">
        <w:rPr>
          <w:lang w:eastAsia="de-DE"/>
        </w:rPr>
        <w:t xml:space="preserve">, </w:t>
      </w:r>
      <w:r w:rsidRPr="003E0254">
        <w:rPr>
          <w:lang w:eastAsia="de-DE"/>
        </w:rPr>
        <w:t>and a theoretical energy density of 440</w:t>
      </w:r>
      <w:r w:rsidR="00620A3E" w:rsidRPr="003E0254">
        <w:rPr>
          <w:lang w:eastAsia="de-DE"/>
        </w:rPr>
        <w:t> </w:t>
      </w:r>
      <w:proofErr w:type="spellStart"/>
      <w:r w:rsidRPr="003E0254">
        <w:rPr>
          <w:lang w:eastAsia="de-DE"/>
        </w:rPr>
        <w:t>Wh</w:t>
      </w:r>
      <w:proofErr w:type="spellEnd"/>
      <w:r w:rsidR="00620A3E" w:rsidRPr="003E0254">
        <w:rPr>
          <w:lang w:eastAsia="de-DE"/>
        </w:rPr>
        <w:t> </w:t>
      </w:r>
      <w:r w:rsidRPr="003E0254">
        <w:rPr>
          <w:lang w:eastAsia="de-DE"/>
        </w:rPr>
        <w:t>kg</w:t>
      </w:r>
      <w:r w:rsidRPr="003E0254">
        <w:rPr>
          <w:vertAlign w:val="superscript"/>
          <w:lang w:eastAsia="de-DE"/>
        </w:rPr>
        <w:t>-1</w:t>
      </w:r>
      <w:r w:rsidRPr="003E0254">
        <w:rPr>
          <w:lang w:eastAsia="de-DE"/>
        </w:rPr>
        <w:t xml:space="preserve">, but also </w:t>
      </w:r>
      <w:r w:rsidR="00A64D12" w:rsidRPr="003E0254">
        <w:rPr>
          <w:lang w:eastAsia="de-DE"/>
        </w:rPr>
        <w:t>suffers from</w:t>
      </w:r>
      <w:r w:rsidRPr="003E0254">
        <w:rPr>
          <w:lang w:eastAsia="de-DE"/>
        </w:rPr>
        <w:t xml:space="preserve"> several drawbacks that severely </w:t>
      </w:r>
      <w:r w:rsidR="00A64D12" w:rsidRPr="003E0254">
        <w:rPr>
          <w:lang w:eastAsia="de-DE"/>
        </w:rPr>
        <w:t>limit</w:t>
      </w:r>
      <w:r w:rsidRPr="003E0254">
        <w:rPr>
          <w:lang w:eastAsia="de-DE"/>
        </w:rPr>
        <w:t xml:space="preserve"> the applicability:</w:t>
      </w:r>
      <w:r w:rsidR="00620A3E" w:rsidRPr="003E0254">
        <w:rPr>
          <w:lang w:eastAsia="de-DE"/>
        </w:rPr>
        <w:fldChar w:fldCharType="begin" w:fldLock="1"/>
      </w:r>
      <w:r w:rsidR="00500B8D" w:rsidRPr="003E0254">
        <w:rPr>
          <w:lang w:eastAsia="de-DE"/>
        </w:rPr>
        <w:instrText>ADDIN CSL_CITATION {"citationItems":[{"id":"ITEM-1","itemData":{"DOI":"10.1016/J.MTENER.2017.12.012","ISSN":"2468-6069","abstract":"Zinc-based hybrid flow batteries are one of the most promising systems for medium- to large-scale energy storage applications, with particular advantages in terms of cost, cell voltage and energy density. Several of these systems are amongst the few flow battery chemistries that have been scaled up and commercialized. The existing zinc-based systems rely on zinc electrodeposition in flowing electrolytes as the negative electrode reaction, which is coupled with organic or inorganic positive active species in either solid, liquid or gaseous phases. These reactions are facilitated with specific cell architectures under certain circumstances. To improve the performance and cycle life of these batteries, this review provides fundamental information on zinc electrodeposition and summarizes recent developments in the relevant flow battery chemistries, along with recent applications. The future challenges and opportunities for this technology are discussed.","author":[{"dropping-particle":"","family":"Khor","given":"A.","non-dropping-particle":"","parse-names":false,"suffix":""},{"dropping-particle":"","family":"Leung","given":"P.","non-dropping-particle":"","parse-names":false,"suffix":""},{"dropping-particle":"","family":"Mohamed","given":"M. R.","non-dropping-particle":"","parse-names":false,"suffix":""},{"dropping-particle":"","family":"Flox","given":"C.","non-dropping-particle":"","parse-names":false,"suffix":""},{"dropping-particle":"","family":"Xu","given":"Q.","non-dropping-particle":"","parse-names":false,"suffix":""},{"dropping-particle":"","family":"An","given":"L.","non-dropping-particle":"","parse-names":false,"suffix":""},{"dropping-particle":"","family":"Wills","given":"R. G.A.","non-dropping-particle":"","parse-names":false,"suffix":""},{"dropping-particle":"","family":"Morante","given":"J. R.","non-dropping-particle":"","parse-names":false,"suffix":""},{"dropping-particle":"","family":"Shah","given":"A. A.","non-dropping-particle":"","parse-names":false,"suffix":""}],"container-title":"Materials Today Energy","id":"ITEM-1","issued":{"date-parts":[["2018","6","1"]]},"page":"80-108","publisher":"Elsevier","title":"Review of zinc-based hybrid flow batteries: From fundamentals to applications","type":"article-journal","volume":"8"},"uris":["http://www.mendeley.com/documents/?uuid=b5586916-32a7-49bc-af1b-609c094e275a"]},{"id":"ITEM-2","itemData":{"DOI":"10.1002/ENTE.201700481","ISSN":"2194-4296","abstract":"The zinc–bromine flow battery (ZBFB) is regarded as one of the most promising candidates for large-scale energy storage owing to its high energy density and low cost. However, because of the large internal resistance and poor electrocatalytic activity of graphite- or carbon-felt electrodes, conventional ZBFBs usually can only be operated at a relatively low current density, which limits their widespread application. Herein, we propose an asymmetrical cell by replacing the conventional thick felt electrode with a thin and electrocatalytically active carbon-paper (CP) electrode interfacing with a flow-field structure. With the enhanced electrocatalytic activity of CP for the Br2/Br− redox reaction and the reduced internal resistance of the thinner electrode, the ZBFB with this newly proposed structure exhibits an energy efficiency of up to 83.5 % at a current density of 40 mA cm−2, much higher than that with a graphite-felt electrode of only 73.0 %. Remarkably, the battery can even be operated at a high current density up to 100 mA cm−2 while maintaining an energy efficiency of more than 70 %, demonstrating an excellent rate capability.","author":[{"dropping-particle":"","family":"Wu","given":"Maochun","non-dropping-particle":"","parse-names":false,"suffix":""},{"dropping-particle":"","family":"Zhao","given":"Tianshou","non-dropping-particle":"","parse-names":false,"suffix":""},{"dropping-particle":"","family":"Zhang","given":"Ruihan","non-dropping-particle":"","parse-names":false,"suffix":""},{"dropping-particle":"","family":"Jiang","given":"Haoran","non-dropping-particle":"","parse-names":false,"suffix":""},{"dropping-particle":"","family":"Wei","given":"Lei","non-dropping-particle":"","parse-names":false,"suffix":""}],"container-title":"Energy Technology","id":"ITEM-2","issue":"2","issued":{"date-parts":[["2018","2","1"]]},"page":"333-339","publisher":"John Wiley &amp; Sons, Ltd","title":"A Zinc–Bromine Flow Battery with Improved Design of Cell Structure and Electrodes","type":"article-journal","volume":"6"},"uris":["http://www.mendeley.com/documents/?uuid=4edad9fd-7614-3476-8ca7-190ae08e352d"]}],"mendeley":{"formattedCitation":"&lt;sup&gt;[13,253]&lt;/sup&gt;","plainTextFormattedCitation":"[13,253]","previouslyFormattedCitation":"&lt;sup&gt;[13,252]&lt;/sup&gt;"},"properties":{"noteIndex":0},"schema":"https://github.com/citation-style-language/schema/raw/master/csl-citation.json"}</w:instrText>
      </w:r>
      <w:r w:rsidR="00620A3E" w:rsidRPr="003E0254">
        <w:rPr>
          <w:lang w:eastAsia="de-DE"/>
        </w:rPr>
        <w:fldChar w:fldCharType="separate"/>
      </w:r>
      <w:r w:rsidR="00500B8D" w:rsidRPr="003E0254">
        <w:rPr>
          <w:noProof/>
          <w:vertAlign w:val="superscript"/>
          <w:lang w:eastAsia="de-DE"/>
        </w:rPr>
        <w:t>[13,253]</w:t>
      </w:r>
      <w:r w:rsidR="00620A3E" w:rsidRPr="003E0254">
        <w:rPr>
          <w:lang w:eastAsia="de-DE"/>
        </w:rPr>
        <w:fldChar w:fldCharType="end"/>
      </w:r>
      <w:r w:rsidRPr="003E0254">
        <w:rPr>
          <w:lang w:eastAsia="de-DE"/>
        </w:rPr>
        <w:t xml:space="preserve"> </w:t>
      </w:r>
      <w:r w:rsidRPr="003E0254">
        <w:t>First, the system</w:t>
      </w:r>
      <w:r w:rsidRPr="003E0254">
        <w:rPr>
          <w:rFonts w:ascii="Arial" w:hAnsi="Arial" w:cs="Arial"/>
        </w:rPr>
        <w:t>’</w:t>
      </w:r>
      <w:r w:rsidRPr="003E0254">
        <w:t>s high operating voltage and low electrolyte pH of 1</w:t>
      </w:r>
      <w:r w:rsidRPr="003E0254">
        <w:rPr>
          <w:rFonts w:ascii="Arial" w:hAnsi="Arial" w:cs="Arial"/>
        </w:rPr>
        <w:t>–</w:t>
      </w:r>
      <w:r w:rsidRPr="003E0254">
        <w:t xml:space="preserve">3.5 result in a </w:t>
      </w:r>
      <w:r w:rsidR="00534DC9" w:rsidRPr="003E0254">
        <w:t>competing</w:t>
      </w:r>
      <w:r w:rsidRPr="003E0254">
        <w:t xml:space="preserve"> water-splitting reaction, which drastically reduces the Coulombic efficiency (CE) of the device. Second, bromine gas generated during charging is volatile, corrosive, and toxic, posing health and environmental hazards and increasing the costs associated with maintenance and sealing (the same is true for the related </w:t>
      </w:r>
      <w:r w:rsidR="00996CC5" w:rsidRPr="003E0254">
        <w:rPr>
          <w:lang w:eastAsia="de-DE"/>
        </w:rPr>
        <w:t>Cl</w:t>
      </w:r>
      <w:r w:rsidR="00996CC5" w:rsidRPr="003E0254">
        <w:rPr>
          <w:vertAlign w:val="subscript"/>
          <w:lang w:eastAsia="de-DE"/>
        </w:rPr>
        <w:t>2</w:t>
      </w:r>
      <w:r w:rsidR="00996CC5" w:rsidRPr="003E0254">
        <w:rPr>
          <w:lang w:eastAsia="de-DE"/>
        </w:rPr>
        <w:t>||Zn</w:t>
      </w:r>
      <w:r w:rsidRPr="003E0254">
        <w:rPr>
          <w:lang w:eastAsia="de-DE"/>
        </w:rPr>
        <w:t xml:space="preserve"> system).</w:t>
      </w:r>
      <w:r w:rsidRPr="003E0254">
        <w:t xml:space="preserve"> Third, the oxidation of Br</w:t>
      </w:r>
      <w:r w:rsidRPr="003E0254">
        <w:rPr>
          <w:rFonts w:ascii="Cambria Math" w:hAnsi="Cambria Math" w:cs="Cambria Math"/>
        </w:rPr>
        <w:t>⁻</w:t>
      </w:r>
      <w:r w:rsidRPr="003E0254">
        <w:t xml:space="preserve"> during charging produces soluble polybromide anions (e.g., Br</w:t>
      </w:r>
      <w:r w:rsidRPr="003E0254">
        <w:rPr>
          <w:rFonts w:ascii="Cambria Math" w:hAnsi="Cambria Math" w:cs="Cambria Math"/>
        </w:rPr>
        <w:t>₃⁻</w:t>
      </w:r>
      <w:r w:rsidRPr="003E0254">
        <w:t>, Br</w:t>
      </w:r>
      <w:r w:rsidRPr="003E0254">
        <w:rPr>
          <w:rFonts w:ascii="Cambria Math" w:hAnsi="Cambria Math" w:cs="Cambria Math"/>
        </w:rPr>
        <w:t>₅⁻</w:t>
      </w:r>
      <w:r w:rsidRPr="003E0254">
        <w:t xml:space="preserve">), which can diffuse to the zinc anode (“crosstalk”), causing self-discharge and zinc dendrite formation. Finally, the practical current density of </w:t>
      </w:r>
      <w:r w:rsidR="00996CC5" w:rsidRPr="003E0254">
        <w:rPr>
          <w:lang w:eastAsia="de-DE"/>
        </w:rPr>
        <w:t>Br</w:t>
      </w:r>
      <w:r w:rsidR="00996CC5" w:rsidRPr="003E0254">
        <w:rPr>
          <w:vertAlign w:val="subscript"/>
          <w:lang w:eastAsia="de-DE"/>
        </w:rPr>
        <w:t>2</w:t>
      </w:r>
      <w:r w:rsidR="00996CC5" w:rsidRPr="003E0254">
        <w:rPr>
          <w:lang w:eastAsia="de-DE"/>
        </w:rPr>
        <w:t xml:space="preserve">||Zn </w:t>
      </w:r>
      <w:r w:rsidRPr="003E0254">
        <w:t>RFBs is typically limited to less than 20 mA</w:t>
      </w:r>
      <w:r w:rsidR="00534DC9" w:rsidRPr="003E0254">
        <w:t> </w:t>
      </w:r>
      <w:r w:rsidRPr="003E0254">
        <w:t>cm</w:t>
      </w:r>
      <w:r w:rsidRPr="003E0254">
        <w:rPr>
          <w:rFonts w:ascii="Cambria Math" w:hAnsi="Cambria Math" w:cs="Cambria Math"/>
        </w:rPr>
        <w:t>⁻</w:t>
      </w:r>
      <w:r w:rsidRPr="003E0254">
        <w:rPr>
          <w:rFonts w:ascii="Arial" w:hAnsi="Arial" w:cs="Arial"/>
        </w:rPr>
        <w:t>²</w:t>
      </w:r>
      <w:r w:rsidRPr="003E0254">
        <w:t xml:space="preserve"> due to the slow kinetics and complex mechanisms of the Br</w:t>
      </w:r>
      <w:r w:rsidRPr="003E0254">
        <w:rPr>
          <w:rFonts w:ascii="Cambria Math" w:hAnsi="Cambria Math" w:cs="Cambria Math"/>
        </w:rPr>
        <w:t>₂</w:t>
      </w:r>
      <w:r w:rsidR="001F5E64" w:rsidRPr="003E0254">
        <w:sym w:font="Symbol" w:char="F07C"/>
      </w:r>
      <w:r w:rsidRPr="003E0254">
        <w:t>Br</w:t>
      </w:r>
      <w:r w:rsidRPr="003E0254">
        <w:rPr>
          <w:rFonts w:ascii="Cambria Math" w:hAnsi="Cambria Math" w:cs="Cambria Math"/>
        </w:rPr>
        <w:t>⁻</w:t>
      </w:r>
      <w:r w:rsidRPr="003E0254">
        <w:t xml:space="preserve"> conversion reaction, resulting in a relatively low practical energy density of 60–75 </w:t>
      </w:r>
      <w:proofErr w:type="spellStart"/>
      <w:r w:rsidRPr="003E0254">
        <w:t>Wh</w:t>
      </w:r>
      <w:proofErr w:type="spellEnd"/>
      <w:r w:rsidRPr="003E0254">
        <w:t> kg</w:t>
      </w:r>
      <w:r w:rsidRPr="003E0254">
        <w:rPr>
          <w:rFonts w:ascii="Cambria Math" w:hAnsi="Cambria Math" w:cs="Cambria Math"/>
        </w:rPr>
        <w:t>⁻</w:t>
      </w:r>
      <w:r w:rsidRPr="003E0254">
        <w:rPr>
          <w:rFonts w:ascii="Arial" w:hAnsi="Arial" w:cs="Arial"/>
        </w:rPr>
        <w:t>¹.</w:t>
      </w:r>
      <w:r w:rsidR="000602BF" w:rsidRPr="003E0254">
        <w:t xml:space="preserve"> Another disadvantage is the high corrosiveness of elemental bromine, which makes it necessary to use special materials and </w:t>
      </w:r>
      <w:r w:rsidR="0011201F" w:rsidRPr="003E0254">
        <w:t>stainless-steel</w:t>
      </w:r>
      <w:r w:rsidR="00A64D12" w:rsidRPr="003E0254">
        <w:t xml:space="preserve"> alloys</w:t>
      </w:r>
      <w:r w:rsidR="000602BF" w:rsidRPr="003E0254">
        <w:t xml:space="preserve"> for the conversion cells as well as for the pumps and tanks. Together with special cell designs to increase tightness and safety, this represents </w:t>
      </w:r>
      <w:r w:rsidR="00A64D12" w:rsidRPr="003E0254">
        <w:t xml:space="preserve">a </w:t>
      </w:r>
      <w:r w:rsidR="000602BF" w:rsidRPr="003E0254">
        <w:t xml:space="preserve">cost and maintenance factor. </w:t>
      </w:r>
    </w:p>
    <w:p w14:paraId="59FF7BF4" w14:textId="5526705A" w:rsidR="00B53C39" w:rsidRPr="003E0254" w:rsidRDefault="00DA35C9">
      <w:pPr>
        <w:spacing w:line="276" w:lineRule="auto"/>
        <w:jc w:val="both"/>
        <w:rPr>
          <w:color w:val="000000" w:themeColor="text1"/>
          <w:lang w:eastAsia="de-DE"/>
        </w:rPr>
      </w:pPr>
      <w:r w:rsidRPr="003E0254">
        <w:rPr>
          <w:color w:val="000000" w:themeColor="text1"/>
          <w:lang w:eastAsia="de-DE"/>
        </w:rPr>
        <w:t>The zinc-cerium flow battery, introduced in 2005, is notable for its high open-circuit cell potential, exceeding 2.4</w:t>
      </w:r>
      <w:r w:rsidR="00C833BB" w:rsidRPr="003E0254">
        <w:rPr>
          <w:color w:val="000000" w:themeColor="text1"/>
          <w:lang w:eastAsia="de-DE"/>
        </w:rPr>
        <w:t> </w:t>
      </w:r>
      <w:r w:rsidRPr="003E0254">
        <w:rPr>
          <w:color w:val="000000" w:themeColor="text1"/>
          <w:lang w:eastAsia="de-DE"/>
        </w:rPr>
        <w:t xml:space="preserve">V at full charge. It contains a cation exchange membrane to separate both conversion </w:t>
      </w:r>
      <w:r w:rsidRPr="003E0254">
        <w:rPr>
          <w:color w:val="000000" w:themeColor="text1"/>
          <w:lang w:eastAsia="de-DE"/>
        </w:rPr>
        <w:lastRenderedPageBreak/>
        <w:t>chambers.</w:t>
      </w:r>
      <w:r w:rsidR="00620A3E" w:rsidRPr="003E0254">
        <w:rPr>
          <w:color w:val="000000" w:themeColor="text1"/>
          <w:lang w:eastAsia="de-DE"/>
        </w:rPr>
        <w:fldChar w:fldCharType="begin" w:fldLock="1"/>
      </w:r>
      <w:r w:rsidR="00500B8D" w:rsidRPr="003E0254">
        <w:rPr>
          <w:color w:val="000000" w:themeColor="text1"/>
          <w:lang w:eastAsia="de-DE"/>
        </w:rPr>
        <w:instrText>ADDIN CSL_CITATION {"citationItems":[{"id":"ITEM-1","itemData":{"DOI":"10.1002/cplu.201402103","ISSN":"2192-6506","abstract":"The Zn–Ce flow battery is a recently introduced hybrid redox flow battery (RFB) but has been extensively studied in the laboratory and at the industrial pilot scale since its introduction in 2005. The cell has the highest open</w:instrText>
      </w:r>
      <w:r w:rsidR="00500B8D" w:rsidRPr="003E0254">
        <w:rPr>
          <w:rFonts w:ascii="Cambria Math" w:hAnsi="Cambria Math" w:cs="Cambria Math"/>
          <w:color w:val="000000" w:themeColor="text1"/>
          <w:lang w:eastAsia="de-DE"/>
        </w:rPr>
        <w:instrText>‐</w:instrText>
      </w:r>
      <w:r w:rsidR="00500B8D" w:rsidRPr="003E0254">
        <w:rPr>
          <w:color w:val="000000" w:themeColor="text1"/>
          <w:lang w:eastAsia="de-DE"/>
        </w:rPr>
        <w:instrText>circuit cell potentials amongst aqueous RFBs, which can exceed 2.4 V at full charge. Although original patents were filed in 2004 and 2005, the history of the half</w:instrText>
      </w:r>
      <w:r w:rsidR="00500B8D" w:rsidRPr="003E0254">
        <w:rPr>
          <w:rFonts w:ascii="Cambria Math" w:hAnsi="Cambria Math" w:cs="Cambria Math"/>
          <w:color w:val="000000" w:themeColor="text1"/>
          <w:lang w:eastAsia="de-DE"/>
        </w:rPr>
        <w:instrText>‐</w:instrText>
      </w:r>
      <w:r w:rsidR="00500B8D" w:rsidRPr="003E0254">
        <w:rPr>
          <w:color w:val="000000" w:themeColor="text1"/>
          <w:lang w:eastAsia="de-DE"/>
        </w:rPr>
        <w:instrText>cell reactions stretches back many decades, with the Ce IV /Ce III redox couple being well studied in sulfuric acid as a redox mediator in organic electrosynthesis or in nitric acid for specialist cleaning in the chemical and nuclear industries; in addition, zinc deposition and stripping in acid media are well known in hydrometallurgy and electroplating of metals as well as in other secondary batteries using zinc negative electrodes. Methanesulfonic acid electrolytes were introduced in surface finishing several decades ago but their use in flow batteries is only 20 years old. This Review considers the thermodynamics and kinetics of the electrode reactions (desired and secondary) in each half</w:instrText>
      </w:r>
      <w:r w:rsidR="00500B8D" w:rsidRPr="003E0254">
        <w:rPr>
          <w:rFonts w:ascii="Cambria Math" w:hAnsi="Cambria Math" w:cs="Cambria Math"/>
          <w:color w:val="000000" w:themeColor="text1"/>
          <w:lang w:eastAsia="de-DE"/>
        </w:rPr>
        <w:instrText>‐</w:instrText>
      </w:r>
      <w:r w:rsidR="00500B8D" w:rsidRPr="003E0254">
        <w:rPr>
          <w:color w:val="000000" w:themeColor="text1"/>
          <w:lang w:eastAsia="de-DE"/>
        </w:rPr>
        <w:instrText>cell, operational variables, materials for cell components, cell design and performance of the zinc</w:instrText>
      </w:r>
      <w:r w:rsidR="00500B8D" w:rsidRPr="003E0254">
        <w:rPr>
          <w:rFonts w:ascii="Aptos" w:hAnsi="Aptos" w:cs="Aptos"/>
          <w:color w:val="000000" w:themeColor="text1"/>
          <w:lang w:eastAsia="de-DE"/>
        </w:rPr>
        <w:instrText>–</w:instrText>
      </w:r>
      <w:r w:rsidR="00500B8D" w:rsidRPr="003E0254">
        <w:rPr>
          <w:color w:val="000000" w:themeColor="text1"/>
          <w:lang w:eastAsia="de-DE"/>
        </w:rPr>
        <w:instrText>cerium flow battery. Continuing challenges are highlighted and critical research needs for the science and technological development are considered.","author":[{"dropping-particle":"","family":"Walsh","given":"Frank C.","non-dropping-particle":"","parse-names":false,"suffix":""},{"dropping-particle":"","family":"Ponce de Léon","given":"Carlos","non-dropping-particle":"","parse-names":false,"suffix":""},{"dropping-particle":"","family":"Berlouis","given":"Len","non-dropping-particle":"","parse-names":false,"suffix":""},{"dropping-particle":"","family":"Nikiforidis","given":"George","non-dropping-particle":"","parse-names":false,"suffix":""},{"dropping-particle":"","family":"Arenas</w:instrText>
      </w:r>
      <w:r w:rsidR="00500B8D" w:rsidRPr="003E0254">
        <w:rPr>
          <w:rFonts w:ascii="Cambria Math" w:hAnsi="Cambria Math" w:cs="Cambria Math"/>
          <w:color w:val="000000" w:themeColor="text1"/>
          <w:lang w:eastAsia="de-DE"/>
        </w:rPr>
        <w:instrText>‐</w:instrText>
      </w:r>
      <w:r w:rsidR="00500B8D" w:rsidRPr="003E0254">
        <w:rPr>
          <w:color w:val="000000" w:themeColor="text1"/>
          <w:lang w:eastAsia="de-DE"/>
        </w:rPr>
        <w:instrText>Mart</w:instrText>
      </w:r>
      <w:r w:rsidR="00500B8D" w:rsidRPr="003E0254">
        <w:rPr>
          <w:rFonts w:ascii="Aptos" w:hAnsi="Aptos" w:cs="Aptos"/>
          <w:color w:val="000000" w:themeColor="text1"/>
          <w:lang w:eastAsia="de-DE"/>
        </w:rPr>
        <w:instrText>í</w:instrText>
      </w:r>
      <w:r w:rsidR="00500B8D" w:rsidRPr="003E0254">
        <w:rPr>
          <w:color w:val="000000" w:themeColor="text1"/>
          <w:lang w:eastAsia="de-DE"/>
        </w:rPr>
        <w:instrText>nez","given":"Luis F.","non-dropping-particle":"","parse-names":false,"suffix":""},{"dropping-particle":"","family":"Hodgson","given":"David","non-dropping-particle":"","parse-names":false,"suffix":""},{"dropping-particle":"","family":"Hall","given":"David","non-dropping-particle":"","parse-names":false,"suffix":""}],"container-title":"ChemPlusChem","id":"ITEM-1","issue":"2","issued":{"date-parts":[["2015","2","13"]]},"page":"288-311","publisher":"John Wiley &amp; Sons, Ltd","title":"The Development of Zn–Ce Hybrid Redox Flow Batteries for Energy Storage and Their Continuing Challenges","type":"article-journal","volume":"80"},"uris":["http://www.mendeley.com/documents/?uuid=77883aad-d24a-36c3-ae4d-1ef787a36ec4"]}],"mendeley":{"formattedCitation":"&lt;sup&gt;[255]&lt;/sup&gt;","plainTextFormattedCitation":"[255]","previouslyFormattedCitation":"&lt;sup&gt;[254]&lt;/sup&gt;"},"properties":{"noteIndex":0},"schema":"https://github.com/citation-style-language/schema/raw/master/csl-citation.json"}</w:instrText>
      </w:r>
      <w:r w:rsidR="00620A3E" w:rsidRPr="003E0254">
        <w:rPr>
          <w:color w:val="000000" w:themeColor="text1"/>
          <w:lang w:eastAsia="de-DE"/>
        </w:rPr>
        <w:fldChar w:fldCharType="separate"/>
      </w:r>
      <w:r w:rsidR="00500B8D" w:rsidRPr="003E0254">
        <w:rPr>
          <w:noProof/>
          <w:color w:val="000000" w:themeColor="text1"/>
          <w:vertAlign w:val="superscript"/>
          <w:lang w:eastAsia="de-DE"/>
        </w:rPr>
        <w:t>[255]</w:t>
      </w:r>
      <w:r w:rsidR="00620A3E" w:rsidRPr="003E0254">
        <w:rPr>
          <w:color w:val="000000" w:themeColor="text1"/>
          <w:lang w:eastAsia="de-DE"/>
        </w:rPr>
        <w:fldChar w:fldCharType="end"/>
      </w:r>
      <w:r w:rsidRPr="003E0254">
        <w:rPr>
          <w:color w:val="000000" w:themeColor="text1"/>
          <w:lang w:eastAsia="de-DE"/>
        </w:rPr>
        <w:t xml:space="preserve"> In a</w:t>
      </w:r>
      <w:r w:rsidR="00C833BB" w:rsidRPr="003E0254">
        <w:rPr>
          <w:color w:val="000000" w:themeColor="text1"/>
          <w:lang w:eastAsia="de-DE"/>
        </w:rPr>
        <w:t xml:space="preserve">nother </w:t>
      </w:r>
      <w:r w:rsidRPr="003E0254">
        <w:rPr>
          <w:color w:val="000000" w:themeColor="text1"/>
          <w:lang w:eastAsia="de-DE"/>
        </w:rPr>
        <w:t>approach, a dual-membrane configuration was used.</w:t>
      </w:r>
      <w:r w:rsidR="004B650E" w:rsidRPr="003E0254">
        <w:rPr>
          <w:color w:val="000000" w:themeColor="text1"/>
          <w:lang w:eastAsia="de-DE"/>
        </w:rPr>
        <w:fldChar w:fldCharType="begin" w:fldLock="1"/>
      </w:r>
      <w:r w:rsidR="00500B8D" w:rsidRPr="003E0254">
        <w:rPr>
          <w:color w:val="000000" w:themeColor="text1"/>
          <w:lang w:eastAsia="de-DE"/>
        </w:rPr>
        <w:instrText>ADDIN CSL_CITATION {"citationItems":[{"id":"ITEM-1","itemData":{"DOI":"10.1039/C4EE00165F","ISSN":"1754-5706","abstract":"Here we present a multiple ion-exchange membrane (IEM) cell design for redox flow batteries (RFBs) that can generally accommodate redox pair combinations with any mixed ion charges. This design also allows flexible choice of electrolytes such as an acid electrolyte at one electrode while a base in the other. More specifically, the double-IEM cell with one anion-exchange membrane (AEM), one cation-exchange membrane (CEM), and a middle electrolyte in between can work with all redox pairs except for the case of two hybrid redox pairs (i.e., an anion–cation pair vs. an anion–cation pair). For the combination of two hybrid pairs, a triple-IEM cell with three membranes (CEM/AEM/CEM or AEM/CEM/AEM) and two middle electrolytes is needed. The double- and triple-IEM cells bring unprecedented freedom in choosing redox pairs and supporting electrolytes. Of particular importance, two featured aqueous RFBs are demonstrated here: (1) ultra-high voltage zinc–cerium RFB with 3.08 V standard cell voltage, the highest among all known aqueous RFBs; and (2) ultra-low cost sulfur–iron RFB with 1.22 V standard cell voltage, with two highly available elements (iron and sulfur are the 1st and 5th most produced elements worldwide, respectively).","author":[{"dropping-particle":"","family":"Gu","given":"Shuang","non-dropping-particle":"","parse-names":false,"suffix":""},{"dropping-particle":"","family":"Gong","given":"Ke","non-dropping-particle":"","parse-names":false,"suffix":""},{"dropping-particle":"","family":"Yan","given":"Emily Z.","non-dropping-particle":"","parse-names":false,"suffix":""},{"dropping-particle":"","family":"Yan","given":"Yushan","non-dropping-particle":"","parse-names":false,"suffix":""}],"container-title":"Energy &amp; Environmental Science","id":"ITEM-1","issue":"9","issued":{"date-parts":[["2014","8","13"]]},"page":"2986-2998","publisher":"The Royal Society of Chemistry","title":"A multiple ion-exchange membrane design for redox flow batteries","type":"article-journal","volume":"7"},"uris":["http://www.mendeley.com/documents/?uuid=a9a34b5b-dfec-465d-8661-89babb4a7312"]}],"mendeley":{"formattedCitation":"&lt;sup&gt;[256]&lt;/sup&gt;","plainTextFormattedCitation":"[256]","previouslyFormattedCitation":"&lt;sup&gt;[255]&lt;/sup&gt;"},"properties":{"noteIndex":0},"schema":"https://github.com/citation-style-language/schema/raw/master/csl-citation.json"}</w:instrText>
      </w:r>
      <w:r w:rsidR="004B650E" w:rsidRPr="003E0254">
        <w:rPr>
          <w:color w:val="000000" w:themeColor="text1"/>
          <w:lang w:eastAsia="de-DE"/>
        </w:rPr>
        <w:fldChar w:fldCharType="separate"/>
      </w:r>
      <w:r w:rsidR="00500B8D" w:rsidRPr="003E0254">
        <w:rPr>
          <w:noProof/>
          <w:color w:val="000000" w:themeColor="text1"/>
          <w:vertAlign w:val="superscript"/>
          <w:lang w:eastAsia="de-DE"/>
        </w:rPr>
        <w:t>[256]</w:t>
      </w:r>
      <w:r w:rsidR="004B650E" w:rsidRPr="003E0254">
        <w:rPr>
          <w:color w:val="000000" w:themeColor="text1"/>
          <w:lang w:eastAsia="de-DE"/>
        </w:rPr>
        <w:fldChar w:fldCharType="end"/>
      </w:r>
      <w:r w:rsidRPr="003E0254">
        <w:rPr>
          <w:color w:val="000000" w:themeColor="text1"/>
          <w:lang w:eastAsia="de-DE"/>
        </w:rPr>
        <w:t xml:space="preserve"> This configuration effectively minimizes RAS crossover through the inclusion of a third chamber and supports a pronounced pH gradient between the anolyte and catholyte. This gradient can enhance the cell voltage. The redox reactions occurring in the anolyte and catholyte compartments are </w:t>
      </w:r>
      <w:r w:rsidR="00534DC9" w:rsidRPr="003E0254">
        <w:rPr>
          <w:color w:val="000000" w:themeColor="text1"/>
          <w:lang w:eastAsia="de-DE"/>
        </w:rPr>
        <w:t>given by</w:t>
      </w:r>
      <w:r w:rsidRPr="003E0254">
        <w:rPr>
          <w:color w:val="000000" w:themeColor="text1"/>
          <w:lang w:eastAsia="de-DE"/>
        </w:rPr>
        <w:t xml:space="preserve"> </w:t>
      </w:r>
      <w:r w:rsidR="004B650E" w:rsidRPr="003E0254">
        <w:rPr>
          <w:color w:val="000000" w:themeColor="text1"/>
          <w:lang w:eastAsia="de-DE"/>
        </w:rPr>
        <w:t>the following</w:t>
      </w:r>
      <w:r w:rsidRPr="003E0254">
        <w:rPr>
          <w:color w:val="000000" w:themeColor="text1"/>
          <w:lang w:eastAsia="de-DE"/>
        </w:rPr>
        <w:t xml:space="preserve"> equations:</w:t>
      </w:r>
    </w:p>
    <w:p w14:paraId="6A655422" w14:textId="77777777" w:rsidR="00B53C39" w:rsidRPr="003E0254" w:rsidRDefault="0054077B">
      <w:pPr>
        <w:spacing w:line="276" w:lineRule="auto"/>
        <w:jc w:val="both"/>
        <w:rPr>
          <w:rFonts w:eastAsiaTheme="minorEastAsia"/>
          <w:lang w:eastAsia="de-DE"/>
        </w:rPr>
      </w:pPr>
      <m:oMathPara>
        <m:oMath>
          <m:sSubSup>
            <m:sSubSupPr>
              <m:ctrlPr>
                <w:rPr>
                  <w:rFonts w:ascii="Cambria Math" w:eastAsia="Cambria Math" w:hAnsi="Cambria Math" w:cs="Cambria Math"/>
                  <w:lang w:eastAsia="de-DE"/>
                </w:rPr>
              </m:ctrlPr>
            </m:sSubSupPr>
            <m:e>
              <m:r>
                <m:rPr>
                  <m:sty m:val="p"/>
                </m:rPr>
                <w:rPr>
                  <w:rFonts w:ascii="Cambria Math" w:hAnsi="Cambria Math" w:cs="Calibri"/>
                  <w:lang w:eastAsia="de-DE"/>
                </w:rPr>
                <m:t>Zn(OH)</m:t>
              </m:r>
            </m:e>
            <m:sub>
              <m:r>
                <m:rPr>
                  <m:sty m:val="p"/>
                </m:rPr>
                <w:rPr>
                  <w:rFonts w:ascii="Cambria Math" w:hAnsi="Cambria Math" w:cs="Calibri"/>
                  <w:lang w:eastAsia="de-DE"/>
                </w:rPr>
                <m:t>4</m:t>
              </m:r>
            </m:sub>
            <m:sup>
              <m:r>
                <m:rPr>
                  <m:sty m:val="p"/>
                </m:rPr>
                <w:rPr>
                  <w:rFonts w:ascii="Cambria Math" w:hAnsi="Cambria Math" w:cs="Calibri"/>
                  <w:lang w:eastAsia="de-DE"/>
                </w:rPr>
                <m:t>2-</m:t>
              </m:r>
            </m:sup>
          </m:sSubSup>
          <m:r>
            <w:rPr>
              <w:rFonts w:ascii="Cambria Math" w:hAnsi="Cambria Math" w:cs="Calibri"/>
              <w:lang w:eastAsia="de-DE"/>
            </w:rPr>
            <m:t>+2</m:t>
          </m:r>
          <m:sSup>
            <m:sSupPr>
              <m:ctrlPr>
                <w:rPr>
                  <w:rFonts w:ascii="Cambria Math" w:eastAsia="Cambria Math" w:hAnsi="Cambria Math" w:cs="Cambria Math"/>
                  <w:lang w:eastAsia="de-DE"/>
                </w:rPr>
              </m:ctrlPr>
            </m:sSupPr>
            <m:e>
              <m:r>
                <m:rPr>
                  <m:sty m:val="p"/>
                </m:rPr>
                <w:rPr>
                  <w:rFonts w:ascii="Cambria Math" w:hAnsi="Cambria Math" w:cs="Calibri"/>
                  <w:lang w:eastAsia="de-DE"/>
                </w:rPr>
                <m:t>e</m:t>
              </m:r>
            </m:e>
            <m:sup>
              <m:r>
                <w:rPr>
                  <w:rFonts w:ascii="Cambria Math" w:hAnsi="Cambria Math" w:cs="Calibri"/>
                  <w:lang w:eastAsia="de-DE"/>
                </w:rPr>
                <m:t>-</m:t>
              </m:r>
            </m:sup>
          </m:sSup>
          <m:r>
            <m:rPr>
              <m:sty m:val="p"/>
            </m:rPr>
            <w:rPr>
              <w:rFonts w:ascii="Cambria Math" w:hAnsi="Cambria Math" w:cs="Calibri"/>
              <w:lang w:eastAsia="de-DE"/>
            </w:rPr>
            <m:t>↔ Zn + 4</m:t>
          </m:r>
          <m:sSup>
            <m:sSupPr>
              <m:ctrlPr>
                <w:rPr>
                  <w:rFonts w:ascii="Cambria Math" w:eastAsia="Cambria Math" w:hAnsi="Cambria Math" w:cs="Cambria Math"/>
                  <w:lang w:eastAsia="de-DE"/>
                </w:rPr>
              </m:ctrlPr>
            </m:sSupPr>
            <m:e>
              <m:r>
                <m:rPr>
                  <m:sty m:val="p"/>
                </m:rPr>
                <w:rPr>
                  <w:rFonts w:ascii="Cambria Math" w:hAnsi="Cambria Math" w:cs="Calibri"/>
                  <w:lang w:eastAsia="de-DE"/>
                </w:rPr>
                <m:t>OH</m:t>
              </m:r>
            </m:e>
            <m:sup>
              <m:r>
                <w:rPr>
                  <w:rFonts w:ascii="Cambria Math" w:hAnsi="Cambria Math" w:cs="Calibri"/>
                  <w:lang w:eastAsia="de-DE"/>
                </w:rPr>
                <m:t>-</m:t>
              </m:r>
            </m:sup>
          </m:sSup>
        </m:oMath>
      </m:oMathPara>
    </w:p>
    <w:p w14:paraId="1E8D5E2C" w14:textId="77777777" w:rsidR="00B53C39" w:rsidRPr="003E0254" w:rsidRDefault="00DA35C9">
      <w:pPr>
        <w:spacing w:line="276" w:lineRule="auto"/>
        <w:jc w:val="both"/>
        <w:rPr>
          <w:color w:val="000000" w:themeColor="text1"/>
          <w:lang w:eastAsia="de-DE"/>
        </w:rPr>
      </w:pPr>
      <m:oMathPara>
        <m:oMath>
          <m:r>
            <m:rPr>
              <m:sty m:val="p"/>
            </m:rPr>
            <w:rPr>
              <w:rFonts w:ascii="Cambria Math" w:hAnsi="Cambria Math" w:cs="Calibri"/>
              <w:lang w:eastAsia="de-DE"/>
            </w:rPr>
            <m:t>2</m:t>
          </m:r>
          <m:sSup>
            <m:sSupPr>
              <m:ctrlPr>
                <w:rPr>
                  <w:rFonts w:ascii="Cambria Math" w:eastAsia="Cambria Math" w:hAnsi="Cambria Math" w:cs="Cambria Math"/>
                  <w:lang w:eastAsia="de-DE"/>
                </w:rPr>
              </m:ctrlPr>
            </m:sSupPr>
            <m:e>
              <m:r>
                <m:rPr>
                  <m:sty m:val="p"/>
                </m:rPr>
                <w:rPr>
                  <w:rFonts w:ascii="Cambria Math" w:hAnsi="Cambria Math" w:cs="Calibri"/>
                  <w:lang w:eastAsia="de-DE"/>
                </w:rPr>
                <m:t>Ce</m:t>
              </m:r>
            </m:e>
            <m:sup>
              <m:r>
                <w:rPr>
                  <w:rFonts w:ascii="Cambria Math" w:hAnsi="Cambria Math" w:cs="Calibri"/>
                  <w:lang w:eastAsia="de-DE"/>
                </w:rPr>
                <m:t>3+</m:t>
              </m:r>
            </m:sup>
          </m:sSup>
          <m:r>
            <m:rPr>
              <m:sty m:val="p"/>
            </m:rPr>
            <w:rPr>
              <w:rFonts w:ascii="Cambria Math" w:hAnsi="Cambria Math" w:cs="Calibri"/>
              <w:lang w:eastAsia="de-DE"/>
            </w:rPr>
            <m:t xml:space="preserve"> +</m:t>
          </m:r>
          <m:sSub>
            <m:sSubPr>
              <m:ctrlPr>
                <w:rPr>
                  <w:rFonts w:ascii="Cambria Math" w:eastAsia="Cambria Math" w:hAnsi="Cambria Math" w:cs="Cambria Math"/>
                  <w:lang w:eastAsia="de-DE"/>
                </w:rPr>
              </m:ctrlPr>
            </m:sSubPr>
            <m:e>
              <m:r>
                <m:rPr>
                  <m:sty m:val="p"/>
                </m:rPr>
                <w:rPr>
                  <w:rFonts w:ascii="Cambria Math" w:hAnsi="Cambria Math" w:cs="Calibri"/>
                  <w:lang w:eastAsia="de-DE"/>
                </w:rPr>
                <m:t>H</m:t>
              </m:r>
            </m:e>
            <m:sub>
              <m:r>
                <w:rPr>
                  <w:rFonts w:ascii="Cambria Math" w:hAnsi="Cambria Math" w:cs="Calibri"/>
                  <w:lang w:eastAsia="de-DE"/>
                </w:rPr>
                <m:t>2</m:t>
              </m:r>
            </m:sub>
          </m:sSub>
          <m:r>
            <m:rPr>
              <m:sty m:val="p"/>
            </m:rPr>
            <w:rPr>
              <w:rFonts w:ascii="Cambria Math" w:hAnsi="Cambria Math" w:cs="Calibri"/>
              <w:lang w:eastAsia="de-DE"/>
            </w:rPr>
            <m:t xml:space="preserve">O ↔ </m:t>
          </m:r>
          <m:sSub>
            <m:sSubPr>
              <m:ctrlPr>
                <w:rPr>
                  <w:rFonts w:ascii="Cambria Math" w:eastAsia="Cambria Math" w:hAnsi="Cambria Math" w:cs="Cambria Math"/>
                  <w:lang w:eastAsia="de-DE"/>
                </w:rPr>
              </m:ctrlPr>
            </m:sSubPr>
            <m:e>
              <m:r>
                <m:rPr>
                  <m:sty m:val="p"/>
                </m:rPr>
                <w:rPr>
                  <w:rFonts w:ascii="Cambria Math" w:hAnsi="Cambria Math" w:cs="Calibri"/>
                  <w:lang w:eastAsia="de-DE"/>
                </w:rPr>
                <m:t>Ce</m:t>
              </m:r>
            </m:e>
            <m:sub>
              <m:r>
                <m:rPr>
                  <m:sty m:val="p"/>
                </m:rPr>
                <w:rPr>
                  <w:rFonts w:ascii="Cambria Math" w:hAnsi="Cambria Math" w:cs="Calibri"/>
                  <w:lang w:eastAsia="de-DE"/>
                </w:rPr>
                <m:t>2</m:t>
              </m:r>
            </m:sub>
          </m:sSub>
          <m:sSup>
            <m:sSupPr>
              <m:ctrlPr>
                <w:rPr>
                  <w:rFonts w:ascii="Cambria Math" w:eastAsia="Cambria Math" w:hAnsi="Cambria Math" w:cs="Cambria Math"/>
                  <w:lang w:eastAsia="de-DE"/>
                </w:rPr>
              </m:ctrlPr>
            </m:sSupPr>
            <m:e>
              <m:r>
                <m:rPr>
                  <m:sty m:val="p"/>
                </m:rPr>
                <w:rPr>
                  <w:rFonts w:ascii="Cambria Math" w:hAnsi="Cambria Math" w:cs="Calibri"/>
                  <w:lang w:eastAsia="de-DE"/>
                </w:rPr>
                <m:t>O</m:t>
              </m:r>
            </m:e>
            <m:sup>
              <m:r>
                <m:rPr>
                  <m:sty m:val="p"/>
                </m:rPr>
                <w:rPr>
                  <w:rFonts w:ascii="Cambria Math" w:hAnsi="Cambria Math" w:cs="Calibri"/>
                  <w:lang w:eastAsia="de-DE"/>
                </w:rPr>
                <m:t>6+</m:t>
              </m:r>
            </m:sup>
          </m:sSup>
          <m:r>
            <w:rPr>
              <w:rFonts w:ascii="Cambria Math" w:hAnsi="Cambria Math" w:cs="Calibri"/>
              <w:lang w:eastAsia="de-DE"/>
            </w:rPr>
            <m:t>+</m:t>
          </m:r>
          <m:sSup>
            <m:sSupPr>
              <m:ctrlPr>
                <w:rPr>
                  <w:rFonts w:ascii="Cambria Math" w:eastAsia="Cambria Math" w:hAnsi="Cambria Math" w:cs="Cambria Math"/>
                  <w:lang w:eastAsia="de-DE"/>
                </w:rPr>
              </m:ctrlPr>
            </m:sSupPr>
            <m:e>
              <m:r>
                <m:rPr>
                  <m:sty m:val="p"/>
                </m:rPr>
                <w:rPr>
                  <w:rFonts w:ascii="Cambria Math" w:hAnsi="Cambria Math" w:cs="Calibri"/>
                  <w:lang w:eastAsia="de-DE"/>
                </w:rPr>
                <m:t>2H</m:t>
              </m:r>
            </m:e>
            <m:sup>
              <m:r>
                <m:rPr>
                  <m:sty m:val="p"/>
                </m:rPr>
                <w:rPr>
                  <w:rFonts w:ascii="Cambria Math" w:hAnsi="Cambria Math" w:cs="Calibri"/>
                  <w:lang w:eastAsia="de-DE"/>
                </w:rPr>
                <m:t>+</m:t>
              </m:r>
            </m:sup>
          </m:sSup>
          <m:r>
            <w:rPr>
              <w:rFonts w:ascii="Cambria Math" w:hAnsi="Cambria Math" w:cs="Calibri"/>
              <w:lang w:eastAsia="de-DE"/>
            </w:rPr>
            <m:t>+2</m:t>
          </m:r>
          <m:sSup>
            <m:sSupPr>
              <m:ctrlPr>
                <w:rPr>
                  <w:rFonts w:ascii="Cambria Math" w:eastAsia="Cambria Math" w:hAnsi="Cambria Math" w:cs="Cambria Math"/>
                  <w:lang w:eastAsia="de-DE"/>
                </w:rPr>
              </m:ctrlPr>
            </m:sSupPr>
            <m:e>
              <m:r>
                <m:rPr>
                  <m:sty m:val="p"/>
                </m:rPr>
                <w:rPr>
                  <w:rFonts w:ascii="Cambria Math" w:hAnsi="Cambria Math" w:cs="Calibri"/>
                  <w:lang w:eastAsia="de-DE"/>
                </w:rPr>
                <m:t>e</m:t>
              </m:r>
            </m:e>
            <m:sup>
              <m:r>
                <w:rPr>
                  <w:rFonts w:ascii="Cambria Math" w:hAnsi="Cambria Math" w:cs="Calibri"/>
                  <w:lang w:eastAsia="de-DE"/>
                </w:rPr>
                <m:t>-</m:t>
              </m:r>
            </m:sup>
          </m:sSup>
        </m:oMath>
      </m:oMathPara>
    </w:p>
    <w:p w14:paraId="605EDBEB" w14:textId="5A5C8DE3" w:rsidR="00B53C39" w:rsidRPr="003E0254" w:rsidRDefault="00DA35C9">
      <w:pPr>
        <w:spacing w:line="276" w:lineRule="auto"/>
        <w:jc w:val="both"/>
        <w:rPr>
          <w:color w:val="000000" w:themeColor="text1"/>
          <w:lang w:eastAsia="de-DE"/>
        </w:rPr>
      </w:pPr>
      <w:r w:rsidRPr="003E0254">
        <w:rPr>
          <w:color w:val="000000" w:themeColor="text1"/>
          <w:lang w:eastAsia="de-DE"/>
        </w:rPr>
        <w:t>This system demonstrates an exceptionally high cell voltage of 3.08 V, a voltage efficiency of 91%, and a Coulombic efficiency of 98% at a current density of 5</w:t>
      </w:r>
      <w:r w:rsidR="00C833BB" w:rsidRPr="003E0254">
        <w:rPr>
          <w:color w:val="000000" w:themeColor="text1"/>
          <w:lang w:eastAsia="de-DE"/>
        </w:rPr>
        <w:t> </w:t>
      </w:r>
      <w:r w:rsidRPr="003E0254">
        <w:rPr>
          <w:color w:val="000000" w:themeColor="text1"/>
          <w:lang w:eastAsia="de-DE"/>
        </w:rPr>
        <w:t>mA</w:t>
      </w:r>
      <w:r w:rsidR="004B650E" w:rsidRPr="003E0254">
        <w:rPr>
          <w:color w:val="000000" w:themeColor="text1"/>
          <w:lang w:eastAsia="de-DE"/>
        </w:rPr>
        <w:t> </w:t>
      </w:r>
      <w:r w:rsidRPr="003E0254">
        <w:rPr>
          <w:color w:val="000000" w:themeColor="text1"/>
          <w:lang w:eastAsia="de-DE"/>
        </w:rPr>
        <w:t>cm</w:t>
      </w:r>
      <w:r w:rsidR="004B650E" w:rsidRPr="003E0254">
        <w:rPr>
          <w:color w:val="000000" w:themeColor="text1"/>
          <w:vertAlign w:val="superscript"/>
          <w:lang w:eastAsia="de-DE"/>
        </w:rPr>
        <w:t>-</w:t>
      </w:r>
      <w:r w:rsidRPr="003E0254">
        <w:rPr>
          <w:color w:val="000000" w:themeColor="text1"/>
          <w:lang w:eastAsia="de-DE"/>
        </w:rPr>
        <w:t>². However, the incorporation of two ion-selective membranes, a third electrolyte chamber, and a pronounced pH gradient between the two half-cells—employing NaOH and HClO</w:t>
      </w:r>
      <w:r w:rsidRPr="003E0254">
        <w:rPr>
          <w:color w:val="000000" w:themeColor="text1"/>
          <w:vertAlign w:val="subscript"/>
          <w:lang w:eastAsia="de-DE"/>
        </w:rPr>
        <w:t>4</w:t>
      </w:r>
      <w:r w:rsidRPr="003E0254">
        <w:rPr>
          <w:color w:val="000000" w:themeColor="text1"/>
          <w:lang w:eastAsia="de-DE"/>
        </w:rPr>
        <w:t xml:space="preserve"> as electrolyte components for the negative and positive half-cells, respectively—increases costs and introduces substantial safety concerns, particularly in large-scale stationary energy storage systems.</w:t>
      </w:r>
    </w:p>
    <w:p w14:paraId="39F8D3E0" w14:textId="7D7701F7" w:rsidR="00551CE8" w:rsidRPr="003E0254" w:rsidRDefault="00DA35C9">
      <w:pPr>
        <w:spacing w:line="276" w:lineRule="auto"/>
        <w:jc w:val="both"/>
        <w:rPr>
          <w:color w:val="000000" w:themeColor="text1"/>
          <w:lang w:eastAsia="de-DE"/>
        </w:rPr>
      </w:pPr>
      <w:r w:rsidRPr="003E0254">
        <w:rPr>
          <w:color w:val="000000" w:themeColor="text1"/>
          <w:lang w:eastAsia="de-DE"/>
        </w:rPr>
        <w:t>Recent advancements in zinc-based RFB have focused on addressing additional challenges</w:t>
      </w:r>
      <w:r w:rsidR="00C833BB" w:rsidRPr="003E0254">
        <w:rPr>
          <w:color w:val="000000" w:themeColor="text1"/>
          <w:lang w:eastAsia="de-DE"/>
        </w:rPr>
        <w:t>,</w:t>
      </w:r>
      <w:r w:rsidRPr="003E0254">
        <w:rPr>
          <w:color w:val="000000" w:themeColor="text1"/>
          <w:lang w:eastAsia="de-DE"/>
        </w:rPr>
        <w:t xml:space="preserve"> such as hydrogen evolution, zinc dendrite formation, and the stability of catholytes. These issues can be mainly tackled through the development of new electrode materials, membrane technologies, and electrolyte formulations.</w:t>
      </w:r>
      <w:r w:rsidR="004B650E" w:rsidRPr="003E0254">
        <w:rPr>
          <w:color w:val="000000" w:themeColor="text1"/>
          <w:lang w:eastAsia="de-DE"/>
        </w:rPr>
        <w:fldChar w:fldCharType="begin" w:fldLock="1"/>
      </w:r>
      <w:r w:rsidR="002F6D4C" w:rsidRPr="003E0254">
        <w:rPr>
          <w:color w:val="000000" w:themeColor="text1"/>
          <w:lang w:eastAsia="de-DE"/>
        </w:rPr>
        <w:instrText>ADDIN CSL_CITATION {"citationItems":[{"id":"ITEM-1","itemData":{"DOI":"10.1088/1361-6463/ac4182","ISSN":"0022-3727","abstract":"Zinc-based redox flow batteries (ZRFBs) have been considered as ones of the most promising large-scale energy storage technologies owing to their low cost, high safety, and environmental friendliness. However, their commercial application is still hindered by a few key problems. First, the hydrogen evolution and zinc dendrite formation cause poor cycling life, of which needs to ameliorated or overcome by finding suitable anolytes. Second, the stability and energy density of catholytes are unsatisfactory due to oxidation, corrosion, and low electrolyte concentration. Meanwhile, highly catalytic electrode materials remain to be explored and the ion selectivity and cost efficiency of membrane materials demands further improvement. In this review, we summarize different types of ZRFBs according to their electrolyte environments including ZRFBs using neutral, acidic, and alkaline electrolytes, then highlight the advances of key materials including electrode and membrane materials for ZRFBs, and finally discuss the challenges and perspectives for the future development of high-performance ZRFBs.","author":[{"dropping-particle":"","family":"Wang","given":"Guixiang","non-dropping-particle":"","parse-names":false,"suffix":""},{"dropping-particle":"","family":"Zou","given":"Haitao","non-dropping-particle":"","parse-names":false,"suffix":""},{"dropping-particle":"","family":"Zhu","given":"Xiaobo","non-dropping-particle":"","parse-names":false,"suffix":""},{"dropping-particle":"","family":"Ding","given":"Mei","non-dropping-particle":"","parse-names":false,"suffix":""},{"dropping-particle":"","family":"Jia","given":"Chuankun","non-dropping-particle":"","parse-names":false,"suffix":""}],"container-title":"Journal of Physics D: Applied Physics","id":"ITEM-1","issue":"16","issued":{"date-parts":[["2022","4","21"]]},"page":"163001","publisher":"IOP Publishing","title":"Recent progress in zinc-based redox flow batteries: a review","type":"article-journal","volume":"55"},"uris":["http://www.mendeley.com/documents/?uuid=b2f01424-46c9-4454-af23-112002d8a32b"]}],"mendeley":{"formattedCitation":"&lt;sup&gt;[15]&lt;/sup&gt;","plainTextFormattedCitation":"[15]","previouslyFormattedCitation":"&lt;sup&gt;[15]&lt;/sup&gt;"},"properties":{"noteIndex":0},"schema":"https://github.com/citation-style-language/schema/raw/master/csl-citation.json"}</w:instrText>
      </w:r>
      <w:r w:rsidR="004B650E" w:rsidRPr="003E0254">
        <w:rPr>
          <w:color w:val="000000" w:themeColor="text1"/>
          <w:lang w:eastAsia="de-DE"/>
        </w:rPr>
        <w:fldChar w:fldCharType="separate"/>
      </w:r>
      <w:r w:rsidR="00A94915" w:rsidRPr="003E0254">
        <w:rPr>
          <w:noProof/>
          <w:color w:val="000000" w:themeColor="text1"/>
          <w:vertAlign w:val="superscript"/>
          <w:lang w:eastAsia="de-DE"/>
        </w:rPr>
        <w:t>[15]</w:t>
      </w:r>
      <w:r w:rsidR="004B650E" w:rsidRPr="003E0254">
        <w:rPr>
          <w:color w:val="000000" w:themeColor="text1"/>
          <w:lang w:eastAsia="de-DE"/>
        </w:rPr>
        <w:fldChar w:fldCharType="end"/>
      </w:r>
      <w:r w:rsidRPr="003E0254">
        <w:rPr>
          <w:color w:val="000000" w:themeColor="text1"/>
          <w:lang w:eastAsia="de-DE"/>
        </w:rPr>
        <w:t xml:space="preserve"> In parallel with these advancements, the incorporation of organic electrolytes in zinc-based redox flow batteries (Zn-RFBs) has </w:t>
      </w:r>
      <w:r w:rsidR="00565A8F" w:rsidRPr="003E0254">
        <w:rPr>
          <w:color w:val="000000" w:themeColor="text1"/>
          <w:lang w:eastAsia="de-DE"/>
        </w:rPr>
        <w:t>drawn</w:t>
      </w:r>
      <w:r w:rsidRPr="003E0254">
        <w:rPr>
          <w:color w:val="000000" w:themeColor="text1"/>
          <w:lang w:eastAsia="de-DE"/>
        </w:rPr>
        <w:t xml:space="preserve"> increasing attention. Unlike conventional aqueous systems, organic electrolytes offer an expanded electrochemical stability window exceeding 2</w:t>
      </w:r>
      <w:r w:rsidR="004B650E" w:rsidRPr="003E0254">
        <w:rPr>
          <w:color w:val="000000" w:themeColor="text1"/>
          <w:lang w:eastAsia="de-DE"/>
        </w:rPr>
        <w:t> </w:t>
      </w:r>
      <w:r w:rsidRPr="003E0254">
        <w:rPr>
          <w:color w:val="000000" w:themeColor="text1"/>
          <w:lang w:eastAsia="de-DE"/>
        </w:rPr>
        <w:t>V, enabling higher energy densities and improving long-term stability.</w:t>
      </w:r>
      <w:r w:rsidR="004B650E" w:rsidRPr="003E0254">
        <w:rPr>
          <w:color w:val="000000" w:themeColor="text1"/>
          <w:lang w:eastAsia="de-DE"/>
        </w:rPr>
        <w:fldChar w:fldCharType="begin" w:fldLock="1"/>
      </w:r>
      <w:r w:rsidR="00500B8D" w:rsidRPr="003E0254">
        <w:rPr>
          <w:color w:val="000000" w:themeColor="text1"/>
          <w:lang w:eastAsia="de-DE"/>
        </w:rPr>
        <w:instrText>ADDIN CSL_CITATION {"citationItems":[{"id":"ITEM-1","itemData":{"DOI":"10.1002/ANIE.201501443","ISSN":"1521-3773","abstract":"Nonaqueous redox flow batteries hold the promise of achieving higher energy density because of the broader voltage window than aqueous systems, but their current performance is limited by low redox material concentration, cell efficiency, cycling stability, and current density. We report a new nonaqueous all-organic flow battery based on high concentrations of redox materials, which shows significant, comprehensive improvement in flow battery performance. A mechanistic electron spin resonance study reveals that the choice of supporting electrolytes greatly affects the chemical stability of the charged radical species especially the negative side radical anion, which dominates the cycling stability of these flow cells. This finding not only increases our fundamental understanding of performance degradation in flow batteries using radical-based redox species, but also offers insights toward rational electrolyte optimization for improving the cycling stability of these flow batteries.","author":[{"dropping-particle":"","family":"Wei","given":"Xiaoliang","non-dropping-particle":"","parse-names":false,"suffix":""},{"dropping-particle":"","family":"Xu","given":"Wu","non-dropping-particle":"","parse-names":false,"suffix":""},{"dropping-particle":"","family":"Huang","given":"Jinhua","non-dropping-particle":"","parse-names":false,"suffix":""},{"dropping-particle":"","family":"Zhang","given":"Lu","non-dropping-particle":"","parse-names":false,"suffix":""},{"dropping-particle":"","family":"Walter","given":"Eric","non-dropping-particle":"","parse-names":false,"suffix":""},{"dropping-particle":"","family":"Lawrence","given":"Chad","non-dropping-particle":"","parse-names":false,"suffix":""},{"dropping-particle":"","family":"Vijayakumar","given":"M.","non-dropping-particle":"","parse-names":false,"suffix":""},{"dropping-particle":"","family":"Henderson","given":"Wesley A.","non-dropping-particle":"","parse-names":false,"suffix":""},{"dropping-particle":"","family":"Liu","given":"Tianbiao","non-dropping-particle":"","parse-names":false,"suffix":""},{"dropping-particle":"","family":"Cosimbescu","given":"Lelia","non-dropping-particle":"","parse-names":false,"suffix":""},{"dropping-particle":"","family":"Li","given":"Bin","non-dropping-particle":"","parse-names":false,"suffix":""},{"dropping-particle":"","family":"Sprenkle","given":"Vincent","non-dropping-particle":"","parse-names":false,"suffix":""},{"dropping-particle":"","family":"Wang","given":"Wei","non-dropping-particle":"","parse-names":false,"suffix":""}],"container-title":"Angewandte Chemie International Edition","id":"ITEM-1","issue":"30","issued":{"date-parts":[["2015","7","20"]]},"page":"8684-8687","publisher":"John Wiley &amp; Sons, Ltd","title":"Radical Compatibility with Nonaqueous Electrolytes and Its Impact on an All-Organic Redox Flow Battery","type":"article-journal","volume":"54"},"uris":["http://www.mendeley.com/documents/?uuid=fb054534-9187-39c2-8d9f-57aeac37474e"]}],"mendeley":{"formattedCitation":"&lt;sup&gt;[257]&lt;/sup&gt;","plainTextFormattedCitation":"[257]","previouslyFormattedCitation":"&lt;sup&gt;[256]&lt;/sup&gt;"},"properties":{"noteIndex":0},"schema":"https://github.com/citation-style-language/schema/raw/master/csl-citation.json"}</w:instrText>
      </w:r>
      <w:r w:rsidR="004B650E" w:rsidRPr="003E0254">
        <w:rPr>
          <w:color w:val="000000" w:themeColor="text1"/>
          <w:lang w:eastAsia="de-DE"/>
        </w:rPr>
        <w:fldChar w:fldCharType="separate"/>
      </w:r>
      <w:r w:rsidR="00500B8D" w:rsidRPr="003E0254">
        <w:rPr>
          <w:noProof/>
          <w:color w:val="000000" w:themeColor="text1"/>
          <w:vertAlign w:val="superscript"/>
          <w:lang w:eastAsia="de-DE"/>
        </w:rPr>
        <w:t>[257]</w:t>
      </w:r>
      <w:r w:rsidR="004B650E" w:rsidRPr="003E0254">
        <w:rPr>
          <w:color w:val="000000" w:themeColor="text1"/>
          <w:lang w:eastAsia="de-DE"/>
        </w:rPr>
        <w:fldChar w:fldCharType="end"/>
      </w:r>
      <w:r w:rsidRPr="003E0254">
        <w:rPr>
          <w:color w:val="000000" w:themeColor="text1"/>
          <w:lang w:eastAsia="de-DE"/>
        </w:rPr>
        <w:t xml:space="preserve"> Notably, organic redox-active molecules provide greater chemical versatility, allowing for precise molecular tuning to enhance </w:t>
      </w:r>
      <w:r w:rsidR="00565A8F" w:rsidRPr="003E0254">
        <w:rPr>
          <w:color w:val="000000" w:themeColor="text1"/>
          <w:lang w:eastAsia="de-DE"/>
        </w:rPr>
        <w:t xml:space="preserve">the </w:t>
      </w:r>
      <w:r w:rsidRPr="003E0254">
        <w:rPr>
          <w:color w:val="000000" w:themeColor="text1"/>
          <w:lang w:eastAsia="de-DE"/>
        </w:rPr>
        <w:t xml:space="preserve">redox potential, </w:t>
      </w:r>
      <w:r w:rsidR="00565A8F" w:rsidRPr="003E0254">
        <w:rPr>
          <w:color w:val="000000" w:themeColor="text1"/>
          <w:lang w:eastAsia="de-DE"/>
        </w:rPr>
        <w:t xml:space="preserve">the </w:t>
      </w:r>
      <w:r w:rsidRPr="003E0254">
        <w:rPr>
          <w:color w:val="000000" w:themeColor="text1"/>
          <w:lang w:eastAsia="de-DE"/>
        </w:rPr>
        <w:t xml:space="preserve">solubility, and </w:t>
      </w:r>
      <w:r w:rsidR="00565A8F" w:rsidRPr="003E0254">
        <w:rPr>
          <w:color w:val="000000" w:themeColor="text1"/>
          <w:lang w:eastAsia="de-DE"/>
        </w:rPr>
        <w:t xml:space="preserve">the </w:t>
      </w:r>
      <w:r w:rsidRPr="003E0254">
        <w:rPr>
          <w:color w:val="000000" w:themeColor="text1"/>
          <w:lang w:eastAsia="de-DE"/>
        </w:rPr>
        <w:t xml:space="preserve">electrochemical resilience. This tunability not only mitigates common degradation pathways observed in aqueous Zn-RFBs, such as dendritic zinc deposition and hydrogen evolution, but also facilitates the development of novel charge-storage mechanisms that </w:t>
      </w:r>
      <w:r w:rsidR="00565A8F" w:rsidRPr="003E0254">
        <w:rPr>
          <w:color w:val="000000" w:themeColor="text1"/>
          <w:lang w:eastAsia="de-DE"/>
        </w:rPr>
        <w:t xml:space="preserve">afford </w:t>
      </w:r>
      <w:r w:rsidRPr="003E0254">
        <w:rPr>
          <w:color w:val="000000" w:themeColor="text1"/>
          <w:lang w:eastAsia="de-DE"/>
        </w:rPr>
        <w:t>optimize</w:t>
      </w:r>
      <w:r w:rsidR="00565A8F" w:rsidRPr="003E0254">
        <w:rPr>
          <w:color w:val="000000" w:themeColor="text1"/>
          <w:lang w:eastAsia="de-DE"/>
        </w:rPr>
        <w:t>d</w:t>
      </w:r>
      <w:r w:rsidRPr="003E0254">
        <w:rPr>
          <w:color w:val="000000" w:themeColor="text1"/>
          <w:lang w:eastAsia="de-DE"/>
        </w:rPr>
        <w:t xml:space="preserve"> energy efficiency and cycling performance.</w:t>
      </w:r>
      <w:r w:rsidR="004B650E" w:rsidRPr="003E0254">
        <w:rPr>
          <w:color w:val="000000" w:themeColor="text1"/>
          <w:lang w:eastAsia="de-DE"/>
        </w:rPr>
        <w:fldChar w:fldCharType="begin" w:fldLock="1"/>
      </w:r>
      <w:r w:rsidR="00500B8D" w:rsidRPr="003E0254">
        <w:rPr>
          <w:color w:val="000000" w:themeColor="text1"/>
          <w:lang w:eastAsia="de-DE"/>
        </w:rPr>
        <w:instrText>ADDIN CSL_CITATION {"citationItems":[{"id":"ITEM-1","itemData":{"DOI":"10.1039/D4CS00585F","ISSN":"1460-4744","abstract":"Redox flow batteries (RFBs) are gaining significant attention due to the growing demand for sustainable energy storage solutions. In contrast to conventional aqueous vanadium RFBs, which have a restricted voltage range resulting from the use of water and vanadium, the utilization of redox-active organic molecules (ROMs) as active materials broadens the range of applicable liquid media to include non-aqueous electrolyte solutions. The extended voltage range of non-aqueous media, exceeding 2 V, facilitates the establishment of high-energy storage systems. Additionally, considering the higher cost of non-aqueous solvents compared to water, the objective in developing non-aqueous electrolyte solution-based organic RFBs (NRFBs) is to efficiently install these systems in a compact manner and explore unique applications distinct from those associated with aqueous RFBs, which are typically deployed for grid-scale energy storage systems. This review presents recent research progress in ROMs, electrolytes, and membranes in NRFBs. Furthermore, we address the prevailing challenges that require revolution, encompassing a narrow cell voltage range, insufficient solubility, chemical instability, and the crossover of ROMs. Through this exploration, the review contributes to the understanding of the current landscape and potential advancements in NRFB technology and encourages researchers and professionals in the energy field to explore this emerging technology as a potential solution to global environmental challenges.","author":[{"dropping-particle":"","family":"Ahn","given":"Seongmo","non-dropping-particle":"","parse-names":false,"suffix":""},{"dropping-particle":"","family":"Yun","given":"Ariyeong","non-dropping-particle":"","parse-names":false,"suffix":""},{"dropping-particle":"","family":"Ko","given":"Donghwi","non-dropping-particle":"","parse-names":false,"suffix":""},{"dropping-particle":"","family":"Singh","given":"Vikram","non-dropping-particle":"","parse-names":false,"suffix":""},{"dropping-particle":"","family":"Joo","given":"Jung Min","non-dropping-particle":"","parse-names":false,"suffix":""},{"dropping-particle":"","family":"Byon","given":"Hye Ryung","non-dropping-particle":"","parse-names":false,"suffix":""}],"container-title":"Chemical Society Reviews","id":"ITEM-1","issue":"2","issued":{"date-parts":[["2025","1","20"]]},"page":"742-789","publisher":"The Royal Society of Chemistry","title":"Organic redox flow batteries in non-aqueous electrolyte solutions","type":"article-journal","volume":"54"},"uris":["http://www.mendeley.com/documents/?uuid=ec8f624c-3a90-361d-8399-2e15fb6db84c"]},{"id":"ITEM-2","itemData":{"DOI":"10.1016/J.JECHEM.2024.08.016","ISSN":"2095-4956","abstract":"As environmental concerns from fossil fuel consumption intensify, large-scale energy storage becomes imperative for the integration of renewable sources like wind, hydro, and solar with the electrical grid. Redox flow batteries, particularly those employing organic molecules, are positioned as a key technology for this purpose. This review explores the growing field of symmetric organic redox flow batteries (ORFBs) within this context. Unlike traditional asymmetric designs based on unique active materials for each electrode, symmetric ORFBs involve a single bipolar species for both electrodes. This review highlights the benefits of a symmetric design, and categorizes five distinct classes of organic bipolar molecules used in both aqueous and non-aqueous solvents. By providing a comprehensive overview of their cell cycling and performance characteristics, the strengths and weaknesses of the diverse categories of bipolar molecules are highlighted for both solvent systems, as are opportunities for future development. This should guide new research directions and advance the development of practical symmetric ORFBs.","author":[{"dropping-particle":"Al","family":"Raihan","given":"Md","non-dropping-particle":"","parse-names":false,"suffix":""},{"dropping-particle":"","family":"Dyker","given":"C. Adam","non-dropping-particle":"","parse-names":false,"suffix":""}],"container-title":"Journal of Energy Chemistry","id":"ITEM-2","issued":{"date-parts":[["2025","1","1"]]},"page":"125-143","publisher":"Elsevier","title":"Status and prospects for symmetric organic redox flow batteries","type":"article-journal","volume":"100"},"uris":["http://www.mendeley.com/documents/?uuid=2ed5d702-6126-39b4-a96f-14963802809b"]}],"mendeley":{"formattedCitation":"&lt;sup&gt;[258,259]&lt;/sup&gt;","plainTextFormattedCitation":"[258,259]","previouslyFormattedCitation":"&lt;sup&gt;[257,258]&lt;/sup&gt;"},"properties":{"noteIndex":0},"schema":"https://github.com/citation-style-language/schema/raw/master/csl-citation.json"}</w:instrText>
      </w:r>
      <w:r w:rsidR="004B650E" w:rsidRPr="003E0254">
        <w:rPr>
          <w:color w:val="000000" w:themeColor="text1"/>
          <w:lang w:eastAsia="de-DE"/>
        </w:rPr>
        <w:fldChar w:fldCharType="separate"/>
      </w:r>
      <w:r w:rsidR="00500B8D" w:rsidRPr="003E0254">
        <w:rPr>
          <w:noProof/>
          <w:color w:val="000000" w:themeColor="text1"/>
          <w:vertAlign w:val="superscript"/>
          <w:lang w:eastAsia="de-DE"/>
        </w:rPr>
        <w:t>[258,259]</w:t>
      </w:r>
      <w:r w:rsidR="004B650E" w:rsidRPr="003E0254">
        <w:rPr>
          <w:color w:val="000000" w:themeColor="text1"/>
          <w:lang w:eastAsia="de-DE"/>
        </w:rPr>
        <w:fldChar w:fldCharType="end"/>
      </w:r>
      <w:r w:rsidRPr="003E0254">
        <w:rPr>
          <w:color w:val="000000" w:themeColor="text1"/>
          <w:lang w:eastAsia="de-DE"/>
        </w:rPr>
        <w:t xml:space="preserve"> </w:t>
      </w:r>
    </w:p>
    <w:p w14:paraId="09FABE82" w14:textId="733F22DD" w:rsidR="00B53C39" w:rsidRPr="003E0254" w:rsidRDefault="00DA35C9">
      <w:pPr>
        <w:spacing w:line="276" w:lineRule="auto"/>
        <w:jc w:val="both"/>
        <w:rPr>
          <w:color w:val="000000" w:themeColor="text1"/>
          <w:lang w:eastAsia="de-DE"/>
        </w:rPr>
      </w:pPr>
      <w:r w:rsidRPr="003E0254">
        <w:rPr>
          <w:color w:val="000000" w:themeColor="text1"/>
          <w:lang w:eastAsia="de-DE"/>
        </w:rPr>
        <w:t xml:space="preserve">Moreover, the use of organic electrolytes in Zn-RFBs reduces </w:t>
      </w:r>
      <w:r w:rsidR="00565A8F" w:rsidRPr="003E0254">
        <w:rPr>
          <w:color w:val="000000" w:themeColor="text1"/>
          <w:lang w:eastAsia="de-DE"/>
        </w:rPr>
        <w:t xml:space="preserve">the </w:t>
      </w:r>
      <w:r w:rsidRPr="003E0254">
        <w:rPr>
          <w:color w:val="000000" w:themeColor="text1"/>
          <w:lang w:eastAsia="de-DE"/>
        </w:rPr>
        <w:t xml:space="preserve">reliance on highly corrosive and pH-sensitive environments, thereby enhancing the compatibility of system components and prolonging </w:t>
      </w:r>
      <w:bookmarkEnd w:id="10"/>
      <w:r w:rsidR="00704102" w:rsidRPr="003E0254">
        <w:rPr>
          <w:color w:val="000000" w:themeColor="text1"/>
          <w:lang w:eastAsia="de-DE"/>
        </w:rPr>
        <w:t>operational lifetimes as well enabling mostly cheap and widely available polymer-based material</w:t>
      </w:r>
      <w:r w:rsidR="00534DC9" w:rsidRPr="003E0254">
        <w:rPr>
          <w:color w:val="000000" w:themeColor="text1"/>
          <w:lang w:eastAsia="de-DE"/>
        </w:rPr>
        <w:t>s</w:t>
      </w:r>
      <w:r w:rsidR="00704102" w:rsidRPr="003E0254">
        <w:rPr>
          <w:color w:val="000000" w:themeColor="text1"/>
          <w:lang w:eastAsia="de-DE"/>
        </w:rPr>
        <w:t xml:space="preserve"> like polypropylene for the whole redox flow setup, which makes the installation of organic-based redox flow cells more affordable.</w:t>
      </w:r>
      <w:r w:rsidR="0011201F" w:rsidRPr="003E0254">
        <w:rPr>
          <w:color w:val="000000" w:themeColor="text1"/>
          <w:lang w:eastAsia="de-DE"/>
        </w:rPr>
        <w:t xml:space="preserve"> Furthermore,  organic </w:t>
      </w:r>
      <w:r w:rsidR="009755F7" w:rsidRPr="003E0254">
        <w:rPr>
          <w:color w:val="000000" w:themeColor="text1"/>
          <w:lang w:eastAsia="de-DE"/>
        </w:rPr>
        <w:t>redox flow</w:t>
      </w:r>
      <w:r w:rsidR="0011201F" w:rsidRPr="003E0254">
        <w:rPr>
          <w:color w:val="000000" w:themeColor="text1"/>
          <w:lang w:eastAsia="de-DE"/>
        </w:rPr>
        <w:t xml:space="preserve"> cells offer a more sustainable and environmentally friendly alternative, as they eliminate the reliance on scarce and environmentally </w:t>
      </w:r>
      <w:r w:rsidR="00534DC9" w:rsidRPr="003E0254">
        <w:rPr>
          <w:color w:val="000000" w:themeColor="text1"/>
          <w:lang w:eastAsia="de-DE"/>
        </w:rPr>
        <w:t>hazardous</w:t>
      </w:r>
      <w:r w:rsidR="0011201F" w:rsidRPr="003E0254">
        <w:rPr>
          <w:color w:val="000000" w:themeColor="text1"/>
          <w:lang w:eastAsia="de-DE"/>
        </w:rPr>
        <w:t xml:space="preserve"> transition metals like vanadium, cobalt or nickel, reduce the carbon footprint of battery production, and enable more efficient recycling pathways, thereby contributing to a greener energy storage landscape.</w:t>
      </w:r>
      <w:r w:rsidR="0011201F" w:rsidRPr="003E0254">
        <w:rPr>
          <w:color w:val="000000" w:themeColor="text1"/>
          <w:lang w:eastAsia="de-DE"/>
        </w:rPr>
        <w:fldChar w:fldCharType="begin" w:fldLock="1"/>
      </w:r>
      <w:r w:rsidR="00500B8D" w:rsidRPr="003E0254">
        <w:rPr>
          <w:color w:val="000000" w:themeColor="text1"/>
          <w:lang w:eastAsia="de-DE"/>
        </w:rPr>
        <w:instrText>ADDIN CSL_CITATION {"citationItems":[{"id":"ITEM-1","itemData":{"DOI":"10.1038/s41578-022-00478-1","ISBN":"0123456789","ISSN":"2058-8437","abstract":"The emergence of electric mobility has placed high demands on lithium-ion batteries, inevitably requiring a substantial consumption of transition-metal resources. The use of this resource raises concerns about the limited supply of transition metals along with the associated environmental footprint. Organic rechargeable batteries, which are transition-metal-free, eco-friendly and cost-effective, are promising alternatives to current lithium-ion batteries that could alleviate these mounting concerns. In this Review, we present an overview of the efforts to implement transition-metal-free organic materials as the redox-active component in diverse types of organic rechargeable batteries. In addition, we critically evaluate the current status of organic rechargeable batteries from a practical viewpoint and assess the feasibility of their use in various energy-storage applications with respect to environmental and economic aspects. We believe this Review provides a timely evaluation of organic rechargeable batteries from a real-world perspective, and we hope it will spur more intensive efforts towards a greener energy future. Redox-active organic materials are a promising electrode material for next-generation batteries, owing to their potential cost-effectiveness and eco-friendliness. This Review compares the performance of redox-active organic materials from a practical viewpoint and discusses their potential in various post-lithium-ion-battery platforms.","author":[{"dropping-particle":"","family":"Kim","given":"Jihyeon","non-dropping-particle":"","parse-names":false,"suffix":""},{"dropping-particle":"","family":"Kim","given":"Youngsu","non-dropping-particle":"","parse-names":false,"suffix":""},{"dropping-particle":"","family":"Yoo","given":"Jaekyun","non-dropping-particle":"","parse-names":false,"suffix":""},{"dropping-particle":"","family":"Kwon","given":"Giyun","non-dropping-particle":"","parse-names":false,"suffix":""},{"dropping-particle":"","family":"Ko","given":"Youngmin","non-dropping-particle":"","parse-names":false,"suffix":""},{"dropping-particle":"","family":"Kang","given":"Kisuk","non-dropping-particle":"","parse-names":false,"suffix":""}],"container-title":"Nature Reviews Materials 2022 8:1","id":"ITEM-1","issue":"1","issued":{"date-parts":[["2022","9","20"]]},"page":"54-70","publisher":"Nature Publishing Group","title":"Organic batteries for a greener rechargeable world","type":"article-journal","volume":"8"},"uris":["http://www.mendeley.com/documents/?uuid=d14f94ec-6bc1-32a0-9801-b9296dcad7ae"]}],"mendeley":{"formattedCitation":"&lt;sup&gt;[260]&lt;/sup&gt;","plainTextFormattedCitation":"[260]","previouslyFormattedCitation":"&lt;sup&gt;[259]&lt;/sup&gt;"},"properties":{"noteIndex":0},"schema":"https://github.com/citation-style-language/schema/raw/master/csl-citation.json"}</w:instrText>
      </w:r>
      <w:r w:rsidR="0011201F" w:rsidRPr="003E0254">
        <w:rPr>
          <w:color w:val="000000" w:themeColor="text1"/>
          <w:lang w:eastAsia="de-DE"/>
        </w:rPr>
        <w:fldChar w:fldCharType="separate"/>
      </w:r>
      <w:r w:rsidR="00500B8D" w:rsidRPr="003E0254">
        <w:rPr>
          <w:noProof/>
          <w:color w:val="000000" w:themeColor="text1"/>
          <w:vertAlign w:val="superscript"/>
          <w:lang w:eastAsia="de-DE"/>
        </w:rPr>
        <w:t>[260]</w:t>
      </w:r>
      <w:r w:rsidR="0011201F" w:rsidRPr="003E0254">
        <w:rPr>
          <w:color w:val="000000" w:themeColor="text1"/>
          <w:lang w:eastAsia="de-DE"/>
        </w:rPr>
        <w:fldChar w:fldCharType="end"/>
      </w:r>
      <w:r w:rsidR="0011201F" w:rsidRPr="003E0254">
        <w:rPr>
          <w:color w:val="000000" w:themeColor="text1"/>
          <w:lang w:eastAsia="de-DE"/>
        </w:rPr>
        <w:t xml:space="preserve"> </w:t>
      </w:r>
      <w:r w:rsidR="00551CE8" w:rsidRPr="003E0254">
        <w:rPr>
          <w:color w:val="000000" w:themeColor="text1"/>
          <w:lang w:eastAsia="de-DE"/>
        </w:rPr>
        <w:t>However, the environmental benefit of organic systems depends critically on the choice of solvent.</w:t>
      </w:r>
      <w:r w:rsidR="00993C8D" w:rsidRPr="003E0254">
        <w:rPr>
          <w:color w:val="000000" w:themeColor="text1"/>
          <w:lang w:eastAsia="de-DE"/>
        </w:rPr>
        <w:t xml:space="preserve"> The use of v</w:t>
      </w:r>
      <w:r w:rsidR="00551CE8" w:rsidRPr="003E0254">
        <w:rPr>
          <w:color w:val="000000" w:themeColor="text1"/>
          <w:lang w:eastAsia="de-DE"/>
        </w:rPr>
        <w:t xml:space="preserve">olatile and flammable solvents such as acetonitrile </w:t>
      </w:r>
      <w:r w:rsidR="00714CB4" w:rsidRPr="003E0254">
        <w:rPr>
          <w:color w:val="000000" w:themeColor="text1"/>
          <w:lang w:eastAsia="de-DE"/>
        </w:rPr>
        <w:t>has</w:t>
      </w:r>
      <w:r w:rsidR="00551CE8" w:rsidRPr="003E0254">
        <w:rPr>
          <w:color w:val="000000" w:themeColor="text1"/>
          <w:lang w:eastAsia="de-DE"/>
        </w:rPr>
        <w:t xml:space="preserve"> raised concerns about safety and sustainability, particularly in flow applications. Recent studies have addressed this challenge by introducing non-flammable, low-toxicity alternatives like propylene carbonate (PC), which offer suitable electrochemical properties and significantly lower vapor pressure. For example, PC has been shown to improve iodine redox kinetics and suppress parasitic film formation in </w:t>
      </w:r>
      <w:r w:rsidR="00551CE8" w:rsidRPr="003E0254">
        <w:rPr>
          <w:lang w:eastAsia="de-DE"/>
        </w:rPr>
        <w:t>I</w:t>
      </w:r>
      <w:r w:rsidR="00551CE8" w:rsidRPr="003E0254">
        <w:rPr>
          <w:vertAlign w:val="subscript"/>
          <w:lang w:eastAsia="de-DE"/>
        </w:rPr>
        <w:t>2</w:t>
      </w:r>
      <w:r w:rsidR="00551CE8" w:rsidRPr="003E0254">
        <w:rPr>
          <w:lang w:eastAsia="de-DE"/>
        </w:rPr>
        <w:t xml:space="preserve">||Zn </w:t>
      </w:r>
      <w:r w:rsidR="00551CE8" w:rsidRPr="003E0254">
        <w:rPr>
          <w:color w:val="000000" w:themeColor="text1"/>
          <w:lang w:eastAsia="de-DE"/>
        </w:rPr>
        <w:t>systems, while enabling membrane-free cell designs with Coulombic efficiencies exceeding 90%.</w:t>
      </w:r>
      <w:r w:rsidR="00551CE8" w:rsidRPr="003E0254">
        <w:rPr>
          <w:color w:val="000000" w:themeColor="text1"/>
          <w:lang w:eastAsia="de-DE"/>
        </w:rPr>
        <w:fldChar w:fldCharType="begin" w:fldLock="1"/>
      </w:r>
      <w:r w:rsidR="00500B8D" w:rsidRPr="003E0254">
        <w:rPr>
          <w:color w:val="000000" w:themeColor="text1"/>
          <w:lang w:eastAsia="de-DE"/>
        </w:rPr>
        <w:instrText>ADDIN CSL_CITATION {"citationItems":[{"id":"ITEM-1","itemData":{"DOI":"10.1016/J.ELECTACTA.2019.06.150","ISSN":"0013-4686","abstract":"A polyiodide complex has been newly obtained during the cathodic oxidation of iodide ions (I−) in the presence of propylene carbonate (PC). This complex demonstrates features of both ionicity and hydrophobicity. The properties and structure of this complex were investigated and discussed in the light of electrochemical investigations, instrumental analyses, and theoretical calculations using quantum chemistry. The oxygen atom of the C[dbnd]O bond in PC was considered to play an essential role in forming this complex, and a large dipole moment structure between I2 and PC was suggested by the theoretical calculations. This PC/I2 structure was considered to play an essential role in enhancing the dissolution rate of I2 films on a cathode and in accelerating the cathodic oxidation of I−. A model for the structure of this complex is demonstrated. A zinc/iodine redox flow battery of an aqueous-based single electrolyte-type was examined as an application of this complex to a battery without a cation-exchange membrane. Over 90% Coulombic efficiency was observed through charge and discharge cycles.","author":[{"dropping-particle":"","family":"Ito","given":"S.","non-dropping-particle":"","parse-names":false,"suffix":""},{"dropping-particle":"","family":"Sugimasa","given":"Masatoshi","non-dropping-particle":"","parse-names":false,"suffix":""},{"dropping-particle":"","family":"Toshimitsu","given":"Yuichi","non-dropping-particle":"","parse-names":false,"suffix":""},{"dropping-particle":"","family":"Orita","given":"Akihiro","non-dropping-particle":"","parse-names":false,"suffix":""},{"dropping-particle":"","family":"Kitagawa","given":"Masaki","non-dropping-particle":"","parse-names":false,"suffix":""},{"dropping-particle":"","family":"Sakai","given":"Masanori","non-dropping-particle":"","parse-names":false,"suffix":""}],"container-title":"Electrochimica Acta","id":"ITEM-1","issued":{"date-parts":[["2019","10","1"]]},"page":"164-174","publisher":"Pergamon","title":"Formation of a hydrophobic polyiodide complex during cathodic oxidation of iodide in the presence of propylene carbonate in aqueous solutions, and its application to a zinc/iodine redox flow battery","type":"article-journal","volume":"319"},"uris":["http://www.mendeley.com/documents/?uuid=a18f4dac-0b8d-3926-8ce7-ec708235498b"]}],"mendeley":{"formattedCitation":"&lt;sup&gt;[261]&lt;/sup&gt;","plainTextFormattedCitation":"[261]","previouslyFormattedCitation":"&lt;sup&gt;[260]&lt;/sup&gt;"},"properties":{"noteIndex":0},"schema":"https://github.com/citation-style-language/schema/raw/master/csl-citation.json"}</w:instrText>
      </w:r>
      <w:r w:rsidR="00551CE8" w:rsidRPr="003E0254">
        <w:rPr>
          <w:color w:val="000000" w:themeColor="text1"/>
          <w:lang w:eastAsia="de-DE"/>
        </w:rPr>
        <w:fldChar w:fldCharType="separate"/>
      </w:r>
      <w:r w:rsidR="00500B8D" w:rsidRPr="003E0254">
        <w:rPr>
          <w:noProof/>
          <w:color w:val="000000" w:themeColor="text1"/>
          <w:vertAlign w:val="superscript"/>
          <w:lang w:eastAsia="de-DE"/>
        </w:rPr>
        <w:t>[261]</w:t>
      </w:r>
      <w:r w:rsidR="00551CE8" w:rsidRPr="003E0254">
        <w:rPr>
          <w:color w:val="000000" w:themeColor="text1"/>
          <w:lang w:eastAsia="de-DE"/>
        </w:rPr>
        <w:fldChar w:fldCharType="end"/>
      </w:r>
      <w:r w:rsidR="00551CE8" w:rsidRPr="003E0254">
        <w:rPr>
          <w:color w:val="000000" w:themeColor="text1"/>
          <w:lang w:eastAsia="de-DE"/>
        </w:rPr>
        <w:t xml:space="preserve"> This highlights that </w:t>
      </w:r>
      <w:r w:rsidR="00993C8D" w:rsidRPr="003E0254">
        <w:rPr>
          <w:color w:val="000000" w:themeColor="text1"/>
          <w:lang w:eastAsia="de-DE"/>
        </w:rPr>
        <w:t xml:space="preserve">the </w:t>
      </w:r>
      <w:r w:rsidR="00551CE8" w:rsidRPr="003E0254">
        <w:rPr>
          <w:color w:val="000000" w:themeColor="text1"/>
          <w:lang w:eastAsia="de-DE"/>
        </w:rPr>
        <w:lastRenderedPageBreak/>
        <w:t>“green” classification of organic Zn-RFBs is not intrinsic, but rather dependent on electrolyte formulation and system design.</w:t>
      </w:r>
    </w:p>
    <w:p w14:paraId="5C690E40" w14:textId="77777777" w:rsidR="00DF7C26" w:rsidRPr="003E0254" w:rsidRDefault="00DF7C26">
      <w:pPr>
        <w:spacing w:line="276" w:lineRule="auto"/>
        <w:jc w:val="both"/>
        <w:rPr>
          <w:color w:val="000000" w:themeColor="text1"/>
          <w:lang w:eastAsia="de-DE"/>
        </w:rPr>
      </w:pPr>
    </w:p>
    <w:p w14:paraId="7D03520A" w14:textId="1F92D5A2" w:rsidR="00FC3B31" w:rsidRPr="003E0254" w:rsidRDefault="00FC3B31" w:rsidP="00FC3B31">
      <w:pPr>
        <w:pStyle w:val="berschrift4"/>
        <w:spacing w:line="276" w:lineRule="auto"/>
        <w:rPr>
          <w:b/>
          <w:bCs/>
          <w:i w:val="0"/>
          <w:iCs w:val="0"/>
        </w:rPr>
      </w:pPr>
      <w:r w:rsidRPr="003E0254">
        <w:rPr>
          <w:b/>
          <w:bCs/>
          <w:i w:val="0"/>
          <w:iCs w:val="0"/>
        </w:rPr>
        <w:t>2.</w:t>
      </w:r>
      <w:r w:rsidR="003E4F58" w:rsidRPr="003E0254">
        <w:rPr>
          <w:b/>
          <w:bCs/>
          <w:i w:val="0"/>
          <w:iCs w:val="0"/>
        </w:rPr>
        <w:t>5</w:t>
      </w:r>
      <w:r w:rsidRPr="003E0254">
        <w:rPr>
          <w:b/>
          <w:bCs/>
          <w:i w:val="0"/>
          <w:iCs w:val="0"/>
        </w:rPr>
        <w:t>.1 Anode</w:t>
      </w:r>
    </w:p>
    <w:p w14:paraId="036F53E1" w14:textId="633019CF" w:rsidR="00FC3B31" w:rsidRPr="003E0254" w:rsidRDefault="00FC3B31" w:rsidP="00FC3B31">
      <w:pPr>
        <w:spacing w:line="276" w:lineRule="auto"/>
        <w:jc w:val="both"/>
      </w:pPr>
      <w:r w:rsidRPr="003E0254">
        <w:t xml:space="preserve">The anode is </w:t>
      </w:r>
      <w:r w:rsidR="006D5D40" w:rsidRPr="003E0254">
        <w:t>one of the</w:t>
      </w:r>
      <w:r w:rsidRPr="003E0254">
        <w:t xml:space="preserve"> critical </w:t>
      </w:r>
      <w:proofErr w:type="gramStart"/>
      <w:r w:rsidR="006D5D40" w:rsidRPr="003E0254">
        <w:t>component</w:t>
      </w:r>
      <w:proofErr w:type="gramEnd"/>
      <w:r w:rsidRPr="003E0254">
        <w:t xml:space="preserve"> that influences the efficiency, safety, and cycling stability of zinc</w:t>
      </w:r>
      <w:r w:rsidRPr="003E0254">
        <w:rPr>
          <w:rFonts w:ascii="Cambria Math" w:hAnsi="Cambria Math" w:cs="Cambria Math"/>
        </w:rPr>
        <w:t>‐</w:t>
      </w:r>
      <w:r w:rsidRPr="003E0254">
        <w:t>based redox flow batteries by ensuring uniform and reversible zinc deposition. Drawing upon techniques developed in zinc</w:t>
      </w:r>
      <w:r w:rsidRPr="003E0254">
        <w:rPr>
          <w:rFonts w:ascii="Cambria Math" w:hAnsi="Cambria Math" w:cs="Cambria Math"/>
        </w:rPr>
        <w:t>‐</w:t>
      </w:r>
      <w:r w:rsidRPr="003E0254">
        <w:t>ion battery research, typical anode materials include high-purity zinc foils or sheets, sintered zinc granules, and composite electrodes that integrate porous carbon substrates</w:t>
      </w:r>
      <w:r w:rsidRPr="003E0254">
        <w:rPr>
          <w:rFonts w:ascii="Aptos" w:hAnsi="Aptos" w:cs="Aptos"/>
        </w:rPr>
        <w:t>—</w:t>
      </w:r>
      <w:r w:rsidRPr="003E0254">
        <w:t>such as carbon felts, carbon papers, or even 3D printed scaffolds</w:t>
      </w:r>
      <w:r w:rsidRPr="003E0254">
        <w:rPr>
          <w:rFonts w:ascii="Aptos" w:hAnsi="Aptos" w:cs="Aptos"/>
        </w:rPr>
        <w:t>—</w:t>
      </w:r>
      <w:r w:rsidRPr="003E0254">
        <w:t>with dispersed zinc particles and engineered surface coatings.</w:t>
      </w:r>
      <w:r w:rsidR="00551CE8" w:rsidRPr="003E0254">
        <w:t xml:space="preserve"> In addition to the choice of material, the microstructural and interfacial properties of the anode surface play a key role in guiding zinc nucleation and growth under flow conditions. Recent modeling efforts have shown that the interplay between surface topology and flow-induced ion transport critically influences </w:t>
      </w:r>
      <w:r w:rsidR="00993C8D" w:rsidRPr="003E0254">
        <w:t xml:space="preserve">the </w:t>
      </w:r>
      <w:r w:rsidR="00551CE8" w:rsidRPr="003E0254">
        <w:t>zinc plating behavior. For instance, Mushtaq et al. demonstrated that under flow conditions, the electric field distribution and ion flux at the electrode surface can be shaped by microstructural features of the anode.</w:t>
      </w:r>
      <w:r w:rsidR="00551CE8" w:rsidRPr="003E0254">
        <w:fldChar w:fldCharType="begin" w:fldLock="1"/>
      </w:r>
      <w:r w:rsidR="00500B8D" w:rsidRPr="003E0254">
        <w:instrText>ADDIN CSL_CITATION {"citationItems":[{"id":"ITEM-1","itemData":{"DOI":"10.1016/J.ENSM.2024.103864","ISSN":"2405-8297","abstract":"Despite advancements, dendrite growth at the anode continues to be a persistent roadblock in accelerating the widespread deployment of hybrid flow batteries as the next-generation energy storage solution, due to the significant impact of dendrites on cycling performance and the potential for battery failure. The ability to analyze energy storage systems at micro-to-macro levels offers unprecedented insights into their behavior and performance. Herein, we develop a multiscale model utilizing phase-field method to investigate dendrite formation, growth, and stripping under operational conditions. The Zn-I system is employed to unravel the intricacies of dendrite evolution and its mitigation through strategic utilization of critical battery parameters. Our findings not only uncover precise zinc morphologies but also provide valuable insights into battery performance toward developing a strategy for mitigating dendrite growth and enhancing battery efficiency at high current density. To our knowledge, this is the first work to comprehensively untangle electrodeposition dynamics at multiscale in the field of flow battery and related research. The findings revolutionize our understanding of deposition behavior, driving transformative advancements in hybrid flow battery design and development, with potential applicability to other battery systems.","author":[{"dropping-particle":"","family":"Mushtaq","given":"Faheem","non-dropping-particle":"","parse-names":false,"suffix":""},{"dropping-particle":"","family":"Xiang","given":"Yan","non-dropping-particle":"","parse-names":false,"suffix":""},{"dropping-particle":"","family":"Fahim","given":"Muhammad","non-dropping-particle":"","parse-names":false,"suffix":""},{"dropping-particle":"","family":"Xie","given":"Xian","non-dropping-particle":"","parse-names":false,"suffix":""},{"dropping-particle":"","family":"Zhao","given":"Hong","non-dropping-particle":"","parse-names":false,"suffix":""},{"dropping-particle":"","family":"Daoud","given":"Walid A.","non-dropping-particle":"","parse-names":false,"suffix":""}],"container-title":"Energy Storage Materials","id":"ITEM-1","issued":{"date-parts":[["2024","11","1"]]},"page":"103864","publisher":"Elsevier","title":"Untangling dendrite growth dynamics in hybrid flow batteries","type":"article-journal","volume":"73"},"uris":["http://www.mendeley.com/documents/?uuid=edae6c92-a294-3020-93f7-52bc2a5aa71c"]}],"mendeley":{"formattedCitation":"&lt;sup&gt;[262]&lt;/sup&gt;","plainTextFormattedCitation":"[262]","previouslyFormattedCitation":"&lt;sup&gt;[261]&lt;/sup&gt;"},"properties":{"noteIndex":0},"schema":"https://github.com/citation-style-language/schema/raw/master/csl-citation.json"}</w:instrText>
      </w:r>
      <w:r w:rsidR="00551CE8" w:rsidRPr="003E0254">
        <w:fldChar w:fldCharType="separate"/>
      </w:r>
      <w:r w:rsidR="00500B8D" w:rsidRPr="003E0254">
        <w:rPr>
          <w:noProof/>
          <w:vertAlign w:val="superscript"/>
        </w:rPr>
        <w:t>[262]</w:t>
      </w:r>
      <w:r w:rsidR="00551CE8" w:rsidRPr="003E0254">
        <w:fldChar w:fldCharType="end"/>
      </w:r>
      <w:r w:rsidR="00551CE8" w:rsidRPr="003E0254">
        <w:t xml:space="preserve"> Their multiscale simulations suggest that smoother or engineered surfaces help homogeniz</w:t>
      </w:r>
      <w:r w:rsidR="00993C8D" w:rsidRPr="003E0254">
        <w:t>ing the</w:t>
      </w:r>
      <w:r w:rsidR="00551CE8" w:rsidRPr="003E0254">
        <w:t xml:space="preserve"> local ion concentration and reduc</w:t>
      </w:r>
      <w:r w:rsidR="00993C8D" w:rsidRPr="003E0254">
        <w:t>ing</w:t>
      </w:r>
      <w:r w:rsidR="00551CE8" w:rsidRPr="003E0254">
        <w:t xml:space="preserve"> tip-enhancing field gradients, thereby suppressing the formation of high-energy crystallographic orientations</w:t>
      </w:r>
      <w:r w:rsidR="00993C8D" w:rsidRPr="003E0254">
        <w:t>,</w:t>
      </w:r>
      <w:r w:rsidR="00551CE8" w:rsidRPr="003E0254">
        <w:t xml:space="preserve"> such as (100) and (101), which are commonly linked to dendritic growth. These insights underline the importance of surface engineering strategies</w:t>
      </w:r>
      <w:r w:rsidR="00993C8D" w:rsidRPr="003E0254">
        <w:t>,</w:t>
      </w:r>
      <w:r w:rsidR="00551CE8" w:rsidRPr="003E0254">
        <w:t xml:space="preserve"> not only for morphology control but also for stabilizing </w:t>
      </w:r>
      <w:r w:rsidR="00993C8D" w:rsidRPr="003E0254">
        <w:t xml:space="preserve">the </w:t>
      </w:r>
      <w:r w:rsidR="00551CE8" w:rsidRPr="003E0254">
        <w:t>zinc deposition in hybrid flow battery environments.</w:t>
      </w:r>
    </w:p>
    <w:p w14:paraId="60F19728" w14:textId="6850DD9A" w:rsidR="00FC3B31" w:rsidRPr="003E0254" w:rsidRDefault="00FC3B31" w:rsidP="00FC3B31">
      <w:pPr>
        <w:spacing w:line="276" w:lineRule="auto"/>
        <w:jc w:val="both"/>
      </w:pPr>
      <w:r w:rsidRPr="003E0254">
        <w:t xml:space="preserve">For instance, in an alkaline </w:t>
      </w:r>
      <w:r w:rsidR="00996CC5" w:rsidRPr="003E0254">
        <w:rPr>
          <w:lang w:eastAsia="de-DE"/>
        </w:rPr>
        <w:t xml:space="preserve">Fe||Zn </w:t>
      </w:r>
      <w:r w:rsidRPr="003E0254">
        <w:t>cell,</w:t>
      </w:r>
      <w:r w:rsidRPr="003E0254">
        <w:fldChar w:fldCharType="begin" w:fldLock="1"/>
      </w:r>
      <w:r w:rsidR="00500B8D" w:rsidRPr="003E0254">
        <w:instrText>ADDIN CSL_CITATION {"citationItems":[{"id":"ITEM-1","itemData":{"DOI":"10.1016/J.MTENER.2022.101061","ISSN":"2468-6069","abstract":"A redox flow battery (RFB) system with improved energy density via unlocking the solubility limit of ferrocyanide in combination with low capital cost is demonstrated. Based on the diverse ion effect, the maximum ferrocyanide concentration increases from 0.76 M to 1.46 M at room temperature. By pairing with Zn(OH)42−/Zn redox couple, the proposed alkaline zinc–iron RFB features excellent electrochemical performance, with slow capacity fade rate over 7600 cycles (0.00078% per cycle and 0.23% per day), high energy efficiency of 88.10% at 100 mA/cm2, high energy density (73.64 Wh/L based on the catholyte side), and high power density (656.81 mW/cm2). Additionally, electrolyte cost of the proposed RFB is reduced to be only one tenth of all-vanadium RFBs. From the technoeconomic viewpoint, the present RFB shows promise for commercially storing energy.","author":[{"dropping-particle":"","family":"Wang","given":"Guixiang","non-dropping-particle":"","parse-names":false,"suffix":""},{"dropping-particle":"","family":"Zou","given":"Haitao","non-dropping-particle":"","parse-names":false,"suffix":""},{"dropping-particle":"","family":"Xu","given":"Zhizhao","non-dropping-particle":"","parse-names":false,"suffix":""},{"dropping-particle":"","family":"Tang","given":"Ao","non-dropping-particle":"","parse-names":false,"suffix":""},{"dropping-particle":"","family":"Zhong","given":"Fangfang","non-dropping-particle":"","parse-names":false,"suffix":""},{"dropping-particle":"","family":"Zhu","given":"Xiaobo","non-dropping-particle":"","parse-names":false,"suffix":""},{"dropping-particle":"","family":"Qin","given":"Chengpeng","non-dropping-particle":"","parse-names":false,"suffix":""},{"dropping-particle":"","family":"Ding","given":"Mei","non-dropping-particle":"","parse-names":false,"suffix":""},{"dropping-particle":"","family":"You","given":"Wei","non-dropping-particle":"","parse-names":false,"suffix":""},{"dropping-particle":"","family":"Jia","given":"Chuankun","non-dropping-particle":"","parse-names":false,"suffix":""}],"container-title":"Materials Today Energy","id":"ITEM-1","issued":{"date-parts":[["2022","8","1"]]},"page":"101061","publisher":"Elsevier","title":"Unlocking the solubility limit of ferrocyanide for high energy density redox flow batteries","type":"article-journal","volume":"28"},"uris":["http://www.mendeley.com/documents/?uuid=2223330a-1631-3888-9682-3ecd6977aa3e"]}],"mendeley":{"formattedCitation":"&lt;sup&gt;[263]&lt;/sup&gt;","plainTextFormattedCitation":"[263]","previouslyFormattedCitation":"&lt;sup&gt;[262]&lt;/sup&gt;"},"properties":{"noteIndex":0},"schema":"https://github.com/citation-style-language/schema/raw/master/csl-citation.json"}</w:instrText>
      </w:r>
      <w:r w:rsidRPr="003E0254">
        <w:fldChar w:fldCharType="separate"/>
      </w:r>
      <w:r w:rsidR="00500B8D" w:rsidRPr="003E0254">
        <w:rPr>
          <w:noProof/>
          <w:vertAlign w:val="superscript"/>
        </w:rPr>
        <w:t>[263]</w:t>
      </w:r>
      <w:r w:rsidRPr="003E0254">
        <w:fldChar w:fldCharType="end"/>
      </w:r>
      <w:r w:rsidRPr="003E0254">
        <w:t xml:space="preserve"> a zinc plate operating in a NaOH</w:t>
      </w:r>
      <w:r w:rsidRPr="003E0254">
        <w:rPr>
          <w:rFonts w:ascii="Arial" w:hAnsi="Arial" w:cs="Arial"/>
        </w:rPr>
        <w:t> </w:t>
      </w:r>
      <w:r w:rsidRPr="003E0254">
        <w:t>+</w:t>
      </w:r>
      <w:r w:rsidRPr="003E0254">
        <w:rPr>
          <w:rFonts w:ascii="Arial" w:hAnsi="Arial" w:cs="Arial"/>
        </w:rPr>
        <w:t> </w:t>
      </w:r>
      <w:proofErr w:type="spellStart"/>
      <w:r w:rsidRPr="003E0254">
        <w:t>ZnO</w:t>
      </w:r>
      <w:proofErr w:type="spellEnd"/>
      <w:r w:rsidRPr="003E0254">
        <w:t xml:space="preserve"> electrolyte undergoes the reversible conversion of zincate species (Zn(OH)</w:t>
      </w:r>
      <w:r w:rsidRPr="003E0254">
        <w:rPr>
          <w:rFonts w:ascii="Aptos" w:hAnsi="Aptos" w:cs="Aptos"/>
        </w:rPr>
        <w:t>₄²</w:t>
      </w:r>
      <w:r w:rsidRPr="003E0254">
        <w:rPr>
          <w:rFonts w:ascii="Cambria Math" w:hAnsi="Cambria Math" w:cs="Cambria Math"/>
        </w:rPr>
        <w:t>⁻</w:t>
      </w:r>
      <w:r w:rsidRPr="003E0254">
        <w:t>) to metallic zinc (Zn</w:t>
      </w:r>
      <w:r w:rsidRPr="003E0254">
        <w:rPr>
          <w:rFonts w:ascii="Aptos" w:hAnsi="Aptos" w:cs="Aptos"/>
        </w:rPr>
        <w:t>⁰</w:t>
      </w:r>
      <w:r w:rsidRPr="003E0254">
        <w:t>). This reaction not only provides a broad voltage window</w:t>
      </w:r>
      <w:r w:rsidRPr="003E0254">
        <w:rPr>
          <w:rFonts w:ascii="Aptos" w:hAnsi="Aptos" w:cs="Aptos"/>
        </w:rPr>
        <w:t>—</w:t>
      </w:r>
      <w:r w:rsidRPr="003E0254">
        <w:t>as indicated by the standard potentials of approximately 0.76</w:t>
      </w:r>
      <w:r w:rsidRPr="003E0254">
        <w:rPr>
          <w:rFonts w:ascii="Arial" w:hAnsi="Arial" w:cs="Arial"/>
        </w:rPr>
        <w:t> </w:t>
      </w:r>
      <w:r w:rsidRPr="003E0254">
        <w:t>V for Zn|Zn</w:t>
      </w:r>
      <w:r w:rsidRPr="003E0254">
        <w:rPr>
          <w:rFonts w:ascii="Aptos" w:hAnsi="Aptos" w:cs="Aptos"/>
        </w:rPr>
        <w:t>²</w:t>
      </w:r>
      <w:r w:rsidRPr="003E0254">
        <w:rPr>
          <w:rFonts w:ascii="Cambria Math" w:hAnsi="Cambria Math" w:cs="Cambria Math"/>
        </w:rPr>
        <w:t>⁺</w:t>
      </w:r>
      <w:r w:rsidRPr="003E0254">
        <w:t xml:space="preserve"> and </w:t>
      </w:r>
      <w:r w:rsidRPr="003E0254">
        <w:rPr>
          <w:rFonts w:ascii="Aptos" w:hAnsi="Aptos" w:cs="Aptos"/>
        </w:rPr>
        <w:t>–</w:t>
      </w:r>
      <w:r w:rsidRPr="003E0254">
        <w:t>1.24 V for Zn|[</w:t>
      </w:r>
      <w:proofErr w:type="gramStart"/>
      <w:r w:rsidRPr="003E0254">
        <w:t>Zn(</w:t>
      </w:r>
      <w:proofErr w:type="gramEnd"/>
      <w:r w:rsidRPr="003E0254">
        <w:t>OH)</w:t>
      </w:r>
      <w:r w:rsidRPr="003E0254">
        <w:rPr>
          <w:rFonts w:ascii="Aptos" w:hAnsi="Aptos" w:cs="Aptos"/>
        </w:rPr>
        <w:t>₄</w:t>
      </w:r>
      <w:r w:rsidRPr="003E0254">
        <w:t>]</w:t>
      </w:r>
      <w:r w:rsidRPr="003E0254">
        <w:rPr>
          <w:rFonts w:ascii="Aptos" w:hAnsi="Aptos" w:cs="Aptos"/>
        </w:rPr>
        <w:t>²</w:t>
      </w:r>
      <w:r w:rsidRPr="003E0254">
        <w:rPr>
          <w:rFonts w:ascii="Cambria Math" w:hAnsi="Cambria Math" w:cs="Cambria Math"/>
        </w:rPr>
        <w:t>⁻</w:t>
      </w:r>
      <w:r w:rsidRPr="003E0254">
        <w:t xml:space="preserve"> versus the standard hydrogen electrode (SHE)</w:t>
      </w:r>
      <w:r w:rsidRPr="003E0254">
        <w:rPr>
          <w:rFonts w:ascii="Aptos" w:hAnsi="Aptos" w:cs="Aptos"/>
        </w:rPr>
        <w:t>—</w:t>
      </w:r>
      <w:r w:rsidRPr="003E0254">
        <w:t>but also impacts overall cell efficiency. However, the use of thick (&gt;80</w:t>
      </w:r>
      <w:r w:rsidRPr="003E0254">
        <w:rPr>
          <w:rFonts w:ascii="Arial" w:hAnsi="Arial" w:cs="Arial"/>
        </w:rPr>
        <w:t> </w:t>
      </w:r>
      <w:r w:rsidRPr="003E0254">
        <w:rPr>
          <w:rFonts w:ascii="Aptos" w:hAnsi="Aptos" w:cs="Aptos"/>
        </w:rPr>
        <w:t>µ</w:t>
      </w:r>
      <w:r w:rsidRPr="003E0254">
        <w:t>m) planar foils often limits the active surface area, leading to non-uniform current distribution and dendritic growth that can degrade performance over time.</w:t>
      </w:r>
    </w:p>
    <w:p w14:paraId="2F40D11E" w14:textId="0FDA7F14" w:rsidR="00FC3B31" w:rsidRPr="003E0254" w:rsidRDefault="00FC3B31" w:rsidP="00FC3B31">
      <w:pPr>
        <w:spacing w:line="276" w:lineRule="auto"/>
        <w:jc w:val="both"/>
      </w:pPr>
      <w:r w:rsidRPr="003E0254">
        <w:t>To mitigate these challenges, researchers have employed advanced surface texturing techniques to preferentially expose crystallographic planes such as (002) over (001), which exhibit lower nucleation overpotentials and higher zinc affinity.</w:t>
      </w:r>
      <w:r w:rsidRPr="003E0254">
        <w:fldChar w:fldCharType="begin" w:fldLock="1"/>
      </w:r>
      <w:r w:rsidR="00500B8D" w:rsidRPr="003E0254">
        <w:instrText>ADDIN CSL_CITATION {"citationItems":[{"id":"ITEM-1","itemData":{"DOI":"10.1016/J.JPOWSOUR.2018.03.006","ISSN":"0378-7753","abstract":"Conventional zinc bromide electrolytes offer low ionic conductivity and often trigger severe zinc dendrite growth in zinc-bromine flow batteries. Here we report an improved electrolyte modified with methanesulfonic acid, which not only improves the electrolyte conductivity but also ameliorates zinc dendrite. Experimental results also reveal that the kinetics and reversibility of Zn2+/Zn and Br2/Br− are improved in this modified electrolyte. Moreover, the battery's internal resistance is significantly reduced from 4.9 to 2.0 Ω cm2 after adding 1 M methanesulfonic acid, thus leading to an improved energy efficiency from 64% to 75% at a current density of 40 mA cm−2. More impressively, the battery is capable of delivering an energy efficiency of about 78% at a current density of as high as 80 mA cm−2 when the electrode is replaced by a thermally treated one. Additionally, zinc dendrite growth is found to be effectively suppressed in methanesulfonic acid supported media, which, as a result, enables the battery to be operated for 50 cycles without degradation, whereas the one without methanesulfonic acid suffers from significant decay after only 40 cycles, primarily due to severe zinc dendrite growth. These superior results indicate methanesulfonic acid is a promising supporting electrolyte for zinc-bromine flow batteries.","author":[{"dropping-particle":"","family":"Wu","given":"M. C.","non-dropping-particle":"","parse-names":false,"suffix":""},{"dropping-particle":"","family":"Zhao","given":"T. S.","non-dropping-particle":"","parse-names":false,"suffix":""},{"dropping-particle":"","family":"Wei","given":"L.","non-dropping-particle":"","parse-names":false,"suffix":""},{"dropping-particle":"","family":"Jiang","given":"H. R.","non-dropping-particle":"","parse-names":false,"suffix":""},{"dropping-particle":"","family":"Zhang","given":"R. H.","non-dropping-particle":"","parse-names":false,"suffix":""}],"container-title":"Journal of Power Sources","id":"ITEM-1","issued":{"date-parts":[["2018","4","30"]]},"page":"232-239","publisher":"Elsevier","title":"Improved electrolyte for zinc-bromine flow batteries","type":"article-journal","volume":"384"},"uris":["http://www.mendeley.com/documents/?uuid=b6e7e0f0-f207-3d89-b4ac-244f79c0c1a2"]}],"mendeley":{"formattedCitation":"&lt;sup&gt;[264]&lt;/sup&gt;","plainTextFormattedCitation":"[264]","previouslyFormattedCitation":"&lt;sup&gt;[263]&lt;/sup&gt;"},"properties":{"noteIndex":0},"schema":"https://github.com/citation-style-language/schema/raw/master/csl-citation.json"}</w:instrText>
      </w:r>
      <w:r w:rsidRPr="003E0254">
        <w:fldChar w:fldCharType="separate"/>
      </w:r>
      <w:r w:rsidR="00500B8D" w:rsidRPr="003E0254">
        <w:rPr>
          <w:noProof/>
          <w:vertAlign w:val="superscript"/>
        </w:rPr>
        <w:t>[264]</w:t>
      </w:r>
      <w:r w:rsidRPr="003E0254">
        <w:fldChar w:fldCharType="end"/>
      </w:r>
      <w:r w:rsidRPr="003E0254">
        <w:t xml:space="preserve"> Such texturing promotes more uniform zinc deposition and reduces the risk of dendrite formation. Additionally, composite electrode designs that directly incorporate zinc powder into porous matrices have been developed, thereby increasing the effective active surface area and enabling higher mass loadings. These approaches also benefit from the inclusion of tailored additives that modify the electrode–electrolyte interface, further suppressing dendrite formation and enhancing plating/stripping reversibility.</w:t>
      </w:r>
    </w:p>
    <w:p w14:paraId="64A341D7" w14:textId="323F248E" w:rsidR="00FC3B31" w:rsidRPr="003E0254" w:rsidRDefault="00FC3B31" w:rsidP="00FC3B31">
      <w:pPr>
        <w:spacing w:line="276" w:lineRule="auto"/>
        <w:jc w:val="both"/>
      </w:pPr>
      <w:r w:rsidRPr="003E0254">
        <w:t xml:space="preserve">In </w:t>
      </w:r>
      <w:r w:rsidR="00996CC5" w:rsidRPr="003E0254">
        <w:t>Ce</w:t>
      </w:r>
      <w:r w:rsidR="00996CC5" w:rsidRPr="003E0254">
        <w:rPr>
          <w:lang w:eastAsia="de-DE"/>
        </w:rPr>
        <w:t>||Zn</w:t>
      </w:r>
      <w:r w:rsidRPr="003E0254">
        <w:t xml:space="preserve"> systems,</w:t>
      </w:r>
      <w:r w:rsidRPr="003E0254">
        <w:fldChar w:fldCharType="begin" w:fldLock="1"/>
      </w:r>
      <w:r w:rsidR="00500B8D" w:rsidRPr="003E0254">
        <w:instrText>ADDIN CSL_CITATION {"citationItems":[{"id":"ITEM-1","itemData":{"DOI":"10.1039/C4EE00165F","ISSN":"1754-5706","abstract":"Here we present a multiple ion-exchange membrane (IEM) cell design for redox flow batteries (RFBs) that can generally accommodate redox pair combinations with any mixed ion charges. This design also allows flexible choice of electrolytes such as an acid electrolyte at one electrode while a base in the other. More specifically, the double-IEM cell with one anion-exchange membrane (AEM), one cation-exchange membrane (CEM), and a middle electrolyte in between can work with all redox pairs except for the case of two hybrid redox pairs (i.e., an anion–cation pair vs. an anion–cation pair). For the combination of two hybrid pairs, a triple-IEM cell with three membranes (CEM/AEM/CEM or AEM/CEM/AEM) and two middle electrolytes is needed. The double- and triple-IEM cells bring unprecedented freedom in choosing redox pairs and supporting electrolytes. Of particular importance, two featured aqueous RFBs are demonstrated here: (1) ultra-high voltage zinc–cerium RFB with 3.08 V standard cell voltage, the highest among all known aqueous RFBs; and (2) ultra-low cost sulfur–iron RFB with 1.22 V standard cell voltage, with two highly available elements (iron and sulfur are the 1st and 5th most produced elements worldwide, respectively).","author":[{"dropping-particle":"","family":"Gu","given":"Shuang","non-dropping-particle":"","parse-names":false,"suffix":""},{"dropping-particle":"","family":"Gong","given":"Ke","non-dropping-particle":"","parse-names":false,"suffix":""},{"dropping-particle":"","family":"Yan","given":"Emily Z.","non-dropping-particle":"","parse-names":false,"suffix":""},{"dropping-particle":"","family":"Yan","given":"Yushan","non-dropping-particle":"","parse-names":false,"suffix":""}],"container-title":"Energy &amp; Environmental Science","id":"ITEM-1","issue":"9","issued":{"date-parts":[["2014","8","13"]]},"page":"2986-2998","publisher":"The Royal Society of Chemistry","title":"A multiple ion-exchange membrane design for redox flow batteries","type":"article-journal","volume":"7"},"uris":["http://www.mendeley.com/documents/?uuid=a9a34b5b-dfec-465d-8661-89babb4a7312"]}],"mendeley":{"formattedCitation":"&lt;sup&gt;[256]&lt;/sup&gt;","plainTextFormattedCitation":"[256]","previouslyFormattedCitation":"&lt;sup&gt;[255]&lt;/sup&gt;"},"properties":{"noteIndex":0},"schema":"https://github.com/citation-style-language/schema/raw/master/csl-citation.json"}</w:instrText>
      </w:r>
      <w:r w:rsidRPr="003E0254">
        <w:fldChar w:fldCharType="separate"/>
      </w:r>
      <w:r w:rsidR="00500B8D" w:rsidRPr="003E0254">
        <w:rPr>
          <w:noProof/>
          <w:vertAlign w:val="superscript"/>
        </w:rPr>
        <w:t>[256]</w:t>
      </w:r>
      <w:r w:rsidRPr="003E0254">
        <w:fldChar w:fldCharType="end"/>
      </w:r>
      <w:r w:rsidRPr="003E0254">
        <w:t xml:space="preserve"> innovative strategies, such as the use of cadmium-plated copper substrates under alkaline conditions, have been implemented to overcome the challenges imposed by high pH gradients. These substrates help </w:t>
      </w:r>
      <w:r w:rsidR="00534DC9" w:rsidRPr="003E0254">
        <w:t xml:space="preserve">to </w:t>
      </w:r>
      <w:r w:rsidRPr="003E0254">
        <w:t>achiev</w:t>
      </w:r>
      <w:r w:rsidR="00534DC9" w:rsidRPr="003E0254">
        <w:t>e</w:t>
      </w:r>
      <w:r w:rsidRPr="003E0254">
        <w:t xml:space="preserve"> </w:t>
      </w:r>
      <w:r w:rsidR="00534DC9" w:rsidRPr="003E0254">
        <w:t xml:space="preserve">a </w:t>
      </w:r>
      <w:r w:rsidRPr="003E0254">
        <w:t xml:space="preserve">more homogeneous zinc deposition while mitigating corrosion and uneven growth. Moreover, emerging strategies involving three-dimensional (3D) architectures—such as </w:t>
      </w:r>
      <w:r w:rsidRPr="003E0254">
        <w:lastRenderedPageBreak/>
        <w:t>sintered zinc sponges, amine-functionalized carbon cloth, or 3D printed nickel/copper current collectors—demonstrate promising improvements by reducing local current densities and ensuring robust mechanical integrity during cycling.</w:t>
      </w:r>
      <w:r w:rsidRPr="003E0254">
        <w:fldChar w:fldCharType="begin" w:fldLock="1"/>
      </w:r>
      <w:r w:rsidR="00500B8D" w:rsidRPr="003E0254">
        <w:instrText>ADDIN CSL_CITATION {"citationItems":[{"id":"ITEM-1","itemData":{"DOI":"10.1021/ACSENERGYLETT.2C01347/ASSET/IMAGES/LARGE/NZ2C01347_0006.JPEG","ISSN":"23808195","abstract":"Zinc-air batteries (ZABs) have recently attracted revived interest. However, critical issues pertaining to the labile zinc anode and sluggish air cathode have yet to be adequately addressed. Here, we demonstrate a redox-mediated zinc-air fuel cell (RM-ZAFC) to tackle the above problems. Upon operation, the complex cobalt triisopropanolamine serves as an electrolyte-borne electron carrier and homogeneous catalyst to boost the 4e-oxygen reduction reaction in a separate gas diffusion tank, which makes the system free of a sophisticated air electrode. With mediation by the ultrafast reaction with a phenazine derivative, zinc could be liberated from the electrode to a separate \"fuel\" tank at high utilization (&gt;90%), making it feasible to be \"refueled\" after it is depleted. Above all, RM-ZAFC has the combined advantages of both ZABs and alkaline fuel cells and can operate with high energy density, good flexibility, scalability and safety at low cost and thus is promising for various energy storage applications.","author":[{"dropping-particle":"","family":"Zhang","given":"Hang","non-dropping-particle":"","parse-names":false,"suffix":""},{"dropping-particle":"","family":"Huang","given":"Shiqiang","non-dropping-particle":"","parse-names":false,"suffix":""},{"dropping-particle":"","family":"Salla","given":"Manohar","non-dropping-particle":"","parse-names":false,"suffix":""},{"dropping-particle":"","family":"Zhuang","given":"Jiahao","non-dropping-particle":"","parse-names":false,"suffix":""},{"dropping-particle":"","family":"Gao","given":"Mengqi","non-dropping-particle":"","parse-names":false,"suffix":""},{"dropping-particle":"","family":"Lek","given":"Dao Gen","non-dropping-particle":"","parse-names":false,"suffix":""},{"dropping-particle":"","family":"Ye","given":"Hualin","non-dropping-particle":"","parse-names":false,"suffix":""},{"dropping-particle":"","family":"Wang","given":"Qing","non-dropping-particle":"","parse-names":false,"suffix":""}],"container-title":"ACS Energy Letters","id":"ITEM-1","issue":"8","issued":{"date-parts":[["2022","8","12"]]},"page":"2565-2575","publisher":"American Chemical Society","title":"A Redox-Mediated Zinc-Air Fuel Cell","type":"article-journal","volume":"7"},"uris":["http://www.mendeley.com/documents/?uuid=aebdf500-97e1-30fc-9e63-296ada2e94ee"]}],"mendeley":{"formattedCitation":"&lt;sup&gt;[265]&lt;/sup&gt;","plainTextFormattedCitation":"[265]","previouslyFormattedCitation":"&lt;sup&gt;[264]&lt;/sup&gt;"},"properties":{"noteIndex":0},"schema":"https://github.com/citation-style-language/schema/raw/master/csl-citation.json"}</w:instrText>
      </w:r>
      <w:r w:rsidRPr="003E0254">
        <w:fldChar w:fldCharType="separate"/>
      </w:r>
      <w:r w:rsidR="00500B8D" w:rsidRPr="003E0254">
        <w:rPr>
          <w:noProof/>
          <w:vertAlign w:val="superscript"/>
        </w:rPr>
        <w:t>[265]</w:t>
      </w:r>
      <w:r w:rsidRPr="003E0254">
        <w:fldChar w:fldCharType="end"/>
      </w:r>
    </w:p>
    <w:p w14:paraId="6929A09B" w14:textId="071FF5C0" w:rsidR="00FC3B31" w:rsidRPr="003E0254" w:rsidRDefault="00FC3B31">
      <w:pPr>
        <w:spacing w:line="276" w:lineRule="auto"/>
        <w:jc w:val="both"/>
      </w:pPr>
      <w:r w:rsidRPr="003E0254">
        <w:t>Collectively, these advanced materials and structural modifications are essential for attaining stable, high-efficiency zinc deposition, ultimately enhancing the performance and durability of zinc</w:t>
      </w:r>
      <w:r w:rsidRPr="003E0254">
        <w:rPr>
          <w:rFonts w:ascii="Cambria Math" w:hAnsi="Cambria Math" w:cs="Cambria Math"/>
        </w:rPr>
        <w:t>‐</w:t>
      </w:r>
      <w:r w:rsidRPr="003E0254">
        <w:t>based redox flow batteries for large</w:t>
      </w:r>
      <w:r w:rsidRPr="003E0254">
        <w:rPr>
          <w:rFonts w:ascii="Cambria Math" w:hAnsi="Cambria Math" w:cs="Cambria Math"/>
        </w:rPr>
        <w:t>‐</w:t>
      </w:r>
      <w:r w:rsidRPr="003E0254">
        <w:t>scale energy storage applications.</w:t>
      </w:r>
    </w:p>
    <w:p w14:paraId="58FFD5CF" w14:textId="77777777" w:rsidR="00DF7C26" w:rsidRPr="003E0254" w:rsidRDefault="00DF7C26">
      <w:pPr>
        <w:spacing w:line="276" w:lineRule="auto"/>
        <w:jc w:val="both"/>
      </w:pPr>
    </w:p>
    <w:p w14:paraId="0F89E6DA" w14:textId="133C7F86" w:rsidR="008902B0" w:rsidRPr="003E0254" w:rsidRDefault="008902B0" w:rsidP="008902B0">
      <w:pPr>
        <w:pStyle w:val="berschrift4"/>
        <w:spacing w:line="276" w:lineRule="auto"/>
        <w:rPr>
          <w:b/>
          <w:bCs/>
          <w:i w:val="0"/>
          <w:iCs w:val="0"/>
        </w:rPr>
      </w:pPr>
      <w:r w:rsidRPr="003E0254">
        <w:rPr>
          <w:b/>
          <w:bCs/>
          <w:i w:val="0"/>
          <w:iCs w:val="0"/>
        </w:rPr>
        <w:t>2.</w:t>
      </w:r>
      <w:r w:rsidR="003E4F58" w:rsidRPr="003E0254">
        <w:rPr>
          <w:b/>
          <w:bCs/>
          <w:i w:val="0"/>
          <w:iCs w:val="0"/>
        </w:rPr>
        <w:t>5</w:t>
      </w:r>
      <w:r w:rsidRPr="003E0254">
        <w:rPr>
          <w:b/>
          <w:bCs/>
          <w:i w:val="0"/>
          <w:iCs w:val="0"/>
        </w:rPr>
        <w:t>.2 Cathode</w:t>
      </w:r>
    </w:p>
    <w:p w14:paraId="3869F357" w14:textId="4F10F512" w:rsidR="008902B0" w:rsidRPr="003E0254" w:rsidRDefault="008902B0" w:rsidP="008902B0">
      <w:pPr>
        <w:spacing w:line="276" w:lineRule="auto"/>
        <w:jc w:val="both"/>
      </w:pPr>
      <w:r w:rsidRPr="003E0254">
        <w:t>The cathode influences mainly the overall performance and efficiency of zinc</w:t>
      </w:r>
      <w:r w:rsidRPr="003E0254">
        <w:rPr>
          <w:rFonts w:ascii="Cambria Math" w:hAnsi="Cambria Math" w:cs="Cambria Math"/>
        </w:rPr>
        <w:t>‐</w:t>
      </w:r>
      <w:r w:rsidRPr="003E0254">
        <w:t xml:space="preserve">based redox flow cells by </w:t>
      </w:r>
      <w:r w:rsidRPr="003E0254">
        <w:rPr>
          <w:rFonts w:ascii="Aptos" w:hAnsi="Aptos" w:cs="Aptos"/>
        </w:rPr>
        <w:t>“</w:t>
      </w:r>
      <w:r w:rsidRPr="003E0254">
        <w:t>catalyzing</w:t>
      </w:r>
      <w:r w:rsidRPr="003E0254">
        <w:rPr>
          <w:rFonts w:ascii="Aptos" w:hAnsi="Aptos" w:cs="Aptos"/>
        </w:rPr>
        <w:t>”</w:t>
      </w:r>
      <w:r w:rsidRPr="003E0254">
        <w:t xml:space="preserve"> the redox reactions of the catholyte. A wide range of materials is employed to fabricate high-performance cathodes, including carbon</w:t>
      </w:r>
      <w:r w:rsidRPr="003E0254">
        <w:rPr>
          <w:rFonts w:ascii="Cambria Math" w:hAnsi="Cambria Math" w:cs="Cambria Math"/>
        </w:rPr>
        <w:t>‐</w:t>
      </w:r>
      <w:r w:rsidRPr="003E0254">
        <w:t>based electrodes (such as carbon felt, carbon paper, and graphite), metal</w:t>
      </w:r>
      <w:r w:rsidRPr="003E0254">
        <w:rPr>
          <w:rFonts w:ascii="Cambria Math" w:hAnsi="Cambria Math" w:cs="Cambria Math"/>
        </w:rPr>
        <w:t>‐</w:t>
      </w:r>
      <w:r w:rsidRPr="003E0254">
        <w:t>based catalysts, and conductive polymers. The ideal cathode material must exhibit high electrochemical activity, excellent electrical conductivity, robust chemical stability in the selected electrolyte, and resistance to parasitic side reactions, as illustrated in the performance-related tables. Highly porous carbon materials—such as carbon felts and graphene</w:t>
      </w:r>
      <w:r w:rsidRPr="003E0254">
        <w:rPr>
          <w:rFonts w:ascii="Cambria Math" w:hAnsi="Cambria Math" w:cs="Cambria Math"/>
        </w:rPr>
        <w:t>‐</w:t>
      </w:r>
      <w:r w:rsidRPr="003E0254">
        <w:t>based structures</w:t>
      </w:r>
      <w:r w:rsidRPr="003E0254">
        <w:rPr>
          <w:rFonts w:ascii="Aptos" w:hAnsi="Aptos" w:cs="Aptos"/>
        </w:rPr>
        <w:t>—</w:t>
      </w:r>
      <w:r w:rsidRPr="003E0254">
        <w:t>are particularly attractive due to their large active surface area, tunable surface chemistry, and superior mass transport properties. For instance, in an alkaline</w:t>
      </w:r>
      <w:r w:rsidR="00996CC5" w:rsidRPr="003E0254">
        <w:t xml:space="preserve"> </w:t>
      </w:r>
      <w:r w:rsidRPr="003E0254">
        <w:t>Br</w:t>
      </w:r>
      <w:r w:rsidRPr="003E0254">
        <w:rPr>
          <w:rFonts w:ascii="Aptos" w:hAnsi="Aptos" w:cs="Aptos"/>
        </w:rPr>
        <w:t>₂</w:t>
      </w:r>
      <w:r w:rsidR="00996CC5" w:rsidRPr="003E0254">
        <w:rPr>
          <w:lang w:eastAsia="de-DE"/>
        </w:rPr>
        <w:t>||Zn</w:t>
      </w:r>
      <w:r w:rsidRPr="003E0254">
        <w:t xml:space="preserve"> cell reported by </w:t>
      </w:r>
      <w:proofErr w:type="spellStart"/>
      <w:r w:rsidRPr="003E0254">
        <w:t>Thamizhselvan</w:t>
      </w:r>
      <w:proofErr w:type="spellEnd"/>
      <w:r w:rsidRPr="003E0254">
        <w:t xml:space="preserve"> et al.,</w:t>
      </w:r>
      <w:r w:rsidRPr="003E0254">
        <w:fldChar w:fldCharType="begin" w:fldLock="1"/>
      </w:r>
      <w:r w:rsidR="00500B8D" w:rsidRPr="003E0254">
        <w:instrText>ADDIN CSL_CITATION {"citationItems":[{"id":"ITEM-1","itemData":{"DOI":"10.1016/J.ELECTACTA.2022.141799","ISSN":"0013-4686","abstract":"Environmentally benign, affordable alkaline Zn(OH)42−/Zn redox flow battery (RFB) remain a promising energy storage system for stationary applications owing to it's two electron transfer abilities having redox potential (-1.26 V vs SHE) with 820 Ahkg−1 theoretical capacity. It is hypothesized that meticulously tailoring the pH of the anolyte from neutral to alkaline medium could significantly lower the redox potential of zinc from -0.76 V vs standard hydrogen potential (SHE) to -1.26 V adding 500 mV to the conventional RFB systems significantly improving overall energy density. Herein, a new hybrid alkaline based ZnBr2 redox flow battery (AZBB) is demonstrated by pairing Zn(OH)42−/Zn redox couple as anolyte with 2Br−/Br2 redox couple as catholyte with exceptionally high (2.34 V) cell voltage. Very interestingly, AZBB shows a higher charging voltage of 2.47 V and discharge voltage of 2.1 V at current density of 40 mA cm−2 with 88 % coulombic efficiency, 79 % voltage efficiency and 70 % energy efficiency. Even at high current density of 120 mA cm−2, the AZBB shows a coulombic efficiency of 90 %, voltage efficiency of 52% and energy efficiency 46 % with the high discharge voltage of 1.75 V. More importantly, the new hybrid alkaline based ZnBr2 redox flow battery stably runs 500 cycles at 20 mA cm−2 with the coulombic efficiency of 73 %, voltage efficiency of 80 % and energy efficiency of 58 %. Thus, the new strategy of fine tuning the pH of electrolytes leads to an efficient route to achieve higher cell voltage with 27 % high energy density RFB systems.","author":[{"dropping-particle":"","family":"Thamizhselvan","given":"Rahul","non-dropping-particle":"","parse-names":false,"suffix":""},{"dropping-particle":"","family":"Naresh","given":"Raghupandiyan","non-dropping-particle":"","parse-names":false,"suffix":""},{"dropping-particle":"","family":"Ulaganathan","given":"Mani","non-dropping-particle":"","parse-names":false,"suffix":""},{"dropping-particle":"","family":"Pol","given":"Vilas G.","non-dropping-particle":"","parse-names":false,"suffix":""},{"dropping-particle":"","family":"Ragupathy","given":"Pitchai","non-dropping-particle":"","parse-names":false,"suffix":""}],"container-title":"Electrochimica Acta","id":"ITEM-1","issued":{"date-parts":[["2023","2","10"]]},"page":"141799","publisher":"Pergamon","title":"Achieving Exceptional Cell Voltage (2.34 V) through Tailoring pH of Aqueous Zn-Br2 Redox Flow Battery for Potential Large-Scale Energy Storage","type":"article-journal","volume":"441"},"uris":["http://www.mendeley.com/documents/?uuid=4ce32a48-d9c4-30e7-a0a3-6286d942a146"]}],"mendeley":{"formattedCitation":"&lt;sup&gt;[266]&lt;/sup&gt;","plainTextFormattedCitation":"[266]","previouslyFormattedCitation":"&lt;sup&gt;[265]&lt;/sup&gt;"},"properties":{"noteIndex":0},"schema":"https://github.com/citation-style-language/schema/raw/master/csl-citation.json"}</w:instrText>
      </w:r>
      <w:r w:rsidRPr="003E0254">
        <w:fldChar w:fldCharType="separate"/>
      </w:r>
      <w:r w:rsidR="00500B8D" w:rsidRPr="003E0254">
        <w:rPr>
          <w:noProof/>
          <w:vertAlign w:val="superscript"/>
        </w:rPr>
        <w:t>[266]</w:t>
      </w:r>
      <w:r w:rsidRPr="003E0254">
        <w:fldChar w:fldCharType="end"/>
      </w:r>
      <w:r w:rsidRPr="003E0254">
        <w:t xml:space="preserve"> carbon felt facilitates the necessary reaction 3 Br</w:t>
      </w:r>
      <w:r w:rsidRPr="003E0254">
        <w:rPr>
          <w:rFonts w:ascii="Cambria Math" w:hAnsi="Cambria Math" w:cs="Cambria Math"/>
        </w:rPr>
        <w:t>⁻</w:t>
      </w:r>
      <w:r w:rsidRPr="003E0254">
        <w:t xml:space="preserve"> </w:t>
      </w:r>
      <w:r w:rsidRPr="003E0254">
        <w:rPr>
          <w:rFonts w:ascii="Cambria Math" w:hAnsi="Cambria Math" w:cs="Cambria Math"/>
        </w:rPr>
        <w:t>⇔</w:t>
      </w:r>
      <w:r w:rsidRPr="003E0254">
        <w:t xml:space="preserve"> Br</w:t>
      </w:r>
      <w:r w:rsidRPr="003E0254">
        <w:rPr>
          <w:rFonts w:ascii="Aptos" w:hAnsi="Aptos" w:cs="Aptos"/>
        </w:rPr>
        <w:t>₃</w:t>
      </w:r>
      <w:r w:rsidRPr="003E0254">
        <w:rPr>
          <w:rFonts w:ascii="Cambria Math" w:hAnsi="Cambria Math" w:cs="Cambria Math"/>
        </w:rPr>
        <w:t>⁻</w:t>
      </w:r>
      <w:r w:rsidRPr="003E0254">
        <w:t xml:space="preserve"> to achieve at high cell voltage of 2.34 V with current densities between 20 and 120</w:t>
      </w:r>
      <w:r w:rsidRPr="003E0254">
        <w:rPr>
          <w:rFonts w:ascii="Arial" w:hAnsi="Arial" w:cs="Arial"/>
        </w:rPr>
        <w:t> </w:t>
      </w:r>
      <w:r w:rsidRPr="003E0254">
        <w:t>mA cm</w:t>
      </w:r>
      <w:r w:rsidRPr="003E0254">
        <w:rPr>
          <w:rFonts w:ascii="Cambria Math" w:hAnsi="Cambria Math" w:cs="Cambria Math"/>
        </w:rPr>
        <w:t>⁻</w:t>
      </w:r>
      <w:r w:rsidRPr="003E0254">
        <w:rPr>
          <w:rFonts w:ascii="Aptos" w:hAnsi="Aptos" w:cs="Aptos"/>
        </w:rPr>
        <w:t>²</w:t>
      </w:r>
      <w:r w:rsidRPr="003E0254">
        <w:t>, maintaining an energy efficiency of about 55% over 500 cycles. In contrast, Ni</w:t>
      </w:r>
      <w:r w:rsidR="00996CC5" w:rsidRPr="003E0254">
        <w:rPr>
          <w:lang w:eastAsia="de-DE"/>
        </w:rPr>
        <w:t>||Zn</w:t>
      </w:r>
      <w:r w:rsidRPr="003E0254">
        <w:t xml:space="preserve"> systems, as demonstrated by Cheng et al.,</w:t>
      </w:r>
      <w:r w:rsidRPr="003E0254">
        <w:fldChar w:fldCharType="begin" w:fldLock="1"/>
      </w:r>
      <w:r w:rsidR="00500B8D" w:rsidRPr="003E0254">
        <w:instrText>ADDIN CSL_CITATION {"citationItems":[{"id":"ITEM-1","itemData":{"DOI":"10.1016/J.NANOEN.2019.06.018","ISSN":"2211-2855","abstract":"Zinc nickel flow battery is one of the most promising energy storage technologies for intermittently renewable solar and wind power. However, unpaired coulombic efficiency of nickel hydroxide cathode and zinc anode causes zinc accumulation in practical operation, which shortens the cycle life and impedes the commercialization of the battery. Here, we induce an additional O2/OH− redox couple integrated with NiOOH/Ni(OH)2 as cathode energy storage materials. Benefit from the new reaction mechanism of the hybrid cathode, deposited zinc upon charge can be fully consumed during discharge, which completely avoids zinc accumulation issue. The new designed battery vigorously operates for more than 1100 h with negligible performance degradation, while the energy efficiency of pristine zinc-nickel flow battery dramatically reduces after 440 h. More importantly, the specific capacity of the cathode synchronously increases by 2.5 times and thereby the energy density. This system dexterously integrates dual redox couples into one hybrid unit at cathode complementing advantages of one another, demonstrating a broader method to solve the problem of unpaired coulombic efficiency in zinc based flow batteries.","author":[{"dropping-particle":"","family":"Cheng","given":"Yuanhui","non-dropping-particle":"","parse-names":false,"suffix":""},{"dropping-particle":"","family":"Zhang","given":"Ningyuan","non-dropping-particle":"","parse-names":false,"suffix":""},{"dropping-particle":"","family":"Wang","given":"Qiuli","non-dropping-particle":"","parse-names":false,"suffix":""},{"dropping-particle":"","family":"Guo","given":"Yinjian","non-dropping-particle":"","parse-names":false,"suffix":""},{"dropping-particle":"","family":"Tao","given":"Shuo","non-dropping-particle":"","parse-names":false,"suffix":""},{"dropping-particle":"","family":"Liao","given":"Zhijian","non-dropping-particle":"","parse-names":false,"suffix":""},{"dropping-particle":"","family":"Jiang","given":"Peng","non-dropping-particle":"","parse-names":false,"suffix":""},{"dropping-particle":"","family":"Xiang","given":"Zhonghua","non-dropping-particle":"","parse-names":false,"suffix":""}],"container-title":"Nano Energy","id":"ITEM-1","issued":{"date-parts":[["2019","9","1"]]},"page":"103822","publisher":"Elsevier","title":"A long-life hybrid zinc flow battery achieved by dual redox couples at cathode","type":"article-journal","volume":"63"},"uris":["http://www.mendeley.com/documents/?uuid=fc9b9694-3a2b-38c1-b102-0744dda786a7"]}],"mendeley":{"formattedCitation":"&lt;sup&gt;[267]&lt;/sup&gt;","plainTextFormattedCitation":"[267]","previouslyFormattedCitation":"&lt;sup&gt;[266]&lt;/sup&gt;"},"properties":{"noteIndex":0},"schema":"https://github.com/citation-style-language/schema/raw/master/csl-citation.json"}</w:instrText>
      </w:r>
      <w:r w:rsidRPr="003E0254">
        <w:fldChar w:fldCharType="separate"/>
      </w:r>
      <w:r w:rsidR="00500B8D" w:rsidRPr="003E0254">
        <w:rPr>
          <w:noProof/>
          <w:vertAlign w:val="superscript"/>
        </w:rPr>
        <w:t>[267]</w:t>
      </w:r>
      <w:r w:rsidRPr="003E0254">
        <w:fldChar w:fldCharType="end"/>
      </w:r>
      <w:r w:rsidRPr="003E0254">
        <w:t xml:space="preserve"> utilize a Pt/C</w:t>
      </w:r>
      <w:r w:rsidRPr="003E0254">
        <w:rPr>
          <w:rFonts w:ascii="Cambria Math" w:hAnsi="Cambria Math" w:cs="Cambria Math"/>
        </w:rPr>
        <w:t>‐</w:t>
      </w:r>
      <w:r w:rsidRPr="003E0254">
        <w:t>coated gas diffusion layer that supports a sintered Ni(OH)</w:t>
      </w:r>
      <w:r w:rsidRPr="003E0254">
        <w:rPr>
          <w:rFonts w:ascii="Aptos" w:hAnsi="Aptos" w:cs="Aptos"/>
        </w:rPr>
        <w:t>₂</w:t>
      </w:r>
      <w:r w:rsidRPr="003E0254">
        <w:t>/</w:t>
      </w:r>
      <w:proofErr w:type="spellStart"/>
      <w:r w:rsidRPr="003E0254">
        <w:t>NiOOH</w:t>
      </w:r>
      <w:proofErr w:type="spellEnd"/>
      <w:r w:rsidRPr="003E0254">
        <w:t xml:space="preserve"> catalyst, thereby enabling the reaction 2 Ni(OH)</w:t>
      </w:r>
      <w:r w:rsidRPr="003E0254">
        <w:rPr>
          <w:rFonts w:ascii="Aptos" w:hAnsi="Aptos" w:cs="Aptos"/>
        </w:rPr>
        <w:t>₂</w:t>
      </w:r>
      <w:r w:rsidRPr="003E0254">
        <w:t xml:space="preserve"> + 2 OH</w:t>
      </w:r>
      <w:r w:rsidRPr="003E0254">
        <w:rPr>
          <w:rFonts w:ascii="Cambria Math" w:hAnsi="Cambria Math" w:cs="Cambria Math"/>
        </w:rPr>
        <w:t>⁻</w:t>
      </w:r>
      <w:r w:rsidRPr="003E0254">
        <w:t xml:space="preserve"> </w:t>
      </w:r>
      <w:r w:rsidRPr="003E0254">
        <w:rPr>
          <w:rFonts w:ascii="Cambria Math" w:hAnsi="Cambria Math" w:cs="Cambria Math"/>
        </w:rPr>
        <w:t>⇔</w:t>
      </w:r>
      <w:r w:rsidRPr="003E0254">
        <w:t xml:space="preserve"> 2 </w:t>
      </w:r>
      <w:proofErr w:type="spellStart"/>
      <w:r w:rsidRPr="003E0254">
        <w:t>NiOOH</w:t>
      </w:r>
      <w:proofErr w:type="spellEnd"/>
      <w:r w:rsidRPr="003E0254">
        <w:t xml:space="preserve"> + 2 H</w:t>
      </w:r>
      <w:r w:rsidRPr="003E0254">
        <w:rPr>
          <w:rFonts w:ascii="Aptos" w:hAnsi="Aptos" w:cs="Aptos"/>
        </w:rPr>
        <w:t>₂</w:t>
      </w:r>
      <w:r w:rsidRPr="003E0254">
        <w:t>O + 2e</w:t>
      </w:r>
      <w:r w:rsidRPr="003E0254">
        <w:rPr>
          <w:rFonts w:ascii="Cambria Math" w:hAnsi="Cambria Math" w:cs="Cambria Math"/>
        </w:rPr>
        <w:t>⁻</w:t>
      </w:r>
      <w:r w:rsidRPr="003E0254">
        <w:t xml:space="preserve"> without the need for a physical separator. This approach enhances ion transport and minimizes voltage losses.</w:t>
      </w:r>
    </w:p>
    <w:p w14:paraId="53A928A5" w14:textId="01F6BA49" w:rsidR="008902B0" w:rsidRPr="003E0254" w:rsidRDefault="008902B0" w:rsidP="008902B0">
      <w:pPr>
        <w:spacing w:line="276" w:lineRule="auto"/>
        <w:jc w:val="both"/>
      </w:pPr>
      <w:r w:rsidRPr="003E0254">
        <w:t>For Zn</w:t>
      </w:r>
      <w:r w:rsidR="00F91992" w:rsidRPr="003E0254">
        <w:t>–</w:t>
      </w:r>
      <w:r w:rsidR="00534DC9" w:rsidRPr="003E0254">
        <w:t>o</w:t>
      </w:r>
      <w:r w:rsidRPr="003E0254">
        <w:t xml:space="preserve">rganic systems, cathodes based on a </w:t>
      </w:r>
      <w:proofErr w:type="spellStart"/>
      <w:r w:rsidRPr="003E0254">
        <w:t>Ti₄O</w:t>
      </w:r>
      <w:proofErr w:type="spellEnd"/>
      <w:r w:rsidRPr="003E0254">
        <w:t>₇/</w:t>
      </w:r>
      <w:proofErr w:type="spellStart"/>
      <w:r w:rsidRPr="003E0254">
        <w:t>Ketjenblack</w:t>
      </w:r>
      <w:proofErr w:type="spellEnd"/>
      <w:r w:rsidRPr="003E0254">
        <w:t xml:space="preserve"> catalyst deposited on carbon felt have been successfully paired with a dual electrolyte configuration (using H₂SO₄ and NaCl) to achieve very high current densities (up to 200</w:t>
      </w:r>
      <w:r w:rsidRPr="003E0254">
        <w:rPr>
          <w:rFonts w:ascii="Arial" w:hAnsi="Arial" w:cs="Arial"/>
        </w:rPr>
        <w:t> </w:t>
      </w:r>
      <w:r w:rsidRPr="003E0254">
        <w:t>mA cm</w:t>
      </w:r>
      <w:r w:rsidRPr="003E0254">
        <w:rPr>
          <w:rFonts w:ascii="Cambria Math" w:hAnsi="Cambria Math" w:cs="Cambria Math"/>
        </w:rPr>
        <w:t>⁻</w:t>
      </w:r>
      <w:r w:rsidRPr="003E0254">
        <w:rPr>
          <w:rFonts w:ascii="Aptos" w:hAnsi="Aptos" w:cs="Aptos"/>
        </w:rPr>
        <w:t>²</w:t>
      </w:r>
      <w:r w:rsidRPr="003E0254">
        <w:t>) and cycle numbers exceeding 2000, although the overall energy density is somewhat limited by the molecular weight of the organic redox-active species.</w:t>
      </w:r>
      <w:r w:rsidRPr="003E0254">
        <w:fldChar w:fldCharType="begin" w:fldLock="1"/>
      </w:r>
      <w:r w:rsidR="00500B8D" w:rsidRPr="003E0254">
        <w:instrText>ADDIN CSL_CITATION {"citationItems":[{"id":"ITEM-1","itemData":{"DOI":"10.1002/aenm.201900694","ISSN":"1614-6832","abstract":"Water</w:instrText>
      </w:r>
      <w:r w:rsidR="00500B8D" w:rsidRPr="003E0254">
        <w:rPr>
          <w:rFonts w:ascii="Cambria Math" w:hAnsi="Cambria Math" w:cs="Cambria Math"/>
        </w:rPr>
        <w:instrText>‐</w:instrText>
      </w:r>
      <w:r w:rsidR="00500B8D" w:rsidRPr="003E0254">
        <w:instrText>soluble redox</w:instrText>
      </w:r>
      <w:r w:rsidR="00500B8D" w:rsidRPr="003E0254">
        <w:rPr>
          <w:rFonts w:ascii="Cambria Math" w:hAnsi="Cambria Math" w:cs="Cambria Math"/>
        </w:rPr>
        <w:instrText>‐</w:instrText>
      </w:r>
      <w:r w:rsidR="00500B8D" w:rsidRPr="003E0254">
        <w:instrText>active organic molecules have attracted extensive attention as electrical energy storage alternatives to redox</w:instrText>
      </w:r>
      <w:r w:rsidR="00500B8D" w:rsidRPr="003E0254">
        <w:rPr>
          <w:rFonts w:ascii="Cambria Math" w:hAnsi="Cambria Math" w:cs="Cambria Math"/>
        </w:rPr>
        <w:instrText>‐</w:instrText>
      </w:r>
      <w:r w:rsidR="00500B8D" w:rsidRPr="003E0254">
        <w:instrText>active metals that are low in abundance and high in cost. Here an aqueous zinc</w:instrText>
      </w:r>
      <w:r w:rsidR="00500B8D" w:rsidRPr="003E0254">
        <w:rPr>
          <w:rFonts w:ascii="Aptos" w:hAnsi="Aptos" w:cs="Aptos"/>
        </w:rPr>
        <w:instrText>–</w:instrText>
      </w:r>
      <w:r w:rsidR="00500B8D" w:rsidRPr="003E0254">
        <w:instrText>organic hybrid redox flow battery (RFB) is reported with a positive electrolyte comprising a functionalized 1,4</w:instrText>
      </w:r>
      <w:r w:rsidR="00500B8D" w:rsidRPr="003E0254">
        <w:rPr>
          <w:rFonts w:ascii="Cambria Math" w:hAnsi="Cambria Math" w:cs="Cambria Math"/>
        </w:rPr>
        <w:instrText>‐</w:instrText>
      </w:r>
      <w:r w:rsidR="00500B8D" w:rsidRPr="003E0254">
        <w:instrText>hydroquinone bearing four (dimethylamino)methyl groups dissolved in sulfuric acid. By utilizing a three</w:instrText>
      </w:r>
      <w:r w:rsidR="00500B8D" w:rsidRPr="003E0254">
        <w:rPr>
          <w:rFonts w:ascii="Cambria Math" w:hAnsi="Cambria Math" w:cs="Cambria Math"/>
        </w:rPr>
        <w:instrText>‐</w:instrText>
      </w:r>
      <w:r w:rsidR="00500B8D" w:rsidRPr="003E0254">
        <w:instrText>electrolyte, two</w:instrText>
      </w:r>
      <w:r w:rsidR="00500B8D" w:rsidRPr="003E0254">
        <w:rPr>
          <w:rFonts w:ascii="Cambria Math" w:hAnsi="Cambria Math" w:cs="Cambria Math"/>
        </w:rPr>
        <w:instrText>‐</w:instrText>
      </w:r>
      <w:r w:rsidR="00500B8D" w:rsidRPr="003E0254">
        <w:instrText>membrane configuration this acidic positive electrolyte is effectively paired with an alkaline negative electrolyte comprising a Zn/[Zn(OH) 4 ] 2</w:instrText>
      </w:r>
      <w:r w:rsidR="00500B8D" w:rsidRPr="003E0254">
        <w:rPr>
          <w:rFonts w:ascii="Aptos" w:hAnsi="Aptos" w:cs="Aptos"/>
        </w:rPr>
        <w:instrText>−</w:instrText>
      </w:r>
      <w:r w:rsidR="00500B8D" w:rsidRPr="003E0254">
        <w:instrText xml:space="preserve"> redox couple and a hybrid RFB is operated at a high operating voltage of 2.0 V. It is shown that the electrochemical reversibility and kinetics of the organic redox species can be enhanced by an electrocatalyst, leading to a cyclic voltammetry peak separation as low as 35 mV and enabling an enhanced rate capability.","author":[{"dropping-particle":"","family":"Park","given":"Minjoon","non-dropping-particle":"","parse-names":false,"suffix":""},{"dropping-particle":"","family":"Beh","given":"Eugene S","non-dropping-particle":"","parse-names":false,"suffix":""},{"dropping-particle":"","family":"Fell","given":"Eric M","non-dropping-particle":"","parse-names":false,"suffix":""},{"dropping-particle":"","family":"Jing","given":"Yan","non-dropping-particle":"","parse-names":false,"suffix":""},{"dropping-particle":"","family":"Kerr","given":"Emily F","non-dropping-particle":"","parse-names":false,"suffix":""},{"dropping-particle":"","family":"Porcellinis","given":"Diana","non-dropping-particle":"De","parse-names":false,"suffix":""},{"dropping-particle":"","family":"Goulet","given":"Marc</w:instrText>
      </w:r>
      <w:r w:rsidR="00500B8D" w:rsidRPr="003E0254">
        <w:rPr>
          <w:rFonts w:ascii="Cambria Math" w:hAnsi="Cambria Math" w:cs="Cambria Math"/>
        </w:rPr>
        <w:instrText>‐</w:instrText>
      </w:r>
      <w:r w:rsidR="00500B8D" w:rsidRPr="003E0254">
        <w:instrText>Antoni","non-dropping-particle":"","parse-names":false,"suffix":""},{"dropping-particle":"","family":"Ryu","given":"Jaechan","non-dropping-particle":"","parse-names":false,"suffix":""},{"dropping-particle":"","family":"Wong","given":"Andrew A","non-dropping-particle":"","parse-names":false,"suffix":""},{"dropping-particle":"","family":"Gordon","given":"Roy G","non-dropping-particle":"","parse-names":false,"suffix":""},{"dropping-particle":"","family":"Cho","given":"Jaephil","non-dropping-particle":"","parse-names":false,"suffix":""},{"dropping-particle":"","family":"Aziz","given":"Michael J","non-dropping-particle":"","parse-names":false,"suffix":""}],"container-title":"Advanced Energy Materials","id":"ITEM-1","issue":"25","issued":{"date-parts":[["2019","7","17"]]},"page":"1900694","publisher":"John Wiley &amp; Sons, Ltd","title":"A High Voltage Aqueous Zinc–Organic Hybrid Flow Battery","type":"article-journal","volume":"9"},"uris":["http://www.mendeley.com/documents/?uuid=8159ce8e-8d0b-3808-903f-e16702ad125a"]}],"mendeley":{"formattedCitation":"&lt;sup&gt;[268]&lt;/sup&gt;","plainTextFormattedCitation":"[268]","previouslyFormattedCitation":"&lt;sup&gt;[267]&lt;/sup&gt;"},"properties":{"noteIndex":0},"schema":"https://github.com/citation-style-language/schema/raw/master/csl-citation.json"}</w:instrText>
      </w:r>
      <w:r w:rsidRPr="003E0254">
        <w:fldChar w:fldCharType="separate"/>
      </w:r>
      <w:r w:rsidR="00500B8D" w:rsidRPr="003E0254">
        <w:rPr>
          <w:noProof/>
          <w:vertAlign w:val="superscript"/>
        </w:rPr>
        <w:t>[268]</w:t>
      </w:r>
      <w:r w:rsidRPr="003E0254">
        <w:fldChar w:fldCharType="end"/>
      </w:r>
      <w:r w:rsidRPr="003E0254">
        <w:t xml:space="preserve"> </w:t>
      </w:r>
    </w:p>
    <w:p w14:paraId="76ED47A3" w14:textId="5F3B2425" w:rsidR="00551CE8" w:rsidRPr="003E0254" w:rsidRDefault="008902B0">
      <w:pPr>
        <w:spacing w:line="276" w:lineRule="auto"/>
        <w:jc w:val="both"/>
      </w:pPr>
      <w:r w:rsidRPr="003E0254">
        <w:t>Moreover, transition metal oxides</w:t>
      </w:r>
      <w:r w:rsidR="00534DC9" w:rsidRPr="003E0254">
        <w:t>,</w:t>
      </w:r>
      <w:r w:rsidRPr="003E0254">
        <w:t xml:space="preserve"> such as </w:t>
      </w:r>
      <w:proofErr w:type="spellStart"/>
      <w:r w:rsidRPr="003E0254">
        <w:t>MnO</w:t>
      </w:r>
      <w:proofErr w:type="spellEnd"/>
      <w:r w:rsidRPr="003E0254">
        <w:t xml:space="preserve">₂ and </w:t>
      </w:r>
      <w:proofErr w:type="spellStart"/>
      <w:r w:rsidRPr="003E0254">
        <w:t>Co₃O</w:t>
      </w:r>
      <w:proofErr w:type="spellEnd"/>
      <w:r w:rsidRPr="003E0254">
        <w:t xml:space="preserve">₄, as well as Prussian Blue analogs (PBAs), have shown promising redox activity when coupled with inorganic catholytes like </w:t>
      </w:r>
      <w:proofErr w:type="spellStart"/>
      <w:r w:rsidRPr="003E0254">
        <w:t>FeCl</w:t>
      </w:r>
      <w:proofErr w:type="spellEnd"/>
      <w:r w:rsidRPr="003E0254">
        <w:t xml:space="preserve">₂, </w:t>
      </w:r>
      <w:proofErr w:type="spellStart"/>
      <w:r w:rsidRPr="003E0254">
        <w:t>ZnBr</w:t>
      </w:r>
      <w:proofErr w:type="spellEnd"/>
      <w:r w:rsidRPr="003E0254">
        <w:t xml:space="preserve">₂, or </w:t>
      </w:r>
      <w:proofErr w:type="spellStart"/>
      <w:r w:rsidRPr="003E0254">
        <w:t>ZnI</w:t>
      </w:r>
      <w:proofErr w:type="spellEnd"/>
      <w:r w:rsidRPr="003E0254">
        <w:t xml:space="preserve">₂. In alkaline systems, nickel-based catalysts may further enhance the catalytic activity and long-term stability, while in neutral electrolytes, functionalized carbon materials balance cost-effectiveness with high electrochemical performance. Additionally, the use of organic redox-active species (RAS) enables tailoring of catholyte properties by modifying functional groups, which helps to optimize solubility, minimize crossover, and adjust the redox potential to enhance the volumetric energy density. </w:t>
      </w:r>
      <w:r w:rsidR="00551CE8" w:rsidRPr="003E0254">
        <w:t>A fundamental approach in molecular design relies on basic principles of organic chemistry. For example, electron-withdrawing and electron-donating groups are commonly used to modulate the redox potential via inductive (-</w:t>
      </w:r>
      <w:r w:rsidR="00551CE8" w:rsidRPr="003E0254">
        <w:rPr>
          <w:i/>
        </w:rPr>
        <w:t>I</w:t>
      </w:r>
      <w:r w:rsidR="00551CE8" w:rsidRPr="003E0254">
        <w:rPr>
          <w:vertAlign w:val="superscript"/>
        </w:rPr>
        <w:t xml:space="preserve">EFFECT </w:t>
      </w:r>
      <w:r w:rsidR="00551CE8" w:rsidRPr="003E0254">
        <w:t>and -</w:t>
      </w:r>
      <w:r w:rsidR="00551CE8" w:rsidRPr="003E0254">
        <w:rPr>
          <w:i/>
        </w:rPr>
        <w:t>I</w:t>
      </w:r>
      <w:r w:rsidR="00551CE8" w:rsidRPr="003E0254">
        <w:rPr>
          <w:vertAlign w:val="superscript"/>
        </w:rPr>
        <w:t>EFFECT</w:t>
      </w:r>
      <w:r w:rsidR="00551CE8" w:rsidRPr="003E0254">
        <w:t xml:space="preserve">) and </w:t>
      </w:r>
      <w:proofErr w:type="spellStart"/>
      <w:r w:rsidR="00551CE8" w:rsidRPr="003E0254">
        <w:t>mesomeric</w:t>
      </w:r>
      <w:proofErr w:type="spellEnd"/>
      <w:r w:rsidR="00551CE8" w:rsidRPr="003E0254">
        <w:t xml:space="preserve"> effects,</w:t>
      </w:r>
      <w:r w:rsidR="009B76FC" w:rsidRPr="003E0254">
        <w:fldChar w:fldCharType="begin" w:fldLock="1"/>
      </w:r>
      <w:r w:rsidR="00500B8D" w:rsidRPr="003E0254">
        <w:instrText>ADDIN CSL_CITATION {"citationItems":[{"id":"ITEM-1","itemData":{"ISBN":"978-0-19-927029-3","author":[{"dropping-particle":"","family":"Clayden","given":"Jonathan","non-dropping-particle":"","parse-names":false,"suffix":""},{"dropping-particle":"","family":"Greeves","given":"Nick","non-dropping-particle":"","parse-names":false,"suffix":""},{"dropping-particle":"","family":"Warren","given":"Stuart","non-dropping-particle":"","parse-names":false,"suffix":""}],"id":"ITEM-1","issued":{"date-parts":[["2001"]]},"number-of-pages":"134","publisher":"Oxford University Press","title":"Organic Chemistry","type":"book"},"uris":["http://www.mendeley.com/documents/?uuid=5f3809b2-a36d-4b53-b0f9-597b52b7bd74"]}],"mendeley":{"formattedCitation":"&lt;sup&gt;[269]&lt;/sup&gt;","plainTextFormattedCitation":"[269]","previouslyFormattedCitation":"&lt;sup&gt;[268]&lt;/sup&gt;"},"properties":{"noteIndex":0},"schema":"https://github.com/citation-style-language/schema/raw/master/csl-citation.json"}</w:instrText>
      </w:r>
      <w:r w:rsidR="009B76FC" w:rsidRPr="003E0254">
        <w:fldChar w:fldCharType="separate"/>
      </w:r>
      <w:r w:rsidR="00500B8D" w:rsidRPr="003E0254">
        <w:rPr>
          <w:noProof/>
          <w:vertAlign w:val="superscript"/>
        </w:rPr>
        <w:t>[269]</w:t>
      </w:r>
      <w:r w:rsidR="009B76FC" w:rsidRPr="003E0254">
        <w:fldChar w:fldCharType="end"/>
      </w:r>
      <w:r w:rsidR="00551CE8" w:rsidRPr="003E0254">
        <w:t xml:space="preserve"> thereby adjusting the operational voltage window to match the zinc redox couple. Long alkyl chains or PEG linkers are often introduced to increase </w:t>
      </w:r>
      <w:r w:rsidR="00DF5C81" w:rsidRPr="003E0254">
        <w:t xml:space="preserve">the </w:t>
      </w:r>
      <w:r w:rsidR="00551CE8" w:rsidRPr="003E0254">
        <w:t xml:space="preserve">molecular flexibility and reduce crystal packing tendencies, which enhances solubility by disrupting regular </w:t>
      </w:r>
      <w:r w:rsidR="00551CE8" w:rsidRPr="003E0254">
        <w:lastRenderedPageBreak/>
        <w:t>intermolecular interactions. Additionally, concepts from hard and soft acid–base (HSAB) theory</w:t>
      </w:r>
      <w:r w:rsidR="00A61713" w:rsidRPr="003E0254">
        <w:fldChar w:fldCharType="begin" w:fldLock="1"/>
      </w:r>
      <w:r w:rsidR="00500B8D" w:rsidRPr="003E0254">
        <w:instrText>ADDIN CSL_CITATION {"citationItems":[{"id":"ITEM-1","itemData":{"DOI":"10.1021/JA00905A001/ASSET/JA00905A001.FP.PNG_V03","ISSN":"15205126","abstract":"A number of Lewis acids of diverse types are classified as (a) or (b) following the criterion of Ahrland, Chatt, and Davies. Other, auxiliary criteria are proposed. Class (a) acids prefer to bind to “hard” or nonpolarizable bases. Class (b) acids prefer to bind to “soft” or polarizable bases. Since class (a) acids are themselves “hard” and since class (b) acids are “soft” a simple, useful rule is proposed: hard acids bind strongly to hard bases and soft acids bind strongly to soft bases. The explanations for such behavior include: (1) various degrees of ionic and covalent σ-binding; (2) π-bonding; (3) electron correlation phenomena; (4) solvation effects. © 1963, American Chemical Society. All rights reserved.","author":[{"dropping-particle":"","family":"Pearson","given":"Ralph G.","non-dropping-particle":"","parse-names":false,"suffix":""}],"container-title":"Journal of the American Chemical Society","id":"ITEM-1","issue":"22","issued":{"date-parts":[["1963","11","1"]]},"page":"3533-3539","publisher":" American Chemical Society ","title":"Hard and Soft Acids and Bases","type":"article-journal","volume":"85"},"uris":["http://www.mendeley.com/documents/?uuid=52976ec6-e056-300c-afaa-59642f09243d"]}],"mendeley":{"formattedCitation":"&lt;sup&gt;[270]&lt;/sup&gt;","plainTextFormattedCitation":"[270]","previouslyFormattedCitation":"&lt;sup&gt;[269]&lt;/sup&gt;"},"properties":{"noteIndex":0},"schema":"https://github.com/citation-style-language/schema/raw/master/csl-citation.json"}</w:instrText>
      </w:r>
      <w:r w:rsidR="00A61713" w:rsidRPr="003E0254">
        <w:fldChar w:fldCharType="separate"/>
      </w:r>
      <w:r w:rsidR="00500B8D" w:rsidRPr="003E0254">
        <w:rPr>
          <w:noProof/>
          <w:vertAlign w:val="superscript"/>
        </w:rPr>
        <w:t>[270]</w:t>
      </w:r>
      <w:r w:rsidR="00A61713" w:rsidRPr="003E0254">
        <w:fldChar w:fldCharType="end"/>
      </w:r>
      <w:r w:rsidR="00551CE8" w:rsidRPr="003E0254">
        <w:t xml:space="preserve"> are applied to improve </w:t>
      </w:r>
      <w:r w:rsidR="00DF5C81" w:rsidRPr="003E0254">
        <w:t xml:space="preserve">the </w:t>
      </w:r>
      <w:r w:rsidR="00551CE8" w:rsidRPr="003E0254">
        <w:t>solubility and compatibility with the electrolyte environment—for instance, by matching soft donor groups on the RAS with the Zn²⁺ coordination environment in organic or aqueous media.</w:t>
      </w:r>
    </w:p>
    <w:p w14:paraId="371A85C0" w14:textId="2D45836E" w:rsidR="008902B0" w:rsidRPr="003E0254" w:rsidRDefault="00551CE8">
      <w:pPr>
        <w:spacing w:line="276" w:lineRule="auto"/>
        <w:jc w:val="both"/>
        <w:rPr>
          <w:color w:val="000000" w:themeColor="text1"/>
          <w:lang w:eastAsia="de-DE"/>
        </w:rPr>
      </w:pPr>
      <w:r w:rsidRPr="003E0254">
        <w:t>Typical examples of functional group modifications include the introduction of ionic substituents</w:t>
      </w:r>
      <w:r w:rsidR="00DF5C81" w:rsidRPr="003E0254">
        <w:t>,</w:t>
      </w:r>
      <w:r w:rsidRPr="003E0254">
        <w:t xml:space="preserve"> such as sulfonate (–SO₃⁻), phosphonate (–PO₃²⁻), or quaternary ammonium (–NR₄⁺) groups to improve</w:t>
      </w:r>
      <w:r w:rsidR="00DF5C81" w:rsidRPr="003E0254">
        <w:t xml:space="preserve"> the</w:t>
      </w:r>
      <w:r w:rsidRPr="003E0254">
        <w:t xml:space="preserve"> water solubility and electrostatic repulsion, thereby reducing crossover through porous membranes. Electron-withdrawing groups like </w:t>
      </w:r>
      <w:proofErr w:type="spellStart"/>
      <w:r w:rsidRPr="003E0254">
        <w:t>cyano</w:t>
      </w:r>
      <w:proofErr w:type="spellEnd"/>
      <w:r w:rsidRPr="003E0254">
        <w:t xml:space="preserve"> (–CN), trifluoromethyl (–CF₃), or nitro (–NO₂) increase redox potentials via inductive effects, making the molecules suitable for high-voltage catholytes in combination with Zn anodes. Conversely, electron-donating groups (e.g., –OH, –NH₂, –</w:t>
      </w:r>
      <w:proofErr w:type="spellStart"/>
      <w:r w:rsidRPr="003E0254">
        <w:t>OMe</w:t>
      </w:r>
      <w:proofErr w:type="spellEnd"/>
      <w:r w:rsidRPr="003E0254">
        <w:t xml:space="preserve">) can shift redox potentials cathodically, which may help in stabilizing reduced states or avoiding </w:t>
      </w:r>
      <w:r w:rsidR="00DF5C81" w:rsidRPr="003E0254">
        <w:t xml:space="preserve">the </w:t>
      </w:r>
      <w:r w:rsidRPr="003E0254">
        <w:t>HER. In sterically sensitive systems, bulky alkyl chains or PEG linkers are introduced to suppress π–π stacking and radical–radical interactions, enhancing</w:t>
      </w:r>
      <w:r w:rsidR="00DF5C81" w:rsidRPr="003E0254">
        <w:t xml:space="preserve"> the</w:t>
      </w:r>
      <w:r w:rsidRPr="003E0254">
        <w:t xml:space="preserve"> chemical and electrochemical stability over extended cycling. While the redox activity resides in the core structure (e.g., viologen, quinone, ferrocene, or TEMPO), these peripheral modifications enable molecular-level tuning of performance parameters</w:t>
      </w:r>
      <w:r w:rsidR="00DF5C81" w:rsidRPr="003E0254">
        <w:t>,</w:t>
      </w:r>
      <w:r w:rsidRPr="003E0254">
        <w:t xml:space="preserve"> such as solubility, redox reversibility, diffusion, and stability across a range of pH conditions. </w:t>
      </w:r>
      <w:r w:rsidR="008902B0" w:rsidRPr="003E0254">
        <w:t>Overall, the cathode material selection is highly dependent on the electrolyte composition and targeted operating conditions, with each material class—whether carbon-based, metal oxide-based, or organic—offering unique advantages in terms of voltage output, stability, and cost-effectiveness.</w:t>
      </w:r>
    </w:p>
    <w:p w14:paraId="6BB51E94" w14:textId="77777777" w:rsidR="00B53C39" w:rsidRPr="003E0254" w:rsidRDefault="00B53C39">
      <w:pPr>
        <w:spacing w:line="276" w:lineRule="auto"/>
        <w:rPr>
          <w:b/>
          <w:bCs/>
          <w:u w:val="single"/>
        </w:rPr>
        <w:sectPr w:rsidR="00B53C39" w:rsidRPr="003E0254">
          <w:footerReference w:type="default" r:id="rId58"/>
          <w:pgSz w:w="12240" w:h="15840"/>
          <w:pgMar w:top="1440" w:right="1440" w:bottom="1440" w:left="1440" w:header="720" w:footer="720" w:gutter="0"/>
          <w:cols w:space="720"/>
        </w:sectPr>
      </w:pPr>
    </w:p>
    <w:p w14:paraId="59E52422" w14:textId="04C3DD38" w:rsidR="00B53C39" w:rsidRPr="003E0254" w:rsidRDefault="00DA35C9">
      <w:pPr>
        <w:pStyle w:val="Beschriftung"/>
        <w:spacing w:line="276" w:lineRule="auto"/>
        <w:rPr>
          <w:b/>
          <w:bCs/>
          <w:u w:val="single"/>
        </w:rPr>
      </w:pPr>
      <w:r w:rsidRPr="003E0254">
        <w:lastRenderedPageBreak/>
        <w:t xml:space="preserve">Table </w:t>
      </w:r>
      <w:r w:rsidRPr="003E0254">
        <w:fldChar w:fldCharType="begin"/>
      </w:r>
      <w:r w:rsidRPr="003E0254">
        <w:instrText xml:space="preserve">SEQ Table \* ARABIC </w:instrText>
      </w:r>
      <w:r w:rsidRPr="003E0254">
        <w:fldChar w:fldCharType="separate"/>
      </w:r>
      <w:r w:rsidR="00BC65F2" w:rsidRPr="003E0254">
        <w:rPr>
          <w:noProof/>
        </w:rPr>
        <w:t>5</w:t>
      </w:r>
      <w:r w:rsidRPr="003E0254">
        <w:fldChar w:fldCharType="end"/>
      </w:r>
      <w:r w:rsidR="00D23CFA" w:rsidRPr="003E0254">
        <w:t xml:space="preserve">: </w:t>
      </w:r>
      <w:r w:rsidRPr="003E0254">
        <w:t xml:space="preserve">Different types of RFB sorted by anolyte </w:t>
      </w:r>
      <w:proofErr w:type="spellStart"/>
      <w:r w:rsidRPr="003E0254">
        <w:t>pH.</w:t>
      </w:r>
      <w:proofErr w:type="spellEnd"/>
      <w:r w:rsidRPr="003E0254">
        <w:t xml:space="preserve"> </w:t>
      </w:r>
    </w:p>
    <w:tbl>
      <w:tblPr>
        <w:tblStyle w:val="Tabellenraster"/>
        <w:tblW w:w="5000" w:type="pct"/>
        <w:tblLayout w:type="fixed"/>
        <w:tblLook w:val="04A0" w:firstRow="1" w:lastRow="0" w:firstColumn="1" w:lastColumn="0" w:noHBand="0" w:noVBand="1"/>
      </w:tblPr>
      <w:tblGrid>
        <w:gridCol w:w="1085"/>
        <w:gridCol w:w="1264"/>
        <w:gridCol w:w="1178"/>
        <w:gridCol w:w="1572"/>
        <w:gridCol w:w="1699"/>
        <w:gridCol w:w="1329"/>
        <w:gridCol w:w="1365"/>
        <w:gridCol w:w="1417"/>
        <w:gridCol w:w="1277"/>
        <w:gridCol w:w="764"/>
      </w:tblGrid>
      <w:tr w:rsidR="00B53C39" w:rsidRPr="003E0254" w14:paraId="7600716C" w14:textId="77777777">
        <w:tc>
          <w:tcPr>
            <w:tcW w:w="419" w:type="pct"/>
          </w:tcPr>
          <w:p w14:paraId="46A80F8E" w14:textId="77777777" w:rsidR="00B53C39" w:rsidRPr="003E0254" w:rsidRDefault="00B53C39">
            <w:pPr>
              <w:spacing w:line="276" w:lineRule="auto"/>
              <w:rPr>
                <w:b/>
                <w:bCs/>
                <w:sz w:val="20"/>
                <w:szCs w:val="20"/>
                <w:u w:val="single"/>
              </w:rPr>
            </w:pPr>
          </w:p>
        </w:tc>
        <w:tc>
          <w:tcPr>
            <w:tcW w:w="488" w:type="pct"/>
          </w:tcPr>
          <w:p w14:paraId="3869A74F" w14:textId="77777777" w:rsidR="00B53C39" w:rsidRPr="003E0254" w:rsidRDefault="00DA35C9">
            <w:pPr>
              <w:spacing w:line="276" w:lineRule="auto"/>
              <w:rPr>
                <w:b/>
                <w:bCs/>
                <w:sz w:val="20"/>
                <w:szCs w:val="20"/>
                <w:u w:val="single"/>
              </w:rPr>
            </w:pPr>
            <w:r w:rsidRPr="003E0254">
              <w:rPr>
                <w:b/>
                <w:bCs/>
                <w:sz w:val="20"/>
                <w:szCs w:val="20"/>
                <w:u w:val="single"/>
              </w:rPr>
              <w:t>Type of RFB</w:t>
            </w:r>
          </w:p>
        </w:tc>
        <w:tc>
          <w:tcPr>
            <w:tcW w:w="455" w:type="pct"/>
          </w:tcPr>
          <w:p w14:paraId="48444AAE" w14:textId="77777777" w:rsidR="00B53C39" w:rsidRPr="003E0254" w:rsidRDefault="00DA35C9">
            <w:pPr>
              <w:spacing w:line="276" w:lineRule="auto"/>
              <w:rPr>
                <w:b/>
                <w:bCs/>
                <w:sz w:val="20"/>
                <w:szCs w:val="20"/>
                <w:u w:val="single"/>
              </w:rPr>
            </w:pPr>
            <w:r w:rsidRPr="003E0254">
              <w:rPr>
                <w:b/>
                <w:bCs/>
                <w:sz w:val="20"/>
                <w:szCs w:val="20"/>
                <w:u w:val="single"/>
              </w:rPr>
              <w:t>Cathode</w:t>
            </w:r>
          </w:p>
          <w:p w14:paraId="7EF1CBE6" w14:textId="77777777" w:rsidR="00B53C39" w:rsidRPr="003E0254" w:rsidRDefault="00B53C39">
            <w:pPr>
              <w:spacing w:line="276" w:lineRule="auto"/>
              <w:rPr>
                <w:b/>
                <w:bCs/>
                <w:sz w:val="20"/>
                <w:szCs w:val="20"/>
                <w:u w:val="single"/>
              </w:rPr>
            </w:pPr>
          </w:p>
        </w:tc>
        <w:tc>
          <w:tcPr>
            <w:tcW w:w="607" w:type="pct"/>
          </w:tcPr>
          <w:p w14:paraId="1D283CD4" w14:textId="77777777" w:rsidR="00B53C39" w:rsidRPr="003E0254" w:rsidRDefault="00DA35C9">
            <w:pPr>
              <w:spacing w:line="276" w:lineRule="auto"/>
              <w:rPr>
                <w:b/>
                <w:bCs/>
                <w:sz w:val="20"/>
                <w:szCs w:val="20"/>
                <w:u w:val="single"/>
              </w:rPr>
            </w:pPr>
            <w:r w:rsidRPr="003E0254">
              <w:rPr>
                <w:b/>
                <w:bCs/>
                <w:sz w:val="20"/>
                <w:szCs w:val="20"/>
                <w:u w:val="single"/>
              </w:rPr>
              <w:t>Catholyte</w:t>
            </w:r>
          </w:p>
        </w:tc>
        <w:tc>
          <w:tcPr>
            <w:tcW w:w="656" w:type="pct"/>
          </w:tcPr>
          <w:p w14:paraId="2BB257AD" w14:textId="77777777" w:rsidR="00B53C39" w:rsidRPr="003E0254" w:rsidRDefault="00DA35C9">
            <w:pPr>
              <w:spacing w:line="276" w:lineRule="auto"/>
              <w:rPr>
                <w:b/>
                <w:bCs/>
                <w:sz w:val="20"/>
                <w:szCs w:val="20"/>
                <w:u w:val="single"/>
              </w:rPr>
            </w:pPr>
            <w:r w:rsidRPr="003E0254">
              <w:rPr>
                <w:b/>
                <w:bCs/>
                <w:sz w:val="20"/>
                <w:szCs w:val="20"/>
                <w:u w:val="single"/>
              </w:rPr>
              <w:t>Cathode Reaction</w:t>
            </w:r>
          </w:p>
        </w:tc>
        <w:tc>
          <w:tcPr>
            <w:tcW w:w="513" w:type="pct"/>
          </w:tcPr>
          <w:p w14:paraId="73DA4656" w14:textId="77777777" w:rsidR="00B53C39" w:rsidRPr="003E0254" w:rsidRDefault="00DA35C9">
            <w:pPr>
              <w:spacing w:line="276" w:lineRule="auto"/>
              <w:rPr>
                <w:b/>
                <w:bCs/>
                <w:sz w:val="20"/>
                <w:szCs w:val="20"/>
                <w:u w:val="single"/>
              </w:rPr>
            </w:pPr>
            <w:r w:rsidRPr="003E0254">
              <w:rPr>
                <w:b/>
                <w:bCs/>
                <w:sz w:val="20"/>
                <w:szCs w:val="20"/>
                <w:u w:val="single"/>
              </w:rPr>
              <w:t>Separator</w:t>
            </w:r>
          </w:p>
        </w:tc>
        <w:tc>
          <w:tcPr>
            <w:tcW w:w="527" w:type="pct"/>
          </w:tcPr>
          <w:p w14:paraId="17C93DD1" w14:textId="77777777" w:rsidR="00B53C39" w:rsidRPr="003E0254" w:rsidRDefault="00DA35C9">
            <w:pPr>
              <w:spacing w:line="276" w:lineRule="auto"/>
              <w:rPr>
                <w:b/>
                <w:bCs/>
                <w:sz w:val="20"/>
                <w:szCs w:val="20"/>
                <w:u w:val="single"/>
              </w:rPr>
            </w:pPr>
            <w:r w:rsidRPr="003E0254">
              <w:rPr>
                <w:b/>
                <w:bCs/>
                <w:sz w:val="20"/>
                <w:szCs w:val="20"/>
                <w:u w:val="single"/>
              </w:rPr>
              <w:t>Anode</w:t>
            </w:r>
          </w:p>
          <w:p w14:paraId="1E55360C" w14:textId="77777777" w:rsidR="00B53C39" w:rsidRPr="003E0254" w:rsidRDefault="00B53C39">
            <w:pPr>
              <w:spacing w:line="276" w:lineRule="auto"/>
              <w:rPr>
                <w:b/>
                <w:bCs/>
                <w:sz w:val="20"/>
                <w:szCs w:val="20"/>
                <w:u w:val="single"/>
              </w:rPr>
            </w:pPr>
          </w:p>
        </w:tc>
        <w:tc>
          <w:tcPr>
            <w:tcW w:w="547" w:type="pct"/>
          </w:tcPr>
          <w:p w14:paraId="460729E6" w14:textId="77777777" w:rsidR="00B53C39" w:rsidRPr="003E0254" w:rsidRDefault="00DA35C9">
            <w:pPr>
              <w:spacing w:line="276" w:lineRule="auto"/>
              <w:rPr>
                <w:b/>
                <w:bCs/>
                <w:sz w:val="20"/>
                <w:szCs w:val="20"/>
                <w:u w:val="single"/>
              </w:rPr>
            </w:pPr>
            <w:r w:rsidRPr="003E0254">
              <w:rPr>
                <w:b/>
                <w:bCs/>
                <w:sz w:val="20"/>
                <w:szCs w:val="20"/>
                <w:u w:val="single"/>
              </w:rPr>
              <w:t>Anolyte</w:t>
            </w:r>
          </w:p>
        </w:tc>
        <w:tc>
          <w:tcPr>
            <w:tcW w:w="493" w:type="pct"/>
          </w:tcPr>
          <w:p w14:paraId="1BDF3798" w14:textId="77777777" w:rsidR="00B53C39" w:rsidRPr="003E0254" w:rsidRDefault="00DA35C9">
            <w:pPr>
              <w:spacing w:line="276" w:lineRule="auto"/>
              <w:rPr>
                <w:b/>
                <w:bCs/>
                <w:sz w:val="20"/>
                <w:szCs w:val="20"/>
                <w:u w:val="single"/>
              </w:rPr>
            </w:pPr>
            <w:r w:rsidRPr="003E0254">
              <w:rPr>
                <w:b/>
                <w:bCs/>
                <w:sz w:val="20"/>
                <w:szCs w:val="20"/>
                <w:u w:val="single"/>
              </w:rPr>
              <w:t>Anode reaction</w:t>
            </w:r>
          </w:p>
        </w:tc>
        <w:tc>
          <w:tcPr>
            <w:tcW w:w="295" w:type="pct"/>
          </w:tcPr>
          <w:p w14:paraId="5D64904B" w14:textId="77777777" w:rsidR="00B53C39" w:rsidRPr="003E0254" w:rsidRDefault="00DA35C9">
            <w:pPr>
              <w:spacing w:line="276" w:lineRule="auto"/>
              <w:rPr>
                <w:b/>
                <w:bCs/>
                <w:sz w:val="20"/>
                <w:szCs w:val="20"/>
                <w:u w:val="single"/>
              </w:rPr>
            </w:pPr>
            <w:r w:rsidRPr="003E0254">
              <w:rPr>
                <w:b/>
                <w:bCs/>
                <w:sz w:val="20"/>
                <w:szCs w:val="20"/>
                <w:u w:val="single"/>
              </w:rPr>
              <w:t>REF</w:t>
            </w:r>
          </w:p>
        </w:tc>
      </w:tr>
      <w:tr w:rsidR="00B53C39" w:rsidRPr="003E0254" w14:paraId="2B078723" w14:textId="77777777">
        <w:tc>
          <w:tcPr>
            <w:tcW w:w="419" w:type="pct"/>
            <w:vMerge w:val="restart"/>
            <w:shd w:val="clear" w:color="auto" w:fill="D1D1D1" w:themeFill="background2" w:themeFillShade="E6"/>
            <w:vAlign w:val="center"/>
          </w:tcPr>
          <w:p w14:paraId="0A0C36D2" w14:textId="77777777" w:rsidR="00B53C39" w:rsidRPr="003E0254" w:rsidRDefault="00DA35C9">
            <w:pPr>
              <w:spacing w:line="276" w:lineRule="auto"/>
              <w:jc w:val="center"/>
              <w:rPr>
                <w:b/>
                <w:bCs/>
                <w:sz w:val="20"/>
                <w:szCs w:val="20"/>
                <w:u w:val="single"/>
              </w:rPr>
            </w:pPr>
            <w:r w:rsidRPr="003E0254">
              <w:rPr>
                <w:b/>
                <w:bCs/>
                <w:sz w:val="20"/>
                <w:szCs w:val="20"/>
                <w:u w:val="single"/>
              </w:rPr>
              <w:t>Alkaline</w:t>
            </w:r>
          </w:p>
          <w:p w14:paraId="119FD010" w14:textId="77777777" w:rsidR="00B53C39" w:rsidRPr="003E0254" w:rsidRDefault="00DA35C9">
            <w:pPr>
              <w:spacing w:line="276" w:lineRule="auto"/>
              <w:jc w:val="center"/>
              <w:rPr>
                <w:b/>
                <w:bCs/>
                <w:sz w:val="20"/>
                <w:szCs w:val="20"/>
                <w:u w:val="single"/>
              </w:rPr>
            </w:pPr>
            <w:r w:rsidRPr="003E0254">
              <w:rPr>
                <w:b/>
                <w:bCs/>
                <w:sz w:val="20"/>
                <w:szCs w:val="20"/>
                <w:u w:val="single"/>
              </w:rPr>
              <w:t xml:space="preserve">pH&gt;7 </w:t>
            </w:r>
          </w:p>
        </w:tc>
        <w:tc>
          <w:tcPr>
            <w:tcW w:w="488" w:type="pct"/>
            <w:shd w:val="clear" w:color="auto" w:fill="D1D1D1" w:themeFill="background2" w:themeFillShade="E6"/>
          </w:tcPr>
          <w:p w14:paraId="3AFDAB03" w14:textId="6CCC1B43" w:rsidR="00B53C39" w:rsidRPr="003E0254" w:rsidRDefault="00DA35C9">
            <w:pPr>
              <w:spacing w:line="276" w:lineRule="auto"/>
              <w:rPr>
                <w:bCs/>
                <w:sz w:val="20"/>
                <w:szCs w:val="20"/>
              </w:rPr>
            </w:pPr>
            <w:r w:rsidRPr="003E0254">
              <w:rPr>
                <w:bCs/>
                <w:sz w:val="20"/>
                <w:szCs w:val="20"/>
              </w:rPr>
              <w:t>Fe</w:t>
            </w:r>
            <w:r w:rsidR="00996CC5" w:rsidRPr="003E0254">
              <w:rPr>
                <w:sz w:val="20"/>
                <w:szCs w:val="20"/>
                <w:lang w:eastAsia="de-DE"/>
              </w:rPr>
              <w:t>||Zn</w:t>
            </w:r>
          </w:p>
        </w:tc>
        <w:tc>
          <w:tcPr>
            <w:tcW w:w="455" w:type="pct"/>
            <w:shd w:val="clear" w:color="auto" w:fill="D1D1D1" w:themeFill="background2" w:themeFillShade="E6"/>
          </w:tcPr>
          <w:p w14:paraId="30966A95" w14:textId="77777777" w:rsidR="00B53C39" w:rsidRPr="003E0254" w:rsidRDefault="00DA35C9">
            <w:pPr>
              <w:spacing w:line="276" w:lineRule="auto"/>
              <w:rPr>
                <w:bCs/>
                <w:sz w:val="20"/>
                <w:szCs w:val="20"/>
              </w:rPr>
            </w:pPr>
            <w:r w:rsidRPr="003E0254">
              <w:rPr>
                <w:bCs/>
                <w:sz w:val="20"/>
                <w:szCs w:val="20"/>
              </w:rPr>
              <w:t>Carbon felt</w:t>
            </w:r>
          </w:p>
        </w:tc>
        <w:tc>
          <w:tcPr>
            <w:tcW w:w="607" w:type="pct"/>
            <w:shd w:val="clear" w:color="auto" w:fill="D1D1D1" w:themeFill="background2" w:themeFillShade="E6"/>
          </w:tcPr>
          <w:p w14:paraId="15839D77" w14:textId="77777777" w:rsidR="00B53C39" w:rsidRPr="003E0254" w:rsidRDefault="00DA35C9">
            <w:pPr>
              <w:spacing w:line="276" w:lineRule="auto"/>
              <w:rPr>
                <w:bCs/>
                <w:sz w:val="20"/>
                <w:szCs w:val="20"/>
              </w:rPr>
            </w:pPr>
            <w:r w:rsidRPr="003E0254">
              <w:rPr>
                <w:bCs/>
                <w:sz w:val="20"/>
                <w:szCs w:val="20"/>
              </w:rPr>
              <w:t>Na</w:t>
            </w:r>
            <w:r w:rsidRPr="003E0254">
              <w:rPr>
                <w:bCs/>
                <w:sz w:val="20"/>
                <w:szCs w:val="20"/>
                <w:vertAlign w:val="subscript"/>
              </w:rPr>
              <w:t>4</w:t>
            </w:r>
            <w:proofErr w:type="gramStart"/>
            <w:r w:rsidRPr="003E0254">
              <w:rPr>
                <w:bCs/>
                <w:sz w:val="20"/>
                <w:szCs w:val="20"/>
              </w:rPr>
              <w:t>Fe(</w:t>
            </w:r>
            <w:proofErr w:type="gramEnd"/>
            <w:r w:rsidRPr="003E0254">
              <w:rPr>
                <w:bCs/>
                <w:sz w:val="20"/>
                <w:szCs w:val="20"/>
              </w:rPr>
              <w:t>CN)</w:t>
            </w:r>
            <w:r w:rsidRPr="003E0254">
              <w:rPr>
                <w:bCs/>
                <w:sz w:val="20"/>
                <w:szCs w:val="20"/>
                <w:vertAlign w:val="subscript"/>
              </w:rPr>
              <w:t>6</w:t>
            </w:r>
            <w:r w:rsidRPr="003E0254">
              <w:rPr>
                <w:bCs/>
                <w:sz w:val="20"/>
                <w:szCs w:val="20"/>
              </w:rPr>
              <w:t xml:space="preserve"> + </w:t>
            </w:r>
            <w:r w:rsidRPr="003E0254">
              <w:rPr>
                <w:sz w:val="20"/>
                <w:szCs w:val="20"/>
              </w:rPr>
              <w:t>K</w:t>
            </w:r>
            <w:r w:rsidRPr="003E0254">
              <w:rPr>
                <w:sz w:val="20"/>
                <w:szCs w:val="20"/>
                <w:vertAlign w:val="subscript"/>
              </w:rPr>
              <w:t>4</w:t>
            </w:r>
            <w:r w:rsidRPr="003E0254">
              <w:rPr>
                <w:sz w:val="20"/>
                <w:szCs w:val="20"/>
              </w:rPr>
              <w:t>Fe(CN)</w:t>
            </w:r>
            <w:r w:rsidRPr="003E0254">
              <w:rPr>
                <w:sz w:val="20"/>
                <w:szCs w:val="20"/>
                <w:vertAlign w:val="subscript"/>
              </w:rPr>
              <w:t>6</w:t>
            </w:r>
            <w:r w:rsidRPr="003E0254">
              <w:rPr>
                <w:bCs/>
                <w:sz w:val="20"/>
                <w:szCs w:val="20"/>
              </w:rPr>
              <w:t xml:space="preserve"> in water</w:t>
            </w:r>
          </w:p>
        </w:tc>
        <w:tc>
          <w:tcPr>
            <w:tcW w:w="656" w:type="pct"/>
            <w:shd w:val="clear" w:color="auto" w:fill="D1D1D1" w:themeFill="background2" w:themeFillShade="E6"/>
          </w:tcPr>
          <w:p w14:paraId="753C8EB5" w14:textId="77777777" w:rsidR="00B53C39" w:rsidRPr="003E0254" w:rsidRDefault="00DA35C9">
            <w:pPr>
              <w:spacing w:line="276" w:lineRule="auto"/>
              <w:rPr>
                <w:bCs/>
                <w:sz w:val="20"/>
                <w:szCs w:val="20"/>
              </w:rPr>
            </w:pPr>
            <w:proofErr w:type="gramStart"/>
            <w:r w:rsidRPr="003E0254">
              <w:rPr>
                <w:sz w:val="20"/>
                <w:szCs w:val="20"/>
              </w:rPr>
              <w:t>Fe(</w:t>
            </w:r>
            <w:proofErr w:type="gramEnd"/>
            <w:r w:rsidRPr="003E0254">
              <w:rPr>
                <w:sz w:val="20"/>
                <w:szCs w:val="20"/>
              </w:rPr>
              <w:t>CN)</w:t>
            </w:r>
            <w:r w:rsidRPr="003E0254">
              <w:rPr>
                <w:sz w:val="20"/>
                <w:szCs w:val="20"/>
                <w:vertAlign w:val="subscript"/>
              </w:rPr>
              <w:t>6</w:t>
            </w:r>
            <w:r w:rsidRPr="003E0254">
              <w:rPr>
                <w:sz w:val="20"/>
                <w:szCs w:val="20"/>
                <w:vertAlign w:val="superscript"/>
              </w:rPr>
              <w:t>4−</w:t>
            </w:r>
            <w:r w:rsidRPr="003E0254">
              <w:rPr>
                <w:rStyle w:val="img-tbleqn"/>
                <w:rFonts w:ascii="Cambria Math" w:hAnsi="Cambria Math" w:cs="Cambria Math"/>
                <w:sz w:val="20"/>
                <w:szCs w:val="20"/>
              </w:rPr>
              <w:t>⇔</w:t>
            </w:r>
            <w:r w:rsidRPr="003E0254">
              <w:rPr>
                <w:sz w:val="20"/>
                <w:szCs w:val="20"/>
              </w:rPr>
              <w:t>Fe(CN)</w:t>
            </w:r>
            <w:r w:rsidRPr="003E0254">
              <w:rPr>
                <w:sz w:val="20"/>
                <w:szCs w:val="20"/>
                <w:vertAlign w:val="subscript"/>
              </w:rPr>
              <w:t>6</w:t>
            </w:r>
            <w:r w:rsidRPr="003E0254">
              <w:rPr>
                <w:sz w:val="20"/>
                <w:szCs w:val="20"/>
                <w:vertAlign w:val="superscript"/>
              </w:rPr>
              <w:t>3−</w:t>
            </w:r>
            <w:r w:rsidRPr="003E0254">
              <w:rPr>
                <w:sz w:val="20"/>
                <w:szCs w:val="20"/>
              </w:rPr>
              <w:t xml:space="preserve"> + e</w:t>
            </w:r>
            <w:r w:rsidRPr="003E0254">
              <w:rPr>
                <w:sz w:val="20"/>
                <w:szCs w:val="20"/>
                <w:vertAlign w:val="superscript"/>
              </w:rPr>
              <w:t>-</w:t>
            </w:r>
          </w:p>
        </w:tc>
        <w:tc>
          <w:tcPr>
            <w:tcW w:w="513" w:type="pct"/>
            <w:shd w:val="clear" w:color="auto" w:fill="D1D1D1" w:themeFill="background2" w:themeFillShade="E6"/>
          </w:tcPr>
          <w:p w14:paraId="2F3BA39A" w14:textId="77777777" w:rsidR="00B53C39" w:rsidRPr="003E0254" w:rsidRDefault="00DA35C9">
            <w:pPr>
              <w:spacing w:line="276" w:lineRule="auto"/>
              <w:rPr>
                <w:bCs/>
                <w:sz w:val="20"/>
                <w:szCs w:val="20"/>
              </w:rPr>
            </w:pPr>
            <w:proofErr w:type="spellStart"/>
            <w:r w:rsidRPr="003E0254">
              <w:rPr>
                <w:bCs/>
                <w:sz w:val="20"/>
                <w:szCs w:val="20"/>
              </w:rPr>
              <w:t>Nafion</w:t>
            </w:r>
            <w:proofErr w:type="spellEnd"/>
            <w:r w:rsidRPr="003E0254">
              <w:rPr>
                <w:bCs/>
                <w:sz w:val="20"/>
                <w:szCs w:val="20"/>
              </w:rPr>
              <w:t xml:space="preserve"> (Na</w:t>
            </w:r>
            <w:r w:rsidRPr="003E0254">
              <w:rPr>
                <w:bCs/>
                <w:sz w:val="20"/>
                <w:szCs w:val="20"/>
                <w:vertAlign w:val="superscript"/>
              </w:rPr>
              <w:t>+</w:t>
            </w:r>
            <w:r w:rsidRPr="003E0254">
              <w:rPr>
                <w:bCs/>
                <w:sz w:val="20"/>
                <w:szCs w:val="20"/>
              </w:rPr>
              <w:t>)</w:t>
            </w:r>
          </w:p>
        </w:tc>
        <w:tc>
          <w:tcPr>
            <w:tcW w:w="527" w:type="pct"/>
            <w:shd w:val="clear" w:color="auto" w:fill="D1D1D1" w:themeFill="background2" w:themeFillShade="E6"/>
          </w:tcPr>
          <w:p w14:paraId="1E000983" w14:textId="77777777" w:rsidR="00B53C39" w:rsidRPr="003E0254" w:rsidRDefault="00DA35C9">
            <w:pPr>
              <w:spacing w:line="276" w:lineRule="auto"/>
              <w:rPr>
                <w:bCs/>
                <w:sz w:val="20"/>
                <w:szCs w:val="20"/>
              </w:rPr>
            </w:pPr>
            <w:r w:rsidRPr="003E0254">
              <w:rPr>
                <w:bCs/>
                <w:sz w:val="20"/>
                <w:szCs w:val="20"/>
              </w:rPr>
              <w:t>Zinc plate</w:t>
            </w:r>
          </w:p>
        </w:tc>
        <w:tc>
          <w:tcPr>
            <w:tcW w:w="547" w:type="pct"/>
            <w:shd w:val="clear" w:color="auto" w:fill="D1D1D1" w:themeFill="background2" w:themeFillShade="E6"/>
          </w:tcPr>
          <w:p w14:paraId="0279B3C5" w14:textId="77777777" w:rsidR="00B53C39" w:rsidRPr="003E0254" w:rsidRDefault="00DA35C9">
            <w:pPr>
              <w:spacing w:line="276" w:lineRule="auto"/>
              <w:rPr>
                <w:bCs/>
                <w:sz w:val="20"/>
                <w:szCs w:val="20"/>
              </w:rPr>
            </w:pPr>
            <w:r w:rsidRPr="003E0254">
              <w:rPr>
                <w:bCs/>
                <w:sz w:val="20"/>
                <w:szCs w:val="20"/>
              </w:rPr>
              <w:t xml:space="preserve">NaOH + </w:t>
            </w:r>
          </w:p>
          <w:p w14:paraId="11F2437E" w14:textId="77777777" w:rsidR="00B53C39" w:rsidRPr="003E0254" w:rsidRDefault="00DA35C9">
            <w:pPr>
              <w:spacing w:line="276" w:lineRule="auto"/>
              <w:rPr>
                <w:bCs/>
                <w:sz w:val="20"/>
                <w:szCs w:val="20"/>
              </w:rPr>
            </w:pPr>
            <w:proofErr w:type="spellStart"/>
            <w:r w:rsidRPr="003E0254">
              <w:rPr>
                <w:bCs/>
                <w:sz w:val="20"/>
                <w:szCs w:val="20"/>
              </w:rPr>
              <w:t>ZnO</w:t>
            </w:r>
            <w:proofErr w:type="spellEnd"/>
          </w:p>
        </w:tc>
        <w:tc>
          <w:tcPr>
            <w:tcW w:w="493" w:type="pct"/>
            <w:vMerge w:val="restart"/>
            <w:shd w:val="clear" w:color="auto" w:fill="D1D1D1" w:themeFill="background2" w:themeFillShade="E6"/>
            <w:vAlign w:val="center"/>
          </w:tcPr>
          <w:p w14:paraId="1613F1B9" w14:textId="77777777" w:rsidR="00B53C39" w:rsidRPr="003E0254" w:rsidRDefault="00DA35C9">
            <w:pPr>
              <w:spacing w:line="276" w:lineRule="auto"/>
              <w:rPr>
                <w:rStyle w:val="img-tbleqn"/>
                <w:rFonts w:ascii="Cambria Math" w:hAnsi="Cambria Math" w:cs="Cambria Math"/>
                <w:sz w:val="20"/>
                <w:szCs w:val="20"/>
              </w:rPr>
            </w:pPr>
            <w:proofErr w:type="gramStart"/>
            <w:r w:rsidRPr="003E0254">
              <w:rPr>
                <w:sz w:val="20"/>
                <w:szCs w:val="20"/>
              </w:rPr>
              <w:t>Zn(</w:t>
            </w:r>
            <w:proofErr w:type="gramEnd"/>
            <w:r w:rsidRPr="003E0254">
              <w:rPr>
                <w:sz w:val="20"/>
                <w:szCs w:val="20"/>
              </w:rPr>
              <w:t>OH)</w:t>
            </w:r>
            <w:r w:rsidRPr="003E0254">
              <w:rPr>
                <w:sz w:val="20"/>
                <w:szCs w:val="20"/>
                <w:vertAlign w:val="subscript"/>
              </w:rPr>
              <w:t>4</w:t>
            </w:r>
            <w:r w:rsidRPr="003E0254">
              <w:rPr>
                <w:sz w:val="20"/>
                <w:szCs w:val="20"/>
                <w:vertAlign w:val="superscript"/>
              </w:rPr>
              <w:t xml:space="preserve">2 </w:t>
            </w:r>
            <w:r w:rsidRPr="003E0254">
              <w:rPr>
                <w:rStyle w:val="img-tbleqn"/>
                <w:rFonts w:ascii="Cambria Math" w:hAnsi="Cambria Math" w:cs="Cambria Math"/>
                <w:sz w:val="20"/>
                <w:szCs w:val="20"/>
              </w:rPr>
              <w:t>⇔</w:t>
            </w:r>
          </w:p>
          <w:p w14:paraId="162D127D" w14:textId="77777777" w:rsidR="00B53C39" w:rsidRPr="003E0254" w:rsidRDefault="00DA35C9">
            <w:pPr>
              <w:spacing w:line="276" w:lineRule="auto"/>
              <w:rPr>
                <w:bCs/>
                <w:sz w:val="20"/>
                <w:szCs w:val="20"/>
              </w:rPr>
            </w:pPr>
            <w:r w:rsidRPr="003E0254">
              <w:rPr>
                <w:sz w:val="20"/>
                <w:szCs w:val="20"/>
              </w:rPr>
              <w:t>Zn</w:t>
            </w:r>
            <w:r w:rsidRPr="003E0254">
              <w:rPr>
                <w:sz w:val="20"/>
                <w:szCs w:val="20"/>
                <w:vertAlign w:val="superscript"/>
              </w:rPr>
              <w:t>0</w:t>
            </w:r>
            <w:r w:rsidRPr="003E0254">
              <w:rPr>
                <w:sz w:val="20"/>
                <w:szCs w:val="20"/>
                <w:vertAlign w:val="subscript"/>
              </w:rPr>
              <w:t xml:space="preserve">s </w:t>
            </w:r>
            <w:r w:rsidRPr="003E0254">
              <w:rPr>
                <w:sz w:val="20"/>
                <w:szCs w:val="20"/>
              </w:rPr>
              <w:t>+ 4OH</w:t>
            </w:r>
            <w:r w:rsidRPr="003E0254">
              <w:rPr>
                <w:sz w:val="20"/>
                <w:szCs w:val="20"/>
                <w:vertAlign w:val="superscript"/>
              </w:rPr>
              <w:noBreakHyphen/>
            </w:r>
          </w:p>
        </w:tc>
        <w:tc>
          <w:tcPr>
            <w:tcW w:w="295" w:type="pct"/>
            <w:shd w:val="clear" w:color="auto" w:fill="D1D1D1" w:themeFill="background2" w:themeFillShade="E6"/>
          </w:tcPr>
          <w:p w14:paraId="5A2AF570" w14:textId="2F63F01F" w:rsidR="00B53C39" w:rsidRPr="003E0254" w:rsidRDefault="00DA35C9">
            <w:pPr>
              <w:spacing w:line="276" w:lineRule="auto"/>
              <w:rPr>
                <w:bCs/>
                <w:sz w:val="20"/>
                <w:szCs w:val="20"/>
              </w:rPr>
            </w:pPr>
            <w:r w:rsidRPr="003E0254">
              <w:rPr>
                <w:bCs/>
                <w:sz w:val="20"/>
                <w:szCs w:val="20"/>
              </w:rPr>
              <w:t>Wang et al</w:t>
            </w:r>
            <w:r w:rsidR="005548ED" w:rsidRPr="003E0254">
              <w:rPr>
                <w:bCs/>
                <w:sz w:val="20"/>
                <w:szCs w:val="20"/>
              </w:rPr>
              <w:t>.</w:t>
            </w:r>
            <w:r w:rsidR="005548ED" w:rsidRPr="003E0254">
              <w:rPr>
                <w:bCs/>
                <w:sz w:val="20"/>
                <w:szCs w:val="20"/>
              </w:rPr>
              <w:fldChar w:fldCharType="begin" w:fldLock="1"/>
            </w:r>
            <w:r w:rsidR="00500B8D" w:rsidRPr="003E0254">
              <w:rPr>
                <w:bCs/>
                <w:sz w:val="20"/>
                <w:szCs w:val="20"/>
              </w:rPr>
              <w:instrText>ADDIN CSL_CITATION {"citationItems":[{"id":"ITEM-1","itemData":{"DOI":"10.1016/J.MTENER.2022.101061","ISSN":"2468-6069","abstract":"A redox flow battery (RFB) system with improved energy density via unlocking the solubility limit of ferrocyanide in combination with low capital cost is demonstrated. Based on the diverse ion effect, the maximum ferrocyanide concentration increases from 0.76 M to 1.46 M at room temperature. By pairing with Zn(OH)42−/Zn redox couple, the proposed alkaline zinc–iron RFB features excellent electrochemical performance, with slow capacity fade rate over 7600 cycles (0.00078% per cycle and 0.23% per day), high energy efficiency of 88.10% at 100 mA/cm2, high energy density (73.64 Wh/L based on the catholyte side), and high power density (656.81 mW/cm2). Additionally, electrolyte cost of the proposed RFB is reduced to be only one tenth of all-vanadium RFBs. From the technoeconomic viewpoint, the present RFB shows promise for commercially storing energy.","author":[{"dropping-particle":"","family":"Wang","given":"Guixiang","non-dropping-particle":"","parse-names":false,"suffix":""},{"dropping-particle":"","family":"Zou","given":"Haitao","non-dropping-particle":"","parse-names":false,"suffix":""},{"dropping-particle":"","family":"Xu","given":"Zhizhao","non-dropping-particle":"","parse-names":false,"suffix":""},{"dropping-particle":"","family":"Tang","given":"Ao","non-dropping-particle":"","parse-names":false,"suffix":""},{"dropping-particle":"","family":"Zhong","given":"Fangfang","non-dropping-particle":"","parse-names":false,"suffix":""},{"dropping-particle":"","family":"Zhu","given":"Xiaobo","non-dropping-particle":"","parse-names":false,"suffix":""},{"dropping-particle":"","family":"Qin","given":"Chengpeng","non-dropping-particle":"","parse-names":false,"suffix":""},{"dropping-particle":"","family":"Ding","given":"Mei","non-dropping-particle":"","parse-names":false,"suffix":""},{"dropping-particle":"","family":"You","given":"Wei","non-dropping-particle":"","parse-names":false,"suffix":""},{"dropping-particle":"","family":"Jia","given":"Chuankun","non-dropping-particle":"","parse-names":false,"suffix":""}],"container-title":"Materials Today Energy","id":"ITEM-1","issued":{"date-parts":[["2022","8","1"]]},"page":"101061","publisher":"Elsevier","title":"Unlocking the solubility limit of ferrocyanide for high energy density redox flow batteries","type":"article-journal","volume":"28"},"uris":["http://www.mendeley.com/documents/?uuid=2223330a-1631-3888-9682-3ecd6977aa3e"]}],"mendeley":{"formattedCitation":"&lt;sup&gt;[263]&lt;/sup&gt;","plainTextFormattedCitation":"[263]","previouslyFormattedCitation":"&lt;sup&gt;[262]&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[263]</w:t>
            </w:r>
            <w:r w:rsidR="005548ED" w:rsidRPr="003E0254">
              <w:rPr>
                <w:bCs/>
                <w:sz w:val="20"/>
                <w:szCs w:val="20"/>
              </w:rPr>
              <w:fldChar w:fldCharType="end"/>
            </w:r>
          </w:p>
        </w:tc>
      </w:tr>
      <w:tr w:rsidR="00B53C39" w:rsidRPr="003E0254" w14:paraId="5718ACB0" w14:textId="77777777">
        <w:tc>
          <w:tcPr>
            <w:tcW w:w="419" w:type="pct"/>
            <w:vMerge/>
            <w:shd w:val="clear" w:color="auto" w:fill="D1D1D1" w:themeFill="background2" w:themeFillShade="E6"/>
            <w:vAlign w:val="center"/>
          </w:tcPr>
          <w:p w14:paraId="5AD806B5" w14:textId="77777777" w:rsidR="00B53C39" w:rsidRPr="003E0254" w:rsidRDefault="00B53C39">
            <w:pPr>
              <w:spacing w:line="276" w:lineRule="auto"/>
              <w:jc w:val="center"/>
              <w:rPr>
                <w:b/>
                <w:bCs/>
                <w:sz w:val="20"/>
                <w:szCs w:val="20"/>
                <w:u w:val="single"/>
              </w:rPr>
            </w:pPr>
          </w:p>
        </w:tc>
        <w:tc>
          <w:tcPr>
            <w:tcW w:w="488" w:type="pct"/>
            <w:shd w:val="clear" w:color="auto" w:fill="D1D1D1" w:themeFill="background2" w:themeFillShade="E6"/>
          </w:tcPr>
          <w:p w14:paraId="2C86220D" w14:textId="2AF90BF9" w:rsidR="00B53C39" w:rsidRPr="003E0254" w:rsidRDefault="00DA35C9">
            <w:pPr>
              <w:spacing w:line="276" w:lineRule="auto"/>
              <w:rPr>
                <w:bCs/>
                <w:sz w:val="20"/>
                <w:szCs w:val="20"/>
              </w:rPr>
            </w:pPr>
            <w:r w:rsidRPr="003E0254">
              <w:rPr>
                <w:bCs/>
                <w:sz w:val="20"/>
                <w:szCs w:val="20"/>
              </w:rPr>
              <w:t>Br</w:t>
            </w:r>
            <w:r w:rsidRPr="003E0254">
              <w:rPr>
                <w:bCs/>
                <w:sz w:val="20"/>
                <w:szCs w:val="20"/>
                <w:vertAlign w:val="subscript"/>
              </w:rPr>
              <w:t>2</w:t>
            </w:r>
            <w:r w:rsidR="00996CC5" w:rsidRPr="003E0254">
              <w:rPr>
                <w:sz w:val="20"/>
                <w:szCs w:val="20"/>
                <w:lang w:eastAsia="de-DE"/>
              </w:rPr>
              <w:t>||Zn</w:t>
            </w:r>
          </w:p>
        </w:tc>
        <w:tc>
          <w:tcPr>
            <w:tcW w:w="455" w:type="pct"/>
            <w:shd w:val="clear" w:color="auto" w:fill="D1D1D1" w:themeFill="background2" w:themeFillShade="E6"/>
          </w:tcPr>
          <w:p w14:paraId="30D50D76" w14:textId="77777777" w:rsidR="00B53C39" w:rsidRPr="003E0254" w:rsidRDefault="00DA35C9">
            <w:pPr>
              <w:spacing w:line="276" w:lineRule="auto"/>
              <w:rPr>
                <w:bCs/>
                <w:sz w:val="20"/>
                <w:szCs w:val="20"/>
              </w:rPr>
            </w:pPr>
            <w:r w:rsidRPr="003E0254">
              <w:rPr>
                <w:bCs/>
                <w:sz w:val="20"/>
                <w:szCs w:val="20"/>
              </w:rPr>
              <w:t>Carbon felt</w:t>
            </w:r>
          </w:p>
        </w:tc>
        <w:tc>
          <w:tcPr>
            <w:tcW w:w="607" w:type="pct"/>
            <w:shd w:val="clear" w:color="auto" w:fill="D1D1D1" w:themeFill="background2" w:themeFillShade="E6"/>
          </w:tcPr>
          <w:p w14:paraId="78723F4E" w14:textId="77777777" w:rsidR="00B53C39" w:rsidRPr="003E0254" w:rsidRDefault="00DA35C9">
            <w:pPr>
              <w:spacing w:line="276" w:lineRule="auto"/>
              <w:rPr>
                <w:bCs/>
                <w:sz w:val="20"/>
                <w:szCs w:val="20"/>
              </w:rPr>
            </w:pPr>
            <w:r w:rsidRPr="003E0254">
              <w:rPr>
                <w:bCs/>
                <w:sz w:val="20"/>
                <w:szCs w:val="20"/>
              </w:rPr>
              <w:t>ZnBr</w:t>
            </w:r>
            <w:r w:rsidRPr="003E0254">
              <w:rPr>
                <w:bCs/>
                <w:sz w:val="20"/>
                <w:szCs w:val="20"/>
                <w:vertAlign w:val="subscript"/>
              </w:rPr>
              <w:t>2</w:t>
            </w:r>
          </w:p>
        </w:tc>
        <w:tc>
          <w:tcPr>
            <w:tcW w:w="656" w:type="pct"/>
            <w:shd w:val="clear" w:color="auto" w:fill="D1D1D1" w:themeFill="background2" w:themeFillShade="E6"/>
          </w:tcPr>
          <w:p w14:paraId="51F39290" w14:textId="77777777" w:rsidR="00B53C39" w:rsidRPr="003E0254" w:rsidRDefault="00DA35C9">
            <w:pPr>
              <w:spacing w:line="276" w:lineRule="auto"/>
              <w:rPr>
                <w:sz w:val="20"/>
                <w:szCs w:val="20"/>
              </w:rPr>
            </w:pPr>
            <w:r w:rsidRPr="003E0254">
              <w:rPr>
                <w:bCs/>
                <w:sz w:val="20"/>
                <w:szCs w:val="20"/>
              </w:rPr>
              <w:t>3 Br</w:t>
            </w:r>
            <w:r w:rsidRPr="003E0254">
              <w:rPr>
                <w:bCs/>
                <w:sz w:val="20"/>
                <w:szCs w:val="20"/>
                <w:vertAlign w:val="superscript"/>
              </w:rPr>
              <w:t>-</w:t>
            </w:r>
            <w:r w:rsidRPr="003E0254">
              <w:rPr>
                <w:bCs/>
                <w:sz w:val="20"/>
                <w:szCs w:val="20"/>
              </w:rPr>
              <w:t xml:space="preserve"> </w:t>
            </w:r>
            <w:r w:rsidRPr="003E0254">
              <w:rPr>
                <w:rFonts w:ascii="Cambria Math" w:hAnsi="Cambria Math" w:cs="Cambria Math"/>
                <w:bCs/>
                <w:sz w:val="20"/>
                <w:szCs w:val="20"/>
              </w:rPr>
              <w:t>⇔</w:t>
            </w:r>
            <w:r w:rsidRPr="003E0254">
              <w:rPr>
                <w:bCs/>
                <w:sz w:val="20"/>
                <w:szCs w:val="20"/>
              </w:rPr>
              <w:t xml:space="preserve"> Br</w:t>
            </w:r>
            <w:r w:rsidRPr="003E0254">
              <w:rPr>
                <w:bCs/>
                <w:sz w:val="20"/>
                <w:szCs w:val="20"/>
                <w:vertAlign w:val="superscript"/>
              </w:rPr>
              <w:t>3-</w:t>
            </w:r>
          </w:p>
        </w:tc>
        <w:tc>
          <w:tcPr>
            <w:tcW w:w="513" w:type="pct"/>
            <w:shd w:val="clear" w:color="auto" w:fill="D1D1D1" w:themeFill="background2" w:themeFillShade="E6"/>
          </w:tcPr>
          <w:p w14:paraId="084A88A4" w14:textId="77777777" w:rsidR="00B53C39" w:rsidRPr="003E0254" w:rsidRDefault="00DA35C9">
            <w:pPr>
              <w:spacing w:line="276" w:lineRule="auto"/>
              <w:rPr>
                <w:bCs/>
                <w:sz w:val="20"/>
                <w:szCs w:val="20"/>
              </w:rPr>
            </w:pPr>
            <w:r w:rsidRPr="003E0254">
              <w:rPr>
                <w:bCs/>
                <w:sz w:val="20"/>
                <w:szCs w:val="20"/>
              </w:rPr>
              <w:t>Nafion-117</w:t>
            </w:r>
          </w:p>
        </w:tc>
        <w:tc>
          <w:tcPr>
            <w:tcW w:w="527" w:type="pct"/>
            <w:shd w:val="clear" w:color="auto" w:fill="D1D1D1" w:themeFill="background2" w:themeFillShade="E6"/>
          </w:tcPr>
          <w:p w14:paraId="2E68A564" w14:textId="77777777" w:rsidR="00B53C39" w:rsidRPr="003E0254" w:rsidRDefault="00DA35C9">
            <w:pPr>
              <w:spacing w:line="276" w:lineRule="auto"/>
              <w:rPr>
                <w:bCs/>
                <w:sz w:val="20"/>
                <w:szCs w:val="20"/>
              </w:rPr>
            </w:pPr>
            <w:r w:rsidRPr="003E0254">
              <w:rPr>
                <w:bCs/>
                <w:sz w:val="20"/>
                <w:szCs w:val="20"/>
              </w:rPr>
              <w:t>Carbon felt</w:t>
            </w:r>
          </w:p>
        </w:tc>
        <w:tc>
          <w:tcPr>
            <w:tcW w:w="547" w:type="pct"/>
            <w:shd w:val="clear" w:color="auto" w:fill="D1D1D1" w:themeFill="background2" w:themeFillShade="E6"/>
          </w:tcPr>
          <w:p w14:paraId="7F9DAE70" w14:textId="77777777" w:rsidR="00B53C39" w:rsidRPr="003E0254" w:rsidRDefault="00DA35C9">
            <w:pPr>
              <w:spacing w:line="276" w:lineRule="auto"/>
              <w:rPr>
                <w:bCs/>
                <w:sz w:val="20"/>
                <w:szCs w:val="20"/>
              </w:rPr>
            </w:pPr>
            <w:r w:rsidRPr="003E0254">
              <w:rPr>
                <w:bCs/>
                <w:sz w:val="20"/>
                <w:szCs w:val="20"/>
              </w:rPr>
              <w:t xml:space="preserve">NaOH + </w:t>
            </w:r>
          </w:p>
          <w:p w14:paraId="5F39F8F8" w14:textId="77777777" w:rsidR="00B53C39" w:rsidRPr="003E0254" w:rsidRDefault="00DA35C9">
            <w:pPr>
              <w:spacing w:line="276" w:lineRule="auto"/>
              <w:rPr>
                <w:bCs/>
                <w:sz w:val="20"/>
                <w:szCs w:val="20"/>
              </w:rPr>
            </w:pPr>
            <w:proofErr w:type="spellStart"/>
            <w:r w:rsidRPr="003E0254">
              <w:rPr>
                <w:bCs/>
                <w:sz w:val="20"/>
                <w:szCs w:val="20"/>
              </w:rPr>
              <w:t>ZnO</w:t>
            </w:r>
            <w:proofErr w:type="spellEnd"/>
          </w:p>
        </w:tc>
        <w:tc>
          <w:tcPr>
            <w:tcW w:w="493" w:type="pct"/>
            <w:vMerge/>
            <w:shd w:val="clear" w:color="auto" w:fill="D1D1D1" w:themeFill="background2" w:themeFillShade="E6"/>
            <w:vAlign w:val="center"/>
          </w:tcPr>
          <w:p w14:paraId="4E112CB7" w14:textId="77777777" w:rsidR="00B53C39" w:rsidRPr="003E0254" w:rsidRDefault="00B53C39">
            <w:pPr>
              <w:spacing w:line="276" w:lineRule="auto"/>
              <w:rPr>
                <w:sz w:val="20"/>
                <w:szCs w:val="20"/>
              </w:rPr>
            </w:pPr>
          </w:p>
        </w:tc>
        <w:tc>
          <w:tcPr>
            <w:tcW w:w="295" w:type="pct"/>
            <w:shd w:val="clear" w:color="auto" w:fill="D1D1D1" w:themeFill="background2" w:themeFillShade="E6"/>
          </w:tcPr>
          <w:p w14:paraId="03ED5488" w14:textId="00472372" w:rsidR="00B53C39" w:rsidRPr="003E0254" w:rsidRDefault="00DA35C9">
            <w:pPr>
              <w:spacing w:line="276" w:lineRule="auto"/>
              <w:rPr>
                <w:bCs/>
                <w:sz w:val="20"/>
                <w:szCs w:val="20"/>
              </w:rPr>
            </w:pPr>
            <w:proofErr w:type="spellStart"/>
            <w:r w:rsidRPr="003E0254">
              <w:rPr>
                <w:bCs/>
                <w:sz w:val="20"/>
                <w:szCs w:val="20"/>
              </w:rPr>
              <w:t>Thamizhselvan</w:t>
            </w:r>
            <w:proofErr w:type="spellEnd"/>
            <w:r w:rsidRPr="003E0254">
              <w:rPr>
                <w:bCs/>
                <w:sz w:val="20"/>
                <w:szCs w:val="20"/>
              </w:rPr>
              <w:t xml:space="preserve"> et al.</w:t>
            </w:r>
            <w:r w:rsidR="005548ED" w:rsidRPr="003E0254">
              <w:rPr>
                <w:bCs/>
                <w:sz w:val="20"/>
                <w:szCs w:val="20"/>
              </w:rPr>
              <w:fldChar w:fldCharType="begin" w:fldLock="1"/>
            </w:r>
            <w:r w:rsidR="00500B8D" w:rsidRPr="003E0254">
              <w:rPr>
                <w:bCs/>
                <w:sz w:val="20"/>
                <w:szCs w:val="20"/>
              </w:rPr>
              <w:instrText>ADDIN CSL_CITATION {"citationItems":[{"id":"ITEM-1","itemData":{"DOI":"10.1016/J.ELECTACTA.2022.141799","ISSN":"0013-4686","abstract":"Environmentally benign, affordable alkaline Zn(OH)42−/Zn redox flow battery (RFB) remain a promising energy storage system for stationary applications owing to it's two electron transfer abilities having redox potential (-1.26 V vs SHE) with 820 Ahkg−1 theoretical capacity. It is hypothesized that meticulously tailoring the pH of the anolyte from neutral to alkaline medium could significantly lower the redox potential of zinc from -0.76 V vs standard hydrogen potential (SHE) to -1.26 V adding 500 mV to the conventional RFB systems significantly improving overall energy density. Herein, a new hybrid alkaline based ZnBr2 redox flow battery (AZBB) is demonstrated by pairing Zn(OH)42−/Zn redox couple as anolyte with 2Br−/Br2 redox couple as catholyte with exceptionally high (2.34 V) cell voltage. Very interestingly, AZBB shows a higher charging voltage of 2.47 V and discharge voltage of 2.1 V at current density of 40 mA cm−2 with 88 % coulombic efficiency, 79 % voltage efficiency and 70 % energy efficiency. Even at high current density of 120 mA cm−2, the AZBB shows a coulombic efficiency of 90 %, voltage efficiency of 52% and energy efficiency 46 % with the high discharge voltage of 1.75 V. More importantly, the new hybrid alkaline based ZnBr2 redox flow battery stably runs 500 cycles at 20 mA cm−2 with the coulombic efficiency of 73 %, voltage efficiency of 80 % and energy efficiency of 58 %. Thus, the new strategy of fine tuning the pH of electrolytes leads to an efficient route to achieve higher cell voltage with 27 % high energy density RFB systems.","author":[{"dropping-particle":"","family":"Thamizhselvan","given":"Rahul","non-dropping-particle":"","parse-names":false,"suffix":""},{"dropping-particle":"","family":"Naresh","given":"Raghupandiyan","non-dropping-particle":"","parse-names":false,"suffix":""},{"dropping-particle":"","family":"Ulaganathan","given":"Mani","non-dropping-particle":"","parse-names":false,"suffix":""},{"dropping-particle":"","family":"Pol","given":"Vilas G.","non-dropping-particle":"","parse-names":false,"suffix":""},{"dropping-particle":"","family":"Ragupathy","given":"Pitchai","non-dropping-particle":"","parse-names":false,"suffix":""}],"container-title":"Electrochimica Acta","id":"ITEM-1","issued":{"date-parts":[["2023","2","10"]]},"page":"141799","publisher":"Pergamon","title":"Achieving Exceptional Cell Voltage (2.34 V) through Tailoring pH of Aqueous Zn-Br2 Redox Flow Battery for Potential Large-Scale Energy Storage","type":"article-journal","volume":"441"},"uris":["http://www.mendeley.com/documents/?uuid=4ce32a48-d9c4-30e7-a0a3-6286d942a146"]}],"mendeley":{"formattedCitation":"&lt;sup&gt;[266]&lt;/sup&gt;","plainTextFormattedCitation":"[266]","previouslyFormattedCitation":"&lt;sup&gt;[265]&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[266]</w:t>
            </w:r>
            <w:r w:rsidR="005548ED" w:rsidRPr="003E0254">
              <w:rPr>
                <w:bCs/>
                <w:sz w:val="20"/>
                <w:szCs w:val="20"/>
              </w:rPr>
              <w:fldChar w:fldCharType="end"/>
            </w:r>
          </w:p>
        </w:tc>
      </w:tr>
      <w:tr w:rsidR="00B53C39" w:rsidRPr="003E0254" w14:paraId="7E050CE5" w14:textId="77777777">
        <w:tc>
          <w:tcPr>
            <w:tcW w:w="419" w:type="pct"/>
            <w:vMerge/>
            <w:shd w:val="clear" w:color="auto" w:fill="D1D1D1" w:themeFill="background2" w:themeFillShade="E6"/>
          </w:tcPr>
          <w:p w14:paraId="68A5B879" w14:textId="77777777" w:rsidR="00B53C39" w:rsidRPr="003E0254" w:rsidRDefault="00B53C39">
            <w:pPr>
              <w:spacing w:line="276" w:lineRule="auto"/>
              <w:rPr>
                <w:b/>
                <w:bCs/>
                <w:sz w:val="20"/>
                <w:szCs w:val="20"/>
                <w:u w:val="single"/>
              </w:rPr>
            </w:pPr>
          </w:p>
        </w:tc>
        <w:tc>
          <w:tcPr>
            <w:tcW w:w="488" w:type="pct"/>
            <w:shd w:val="clear" w:color="auto" w:fill="D1D1D1" w:themeFill="background2" w:themeFillShade="E6"/>
          </w:tcPr>
          <w:p w14:paraId="38A2E04F" w14:textId="38B6BCA1" w:rsidR="00B53C39" w:rsidRPr="003E0254" w:rsidRDefault="00DA35C9">
            <w:pPr>
              <w:spacing w:line="276" w:lineRule="auto"/>
              <w:rPr>
                <w:bCs/>
                <w:sz w:val="20"/>
                <w:szCs w:val="20"/>
              </w:rPr>
            </w:pPr>
            <w:r w:rsidRPr="003E0254">
              <w:rPr>
                <w:bCs/>
                <w:sz w:val="20"/>
                <w:szCs w:val="20"/>
              </w:rPr>
              <w:t>Ni</w:t>
            </w:r>
            <w:r w:rsidR="00996CC5" w:rsidRPr="003E0254">
              <w:rPr>
                <w:sz w:val="20"/>
                <w:szCs w:val="20"/>
                <w:lang w:eastAsia="de-DE"/>
              </w:rPr>
              <w:t>||Zn</w:t>
            </w:r>
          </w:p>
        </w:tc>
        <w:tc>
          <w:tcPr>
            <w:tcW w:w="455" w:type="pct"/>
            <w:shd w:val="clear" w:color="auto" w:fill="D1D1D1" w:themeFill="background2" w:themeFillShade="E6"/>
          </w:tcPr>
          <w:p w14:paraId="5B84152F" w14:textId="77777777" w:rsidR="00B53C39" w:rsidRPr="003E0254" w:rsidRDefault="00DA35C9">
            <w:pPr>
              <w:spacing w:line="276" w:lineRule="auto"/>
              <w:rPr>
                <w:bCs/>
                <w:sz w:val="20"/>
                <w:szCs w:val="20"/>
              </w:rPr>
            </w:pPr>
            <w:r w:rsidRPr="003E0254">
              <w:rPr>
                <w:bCs/>
                <w:sz w:val="20"/>
                <w:szCs w:val="20"/>
              </w:rPr>
              <w:t>Pt/C coated gas diffusion layer</w:t>
            </w:r>
          </w:p>
        </w:tc>
        <w:tc>
          <w:tcPr>
            <w:tcW w:w="607" w:type="pct"/>
            <w:shd w:val="clear" w:color="auto" w:fill="D1D1D1" w:themeFill="background2" w:themeFillShade="E6"/>
          </w:tcPr>
          <w:p w14:paraId="752D87C9" w14:textId="77777777" w:rsidR="00B53C39" w:rsidRPr="003E0254" w:rsidRDefault="00DA35C9">
            <w:pPr>
              <w:spacing w:line="276" w:lineRule="auto"/>
              <w:rPr>
                <w:bCs/>
                <w:sz w:val="20"/>
                <w:szCs w:val="20"/>
              </w:rPr>
            </w:pPr>
            <w:r w:rsidRPr="003E0254">
              <w:rPr>
                <w:bCs/>
                <w:sz w:val="20"/>
                <w:szCs w:val="20"/>
              </w:rPr>
              <w:t xml:space="preserve">sintered </w:t>
            </w:r>
            <w:proofErr w:type="gramStart"/>
            <w:r w:rsidRPr="003E0254">
              <w:rPr>
                <w:bCs/>
                <w:sz w:val="20"/>
                <w:szCs w:val="20"/>
              </w:rPr>
              <w:t>Ni(</w:t>
            </w:r>
            <w:proofErr w:type="gramEnd"/>
            <w:r w:rsidRPr="003E0254">
              <w:rPr>
                <w:bCs/>
                <w:sz w:val="20"/>
                <w:szCs w:val="20"/>
              </w:rPr>
              <w:t>OH)</w:t>
            </w:r>
            <w:r w:rsidRPr="003E0254">
              <w:rPr>
                <w:bCs/>
                <w:sz w:val="20"/>
                <w:szCs w:val="20"/>
                <w:vertAlign w:val="subscript"/>
              </w:rPr>
              <w:t>2</w:t>
            </w:r>
            <w:r w:rsidRPr="003E0254">
              <w:rPr>
                <w:bCs/>
                <w:sz w:val="20"/>
                <w:szCs w:val="20"/>
              </w:rPr>
              <w:t>/</w:t>
            </w:r>
            <w:proofErr w:type="spellStart"/>
            <w:r w:rsidRPr="003E0254">
              <w:rPr>
                <w:bCs/>
                <w:sz w:val="20"/>
                <w:szCs w:val="20"/>
              </w:rPr>
              <w:t>NiOOH</w:t>
            </w:r>
            <w:proofErr w:type="spellEnd"/>
          </w:p>
          <w:p w14:paraId="6EBF1072" w14:textId="77777777" w:rsidR="00B53C39" w:rsidRPr="003E0254" w:rsidRDefault="00B53C39">
            <w:pPr>
              <w:spacing w:line="276" w:lineRule="auto"/>
              <w:rPr>
                <w:bCs/>
                <w:sz w:val="20"/>
                <w:szCs w:val="20"/>
              </w:rPr>
            </w:pPr>
          </w:p>
        </w:tc>
        <w:tc>
          <w:tcPr>
            <w:tcW w:w="656" w:type="pct"/>
            <w:shd w:val="clear" w:color="auto" w:fill="D1D1D1" w:themeFill="background2" w:themeFillShade="E6"/>
          </w:tcPr>
          <w:p w14:paraId="32E6CAF1" w14:textId="77777777" w:rsidR="00B53C39" w:rsidRPr="003E0254" w:rsidRDefault="00DA35C9">
            <w:pPr>
              <w:spacing w:line="276" w:lineRule="auto"/>
              <w:rPr>
                <w:bCs/>
                <w:sz w:val="20"/>
                <w:szCs w:val="20"/>
                <w:lang w:val="pl-PL"/>
              </w:rPr>
            </w:pPr>
            <w:r w:rsidRPr="003E0254">
              <w:rPr>
                <w:bCs/>
                <w:sz w:val="20"/>
                <w:szCs w:val="20"/>
                <w:lang w:val="pl-PL"/>
              </w:rPr>
              <w:t>2 Ni(OH)</w:t>
            </w:r>
            <w:r w:rsidRPr="003E0254">
              <w:rPr>
                <w:bCs/>
                <w:sz w:val="20"/>
                <w:szCs w:val="20"/>
                <w:vertAlign w:val="subscript"/>
                <w:lang w:val="pl-PL"/>
              </w:rPr>
              <w:t>2</w:t>
            </w:r>
            <w:r w:rsidRPr="003E0254">
              <w:rPr>
                <w:bCs/>
                <w:sz w:val="20"/>
                <w:szCs w:val="20"/>
                <w:lang w:val="pl-PL"/>
              </w:rPr>
              <w:t xml:space="preserve"> + 2 OH</w:t>
            </w:r>
            <w:r w:rsidRPr="003E0254">
              <w:rPr>
                <w:bCs/>
                <w:sz w:val="20"/>
                <w:szCs w:val="20"/>
                <w:vertAlign w:val="superscript"/>
                <w:lang w:val="pl-PL"/>
              </w:rPr>
              <w:t>−</w:t>
            </w:r>
            <w:r w:rsidRPr="003E0254">
              <w:rPr>
                <w:bCs/>
                <w:sz w:val="20"/>
                <w:szCs w:val="20"/>
                <w:lang w:val="pl-PL"/>
              </w:rPr>
              <w:t xml:space="preserve"> ↔ 2 NiOOH + 2 H</w:t>
            </w:r>
            <w:r w:rsidRPr="003E0254">
              <w:rPr>
                <w:bCs/>
                <w:sz w:val="20"/>
                <w:szCs w:val="20"/>
                <w:vertAlign w:val="subscript"/>
                <w:lang w:val="pl-PL"/>
              </w:rPr>
              <w:t>2</w:t>
            </w:r>
            <w:r w:rsidRPr="003E0254">
              <w:rPr>
                <w:bCs/>
                <w:sz w:val="20"/>
                <w:szCs w:val="20"/>
                <w:lang w:val="pl-PL"/>
              </w:rPr>
              <w:t>O + 2e</w:t>
            </w:r>
            <w:r w:rsidRPr="003E0254">
              <w:rPr>
                <w:bCs/>
                <w:sz w:val="20"/>
                <w:szCs w:val="20"/>
                <w:vertAlign w:val="superscript"/>
                <w:lang w:val="pl-PL"/>
              </w:rPr>
              <w:t>−</w:t>
            </w:r>
          </w:p>
        </w:tc>
        <w:tc>
          <w:tcPr>
            <w:tcW w:w="513" w:type="pct"/>
            <w:shd w:val="clear" w:color="auto" w:fill="D1D1D1" w:themeFill="background2" w:themeFillShade="E6"/>
          </w:tcPr>
          <w:p w14:paraId="5B045E2F" w14:textId="77777777" w:rsidR="00B53C39" w:rsidRPr="003E0254" w:rsidRDefault="00DA35C9">
            <w:pPr>
              <w:spacing w:line="276" w:lineRule="auto"/>
              <w:rPr>
                <w:bCs/>
                <w:sz w:val="20"/>
                <w:szCs w:val="20"/>
              </w:rPr>
            </w:pPr>
            <w:r w:rsidRPr="003E0254">
              <w:rPr>
                <w:bCs/>
                <w:sz w:val="20"/>
                <w:szCs w:val="20"/>
              </w:rPr>
              <w:t>No separator</w:t>
            </w:r>
          </w:p>
        </w:tc>
        <w:tc>
          <w:tcPr>
            <w:tcW w:w="527" w:type="pct"/>
            <w:shd w:val="clear" w:color="auto" w:fill="D1D1D1" w:themeFill="background2" w:themeFillShade="E6"/>
          </w:tcPr>
          <w:p w14:paraId="519E1AB9" w14:textId="77777777" w:rsidR="00B53C39" w:rsidRPr="003E0254" w:rsidRDefault="00DA35C9">
            <w:pPr>
              <w:spacing w:line="276" w:lineRule="auto"/>
              <w:rPr>
                <w:bCs/>
                <w:sz w:val="20"/>
                <w:szCs w:val="20"/>
              </w:rPr>
            </w:pPr>
            <w:r w:rsidRPr="003E0254">
              <w:rPr>
                <w:bCs/>
                <w:sz w:val="20"/>
                <w:szCs w:val="20"/>
              </w:rPr>
              <w:t>Zinc plate</w:t>
            </w:r>
          </w:p>
        </w:tc>
        <w:tc>
          <w:tcPr>
            <w:tcW w:w="547" w:type="pct"/>
            <w:shd w:val="clear" w:color="auto" w:fill="D1D1D1" w:themeFill="background2" w:themeFillShade="E6"/>
          </w:tcPr>
          <w:p w14:paraId="39740965" w14:textId="77777777" w:rsidR="00B53C39" w:rsidRPr="003E0254" w:rsidRDefault="00DA35C9">
            <w:pPr>
              <w:spacing w:line="276" w:lineRule="auto"/>
              <w:rPr>
                <w:bCs/>
                <w:sz w:val="20"/>
                <w:szCs w:val="20"/>
              </w:rPr>
            </w:pPr>
            <w:proofErr w:type="spellStart"/>
            <w:r w:rsidRPr="003E0254">
              <w:rPr>
                <w:bCs/>
                <w:sz w:val="20"/>
                <w:szCs w:val="20"/>
              </w:rPr>
              <w:t>ZnO</w:t>
            </w:r>
            <w:proofErr w:type="spellEnd"/>
            <w:r w:rsidRPr="003E0254">
              <w:rPr>
                <w:bCs/>
                <w:sz w:val="20"/>
                <w:szCs w:val="20"/>
              </w:rPr>
              <w:t xml:space="preserve"> + KOH </w:t>
            </w:r>
          </w:p>
        </w:tc>
        <w:tc>
          <w:tcPr>
            <w:tcW w:w="493" w:type="pct"/>
            <w:vMerge/>
            <w:shd w:val="clear" w:color="auto" w:fill="D1D1D1" w:themeFill="background2" w:themeFillShade="E6"/>
          </w:tcPr>
          <w:p w14:paraId="33992788" w14:textId="77777777" w:rsidR="00B53C39" w:rsidRPr="003E0254" w:rsidRDefault="00B53C39">
            <w:pPr>
              <w:spacing w:line="276" w:lineRule="auto"/>
              <w:rPr>
                <w:bCs/>
                <w:sz w:val="20"/>
                <w:szCs w:val="20"/>
              </w:rPr>
            </w:pPr>
          </w:p>
        </w:tc>
        <w:tc>
          <w:tcPr>
            <w:tcW w:w="295" w:type="pct"/>
            <w:shd w:val="clear" w:color="auto" w:fill="D1D1D1" w:themeFill="background2" w:themeFillShade="E6"/>
          </w:tcPr>
          <w:p w14:paraId="158E5CF5" w14:textId="62B71F83" w:rsidR="00B53C39" w:rsidRPr="003E0254" w:rsidRDefault="00DA35C9">
            <w:pPr>
              <w:spacing w:line="276" w:lineRule="auto"/>
              <w:rPr>
                <w:bCs/>
                <w:sz w:val="20"/>
                <w:szCs w:val="20"/>
              </w:rPr>
            </w:pPr>
            <w:r w:rsidRPr="003E0254">
              <w:rPr>
                <w:bCs/>
                <w:sz w:val="20"/>
                <w:szCs w:val="20"/>
              </w:rPr>
              <w:t>Cheng et al.</w:t>
            </w:r>
            <w:r w:rsidR="005548ED" w:rsidRPr="003E0254">
              <w:rPr>
                <w:bCs/>
                <w:sz w:val="20"/>
                <w:szCs w:val="20"/>
              </w:rPr>
              <w:fldChar w:fldCharType="begin" w:fldLock="1"/>
            </w:r>
            <w:r w:rsidR="00500B8D" w:rsidRPr="003E0254">
              <w:rPr>
                <w:bCs/>
                <w:sz w:val="20"/>
                <w:szCs w:val="20"/>
              </w:rPr>
              <w:instrText>ADDIN CSL_CITATION {"citationItems":[{"id":"ITEM-1","itemData":{"DOI":"10.1016/J.NANOEN.2019.06.018","ISSN":"2211-2855","abstract":"Zinc nickel flow battery is one of the most promising energy storage technologies for intermittently renewable solar and wind power. However, unpaired coulombic efficiency of nickel hydroxide cathode and zinc anode causes zinc accumulation in practical operation, which shortens the cycle life and impedes the commercialization of the battery. Here, we induce an additional O2/OH− redox couple integrated with NiOOH/Ni(OH)2 as cathode energy storage materials. Benefit from the new reaction mechanism of the hybrid cathode, deposited zinc upon charge can be fully consumed during discharge, which completely avoids zinc accumulation issue. The new designed battery vigorously operates for more than 1100 h with negligible performance degradation, while the energy efficiency of pristine zinc-nickel flow battery dramatically reduces after 440 h. More importantly, the specific capacity of the cathode synchronously increases by 2.5 times and thereby the energy density. This system dexterously integrates dual redox couples into one hybrid unit at cathode complementing advantages of one another, demonstrating a broader method to solve the problem of unpaired coulombic efficiency in zinc based flow batteries.","author":[{"dropping-particle":"","family":"Cheng","given":"Yuanhui","non-dropping-particle":"","parse-names":false,"suffix":""},{"dropping-particle":"","family":"Zhang","given":"Ningyuan","non-dropping-particle":"","parse-names":false,"suffix":""},{"dropping-particle":"","family":"Wang","given":"Qiuli","non-dropping-particle":"","parse-names":false,"suffix":""},{"dropping-particle":"","family":"Guo","given":"Yinjian","non-dropping-particle":"","parse-names":false,"suffix":""},{"dropping-particle":"","family":"Tao","given":"Shuo","non-dropping-particle":"","parse-names":false,"suffix":""},{"dropping-particle":"","family":"Liao","given":"Zhijian","non-dropping-particle":"","parse-names":false,"suffix":""},{"dropping-particle":"","family":"Jiang","given":"Peng","non-dropping-particle":"","parse-names":false,"suffix":""},{"dropping-particle":"","family":"Xiang","given":"Zhonghua","non-dropping-particle":"","parse-names":false,"suffix":""}],"container-title":"Nano Energy","id":"ITEM-1","issued":{"date-parts":[["2019","9","1"]]},"page":"103822","publisher":"Elsevier","title":"A long-life hybrid zinc flow battery achieved by dual redox couples at cathode","type":"article-journal","volume":"63"},"uris":["http://www.mendeley.com/documents/?uuid=fc9b9694-3a2b-38c1-b102-0744dda786a7"]}],"mendeley":{"formattedCitation":"&lt;sup&gt;[267]&lt;/sup&gt;","plainTextFormattedCitation":"[267]","previouslyFormattedCitation":"&lt;sup&gt;[266]&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[267]</w:t>
            </w:r>
            <w:r w:rsidR="005548ED" w:rsidRPr="003E0254">
              <w:rPr>
                <w:bCs/>
                <w:sz w:val="20"/>
                <w:szCs w:val="20"/>
              </w:rPr>
              <w:fldChar w:fldCharType="end"/>
            </w:r>
            <w:r w:rsidRPr="003E0254">
              <w:rPr>
                <w:bCs/>
                <w:sz w:val="20"/>
                <w:szCs w:val="20"/>
              </w:rPr>
              <w:t xml:space="preserve"> </w:t>
            </w:r>
          </w:p>
        </w:tc>
      </w:tr>
      <w:tr w:rsidR="00B53C39" w:rsidRPr="003E0254" w14:paraId="13E888DE" w14:textId="77777777">
        <w:tc>
          <w:tcPr>
            <w:tcW w:w="419" w:type="pct"/>
            <w:vMerge/>
            <w:shd w:val="clear" w:color="auto" w:fill="D1D1D1" w:themeFill="background2" w:themeFillShade="E6"/>
          </w:tcPr>
          <w:p w14:paraId="22CC99B1" w14:textId="77777777" w:rsidR="00B53C39" w:rsidRPr="003E0254" w:rsidRDefault="00B53C39">
            <w:pPr>
              <w:spacing w:line="276" w:lineRule="auto"/>
              <w:rPr>
                <w:b/>
                <w:bCs/>
                <w:sz w:val="20"/>
                <w:szCs w:val="20"/>
                <w:u w:val="single"/>
              </w:rPr>
            </w:pPr>
          </w:p>
        </w:tc>
        <w:tc>
          <w:tcPr>
            <w:tcW w:w="488" w:type="pct"/>
            <w:shd w:val="clear" w:color="auto" w:fill="D1D1D1" w:themeFill="background2" w:themeFillShade="E6"/>
          </w:tcPr>
          <w:p w14:paraId="1E30CF61" w14:textId="77777777" w:rsidR="00B53C39" w:rsidRPr="003E0254" w:rsidRDefault="00DA35C9">
            <w:pPr>
              <w:spacing w:line="276" w:lineRule="auto"/>
              <w:rPr>
                <w:bCs/>
                <w:sz w:val="20"/>
                <w:szCs w:val="20"/>
              </w:rPr>
            </w:pPr>
            <w:r w:rsidRPr="003E0254">
              <w:rPr>
                <w:bCs/>
                <w:sz w:val="20"/>
                <w:szCs w:val="20"/>
              </w:rPr>
              <w:t>Zn-air</w:t>
            </w:r>
          </w:p>
        </w:tc>
        <w:tc>
          <w:tcPr>
            <w:tcW w:w="455" w:type="pct"/>
            <w:shd w:val="clear" w:color="auto" w:fill="D1D1D1" w:themeFill="background2" w:themeFillShade="E6"/>
          </w:tcPr>
          <w:p w14:paraId="519078EE" w14:textId="77777777" w:rsidR="00B53C39" w:rsidRPr="003E0254" w:rsidRDefault="00DA35C9">
            <w:pPr>
              <w:spacing w:line="276" w:lineRule="auto"/>
              <w:rPr>
                <w:bCs/>
                <w:sz w:val="20"/>
                <w:szCs w:val="20"/>
              </w:rPr>
            </w:pPr>
            <w:r w:rsidRPr="003E0254">
              <w:rPr>
                <w:bCs/>
                <w:sz w:val="20"/>
                <w:szCs w:val="20"/>
              </w:rPr>
              <w:t>O</w:t>
            </w:r>
            <w:r w:rsidRPr="003E0254">
              <w:rPr>
                <w:bCs/>
                <w:sz w:val="20"/>
                <w:szCs w:val="20"/>
                <w:vertAlign w:val="subscript"/>
              </w:rPr>
              <w:t>2</w:t>
            </w:r>
          </w:p>
        </w:tc>
        <w:tc>
          <w:tcPr>
            <w:tcW w:w="607" w:type="pct"/>
            <w:shd w:val="clear" w:color="auto" w:fill="D1D1D1" w:themeFill="background2" w:themeFillShade="E6"/>
          </w:tcPr>
          <w:p w14:paraId="2E7C213F" w14:textId="77777777" w:rsidR="00B53C39" w:rsidRPr="003E0254" w:rsidRDefault="00DA35C9">
            <w:pPr>
              <w:spacing w:line="276" w:lineRule="auto"/>
              <w:rPr>
                <w:bCs/>
                <w:sz w:val="20"/>
                <w:szCs w:val="20"/>
              </w:rPr>
            </w:pPr>
            <w:proofErr w:type="spellStart"/>
            <w:r w:rsidRPr="003E0254">
              <w:rPr>
                <w:sz w:val="20"/>
                <w:szCs w:val="20"/>
              </w:rPr>
              <w:t>Co</w:t>
            </w:r>
            <w:r w:rsidRPr="003E0254">
              <w:rPr>
                <w:sz w:val="20"/>
                <w:szCs w:val="20"/>
                <w:vertAlign w:val="superscript"/>
              </w:rPr>
              <w:t>III</w:t>
            </w:r>
            <w:r w:rsidRPr="003E0254">
              <w:rPr>
                <w:sz w:val="20"/>
                <w:szCs w:val="20"/>
              </w:rPr>
              <w:t>TiPA</w:t>
            </w:r>
            <w:proofErr w:type="spellEnd"/>
            <w:r w:rsidRPr="003E0254">
              <w:rPr>
                <w:sz w:val="20"/>
                <w:szCs w:val="20"/>
              </w:rPr>
              <w:t xml:space="preserve"> + NaOH</w:t>
            </w:r>
          </w:p>
        </w:tc>
        <w:tc>
          <w:tcPr>
            <w:tcW w:w="656" w:type="pct"/>
            <w:shd w:val="clear" w:color="auto" w:fill="D1D1D1" w:themeFill="background2" w:themeFillShade="E6"/>
          </w:tcPr>
          <w:p w14:paraId="6B143F1B" w14:textId="77777777" w:rsidR="00B53C39" w:rsidRPr="003E0254" w:rsidRDefault="00DA35C9">
            <w:pPr>
              <w:spacing w:line="276" w:lineRule="auto"/>
              <w:rPr>
                <w:bCs/>
                <w:sz w:val="20"/>
                <w:szCs w:val="20"/>
              </w:rPr>
            </w:pPr>
            <w:r w:rsidRPr="003E0254">
              <w:rPr>
                <w:sz w:val="20"/>
                <w:szCs w:val="20"/>
              </w:rPr>
              <w:t xml:space="preserve">cobalt </w:t>
            </w:r>
            <w:proofErr w:type="spellStart"/>
            <w:r w:rsidRPr="003E0254">
              <w:rPr>
                <w:sz w:val="20"/>
                <w:szCs w:val="20"/>
              </w:rPr>
              <w:t>triisopropanolamine</w:t>
            </w:r>
            <w:proofErr w:type="spellEnd"/>
            <w:r w:rsidRPr="003E0254">
              <w:rPr>
                <w:sz w:val="20"/>
                <w:szCs w:val="20"/>
              </w:rPr>
              <w:t>-mediated ORR reaction</w:t>
            </w:r>
          </w:p>
        </w:tc>
        <w:tc>
          <w:tcPr>
            <w:tcW w:w="513" w:type="pct"/>
            <w:shd w:val="clear" w:color="auto" w:fill="D1D1D1" w:themeFill="background2" w:themeFillShade="E6"/>
          </w:tcPr>
          <w:p w14:paraId="02C5EB1E" w14:textId="77777777" w:rsidR="00B53C39" w:rsidRPr="003E0254" w:rsidRDefault="00DA35C9">
            <w:pPr>
              <w:spacing w:line="276" w:lineRule="auto"/>
              <w:rPr>
                <w:bCs/>
                <w:sz w:val="20"/>
                <w:szCs w:val="20"/>
              </w:rPr>
            </w:pPr>
            <w:r w:rsidRPr="003E0254">
              <w:rPr>
                <w:sz w:val="20"/>
                <w:szCs w:val="20"/>
              </w:rPr>
              <w:t>anion-exchange membrane (</w:t>
            </w:r>
            <w:proofErr w:type="spellStart"/>
            <w:r w:rsidRPr="003E0254">
              <w:rPr>
                <w:sz w:val="20"/>
                <w:szCs w:val="20"/>
              </w:rPr>
              <w:t>Sustainion</w:t>
            </w:r>
            <w:proofErr w:type="spellEnd"/>
            <w:r w:rsidRPr="003E0254">
              <w:rPr>
                <w:sz w:val="20"/>
                <w:szCs w:val="20"/>
              </w:rPr>
              <w:t xml:space="preserve"> X37-50)</w:t>
            </w:r>
          </w:p>
        </w:tc>
        <w:tc>
          <w:tcPr>
            <w:tcW w:w="527" w:type="pct"/>
            <w:shd w:val="clear" w:color="auto" w:fill="D1D1D1" w:themeFill="background2" w:themeFillShade="E6"/>
          </w:tcPr>
          <w:p w14:paraId="7DD99E8F" w14:textId="77777777" w:rsidR="00B53C39" w:rsidRPr="003E0254" w:rsidRDefault="00DA35C9">
            <w:pPr>
              <w:spacing w:line="276" w:lineRule="auto"/>
              <w:rPr>
                <w:bCs/>
                <w:sz w:val="20"/>
                <w:szCs w:val="20"/>
              </w:rPr>
            </w:pPr>
            <w:r w:rsidRPr="003E0254">
              <w:rPr>
                <w:bCs/>
                <w:sz w:val="20"/>
                <w:szCs w:val="20"/>
              </w:rPr>
              <w:t xml:space="preserve">Granules of </w:t>
            </w:r>
            <w:r w:rsidRPr="003E0254">
              <w:rPr>
                <w:sz w:val="20"/>
                <w:szCs w:val="20"/>
              </w:rPr>
              <w:t xml:space="preserve">90 </w:t>
            </w:r>
            <w:proofErr w:type="spellStart"/>
            <w:r w:rsidRPr="003E0254">
              <w:rPr>
                <w:sz w:val="20"/>
                <w:szCs w:val="20"/>
              </w:rPr>
              <w:t>wt</w:t>
            </w:r>
            <w:proofErr w:type="spellEnd"/>
            <w:r w:rsidRPr="003E0254">
              <w:rPr>
                <w:sz w:val="20"/>
                <w:szCs w:val="20"/>
              </w:rPr>
              <w:t xml:space="preserve"> % Zn 5 </w:t>
            </w:r>
            <w:proofErr w:type="spellStart"/>
            <w:r w:rsidRPr="003E0254">
              <w:rPr>
                <w:sz w:val="20"/>
                <w:szCs w:val="20"/>
              </w:rPr>
              <w:t>wt</w:t>
            </w:r>
            <w:proofErr w:type="spellEnd"/>
            <w:r w:rsidRPr="003E0254">
              <w:rPr>
                <w:sz w:val="20"/>
                <w:szCs w:val="20"/>
              </w:rPr>
              <w:t xml:space="preserve"> % carbon black, 5 </w:t>
            </w:r>
            <w:proofErr w:type="spellStart"/>
            <w:r w:rsidRPr="003E0254">
              <w:rPr>
                <w:sz w:val="20"/>
                <w:szCs w:val="20"/>
              </w:rPr>
              <w:t>wt</w:t>
            </w:r>
            <w:proofErr w:type="spellEnd"/>
            <w:r w:rsidRPr="003E0254">
              <w:rPr>
                <w:sz w:val="20"/>
                <w:szCs w:val="20"/>
              </w:rPr>
              <w:t xml:space="preserve"> % of PVDF</w:t>
            </w:r>
          </w:p>
        </w:tc>
        <w:tc>
          <w:tcPr>
            <w:tcW w:w="547" w:type="pct"/>
            <w:shd w:val="clear" w:color="auto" w:fill="D1D1D1" w:themeFill="background2" w:themeFillShade="E6"/>
          </w:tcPr>
          <w:p w14:paraId="20A4CACA" w14:textId="77777777" w:rsidR="00B53C39" w:rsidRPr="003E0254" w:rsidRDefault="00DA35C9">
            <w:pPr>
              <w:spacing w:line="276" w:lineRule="auto"/>
              <w:rPr>
                <w:bCs/>
                <w:sz w:val="20"/>
                <w:szCs w:val="20"/>
              </w:rPr>
            </w:pPr>
            <w:r w:rsidRPr="003E0254">
              <w:rPr>
                <w:sz w:val="20"/>
                <w:szCs w:val="20"/>
              </w:rPr>
              <w:t>DHPS + NaOH</w:t>
            </w:r>
          </w:p>
        </w:tc>
        <w:tc>
          <w:tcPr>
            <w:tcW w:w="493" w:type="pct"/>
            <w:vMerge/>
            <w:shd w:val="clear" w:color="auto" w:fill="D1D1D1" w:themeFill="background2" w:themeFillShade="E6"/>
          </w:tcPr>
          <w:p w14:paraId="6D047515" w14:textId="77777777" w:rsidR="00B53C39" w:rsidRPr="003E0254" w:rsidRDefault="00B53C39">
            <w:pPr>
              <w:spacing w:line="276" w:lineRule="auto"/>
              <w:rPr>
                <w:bCs/>
                <w:sz w:val="20"/>
                <w:szCs w:val="20"/>
              </w:rPr>
            </w:pPr>
          </w:p>
        </w:tc>
        <w:tc>
          <w:tcPr>
            <w:tcW w:w="295" w:type="pct"/>
            <w:shd w:val="clear" w:color="auto" w:fill="D1D1D1" w:themeFill="background2" w:themeFillShade="E6"/>
          </w:tcPr>
          <w:p w14:paraId="5F0C8E54" w14:textId="4AF80AE7" w:rsidR="00B53C39" w:rsidRPr="003E0254" w:rsidRDefault="00DA35C9">
            <w:pPr>
              <w:spacing w:line="276" w:lineRule="auto"/>
              <w:rPr>
                <w:bCs/>
                <w:sz w:val="20"/>
                <w:szCs w:val="20"/>
              </w:rPr>
            </w:pPr>
            <w:r w:rsidRPr="003E0254">
              <w:rPr>
                <w:bCs/>
                <w:sz w:val="20"/>
                <w:szCs w:val="20"/>
              </w:rPr>
              <w:t>Zhang et al</w:t>
            </w:r>
            <w:r w:rsidR="005548ED" w:rsidRPr="003E0254">
              <w:rPr>
                <w:bCs/>
                <w:sz w:val="20"/>
                <w:szCs w:val="20"/>
              </w:rPr>
              <w:t>.</w:t>
            </w:r>
            <w:r w:rsidR="005548ED" w:rsidRPr="003E0254">
              <w:rPr>
                <w:bCs/>
                <w:sz w:val="20"/>
                <w:szCs w:val="20"/>
              </w:rPr>
              <w:fldChar w:fldCharType="begin" w:fldLock="1"/>
            </w:r>
            <w:r w:rsidR="00500B8D" w:rsidRPr="003E0254">
              <w:rPr>
                <w:bCs/>
                <w:sz w:val="20"/>
                <w:szCs w:val="20"/>
              </w:rPr>
              <w:instrText>ADDIN CSL_CITATION {"citationItems":[{"id":"ITEM-1","itemData":{"DOI":"10.1021/ACSENERGYLETT.2C01347/ASSET/IMAGES/LARGE/NZ2C01347_0006.JPEG","ISSN":"23808195","abstract":"Zinc-air batteries (ZABs) have recently attracted revived interest. However, critical issues pertaining to the labile zinc anode and sluggish air cathode have yet to be adequately addressed. Here, we demonstrate a redox-mediated zinc-air fuel cell (RM-ZAFC) to tackle the above problems. Upon operation, the complex cobalt triisopropanolamine serves as an electrolyte-borne electron carrier and homogeneous catalyst to boost the 4e-oxygen reduction reaction in a separate gas diffusion tank, which makes the system free of a sophisticated air electrode. With mediation by the ultrafast reaction with a phenazine derivative, zinc could be liberated from the electrode to a separate \"fuel\" tank at high utilization (&gt;90%), making it feasible to be \"refueled\" after it is depleted. Above all, RM-ZAFC has the combined advantages of both ZABs and alkaline fuel cells and can operate with high energy density, good flexibility, scalability and safety at low cost and thus is promising for various energy storage applications.","author":[{"dropping-particle":"","family":"Zhang","given":"Hang","non-dropping-particle":"","parse-names":false,"suffix":""},{"dropping-particle":"","family":"Huang","given":"Shiqiang","non-dropping-particle":"","parse-names":false,"suffix":""},{"dropping-particle":"","family":"Salla","given":"Manohar","non-dropping-particle":"","parse-names":false,"suffix":""},{"dropping-particle":"","family":"Zhuang","given":"Jiahao","non-dropping-particle":"","parse-names":false,"suffix":""},{"dropping-particle":"","family":"Gao","given":"Mengqi","non-dropping-particle":"","parse-names":false,"suffix":""},{"dropping-particle":"","family":"Lek","given":"Dao Gen","non-dropping-particle":"","parse-names":false,"suffix":""},{"dropping-particle":"","family":"Ye","given":"Hualin","non-dropping-particle":"","parse-names":false,"suffix":""},{"dropping-particle":"","family":"Wang","given":"Qing","non-dropping-particle":"","parse-names":false,"suffix":""}],"container-title":"ACS Energy Letters","id":"ITEM-1","issue":"8","issued":{"date-parts":[["2022","8","12"]]},"page":"2565-2575","publisher":"American Chemical Society","title":"A Redox-Mediated Zinc-Air Fuel Cell","type":"article-journal","volume":"7"},"uris":["http://www.mendeley.com/documents/?uuid=aebdf500-97e1-30fc-9e63-296ada2e94ee"]}],"mendeley":{"formattedCitation":"&lt;sup&gt;[265]&lt;/sup&gt;","plainTextFormattedCitation":"[265]","previouslyFormattedCitation":"&lt;sup&gt;[264]&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[265]</w:t>
            </w:r>
            <w:r w:rsidR="005548ED" w:rsidRPr="003E0254">
              <w:rPr>
                <w:bCs/>
                <w:sz w:val="20"/>
                <w:szCs w:val="20"/>
              </w:rPr>
              <w:fldChar w:fldCharType="end"/>
            </w:r>
          </w:p>
        </w:tc>
      </w:tr>
      <w:tr w:rsidR="00B53C39" w:rsidRPr="003E0254" w14:paraId="4C027207" w14:textId="77777777">
        <w:tc>
          <w:tcPr>
            <w:tcW w:w="419" w:type="pct"/>
            <w:vMerge/>
            <w:shd w:val="clear" w:color="auto" w:fill="D1D1D1" w:themeFill="background2" w:themeFillShade="E6"/>
          </w:tcPr>
          <w:p w14:paraId="5AD7739B" w14:textId="77777777" w:rsidR="00B53C39" w:rsidRPr="003E0254" w:rsidRDefault="00B53C39">
            <w:pPr>
              <w:spacing w:line="276" w:lineRule="auto"/>
              <w:rPr>
                <w:b/>
                <w:bCs/>
                <w:sz w:val="20"/>
                <w:szCs w:val="20"/>
                <w:u w:val="single"/>
              </w:rPr>
            </w:pPr>
          </w:p>
        </w:tc>
        <w:tc>
          <w:tcPr>
            <w:tcW w:w="488" w:type="pct"/>
            <w:shd w:val="clear" w:color="auto" w:fill="D1D1D1" w:themeFill="background2" w:themeFillShade="E6"/>
          </w:tcPr>
          <w:p w14:paraId="167ADBAD" w14:textId="5B9EFC03" w:rsidR="00B53C39" w:rsidRPr="003E0254" w:rsidRDefault="00DA35C9">
            <w:pPr>
              <w:spacing w:line="276" w:lineRule="auto"/>
              <w:rPr>
                <w:bCs/>
                <w:sz w:val="20"/>
                <w:szCs w:val="20"/>
              </w:rPr>
            </w:pPr>
            <w:r w:rsidRPr="003E0254">
              <w:rPr>
                <w:bCs/>
                <w:sz w:val="20"/>
                <w:szCs w:val="20"/>
              </w:rPr>
              <w:t>Mn</w:t>
            </w:r>
            <w:r w:rsidR="00996CC5" w:rsidRPr="003E0254">
              <w:rPr>
                <w:sz w:val="20"/>
                <w:szCs w:val="20"/>
                <w:lang w:eastAsia="de-DE"/>
              </w:rPr>
              <w:t>||Zn</w:t>
            </w:r>
          </w:p>
        </w:tc>
        <w:tc>
          <w:tcPr>
            <w:tcW w:w="455" w:type="pct"/>
            <w:shd w:val="clear" w:color="auto" w:fill="D1D1D1" w:themeFill="background2" w:themeFillShade="E6"/>
          </w:tcPr>
          <w:p w14:paraId="024A3193" w14:textId="77777777" w:rsidR="00B53C39" w:rsidRPr="003E0254" w:rsidRDefault="00DA35C9">
            <w:pPr>
              <w:spacing w:line="276" w:lineRule="auto"/>
              <w:rPr>
                <w:bCs/>
                <w:sz w:val="20"/>
                <w:szCs w:val="20"/>
              </w:rPr>
            </w:pPr>
            <w:r w:rsidRPr="003E0254">
              <w:rPr>
                <w:sz w:val="20"/>
                <w:szCs w:val="20"/>
              </w:rPr>
              <w:t>Carbon felt</w:t>
            </w:r>
          </w:p>
        </w:tc>
        <w:tc>
          <w:tcPr>
            <w:tcW w:w="607" w:type="pct"/>
            <w:shd w:val="clear" w:color="auto" w:fill="D1D1D1" w:themeFill="background2" w:themeFillShade="E6"/>
          </w:tcPr>
          <w:p w14:paraId="735C90F1" w14:textId="77777777" w:rsidR="00B53C39" w:rsidRPr="003E0254" w:rsidRDefault="00DA35C9">
            <w:pPr>
              <w:spacing w:line="276" w:lineRule="auto"/>
              <w:rPr>
                <w:bCs/>
                <w:sz w:val="20"/>
                <w:szCs w:val="20"/>
              </w:rPr>
            </w:pPr>
            <w:r w:rsidRPr="003E0254">
              <w:rPr>
                <w:bCs/>
                <w:sz w:val="20"/>
                <w:szCs w:val="20"/>
              </w:rPr>
              <w:t>MnSO</w:t>
            </w:r>
            <w:r w:rsidRPr="003E0254">
              <w:rPr>
                <w:bCs/>
                <w:sz w:val="20"/>
                <w:szCs w:val="20"/>
                <w:vertAlign w:val="subscript"/>
              </w:rPr>
              <w:t>4</w:t>
            </w:r>
            <w:r w:rsidRPr="003E0254">
              <w:rPr>
                <w:bCs/>
                <w:sz w:val="20"/>
                <w:szCs w:val="20"/>
              </w:rPr>
              <w:t xml:space="preserve"> + H</w:t>
            </w:r>
            <w:r w:rsidRPr="003E0254">
              <w:rPr>
                <w:bCs/>
                <w:sz w:val="20"/>
                <w:szCs w:val="20"/>
                <w:vertAlign w:val="subscript"/>
              </w:rPr>
              <w:t>2</w:t>
            </w:r>
            <w:r w:rsidRPr="003E0254">
              <w:rPr>
                <w:bCs/>
                <w:sz w:val="20"/>
                <w:szCs w:val="20"/>
              </w:rPr>
              <w:t>SO</w:t>
            </w:r>
            <w:r w:rsidRPr="003E0254">
              <w:rPr>
                <w:bCs/>
                <w:sz w:val="20"/>
                <w:szCs w:val="20"/>
                <w:vertAlign w:val="subscript"/>
              </w:rPr>
              <w:t>4</w:t>
            </w:r>
            <w:r w:rsidRPr="003E0254">
              <w:rPr>
                <w:bCs/>
                <w:sz w:val="20"/>
                <w:szCs w:val="20"/>
              </w:rPr>
              <w:t xml:space="preserve"> + NiSO</w:t>
            </w:r>
            <w:r w:rsidRPr="003E0254">
              <w:rPr>
                <w:bCs/>
                <w:sz w:val="20"/>
                <w:szCs w:val="20"/>
                <w:vertAlign w:val="subscript"/>
              </w:rPr>
              <w:t>4</w:t>
            </w:r>
          </w:p>
        </w:tc>
        <w:tc>
          <w:tcPr>
            <w:tcW w:w="656" w:type="pct"/>
            <w:shd w:val="clear" w:color="auto" w:fill="D1D1D1" w:themeFill="background2" w:themeFillShade="E6"/>
          </w:tcPr>
          <w:p w14:paraId="413164C4" w14:textId="77777777" w:rsidR="00B53C39" w:rsidRPr="003E0254" w:rsidRDefault="00DA35C9">
            <w:pPr>
              <w:spacing w:line="276" w:lineRule="auto"/>
              <w:rPr>
                <w:bCs/>
                <w:sz w:val="20"/>
                <w:szCs w:val="20"/>
              </w:rPr>
            </w:pPr>
            <w:r w:rsidRPr="003E0254">
              <w:rPr>
                <w:sz w:val="20"/>
                <w:szCs w:val="20"/>
              </w:rPr>
              <w:t>MnO</w:t>
            </w:r>
            <w:r w:rsidRPr="003E0254">
              <w:rPr>
                <w:sz w:val="20"/>
                <w:szCs w:val="20"/>
                <w:vertAlign w:val="subscript"/>
              </w:rPr>
              <w:t>2</w:t>
            </w:r>
            <w:r w:rsidRPr="003E0254">
              <w:rPr>
                <w:sz w:val="20"/>
                <w:szCs w:val="20"/>
              </w:rPr>
              <w:t xml:space="preserve"> + 4H</w:t>
            </w:r>
            <w:r w:rsidRPr="003E0254">
              <w:rPr>
                <w:sz w:val="20"/>
                <w:szCs w:val="20"/>
                <w:vertAlign w:val="superscript"/>
              </w:rPr>
              <w:t>+</w:t>
            </w:r>
            <w:r w:rsidRPr="003E0254">
              <w:rPr>
                <w:sz w:val="20"/>
                <w:szCs w:val="20"/>
              </w:rPr>
              <w:t>+ 2e</w:t>
            </w:r>
            <w:r w:rsidRPr="003E0254">
              <w:rPr>
                <w:sz w:val="20"/>
                <w:szCs w:val="20"/>
                <w:vertAlign w:val="superscript"/>
              </w:rPr>
              <w:t>−</w:t>
            </w:r>
            <w:r w:rsidRPr="003E0254">
              <w:rPr>
                <w:sz w:val="20"/>
                <w:szCs w:val="20"/>
              </w:rPr>
              <w:t xml:space="preserve"> </w:t>
            </w:r>
            <w:r w:rsidRPr="003E0254">
              <w:rPr>
                <w:rFonts w:ascii="Cambria Math" w:hAnsi="Cambria Math" w:cs="Cambria Math"/>
                <w:sz w:val="20"/>
                <w:szCs w:val="20"/>
              </w:rPr>
              <w:t>⇔</w:t>
            </w:r>
            <w:r w:rsidRPr="003E0254">
              <w:rPr>
                <w:sz w:val="20"/>
                <w:szCs w:val="20"/>
              </w:rPr>
              <w:t xml:space="preserve"> Mn</w:t>
            </w:r>
            <w:r w:rsidRPr="003E0254">
              <w:rPr>
                <w:sz w:val="20"/>
                <w:szCs w:val="20"/>
                <w:vertAlign w:val="superscript"/>
              </w:rPr>
              <w:t xml:space="preserve">2+ </w:t>
            </w:r>
            <w:r w:rsidRPr="003E0254">
              <w:rPr>
                <w:sz w:val="20"/>
                <w:szCs w:val="20"/>
              </w:rPr>
              <w:t>+ 2H</w:t>
            </w:r>
            <w:r w:rsidRPr="003E0254">
              <w:rPr>
                <w:sz w:val="20"/>
                <w:szCs w:val="20"/>
                <w:vertAlign w:val="subscript"/>
              </w:rPr>
              <w:t>2</w:t>
            </w:r>
            <w:r w:rsidRPr="003E0254">
              <w:rPr>
                <w:sz w:val="20"/>
                <w:szCs w:val="20"/>
              </w:rPr>
              <w:t>O</w:t>
            </w:r>
          </w:p>
        </w:tc>
        <w:tc>
          <w:tcPr>
            <w:tcW w:w="513" w:type="pct"/>
            <w:shd w:val="clear" w:color="auto" w:fill="D1D1D1" w:themeFill="background2" w:themeFillShade="E6"/>
          </w:tcPr>
          <w:p w14:paraId="1EF37D4F" w14:textId="77777777" w:rsidR="00B53C39" w:rsidRPr="003E0254" w:rsidRDefault="00DA35C9">
            <w:pPr>
              <w:spacing w:line="276" w:lineRule="auto"/>
              <w:rPr>
                <w:bCs/>
                <w:sz w:val="20"/>
                <w:szCs w:val="20"/>
              </w:rPr>
            </w:pPr>
            <w:r w:rsidRPr="003E0254">
              <w:rPr>
                <w:bCs/>
                <w:sz w:val="20"/>
                <w:szCs w:val="20"/>
              </w:rPr>
              <w:t>Selective membrane</w:t>
            </w:r>
          </w:p>
        </w:tc>
        <w:tc>
          <w:tcPr>
            <w:tcW w:w="527" w:type="pct"/>
            <w:shd w:val="clear" w:color="auto" w:fill="D1D1D1" w:themeFill="background2" w:themeFillShade="E6"/>
          </w:tcPr>
          <w:p w14:paraId="7E1B0BD3" w14:textId="77777777" w:rsidR="00B53C39" w:rsidRPr="003E0254" w:rsidRDefault="00DA35C9">
            <w:pPr>
              <w:spacing w:line="276" w:lineRule="auto"/>
              <w:rPr>
                <w:bCs/>
                <w:sz w:val="20"/>
                <w:szCs w:val="20"/>
              </w:rPr>
            </w:pPr>
            <w:r w:rsidRPr="003E0254">
              <w:rPr>
                <w:bCs/>
                <w:sz w:val="20"/>
                <w:szCs w:val="20"/>
              </w:rPr>
              <w:t>porous Zn @ carbon-felt</w:t>
            </w:r>
          </w:p>
        </w:tc>
        <w:tc>
          <w:tcPr>
            <w:tcW w:w="547" w:type="pct"/>
            <w:shd w:val="clear" w:color="auto" w:fill="D1D1D1" w:themeFill="background2" w:themeFillShade="E6"/>
          </w:tcPr>
          <w:p w14:paraId="6EA18C78" w14:textId="77777777" w:rsidR="00B53C39" w:rsidRPr="003E0254" w:rsidRDefault="00DA35C9">
            <w:pPr>
              <w:spacing w:line="276" w:lineRule="auto"/>
              <w:rPr>
                <w:bCs/>
                <w:sz w:val="20"/>
                <w:szCs w:val="20"/>
              </w:rPr>
            </w:pPr>
            <w:r w:rsidRPr="003E0254">
              <w:rPr>
                <w:bCs/>
                <w:sz w:val="20"/>
                <w:szCs w:val="20"/>
              </w:rPr>
              <w:t xml:space="preserve">NaOH + </w:t>
            </w:r>
          </w:p>
          <w:p w14:paraId="4696CA4F" w14:textId="77777777" w:rsidR="00B53C39" w:rsidRPr="003E0254" w:rsidRDefault="00DA35C9">
            <w:pPr>
              <w:spacing w:line="276" w:lineRule="auto"/>
              <w:rPr>
                <w:bCs/>
                <w:sz w:val="20"/>
                <w:szCs w:val="20"/>
              </w:rPr>
            </w:pPr>
            <w:proofErr w:type="spellStart"/>
            <w:r w:rsidRPr="003E0254">
              <w:rPr>
                <w:bCs/>
                <w:sz w:val="20"/>
                <w:szCs w:val="20"/>
              </w:rPr>
              <w:t>ZnO</w:t>
            </w:r>
            <w:proofErr w:type="spellEnd"/>
          </w:p>
        </w:tc>
        <w:tc>
          <w:tcPr>
            <w:tcW w:w="493" w:type="pct"/>
            <w:vMerge/>
            <w:shd w:val="clear" w:color="auto" w:fill="D1D1D1" w:themeFill="background2" w:themeFillShade="E6"/>
          </w:tcPr>
          <w:p w14:paraId="21DC1623" w14:textId="77777777" w:rsidR="00B53C39" w:rsidRPr="003E0254" w:rsidRDefault="00B53C39">
            <w:pPr>
              <w:spacing w:line="276" w:lineRule="auto"/>
              <w:rPr>
                <w:bCs/>
                <w:sz w:val="20"/>
                <w:szCs w:val="20"/>
              </w:rPr>
            </w:pPr>
          </w:p>
        </w:tc>
        <w:tc>
          <w:tcPr>
            <w:tcW w:w="295" w:type="pct"/>
            <w:shd w:val="clear" w:color="auto" w:fill="D1D1D1" w:themeFill="background2" w:themeFillShade="E6"/>
          </w:tcPr>
          <w:p w14:paraId="134A039A" w14:textId="56D8F100" w:rsidR="00B53C39" w:rsidRPr="003E0254" w:rsidRDefault="00DA35C9">
            <w:pPr>
              <w:spacing w:line="276" w:lineRule="auto"/>
              <w:rPr>
                <w:bCs/>
                <w:sz w:val="20"/>
                <w:szCs w:val="20"/>
              </w:rPr>
            </w:pPr>
            <w:r w:rsidRPr="003E0254">
              <w:rPr>
                <w:bCs/>
                <w:sz w:val="20"/>
                <w:szCs w:val="20"/>
              </w:rPr>
              <w:t>Chao</w:t>
            </w:r>
            <w:r w:rsidR="005548ED" w:rsidRPr="003E0254">
              <w:rPr>
                <w:bCs/>
                <w:sz w:val="20"/>
                <w:szCs w:val="20"/>
              </w:rPr>
              <w:t xml:space="preserve"> et al.</w:t>
            </w:r>
            <w:r w:rsidR="005548ED" w:rsidRPr="003E0254">
              <w:rPr>
                <w:bCs/>
                <w:sz w:val="20"/>
                <w:szCs w:val="20"/>
              </w:rPr>
              <w:fldChar w:fldCharType="begin" w:fldLock="1"/>
            </w:r>
            <w:r w:rsidR="00500B8D" w:rsidRPr="003E0254">
              <w:rPr>
                <w:bCs/>
                <w:sz w:val="20"/>
                <w:szCs w:val="20"/>
              </w:rPr>
              <w:instrText>ADDIN CSL_CITATION {"citationItems":[{"id":"ITEM-1","itemData":{"DOI":"10.1002/ADMA.202001894","ISSN":"1521-4095","PMID":"32424910","abstract":"Research interest and achievements in zinc aqueous batteries, such as alkaline Zn//Mn, Zn//Ni/Co, Zn–air batteries, and near-neutral Zn-ion and hybrid ion batteries, have surged throughout the world due to their features of low-cost and high-safety. However, practical application of Zn-based secondary batteries is plagued by restrictive energy and power densities in which an inadequate output plateau voltage and sluggish kinetics are mutually accountable. Here, a novel paradigm high-rate and high-voltage Zn–Mn hybrid aqueous battery (HAB) is constructed with an expanded electrochemical stability window over 3.4 V that is affordable. As a proof of concept, catalyzed MnO2/Mn2+ electrolysis kinetics is demonstrated in the HAB via facile introduction of Ni2+ into the electrolyte. Various techniques are employed, including in situ synchrotron X-ray powder diffraction, ex situ X-ray absorption fine structure, and electron energy loss spectroscopy, to reveal the reversible charge-storage mechanism and the origin of the boosted rate-capability. Density functional theory (DFT) calculations reveal enhanced active electron states and charge delocalization after introducing strongly electronegative Ni. Simulations of the reaction pathways confirm the enhanced catalyzed electrolysis kinetics by the facilitated charge transfer at the active O sites around Ni dopants. These findings significantly advance aqueous batteries a step closer toward practical low-cost application.","author":[{"dropping-particle":"","family":"Chao","given":"Dongliang","non-dropping-particle":"","parse-names":false,"suffix":""},{"dropping-particle":"","family":"Ye","given":"Chao","non-dropping-particle":"","parse-names":false,"suffix":""},{"dropping-particle":"","family":"Xie","given":"Fangxi","non-dropping-particle":"","parse-names":false,"suffix":""},{"dropping-particle":"","family":"Zhou","given":"Wanhai","non-dropping-particle":"","parse-names":false,"suffix":""},{"dropping-particle":"","family":"Zhang","given":"Qinghua","non-dropping-particle":"","parse-names":false,"suffix":""},{"dropping-particle":"","family":"Gu","given":"Qinfen","non-dropping-particle":"","parse-names":false,"suffix":""},{"dropping-particle":"","family":"Davey","given":"Kenneth","non-dropping-particle":"","parse-names":false,"suffix":""},{"dropping-particle":"","family":"Gu","given":"Lin","non-dropping-particle":"","parse-names":false,"suffix":""},{"dropping-particle":"","family":"Qiao","given":"Shi-Zhang","non-dropping-particle":"","parse-names":false,"suffix":""},{"dropping-particle":"","family":"Chao","given":"D","non-dropping-particle":"","parse-names":false,"suffix":""},{"dropping-particle":"","family":"Ye","given":"C","non-dropping-particle":"","parse-names":false,"suffix":""},{"dropping-particle":"","family":"Xie","given":"F","non-dropping-particle":"","parse-names":false,"suffix":""},{"dropping-particle":"","family":"Zhou","given":"W","non-dropping-particle":"","parse-names":false,"suffix":""},{"dropping-particle":"","family":"Davey","given":"K","non-dropping-particle":"","parse-names":false,"suffix":""},{"dropping-particle":"","family":"Qiao","given":"S-z","non-dropping-particle":"","parse-names":false,"suffix":""},{"dropping-particle":"","family":"Zhang","given":"Q","non-dropping-particle":"","parse-names":false,"suffix":""},{"dropping-particle":"","family":"Gu","given":"L","non-dropping-particle":"","parse-names":false,"suffix":""},{"dropping-particle":"","family":"Gu","given":"Q","non-dropping-particle":"","parse-names":false,"suffix":""}],"container-title":"Advanced Materials","id":"ITEM-1","issue":"25","issued":{"date-parts":[["2020","6","1"]]},"page":"2001894","publisher":"John Wiley &amp; Sons, Ltd","title":"Atomic Engineering Catalyzed MnO2 Electrolysis Kinetics for a Hybrid Aqueous Battery with High Power and Energy Density","type":"article-journal","volume":"32"},"uris":["http://www.mendeley.com/documents/?uuid=23cd94c4-12fe-3364-b47d-9aa0950e0403"]}],"mendeley":{"formattedCitation":"&lt;sup&gt;[271]&lt;/sup&gt;","plainTextFormattedCitation":"[271]","previouslyFormattedCitation":"&lt;sup&gt;[270]&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[271]</w:t>
            </w:r>
            <w:r w:rsidR="005548ED" w:rsidRPr="003E0254">
              <w:rPr>
                <w:bCs/>
                <w:sz w:val="20"/>
                <w:szCs w:val="20"/>
              </w:rPr>
              <w:fldChar w:fldCharType="end"/>
            </w:r>
          </w:p>
        </w:tc>
      </w:tr>
      <w:tr w:rsidR="00B53C39" w:rsidRPr="003E0254" w14:paraId="53C39830" w14:textId="77777777">
        <w:tc>
          <w:tcPr>
            <w:tcW w:w="419" w:type="pct"/>
            <w:vMerge/>
            <w:shd w:val="clear" w:color="auto" w:fill="D1D1D1" w:themeFill="background2" w:themeFillShade="E6"/>
          </w:tcPr>
          <w:p w14:paraId="14DD5914" w14:textId="77777777" w:rsidR="00B53C39" w:rsidRPr="003E0254" w:rsidRDefault="00B53C39">
            <w:pPr>
              <w:spacing w:line="276" w:lineRule="auto"/>
              <w:rPr>
                <w:b/>
                <w:bCs/>
                <w:sz w:val="20"/>
                <w:szCs w:val="20"/>
                <w:u w:val="single"/>
              </w:rPr>
            </w:pPr>
          </w:p>
        </w:tc>
        <w:tc>
          <w:tcPr>
            <w:tcW w:w="488" w:type="pct"/>
            <w:shd w:val="clear" w:color="auto" w:fill="D1D1D1" w:themeFill="background2" w:themeFillShade="E6"/>
          </w:tcPr>
          <w:p w14:paraId="0AAF0246" w14:textId="2956D824" w:rsidR="00B53C39" w:rsidRPr="003E0254" w:rsidRDefault="00DA35C9">
            <w:pPr>
              <w:spacing w:line="276" w:lineRule="auto"/>
              <w:rPr>
                <w:bCs/>
                <w:sz w:val="20"/>
                <w:szCs w:val="20"/>
              </w:rPr>
            </w:pPr>
            <w:r w:rsidRPr="003E0254">
              <w:rPr>
                <w:bCs/>
                <w:sz w:val="20"/>
                <w:szCs w:val="20"/>
              </w:rPr>
              <w:t>Ce</w:t>
            </w:r>
            <w:r w:rsidR="00996CC5" w:rsidRPr="003E0254">
              <w:rPr>
                <w:sz w:val="20"/>
                <w:szCs w:val="20"/>
                <w:lang w:eastAsia="de-DE"/>
              </w:rPr>
              <w:t>||Zn</w:t>
            </w:r>
          </w:p>
        </w:tc>
        <w:tc>
          <w:tcPr>
            <w:tcW w:w="455" w:type="pct"/>
            <w:shd w:val="clear" w:color="auto" w:fill="D1D1D1" w:themeFill="background2" w:themeFillShade="E6"/>
          </w:tcPr>
          <w:p w14:paraId="76F6FF22" w14:textId="77777777" w:rsidR="00B53C39" w:rsidRPr="003E0254" w:rsidRDefault="00DA35C9">
            <w:pPr>
              <w:spacing w:line="276" w:lineRule="auto"/>
              <w:rPr>
                <w:bCs/>
                <w:sz w:val="20"/>
                <w:szCs w:val="20"/>
              </w:rPr>
            </w:pPr>
            <w:r w:rsidRPr="003E0254">
              <w:rPr>
                <w:bCs/>
                <w:sz w:val="20"/>
                <w:szCs w:val="20"/>
              </w:rPr>
              <w:t>Pt, Au or Ti on C.</w:t>
            </w:r>
          </w:p>
          <w:p w14:paraId="7CA6B508" w14:textId="77777777" w:rsidR="00B53C39" w:rsidRPr="003E0254" w:rsidRDefault="00B53C39">
            <w:pPr>
              <w:spacing w:line="276" w:lineRule="auto"/>
              <w:rPr>
                <w:sz w:val="20"/>
                <w:szCs w:val="20"/>
              </w:rPr>
            </w:pPr>
          </w:p>
        </w:tc>
        <w:tc>
          <w:tcPr>
            <w:tcW w:w="607" w:type="pct"/>
            <w:shd w:val="clear" w:color="auto" w:fill="D1D1D1" w:themeFill="background2" w:themeFillShade="E6"/>
          </w:tcPr>
          <w:p w14:paraId="227BF383" w14:textId="77777777" w:rsidR="00B53C39" w:rsidRPr="003E0254" w:rsidRDefault="00DA35C9">
            <w:pPr>
              <w:spacing w:line="276" w:lineRule="auto"/>
              <w:rPr>
                <w:bCs/>
                <w:sz w:val="20"/>
                <w:szCs w:val="20"/>
                <w:vertAlign w:val="subscript"/>
              </w:rPr>
            </w:pPr>
            <w:proofErr w:type="gramStart"/>
            <w:r w:rsidRPr="003E0254">
              <w:rPr>
                <w:bCs/>
                <w:sz w:val="20"/>
                <w:szCs w:val="20"/>
              </w:rPr>
              <w:t>Ce(</w:t>
            </w:r>
            <w:proofErr w:type="gramEnd"/>
            <w:r w:rsidRPr="003E0254">
              <w:rPr>
                <w:bCs/>
                <w:sz w:val="20"/>
                <w:szCs w:val="20"/>
              </w:rPr>
              <w:t>ClO</w:t>
            </w:r>
            <w:r w:rsidRPr="003E0254">
              <w:rPr>
                <w:bCs/>
                <w:sz w:val="20"/>
                <w:szCs w:val="20"/>
                <w:vertAlign w:val="subscript"/>
              </w:rPr>
              <w:t>4</w:t>
            </w:r>
            <w:r w:rsidRPr="003E0254">
              <w:rPr>
                <w:bCs/>
                <w:sz w:val="20"/>
                <w:szCs w:val="20"/>
              </w:rPr>
              <w:t>)</w:t>
            </w:r>
            <w:r w:rsidRPr="003E0254">
              <w:rPr>
                <w:bCs/>
                <w:sz w:val="20"/>
                <w:szCs w:val="20"/>
                <w:vertAlign w:val="subscript"/>
              </w:rPr>
              <w:t>3</w:t>
            </w:r>
          </w:p>
        </w:tc>
        <w:tc>
          <w:tcPr>
            <w:tcW w:w="656" w:type="pct"/>
            <w:shd w:val="clear" w:color="auto" w:fill="D1D1D1" w:themeFill="background2" w:themeFillShade="E6"/>
          </w:tcPr>
          <w:p w14:paraId="0839A8F5" w14:textId="77777777" w:rsidR="00B53C39" w:rsidRPr="003E0254" w:rsidRDefault="00DA35C9">
            <w:pPr>
              <w:spacing w:line="276" w:lineRule="auto"/>
              <w:jc w:val="both"/>
              <w:rPr>
                <w:color w:val="000000" w:themeColor="text1"/>
                <w:sz w:val="20"/>
                <w:szCs w:val="20"/>
                <w:lang w:eastAsia="de-DE"/>
              </w:rPr>
            </w:pPr>
            <m:oMathPara>
              <m:oMath>
                <m:r>
                  <m:rPr>
                    <m:sty m:val="p"/>
                  </m:rPr>
                  <w:rPr>
                    <w:rFonts w:ascii="Cambria Math" w:hAnsi="Cambria Math" w:cs="Calibri"/>
                    <w:sz w:val="20"/>
                    <w:szCs w:val="20"/>
                    <w:lang w:eastAsia="de-DE"/>
                  </w:rPr>
                  <m:t>2</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Ce</m:t>
                    </m:r>
                  </m:e>
                  <m:sup>
                    <m:r>
                      <w:rPr>
                        <w:rFonts w:ascii="Cambria Math" w:hAnsi="Cambria Math" w:cs="Calibri"/>
                        <w:sz w:val="20"/>
                        <w:szCs w:val="20"/>
                        <w:lang w:eastAsia="de-DE"/>
                      </w:rPr>
                      <m:t>3+</m:t>
                    </m:r>
                  </m:sup>
                </m:sSup>
                <m:r>
                  <m:rPr>
                    <m:sty m:val="p"/>
                  </m:rPr>
                  <w:rPr>
                    <w:rFonts w:ascii="Cambria Math" w:hAnsi="Cambria Math" w:cs="Calibri"/>
                    <w:sz w:val="20"/>
                    <w:szCs w:val="20"/>
                    <w:lang w:eastAsia="de-DE"/>
                  </w:rPr>
                  <m:t xml:space="preserve"> +</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H</m:t>
                    </m:r>
                  </m:e>
                  <m:sub>
                    <m:r>
                      <w:rPr>
                        <w:rFonts w:ascii="Cambria Math" w:hAnsi="Cambria Math" w:cs="Calibri"/>
                        <w:sz w:val="20"/>
                        <w:szCs w:val="20"/>
                        <w:lang w:eastAsia="de-DE"/>
                      </w:rPr>
                      <m:t>2</m:t>
                    </m:r>
                  </m:sub>
                </m:sSub>
                <m:r>
                  <m:rPr>
                    <m:sty m:val="p"/>
                  </m:rPr>
                  <w:rPr>
                    <w:rFonts w:ascii="Cambria Math" w:hAnsi="Cambria Math" w:cs="Calibri"/>
                    <w:sz w:val="20"/>
                    <w:szCs w:val="20"/>
                    <w:lang w:eastAsia="de-DE"/>
                  </w:rPr>
                  <m:t xml:space="preserve">O ↔ </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Ce</m:t>
                    </m:r>
                  </m:e>
                  <m:sub>
                    <m:r>
                      <m:rPr>
                        <m:sty m:val="p"/>
                      </m:rPr>
                      <w:rPr>
                        <w:rFonts w:ascii="Cambria Math" w:hAnsi="Cambria Math" w:cs="Calibri"/>
                        <w:sz w:val="20"/>
                        <w:szCs w:val="20"/>
                        <w:lang w:eastAsia="de-DE"/>
                      </w:rPr>
                      <m:t>2</m:t>
                    </m:r>
                  </m:sub>
                </m:sSub>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O</m:t>
                    </m:r>
                  </m:e>
                  <m:sup>
                    <m:r>
                      <m:rPr>
                        <m:sty m:val="p"/>
                      </m:rPr>
                      <w:rPr>
                        <w:rFonts w:ascii="Cambria Math" w:hAnsi="Cambria Math" w:cs="Calibri"/>
                        <w:sz w:val="20"/>
                        <w:szCs w:val="20"/>
                        <w:lang w:eastAsia="de-DE"/>
                      </w:rPr>
                      <m:t>6+</m:t>
                    </m:r>
                  </m:sup>
                </m:sSup>
                <m:r>
                  <w:rPr>
                    <w:rFonts w:ascii="Cambria Math" w:hAnsi="Cambria Math" w:cs="Calibri"/>
                    <w:sz w:val="20"/>
                    <w:szCs w:val="20"/>
                    <w:lang w:eastAsia="de-DE"/>
                  </w:rPr>
                  <m:t>+</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2H</m:t>
                    </m:r>
                  </m:e>
                  <m:sup>
                    <m:r>
                      <m:rPr>
                        <m:sty m:val="p"/>
                      </m:rPr>
                      <w:rPr>
                        <w:rFonts w:ascii="Cambria Math" w:hAnsi="Cambria Math" w:cs="Calibri"/>
                        <w:sz w:val="20"/>
                        <w:szCs w:val="20"/>
                        <w:lang w:eastAsia="de-DE"/>
                      </w:rPr>
                      <m:t>+</m:t>
                    </m:r>
                  </m:sup>
                </m:sSup>
                <m:r>
                  <w:rPr>
                    <w:rFonts w:ascii="Cambria Math" w:hAnsi="Cambria Math" w:cs="Calibri"/>
                    <w:sz w:val="20"/>
                    <w:szCs w:val="20"/>
                    <w:lang w:eastAsia="de-DE"/>
                  </w:rPr>
                  <m:t>+2</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e</m:t>
                    </m:r>
                  </m:e>
                  <m:sup>
                    <m:r>
                      <w:rPr>
                        <w:rFonts w:ascii="Cambria Math" w:hAnsi="Cambria Math" w:cs="Calibri"/>
                        <w:sz w:val="20"/>
                        <w:szCs w:val="20"/>
                        <w:lang w:eastAsia="de-DE"/>
                      </w:rPr>
                      <m:t>-</m:t>
                    </m:r>
                  </m:sup>
                </m:sSup>
              </m:oMath>
            </m:oMathPara>
          </w:p>
          <w:p w14:paraId="24C69408" w14:textId="77777777" w:rsidR="00B53C39" w:rsidRPr="003E0254" w:rsidRDefault="00B53C39">
            <w:pPr>
              <w:spacing w:line="276" w:lineRule="auto"/>
              <w:rPr>
                <w:sz w:val="20"/>
                <w:szCs w:val="20"/>
              </w:rPr>
            </w:pPr>
          </w:p>
        </w:tc>
        <w:tc>
          <w:tcPr>
            <w:tcW w:w="513" w:type="pct"/>
            <w:shd w:val="clear" w:color="auto" w:fill="D1D1D1" w:themeFill="background2" w:themeFillShade="E6"/>
          </w:tcPr>
          <w:p w14:paraId="7129B5D8" w14:textId="77777777" w:rsidR="00B53C39" w:rsidRPr="003E0254" w:rsidRDefault="00DA35C9">
            <w:pPr>
              <w:spacing w:line="276" w:lineRule="auto"/>
              <w:rPr>
                <w:bCs/>
                <w:sz w:val="20"/>
                <w:szCs w:val="20"/>
                <w:lang w:val="pl-PL"/>
              </w:rPr>
            </w:pPr>
            <w:r w:rsidRPr="003E0254">
              <w:rPr>
                <w:bCs/>
                <w:sz w:val="20"/>
                <w:szCs w:val="20"/>
                <w:lang w:val="pl-PL"/>
              </w:rPr>
              <w:t>AEM: Fumasep® FAA</w:t>
            </w:r>
          </w:p>
          <w:p w14:paraId="68320F7C" w14:textId="77777777" w:rsidR="00B53C39" w:rsidRPr="003E0254" w:rsidRDefault="00DA35C9">
            <w:pPr>
              <w:spacing w:line="276" w:lineRule="auto"/>
              <w:rPr>
                <w:bCs/>
                <w:sz w:val="20"/>
                <w:szCs w:val="20"/>
                <w:lang w:val="pl-PL"/>
              </w:rPr>
            </w:pPr>
            <w:r w:rsidRPr="003E0254">
              <w:rPr>
                <w:bCs/>
                <w:sz w:val="20"/>
                <w:szCs w:val="20"/>
                <w:lang w:val="pl-PL"/>
              </w:rPr>
              <w:t>CEM: Nafion® 1135</w:t>
            </w:r>
          </w:p>
        </w:tc>
        <w:tc>
          <w:tcPr>
            <w:tcW w:w="527" w:type="pct"/>
            <w:shd w:val="clear" w:color="auto" w:fill="D1D1D1" w:themeFill="background2" w:themeFillShade="E6"/>
          </w:tcPr>
          <w:p w14:paraId="6388F72A" w14:textId="77777777" w:rsidR="00B53C39" w:rsidRPr="003E0254" w:rsidRDefault="00DA35C9">
            <w:pPr>
              <w:spacing w:line="276" w:lineRule="auto"/>
              <w:rPr>
                <w:bCs/>
                <w:sz w:val="20"/>
                <w:szCs w:val="20"/>
              </w:rPr>
            </w:pPr>
            <w:r w:rsidRPr="003E0254">
              <w:rPr>
                <w:bCs/>
                <w:sz w:val="20"/>
                <w:szCs w:val="20"/>
              </w:rPr>
              <w:t>Cadmium plated Copper,</w:t>
            </w:r>
          </w:p>
          <w:p w14:paraId="187EEE69" w14:textId="77777777" w:rsidR="00B53C39" w:rsidRPr="003E0254" w:rsidRDefault="00B53C39">
            <w:pPr>
              <w:spacing w:line="276" w:lineRule="auto"/>
              <w:rPr>
                <w:bCs/>
                <w:sz w:val="20"/>
                <w:szCs w:val="20"/>
              </w:rPr>
            </w:pPr>
          </w:p>
        </w:tc>
        <w:tc>
          <w:tcPr>
            <w:tcW w:w="547" w:type="pct"/>
            <w:shd w:val="clear" w:color="auto" w:fill="D1D1D1" w:themeFill="background2" w:themeFillShade="E6"/>
          </w:tcPr>
          <w:p w14:paraId="588CF80D" w14:textId="77777777" w:rsidR="00B53C39" w:rsidRPr="003E0254" w:rsidRDefault="00DA35C9">
            <w:pPr>
              <w:spacing w:line="276" w:lineRule="auto"/>
              <w:rPr>
                <w:bCs/>
                <w:sz w:val="20"/>
                <w:szCs w:val="20"/>
              </w:rPr>
            </w:pPr>
            <w:r w:rsidRPr="003E0254">
              <w:rPr>
                <w:bCs/>
                <w:sz w:val="20"/>
                <w:szCs w:val="20"/>
              </w:rPr>
              <w:t xml:space="preserve">NaOH + </w:t>
            </w:r>
          </w:p>
          <w:p w14:paraId="3314F69F" w14:textId="77777777" w:rsidR="00B53C39" w:rsidRPr="003E0254" w:rsidRDefault="00DA35C9">
            <w:pPr>
              <w:spacing w:line="276" w:lineRule="auto"/>
              <w:rPr>
                <w:bCs/>
                <w:sz w:val="20"/>
                <w:szCs w:val="20"/>
              </w:rPr>
            </w:pPr>
            <w:proofErr w:type="spellStart"/>
            <w:r w:rsidRPr="003E0254">
              <w:rPr>
                <w:bCs/>
                <w:sz w:val="20"/>
                <w:szCs w:val="20"/>
              </w:rPr>
              <w:t>ZnO</w:t>
            </w:r>
            <w:proofErr w:type="spellEnd"/>
          </w:p>
        </w:tc>
        <w:tc>
          <w:tcPr>
            <w:tcW w:w="493" w:type="pct"/>
            <w:vMerge/>
            <w:shd w:val="clear" w:color="auto" w:fill="D1D1D1" w:themeFill="background2" w:themeFillShade="E6"/>
          </w:tcPr>
          <w:p w14:paraId="4645FAD1" w14:textId="77777777" w:rsidR="00B53C39" w:rsidRPr="003E0254" w:rsidRDefault="00B53C39">
            <w:pPr>
              <w:spacing w:line="276" w:lineRule="auto"/>
              <w:rPr>
                <w:bCs/>
                <w:sz w:val="20"/>
                <w:szCs w:val="20"/>
              </w:rPr>
            </w:pPr>
          </w:p>
        </w:tc>
        <w:tc>
          <w:tcPr>
            <w:tcW w:w="295" w:type="pct"/>
            <w:shd w:val="clear" w:color="auto" w:fill="D1D1D1" w:themeFill="background2" w:themeFillShade="E6"/>
          </w:tcPr>
          <w:p w14:paraId="05B40197" w14:textId="771CF52A" w:rsidR="00B53C39" w:rsidRPr="003E0254" w:rsidRDefault="00DA35C9">
            <w:pPr>
              <w:spacing w:line="276" w:lineRule="auto"/>
              <w:rPr>
                <w:bCs/>
                <w:sz w:val="20"/>
                <w:szCs w:val="20"/>
              </w:rPr>
            </w:pPr>
            <w:r w:rsidRPr="003E0254">
              <w:rPr>
                <w:bCs/>
                <w:sz w:val="20"/>
                <w:szCs w:val="20"/>
              </w:rPr>
              <w:t>Gu et al</w:t>
            </w:r>
            <w:r w:rsidR="005548ED" w:rsidRPr="003E0254">
              <w:rPr>
                <w:bCs/>
                <w:sz w:val="20"/>
                <w:szCs w:val="20"/>
              </w:rPr>
              <w:t>.</w:t>
            </w:r>
            <w:r w:rsidR="005548ED" w:rsidRPr="003E0254">
              <w:rPr>
                <w:bCs/>
                <w:sz w:val="20"/>
                <w:szCs w:val="20"/>
              </w:rPr>
              <w:fldChar w:fldCharType="begin" w:fldLock="1"/>
            </w:r>
            <w:r w:rsidR="00500B8D" w:rsidRPr="003E0254">
              <w:rPr>
                <w:bCs/>
                <w:sz w:val="20"/>
                <w:szCs w:val="20"/>
              </w:rPr>
              <w:instrText>ADDIN CSL_CITATION {"citationItems":[{"id":"ITEM-1","itemData":{"DOI":"10.1039/C4EE00165F","ISSN":"1754-5706","abstract":"Here we present a multiple ion-exchange membrane (IEM) cell design for redox flow batteries (RFBs) that can generally accommodate redox pair combinations with any mixed ion charges. This design also allows flexible choice of electrolytes such as an acid electrolyte at one electrode while a base in the other. More specifically, the double-IEM cell with one anion-exchange membrane (AEM), one cation-exchange membrane (CEM), and a middle electrolyte in between can work with all redox pairs except for the case of two hybrid redox pairs (i.e., an anion–cation pair vs. an anion–cation pair). For the combination of two hybrid pairs, a triple-IEM cell with three membranes (CEM/AEM/CEM or AEM/CEM/AEM) and two middle electrolytes is needed. The double- and triple-IEM cells bring unprecedented freedom in choosing redox pairs and supporting electrolytes. Of particular importance, two featured aqueous RFBs are demonstrated here: (1) ultra-high voltage zinc–cerium RFB with 3.08 V standard cell voltage, the highest among all known aqueous RFBs; and (2) ultra-low cost sulfur–iron RFB with 1.22 V standard cell voltage, with two highly available elements (iron and sulfur are the 1st and 5th most produced elements worldwide, respectively).","author":[{"dropping-particle":"","family":"Gu","given":"Shuang","non-dropping-particle":"","parse-names":false,"suffix":""},{"dropping-particle":"","family":"Gong","given":"Ke","non-dropping-particle":"","parse-names":false,"suffix":""},{"dropping-particle":"","family":"Yan","given":"Emily Z.","non-dropping-particle":"","parse-names":false,"suffix":""},{"dropping-particle":"","family":"Yan","given":"Yushan","non-dropping-particle":"","parse-names":false,"suffix":""}],"container-title":"Energy &amp; Environmental Science","id":"ITEM-1","issue":"9","issued":{"date-parts":[["2014","8","13"]]},"page":"2986-2998","publisher":"The Royal Society of Chemistry","title":"A multiple ion-exchange membrane design for redox flow batteries","type":"article-journal","volume":"7"},"uris":["http://www.mendeley.com/documents/?uuid=a9a34b5b-dfec-465d-8661-89babb4a7312"]}],"mendeley":{"formattedCitation":"&lt;sup&gt;[256]&lt;/sup&gt;","plainTextFormattedCitation":"[256]","previouslyFormattedCitation":"&lt;sup&gt;[255]&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[256]</w:t>
            </w:r>
            <w:r w:rsidR="005548ED" w:rsidRPr="003E0254">
              <w:rPr>
                <w:bCs/>
                <w:sz w:val="20"/>
                <w:szCs w:val="20"/>
              </w:rPr>
              <w:fldChar w:fldCharType="end"/>
            </w:r>
          </w:p>
        </w:tc>
      </w:tr>
      <w:tr w:rsidR="00B53C39" w:rsidRPr="003E0254" w14:paraId="780AF4A2" w14:textId="77777777">
        <w:tc>
          <w:tcPr>
            <w:tcW w:w="419" w:type="pct"/>
            <w:vMerge/>
            <w:shd w:val="clear" w:color="auto" w:fill="D1D1D1" w:themeFill="background2" w:themeFillShade="E6"/>
          </w:tcPr>
          <w:p w14:paraId="11B24AC6" w14:textId="77777777" w:rsidR="00B53C39" w:rsidRPr="003E0254" w:rsidRDefault="00B53C39">
            <w:pPr>
              <w:spacing w:line="276" w:lineRule="auto"/>
              <w:rPr>
                <w:b/>
                <w:bCs/>
                <w:sz w:val="20"/>
                <w:szCs w:val="20"/>
                <w:u w:val="single"/>
              </w:rPr>
            </w:pPr>
          </w:p>
        </w:tc>
        <w:tc>
          <w:tcPr>
            <w:tcW w:w="488" w:type="pct"/>
            <w:shd w:val="clear" w:color="auto" w:fill="D1D1D1" w:themeFill="background2" w:themeFillShade="E6"/>
          </w:tcPr>
          <w:p w14:paraId="7FEB3F87" w14:textId="77777777" w:rsidR="00B53C39" w:rsidRPr="003E0254" w:rsidRDefault="00DA35C9">
            <w:pPr>
              <w:spacing w:line="276" w:lineRule="auto"/>
              <w:rPr>
                <w:bCs/>
                <w:sz w:val="20"/>
                <w:szCs w:val="20"/>
              </w:rPr>
            </w:pPr>
            <w:r w:rsidRPr="003E0254">
              <w:rPr>
                <w:bCs/>
                <w:sz w:val="20"/>
                <w:szCs w:val="20"/>
              </w:rPr>
              <w:t>Zn-Organic</w:t>
            </w:r>
          </w:p>
        </w:tc>
        <w:tc>
          <w:tcPr>
            <w:tcW w:w="455" w:type="pct"/>
            <w:shd w:val="clear" w:color="auto" w:fill="D1D1D1" w:themeFill="background2" w:themeFillShade="E6"/>
          </w:tcPr>
          <w:p w14:paraId="7EF127AF" w14:textId="77777777" w:rsidR="00B53C39" w:rsidRPr="003E0254" w:rsidRDefault="00DA35C9">
            <w:pPr>
              <w:spacing w:line="276" w:lineRule="auto"/>
              <w:rPr>
                <w:bCs/>
                <w:sz w:val="20"/>
                <w:szCs w:val="20"/>
              </w:rPr>
            </w:pPr>
            <w:r w:rsidRPr="003E0254">
              <w:rPr>
                <w:bCs/>
                <w:sz w:val="20"/>
                <w:szCs w:val="20"/>
              </w:rPr>
              <w:t>Ti</w:t>
            </w:r>
            <w:r w:rsidRPr="003E0254">
              <w:rPr>
                <w:bCs/>
                <w:sz w:val="20"/>
                <w:szCs w:val="20"/>
                <w:vertAlign w:val="subscript"/>
              </w:rPr>
              <w:t>4</w:t>
            </w:r>
            <w:r w:rsidRPr="003E0254">
              <w:rPr>
                <w:bCs/>
                <w:sz w:val="20"/>
                <w:szCs w:val="20"/>
              </w:rPr>
              <w:t>O</w:t>
            </w:r>
            <w:r w:rsidRPr="003E0254">
              <w:rPr>
                <w:bCs/>
                <w:sz w:val="20"/>
                <w:szCs w:val="20"/>
                <w:vertAlign w:val="subscript"/>
              </w:rPr>
              <w:t>7</w:t>
            </w:r>
            <w:r w:rsidRPr="003E0254">
              <w:rPr>
                <w:bCs/>
                <w:sz w:val="20"/>
                <w:szCs w:val="20"/>
              </w:rPr>
              <w:t xml:space="preserve">/ </w:t>
            </w:r>
            <w:proofErr w:type="spellStart"/>
            <w:r w:rsidRPr="003E0254">
              <w:rPr>
                <w:bCs/>
                <w:sz w:val="20"/>
                <w:szCs w:val="20"/>
              </w:rPr>
              <w:t>Ketjenblack</w:t>
            </w:r>
            <w:proofErr w:type="spellEnd"/>
            <w:r w:rsidRPr="003E0254">
              <w:rPr>
                <w:bCs/>
                <w:sz w:val="20"/>
                <w:szCs w:val="20"/>
              </w:rPr>
              <w:t xml:space="preserve"> catalyst on carbon felt</w:t>
            </w:r>
          </w:p>
        </w:tc>
        <w:tc>
          <w:tcPr>
            <w:tcW w:w="607" w:type="pct"/>
            <w:shd w:val="clear" w:color="auto" w:fill="D1D1D1" w:themeFill="background2" w:themeFillShade="E6"/>
          </w:tcPr>
          <w:p w14:paraId="048C5858" w14:textId="77777777" w:rsidR="00B53C39" w:rsidRPr="003E0254" w:rsidRDefault="00DA35C9">
            <w:pPr>
              <w:spacing w:line="276" w:lineRule="auto"/>
              <w:rPr>
                <w:bCs/>
                <w:sz w:val="20"/>
                <w:szCs w:val="20"/>
              </w:rPr>
            </w:pPr>
            <w:r w:rsidRPr="003E0254">
              <w:rPr>
                <w:bCs/>
                <w:sz w:val="20"/>
                <w:szCs w:val="20"/>
              </w:rPr>
              <w:t>H</w:t>
            </w:r>
            <w:r w:rsidRPr="003E0254">
              <w:rPr>
                <w:bCs/>
                <w:sz w:val="20"/>
                <w:szCs w:val="20"/>
                <w:vertAlign w:val="subscript"/>
              </w:rPr>
              <w:t>2</w:t>
            </w:r>
            <w:r w:rsidRPr="003E0254">
              <w:rPr>
                <w:bCs/>
                <w:sz w:val="20"/>
                <w:szCs w:val="20"/>
              </w:rPr>
              <w:t>SO</w:t>
            </w:r>
            <w:r w:rsidRPr="003E0254">
              <w:rPr>
                <w:bCs/>
                <w:sz w:val="20"/>
                <w:szCs w:val="20"/>
                <w:vertAlign w:val="subscript"/>
              </w:rPr>
              <w:t xml:space="preserve">4 </w:t>
            </w:r>
            <w:r w:rsidRPr="003E0254">
              <w:rPr>
                <w:bCs/>
                <w:sz w:val="20"/>
                <w:szCs w:val="20"/>
              </w:rPr>
              <w:t>(Catholyte)</w:t>
            </w:r>
          </w:p>
          <w:p w14:paraId="1725CD83" w14:textId="77777777" w:rsidR="00B53C39" w:rsidRPr="003E0254" w:rsidRDefault="00DA35C9">
            <w:pPr>
              <w:spacing w:line="276" w:lineRule="auto"/>
              <w:rPr>
                <w:bCs/>
                <w:sz w:val="20"/>
                <w:szCs w:val="20"/>
              </w:rPr>
            </w:pPr>
            <w:r w:rsidRPr="003E0254">
              <w:rPr>
                <w:bCs/>
                <w:sz w:val="20"/>
                <w:szCs w:val="20"/>
              </w:rPr>
              <w:t>NaCl (middle electrolyte in dual membrane setup)</w:t>
            </w:r>
          </w:p>
        </w:tc>
        <w:tc>
          <w:tcPr>
            <w:tcW w:w="656" w:type="pct"/>
            <w:shd w:val="clear" w:color="auto" w:fill="D1D1D1" w:themeFill="background2" w:themeFillShade="E6"/>
          </w:tcPr>
          <w:p w14:paraId="2049CE25" w14:textId="77777777" w:rsidR="00B53C39" w:rsidRPr="003E0254" w:rsidRDefault="00DA35C9">
            <w:pPr>
              <w:spacing w:line="276" w:lineRule="auto"/>
              <w:jc w:val="both"/>
              <w:rPr>
                <w:rFonts w:ascii="Aptos" w:eastAsia="Aptos" w:hAnsi="Aptos" w:cs="Times New Roman"/>
                <w:sz w:val="20"/>
                <w:szCs w:val="20"/>
                <w:lang w:eastAsia="de-DE"/>
              </w:rPr>
            </w:pPr>
            <w:r w:rsidRPr="003E0254">
              <w:rPr>
                <w:sz w:val="20"/>
                <w:szCs w:val="20"/>
              </w:rPr>
              <w:object w:dxaOrig="1896" w:dyaOrig="3120" w14:anchorId="17BF38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133.5pt;mso-wrap-distance-left:0;mso-wrap-distance-top:0;mso-wrap-distance-right:0;mso-wrap-distance-bottom:0" o:ole="">
                  <v:imagedata r:id="rId59" o:title=""/>
                  <o:lock v:ext="edit" rotation="t"/>
                </v:shape>
                <o:OLEObject Type="Embed" ProgID="ChemDraw.Document.6.0" ShapeID="_x0000_i1025" DrawAspect="Content" ObjectID="_1813054508" r:id="rId60"/>
              </w:object>
            </w:r>
          </w:p>
        </w:tc>
        <w:tc>
          <w:tcPr>
            <w:tcW w:w="513" w:type="pct"/>
            <w:shd w:val="clear" w:color="auto" w:fill="D1D1D1" w:themeFill="background2" w:themeFillShade="E6"/>
          </w:tcPr>
          <w:p w14:paraId="605FB80F" w14:textId="77777777" w:rsidR="00B53C39" w:rsidRPr="003E0254" w:rsidRDefault="00DA35C9">
            <w:pPr>
              <w:spacing w:line="276" w:lineRule="auto"/>
              <w:rPr>
                <w:bCs/>
                <w:sz w:val="20"/>
                <w:szCs w:val="20"/>
                <w:lang w:val="de-DE"/>
              </w:rPr>
            </w:pPr>
            <w:r w:rsidRPr="003E0254">
              <w:rPr>
                <w:bCs/>
                <w:sz w:val="20"/>
                <w:szCs w:val="20"/>
                <w:lang w:val="de-DE"/>
              </w:rPr>
              <w:t xml:space="preserve">AEM: </w:t>
            </w:r>
            <w:proofErr w:type="spellStart"/>
            <w:r w:rsidRPr="003E0254">
              <w:rPr>
                <w:bCs/>
                <w:sz w:val="20"/>
                <w:szCs w:val="20"/>
                <w:lang w:val="de-DE"/>
              </w:rPr>
              <w:t>Selemion</w:t>
            </w:r>
            <w:proofErr w:type="spellEnd"/>
            <w:r w:rsidRPr="003E0254">
              <w:rPr>
                <w:bCs/>
                <w:sz w:val="20"/>
                <w:szCs w:val="20"/>
                <w:lang w:val="de-DE"/>
              </w:rPr>
              <w:t xml:space="preserve"> DSV®</w:t>
            </w:r>
          </w:p>
          <w:p w14:paraId="532500B9" w14:textId="77777777" w:rsidR="00B53C39" w:rsidRPr="003E0254" w:rsidRDefault="00DA35C9">
            <w:pPr>
              <w:spacing w:line="276" w:lineRule="auto"/>
              <w:rPr>
                <w:bCs/>
                <w:sz w:val="20"/>
                <w:szCs w:val="20"/>
                <w:lang w:val="de-DE"/>
              </w:rPr>
            </w:pPr>
            <w:r w:rsidRPr="003E0254">
              <w:rPr>
                <w:bCs/>
                <w:sz w:val="20"/>
                <w:szCs w:val="20"/>
                <w:lang w:val="de-DE"/>
              </w:rPr>
              <w:t xml:space="preserve">CEM: </w:t>
            </w:r>
            <w:proofErr w:type="spellStart"/>
            <w:r w:rsidRPr="003E0254">
              <w:rPr>
                <w:bCs/>
                <w:sz w:val="20"/>
                <w:szCs w:val="20"/>
                <w:lang w:val="de-DE"/>
              </w:rPr>
              <w:t>Nafion</w:t>
            </w:r>
            <w:proofErr w:type="spellEnd"/>
            <w:r w:rsidRPr="003E0254">
              <w:rPr>
                <w:bCs/>
                <w:sz w:val="20"/>
                <w:szCs w:val="20"/>
                <w:lang w:val="de-DE"/>
              </w:rPr>
              <w:t>® 117</w:t>
            </w:r>
          </w:p>
        </w:tc>
        <w:tc>
          <w:tcPr>
            <w:tcW w:w="527" w:type="pct"/>
            <w:shd w:val="clear" w:color="auto" w:fill="D1D1D1" w:themeFill="background2" w:themeFillShade="E6"/>
          </w:tcPr>
          <w:p w14:paraId="4D999AEA" w14:textId="77777777" w:rsidR="00B53C39" w:rsidRPr="003E0254" w:rsidRDefault="00DA35C9">
            <w:pPr>
              <w:spacing w:line="276" w:lineRule="auto"/>
              <w:rPr>
                <w:bCs/>
                <w:sz w:val="20"/>
                <w:szCs w:val="20"/>
              </w:rPr>
            </w:pPr>
            <w:r w:rsidRPr="003E0254">
              <w:rPr>
                <w:bCs/>
                <w:sz w:val="20"/>
                <w:szCs w:val="20"/>
              </w:rPr>
              <w:t>Carbon felt</w:t>
            </w:r>
          </w:p>
        </w:tc>
        <w:tc>
          <w:tcPr>
            <w:tcW w:w="547" w:type="pct"/>
            <w:shd w:val="clear" w:color="auto" w:fill="D1D1D1" w:themeFill="background2" w:themeFillShade="E6"/>
          </w:tcPr>
          <w:p w14:paraId="18D8D774" w14:textId="77777777" w:rsidR="00B53C39" w:rsidRPr="003E0254" w:rsidRDefault="00DA35C9">
            <w:pPr>
              <w:spacing w:line="276" w:lineRule="auto"/>
              <w:rPr>
                <w:bCs/>
                <w:sz w:val="20"/>
                <w:szCs w:val="20"/>
              </w:rPr>
            </w:pPr>
            <w:r w:rsidRPr="003E0254">
              <w:rPr>
                <w:bCs/>
                <w:sz w:val="20"/>
                <w:szCs w:val="20"/>
              </w:rPr>
              <w:t xml:space="preserve">NaOH + </w:t>
            </w:r>
          </w:p>
          <w:p w14:paraId="51CE4BD1" w14:textId="77777777" w:rsidR="00B53C39" w:rsidRPr="003E0254" w:rsidRDefault="00DA35C9">
            <w:pPr>
              <w:spacing w:line="276" w:lineRule="auto"/>
              <w:rPr>
                <w:bCs/>
                <w:sz w:val="20"/>
                <w:szCs w:val="20"/>
              </w:rPr>
            </w:pPr>
            <w:proofErr w:type="spellStart"/>
            <w:r w:rsidRPr="003E0254">
              <w:rPr>
                <w:bCs/>
                <w:sz w:val="20"/>
                <w:szCs w:val="20"/>
              </w:rPr>
              <w:t>ZnO</w:t>
            </w:r>
            <w:proofErr w:type="spellEnd"/>
          </w:p>
        </w:tc>
        <w:tc>
          <w:tcPr>
            <w:tcW w:w="493" w:type="pct"/>
            <w:vMerge/>
            <w:shd w:val="clear" w:color="auto" w:fill="D1D1D1" w:themeFill="background2" w:themeFillShade="E6"/>
          </w:tcPr>
          <w:p w14:paraId="723F601F" w14:textId="77777777" w:rsidR="00B53C39" w:rsidRPr="003E0254" w:rsidRDefault="00B53C39">
            <w:pPr>
              <w:spacing w:line="276" w:lineRule="auto"/>
              <w:rPr>
                <w:bCs/>
                <w:sz w:val="20"/>
                <w:szCs w:val="20"/>
              </w:rPr>
            </w:pPr>
          </w:p>
        </w:tc>
        <w:tc>
          <w:tcPr>
            <w:tcW w:w="295" w:type="pct"/>
            <w:shd w:val="clear" w:color="auto" w:fill="D1D1D1" w:themeFill="background2" w:themeFillShade="E6"/>
          </w:tcPr>
          <w:p w14:paraId="0457853E" w14:textId="6C155535" w:rsidR="00B53C39" w:rsidRPr="003E0254" w:rsidRDefault="00DA35C9">
            <w:pPr>
              <w:spacing w:line="276" w:lineRule="auto"/>
              <w:rPr>
                <w:bCs/>
                <w:sz w:val="20"/>
                <w:szCs w:val="20"/>
              </w:rPr>
            </w:pPr>
            <w:r w:rsidRPr="003E0254">
              <w:rPr>
                <w:bCs/>
                <w:sz w:val="20"/>
                <w:szCs w:val="20"/>
              </w:rPr>
              <w:t>Park e</w:t>
            </w:r>
            <w:r w:rsidR="005548ED" w:rsidRPr="003E0254">
              <w:rPr>
                <w:bCs/>
                <w:sz w:val="20"/>
                <w:szCs w:val="20"/>
              </w:rPr>
              <w:t>t</w:t>
            </w:r>
            <w:r w:rsidRPr="003E0254">
              <w:rPr>
                <w:bCs/>
                <w:sz w:val="20"/>
                <w:szCs w:val="20"/>
              </w:rPr>
              <w:t xml:space="preserve"> al.</w:t>
            </w:r>
            <w:r w:rsidR="005548ED" w:rsidRPr="003E0254">
              <w:rPr>
                <w:bCs/>
                <w:sz w:val="20"/>
                <w:szCs w:val="20"/>
              </w:rPr>
              <w:fldChar w:fldCharType="begin" w:fldLock="1"/>
            </w:r>
            <w:r w:rsidR="00500B8D" w:rsidRPr="003E0254">
              <w:rPr>
                <w:bCs/>
                <w:sz w:val="20"/>
                <w:szCs w:val="20"/>
              </w:rPr>
              <w:instrText>ADDIN CSL_CITATION {"citationItems":[{"id":"ITEM-1","itemData":{"DOI":"10.1002/aenm.201900694","ISSN":"1614-6832","abstract":"Water</w:instrText>
            </w:r>
            <w:r w:rsidR="00500B8D" w:rsidRPr="003E0254">
              <w:rPr>
                <w:rFonts w:ascii="Cambria Math" w:hAnsi="Cambria Math" w:cs="Cambria Math"/>
                <w:bCs/>
                <w:sz w:val="20"/>
                <w:szCs w:val="20"/>
              </w:rPr>
              <w:instrText>‐</w:instrText>
            </w:r>
            <w:r w:rsidR="00500B8D" w:rsidRPr="003E0254">
              <w:rPr>
                <w:bCs/>
                <w:sz w:val="20"/>
                <w:szCs w:val="20"/>
              </w:rPr>
              <w:instrText>soluble redox</w:instrText>
            </w:r>
            <w:r w:rsidR="00500B8D" w:rsidRPr="003E0254">
              <w:rPr>
                <w:rFonts w:ascii="Cambria Math" w:hAnsi="Cambria Math" w:cs="Cambria Math"/>
                <w:bCs/>
                <w:sz w:val="20"/>
                <w:szCs w:val="20"/>
              </w:rPr>
              <w:instrText>‐</w:instrText>
            </w:r>
            <w:r w:rsidR="00500B8D" w:rsidRPr="003E0254">
              <w:rPr>
                <w:bCs/>
                <w:sz w:val="20"/>
                <w:szCs w:val="20"/>
              </w:rPr>
              <w:instrText>active organic molecules have attracted extensive attention as electrical energy storage alternatives to redox</w:instrText>
            </w:r>
            <w:r w:rsidR="00500B8D" w:rsidRPr="003E0254">
              <w:rPr>
                <w:rFonts w:ascii="Cambria Math" w:hAnsi="Cambria Math" w:cs="Cambria Math"/>
                <w:bCs/>
                <w:sz w:val="20"/>
                <w:szCs w:val="20"/>
              </w:rPr>
              <w:instrText>‐</w:instrText>
            </w:r>
            <w:r w:rsidR="00500B8D" w:rsidRPr="003E0254">
              <w:rPr>
                <w:bCs/>
                <w:sz w:val="20"/>
                <w:szCs w:val="20"/>
              </w:rPr>
              <w:instrText>active metals that are low in abundance and high in cost. Here an aqueous zinc</w:instrText>
            </w:r>
            <w:r w:rsidR="00500B8D" w:rsidRPr="003E0254">
              <w:rPr>
                <w:rFonts w:ascii="Aptos" w:hAnsi="Aptos" w:cs="Aptos"/>
                <w:bCs/>
                <w:sz w:val="20"/>
                <w:szCs w:val="20"/>
              </w:rPr>
              <w:instrText>–</w:instrText>
            </w:r>
            <w:r w:rsidR="00500B8D" w:rsidRPr="003E0254">
              <w:rPr>
                <w:bCs/>
                <w:sz w:val="20"/>
                <w:szCs w:val="20"/>
              </w:rPr>
              <w:instrText>organic hybrid redox flow battery (RFB) is reported with a positive electrolyte comprising a functionalized 1,4</w:instrText>
            </w:r>
            <w:r w:rsidR="00500B8D" w:rsidRPr="003E0254">
              <w:rPr>
                <w:rFonts w:ascii="Cambria Math" w:hAnsi="Cambria Math" w:cs="Cambria Math"/>
                <w:bCs/>
                <w:sz w:val="20"/>
                <w:szCs w:val="20"/>
              </w:rPr>
              <w:instrText>‐</w:instrText>
            </w:r>
            <w:r w:rsidR="00500B8D" w:rsidRPr="003E0254">
              <w:rPr>
                <w:bCs/>
                <w:sz w:val="20"/>
                <w:szCs w:val="20"/>
              </w:rPr>
              <w:instrText>hydroquinone bearing four (dimethylamino)methyl groups dissolved in sulfuric acid. By utilizing a three</w:instrText>
            </w:r>
            <w:r w:rsidR="00500B8D" w:rsidRPr="003E0254">
              <w:rPr>
                <w:rFonts w:ascii="Cambria Math" w:hAnsi="Cambria Math" w:cs="Cambria Math"/>
                <w:bCs/>
                <w:sz w:val="20"/>
                <w:szCs w:val="20"/>
              </w:rPr>
              <w:instrText>‐</w:instrText>
            </w:r>
            <w:r w:rsidR="00500B8D" w:rsidRPr="003E0254">
              <w:rPr>
                <w:bCs/>
                <w:sz w:val="20"/>
                <w:szCs w:val="20"/>
              </w:rPr>
              <w:instrText>electrolyte, two</w:instrText>
            </w:r>
            <w:r w:rsidR="00500B8D" w:rsidRPr="003E0254">
              <w:rPr>
                <w:rFonts w:ascii="Cambria Math" w:hAnsi="Cambria Math" w:cs="Cambria Math"/>
                <w:bCs/>
                <w:sz w:val="20"/>
                <w:szCs w:val="20"/>
              </w:rPr>
              <w:instrText>‐</w:instrText>
            </w:r>
            <w:r w:rsidR="00500B8D" w:rsidRPr="003E0254">
              <w:rPr>
                <w:bCs/>
                <w:sz w:val="20"/>
                <w:szCs w:val="20"/>
              </w:rPr>
              <w:instrText>membrane configuration this acidic positive electrolyte is effectively paired with an alkaline negative electrolyte comprising a Zn/[Zn(OH) 4 ] 2</w:instrText>
            </w:r>
            <w:r w:rsidR="00500B8D" w:rsidRPr="003E0254">
              <w:rPr>
                <w:rFonts w:ascii="Aptos" w:hAnsi="Aptos" w:cs="Aptos"/>
                <w:bCs/>
                <w:sz w:val="20"/>
                <w:szCs w:val="20"/>
              </w:rPr>
              <w:instrText>−</w:instrText>
            </w:r>
            <w:r w:rsidR="00500B8D" w:rsidRPr="003E0254">
              <w:rPr>
                <w:bCs/>
                <w:sz w:val="20"/>
                <w:szCs w:val="20"/>
              </w:rPr>
              <w:instrText xml:space="preserve"> redox couple and a hybrid RFB is operated at a high operating voltage of 2.0 V. It is shown that the electrochemical reversibility and kinetics of the organic redox species can be enhanced by an electrocatalyst, leading to a cyclic voltammetry peak separation as low as 35 mV and enabling an enhanced rate capability.","author":[{"dropping-particle":"","family":"Park","given":"Minjoon","non-dropping-particle":"","parse-names":false,"suffix":""},{"dropping-particle":"","family":"Beh","given":"Eugene S","non-dropping-particle":"","parse-names":false,"suffix":""},{"dropping-particle":"","family":"Fell","given":"Eric M","non-dropping-particle":"","parse-names":false,"suffix":""},{"dropping-particle":"","family":"Jing","given":"Yan","non-dropping-particle":"","parse-names":false,"suffix":""},{"dropping-particle":"","family":"Kerr","given":"Emily F","non-dropping-particle":"","parse-names":false,"suffix":""},{"dropping-particle":"","family":"Porcellinis","given":"Diana","non-dropping-particle":"De","parse-names":false,"suffix":""},{"dropping-particle":"","family":"Goulet","given":"Marc</w:instrText>
            </w:r>
            <w:r w:rsidR="00500B8D" w:rsidRPr="003E0254">
              <w:rPr>
                <w:rFonts w:ascii="Cambria Math" w:hAnsi="Cambria Math" w:cs="Cambria Math"/>
                <w:bCs/>
                <w:sz w:val="20"/>
                <w:szCs w:val="20"/>
              </w:rPr>
              <w:instrText>‐</w:instrText>
            </w:r>
            <w:r w:rsidR="00500B8D" w:rsidRPr="003E0254">
              <w:rPr>
                <w:bCs/>
                <w:sz w:val="20"/>
                <w:szCs w:val="20"/>
              </w:rPr>
              <w:instrText>Antoni","non-dropping-particle":"","parse-names":false,"suffix":""},{"dropping-particle":"","family":"Ryu","given":"Jaechan","non-dropping-particle":"","parse-names":false,"suffix":""},{"dropping-particle":"","family":"Wong","given":"Andrew A","non-dropping-particle":"","parse-names":false,"suffix":""},{"dropping-particle":"","family":"Gordon","given":"Roy G","non-dropping-particle":"","parse-names":false,"suffix":""},{"dropping-particle":"","family":"Cho","given":"Jaephil","non-dropping-particle":"","parse-names":false,"suffix":""},{"dropping-particle":"","family":"Aziz","given":"Michael J","non-dropping-particle":"","parse-names":false,"suffix":""}],"container-title":"Advanced Energy Materials","id":"ITEM-1","issue":"25","issued":{"date-parts":[["2019","7","17"]]},"page":"1900694","publisher":"John Wiley &amp; Sons, Ltd","title":"A High Voltage Aqueous Zinc–Organic Hybrid Flow Battery","type":"article-journal","volume":"9"},"uris":["http://www.mendeley.com/documents/?uuid=8159ce8e-8d0b-3808-903f-e16702ad125a"]}],"mendeley":{"formattedCitation":"&lt;sup&gt;[268]&lt;/sup&gt;","plainTextFormattedCitation":"[268]","previouslyFormattedCitation":"&lt;sup&gt;[267]&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[268]</w:t>
            </w:r>
            <w:r w:rsidR="005548ED" w:rsidRPr="003E0254">
              <w:rPr>
                <w:bCs/>
                <w:sz w:val="20"/>
                <w:szCs w:val="20"/>
              </w:rPr>
              <w:fldChar w:fldCharType="end"/>
            </w:r>
          </w:p>
        </w:tc>
      </w:tr>
      <w:tr w:rsidR="00B53C39" w:rsidRPr="003E0254" w14:paraId="616CF2F4" w14:textId="77777777">
        <w:tc>
          <w:tcPr>
            <w:tcW w:w="419" w:type="pct"/>
            <w:vMerge w:val="restart"/>
            <w:shd w:val="clear" w:color="auto" w:fill="CAEDFB" w:themeFill="accent4" w:themeFillTint="33"/>
            <w:vAlign w:val="center"/>
          </w:tcPr>
          <w:p w14:paraId="5757DE51" w14:textId="77777777" w:rsidR="00B53C39" w:rsidRPr="003E0254" w:rsidRDefault="00DA35C9">
            <w:pPr>
              <w:spacing w:line="276" w:lineRule="auto"/>
              <w:jc w:val="center"/>
              <w:rPr>
                <w:b/>
                <w:bCs/>
                <w:sz w:val="20"/>
                <w:szCs w:val="20"/>
                <w:u w:val="single"/>
              </w:rPr>
            </w:pPr>
            <w:r w:rsidRPr="003E0254">
              <w:rPr>
                <w:b/>
                <w:bCs/>
                <w:sz w:val="20"/>
                <w:szCs w:val="20"/>
                <w:u w:val="single"/>
              </w:rPr>
              <w:t>Neutral</w:t>
            </w:r>
          </w:p>
        </w:tc>
        <w:tc>
          <w:tcPr>
            <w:tcW w:w="488" w:type="pct"/>
            <w:shd w:val="clear" w:color="auto" w:fill="CAEDFB" w:themeFill="accent4" w:themeFillTint="33"/>
          </w:tcPr>
          <w:p w14:paraId="60F89FD1" w14:textId="27818EA2" w:rsidR="00B53C39" w:rsidRPr="003E0254" w:rsidRDefault="00DA35C9">
            <w:pPr>
              <w:spacing w:line="276" w:lineRule="auto"/>
              <w:rPr>
                <w:bCs/>
                <w:sz w:val="20"/>
                <w:szCs w:val="20"/>
              </w:rPr>
            </w:pPr>
            <w:r w:rsidRPr="003E0254">
              <w:rPr>
                <w:bCs/>
                <w:sz w:val="20"/>
                <w:szCs w:val="20"/>
              </w:rPr>
              <w:t>Fe</w:t>
            </w:r>
            <w:r w:rsidR="00996CC5" w:rsidRPr="003E0254">
              <w:rPr>
                <w:sz w:val="20"/>
                <w:szCs w:val="20"/>
                <w:lang w:eastAsia="de-DE"/>
              </w:rPr>
              <w:t>||Zn</w:t>
            </w:r>
          </w:p>
        </w:tc>
        <w:tc>
          <w:tcPr>
            <w:tcW w:w="455" w:type="pct"/>
            <w:shd w:val="clear" w:color="auto" w:fill="CAEDFB" w:themeFill="accent4" w:themeFillTint="33"/>
          </w:tcPr>
          <w:p w14:paraId="3D17FF53" w14:textId="77777777" w:rsidR="00B53C39" w:rsidRPr="003E0254" w:rsidRDefault="00DA35C9">
            <w:pPr>
              <w:spacing w:line="276" w:lineRule="auto"/>
              <w:rPr>
                <w:bCs/>
                <w:sz w:val="20"/>
                <w:szCs w:val="20"/>
              </w:rPr>
            </w:pPr>
            <w:r w:rsidRPr="003E0254">
              <w:rPr>
                <w:bCs/>
                <w:sz w:val="20"/>
                <w:szCs w:val="20"/>
              </w:rPr>
              <w:t>Carbon felt</w:t>
            </w:r>
          </w:p>
        </w:tc>
        <w:tc>
          <w:tcPr>
            <w:tcW w:w="607" w:type="pct"/>
            <w:shd w:val="clear" w:color="auto" w:fill="CAEDFB" w:themeFill="accent4" w:themeFillTint="33"/>
          </w:tcPr>
          <w:p w14:paraId="5CAAEA4B" w14:textId="77777777" w:rsidR="00B53C39" w:rsidRPr="003E0254" w:rsidRDefault="00DA35C9">
            <w:pPr>
              <w:spacing w:line="276" w:lineRule="auto"/>
              <w:rPr>
                <w:bCs/>
                <w:sz w:val="20"/>
                <w:szCs w:val="20"/>
              </w:rPr>
            </w:pPr>
            <w:r w:rsidRPr="003E0254">
              <w:rPr>
                <w:bCs/>
                <w:sz w:val="20"/>
                <w:szCs w:val="20"/>
              </w:rPr>
              <w:t>FeCl</w:t>
            </w:r>
            <w:r w:rsidRPr="003E0254">
              <w:rPr>
                <w:bCs/>
                <w:sz w:val="20"/>
                <w:szCs w:val="20"/>
                <w:vertAlign w:val="subscript"/>
              </w:rPr>
              <w:t>2</w:t>
            </w:r>
          </w:p>
        </w:tc>
        <w:tc>
          <w:tcPr>
            <w:tcW w:w="656" w:type="pct"/>
            <w:shd w:val="clear" w:color="auto" w:fill="CAEDFB" w:themeFill="accent4" w:themeFillTint="33"/>
          </w:tcPr>
          <w:p w14:paraId="23EB229A" w14:textId="77777777" w:rsidR="00B53C39" w:rsidRPr="003E0254" w:rsidRDefault="00DA35C9">
            <w:pPr>
              <w:spacing w:line="276" w:lineRule="auto"/>
              <w:rPr>
                <w:bCs/>
                <w:sz w:val="20"/>
                <w:szCs w:val="20"/>
              </w:rPr>
            </w:pPr>
            <w:r w:rsidRPr="003E0254">
              <w:rPr>
                <w:sz w:val="20"/>
                <w:szCs w:val="20"/>
              </w:rPr>
              <w:t>Fe</w:t>
            </w:r>
            <w:r w:rsidRPr="003E0254">
              <w:rPr>
                <w:sz w:val="20"/>
                <w:szCs w:val="20"/>
                <w:vertAlign w:val="superscript"/>
              </w:rPr>
              <w:t xml:space="preserve">2+ </w:t>
            </w:r>
            <w:r w:rsidRPr="003E0254">
              <w:rPr>
                <w:rFonts w:ascii="Cambria Math" w:hAnsi="Cambria Math" w:cs="Cambria Math"/>
                <w:sz w:val="20"/>
                <w:szCs w:val="20"/>
              </w:rPr>
              <w:t>⇔</w:t>
            </w:r>
            <w:r w:rsidRPr="003E0254">
              <w:rPr>
                <w:sz w:val="20"/>
                <w:szCs w:val="20"/>
              </w:rPr>
              <w:t xml:space="preserve"> Fe</w:t>
            </w:r>
            <w:r w:rsidRPr="003E0254">
              <w:rPr>
                <w:sz w:val="20"/>
                <w:szCs w:val="20"/>
                <w:vertAlign w:val="superscript"/>
              </w:rPr>
              <w:t>3+</w:t>
            </w:r>
          </w:p>
        </w:tc>
        <w:tc>
          <w:tcPr>
            <w:tcW w:w="513" w:type="pct"/>
            <w:shd w:val="clear" w:color="auto" w:fill="CAEDFB" w:themeFill="accent4" w:themeFillTint="33"/>
          </w:tcPr>
          <w:p w14:paraId="0E9B423E" w14:textId="77777777" w:rsidR="00B53C39" w:rsidRPr="003E0254" w:rsidRDefault="00DA35C9">
            <w:pPr>
              <w:spacing w:line="276" w:lineRule="auto"/>
              <w:rPr>
                <w:bCs/>
                <w:sz w:val="20"/>
                <w:szCs w:val="20"/>
                <w:lang w:val="pl-PL"/>
              </w:rPr>
            </w:pPr>
            <w:r w:rsidRPr="003E0254">
              <w:rPr>
                <w:bCs/>
                <w:sz w:val="20"/>
                <w:szCs w:val="20"/>
                <w:lang w:val="pl-PL"/>
              </w:rPr>
              <w:t>polybenzimidazole (PBI) porous mem-</w:t>
            </w:r>
          </w:p>
          <w:p w14:paraId="75490542" w14:textId="77777777" w:rsidR="00B53C39" w:rsidRPr="003E0254" w:rsidRDefault="00DA35C9">
            <w:pPr>
              <w:spacing w:line="276" w:lineRule="auto"/>
              <w:rPr>
                <w:bCs/>
                <w:sz w:val="20"/>
                <w:szCs w:val="20"/>
                <w:lang w:val="pl-PL"/>
              </w:rPr>
            </w:pPr>
            <w:r w:rsidRPr="003E0254">
              <w:rPr>
                <w:bCs/>
                <w:sz w:val="20"/>
                <w:szCs w:val="20"/>
                <w:lang w:val="pl-PL"/>
              </w:rPr>
              <w:t>brane</w:t>
            </w:r>
          </w:p>
        </w:tc>
        <w:tc>
          <w:tcPr>
            <w:tcW w:w="527" w:type="pct"/>
            <w:shd w:val="clear" w:color="auto" w:fill="CAEDFB" w:themeFill="accent4" w:themeFillTint="33"/>
          </w:tcPr>
          <w:p w14:paraId="0D5BB2C9" w14:textId="77777777" w:rsidR="00B53C39" w:rsidRPr="003E0254" w:rsidRDefault="00DA35C9">
            <w:pPr>
              <w:spacing w:line="276" w:lineRule="auto"/>
              <w:rPr>
                <w:bCs/>
                <w:sz w:val="20"/>
                <w:szCs w:val="20"/>
              </w:rPr>
            </w:pPr>
            <w:r w:rsidRPr="003E0254">
              <w:rPr>
                <w:bCs/>
                <w:sz w:val="20"/>
                <w:szCs w:val="20"/>
              </w:rPr>
              <w:t>Carbon felt</w:t>
            </w:r>
          </w:p>
        </w:tc>
        <w:tc>
          <w:tcPr>
            <w:tcW w:w="547" w:type="pct"/>
            <w:shd w:val="clear" w:color="auto" w:fill="CAEDFB" w:themeFill="accent4" w:themeFillTint="33"/>
          </w:tcPr>
          <w:p w14:paraId="11E67B99" w14:textId="77777777" w:rsidR="00B53C39" w:rsidRPr="003E0254" w:rsidRDefault="00DA35C9">
            <w:pPr>
              <w:spacing w:line="276" w:lineRule="auto"/>
              <w:rPr>
                <w:bCs/>
                <w:sz w:val="20"/>
                <w:szCs w:val="20"/>
                <w:vertAlign w:val="subscript"/>
              </w:rPr>
            </w:pPr>
            <w:r w:rsidRPr="003E0254">
              <w:rPr>
                <w:bCs/>
                <w:sz w:val="20"/>
                <w:szCs w:val="20"/>
              </w:rPr>
              <w:t>ZnBr</w:t>
            </w:r>
            <w:r w:rsidRPr="003E0254">
              <w:rPr>
                <w:bCs/>
                <w:sz w:val="20"/>
                <w:szCs w:val="20"/>
                <w:vertAlign w:val="subscript"/>
              </w:rPr>
              <w:t>2</w:t>
            </w:r>
          </w:p>
        </w:tc>
        <w:tc>
          <w:tcPr>
            <w:tcW w:w="493" w:type="pct"/>
            <w:vMerge w:val="restart"/>
            <w:shd w:val="clear" w:color="auto" w:fill="CAEDFB" w:themeFill="accent4" w:themeFillTint="33"/>
            <w:vAlign w:val="center"/>
          </w:tcPr>
          <w:p w14:paraId="5220675C" w14:textId="77777777" w:rsidR="00B53C39" w:rsidRPr="003E0254" w:rsidRDefault="00DA35C9">
            <w:pPr>
              <w:spacing w:line="276" w:lineRule="auto"/>
              <w:rPr>
                <w:bCs/>
                <w:sz w:val="20"/>
                <w:szCs w:val="20"/>
              </w:rPr>
            </w:pPr>
            <w:r w:rsidRPr="003E0254">
              <w:rPr>
                <w:sz w:val="20"/>
                <w:szCs w:val="20"/>
              </w:rPr>
              <w:t>Zn</w:t>
            </w:r>
            <w:r w:rsidRPr="003E0254">
              <w:rPr>
                <w:sz w:val="20"/>
                <w:szCs w:val="20"/>
                <w:vertAlign w:val="superscript"/>
              </w:rPr>
              <w:t>2+</w:t>
            </w:r>
            <w:r w:rsidRPr="003E0254">
              <w:rPr>
                <w:rStyle w:val="img-tbleqn"/>
                <w:rFonts w:ascii="Cambria Math" w:hAnsi="Cambria Math" w:cs="Cambria Math"/>
                <w:sz w:val="20"/>
                <w:szCs w:val="20"/>
              </w:rPr>
              <w:t xml:space="preserve">⇔ </w:t>
            </w:r>
            <w:r w:rsidRPr="003E0254">
              <w:rPr>
                <w:sz w:val="20"/>
                <w:szCs w:val="20"/>
              </w:rPr>
              <w:t>Zn</w:t>
            </w:r>
          </w:p>
        </w:tc>
        <w:tc>
          <w:tcPr>
            <w:tcW w:w="295" w:type="pct"/>
            <w:shd w:val="clear" w:color="auto" w:fill="CAEDFB" w:themeFill="accent4" w:themeFillTint="33"/>
          </w:tcPr>
          <w:p w14:paraId="402A18E7" w14:textId="181B8EBE" w:rsidR="00B53C39" w:rsidRPr="003E0254" w:rsidRDefault="00DA35C9">
            <w:pPr>
              <w:spacing w:line="276" w:lineRule="auto"/>
              <w:rPr>
                <w:bCs/>
                <w:sz w:val="20"/>
                <w:szCs w:val="20"/>
              </w:rPr>
            </w:pPr>
            <w:r w:rsidRPr="003E0254">
              <w:rPr>
                <w:bCs/>
                <w:sz w:val="20"/>
                <w:szCs w:val="20"/>
              </w:rPr>
              <w:t>Xie et al.</w:t>
            </w:r>
            <w:r w:rsidR="005548ED" w:rsidRPr="003E0254">
              <w:rPr>
                <w:bCs/>
                <w:sz w:val="20"/>
                <w:szCs w:val="20"/>
              </w:rPr>
              <w:fldChar w:fldCharType="begin" w:fldLock="1"/>
            </w:r>
            <w:r w:rsidR="00500B8D" w:rsidRPr="003E0254">
              <w:rPr>
                <w:bCs/>
                <w:sz w:val="20"/>
                <w:szCs w:val="20"/>
              </w:rPr>
              <w:instrText>ADDIN CSL_CITATION {"citationItems":[{"id":"ITEM-1","itemData":{"DOI":"10.1002/ANIE.201708664","ISSN":"1521-3773","PMID":"28980361","abstract":"Flow batteries (FBs) are one of the most promising stationary energy-storage devices for storing renewable energy. However, commercial progress of FBs is limited by their high cost and low energy density. A neutral zinc–iron FB with very low cost and high energy density is presented. By using highly soluble FeCl2/ZnBr2 species, a charge energy density of 56.30 Wh L−1 can be achieved. DFT calculations demonstrated that glycine can combine with iron to suppress hydrolysis and crossover of Fe3+/Fe2+. The results indicated that an energy efficiency of 86.66 % can be obtained at 40 mA cm−2 and the battery can run stably for more than 100 cycles. Furthermore, a low-cost porous membrane was employed to lower the capital cost to less than $ 50 per kWh, which was the lowest value that has ever been reported. Combining the features of low cost, high energy density and high energy efficiency, the neutral zinc–iron FB is a promising candidate for stationary energy-storage applications.","author":[{"dropping-particle":"","family":"Xie","given":"Congxin","non-dropping-particle":"","parse-names":false,"suffix":""},{"dropping-particle":"","family":"Duan","given":"Yinqi","non-dropping-particle":"","parse-names":false,"suffix":""},{"dropping-particle":"","family":"Xu","given":"Wenbin","non-dropping-particle":"","parse-names":false,"suffix":""},{"dropping-particle":"","family":"Zhang","given":"Huamin","non-dropping-particle":"","parse-names":false,"suffix":""},{"dropping-particle":"","family":"Li","given":"Xianfeng","non-dropping-particle":"","parse-names":false,"suffix":""}],"container-title":"Angewandte Chemie International Edition","id":"ITEM-1","issue":"47","issued":{"date-parts":[["2017","11","20"]]},"page":"14953-14957","publisher":"John Wiley &amp; Sons, Ltd","title":"A Low-Cost Neutral Zinc–Iron Flow Battery with High Energy Density for Stationary Energy Storage","type":"article-journal","volume":"56"},"uris":["http://www.mendeley.com/documents/?uuid=89f10411-1f9a-3987-8505-7213ee28046c"]}],"mendeley":{"formattedCitation":"&lt;sup&gt;[272]&lt;/sup&gt;","plainTextFormattedCitation":"[272]","previouslyFormattedCitation":"&lt;sup&gt;[271]&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[272]</w:t>
            </w:r>
            <w:r w:rsidR="005548ED" w:rsidRPr="003E0254">
              <w:rPr>
                <w:bCs/>
                <w:sz w:val="20"/>
                <w:szCs w:val="20"/>
              </w:rPr>
              <w:fldChar w:fldCharType="end"/>
            </w:r>
          </w:p>
        </w:tc>
      </w:tr>
      <w:tr w:rsidR="00B53C39" w:rsidRPr="003E0254" w14:paraId="4CB06AFE" w14:textId="77777777">
        <w:tc>
          <w:tcPr>
            <w:tcW w:w="419" w:type="pct"/>
            <w:vMerge/>
            <w:shd w:val="clear" w:color="auto" w:fill="CAEDFB" w:themeFill="accent4" w:themeFillTint="33"/>
            <w:vAlign w:val="center"/>
          </w:tcPr>
          <w:p w14:paraId="2BB157B4" w14:textId="77777777" w:rsidR="00B53C39" w:rsidRPr="003E0254" w:rsidRDefault="00B53C39">
            <w:pPr>
              <w:spacing w:line="276" w:lineRule="auto"/>
              <w:jc w:val="center"/>
              <w:rPr>
                <w:b/>
                <w:bCs/>
                <w:sz w:val="20"/>
                <w:szCs w:val="20"/>
                <w:u w:val="single"/>
              </w:rPr>
            </w:pPr>
          </w:p>
        </w:tc>
        <w:tc>
          <w:tcPr>
            <w:tcW w:w="488" w:type="pct"/>
            <w:shd w:val="clear" w:color="auto" w:fill="CAEDFB" w:themeFill="accent4" w:themeFillTint="33"/>
          </w:tcPr>
          <w:p w14:paraId="4D7E5ECB" w14:textId="53709EC1" w:rsidR="00B53C39" w:rsidRPr="003E0254" w:rsidRDefault="00DA35C9">
            <w:pPr>
              <w:spacing w:line="276" w:lineRule="auto"/>
              <w:rPr>
                <w:bCs/>
                <w:sz w:val="20"/>
                <w:szCs w:val="20"/>
              </w:rPr>
            </w:pPr>
            <w:r w:rsidRPr="003E0254">
              <w:rPr>
                <w:bCs/>
                <w:sz w:val="20"/>
                <w:szCs w:val="20"/>
              </w:rPr>
              <w:t>I</w:t>
            </w:r>
            <w:r w:rsidRPr="003E0254">
              <w:rPr>
                <w:bCs/>
                <w:sz w:val="20"/>
                <w:szCs w:val="20"/>
                <w:vertAlign w:val="subscript"/>
              </w:rPr>
              <w:t>2</w:t>
            </w:r>
            <w:r w:rsidR="00996CC5" w:rsidRPr="003E0254">
              <w:rPr>
                <w:sz w:val="20"/>
                <w:szCs w:val="20"/>
                <w:lang w:eastAsia="de-DE"/>
              </w:rPr>
              <w:t>||Zn</w:t>
            </w:r>
          </w:p>
        </w:tc>
        <w:tc>
          <w:tcPr>
            <w:tcW w:w="455" w:type="pct"/>
            <w:shd w:val="clear" w:color="auto" w:fill="CAEDFB" w:themeFill="accent4" w:themeFillTint="33"/>
          </w:tcPr>
          <w:p w14:paraId="040779C0" w14:textId="77777777" w:rsidR="00B53C39" w:rsidRPr="003E0254" w:rsidRDefault="00DA35C9">
            <w:pPr>
              <w:spacing w:line="276" w:lineRule="auto"/>
              <w:rPr>
                <w:bCs/>
                <w:sz w:val="20"/>
                <w:szCs w:val="20"/>
              </w:rPr>
            </w:pPr>
            <w:r w:rsidRPr="003E0254">
              <w:rPr>
                <w:bCs/>
                <w:sz w:val="20"/>
                <w:szCs w:val="20"/>
              </w:rPr>
              <w:t>Carbon felt</w:t>
            </w:r>
          </w:p>
        </w:tc>
        <w:tc>
          <w:tcPr>
            <w:tcW w:w="607" w:type="pct"/>
            <w:shd w:val="clear" w:color="auto" w:fill="CAEDFB" w:themeFill="accent4" w:themeFillTint="33"/>
          </w:tcPr>
          <w:p w14:paraId="2DD672B9" w14:textId="77777777" w:rsidR="00B53C39" w:rsidRPr="003E0254" w:rsidRDefault="00DA35C9">
            <w:pPr>
              <w:spacing w:line="276" w:lineRule="auto"/>
              <w:rPr>
                <w:bCs/>
                <w:sz w:val="20"/>
                <w:szCs w:val="20"/>
              </w:rPr>
            </w:pPr>
            <w:r w:rsidRPr="003E0254">
              <w:rPr>
                <w:bCs/>
                <w:sz w:val="20"/>
                <w:szCs w:val="20"/>
              </w:rPr>
              <w:t>ZnI</w:t>
            </w:r>
            <w:r w:rsidRPr="003E0254">
              <w:rPr>
                <w:bCs/>
                <w:sz w:val="20"/>
                <w:szCs w:val="20"/>
                <w:vertAlign w:val="subscript"/>
              </w:rPr>
              <w:t>2</w:t>
            </w:r>
            <w:r w:rsidRPr="003E0254">
              <w:rPr>
                <w:bCs/>
                <w:sz w:val="20"/>
                <w:szCs w:val="20"/>
              </w:rPr>
              <w:t>/NH</w:t>
            </w:r>
            <w:r w:rsidRPr="003E0254">
              <w:rPr>
                <w:bCs/>
                <w:sz w:val="20"/>
                <w:szCs w:val="20"/>
                <w:vertAlign w:val="subscript"/>
              </w:rPr>
              <w:t>4</w:t>
            </w:r>
            <w:r w:rsidRPr="003E0254">
              <w:rPr>
                <w:bCs/>
                <w:sz w:val="20"/>
                <w:szCs w:val="20"/>
              </w:rPr>
              <w:t>I</w:t>
            </w:r>
          </w:p>
        </w:tc>
        <w:tc>
          <w:tcPr>
            <w:tcW w:w="656" w:type="pct"/>
            <w:shd w:val="clear" w:color="auto" w:fill="CAEDFB" w:themeFill="accent4" w:themeFillTint="33"/>
          </w:tcPr>
          <w:p w14:paraId="16FBF0FC" w14:textId="77777777" w:rsidR="00B53C39" w:rsidRPr="003E0254" w:rsidRDefault="00DA35C9">
            <w:pPr>
              <w:spacing w:line="276" w:lineRule="auto"/>
              <w:rPr>
                <w:bCs/>
                <w:sz w:val="20"/>
                <w:szCs w:val="20"/>
                <w:vertAlign w:val="superscript"/>
              </w:rPr>
            </w:pPr>
            <w:r w:rsidRPr="003E0254">
              <w:rPr>
                <w:bCs/>
                <w:sz w:val="20"/>
                <w:szCs w:val="20"/>
              </w:rPr>
              <w:t>3 I</w:t>
            </w:r>
            <w:r w:rsidRPr="003E0254">
              <w:rPr>
                <w:bCs/>
                <w:sz w:val="20"/>
                <w:szCs w:val="20"/>
                <w:vertAlign w:val="superscript"/>
              </w:rPr>
              <w:t>-</w:t>
            </w:r>
            <w:r w:rsidRPr="003E0254">
              <w:rPr>
                <w:bCs/>
                <w:sz w:val="20"/>
                <w:szCs w:val="20"/>
              </w:rPr>
              <w:t xml:space="preserve"> </w:t>
            </w:r>
            <w:r w:rsidRPr="003E0254">
              <w:rPr>
                <w:rFonts w:ascii="Cambria Math" w:hAnsi="Cambria Math" w:cs="Cambria Math"/>
                <w:sz w:val="20"/>
                <w:szCs w:val="20"/>
              </w:rPr>
              <w:t>⇔ I</w:t>
            </w:r>
            <w:r w:rsidRPr="003E0254">
              <w:rPr>
                <w:rFonts w:ascii="Cambria Math" w:hAnsi="Cambria Math" w:cs="Cambria Math"/>
                <w:sz w:val="20"/>
                <w:szCs w:val="20"/>
                <w:vertAlign w:val="subscript"/>
              </w:rPr>
              <w:t>3</w:t>
            </w:r>
            <w:r w:rsidRPr="003E0254">
              <w:rPr>
                <w:bCs/>
                <w:sz w:val="20"/>
                <w:szCs w:val="20"/>
                <w:vertAlign w:val="superscript"/>
              </w:rPr>
              <w:t>-</w:t>
            </w:r>
          </w:p>
        </w:tc>
        <w:tc>
          <w:tcPr>
            <w:tcW w:w="513" w:type="pct"/>
            <w:shd w:val="clear" w:color="auto" w:fill="CAEDFB" w:themeFill="accent4" w:themeFillTint="33"/>
          </w:tcPr>
          <w:p w14:paraId="5A58BBDA" w14:textId="77777777" w:rsidR="00B53C39" w:rsidRPr="003E0254" w:rsidRDefault="00DA35C9">
            <w:pPr>
              <w:spacing w:line="276" w:lineRule="auto"/>
              <w:rPr>
                <w:bCs/>
                <w:sz w:val="20"/>
                <w:szCs w:val="20"/>
              </w:rPr>
            </w:pPr>
            <w:r w:rsidRPr="003E0254">
              <w:rPr>
                <w:bCs/>
                <w:sz w:val="20"/>
                <w:szCs w:val="20"/>
              </w:rPr>
              <w:t>CEM:</w:t>
            </w:r>
          </w:p>
          <w:p w14:paraId="192B7EE7" w14:textId="77777777" w:rsidR="00B53C39" w:rsidRPr="003E0254" w:rsidRDefault="00DA35C9">
            <w:pPr>
              <w:spacing w:line="276" w:lineRule="auto"/>
              <w:rPr>
                <w:bCs/>
                <w:sz w:val="20"/>
                <w:szCs w:val="20"/>
              </w:rPr>
            </w:pPr>
            <w:proofErr w:type="spellStart"/>
            <w:r w:rsidRPr="003E0254">
              <w:rPr>
                <w:bCs/>
                <w:sz w:val="20"/>
                <w:szCs w:val="20"/>
              </w:rPr>
              <w:t>Nafion</w:t>
            </w:r>
            <w:proofErr w:type="spellEnd"/>
            <w:r w:rsidRPr="003E0254">
              <w:rPr>
                <w:bCs/>
                <w:sz w:val="20"/>
                <w:szCs w:val="20"/>
              </w:rPr>
              <w:t>® 117</w:t>
            </w:r>
          </w:p>
        </w:tc>
        <w:tc>
          <w:tcPr>
            <w:tcW w:w="527" w:type="pct"/>
            <w:shd w:val="clear" w:color="auto" w:fill="CAEDFB" w:themeFill="accent4" w:themeFillTint="33"/>
          </w:tcPr>
          <w:p w14:paraId="34B01C31" w14:textId="77777777" w:rsidR="00B53C39" w:rsidRPr="003E0254" w:rsidRDefault="00DA35C9">
            <w:pPr>
              <w:spacing w:line="276" w:lineRule="auto"/>
              <w:rPr>
                <w:bCs/>
                <w:sz w:val="20"/>
                <w:szCs w:val="20"/>
              </w:rPr>
            </w:pPr>
            <w:r w:rsidRPr="003E0254">
              <w:rPr>
                <w:bCs/>
                <w:sz w:val="20"/>
                <w:szCs w:val="20"/>
              </w:rPr>
              <w:t>Carbon felt</w:t>
            </w:r>
          </w:p>
        </w:tc>
        <w:tc>
          <w:tcPr>
            <w:tcW w:w="547" w:type="pct"/>
            <w:shd w:val="clear" w:color="auto" w:fill="CAEDFB" w:themeFill="accent4" w:themeFillTint="33"/>
          </w:tcPr>
          <w:p w14:paraId="63364716" w14:textId="77777777" w:rsidR="00B53C39" w:rsidRPr="003E0254" w:rsidRDefault="00DA35C9">
            <w:pPr>
              <w:spacing w:line="276" w:lineRule="auto"/>
              <w:rPr>
                <w:bCs/>
                <w:sz w:val="20"/>
                <w:szCs w:val="20"/>
                <w:vertAlign w:val="subscript"/>
              </w:rPr>
            </w:pPr>
            <w:r w:rsidRPr="003E0254">
              <w:rPr>
                <w:bCs/>
                <w:sz w:val="20"/>
                <w:szCs w:val="20"/>
              </w:rPr>
              <w:t>ZnI</w:t>
            </w:r>
            <w:r w:rsidRPr="003E0254">
              <w:rPr>
                <w:bCs/>
                <w:sz w:val="20"/>
                <w:szCs w:val="20"/>
                <w:vertAlign w:val="subscript"/>
              </w:rPr>
              <w:t>2</w:t>
            </w:r>
          </w:p>
        </w:tc>
        <w:tc>
          <w:tcPr>
            <w:tcW w:w="493" w:type="pct"/>
            <w:vMerge/>
            <w:shd w:val="clear" w:color="auto" w:fill="CAEDFB" w:themeFill="accent4" w:themeFillTint="33"/>
            <w:vAlign w:val="center"/>
          </w:tcPr>
          <w:p w14:paraId="3451F52E" w14:textId="77777777" w:rsidR="00B53C39" w:rsidRPr="003E0254" w:rsidRDefault="00B53C39">
            <w:pPr>
              <w:spacing w:line="276" w:lineRule="auto"/>
              <w:rPr>
                <w:bCs/>
                <w:sz w:val="20"/>
                <w:szCs w:val="20"/>
              </w:rPr>
            </w:pPr>
          </w:p>
        </w:tc>
        <w:tc>
          <w:tcPr>
            <w:tcW w:w="295" w:type="pct"/>
            <w:shd w:val="clear" w:color="auto" w:fill="CAEDFB" w:themeFill="accent4" w:themeFillTint="33"/>
          </w:tcPr>
          <w:p w14:paraId="4737A58D" w14:textId="14375373" w:rsidR="00B53C39" w:rsidRPr="003E0254" w:rsidRDefault="00DA35C9">
            <w:pPr>
              <w:spacing w:line="276" w:lineRule="auto"/>
              <w:rPr>
                <w:bCs/>
                <w:sz w:val="20"/>
                <w:szCs w:val="20"/>
              </w:rPr>
            </w:pPr>
            <w:r w:rsidRPr="003E0254">
              <w:rPr>
                <w:bCs/>
                <w:sz w:val="20"/>
                <w:szCs w:val="20"/>
              </w:rPr>
              <w:t>Mousavi et al.</w:t>
            </w:r>
            <w:r w:rsidR="005548ED" w:rsidRPr="003E0254">
              <w:rPr>
                <w:bCs/>
                <w:sz w:val="20"/>
                <w:szCs w:val="20"/>
              </w:rPr>
              <w:fldChar w:fldCharType="begin" w:fldLock="1"/>
            </w:r>
            <w:r w:rsidR="00500B8D" w:rsidRPr="003E0254">
              <w:rPr>
                <w:bCs/>
                <w:sz w:val="20"/>
                <w:szCs w:val="20"/>
              </w:rPr>
              <w:instrText>ADDIN CSL_CITATION {"citationItems":[{"id":"ITEM-1","itemData":{"DOI":"10.1016/J.ENSM.2020.06.031","ISSN":"2405-8297","abstract":"Zinc-iodine redox flow batteries (ZIFBs) have emerged as promising energy storage systems due to their high-energy density. However, their practical use has been limited by their poor stability, low efficiency and high cost. In this work, we implemented a novel strategy to improve the performance and cyclability of ZIFBs, as well as decrease the chemical cost, by developing and utilizing ammonium-based electrolytes. An ammonium chloride supported zinc-iodine redox flow battery (AC-ZIFB) based on the ammonium iodide/triiodide redox couple was designed, and it achieved a high energy density of 137 WhL-1, Coulombic efficiency of ~99%, energy efficiency of ~80%, and a cycle-life of 2500 cycles at a 11-times lower chemical cost than conventional ZIFBs. Such improvements are mainly attributed to the multifunctional roles of cost-effective chemicals utilized in a new decoupled electrolyte design, which mitigates zinc dendrite formation, facilitates anodic and cathodic reaction kinetics and unlocks extra capacity with the primary aid of I2Cl− formation. This straightforward, yet effective strategy, empowers the AC-ZIFB with excellent potential as a robust and practical redox flow battery and more broadly demonstrates a facile strategy of using multifunctional electrolyte chemistry to achieve a reliable, high-performance, and cost-competitive energy storage system.","author":[{"dropping-particle":"","family":"Mousavi","given":"Mahboubeh","non-dropping-particle":"","parse-names":false,"suffix":""},{"dropping-particle":"","family":"Jiang","given":"Gaopeng","non-dropping-particle":"","parse-names":false,"suffix":""},{"dropping-particle":"","family":"Zhang","given":"Jing","non-dropping-particle":"","parse-names":false,"suffix":""},{"dropping-particle":"","family":"Kashkooli","given":"Ali Ghorbani","non-dropping-particle":"","parse-names":false,"suffix":""},{"dropping-particle":"","family":"Dou","given":"Haozhen","non-dropping-particle":"","parse-names":false,"suffix":""},{"dropping-particle":"","family":"Silva","given":"Catherine J.","non-dropping-particle":"","parse-names":false,"suffix":""},{"dropping-particle":"","family":"Cano","given":"Zachary P.","non-dropping-particle":"","parse-names":false,"suffix":""},{"dropping-particle":"","family":"Niu","given":"Yue","non-dropping-particle":"","parse-names":false,"suffix":""},{"dropping-particle":"","family":"Yu","given":"Aiping","non-dropping-particle":"","parse-names":false,"suffix":""},{"dropping-particle":"","family":"Chen","given":"Zhongwei","non-dropping-particle":"","parse-names":false,"suffix":""}],"container-title":"Energy Storage Materials","id":"ITEM-1","issued":{"date-parts":[["2020","11","1"]]},"page":"465-476","publisher":"Elsevier","title":"Decoupled low-cost ammonium-based electrolyte design for highly stable zinc–iodine redox flow batteries","type":"article-journal","volume":"32"},"uris":["http://www.mendeley.com/documents/?uuid=27fd548a-3efe-3595-b75d-b3d7e03600bc"]},{"id":"ITEM-2","itemData":{"DOI":"10.1016/J.CEJ.2021.128499","ISSN":"1385-8947","abstract":"As novel and rapidly growing battery technologies, zinc-iodine redox flow batteries (ZIFB) with high energy density exhibit great potential for large-scale energy storage. However, their capacity fade and elusive operational instability over charge-discharge cycling severely hinder their commercialization. Herein, the capacity fade in ZIFBs is investigated by systematically evaluating electrochemical performance and electrolyte properties. It is found that the differential hydraulic pressure at both sides of the porous separator leads to colossal electrolyte transport from catholyte to anolyte via convection. Consequently, an accumulation of (poly)iodide at the negative side is established as cycling proceeds, leading to substantial capacity fade of the flow cells. To remediate the capacity fade, an effective strategy is proposed by adjusting electrolyte flow rate ratios to regulate the induced convection by balancing the hydraulic pressure. Theoretical calculations and experimental analysis confirm that an asymmetric flow rate condition drastically inhibits catholyte transport and (poly)iodide crossover. Therefore, a strategically designed ZIFB with an optimal catholyte to anolyte flow rate ratio of 1 to 7 is able to achieve an energy efficiency (EE) of 82% and cycle life of 1,100 cycles at high current density of 80 mA cm−2, which is the highest performance of all the reported ZIFBs. The deep insight gained into the capacity fade mechanism and the proposed methodology to sustain capacity substantially benefit the commercialization of flow batteries.","author":[{"dropping-particle":"","family":"Mousavi","given":"Mahboubeh","non-dropping-particle":"","parse-names":false,"suffix":""},{"dropping-particle":"","family":"Dou","given":"Haozhen","non-dropping-particle":"","parse-names":false,"suffix":""},{"dropping-particle":"","family":"Fathiannasab","given":"Hamed","non-dropping-particle":"","parse-names":false,"suffix":""},{"dropping-particle":"","family":"Silva","given":"Catherine J.","non-dropping-particle":"","parse-names":false,"suffix":""},{"dropping-particle":"","family":"Yu","given":"Aiping","non-dropping-particle":"","parse-names":false,"suffix":""},{"dropping-particle":"","family":"Chen","given":"Zhongwei","non-dropping-particle":"","parse-names":false,"suffix":""}],"container-title":"Chemical Engineering Journal","id":"ITEM-2","issued":{"date-parts":[["2021","5","15"]]},"page":"128499","publisher":"Elsevier","title":"Elucidating and tackling capacity fading of zinc-iodine redox flow batteries","type":"article-journal","volume":"412"},"uris":["http://www.mendeley.com/documents/?uuid=942ac2e7-fe5e-3b52-8a9d-bb09993fe39e"]}],"mendeley":{"formattedCitation":"&lt;sup&gt;[273,274]&lt;/sup&gt;","plainTextFormattedCitation":"[273,274]","previouslyFormattedCitation":"&lt;sup&gt;[272,273]&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[273,274]</w:t>
            </w:r>
            <w:r w:rsidR="005548ED" w:rsidRPr="003E0254">
              <w:rPr>
                <w:bCs/>
                <w:sz w:val="20"/>
                <w:szCs w:val="20"/>
              </w:rPr>
              <w:fldChar w:fldCharType="end"/>
            </w:r>
          </w:p>
          <w:p w14:paraId="1AC68386" w14:textId="77777777" w:rsidR="00B53C39" w:rsidRPr="003E0254" w:rsidRDefault="00B53C39">
            <w:pPr>
              <w:spacing w:line="276" w:lineRule="auto"/>
              <w:rPr>
                <w:bCs/>
                <w:sz w:val="20"/>
                <w:szCs w:val="20"/>
              </w:rPr>
            </w:pPr>
          </w:p>
        </w:tc>
      </w:tr>
      <w:tr w:rsidR="00B53C39" w:rsidRPr="003E0254" w14:paraId="72792090" w14:textId="77777777">
        <w:tc>
          <w:tcPr>
            <w:tcW w:w="419" w:type="pct"/>
            <w:vMerge/>
            <w:shd w:val="clear" w:color="auto" w:fill="CAEDFB" w:themeFill="accent4" w:themeFillTint="33"/>
            <w:vAlign w:val="center"/>
          </w:tcPr>
          <w:p w14:paraId="27057EC5" w14:textId="77777777" w:rsidR="00B53C39" w:rsidRPr="003E0254" w:rsidRDefault="00B53C39">
            <w:pPr>
              <w:spacing w:line="276" w:lineRule="auto"/>
              <w:jc w:val="center"/>
              <w:rPr>
                <w:b/>
                <w:bCs/>
                <w:sz w:val="20"/>
                <w:szCs w:val="20"/>
                <w:u w:val="single"/>
              </w:rPr>
            </w:pPr>
          </w:p>
        </w:tc>
        <w:tc>
          <w:tcPr>
            <w:tcW w:w="488" w:type="pct"/>
            <w:shd w:val="clear" w:color="auto" w:fill="CAEDFB" w:themeFill="accent4" w:themeFillTint="33"/>
          </w:tcPr>
          <w:p w14:paraId="18DD2602" w14:textId="00207B63" w:rsidR="00B53C39" w:rsidRPr="003E0254" w:rsidRDefault="00DA35C9">
            <w:pPr>
              <w:spacing w:line="276" w:lineRule="auto"/>
              <w:rPr>
                <w:bCs/>
                <w:sz w:val="20"/>
                <w:szCs w:val="20"/>
              </w:rPr>
            </w:pPr>
            <w:r w:rsidRPr="003E0254">
              <w:rPr>
                <w:bCs/>
                <w:sz w:val="20"/>
                <w:szCs w:val="20"/>
              </w:rPr>
              <w:t>Br</w:t>
            </w:r>
            <w:r w:rsidRPr="003E0254">
              <w:rPr>
                <w:bCs/>
                <w:sz w:val="20"/>
                <w:szCs w:val="20"/>
                <w:vertAlign w:val="subscript"/>
              </w:rPr>
              <w:t>2</w:t>
            </w:r>
            <w:r w:rsidR="00996CC5" w:rsidRPr="003E0254">
              <w:rPr>
                <w:sz w:val="20"/>
                <w:szCs w:val="20"/>
                <w:lang w:eastAsia="de-DE"/>
              </w:rPr>
              <w:t>||Zn</w:t>
            </w:r>
          </w:p>
        </w:tc>
        <w:tc>
          <w:tcPr>
            <w:tcW w:w="455" w:type="pct"/>
            <w:shd w:val="clear" w:color="auto" w:fill="CAEDFB" w:themeFill="accent4" w:themeFillTint="33"/>
          </w:tcPr>
          <w:p w14:paraId="7707D76A" w14:textId="77777777" w:rsidR="00B53C39" w:rsidRPr="003E0254" w:rsidRDefault="00DA35C9">
            <w:pPr>
              <w:spacing w:line="276" w:lineRule="auto"/>
              <w:rPr>
                <w:bCs/>
                <w:sz w:val="20"/>
                <w:szCs w:val="20"/>
              </w:rPr>
            </w:pPr>
            <w:r w:rsidRPr="003E0254">
              <w:rPr>
                <w:bCs/>
                <w:sz w:val="20"/>
                <w:szCs w:val="20"/>
              </w:rPr>
              <w:t>Thermally treated carbon felts</w:t>
            </w:r>
          </w:p>
        </w:tc>
        <w:tc>
          <w:tcPr>
            <w:tcW w:w="607" w:type="pct"/>
            <w:shd w:val="clear" w:color="auto" w:fill="CAEDFB" w:themeFill="accent4" w:themeFillTint="33"/>
          </w:tcPr>
          <w:p w14:paraId="02E002A9" w14:textId="77777777" w:rsidR="00B53C39" w:rsidRPr="003E0254" w:rsidRDefault="00DA35C9">
            <w:pPr>
              <w:spacing w:line="276" w:lineRule="auto"/>
              <w:rPr>
                <w:bCs/>
                <w:sz w:val="20"/>
                <w:szCs w:val="20"/>
              </w:rPr>
            </w:pPr>
            <w:r w:rsidRPr="003E0254">
              <w:rPr>
                <w:bCs/>
                <w:sz w:val="20"/>
                <w:szCs w:val="20"/>
              </w:rPr>
              <w:t>ZnBr</w:t>
            </w:r>
            <w:r w:rsidRPr="003E0254">
              <w:rPr>
                <w:bCs/>
                <w:sz w:val="20"/>
                <w:szCs w:val="20"/>
                <w:vertAlign w:val="subscript"/>
              </w:rPr>
              <w:t>2</w:t>
            </w:r>
          </w:p>
        </w:tc>
        <w:tc>
          <w:tcPr>
            <w:tcW w:w="656" w:type="pct"/>
            <w:shd w:val="clear" w:color="auto" w:fill="CAEDFB" w:themeFill="accent4" w:themeFillTint="33"/>
          </w:tcPr>
          <w:p w14:paraId="66D2B854" w14:textId="77777777" w:rsidR="00B53C39" w:rsidRPr="003E0254" w:rsidRDefault="00DA35C9">
            <w:pPr>
              <w:spacing w:line="276" w:lineRule="auto"/>
              <w:rPr>
                <w:bCs/>
                <w:sz w:val="20"/>
                <w:szCs w:val="20"/>
              </w:rPr>
            </w:pPr>
            <w:r w:rsidRPr="003E0254">
              <w:rPr>
                <w:bCs/>
                <w:sz w:val="20"/>
                <w:szCs w:val="20"/>
              </w:rPr>
              <w:t>3 Br</w:t>
            </w:r>
            <w:r w:rsidRPr="003E0254">
              <w:rPr>
                <w:bCs/>
                <w:sz w:val="20"/>
                <w:szCs w:val="20"/>
                <w:vertAlign w:val="superscript"/>
              </w:rPr>
              <w:t>-</w:t>
            </w:r>
            <w:r w:rsidRPr="003E0254">
              <w:rPr>
                <w:bCs/>
                <w:sz w:val="20"/>
                <w:szCs w:val="20"/>
              </w:rPr>
              <w:t xml:space="preserve"> </w:t>
            </w:r>
            <w:r w:rsidRPr="003E0254">
              <w:rPr>
                <w:rFonts w:ascii="Cambria Math" w:hAnsi="Cambria Math" w:cs="Cambria Math"/>
                <w:bCs/>
                <w:sz w:val="20"/>
                <w:szCs w:val="20"/>
              </w:rPr>
              <w:t>⇔</w:t>
            </w:r>
            <w:r w:rsidRPr="003E0254">
              <w:rPr>
                <w:bCs/>
                <w:sz w:val="20"/>
                <w:szCs w:val="20"/>
              </w:rPr>
              <w:t xml:space="preserve"> Br</w:t>
            </w:r>
            <w:r w:rsidRPr="003E0254">
              <w:rPr>
                <w:bCs/>
                <w:sz w:val="20"/>
                <w:szCs w:val="20"/>
                <w:vertAlign w:val="superscript"/>
              </w:rPr>
              <w:t>3-</w:t>
            </w:r>
          </w:p>
        </w:tc>
        <w:tc>
          <w:tcPr>
            <w:tcW w:w="513" w:type="pct"/>
            <w:shd w:val="clear" w:color="auto" w:fill="CAEDFB" w:themeFill="accent4" w:themeFillTint="33"/>
          </w:tcPr>
          <w:p w14:paraId="3CF64B6E" w14:textId="77777777" w:rsidR="00B53C39" w:rsidRPr="003E0254" w:rsidRDefault="00DA35C9">
            <w:pPr>
              <w:spacing w:line="276" w:lineRule="auto"/>
              <w:rPr>
                <w:bCs/>
                <w:sz w:val="20"/>
                <w:szCs w:val="20"/>
              </w:rPr>
            </w:pPr>
            <w:r w:rsidRPr="003E0254">
              <w:rPr>
                <w:bCs/>
                <w:sz w:val="20"/>
                <w:szCs w:val="20"/>
              </w:rPr>
              <w:t>CEM:</w:t>
            </w:r>
          </w:p>
          <w:p w14:paraId="4FB88E6E" w14:textId="77777777" w:rsidR="00B53C39" w:rsidRPr="003E0254" w:rsidRDefault="00DA35C9">
            <w:pPr>
              <w:spacing w:line="276" w:lineRule="auto"/>
              <w:rPr>
                <w:bCs/>
                <w:sz w:val="20"/>
                <w:szCs w:val="20"/>
              </w:rPr>
            </w:pPr>
            <w:proofErr w:type="spellStart"/>
            <w:r w:rsidRPr="003E0254">
              <w:rPr>
                <w:bCs/>
                <w:sz w:val="20"/>
                <w:szCs w:val="20"/>
              </w:rPr>
              <w:t>Nafion</w:t>
            </w:r>
            <w:proofErr w:type="spellEnd"/>
            <w:r w:rsidRPr="003E0254">
              <w:rPr>
                <w:bCs/>
                <w:sz w:val="20"/>
                <w:szCs w:val="20"/>
              </w:rPr>
              <w:t>® 212</w:t>
            </w:r>
          </w:p>
        </w:tc>
        <w:tc>
          <w:tcPr>
            <w:tcW w:w="527" w:type="pct"/>
            <w:shd w:val="clear" w:color="auto" w:fill="CAEDFB" w:themeFill="accent4" w:themeFillTint="33"/>
          </w:tcPr>
          <w:p w14:paraId="763CF922" w14:textId="77777777" w:rsidR="00B53C39" w:rsidRPr="003E0254" w:rsidRDefault="00DA35C9">
            <w:pPr>
              <w:spacing w:line="276" w:lineRule="auto"/>
              <w:rPr>
                <w:bCs/>
                <w:sz w:val="20"/>
                <w:szCs w:val="20"/>
              </w:rPr>
            </w:pPr>
            <w:r w:rsidRPr="003E0254">
              <w:rPr>
                <w:bCs/>
                <w:sz w:val="20"/>
                <w:szCs w:val="20"/>
              </w:rPr>
              <w:t>Thermally treated carbon felts</w:t>
            </w:r>
          </w:p>
        </w:tc>
        <w:tc>
          <w:tcPr>
            <w:tcW w:w="547" w:type="pct"/>
            <w:shd w:val="clear" w:color="auto" w:fill="CAEDFB" w:themeFill="accent4" w:themeFillTint="33"/>
          </w:tcPr>
          <w:p w14:paraId="1C2E9221" w14:textId="77777777" w:rsidR="00B53C39" w:rsidRPr="003E0254" w:rsidRDefault="00DA35C9">
            <w:pPr>
              <w:spacing w:line="276" w:lineRule="auto"/>
              <w:rPr>
                <w:bCs/>
                <w:sz w:val="20"/>
                <w:szCs w:val="20"/>
              </w:rPr>
            </w:pPr>
            <w:r w:rsidRPr="003E0254">
              <w:rPr>
                <w:bCs/>
                <w:sz w:val="20"/>
                <w:szCs w:val="20"/>
              </w:rPr>
              <w:t>ZnBr</w:t>
            </w:r>
            <w:r w:rsidRPr="003E0254">
              <w:rPr>
                <w:bCs/>
                <w:sz w:val="20"/>
                <w:szCs w:val="20"/>
                <w:vertAlign w:val="subscript"/>
              </w:rPr>
              <w:t>2</w:t>
            </w:r>
          </w:p>
        </w:tc>
        <w:tc>
          <w:tcPr>
            <w:tcW w:w="493" w:type="pct"/>
            <w:vMerge/>
            <w:shd w:val="clear" w:color="auto" w:fill="CAEDFB" w:themeFill="accent4" w:themeFillTint="33"/>
            <w:vAlign w:val="center"/>
          </w:tcPr>
          <w:p w14:paraId="41A8AA5E" w14:textId="77777777" w:rsidR="00B53C39" w:rsidRPr="003E0254" w:rsidRDefault="00B53C39">
            <w:pPr>
              <w:spacing w:line="276" w:lineRule="auto"/>
              <w:rPr>
                <w:bCs/>
                <w:sz w:val="20"/>
                <w:szCs w:val="20"/>
              </w:rPr>
            </w:pPr>
          </w:p>
        </w:tc>
        <w:tc>
          <w:tcPr>
            <w:tcW w:w="295" w:type="pct"/>
            <w:shd w:val="clear" w:color="auto" w:fill="CAEDFB" w:themeFill="accent4" w:themeFillTint="33"/>
          </w:tcPr>
          <w:p w14:paraId="7E9CC2B1" w14:textId="032F9167" w:rsidR="00B53C39" w:rsidRPr="003E0254" w:rsidRDefault="00DA35C9">
            <w:pPr>
              <w:spacing w:line="276" w:lineRule="auto"/>
              <w:rPr>
                <w:bCs/>
                <w:sz w:val="20"/>
                <w:szCs w:val="20"/>
              </w:rPr>
            </w:pPr>
            <w:r w:rsidRPr="003E0254">
              <w:rPr>
                <w:bCs/>
                <w:sz w:val="20"/>
                <w:szCs w:val="20"/>
              </w:rPr>
              <w:t>Wu et al</w:t>
            </w:r>
            <w:r w:rsidR="005548ED" w:rsidRPr="003E0254">
              <w:rPr>
                <w:bCs/>
                <w:sz w:val="20"/>
                <w:szCs w:val="20"/>
              </w:rPr>
              <w:t>.</w:t>
            </w:r>
            <w:r w:rsidR="005548ED" w:rsidRPr="003E0254">
              <w:rPr>
                <w:bCs/>
                <w:sz w:val="20"/>
                <w:szCs w:val="20"/>
              </w:rPr>
              <w:fldChar w:fldCharType="begin" w:fldLock="1"/>
            </w:r>
            <w:r w:rsidR="00500B8D" w:rsidRPr="003E0254">
              <w:rPr>
                <w:bCs/>
                <w:sz w:val="20"/>
                <w:szCs w:val="20"/>
              </w:rPr>
              <w:instrText>ADDIN CSL_CITATION {"citationItems":[{"id":"ITEM-1","itemData":{"DOI":"10.1016/J.JPOWSOUR.2018.03.006","ISSN":"0378-7753","abstract":"Conventional zinc bromide electrolytes offer low ionic conductivity and often trigger severe zinc dendrite growth in zinc-bromine flow batteries. Here we report an improved electrolyte modified with methanesulfonic acid, which not only improves the electrolyte conductivity but also ameliorates zinc dendrite. Experimental results also reveal that the kinetics and reversibility of Zn2+/Zn and Br2/Br− are improved in this modified electrolyte. Moreover, the battery's internal resistance is significantly reduced from 4.9 to 2.0 Ω cm2 after adding 1 M methanesulfonic acid, thus leading to an improved energy efficiency from 64% to 75% at a current density of 40 mA cm−2. More impressively, the battery is capable of delivering an energy efficiency of about 78% at a current density of as high as 80 mA cm−2 when the electrode is replaced by a thermally treated one. Additionally, zinc dendrite growth is found to be effectively suppressed in methanesulfonic acid supported media, which, as a result, enables the battery to be operated for 50 cycles without degradation, whereas the one without methanesulfonic acid suffers from significant decay after only 40 cycles, primarily due to severe zinc dendrite growth. These superior results indicate methanesulfonic acid is a promising supporting electrolyte for zinc-bromine flow batteries.","author":[{"dropping-particle":"","family":"Wu","given":"M. C.","non-dropping-particle":"","parse-names":false,"suffix":""},{"dropping-particle":"","family":"Zhao","given":"T. S.","non-dropping-particle":"","parse-names":false,"suffix":""},{"dropping-particle":"","family":"Wei","given":"L.","non-dropping-particle":"","parse-names":false,"suffix":""},{"dropping-particle":"","family":"Jiang","given":"H. R.","non-dropping-particle":"","parse-names":false,"suffix":""},{"dropping-particle":"","family":"Zhang","given":"R. H.","non-dropping-particle":"","parse-names":false,"suffix":""}],"container-title":"Journal of Power Sources","id":"ITEM-1","issued":{"date-parts":[["2018","4","30"]]},"page":"232-239","publisher":"Elsevier","title":"Improved electrolyte for zinc-bromine flow batteries","type":"article-journal","volume":"384"},"uris":["http://www.mendeley.com/documents/?uuid=b6e7e0f0-f207-3d89-b4ac-244f79c0c1a2"]}],"mendeley":{"formattedCitation":"&lt;sup&gt;[264]&lt;/sup&gt;","plainTextFormattedCitation":"[264]","previouslyFormattedCitation":"&lt;sup&gt;[263]&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[264]</w:t>
            </w:r>
            <w:r w:rsidR="005548ED" w:rsidRPr="003E0254">
              <w:rPr>
                <w:bCs/>
                <w:sz w:val="20"/>
                <w:szCs w:val="20"/>
              </w:rPr>
              <w:fldChar w:fldCharType="end"/>
            </w:r>
            <w:r w:rsidRPr="003E0254">
              <w:rPr>
                <w:bCs/>
                <w:sz w:val="20"/>
                <w:szCs w:val="20"/>
              </w:rPr>
              <w:t>, Shin et al.</w:t>
            </w:r>
            <w:r w:rsidR="005548ED" w:rsidRPr="003E0254">
              <w:rPr>
                <w:bCs/>
                <w:sz w:val="20"/>
                <w:szCs w:val="20"/>
              </w:rPr>
              <w:fldChar w:fldCharType="begin" w:fldLock="1"/>
            </w:r>
            <w:r w:rsidR="00500B8D" w:rsidRPr="003E0254">
              <w:rPr>
                <w:bCs/>
                <w:sz w:val="20"/>
                <w:szCs w:val="20"/>
              </w:rPr>
              <w:instrText>ADDIN CSL_CITATION {"citationItems":[{"id":"ITEM-1","itemData":{"DOI":"10.1016/J.COELEC.2021.100898","ISSN":"2451-9103","abstract":"The fire hazard of lithium-ion batteries has influenced the development of more efficient and safer battery technology for energy storage systems (ESSs). A flowless zinc–bromine battery (FL-ZBB), one of the simplest versions of redox batteries, offers a possibility of a cost-effective and nonflammable ESS. However, toward the development of a practical battery, many critical issues should be addressed. In this contribution, we review the current FL-ZBB technologies and provide an assessment of them from a battery design perspective. The key cell design parameters and their influence on battery specifications are described. The challenges related to materials and cell structure are also discussed to motivate future research.","author":[{"dropping-particle":"","family":"Shin","given":"Kyungjae","non-dropping-particle":"","parse-names":false,"suffix":""},{"dropping-particle":"","family":"Lee","given":"Ju Hyuk","non-dropping-particle":"","parse-names":false,"suffix":""},{"dropping-particle":"","family":"Heo","given":"Jiyun","non-dropping-particle":"","parse-names":false,"suffix":""},{"dropping-particle":"","family":"Kim","given":"Hee Tak","non-dropping-particle":"","parse-names":false,"suffix":""}],"container-title":"Current Opinion in Electrochemistry","id":"ITEM-1","issued":{"date-parts":[["2022","4","1"]]},"page":"100898","publisher":"Elsevier","title":"Current status and challenges for practical flowless Zn–Br batteries","type":"article-journal","volume":"32"},"uris":["http://www.mendeley.com/documents/?uuid=83f933ad-c0e2-37d5-b3e4-4bbdec579404"]}],"mendeley":{"formattedCitation":"&lt;sup&gt;[275]&lt;/sup&gt;","plainTextFormattedCitation":"[275]","previouslyFormattedCitation":"&lt;sup&gt;[274]&lt;/sup&gt;"},"properties":{"noteIndex":0},"schema":"https://github.com/citation-style-language/schema/raw/master/csl-citation.json"}</w:instrText>
            </w:r>
            <w:r w:rsidR="005548ED" w:rsidRPr="003E0254">
              <w:rPr>
                <w:bCs/>
                <w:sz w:val="20"/>
                <w:szCs w:val="20"/>
              </w:rPr>
              <w:fldChar w:fldCharType="separate"/>
            </w:r>
            <w:r w:rsidR="00500B8D" w:rsidRPr="003E0254">
              <w:rPr>
                <w:bCs/>
                <w:noProof/>
                <w:sz w:val="20"/>
                <w:szCs w:val="20"/>
                <w:vertAlign w:val="superscript"/>
              </w:rPr>
              <w:t>[275]</w:t>
            </w:r>
            <w:r w:rsidR="005548ED" w:rsidRPr="003E0254">
              <w:rPr>
                <w:bCs/>
                <w:sz w:val="20"/>
                <w:szCs w:val="20"/>
              </w:rPr>
              <w:fldChar w:fldCharType="end"/>
            </w:r>
            <w:r w:rsidR="005548ED" w:rsidRPr="003E0254">
              <w:rPr>
                <w:bCs/>
                <w:sz w:val="20"/>
                <w:szCs w:val="20"/>
              </w:rPr>
              <w:t>,</w:t>
            </w:r>
            <w:r w:rsidRPr="003E0254">
              <w:rPr>
                <w:bCs/>
                <w:sz w:val="20"/>
                <w:szCs w:val="20"/>
              </w:rPr>
              <w:t xml:space="preserve"> </w:t>
            </w:r>
          </w:p>
          <w:p w14:paraId="294E1AA1" w14:textId="02489F67" w:rsidR="00B53C39" w:rsidRPr="003E0254" w:rsidRDefault="00DA35C9">
            <w:pPr>
              <w:spacing w:line="276" w:lineRule="auto"/>
              <w:rPr>
                <w:bCs/>
                <w:sz w:val="20"/>
                <w:szCs w:val="20"/>
              </w:rPr>
            </w:pPr>
            <w:r w:rsidRPr="003E0254">
              <w:rPr>
                <w:sz w:val="20"/>
                <w:szCs w:val="20"/>
              </w:rPr>
              <w:t>Mahmood et al.</w:t>
            </w:r>
            <w:r w:rsidR="005548ED" w:rsidRPr="003E0254">
              <w:rPr>
                <w:sz w:val="20"/>
                <w:szCs w:val="20"/>
              </w:rPr>
              <w:fldChar w:fldCharType="begin" w:fldLock="1"/>
            </w:r>
            <w:r w:rsidR="00500B8D" w:rsidRPr="003E0254">
              <w:rPr>
                <w:sz w:val="20"/>
                <w:szCs w:val="20"/>
              </w:rPr>
              <w:instrText>ADDIN CSL_CITATION {"citationItems":[{"id":"ITEM-1","itemData":{"DOI":"10.1002/ADVS.202305561","ISSN":"2198-3844","PMID":"37988707","abstract":"Zinc-bromine batteries (ZBBs) have recently gained significant attention as inexpensive and safer alternatives to potentially flammable lithium-ion batteries. Zn metal is relatively stable in aqueous electrolytes, making ZBBs safer and easier to handle. However, Zn metal anodes are still affected by several issues, including dendrite growth, Zn dissolution, and the crossover of Br species from cathodes to corrode anodes, resulting in self-discharge and fast performance fading. Similarly, Br2 undergoes sluggish redox reactions on cathodes, which brings several issues such as poor reaction kinetics, the highly corrosive nature of Br species leading to corrosion of separators and poisoning of anodes, and the volatile nature of Br species causing increased internal pressures, etc. These issues are compounded in flowless ZBB configuration as no fresh electrolyte is available to provide extra/fresh reaction species. In this review, the factors controlling the performance of ZBBs in flow and flowless configurations are thoroughly reviewed, along with the status of ZBBs in the commercial sector. The review also summarizes various novel methodologies to mitigate these challenges and presents research areas for future studies. In summary, this review will offer a perspective on the historical evolution, recent advancements, and prospects of ZBBs.","author":[{"dropping-particle":"","family":"Mahmood","given":"Asif","non-dropping-particle":"","parse-names":false,"suffix":""},{"dropping-particle":"","family":"Zheng","given":"Zhi","non-dropping-particle":"","parse-names":false,"suffix":""},{"dropping-particle":"","family":"Chen","given":"Yuan","non-dropping-particle":"","parse-names":false,"suffix":""}],"container-title":"Advanced Science","id":"ITEM-1","issue":"3","issued":{"date-parts":[["2024","1","1"]]},"page":"2305561","publisher":"John Wiley &amp; Sons, Ltd","title":"Zinc–Bromine Batteries: Challenges, Prospective Solutions, and Future","type":"article-journal","volume":"11"},"uris":["http://www.mendeley.com/documents/?uuid=c86865f4-4980-36c9-94fd-756947b1095b"]}],"mendeley":{"formattedCitation":"&lt;sup&gt;[276]&lt;/sup&gt;","plainTextFormattedCitation":"[276]","previouslyFormattedCitation":"&lt;sup&gt;[275]&lt;/sup&gt;"},"properties":{"noteIndex":0},"schema":"https://github.com/citation-style-language/schema/raw/master/csl-citation.json"}</w:instrText>
            </w:r>
            <w:r w:rsidR="005548ED" w:rsidRPr="003E0254">
              <w:rPr>
                <w:sz w:val="20"/>
                <w:szCs w:val="20"/>
              </w:rPr>
              <w:fldChar w:fldCharType="separate"/>
            </w:r>
            <w:r w:rsidR="00500B8D" w:rsidRPr="003E0254">
              <w:rPr>
                <w:noProof/>
                <w:sz w:val="20"/>
                <w:szCs w:val="20"/>
                <w:vertAlign w:val="superscript"/>
              </w:rPr>
              <w:t>[276]</w:t>
            </w:r>
            <w:r w:rsidR="005548ED" w:rsidRPr="003E0254">
              <w:rPr>
                <w:sz w:val="20"/>
                <w:szCs w:val="20"/>
              </w:rPr>
              <w:fldChar w:fldCharType="end"/>
            </w:r>
            <w:r w:rsidRPr="003E0254">
              <w:rPr>
                <w:sz w:val="20"/>
                <w:szCs w:val="20"/>
              </w:rPr>
              <w:t xml:space="preserve"> </w:t>
            </w:r>
          </w:p>
        </w:tc>
      </w:tr>
      <w:tr w:rsidR="00B53C39" w:rsidRPr="003E0254" w14:paraId="361D9E19" w14:textId="77777777">
        <w:trPr>
          <w:trHeight w:val="253"/>
        </w:trPr>
        <w:tc>
          <w:tcPr>
            <w:tcW w:w="419" w:type="pct"/>
            <w:vMerge/>
            <w:shd w:val="clear" w:color="auto" w:fill="CAEDFB" w:themeFill="accent4" w:themeFillTint="33"/>
            <w:vAlign w:val="center"/>
          </w:tcPr>
          <w:p w14:paraId="2BE333C4" w14:textId="77777777" w:rsidR="00B53C39" w:rsidRPr="003E0254" w:rsidRDefault="00B53C39">
            <w:pPr>
              <w:spacing w:line="276" w:lineRule="auto"/>
              <w:jc w:val="center"/>
              <w:rPr>
                <w:b/>
                <w:bCs/>
                <w:sz w:val="20"/>
                <w:szCs w:val="20"/>
                <w:u w:val="single"/>
              </w:rPr>
            </w:pPr>
          </w:p>
        </w:tc>
        <w:tc>
          <w:tcPr>
            <w:tcW w:w="488" w:type="pct"/>
            <w:shd w:val="clear" w:color="auto" w:fill="CAEDFB" w:themeFill="accent4" w:themeFillTint="33"/>
          </w:tcPr>
          <w:p w14:paraId="4645BEFE" w14:textId="77777777" w:rsidR="00B53C39" w:rsidRPr="003E0254" w:rsidRDefault="00DA35C9">
            <w:pPr>
              <w:spacing w:line="276" w:lineRule="auto"/>
              <w:rPr>
                <w:bCs/>
                <w:sz w:val="20"/>
                <w:szCs w:val="20"/>
              </w:rPr>
            </w:pPr>
            <w:r w:rsidRPr="003E0254">
              <w:rPr>
                <w:bCs/>
                <w:sz w:val="20"/>
                <w:szCs w:val="20"/>
              </w:rPr>
              <w:t>Zn-polymer</w:t>
            </w:r>
          </w:p>
        </w:tc>
        <w:tc>
          <w:tcPr>
            <w:tcW w:w="455" w:type="pct"/>
            <w:shd w:val="clear" w:color="auto" w:fill="CAEDFB" w:themeFill="accent4" w:themeFillTint="33"/>
          </w:tcPr>
          <w:p w14:paraId="7CBCF97A" w14:textId="77777777" w:rsidR="00B53C39" w:rsidRPr="003E0254" w:rsidRDefault="00DA35C9">
            <w:pPr>
              <w:spacing w:line="276" w:lineRule="auto"/>
              <w:rPr>
                <w:bCs/>
                <w:sz w:val="20"/>
                <w:szCs w:val="20"/>
              </w:rPr>
            </w:pPr>
            <w:r w:rsidRPr="003E0254">
              <w:rPr>
                <w:bCs/>
                <w:sz w:val="20"/>
                <w:szCs w:val="20"/>
              </w:rPr>
              <w:t>graphite felt/carbon paper</w:t>
            </w:r>
          </w:p>
        </w:tc>
        <w:tc>
          <w:tcPr>
            <w:tcW w:w="607" w:type="pct"/>
            <w:shd w:val="clear" w:color="auto" w:fill="CAEDFB" w:themeFill="accent4" w:themeFillTint="33"/>
          </w:tcPr>
          <w:p w14:paraId="78BBAA0A" w14:textId="77777777" w:rsidR="00B53C39" w:rsidRPr="003E0254" w:rsidRDefault="00DA35C9">
            <w:pPr>
              <w:spacing w:line="276" w:lineRule="auto"/>
              <w:rPr>
                <w:bCs/>
                <w:sz w:val="20"/>
                <w:szCs w:val="20"/>
              </w:rPr>
            </w:pPr>
            <w:proofErr w:type="spellStart"/>
            <w:r w:rsidRPr="003E0254">
              <w:rPr>
                <w:bCs/>
                <w:sz w:val="20"/>
                <w:szCs w:val="20"/>
              </w:rPr>
              <w:t>PolyTEMPO</w:t>
            </w:r>
            <w:proofErr w:type="spellEnd"/>
          </w:p>
        </w:tc>
        <w:tc>
          <w:tcPr>
            <w:tcW w:w="656" w:type="pct"/>
            <w:vMerge w:val="restart"/>
            <w:shd w:val="clear" w:color="auto" w:fill="CAEDFB" w:themeFill="accent4" w:themeFillTint="33"/>
            <w:vAlign w:val="center"/>
          </w:tcPr>
          <w:p w14:paraId="5277310D" w14:textId="77777777" w:rsidR="00B53C39" w:rsidRPr="003E0254" w:rsidRDefault="00DA35C9">
            <w:pPr>
              <w:spacing w:line="276" w:lineRule="auto"/>
              <w:jc w:val="center"/>
              <w:rPr>
                <w:bCs/>
                <w:sz w:val="20"/>
                <w:szCs w:val="20"/>
              </w:rPr>
            </w:pPr>
            <w:r w:rsidRPr="003E0254">
              <w:rPr>
                <w:sz w:val="20"/>
                <w:szCs w:val="20"/>
              </w:rPr>
              <w:object w:dxaOrig="2203" w:dyaOrig="1099" w14:anchorId="0CBA3C66">
                <v:shape id="_x0000_i1026" type="#_x0000_t75" style="width:74.25pt;height:34.5pt;mso-wrap-distance-left:0;mso-wrap-distance-top:0;mso-wrap-distance-right:0;mso-wrap-distance-bottom:0" o:ole="">
                  <v:imagedata r:id="rId61" o:title=""/>
                  <o:lock v:ext="edit" rotation="t"/>
                </v:shape>
                <o:OLEObject Type="Embed" ProgID="ChemDraw.Document.6.0" ShapeID="_x0000_i1026" DrawAspect="Content" ObjectID="_1813054509" r:id="rId62"/>
              </w:object>
            </w:r>
          </w:p>
        </w:tc>
        <w:tc>
          <w:tcPr>
            <w:tcW w:w="513" w:type="pct"/>
            <w:shd w:val="clear" w:color="auto" w:fill="CAEDFB" w:themeFill="accent4" w:themeFillTint="33"/>
          </w:tcPr>
          <w:p w14:paraId="5AF9C96F" w14:textId="77777777" w:rsidR="00B53C39" w:rsidRPr="003E0254" w:rsidRDefault="00DA35C9">
            <w:pPr>
              <w:spacing w:line="276" w:lineRule="auto"/>
              <w:rPr>
                <w:bCs/>
                <w:sz w:val="20"/>
                <w:szCs w:val="20"/>
              </w:rPr>
            </w:pPr>
            <w:proofErr w:type="spellStart"/>
            <w:r w:rsidRPr="003E0254">
              <w:rPr>
                <w:bCs/>
                <w:sz w:val="20"/>
                <w:szCs w:val="20"/>
              </w:rPr>
              <w:t>Dealysis</w:t>
            </w:r>
            <w:proofErr w:type="spellEnd"/>
            <w:r w:rsidRPr="003E0254">
              <w:rPr>
                <w:bCs/>
                <w:sz w:val="20"/>
                <w:szCs w:val="20"/>
              </w:rPr>
              <w:t xml:space="preserve"> membrane Spectra/Por® 6</w:t>
            </w:r>
          </w:p>
        </w:tc>
        <w:tc>
          <w:tcPr>
            <w:tcW w:w="527" w:type="pct"/>
            <w:shd w:val="clear" w:color="auto" w:fill="CAEDFB" w:themeFill="accent4" w:themeFillTint="33"/>
          </w:tcPr>
          <w:p w14:paraId="3BB17DCB" w14:textId="77777777" w:rsidR="00B53C39" w:rsidRPr="003E0254" w:rsidRDefault="00DA35C9">
            <w:pPr>
              <w:spacing w:line="276" w:lineRule="auto"/>
              <w:rPr>
                <w:bCs/>
                <w:sz w:val="20"/>
                <w:szCs w:val="20"/>
              </w:rPr>
            </w:pPr>
            <w:r w:rsidRPr="003E0254">
              <w:rPr>
                <w:bCs/>
                <w:sz w:val="20"/>
                <w:szCs w:val="20"/>
              </w:rPr>
              <w:t>Zinc plate</w:t>
            </w:r>
          </w:p>
        </w:tc>
        <w:tc>
          <w:tcPr>
            <w:tcW w:w="547" w:type="pct"/>
            <w:shd w:val="clear" w:color="auto" w:fill="CAEDFB" w:themeFill="accent4" w:themeFillTint="33"/>
          </w:tcPr>
          <w:p w14:paraId="23339FC0" w14:textId="77777777" w:rsidR="00B53C39" w:rsidRPr="003E0254" w:rsidRDefault="00DA35C9">
            <w:pPr>
              <w:spacing w:line="276" w:lineRule="auto"/>
              <w:rPr>
                <w:bCs/>
                <w:sz w:val="20"/>
                <w:szCs w:val="20"/>
                <w:vertAlign w:val="subscript"/>
              </w:rPr>
            </w:pPr>
            <w:r w:rsidRPr="003E0254">
              <w:rPr>
                <w:bCs/>
                <w:sz w:val="20"/>
                <w:szCs w:val="20"/>
              </w:rPr>
              <w:t>ZnCl</w:t>
            </w:r>
            <w:r w:rsidRPr="003E0254">
              <w:rPr>
                <w:bCs/>
                <w:sz w:val="20"/>
                <w:szCs w:val="20"/>
                <w:vertAlign w:val="subscript"/>
              </w:rPr>
              <w:t>2</w:t>
            </w:r>
          </w:p>
        </w:tc>
        <w:tc>
          <w:tcPr>
            <w:tcW w:w="493" w:type="pct"/>
            <w:vMerge/>
            <w:shd w:val="clear" w:color="auto" w:fill="CAEDFB" w:themeFill="accent4" w:themeFillTint="33"/>
            <w:vAlign w:val="center"/>
          </w:tcPr>
          <w:p w14:paraId="0E845BC6" w14:textId="77777777" w:rsidR="00B53C39" w:rsidRPr="003E0254" w:rsidRDefault="00B53C39">
            <w:pPr>
              <w:spacing w:line="276" w:lineRule="auto"/>
              <w:rPr>
                <w:bCs/>
                <w:sz w:val="20"/>
                <w:szCs w:val="20"/>
              </w:rPr>
            </w:pPr>
          </w:p>
        </w:tc>
        <w:tc>
          <w:tcPr>
            <w:tcW w:w="295" w:type="pct"/>
            <w:shd w:val="clear" w:color="auto" w:fill="CAEDFB" w:themeFill="accent4" w:themeFillTint="33"/>
          </w:tcPr>
          <w:p w14:paraId="06C1784D" w14:textId="2EA7D779" w:rsidR="000524B7" w:rsidRPr="003E0254" w:rsidRDefault="00DA35C9">
            <w:pPr>
              <w:spacing w:line="276" w:lineRule="auto"/>
              <w:rPr>
                <w:bCs/>
                <w:sz w:val="20"/>
                <w:szCs w:val="20"/>
              </w:rPr>
            </w:pPr>
            <w:r w:rsidRPr="003E0254">
              <w:rPr>
                <w:bCs/>
                <w:sz w:val="20"/>
                <w:szCs w:val="20"/>
              </w:rPr>
              <w:t xml:space="preserve">Schubert </w:t>
            </w:r>
            <w:r w:rsidR="000524B7" w:rsidRPr="003E0254">
              <w:rPr>
                <w:bCs/>
                <w:sz w:val="20"/>
                <w:szCs w:val="20"/>
              </w:rPr>
              <w:t>et al.</w:t>
            </w:r>
            <w:r w:rsidR="000524B7" w:rsidRPr="003E0254">
              <w:rPr>
                <w:bCs/>
                <w:sz w:val="20"/>
                <w:szCs w:val="20"/>
              </w:rPr>
              <w:fldChar w:fldCharType="begin" w:fldLock="1"/>
            </w:r>
            <w:r w:rsidR="00500B8D" w:rsidRPr="003E0254">
              <w:rPr>
                <w:bCs/>
                <w:sz w:val="20"/>
                <w:szCs w:val="20"/>
              </w:rPr>
              <w:instrText>ADDIN CSL_CITATION {"citationItems":[{"id":"ITEM-1","itemData":{"DOI":"10.1002/adma.201505000","ISSN":"0935-9648","PMID":"26810789","abstract":"The combination of a polymer-based 2,2,6,6-tetramethylpiperidinyl-N-oxyl (TEMPO) catholyte and a zinc anode, together with a cost-efficient size-exclusion membrane, builds a new type of semi-organic, \"green,\" hybrid-flow battery, which features a high potential range of up to 2 V, high efficiencies, and a long life time.","author":[{"dropping-particle":"","family":"Winsberg","given":"Jan","non-dropping-particle":"","parse-names":false,"suffix":""},{"dropping-particle":"","family":"Janoschka","given":"Tobias","non-dropping-particle":"","parse-names":false,"suffix":""},{"dropping-particle":"","family":"Morgenstern","given":"Sabine","non-dropping-particle":"","parse-names":false,"suffix":""},{"dropping-particle":"","family":"Hagemann","given":"Tino","non-dropping-particle":"","parse-names":false,"suffix":""},{"dropping-particle":"","family":"Muench","given":"Simon","non-dropping-particle":"","parse-names":false,"suffix":""},{"dropping-particle":"","family":"Hauffman","given":"Guillaume","non-dropping-particle":"","parse-names":false,"suffix":""},{"dropping-particle":"","family":"Gohy","given":"Jean</w:instrText>
            </w:r>
            <w:r w:rsidR="00500B8D" w:rsidRPr="003E0254">
              <w:rPr>
                <w:rFonts w:ascii="Cambria Math" w:hAnsi="Cambria Math" w:cs="Cambria Math"/>
                <w:bCs/>
                <w:sz w:val="20"/>
                <w:szCs w:val="20"/>
              </w:rPr>
              <w:instrText>‐</w:instrText>
            </w:r>
            <w:r w:rsidR="00500B8D" w:rsidRPr="003E0254">
              <w:rPr>
                <w:bCs/>
                <w:sz w:val="20"/>
                <w:szCs w:val="20"/>
              </w:rPr>
              <w:instrText>Fran</w:instrText>
            </w:r>
            <w:r w:rsidR="00500B8D" w:rsidRPr="003E0254">
              <w:rPr>
                <w:rFonts w:ascii="Aptos" w:hAnsi="Aptos" w:cs="Aptos"/>
                <w:bCs/>
                <w:sz w:val="20"/>
                <w:szCs w:val="20"/>
              </w:rPr>
              <w:instrText>ç</w:instrText>
            </w:r>
            <w:r w:rsidR="00500B8D" w:rsidRPr="003E0254">
              <w:rPr>
                <w:bCs/>
                <w:sz w:val="20"/>
                <w:szCs w:val="20"/>
              </w:rPr>
              <w:instrText>ois","non-dropping-particle":"","parse-names":false,"suffix":""},{"dropping-particle":"","family":"Hager","given":"Martin D.","non-dropping-particle":"","parse-names":false,"suffix":""},{"dropping-particle":"","family":"Schubert","given":"Ulrich S.","non-dropping-particle":"","parse-names":false,"suffix":""}],"container-title":"Advanced Materials","id":"ITEM-1","issue":"11","issued":{"date-parts":[["2016","3","26"]]},"page":"2238-2243","publisher":"John Wiley &amp; Sons, Ltd","title":"Poly(TEMPO)/Zinc Hybrid</w:instrText>
            </w:r>
            <w:r w:rsidR="00500B8D" w:rsidRPr="003E0254">
              <w:rPr>
                <w:rFonts w:ascii="Cambria Math" w:hAnsi="Cambria Math" w:cs="Cambria Math"/>
                <w:bCs/>
                <w:sz w:val="20"/>
                <w:szCs w:val="20"/>
              </w:rPr>
              <w:instrText>‐</w:instrText>
            </w:r>
            <w:r w:rsidR="00500B8D" w:rsidRPr="003E0254">
              <w:rPr>
                <w:bCs/>
                <w:sz w:val="20"/>
                <w:szCs w:val="20"/>
              </w:rPr>
              <w:instrText xml:space="preserve">Flow Battery: A Novel, </w:instrText>
            </w:r>
            <w:r w:rsidR="00500B8D" w:rsidRPr="003E0254">
              <w:rPr>
                <w:rFonts w:ascii="Aptos" w:hAnsi="Aptos" w:cs="Aptos"/>
                <w:bCs/>
                <w:sz w:val="20"/>
                <w:szCs w:val="20"/>
              </w:rPr>
              <w:instrText>“</w:instrText>
            </w:r>
            <w:r w:rsidR="00500B8D" w:rsidRPr="003E0254">
              <w:rPr>
                <w:bCs/>
                <w:sz w:val="20"/>
                <w:szCs w:val="20"/>
              </w:rPr>
              <w:instrText>Green,</w:instrText>
            </w:r>
            <w:r w:rsidR="00500B8D" w:rsidRPr="003E0254">
              <w:rPr>
                <w:rFonts w:ascii="Aptos" w:hAnsi="Aptos" w:cs="Aptos"/>
                <w:bCs/>
                <w:sz w:val="20"/>
                <w:szCs w:val="20"/>
              </w:rPr>
              <w:instrText>”</w:instrText>
            </w:r>
            <w:r w:rsidR="00500B8D" w:rsidRPr="003E0254">
              <w:rPr>
                <w:bCs/>
                <w:sz w:val="20"/>
                <w:szCs w:val="20"/>
              </w:rPr>
              <w:instrText xml:space="preserve"> High Voltage, and Safe Energy Storage System","type":"article-journal","volume":"28"},"uris":["http://www.mendeley.com/documents/?uuid=1e5914cd-46ba-4fb3-8424-f1a959344599"]}],"mendeley":{"formattedCitation":"&lt;sup&gt;[277]&lt;/sup&gt;","plainTextFormattedCitation":"[277]","previouslyFormattedCitation":"&lt;sup&gt;[276]&lt;/sup&gt;"},"properties":{"noteIndex":0},"schema":"https://github.com/citation-style-language/schema/raw/master/csl-citation.json"}</w:instrText>
            </w:r>
            <w:r w:rsidR="000524B7" w:rsidRPr="003E0254">
              <w:rPr>
                <w:bCs/>
                <w:sz w:val="20"/>
                <w:szCs w:val="20"/>
              </w:rPr>
              <w:fldChar w:fldCharType="separate"/>
            </w:r>
            <w:r w:rsidR="00500B8D" w:rsidRPr="003E0254">
              <w:rPr>
                <w:bCs/>
                <w:noProof/>
                <w:sz w:val="20"/>
                <w:szCs w:val="20"/>
                <w:vertAlign w:val="superscript"/>
              </w:rPr>
              <w:t>[277]</w:t>
            </w:r>
            <w:r w:rsidR="000524B7" w:rsidRPr="003E0254">
              <w:rPr>
                <w:bCs/>
                <w:sz w:val="20"/>
                <w:szCs w:val="20"/>
              </w:rPr>
              <w:fldChar w:fldCharType="end"/>
            </w:r>
          </w:p>
        </w:tc>
      </w:tr>
      <w:tr w:rsidR="00B53C39" w:rsidRPr="003E0254" w14:paraId="191BE8D7" w14:textId="77777777">
        <w:tc>
          <w:tcPr>
            <w:tcW w:w="419" w:type="pct"/>
            <w:vMerge/>
            <w:shd w:val="clear" w:color="auto" w:fill="CAEDFB" w:themeFill="accent4" w:themeFillTint="33"/>
            <w:vAlign w:val="center"/>
          </w:tcPr>
          <w:p w14:paraId="2946FE66" w14:textId="77777777" w:rsidR="00B53C39" w:rsidRPr="003E0254" w:rsidRDefault="00B53C39">
            <w:pPr>
              <w:spacing w:line="276" w:lineRule="auto"/>
              <w:jc w:val="center"/>
              <w:rPr>
                <w:b/>
                <w:bCs/>
                <w:sz w:val="20"/>
                <w:szCs w:val="20"/>
                <w:u w:val="single"/>
              </w:rPr>
            </w:pPr>
          </w:p>
        </w:tc>
        <w:tc>
          <w:tcPr>
            <w:tcW w:w="488" w:type="pct"/>
            <w:shd w:val="clear" w:color="auto" w:fill="CAEDFB" w:themeFill="accent4" w:themeFillTint="33"/>
          </w:tcPr>
          <w:p w14:paraId="239A5650" w14:textId="77777777" w:rsidR="00B53C39" w:rsidRPr="003E0254" w:rsidRDefault="00DA35C9">
            <w:pPr>
              <w:spacing w:line="276" w:lineRule="auto"/>
              <w:rPr>
                <w:bCs/>
                <w:sz w:val="20"/>
                <w:szCs w:val="20"/>
              </w:rPr>
            </w:pPr>
            <w:r w:rsidRPr="003E0254">
              <w:rPr>
                <w:bCs/>
                <w:sz w:val="20"/>
                <w:szCs w:val="20"/>
              </w:rPr>
              <w:t>Zn-organic</w:t>
            </w:r>
          </w:p>
        </w:tc>
        <w:tc>
          <w:tcPr>
            <w:tcW w:w="455" w:type="pct"/>
            <w:shd w:val="clear" w:color="auto" w:fill="CAEDFB" w:themeFill="accent4" w:themeFillTint="33"/>
          </w:tcPr>
          <w:p w14:paraId="72EE0AEF" w14:textId="77777777" w:rsidR="00B53C39" w:rsidRPr="003E0254" w:rsidRDefault="00B53C39">
            <w:pPr>
              <w:spacing w:line="276" w:lineRule="auto"/>
              <w:rPr>
                <w:bCs/>
                <w:sz w:val="20"/>
                <w:szCs w:val="20"/>
              </w:rPr>
            </w:pPr>
          </w:p>
        </w:tc>
        <w:tc>
          <w:tcPr>
            <w:tcW w:w="607" w:type="pct"/>
            <w:shd w:val="clear" w:color="auto" w:fill="CAEDFB" w:themeFill="accent4" w:themeFillTint="33"/>
          </w:tcPr>
          <w:p w14:paraId="312664CB" w14:textId="77777777" w:rsidR="00B53C39" w:rsidRPr="003E0254" w:rsidRDefault="00DA35C9">
            <w:pPr>
              <w:spacing w:line="276" w:lineRule="auto"/>
              <w:rPr>
                <w:bCs/>
                <w:sz w:val="20"/>
                <w:szCs w:val="20"/>
              </w:rPr>
            </w:pPr>
            <w:r w:rsidRPr="003E0254">
              <w:rPr>
                <w:bCs/>
                <w:sz w:val="20"/>
                <w:szCs w:val="20"/>
              </w:rPr>
              <w:t>R-TEMPO</w:t>
            </w:r>
          </w:p>
        </w:tc>
        <w:tc>
          <w:tcPr>
            <w:tcW w:w="656" w:type="pct"/>
            <w:vMerge/>
            <w:shd w:val="clear" w:color="auto" w:fill="CAEDFB" w:themeFill="accent4" w:themeFillTint="33"/>
          </w:tcPr>
          <w:p w14:paraId="28F57DDD" w14:textId="77777777" w:rsidR="00B53C39" w:rsidRPr="003E0254" w:rsidRDefault="00B53C39">
            <w:pPr>
              <w:spacing w:line="276" w:lineRule="auto"/>
              <w:rPr>
                <w:bCs/>
                <w:sz w:val="20"/>
                <w:szCs w:val="20"/>
              </w:rPr>
            </w:pPr>
          </w:p>
        </w:tc>
        <w:tc>
          <w:tcPr>
            <w:tcW w:w="513" w:type="pct"/>
            <w:shd w:val="clear" w:color="auto" w:fill="CAEDFB" w:themeFill="accent4" w:themeFillTint="33"/>
          </w:tcPr>
          <w:p w14:paraId="6CEA5103" w14:textId="77777777" w:rsidR="00B53C39" w:rsidRPr="003E0254" w:rsidRDefault="00B53C39">
            <w:pPr>
              <w:spacing w:line="276" w:lineRule="auto"/>
              <w:rPr>
                <w:bCs/>
                <w:sz w:val="20"/>
                <w:szCs w:val="20"/>
              </w:rPr>
            </w:pPr>
          </w:p>
        </w:tc>
        <w:tc>
          <w:tcPr>
            <w:tcW w:w="527" w:type="pct"/>
            <w:shd w:val="clear" w:color="auto" w:fill="CAEDFB" w:themeFill="accent4" w:themeFillTint="33"/>
          </w:tcPr>
          <w:p w14:paraId="7432D619" w14:textId="77777777" w:rsidR="00B53C39" w:rsidRPr="003E0254" w:rsidRDefault="00DA35C9">
            <w:pPr>
              <w:spacing w:line="276" w:lineRule="auto"/>
              <w:rPr>
                <w:bCs/>
                <w:sz w:val="20"/>
                <w:szCs w:val="20"/>
              </w:rPr>
            </w:pPr>
            <w:r w:rsidRPr="003E0254">
              <w:rPr>
                <w:bCs/>
                <w:sz w:val="20"/>
                <w:szCs w:val="20"/>
              </w:rPr>
              <w:t>Zinc plate</w:t>
            </w:r>
          </w:p>
        </w:tc>
        <w:tc>
          <w:tcPr>
            <w:tcW w:w="547" w:type="pct"/>
            <w:shd w:val="clear" w:color="auto" w:fill="CAEDFB" w:themeFill="accent4" w:themeFillTint="33"/>
          </w:tcPr>
          <w:p w14:paraId="5D4C8094" w14:textId="77777777" w:rsidR="00B53C39" w:rsidRPr="003E0254" w:rsidRDefault="00B53C39">
            <w:pPr>
              <w:spacing w:line="276" w:lineRule="auto"/>
              <w:rPr>
                <w:bCs/>
                <w:sz w:val="20"/>
                <w:szCs w:val="20"/>
              </w:rPr>
            </w:pPr>
          </w:p>
        </w:tc>
        <w:tc>
          <w:tcPr>
            <w:tcW w:w="493" w:type="pct"/>
            <w:vMerge/>
            <w:shd w:val="clear" w:color="auto" w:fill="CAEDFB" w:themeFill="accent4" w:themeFillTint="33"/>
            <w:vAlign w:val="center"/>
          </w:tcPr>
          <w:p w14:paraId="5AEDA593" w14:textId="77777777" w:rsidR="00B53C39" w:rsidRPr="003E0254" w:rsidRDefault="00B53C39">
            <w:pPr>
              <w:spacing w:line="276" w:lineRule="auto"/>
              <w:rPr>
                <w:bCs/>
                <w:sz w:val="20"/>
                <w:szCs w:val="20"/>
              </w:rPr>
            </w:pPr>
          </w:p>
        </w:tc>
        <w:tc>
          <w:tcPr>
            <w:tcW w:w="295" w:type="pct"/>
            <w:shd w:val="clear" w:color="auto" w:fill="CAEDFB" w:themeFill="accent4" w:themeFillTint="33"/>
          </w:tcPr>
          <w:p w14:paraId="69F5E33F" w14:textId="77777777" w:rsidR="00B53C39" w:rsidRPr="003E0254" w:rsidRDefault="00B53C39">
            <w:pPr>
              <w:spacing w:line="276" w:lineRule="auto"/>
              <w:rPr>
                <w:bCs/>
                <w:sz w:val="20"/>
                <w:szCs w:val="20"/>
              </w:rPr>
            </w:pPr>
          </w:p>
        </w:tc>
      </w:tr>
      <w:tr w:rsidR="00B53C39" w:rsidRPr="003E0254" w14:paraId="396B9C3F" w14:textId="77777777">
        <w:tc>
          <w:tcPr>
            <w:tcW w:w="419" w:type="pct"/>
            <w:vMerge/>
            <w:shd w:val="clear" w:color="auto" w:fill="CAEDFB" w:themeFill="accent4" w:themeFillTint="33"/>
            <w:vAlign w:val="center"/>
          </w:tcPr>
          <w:p w14:paraId="5EC04ABC" w14:textId="77777777" w:rsidR="00B53C39" w:rsidRPr="003E0254" w:rsidRDefault="00B53C39">
            <w:pPr>
              <w:spacing w:line="276" w:lineRule="auto"/>
              <w:jc w:val="center"/>
              <w:rPr>
                <w:b/>
                <w:bCs/>
                <w:sz w:val="20"/>
                <w:szCs w:val="20"/>
                <w:u w:val="single"/>
              </w:rPr>
            </w:pPr>
          </w:p>
        </w:tc>
        <w:tc>
          <w:tcPr>
            <w:tcW w:w="488" w:type="pct"/>
            <w:shd w:val="clear" w:color="auto" w:fill="CAEDFB" w:themeFill="accent4" w:themeFillTint="33"/>
          </w:tcPr>
          <w:p w14:paraId="11FFE4D8" w14:textId="77777777" w:rsidR="00B53C39" w:rsidRPr="003E0254" w:rsidRDefault="00DA35C9">
            <w:pPr>
              <w:spacing w:line="276" w:lineRule="auto"/>
              <w:rPr>
                <w:bCs/>
                <w:sz w:val="20"/>
                <w:szCs w:val="20"/>
              </w:rPr>
            </w:pPr>
            <w:r w:rsidRPr="003E0254">
              <w:rPr>
                <w:bCs/>
                <w:sz w:val="20"/>
                <w:szCs w:val="20"/>
              </w:rPr>
              <w:t>Zn-organic</w:t>
            </w:r>
          </w:p>
        </w:tc>
        <w:tc>
          <w:tcPr>
            <w:tcW w:w="455" w:type="pct"/>
            <w:shd w:val="clear" w:color="auto" w:fill="CAEDFB" w:themeFill="accent4" w:themeFillTint="33"/>
          </w:tcPr>
          <w:p w14:paraId="20FADE14" w14:textId="77777777" w:rsidR="00B53C39" w:rsidRPr="003E0254" w:rsidRDefault="00DA35C9">
            <w:pPr>
              <w:spacing w:line="276" w:lineRule="auto"/>
              <w:rPr>
                <w:bCs/>
                <w:sz w:val="20"/>
                <w:szCs w:val="20"/>
              </w:rPr>
            </w:pPr>
            <w:r w:rsidRPr="003E0254">
              <w:rPr>
                <w:bCs/>
                <w:sz w:val="20"/>
                <w:szCs w:val="20"/>
              </w:rPr>
              <w:t>Carbon felt</w:t>
            </w:r>
          </w:p>
        </w:tc>
        <w:tc>
          <w:tcPr>
            <w:tcW w:w="607" w:type="pct"/>
            <w:shd w:val="clear" w:color="auto" w:fill="CAEDFB" w:themeFill="accent4" w:themeFillTint="33"/>
          </w:tcPr>
          <w:p w14:paraId="5326742A" w14:textId="77777777" w:rsidR="00B53C39" w:rsidRPr="003E0254" w:rsidRDefault="00DA35C9">
            <w:pPr>
              <w:spacing w:line="276" w:lineRule="auto"/>
              <w:rPr>
                <w:bCs/>
                <w:sz w:val="20"/>
                <w:szCs w:val="20"/>
              </w:rPr>
            </w:pPr>
            <w:proofErr w:type="gramStart"/>
            <w:r w:rsidRPr="003E0254">
              <w:rPr>
                <w:sz w:val="20"/>
                <w:szCs w:val="20"/>
              </w:rPr>
              <w:t>Zn[</w:t>
            </w:r>
            <w:proofErr w:type="gramEnd"/>
            <w:r w:rsidRPr="003E0254">
              <w:rPr>
                <w:sz w:val="20"/>
                <w:szCs w:val="20"/>
              </w:rPr>
              <w:t>Fc(SPr)</w:t>
            </w:r>
            <w:r w:rsidRPr="003E0254">
              <w:rPr>
                <w:sz w:val="20"/>
                <w:szCs w:val="20"/>
                <w:vertAlign w:val="subscript"/>
              </w:rPr>
              <w:t>2</w:t>
            </w:r>
            <w:r w:rsidRPr="003E0254">
              <w:rPr>
                <w:sz w:val="20"/>
                <w:szCs w:val="20"/>
              </w:rPr>
              <w:t>]</w:t>
            </w:r>
          </w:p>
        </w:tc>
        <w:tc>
          <w:tcPr>
            <w:tcW w:w="656" w:type="pct"/>
            <w:shd w:val="clear" w:color="auto" w:fill="CAEDFB" w:themeFill="accent4" w:themeFillTint="33"/>
          </w:tcPr>
          <w:p w14:paraId="0543535E" w14:textId="77777777" w:rsidR="00B53C39" w:rsidRPr="003E0254" w:rsidRDefault="00DA35C9">
            <w:pPr>
              <w:spacing w:line="276" w:lineRule="auto"/>
              <w:rPr>
                <w:bCs/>
                <w:sz w:val="20"/>
                <w:szCs w:val="20"/>
              </w:rPr>
            </w:pPr>
            <w:r w:rsidRPr="003E0254">
              <w:rPr>
                <w:sz w:val="20"/>
                <w:szCs w:val="20"/>
              </w:rPr>
              <w:t>[</w:t>
            </w:r>
            <w:proofErr w:type="gramStart"/>
            <w:r w:rsidRPr="003E0254">
              <w:rPr>
                <w:sz w:val="20"/>
                <w:szCs w:val="20"/>
              </w:rPr>
              <w:t>Fc(</w:t>
            </w:r>
            <w:proofErr w:type="gramEnd"/>
            <w:r w:rsidRPr="003E0254">
              <w:rPr>
                <w:sz w:val="20"/>
                <w:szCs w:val="20"/>
              </w:rPr>
              <w:t>SPr)</w:t>
            </w:r>
            <w:r w:rsidRPr="003E0254">
              <w:rPr>
                <w:sz w:val="20"/>
                <w:szCs w:val="20"/>
                <w:vertAlign w:val="subscript"/>
              </w:rPr>
              <w:t>2</w:t>
            </w:r>
            <w:r w:rsidRPr="003E0254">
              <w:rPr>
                <w:sz w:val="20"/>
                <w:szCs w:val="20"/>
              </w:rPr>
              <w:t>]</w:t>
            </w:r>
            <w:r w:rsidRPr="003E0254">
              <w:rPr>
                <w:sz w:val="20"/>
                <w:szCs w:val="20"/>
                <w:vertAlign w:val="superscript"/>
              </w:rPr>
              <w:t>2-</w:t>
            </w:r>
            <w:r w:rsidRPr="003E0254">
              <w:rPr>
                <w:rFonts w:ascii="Cambria Math" w:hAnsi="Cambria Math" w:cs="Cambria Math"/>
                <w:bCs/>
                <w:sz w:val="20"/>
                <w:szCs w:val="20"/>
              </w:rPr>
              <w:t xml:space="preserve"> ⇔ </w:t>
            </w:r>
            <w:r w:rsidRPr="003E0254">
              <w:rPr>
                <w:sz w:val="20"/>
                <w:szCs w:val="20"/>
              </w:rPr>
              <w:t>[Fc(SPr)</w:t>
            </w:r>
            <w:r w:rsidRPr="003E0254">
              <w:rPr>
                <w:sz w:val="20"/>
                <w:szCs w:val="20"/>
                <w:vertAlign w:val="subscript"/>
              </w:rPr>
              <w:t>2</w:t>
            </w:r>
            <w:r w:rsidRPr="003E0254">
              <w:rPr>
                <w:sz w:val="20"/>
                <w:szCs w:val="20"/>
              </w:rPr>
              <w:t>]</w:t>
            </w:r>
          </w:p>
        </w:tc>
        <w:tc>
          <w:tcPr>
            <w:tcW w:w="513" w:type="pct"/>
            <w:shd w:val="clear" w:color="auto" w:fill="CAEDFB" w:themeFill="accent4" w:themeFillTint="33"/>
          </w:tcPr>
          <w:p w14:paraId="02E1E40A" w14:textId="77777777" w:rsidR="00B53C39" w:rsidRPr="003E0254" w:rsidRDefault="00DA35C9">
            <w:pPr>
              <w:spacing w:line="276" w:lineRule="auto"/>
              <w:rPr>
                <w:bCs/>
                <w:sz w:val="20"/>
                <w:szCs w:val="20"/>
              </w:rPr>
            </w:pPr>
            <w:proofErr w:type="spellStart"/>
            <w:r w:rsidRPr="003E0254">
              <w:rPr>
                <w:bCs/>
                <w:sz w:val="20"/>
                <w:szCs w:val="20"/>
              </w:rPr>
              <w:t>Nafion</w:t>
            </w:r>
            <w:proofErr w:type="spellEnd"/>
            <w:r w:rsidRPr="003E0254">
              <w:rPr>
                <w:bCs/>
                <w:sz w:val="20"/>
                <w:szCs w:val="20"/>
              </w:rPr>
              <w:t>® 212</w:t>
            </w:r>
          </w:p>
        </w:tc>
        <w:tc>
          <w:tcPr>
            <w:tcW w:w="527" w:type="pct"/>
            <w:shd w:val="clear" w:color="auto" w:fill="CAEDFB" w:themeFill="accent4" w:themeFillTint="33"/>
          </w:tcPr>
          <w:p w14:paraId="2EF61186" w14:textId="77777777" w:rsidR="00B53C39" w:rsidRPr="003E0254" w:rsidRDefault="00DA35C9">
            <w:pPr>
              <w:spacing w:line="276" w:lineRule="auto"/>
              <w:rPr>
                <w:bCs/>
                <w:sz w:val="20"/>
                <w:szCs w:val="20"/>
              </w:rPr>
            </w:pPr>
            <w:r w:rsidRPr="003E0254">
              <w:rPr>
                <w:bCs/>
                <w:sz w:val="20"/>
                <w:szCs w:val="20"/>
              </w:rPr>
              <w:t>Carbon felt</w:t>
            </w:r>
          </w:p>
        </w:tc>
        <w:tc>
          <w:tcPr>
            <w:tcW w:w="547" w:type="pct"/>
            <w:shd w:val="clear" w:color="auto" w:fill="CAEDFB" w:themeFill="accent4" w:themeFillTint="33"/>
          </w:tcPr>
          <w:p w14:paraId="310B1CDF" w14:textId="77777777" w:rsidR="00B53C39" w:rsidRPr="003E0254" w:rsidRDefault="00DA35C9">
            <w:pPr>
              <w:spacing w:line="276" w:lineRule="auto"/>
              <w:rPr>
                <w:bCs/>
                <w:sz w:val="20"/>
                <w:szCs w:val="20"/>
              </w:rPr>
            </w:pPr>
            <w:proofErr w:type="gramStart"/>
            <w:r w:rsidRPr="003E0254">
              <w:rPr>
                <w:sz w:val="20"/>
                <w:szCs w:val="20"/>
              </w:rPr>
              <w:t>Zn[</w:t>
            </w:r>
            <w:proofErr w:type="gramEnd"/>
            <w:r w:rsidRPr="003E0254">
              <w:rPr>
                <w:sz w:val="20"/>
                <w:szCs w:val="20"/>
              </w:rPr>
              <w:t>Fc(SPr)</w:t>
            </w:r>
            <w:r w:rsidRPr="003E0254">
              <w:rPr>
                <w:sz w:val="20"/>
                <w:szCs w:val="20"/>
                <w:vertAlign w:val="subscript"/>
              </w:rPr>
              <w:t>2</w:t>
            </w:r>
            <w:r w:rsidRPr="003E0254">
              <w:rPr>
                <w:sz w:val="20"/>
                <w:szCs w:val="20"/>
              </w:rPr>
              <w:t>]</w:t>
            </w:r>
          </w:p>
        </w:tc>
        <w:tc>
          <w:tcPr>
            <w:tcW w:w="493" w:type="pct"/>
            <w:vMerge/>
            <w:shd w:val="clear" w:color="auto" w:fill="CAEDFB" w:themeFill="accent4" w:themeFillTint="33"/>
            <w:vAlign w:val="center"/>
          </w:tcPr>
          <w:p w14:paraId="125F63AB" w14:textId="77777777" w:rsidR="00B53C39" w:rsidRPr="003E0254" w:rsidRDefault="00B53C39">
            <w:pPr>
              <w:spacing w:line="276" w:lineRule="auto"/>
              <w:rPr>
                <w:bCs/>
                <w:sz w:val="20"/>
                <w:szCs w:val="20"/>
              </w:rPr>
            </w:pPr>
          </w:p>
        </w:tc>
        <w:tc>
          <w:tcPr>
            <w:tcW w:w="295" w:type="pct"/>
            <w:shd w:val="clear" w:color="auto" w:fill="CAEDFB" w:themeFill="accent4" w:themeFillTint="33"/>
          </w:tcPr>
          <w:p w14:paraId="707F43A0" w14:textId="69811AE2" w:rsidR="00B53C39" w:rsidRPr="003E0254" w:rsidRDefault="00DA35C9">
            <w:pPr>
              <w:spacing w:line="276" w:lineRule="auto"/>
              <w:rPr>
                <w:bCs/>
                <w:sz w:val="20"/>
                <w:szCs w:val="20"/>
              </w:rPr>
            </w:pPr>
            <w:r w:rsidRPr="003E0254">
              <w:rPr>
                <w:sz w:val="20"/>
                <w:szCs w:val="20"/>
              </w:rPr>
              <w:t>Luo et al.</w:t>
            </w:r>
            <w:r w:rsidR="000524B7" w:rsidRPr="003E0254">
              <w:rPr>
                <w:sz w:val="20"/>
                <w:szCs w:val="20"/>
              </w:rPr>
              <w:fldChar w:fldCharType="begin" w:fldLock="1"/>
            </w:r>
            <w:r w:rsidR="00500B8D" w:rsidRPr="003E0254">
              <w:rPr>
                <w:sz w:val="20"/>
                <w:szCs w:val="20"/>
              </w:rPr>
              <w:instrText>ADDIN CSL_CITATION {"citationItems":[{"id":"ITEM-1","itemData":{"DOI":"10.1002/ANGE.202204030","ISSN":"1521-3757","abstract":" Zinc metal represents a low</w:instrText>
            </w:r>
            <w:r w:rsidR="00500B8D" w:rsidRPr="003E0254">
              <w:rPr>
                <w:rFonts w:ascii="Cambria Math" w:hAnsi="Cambria Math" w:cs="Cambria Math"/>
                <w:sz w:val="20"/>
                <w:szCs w:val="20"/>
              </w:rPr>
              <w:instrText>‐</w:instrText>
            </w:r>
            <w:r w:rsidR="00500B8D" w:rsidRPr="003E0254">
              <w:rPr>
                <w:sz w:val="20"/>
                <w:szCs w:val="20"/>
              </w:rPr>
              <w:instrText>cost, high</w:instrText>
            </w:r>
            <w:r w:rsidR="00500B8D" w:rsidRPr="003E0254">
              <w:rPr>
                <w:rFonts w:ascii="Cambria Math" w:hAnsi="Cambria Math" w:cs="Cambria Math"/>
                <w:sz w:val="20"/>
                <w:szCs w:val="20"/>
              </w:rPr>
              <w:instrText>‐</w:instrText>
            </w:r>
            <w:r w:rsidR="00500B8D" w:rsidRPr="003E0254">
              <w:rPr>
                <w:sz w:val="20"/>
                <w:szCs w:val="20"/>
              </w:rPr>
              <w:instrText>capacity anode material to develop energy</w:instrText>
            </w:r>
            <w:r w:rsidR="00500B8D" w:rsidRPr="003E0254">
              <w:rPr>
                <w:rFonts w:ascii="Cambria Math" w:hAnsi="Cambria Math" w:cs="Cambria Math"/>
                <w:sz w:val="20"/>
                <w:szCs w:val="20"/>
              </w:rPr>
              <w:instrText>‐</w:instrText>
            </w:r>
            <w:r w:rsidR="00500B8D" w:rsidRPr="003E0254">
              <w:rPr>
                <w:sz w:val="20"/>
                <w:szCs w:val="20"/>
              </w:rPr>
              <w:instrText>dense aqueous redox</w:instrText>
            </w:r>
            <w:r w:rsidR="00500B8D" w:rsidRPr="003E0254">
              <w:rPr>
                <w:rFonts w:ascii="Cambria Math" w:hAnsi="Cambria Math" w:cs="Cambria Math"/>
                <w:sz w:val="20"/>
                <w:szCs w:val="20"/>
              </w:rPr>
              <w:instrText>‐</w:instrText>
            </w:r>
            <w:r w:rsidR="00500B8D" w:rsidRPr="003E0254">
              <w:rPr>
                <w:sz w:val="20"/>
                <w:szCs w:val="20"/>
              </w:rPr>
              <w:instrText>flow batteries (RFB). However, the energy</w:instrText>
            </w:r>
            <w:r w:rsidR="00500B8D" w:rsidRPr="003E0254">
              <w:rPr>
                <w:rFonts w:ascii="Cambria Math" w:hAnsi="Cambria Math" w:cs="Cambria Math"/>
                <w:sz w:val="20"/>
                <w:szCs w:val="20"/>
              </w:rPr>
              <w:instrText>‐</w:instrText>
            </w:r>
            <w:r w:rsidR="00500B8D" w:rsidRPr="003E0254">
              <w:rPr>
                <w:sz w:val="20"/>
                <w:szCs w:val="20"/>
              </w:rPr>
              <w:instrText>storage applications of traditional inorganic Zn halide flow batteries are primarily plagued by the material challenges of traditional halide cathode electrolytes (e.g., bromine), including corrosion, toxicity, and severe crossover. Herein, we report a bipolar zinc–ferrocene salt compound, zinc 1,1′</w:instrText>
            </w:r>
            <w:r w:rsidR="00500B8D" w:rsidRPr="003E0254">
              <w:rPr>
                <w:rFonts w:ascii="Cambria Math" w:hAnsi="Cambria Math" w:cs="Cambria Math"/>
                <w:sz w:val="20"/>
                <w:szCs w:val="20"/>
              </w:rPr>
              <w:instrText>‐</w:instrText>
            </w:r>
            <w:r w:rsidR="00500B8D" w:rsidRPr="003E0254">
              <w:rPr>
                <w:sz w:val="20"/>
                <w:szCs w:val="20"/>
              </w:rPr>
              <w:instrText>bis(3</w:instrText>
            </w:r>
            <w:r w:rsidR="00500B8D" w:rsidRPr="003E0254">
              <w:rPr>
                <w:rFonts w:ascii="Cambria Math" w:hAnsi="Cambria Math" w:cs="Cambria Math"/>
                <w:sz w:val="20"/>
                <w:szCs w:val="20"/>
              </w:rPr>
              <w:instrText>‐</w:instrText>
            </w:r>
            <w:r w:rsidR="00500B8D" w:rsidRPr="003E0254">
              <w:rPr>
                <w:sz w:val="20"/>
                <w:szCs w:val="20"/>
              </w:rPr>
              <w:instrText xml:space="preserve">sulfonatopropyl)ferrocene,  Zn[Fc(SPr) 2 ]  (1.80 M solubility or 48.2 Ah L </w:instrText>
            </w:r>
            <w:r w:rsidR="00500B8D" w:rsidRPr="003E0254">
              <w:rPr>
                <w:rFonts w:ascii="Aptos" w:hAnsi="Aptos" w:cs="Aptos"/>
                <w:sz w:val="20"/>
                <w:szCs w:val="20"/>
              </w:rPr>
              <w:instrText>−</w:instrText>
            </w:r>
            <w:r w:rsidR="00500B8D" w:rsidRPr="003E0254">
              <w:rPr>
                <w:sz w:val="20"/>
                <w:szCs w:val="20"/>
              </w:rPr>
              <w:instrText xml:space="preserve"> charge storage capacity)</w:instrText>
            </w:r>
            <w:r w:rsidR="00500B8D" w:rsidRPr="003E0254">
              <w:rPr>
                <w:rFonts w:ascii="Aptos" w:hAnsi="Aptos" w:cs="Aptos"/>
                <w:sz w:val="20"/>
                <w:szCs w:val="20"/>
              </w:rPr>
              <w:instrText>—</w:instrText>
            </w:r>
            <w:r w:rsidR="00500B8D" w:rsidRPr="003E0254">
              <w:rPr>
                <w:sz w:val="20"/>
                <w:szCs w:val="20"/>
              </w:rPr>
              <w:instrText>a robust, energy</w:instrText>
            </w:r>
            <w:r w:rsidR="00500B8D" w:rsidRPr="003E0254">
              <w:rPr>
                <w:rFonts w:ascii="Cambria Math" w:hAnsi="Cambria Math" w:cs="Cambria Math"/>
                <w:sz w:val="20"/>
                <w:szCs w:val="20"/>
              </w:rPr>
              <w:instrText>‐</w:instrText>
            </w:r>
            <w:r w:rsidR="00500B8D" w:rsidRPr="003E0254">
              <w:rPr>
                <w:sz w:val="20"/>
                <w:szCs w:val="20"/>
              </w:rPr>
              <w:instrText>dense, bipolar redox</w:instrText>
            </w:r>
            <w:r w:rsidR="00500B8D" w:rsidRPr="003E0254">
              <w:rPr>
                <w:rFonts w:ascii="Cambria Math" w:hAnsi="Cambria Math" w:cs="Cambria Math"/>
                <w:sz w:val="20"/>
                <w:szCs w:val="20"/>
              </w:rPr>
              <w:instrText>‐</w:instrText>
            </w:r>
            <w:r w:rsidR="00500B8D" w:rsidRPr="003E0254">
              <w:rPr>
                <w:sz w:val="20"/>
                <w:szCs w:val="20"/>
              </w:rPr>
              <w:instrText xml:space="preserve">active electrolyte material for RFBs.  Zn[Fc(SPr) 2 ]  </w:instrText>
            </w:r>
            <w:r w:rsidR="00500B8D" w:rsidRPr="003E0254">
              <w:rPr>
                <w:rFonts w:ascii="Cambria Math" w:hAnsi="Cambria Math" w:cs="Cambria Math"/>
                <w:sz w:val="20"/>
                <w:szCs w:val="20"/>
              </w:rPr>
              <w:instrText>‐</w:instrText>
            </w:r>
            <w:r w:rsidR="00500B8D" w:rsidRPr="003E0254">
              <w:rPr>
                <w:sz w:val="20"/>
                <w:szCs w:val="20"/>
              </w:rPr>
              <w:instrText>based redox</w:instrText>
            </w:r>
            <w:r w:rsidR="00500B8D" w:rsidRPr="003E0254">
              <w:rPr>
                <w:rFonts w:ascii="Cambria Math" w:hAnsi="Cambria Math" w:cs="Cambria Math"/>
                <w:sz w:val="20"/>
                <w:szCs w:val="20"/>
              </w:rPr>
              <w:instrText>‐</w:instrText>
            </w:r>
            <w:r w:rsidR="00500B8D" w:rsidRPr="003E0254">
              <w:rPr>
                <w:sz w:val="20"/>
                <w:szCs w:val="20"/>
              </w:rPr>
              <w:instrText xml:space="preserve">flow batteries operated at high current densities of up to 200 mA cm </w:instrText>
            </w:r>
            <w:r w:rsidR="00500B8D" w:rsidRPr="003E0254">
              <w:rPr>
                <w:rFonts w:ascii="Aptos" w:hAnsi="Aptos" w:cs="Aptos"/>
                <w:sz w:val="20"/>
                <w:szCs w:val="20"/>
              </w:rPr>
              <w:instrText>−</w:instrText>
            </w:r>
            <w:r w:rsidR="00500B8D" w:rsidRPr="003E0254">
              <w:rPr>
                <w:sz w:val="20"/>
                <w:szCs w:val="20"/>
              </w:rPr>
              <w:instrText xml:space="preserve">2 and delivered an energy efficiency of up to 81.5 % and a power density of up to 270.5 mW cm </w:instrText>
            </w:r>
            <w:r w:rsidR="00500B8D" w:rsidRPr="003E0254">
              <w:rPr>
                <w:rFonts w:ascii="Aptos" w:hAnsi="Aptos" w:cs="Aptos"/>
                <w:sz w:val="20"/>
                <w:szCs w:val="20"/>
              </w:rPr>
              <w:instrText>−</w:instrText>
            </w:r>
            <w:r w:rsidR="00500B8D" w:rsidRPr="003E0254">
              <w:rPr>
                <w:sz w:val="20"/>
                <w:szCs w:val="20"/>
              </w:rPr>
              <w:instrText>2 . A Zn[Fc(SPr) 2 ] flow battery demonstrated an energy density of 20.2 Wh L −1 and displayed nearly 100 % capacity retention for 2000 cycles (1284 h or 53.5 days). ","author":[{"dropping-particle":"","family":"Luo","given":"Jian","non-dropping-particle":"","parse-names":false,"suffix":""},{"dropping-particle":"","family":"Hu","given":"Bo","non-dropping-particle":"","parse-names":false,"suffix":""},{"dropping-particle":"","family":"Hu","given":"Maowei","non-dropping-particle":"","parse-names":false,"suffix":""},{"dropping-particle":"","family":"Wu","given":"Wenda","non-dropping-particle":"","parse-names":false,"suffix":""},{"dropping-particle":"","family":"Liu","given":"T. Leo","non-dropping-particle":"","parse-names":false,"suffix":""}],"container-title":"Angewandte Chemie","id":"ITEM-1","issue":"30","issued":{"date-parts":[["2022","7","25"]]},"page":"e202204030","publisher":"John Wiley &amp; Sons, Ltd","title":"An Energy-Dense, Powerful, Robust Bipolar Zinc–Ferrocene Redox-Flow Battery","type":"article-journal","volume":"134"},"uris":["http://www.mendeley.com/documents/?uuid=3ab6b092-9226-3b2a-87d6-5a9db7bbb324"]}],"mendeley":{"formattedCitation":"&lt;sup&gt;[278]&lt;/sup&gt;","plainTextFormattedCitation":"[278]","previouslyFormattedCitation":"&lt;sup&gt;[277]&lt;/sup&gt;"},"properties":{"noteIndex":0},"schema":"https://github.com/citation-style-language/schema/raw/master/csl-citation.json"}</w:instrText>
            </w:r>
            <w:r w:rsidR="000524B7" w:rsidRPr="003E0254">
              <w:rPr>
                <w:sz w:val="20"/>
                <w:szCs w:val="20"/>
              </w:rPr>
              <w:fldChar w:fldCharType="separate"/>
            </w:r>
            <w:r w:rsidR="00500B8D" w:rsidRPr="003E0254">
              <w:rPr>
                <w:noProof/>
                <w:sz w:val="20"/>
                <w:szCs w:val="20"/>
                <w:vertAlign w:val="superscript"/>
              </w:rPr>
              <w:t>[278]</w:t>
            </w:r>
            <w:r w:rsidR="000524B7" w:rsidRPr="003E0254">
              <w:rPr>
                <w:sz w:val="20"/>
                <w:szCs w:val="20"/>
              </w:rPr>
              <w:fldChar w:fldCharType="end"/>
            </w:r>
            <w:r w:rsidRPr="003E0254">
              <w:rPr>
                <w:sz w:val="20"/>
                <w:szCs w:val="20"/>
              </w:rPr>
              <w:t xml:space="preserve"> </w:t>
            </w:r>
          </w:p>
        </w:tc>
      </w:tr>
      <w:tr w:rsidR="00B53C39" w:rsidRPr="003E0254" w14:paraId="780A839F" w14:textId="77777777">
        <w:tc>
          <w:tcPr>
            <w:tcW w:w="419" w:type="pct"/>
            <w:vMerge w:val="restart"/>
            <w:shd w:val="clear" w:color="auto" w:fill="92D050"/>
            <w:vAlign w:val="center"/>
          </w:tcPr>
          <w:p w14:paraId="7055F599" w14:textId="77777777" w:rsidR="00B53C39" w:rsidRPr="003E0254" w:rsidRDefault="00DA35C9">
            <w:pPr>
              <w:spacing w:line="276" w:lineRule="auto"/>
              <w:jc w:val="center"/>
              <w:rPr>
                <w:b/>
                <w:bCs/>
                <w:sz w:val="20"/>
                <w:szCs w:val="20"/>
                <w:u w:val="single"/>
              </w:rPr>
            </w:pPr>
            <w:r w:rsidRPr="003E0254">
              <w:rPr>
                <w:b/>
                <w:bCs/>
                <w:sz w:val="20"/>
                <w:szCs w:val="20"/>
                <w:u w:val="single"/>
              </w:rPr>
              <w:t>Acidic</w:t>
            </w:r>
          </w:p>
          <w:p w14:paraId="2CBBF12F" w14:textId="77777777" w:rsidR="00B53C39" w:rsidRPr="003E0254" w:rsidRDefault="00DA35C9">
            <w:pPr>
              <w:spacing w:line="276" w:lineRule="auto"/>
              <w:jc w:val="center"/>
              <w:rPr>
                <w:b/>
                <w:bCs/>
                <w:sz w:val="20"/>
                <w:szCs w:val="20"/>
                <w:u w:val="single"/>
              </w:rPr>
            </w:pPr>
            <w:r w:rsidRPr="003E0254">
              <w:rPr>
                <w:b/>
                <w:bCs/>
                <w:sz w:val="20"/>
                <w:szCs w:val="20"/>
                <w:u w:val="single"/>
              </w:rPr>
              <w:t>pH</w:t>
            </w:r>
            <w:r w:rsidRPr="003E0254">
              <w:rPr>
                <w:rFonts w:ascii="Symbol" w:eastAsia="Symbol" w:hAnsi="Symbol" w:cs="Symbol"/>
                <w:b/>
                <w:bCs/>
                <w:sz w:val="20"/>
                <w:szCs w:val="20"/>
                <w:u w:val="single"/>
              </w:rPr>
              <w:t></w:t>
            </w:r>
            <w:r w:rsidRPr="003E0254">
              <w:rPr>
                <w:b/>
                <w:bCs/>
                <w:sz w:val="20"/>
                <w:szCs w:val="20"/>
                <w:u w:val="single"/>
              </w:rPr>
              <w:t>7</w:t>
            </w:r>
          </w:p>
          <w:p w14:paraId="412062A1" w14:textId="77777777" w:rsidR="00B53C39" w:rsidRPr="003E0254" w:rsidRDefault="00B53C39">
            <w:pPr>
              <w:spacing w:line="276" w:lineRule="auto"/>
              <w:rPr>
                <w:b/>
                <w:bCs/>
                <w:sz w:val="20"/>
                <w:szCs w:val="20"/>
                <w:u w:val="single"/>
              </w:rPr>
            </w:pPr>
          </w:p>
        </w:tc>
        <w:tc>
          <w:tcPr>
            <w:tcW w:w="488" w:type="pct"/>
            <w:shd w:val="clear" w:color="auto" w:fill="92D050"/>
          </w:tcPr>
          <w:p w14:paraId="12748A11" w14:textId="7F4BC433" w:rsidR="00B53C39" w:rsidRPr="003E0254" w:rsidRDefault="00DA35C9">
            <w:pPr>
              <w:spacing w:line="276" w:lineRule="auto"/>
              <w:rPr>
                <w:bCs/>
                <w:sz w:val="20"/>
                <w:szCs w:val="20"/>
              </w:rPr>
            </w:pPr>
            <w:r w:rsidRPr="003E0254">
              <w:rPr>
                <w:bCs/>
                <w:sz w:val="20"/>
                <w:szCs w:val="20"/>
              </w:rPr>
              <w:t>Fe</w:t>
            </w:r>
            <w:r w:rsidR="00996CC5" w:rsidRPr="003E0254">
              <w:rPr>
                <w:sz w:val="20"/>
                <w:szCs w:val="20"/>
                <w:lang w:eastAsia="de-DE"/>
              </w:rPr>
              <w:t>||Zn</w:t>
            </w:r>
          </w:p>
        </w:tc>
        <w:tc>
          <w:tcPr>
            <w:tcW w:w="455" w:type="pct"/>
            <w:shd w:val="clear" w:color="auto" w:fill="92D050"/>
          </w:tcPr>
          <w:p w14:paraId="1BE15DE8" w14:textId="77777777" w:rsidR="00B53C39" w:rsidRPr="003E0254" w:rsidRDefault="00DA35C9">
            <w:pPr>
              <w:spacing w:line="276" w:lineRule="auto"/>
              <w:rPr>
                <w:bCs/>
                <w:sz w:val="20"/>
                <w:szCs w:val="20"/>
              </w:rPr>
            </w:pPr>
            <w:r w:rsidRPr="003E0254">
              <w:rPr>
                <w:bCs/>
                <w:sz w:val="20"/>
                <w:szCs w:val="20"/>
              </w:rPr>
              <w:t>Carbon felt</w:t>
            </w:r>
          </w:p>
          <w:p w14:paraId="2FDC5BCF" w14:textId="77777777" w:rsidR="00B53C39" w:rsidRPr="003E0254" w:rsidRDefault="00B53C39">
            <w:pPr>
              <w:spacing w:line="276" w:lineRule="auto"/>
              <w:rPr>
                <w:bCs/>
                <w:sz w:val="20"/>
                <w:szCs w:val="20"/>
              </w:rPr>
            </w:pPr>
          </w:p>
        </w:tc>
        <w:tc>
          <w:tcPr>
            <w:tcW w:w="607" w:type="pct"/>
            <w:shd w:val="clear" w:color="auto" w:fill="92D050"/>
          </w:tcPr>
          <w:p w14:paraId="33BAD576" w14:textId="77777777" w:rsidR="00B53C39" w:rsidRPr="003E0254" w:rsidRDefault="00DA35C9">
            <w:pPr>
              <w:spacing w:line="276" w:lineRule="auto"/>
              <w:rPr>
                <w:bCs/>
                <w:sz w:val="20"/>
                <w:szCs w:val="20"/>
              </w:rPr>
            </w:pPr>
            <w:r w:rsidRPr="003E0254">
              <w:rPr>
                <w:bCs/>
                <w:sz w:val="20"/>
                <w:szCs w:val="20"/>
              </w:rPr>
              <w:t>FeCl</w:t>
            </w:r>
            <w:r w:rsidRPr="003E0254">
              <w:rPr>
                <w:bCs/>
                <w:sz w:val="20"/>
                <w:szCs w:val="20"/>
                <w:vertAlign w:val="subscript"/>
              </w:rPr>
              <w:t>2</w:t>
            </w:r>
          </w:p>
        </w:tc>
        <w:tc>
          <w:tcPr>
            <w:tcW w:w="656" w:type="pct"/>
            <w:shd w:val="clear" w:color="auto" w:fill="92D050"/>
          </w:tcPr>
          <w:p w14:paraId="219BF1BA" w14:textId="77777777" w:rsidR="00B53C39" w:rsidRPr="003E0254" w:rsidRDefault="00DA35C9">
            <w:pPr>
              <w:spacing w:line="276" w:lineRule="auto"/>
              <w:rPr>
                <w:bCs/>
                <w:sz w:val="20"/>
                <w:szCs w:val="20"/>
              </w:rPr>
            </w:pPr>
            <w:r w:rsidRPr="003E0254">
              <w:rPr>
                <w:sz w:val="20"/>
                <w:szCs w:val="20"/>
              </w:rPr>
              <w:t>Fe</w:t>
            </w:r>
            <w:r w:rsidRPr="003E0254">
              <w:rPr>
                <w:sz w:val="20"/>
                <w:szCs w:val="20"/>
                <w:vertAlign w:val="superscript"/>
              </w:rPr>
              <w:t xml:space="preserve">2+ </w:t>
            </w:r>
            <w:r w:rsidRPr="003E0254">
              <w:rPr>
                <w:rFonts w:ascii="Cambria Math" w:hAnsi="Cambria Math" w:cs="Cambria Math"/>
                <w:sz w:val="20"/>
                <w:szCs w:val="20"/>
              </w:rPr>
              <w:t>⇔</w:t>
            </w:r>
            <w:r w:rsidRPr="003E0254">
              <w:rPr>
                <w:sz w:val="20"/>
                <w:szCs w:val="20"/>
              </w:rPr>
              <w:t xml:space="preserve"> Fe</w:t>
            </w:r>
            <w:r w:rsidRPr="003E0254">
              <w:rPr>
                <w:sz w:val="20"/>
                <w:szCs w:val="20"/>
                <w:vertAlign w:val="superscript"/>
              </w:rPr>
              <w:t>3+</w:t>
            </w:r>
            <w:r w:rsidRPr="003E0254">
              <w:rPr>
                <w:sz w:val="20"/>
                <w:szCs w:val="20"/>
              </w:rPr>
              <w:t xml:space="preserve"> + e</w:t>
            </w:r>
            <w:r w:rsidRPr="003E0254">
              <w:rPr>
                <w:sz w:val="20"/>
                <w:szCs w:val="20"/>
                <w:vertAlign w:val="superscript"/>
              </w:rPr>
              <w:t>-</w:t>
            </w:r>
          </w:p>
        </w:tc>
        <w:tc>
          <w:tcPr>
            <w:tcW w:w="513" w:type="pct"/>
            <w:shd w:val="clear" w:color="auto" w:fill="92D050"/>
          </w:tcPr>
          <w:p w14:paraId="76952896" w14:textId="77777777" w:rsidR="00B53C39" w:rsidRPr="003E0254" w:rsidRDefault="00DA35C9">
            <w:pPr>
              <w:spacing w:line="276" w:lineRule="auto"/>
              <w:rPr>
                <w:bCs/>
                <w:sz w:val="20"/>
                <w:szCs w:val="20"/>
              </w:rPr>
            </w:pPr>
            <w:r w:rsidRPr="003E0254">
              <w:rPr>
                <w:bCs/>
                <w:sz w:val="20"/>
                <w:szCs w:val="20"/>
              </w:rPr>
              <w:t>CEM:</w:t>
            </w:r>
          </w:p>
          <w:p w14:paraId="5342EF4A" w14:textId="77777777" w:rsidR="00B53C39" w:rsidRPr="003E0254" w:rsidRDefault="00DA35C9">
            <w:pPr>
              <w:spacing w:line="276" w:lineRule="auto"/>
              <w:rPr>
                <w:bCs/>
                <w:sz w:val="20"/>
                <w:szCs w:val="20"/>
              </w:rPr>
            </w:pPr>
            <w:r w:rsidRPr="003E0254">
              <w:rPr>
                <w:bCs/>
                <w:sz w:val="20"/>
                <w:szCs w:val="20"/>
              </w:rPr>
              <w:t>HZ115 ion exchange membrane</w:t>
            </w:r>
          </w:p>
        </w:tc>
        <w:tc>
          <w:tcPr>
            <w:tcW w:w="527" w:type="pct"/>
            <w:shd w:val="clear" w:color="auto" w:fill="92D050"/>
          </w:tcPr>
          <w:p w14:paraId="49E2B9D5" w14:textId="77777777" w:rsidR="00B53C39" w:rsidRPr="003E0254" w:rsidRDefault="00DA35C9">
            <w:pPr>
              <w:spacing w:line="276" w:lineRule="auto"/>
              <w:rPr>
                <w:bCs/>
                <w:sz w:val="20"/>
                <w:szCs w:val="20"/>
              </w:rPr>
            </w:pPr>
            <w:r w:rsidRPr="003E0254">
              <w:rPr>
                <w:bCs/>
                <w:sz w:val="20"/>
                <w:szCs w:val="20"/>
              </w:rPr>
              <w:t>Zinc foil</w:t>
            </w:r>
          </w:p>
        </w:tc>
        <w:tc>
          <w:tcPr>
            <w:tcW w:w="547" w:type="pct"/>
            <w:shd w:val="clear" w:color="auto" w:fill="92D050"/>
          </w:tcPr>
          <w:p w14:paraId="19FFF2F4" w14:textId="77777777" w:rsidR="00B53C39" w:rsidRPr="003E0254" w:rsidRDefault="00DA35C9">
            <w:pPr>
              <w:spacing w:line="276" w:lineRule="auto"/>
              <w:rPr>
                <w:bCs/>
                <w:sz w:val="20"/>
                <w:szCs w:val="20"/>
              </w:rPr>
            </w:pPr>
            <w:r w:rsidRPr="003E0254">
              <w:rPr>
                <w:bCs/>
                <w:sz w:val="20"/>
                <w:szCs w:val="20"/>
              </w:rPr>
              <w:t>ZnSO</w:t>
            </w:r>
            <w:r w:rsidRPr="003E0254">
              <w:rPr>
                <w:bCs/>
                <w:sz w:val="20"/>
                <w:szCs w:val="20"/>
                <w:vertAlign w:val="subscript"/>
              </w:rPr>
              <w:t>4</w:t>
            </w:r>
          </w:p>
        </w:tc>
        <w:tc>
          <w:tcPr>
            <w:tcW w:w="493" w:type="pct"/>
            <w:vMerge w:val="restart"/>
            <w:shd w:val="clear" w:color="auto" w:fill="92D050"/>
            <w:vAlign w:val="center"/>
          </w:tcPr>
          <w:p w14:paraId="0B183490" w14:textId="77777777" w:rsidR="00B53C39" w:rsidRPr="003E0254" w:rsidRDefault="00DA35C9">
            <w:pPr>
              <w:spacing w:line="276" w:lineRule="auto"/>
              <w:rPr>
                <w:bCs/>
                <w:sz w:val="20"/>
                <w:szCs w:val="20"/>
              </w:rPr>
            </w:pPr>
            <w:r w:rsidRPr="003E0254">
              <w:rPr>
                <w:sz w:val="20"/>
                <w:szCs w:val="20"/>
              </w:rPr>
              <w:t>Zn</w:t>
            </w:r>
            <w:r w:rsidRPr="003E0254">
              <w:rPr>
                <w:sz w:val="20"/>
                <w:szCs w:val="20"/>
                <w:vertAlign w:val="superscript"/>
              </w:rPr>
              <w:t>2+</w:t>
            </w:r>
            <w:r w:rsidRPr="003E0254">
              <w:rPr>
                <w:rStyle w:val="img-tbleqn"/>
                <w:rFonts w:ascii="Cambria Math" w:hAnsi="Cambria Math" w:cs="Cambria Math"/>
                <w:sz w:val="20"/>
                <w:szCs w:val="20"/>
              </w:rPr>
              <w:t xml:space="preserve">⇔ </w:t>
            </w:r>
            <w:r w:rsidRPr="003E0254">
              <w:rPr>
                <w:sz w:val="20"/>
                <w:szCs w:val="20"/>
              </w:rPr>
              <w:t>Zn</w:t>
            </w:r>
          </w:p>
        </w:tc>
        <w:tc>
          <w:tcPr>
            <w:tcW w:w="295" w:type="pct"/>
            <w:shd w:val="clear" w:color="auto" w:fill="92D050"/>
          </w:tcPr>
          <w:p w14:paraId="3AA53B73" w14:textId="6DA85B54" w:rsidR="00B53C39" w:rsidRPr="003E0254" w:rsidRDefault="00DA35C9">
            <w:pPr>
              <w:spacing w:line="276" w:lineRule="auto"/>
              <w:rPr>
                <w:bCs/>
                <w:sz w:val="20"/>
                <w:szCs w:val="20"/>
              </w:rPr>
            </w:pPr>
            <w:r w:rsidRPr="003E0254">
              <w:rPr>
                <w:bCs/>
                <w:sz w:val="20"/>
                <w:szCs w:val="20"/>
              </w:rPr>
              <w:t>Xie et al.</w:t>
            </w:r>
            <w:r w:rsidR="000524B7" w:rsidRPr="003E0254">
              <w:rPr>
                <w:bCs/>
                <w:sz w:val="20"/>
                <w:szCs w:val="20"/>
              </w:rPr>
              <w:fldChar w:fldCharType="begin" w:fldLock="1"/>
            </w:r>
            <w:r w:rsidR="00500B8D" w:rsidRPr="003E0254">
              <w:rPr>
                <w:bCs/>
                <w:sz w:val="20"/>
                <w:szCs w:val="20"/>
              </w:rPr>
              <w:instrText>ADDIN CSL_CITATION {"citationItems":[{"id":"ITEM-1","itemData":{"DOI":"10.1016/J.JECHEM.2016.02.009","ISSN":"2095-4956","abstract":"A green low-cost redox flow battery using Zn/Zn2+ redox couple in HAc/NaAc medium and Fe2+/Fe3+ redox couple in H2SO4 medium was first proposed and investigated for potential stationary energy storage applications. The presence of HAc/NaAc in the negative electrolyte can keep the pH between 2.0 and 6.0 even when a large amount of H+ ions move into negative electrolyte from positive electrolyte through ion exchange membrane. In the pH range of 2.0-6.0, the chemical reaction of Zn species with H+ species is very insignificant; furthermore, the electroreduction of H+ ion on the negative electrode is significantly suppressed at this pH range. The zinc-ferrum redox flow battery (Zn/Fe RFB) operated within a voltage window of 0.5-2.0 V with a nearly 90% utilization ratio, and its energy efficiency is around 71.1% at room temperature. These results show that Zn/Fe RFB is a promising option as a stationary energy storage equipment.","author":[{"dropping-particle":"","family":"Xie","given":"Zhipeng","non-dropping-particle":"","parse-names":false,"suffix":""},{"dropping-particle":"","family":"Su","given":"Qi","non-dropping-particle":"","parse-names":false,"suffix":""},{"dropping-particle":"","family":"Shi","given":"Anhong","non-dropping-particle":"","parse-names":false,"suffix":""},{"dropping-particle":"","family":"Yang","given":"Bin","non-dropping-particle":"","parse-names":false,"suffix":""},{"dropping-particle":"","family":"Liu","given":"Baixiong","non-dropping-particle":"","parse-names":false,"suffix":""},{"dropping-particle":"","family":"Chen","given":"Jianchai","non-dropping-particle":"","parse-names":false,"suffix":""},{"dropping-particle":"","family":"Zhou","given":"Xiaochun","non-dropping-particle":"","parse-names":false,"suffix":""},{"dropping-particle":"","family":"Cai","given":"Dingjian","non-dropping-particle":"","parse-names":false,"suffix":""},{"dropping-particle":"","family":"Yang","given":"Liang","non-dropping-particle":"","parse-names":false,"suffix":""}],"container-title":"Journal of Energy Chemistry","id":"ITEM-1","issue":"3","issued":{"date-parts":[["2016","5","1"]]},"page":"495-499","publisher":"Elsevier","title":"High performance of zinc-ferrum redox flow battery with Ac−/HAc buffer solution","type":"article-journal","volume":"25"},"uris":["http://www.mendeley.com/documents/?uuid=d3e7038d-3510-37d7-ad31-06d927907ff3"]}],"mendeley":{"formattedCitation":"&lt;sup&gt;[279]&lt;/sup&gt;","plainTextFormattedCitation":"[279]","previouslyFormattedCitation":"&lt;sup&gt;[278]&lt;/sup&gt;"},"properties":{"noteIndex":0},"schema":"https://github.com/citation-style-language/schema/raw/master/csl-citation.json"}</w:instrText>
            </w:r>
            <w:r w:rsidR="000524B7" w:rsidRPr="003E0254">
              <w:rPr>
                <w:bCs/>
                <w:sz w:val="20"/>
                <w:szCs w:val="20"/>
              </w:rPr>
              <w:fldChar w:fldCharType="separate"/>
            </w:r>
            <w:r w:rsidR="00500B8D" w:rsidRPr="003E0254">
              <w:rPr>
                <w:bCs/>
                <w:noProof/>
                <w:sz w:val="20"/>
                <w:szCs w:val="20"/>
                <w:vertAlign w:val="superscript"/>
              </w:rPr>
              <w:t>[279]</w:t>
            </w:r>
            <w:r w:rsidR="000524B7" w:rsidRPr="003E0254">
              <w:rPr>
                <w:bCs/>
                <w:sz w:val="20"/>
                <w:szCs w:val="20"/>
              </w:rPr>
              <w:fldChar w:fldCharType="end"/>
            </w:r>
            <w:r w:rsidRPr="003E0254">
              <w:rPr>
                <w:bCs/>
                <w:sz w:val="20"/>
                <w:szCs w:val="20"/>
              </w:rPr>
              <w:t xml:space="preserve"> </w:t>
            </w:r>
          </w:p>
        </w:tc>
      </w:tr>
      <w:tr w:rsidR="00B53C39" w:rsidRPr="003E0254" w14:paraId="3352ACC0" w14:textId="77777777">
        <w:tc>
          <w:tcPr>
            <w:tcW w:w="419" w:type="pct"/>
            <w:vMerge/>
            <w:shd w:val="clear" w:color="auto" w:fill="92D050"/>
            <w:vAlign w:val="center"/>
          </w:tcPr>
          <w:p w14:paraId="46686113" w14:textId="77777777" w:rsidR="00B53C39" w:rsidRPr="003E0254" w:rsidRDefault="00B53C39">
            <w:pPr>
              <w:spacing w:line="276" w:lineRule="auto"/>
              <w:jc w:val="center"/>
              <w:rPr>
                <w:b/>
                <w:bCs/>
                <w:sz w:val="20"/>
                <w:szCs w:val="20"/>
                <w:u w:val="single"/>
              </w:rPr>
            </w:pPr>
          </w:p>
        </w:tc>
        <w:tc>
          <w:tcPr>
            <w:tcW w:w="488" w:type="pct"/>
            <w:shd w:val="clear" w:color="auto" w:fill="92D050"/>
          </w:tcPr>
          <w:p w14:paraId="2D60E88D" w14:textId="05B84BC4" w:rsidR="00B53C39" w:rsidRPr="003E0254" w:rsidRDefault="00DA35C9">
            <w:pPr>
              <w:spacing w:line="276" w:lineRule="auto"/>
              <w:rPr>
                <w:bCs/>
                <w:sz w:val="20"/>
                <w:szCs w:val="20"/>
              </w:rPr>
            </w:pPr>
            <w:r w:rsidRPr="003E0254">
              <w:rPr>
                <w:bCs/>
                <w:sz w:val="20"/>
                <w:szCs w:val="20"/>
              </w:rPr>
              <w:t>PbO</w:t>
            </w:r>
            <w:r w:rsidRPr="003E0254">
              <w:rPr>
                <w:bCs/>
                <w:sz w:val="20"/>
                <w:szCs w:val="20"/>
                <w:vertAlign w:val="subscript"/>
              </w:rPr>
              <w:t>2</w:t>
            </w:r>
            <w:r w:rsidR="00996CC5" w:rsidRPr="003E0254">
              <w:rPr>
                <w:sz w:val="20"/>
                <w:szCs w:val="20"/>
                <w:lang w:eastAsia="de-DE"/>
              </w:rPr>
              <w:t>||Zn</w:t>
            </w:r>
          </w:p>
        </w:tc>
        <w:tc>
          <w:tcPr>
            <w:tcW w:w="455" w:type="pct"/>
            <w:shd w:val="clear" w:color="auto" w:fill="92D050"/>
          </w:tcPr>
          <w:p w14:paraId="79C62A1B" w14:textId="77777777" w:rsidR="00B53C39" w:rsidRPr="003E0254" w:rsidRDefault="00DA35C9">
            <w:pPr>
              <w:spacing w:line="276" w:lineRule="auto"/>
              <w:rPr>
                <w:bCs/>
                <w:sz w:val="20"/>
                <w:szCs w:val="20"/>
              </w:rPr>
            </w:pPr>
            <w:r w:rsidRPr="003E0254">
              <w:rPr>
                <w:bCs/>
                <w:sz w:val="20"/>
                <w:szCs w:val="20"/>
              </w:rPr>
              <w:t xml:space="preserve">lead dioxide </w:t>
            </w:r>
            <w:proofErr w:type="gramStart"/>
            <w:r w:rsidRPr="003E0254">
              <w:rPr>
                <w:bCs/>
                <w:sz w:val="20"/>
                <w:szCs w:val="20"/>
              </w:rPr>
              <w:t>paste</w:t>
            </w:r>
            <w:proofErr w:type="gramEnd"/>
            <w:r w:rsidRPr="003E0254">
              <w:rPr>
                <w:bCs/>
                <w:sz w:val="20"/>
                <w:szCs w:val="20"/>
              </w:rPr>
              <w:t xml:space="preserve"> from</w:t>
            </w:r>
          </w:p>
          <w:p w14:paraId="424A598D" w14:textId="77777777" w:rsidR="00B53C39" w:rsidRPr="003E0254" w:rsidRDefault="00DA35C9">
            <w:pPr>
              <w:spacing w:line="276" w:lineRule="auto"/>
              <w:rPr>
                <w:bCs/>
                <w:sz w:val="20"/>
                <w:szCs w:val="20"/>
              </w:rPr>
            </w:pPr>
            <w:r w:rsidRPr="003E0254">
              <w:rPr>
                <w:bCs/>
                <w:sz w:val="20"/>
                <w:szCs w:val="20"/>
              </w:rPr>
              <w:t>(Yuasa NP 1.2-6)</w:t>
            </w:r>
          </w:p>
        </w:tc>
        <w:tc>
          <w:tcPr>
            <w:tcW w:w="607" w:type="pct"/>
            <w:shd w:val="clear" w:color="auto" w:fill="92D050"/>
          </w:tcPr>
          <w:p w14:paraId="395A46EC" w14:textId="77777777" w:rsidR="00B53C39" w:rsidRPr="003E0254" w:rsidRDefault="00DA35C9">
            <w:pPr>
              <w:spacing w:line="276" w:lineRule="auto"/>
              <w:rPr>
                <w:bCs/>
                <w:sz w:val="20"/>
                <w:szCs w:val="20"/>
              </w:rPr>
            </w:pPr>
            <w:r w:rsidRPr="003E0254">
              <w:rPr>
                <w:bCs/>
                <w:sz w:val="20"/>
                <w:szCs w:val="20"/>
              </w:rPr>
              <w:t>PbSO</w:t>
            </w:r>
            <w:r w:rsidRPr="003E0254">
              <w:rPr>
                <w:bCs/>
                <w:sz w:val="20"/>
                <w:szCs w:val="20"/>
                <w:vertAlign w:val="subscript"/>
              </w:rPr>
              <w:t>4</w:t>
            </w:r>
          </w:p>
        </w:tc>
        <w:tc>
          <w:tcPr>
            <w:tcW w:w="656" w:type="pct"/>
            <w:shd w:val="clear" w:color="auto" w:fill="92D050"/>
          </w:tcPr>
          <w:p w14:paraId="575F9743" w14:textId="77777777" w:rsidR="00B53C39" w:rsidRPr="003E0254" w:rsidRDefault="00DA35C9">
            <w:pPr>
              <w:spacing w:line="276" w:lineRule="auto"/>
              <w:rPr>
                <w:bCs/>
                <w:sz w:val="20"/>
                <w:szCs w:val="20"/>
              </w:rPr>
            </w:pPr>
            <m:oMathPara>
              <m:oMath>
                <m:r>
                  <m:rPr>
                    <m:sty m:val="p"/>
                  </m:rPr>
                  <w:rPr>
                    <w:rFonts w:ascii="Cambria Math" w:hAnsi="Cambria Math" w:cs="Calibri"/>
                    <w:sz w:val="20"/>
                    <w:szCs w:val="20"/>
                    <w:lang w:eastAsia="de-DE"/>
                  </w:rPr>
                  <m:t>PbS</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O</m:t>
                    </m:r>
                  </m:e>
                  <m:sub>
                    <m:r>
                      <m:rPr>
                        <m:sty m:val="p"/>
                      </m:rPr>
                      <w:rPr>
                        <w:rFonts w:ascii="Cambria Math" w:hAnsi="Cambria Math" w:cs="Calibri"/>
                        <w:sz w:val="20"/>
                        <w:szCs w:val="20"/>
                        <w:lang w:eastAsia="de-DE"/>
                      </w:rPr>
                      <m:t>4</m:t>
                    </m:r>
                  </m:sub>
                </m:sSub>
                <m:d>
                  <m:dPr>
                    <m:ctrlPr>
                      <w:rPr>
                        <w:rFonts w:ascii="Cambria Math" w:eastAsia="Cambria Math" w:hAnsi="Cambria Math" w:cs="Cambria Math"/>
                        <w:sz w:val="20"/>
                        <w:szCs w:val="20"/>
                        <w:lang w:eastAsia="de-DE"/>
                      </w:rPr>
                    </m:ctrlPr>
                  </m:dPr>
                  <m:e>
                    <m:r>
                      <m:rPr>
                        <m:sty m:val="p"/>
                      </m:rPr>
                      <w:rPr>
                        <w:rFonts w:ascii="Cambria Math" w:hAnsi="Cambria Math" w:cs="Calibri"/>
                        <w:sz w:val="20"/>
                        <w:szCs w:val="20"/>
                        <w:lang w:eastAsia="de-DE"/>
                      </w:rPr>
                      <m:t>s</m:t>
                    </m:r>
                  </m:e>
                </m:d>
                <m:r>
                  <m:rPr>
                    <m:sty m:val="p"/>
                  </m:rPr>
                  <w:rPr>
                    <w:rFonts w:ascii="Cambria Math" w:hAnsi="Cambria Math" w:cs="Calibri"/>
                    <w:sz w:val="20"/>
                    <w:szCs w:val="20"/>
                    <w:lang w:eastAsia="de-DE"/>
                  </w:rPr>
                  <m:t>+</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2H</m:t>
                    </m:r>
                  </m:e>
                  <m:sub>
                    <m:r>
                      <m:rPr>
                        <m:sty m:val="p"/>
                      </m:rPr>
                      <w:rPr>
                        <w:rFonts w:ascii="Cambria Math" w:hAnsi="Cambria Math" w:cs="Calibri"/>
                        <w:sz w:val="20"/>
                        <w:szCs w:val="20"/>
                        <w:lang w:eastAsia="de-DE"/>
                      </w:rPr>
                      <m:t>2</m:t>
                    </m:r>
                  </m:sub>
                </m:sSub>
                <m:r>
                  <m:rPr>
                    <m:sty m:val="p"/>
                  </m:rPr>
                  <w:rPr>
                    <w:rFonts w:ascii="Cambria Math" w:hAnsi="Cambria Math" w:cs="Calibri"/>
                    <w:sz w:val="20"/>
                    <w:szCs w:val="20"/>
                    <w:lang w:eastAsia="de-DE"/>
                  </w:rPr>
                  <m:t xml:space="preserve">O ↔ </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PbO</m:t>
                    </m:r>
                  </m:e>
                  <m:sub>
                    <m:r>
                      <m:rPr>
                        <m:sty m:val="p"/>
                      </m:rPr>
                      <w:rPr>
                        <w:rFonts w:ascii="Cambria Math" w:hAnsi="Cambria Math" w:cs="Calibri"/>
                        <w:sz w:val="20"/>
                        <w:szCs w:val="20"/>
                        <w:lang w:eastAsia="de-DE"/>
                      </w:rPr>
                      <m:t>2</m:t>
                    </m:r>
                  </m:sub>
                </m:sSub>
                <m:d>
                  <m:dPr>
                    <m:ctrlPr>
                      <w:rPr>
                        <w:rFonts w:ascii="Cambria Math" w:eastAsia="Cambria Math" w:hAnsi="Cambria Math" w:cs="Cambria Math"/>
                        <w:sz w:val="20"/>
                        <w:szCs w:val="20"/>
                        <w:lang w:eastAsia="de-DE"/>
                      </w:rPr>
                    </m:ctrlPr>
                  </m:dPr>
                  <m:e>
                    <m:r>
                      <m:rPr>
                        <m:sty m:val="p"/>
                      </m:rPr>
                      <w:rPr>
                        <w:rFonts w:ascii="Cambria Math" w:hAnsi="Cambria Math" w:cs="Calibri"/>
                        <w:sz w:val="20"/>
                        <w:szCs w:val="20"/>
                        <w:lang w:eastAsia="de-DE"/>
                      </w:rPr>
                      <m:t>s</m:t>
                    </m:r>
                  </m:e>
                </m:d>
                <m:r>
                  <m:rPr>
                    <m:sty m:val="p"/>
                  </m:rPr>
                  <w:rPr>
                    <w:rFonts w:ascii="Cambria Math" w:hAnsi="Cambria Math" w:cs="Calibri"/>
                    <w:sz w:val="20"/>
                    <w:szCs w:val="20"/>
                    <w:lang w:eastAsia="de-DE"/>
                  </w:rPr>
                  <m:t>+</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2H</m:t>
                    </m:r>
                  </m:e>
                  <m:sup>
                    <m:r>
                      <m:rPr>
                        <m:sty m:val="p"/>
                      </m:rPr>
                      <w:rPr>
                        <w:rFonts w:ascii="Cambria Math" w:hAnsi="Cambria Math" w:cs="Calibri"/>
                        <w:sz w:val="20"/>
                        <w:szCs w:val="20"/>
                        <w:lang w:eastAsia="de-DE"/>
                      </w:rPr>
                      <m:t>+</m:t>
                    </m:r>
                  </m:sup>
                </m:sSup>
                <m:r>
                  <m:rPr>
                    <m:sty m:val="p"/>
                  </m:rPr>
                  <w:rPr>
                    <w:rFonts w:ascii="Cambria Math" w:hAnsi="Cambria Math" w:cs="Calibri"/>
                    <w:sz w:val="20"/>
                    <w:szCs w:val="20"/>
                    <w:lang w:eastAsia="de-DE"/>
                  </w:rPr>
                  <m:t>+</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H</m:t>
                    </m:r>
                  </m:e>
                  <m:sub>
                    <m:r>
                      <m:rPr>
                        <m:sty m:val="p"/>
                      </m:rPr>
                      <w:rPr>
                        <w:rFonts w:ascii="Cambria Math" w:hAnsi="Cambria Math" w:cs="Calibri"/>
                        <w:sz w:val="20"/>
                        <w:szCs w:val="20"/>
                        <w:lang w:eastAsia="de-DE"/>
                      </w:rPr>
                      <m:t>2</m:t>
                    </m:r>
                  </m:sub>
                </m:sSub>
                <m:r>
                  <m:rPr>
                    <m:sty m:val="p"/>
                  </m:rPr>
                  <w:rPr>
                    <w:rFonts w:ascii="Cambria Math" w:hAnsi="Cambria Math" w:cs="Calibri"/>
                    <w:sz w:val="20"/>
                    <w:szCs w:val="20"/>
                    <w:lang w:eastAsia="de-DE"/>
                  </w:rPr>
                  <m:t>S</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O</m:t>
                    </m:r>
                  </m:e>
                  <m:sub>
                    <m:r>
                      <m:rPr>
                        <m:sty m:val="p"/>
                      </m:rPr>
                      <w:rPr>
                        <w:rFonts w:ascii="Cambria Math" w:hAnsi="Cambria Math" w:cs="Calibri"/>
                        <w:sz w:val="20"/>
                        <w:szCs w:val="20"/>
                        <w:lang w:eastAsia="de-DE"/>
                      </w:rPr>
                      <m:t>4</m:t>
                    </m:r>
                  </m:sub>
                </m:sSub>
                <m:r>
                  <m:rPr>
                    <m:sty m:val="p"/>
                  </m:rPr>
                  <w:rPr>
                    <w:rFonts w:ascii="Cambria Math" w:hAnsi="Cambria Math" w:cs="Calibri"/>
                    <w:sz w:val="20"/>
                    <w:szCs w:val="20"/>
                    <w:lang w:eastAsia="de-DE"/>
                  </w:rPr>
                  <m:t>+ 2</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e</m:t>
                    </m:r>
                  </m:e>
                  <m:sup>
                    <m:r>
                      <m:rPr>
                        <m:sty m:val="p"/>
                      </m:rPr>
                      <w:rPr>
                        <w:rFonts w:ascii="Cambria Math" w:hAnsi="Cambria Math" w:cs="Calibri"/>
                        <w:sz w:val="20"/>
                        <w:szCs w:val="20"/>
                        <w:lang w:eastAsia="de-DE"/>
                      </w:rPr>
                      <m:t>-</m:t>
                    </m:r>
                  </m:sup>
                </m:sSup>
              </m:oMath>
            </m:oMathPara>
          </w:p>
        </w:tc>
        <w:tc>
          <w:tcPr>
            <w:tcW w:w="513" w:type="pct"/>
            <w:shd w:val="clear" w:color="auto" w:fill="92D050"/>
          </w:tcPr>
          <w:p w14:paraId="43562B26" w14:textId="77777777" w:rsidR="00B53C39" w:rsidRPr="003E0254" w:rsidRDefault="00DA35C9">
            <w:pPr>
              <w:spacing w:line="276" w:lineRule="auto"/>
              <w:rPr>
                <w:bCs/>
                <w:sz w:val="20"/>
                <w:szCs w:val="20"/>
              </w:rPr>
            </w:pPr>
            <w:proofErr w:type="spellStart"/>
            <w:r w:rsidRPr="003E0254">
              <w:rPr>
                <w:bCs/>
                <w:sz w:val="20"/>
                <w:szCs w:val="20"/>
              </w:rPr>
              <w:t>microglass</w:t>
            </w:r>
            <w:proofErr w:type="spellEnd"/>
            <w:r w:rsidRPr="003E0254">
              <w:rPr>
                <w:bCs/>
                <w:sz w:val="20"/>
                <w:szCs w:val="20"/>
              </w:rPr>
              <w:t xml:space="preserve"> fiber separators</w:t>
            </w:r>
          </w:p>
        </w:tc>
        <w:tc>
          <w:tcPr>
            <w:tcW w:w="527" w:type="pct"/>
            <w:shd w:val="clear" w:color="auto" w:fill="92D050"/>
          </w:tcPr>
          <w:p w14:paraId="5BC23429" w14:textId="77777777" w:rsidR="00B53C39" w:rsidRPr="003E0254" w:rsidRDefault="00DA35C9">
            <w:pPr>
              <w:spacing w:line="276" w:lineRule="auto"/>
              <w:rPr>
                <w:bCs/>
                <w:sz w:val="20"/>
                <w:szCs w:val="20"/>
              </w:rPr>
            </w:pPr>
            <w:r w:rsidRPr="003E0254">
              <w:rPr>
                <w:bCs/>
                <w:sz w:val="20"/>
                <w:szCs w:val="20"/>
              </w:rPr>
              <w:t>carbon polymer electrode TF6 bipolar, SGL Carbon</w:t>
            </w:r>
          </w:p>
        </w:tc>
        <w:tc>
          <w:tcPr>
            <w:tcW w:w="547" w:type="pct"/>
            <w:shd w:val="clear" w:color="auto" w:fill="92D050"/>
          </w:tcPr>
          <w:p w14:paraId="4457DD30" w14:textId="77777777" w:rsidR="00B53C39" w:rsidRPr="003E0254" w:rsidRDefault="00DA35C9">
            <w:pPr>
              <w:spacing w:line="276" w:lineRule="auto"/>
              <w:rPr>
                <w:bCs/>
                <w:sz w:val="20"/>
                <w:szCs w:val="20"/>
              </w:rPr>
            </w:pPr>
            <w:r w:rsidRPr="003E0254">
              <w:rPr>
                <w:bCs/>
                <w:sz w:val="20"/>
                <w:szCs w:val="20"/>
              </w:rPr>
              <w:t>ZnSO</w:t>
            </w:r>
            <w:r w:rsidRPr="003E0254">
              <w:rPr>
                <w:bCs/>
                <w:sz w:val="20"/>
                <w:szCs w:val="20"/>
                <w:vertAlign w:val="subscript"/>
              </w:rPr>
              <w:t>4</w:t>
            </w:r>
          </w:p>
        </w:tc>
        <w:tc>
          <w:tcPr>
            <w:tcW w:w="493" w:type="pct"/>
            <w:vMerge/>
            <w:shd w:val="clear" w:color="auto" w:fill="92D050"/>
          </w:tcPr>
          <w:p w14:paraId="79CD6189" w14:textId="77777777" w:rsidR="00B53C39" w:rsidRPr="003E0254" w:rsidRDefault="00B53C39">
            <w:pPr>
              <w:spacing w:line="276" w:lineRule="auto"/>
              <w:rPr>
                <w:bCs/>
                <w:sz w:val="20"/>
                <w:szCs w:val="20"/>
              </w:rPr>
            </w:pPr>
          </w:p>
        </w:tc>
        <w:tc>
          <w:tcPr>
            <w:tcW w:w="295" w:type="pct"/>
            <w:shd w:val="clear" w:color="auto" w:fill="92D050"/>
          </w:tcPr>
          <w:p w14:paraId="5723C293" w14:textId="1829D792" w:rsidR="00B53C39" w:rsidRPr="003E0254" w:rsidRDefault="00DA35C9">
            <w:pPr>
              <w:spacing w:line="276" w:lineRule="auto"/>
              <w:rPr>
                <w:bCs/>
                <w:sz w:val="20"/>
                <w:szCs w:val="20"/>
              </w:rPr>
            </w:pPr>
            <w:r w:rsidRPr="003E0254">
              <w:rPr>
                <w:bCs/>
                <w:sz w:val="20"/>
                <w:szCs w:val="20"/>
              </w:rPr>
              <w:t>Leung et al.</w:t>
            </w:r>
            <w:r w:rsidR="000524B7" w:rsidRPr="003E0254">
              <w:rPr>
                <w:bCs/>
                <w:sz w:val="20"/>
                <w:szCs w:val="20"/>
              </w:rPr>
              <w:fldChar w:fldCharType="begin" w:fldLock="1"/>
            </w:r>
            <w:r w:rsidR="00500B8D" w:rsidRPr="003E0254">
              <w:rPr>
                <w:bCs/>
                <w:sz w:val="20"/>
                <w:szCs w:val="20"/>
              </w:rPr>
              <w:instrText>ADDIN CSL_CITATION {"citationItems":[{"id":"ITEM-1","itemData":{"DOI":"10.1016/J.ELECTACTA.2012.06.089","ISSN":"0013-4686","abstract":"A zinc-lead dioxide rechargeable cell with an electrolyte composition of 1.5 mol dm -3 Zn(II), 0.5 mol dm -3 Na(I) and 0.3 mol dm -3 sulfuric acid is proposed and tested. The experimental results show that the open circuit potential of the zinc-lead dioxide cell is as high as 2.4 V (20% higher than conventional lead-acid cells and 56% higher than recent copper-lead dioxide cells), while the average coulombic and energy efficiencies are 90% and 70%, respectively, over 90 cycles at 20 mA cm -2. Furthermore, it is shown that the measured specific energy of the zinc-lead dioxide cell in a stack configuration is about 30% larger than that of a commercial valve regulated lead acid cell at the same operating conditions. © 2012 Elsevier Ltd.","author":[{"dropping-particle":"","family":"Leung","given":"P. K.","non-dropping-particle":"","parse-names":false,"suffix":""},{"dropping-particle":"","family":"Xu","given":"Q.","non-dropping-particle":"","parse-names":false,"suffix":""},{"dropping-particle":"","family":"Zhao","given":"T. S.","non-dropping-particle":"","parse-names":false,"suffix":""}],"container-title":"Electrochimica Acta","id":"ITEM-1","issued":{"date-parts":[["2012","9","30"]]},"page":"117-125","publisher":"Pergamon","title":"High-potential zinc–lead dioxide rechargeable cells","type":"article-journal","volume":"79"},"uris":["http://www.mendeley.com/documents/?uuid=8c53d6d6-b0a1-36ba-bbc1-d8b00a21b4a8"]}],"mendeley":{"formattedCitation":"&lt;sup&gt;[280]&lt;/sup&gt;","plainTextFormattedCitation":"[280]","previouslyFormattedCitation":"&lt;sup&gt;[279]&lt;/sup&gt;"},"properties":{"noteIndex":0},"schema":"https://github.com/citation-style-language/schema/raw/master/csl-citation.json"}</w:instrText>
            </w:r>
            <w:r w:rsidR="000524B7" w:rsidRPr="003E0254">
              <w:rPr>
                <w:bCs/>
                <w:sz w:val="20"/>
                <w:szCs w:val="20"/>
              </w:rPr>
              <w:fldChar w:fldCharType="separate"/>
            </w:r>
            <w:r w:rsidR="00500B8D" w:rsidRPr="003E0254">
              <w:rPr>
                <w:bCs/>
                <w:noProof/>
                <w:sz w:val="20"/>
                <w:szCs w:val="20"/>
                <w:vertAlign w:val="superscript"/>
              </w:rPr>
              <w:t>[280]</w:t>
            </w:r>
            <w:r w:rsidR="000524B7" w:rsidRPr="003E0254">
              <w:rPr>
                <w:bCs/>
                <w:sz w:val="20"/>
                <w:szCs w:val="20"/>
              </w:rPr>
              <w:fldChar w:fldCharType="end"/>
            </w:r>
            <w:r w:rsidRPr="003E0254">
              <w:rPr>
                <w:bCs/>
                <w:sz w:val="20"/>
                <w:szCs w:val="20"/>
              </w:rPr>
              <w:t xml:space="preserve"> </w:t>
            </w:r>
          </w:p>
        </w:tc>
      </w:tr>
      <w:tr w:rsidR="00B53C39" w:rsidRPr="003E0254" w14:paraId="6B6F4A28" w14:textId="77777777">
        <w:tc>
          <w:tcPr>
            <w:tcW w:w="419" w:type="pct"/>
            <w:vMerge/>
            <w:shd w:val="clear" w:color="auto" w:fill="92D050"/>
            <w:vAlign w:val="center"/>
          </w:tcPr>
          <w:p w14:paraId="05B9FFDF" w14:textId="77777777" w:rsidR="00B53C39" w:rsidRPr="003E0254" w:rsidRDefault="00B53C39">
            <w:pPr>
              <w:spacing w:line="276" w:lineRule="auto"/>
              <w:jc w:val="center"/>
              <w:rPr>
                <w:b/>
                <w:bCs/>
                <w:sz w:val="20"/>
                <w:szCs w:val="20"/>
                <w:u w:val="single"/>
              </w:rPr>
            </w:pPr>
          </w:p>
        </w:tc>
        <w:tc>
          <w:tcPr>
            <w:tcW w:w="488" w:type="pct"/>
            <w:shd w:val="clear" w:color="auto" w:fill="92D050"/>
          </w:tcPr>
          <w:p w14:paraId="4B99B161" w14:textId="0307D4FB" w:rsidR="00B53C39" w:rsidRPr="003E0254" w:rsidRDefault="00DA35C9">
            <w:pPr>
              <w:spacing w:line="276" w:lineRule="auto"/>
              <w:rPr>
                <w:bCs/>
                <w:sz w:val="20"/>
                <w:szCs w:val="20"/>
              </w:rPr>
            </w:pPr>
            <w:r w:rsidRPr="003E0254">
              <w:rPr>
                <w:bCs/>
                <w:sz w:val="20"/>
                <w:szCs w:val="20"/>
              </w:rPr>
              <w:t>Ce</w:t>
            </w:r>
            <w:r w:rsidR="00996CC5" w:rsidRPr="003E0254">
              <w:rPr>
                <w:sz w:val="20"/>
                <w:szCs w:val="20"/>
                <w:lang w:eastAsia="de-DE"/>
              </w:rPr>
              <w:t>||Zn</w:t>
            </w:r>
          </w:p>
        </w:tc>
        <w:tc>
          <w:tcPr>
            <w:tcW w:w="455" w:type="pct"/>
            <w:shd w:val="clear" w:color="auto" w:fill="92D050"/>
          </w:tcPr>
          <w:p w14:paraId="6236A5E3" w14:textId="77777777" w:rsidR="00B53C39" w:rsidRPr="003E0254" w:rsidRDefault="00DA35C9">
            <w:pPr>
              <w:spacing w:line="276" w:lineRule="auto"/>
              <w:rPr>
                <w:bCs/>
                <w:sz w:val="20"/>
                <w:szCs w:val="20"/>
              </w:rPr>
            </w:pPr>
            <w:r w:rsidRPr="003E0254">
              <w:rPr>
                <w:bCs/>
                <w:sz w:val="20"/>
                <w:szCs w:val="20"/>
              </w:rPr>
              <w:t>Carbon felt</w:t>
            </w:r>
          </w:p>
          <w:p w14:paraId="6586D286" w14:textId="77777777" w:rsidR="00B53C39" w:rsidRPr="003E0254" w:rsidRDefault="00B53C39">
            <w:pPr>
              <w:spacing w:line="276" w:lineRule="auto"/>
              <w:rPr>
                <w:bCs/>
                <w:sz w:val="20"/>
                <w:szCs w:val="20"/>
              </w:rPr>
            </w:pPr>
          </w:p>
        </w:tc>
        <w:tc>
          <w:tcPr>
            <w:tcW w:w="607" w:type="pct"/>
            <w:shd w:val="clear" w:color="auto" w:fill="92D050"/>
          </w:tcPr>
          <w:p w14:paraId="00474F73" w14:textId="77777777" w:rsidR="00B53C39" w:rsidRPr="003E0254" w:rsidRDefault="00DA35C9">
            <w:pPr>
              <w:spacing w:line="276" w:lineRule="auto"/>
              <w:rPr>
                <w:bCs/>
                <w:sz w:val="20"/>
                <w:szCs w:val="20"/>
                <w:vertAlign w:val="subscript"/>
              </w:rPr>
            </w:pPr>
            <w:proofErr w:type="gramStart"/>
            <w:r w:rsidRPr="003E0254">
              <w:rPr>
                <w:bCs/>
                <w:sz w:val="20"/>
                <w:szCs w:val="20"/>
              </w:rPr>
              <w:t>Ce(</w:t>
            </w:r>
            <w:proofErr w:type="gramEnd"/>
            <w:r w:rsidRPr="003E0254">
              <w:rPr>
                <w:bCs/>
                <w:sz w:val="20"/>
                <w:szCs w:val="20"/>
              </w:rPr>
              <w:t>CH</w:t>
            </w:r>
            <w:r w:rsidRPr="003E0254">
              <w:rPr>
                <w:bCs/>
                <w:sz w:val="20"/>
                <w:szCs w:val="20"/>
                <w:vertAlign w:val="subscript"/>
              </w:rPr>
              <w:t>3</w:t>
            </w:r>
            <w:r w:rsidRPr="003E0254">
              <w:rPr>
                <w:bCs/>
                <w:sz w:val="20"/>
                <w:szCs w:val="20"/>
              </w:rPr>
              <w:t>SO</w:t>
            </w:r>
            <w:r w:rsidRPr="003E0254">
              <w:rPr>
                <w:bCs/>
                <w:sz w:val="20"/>
                <w:szCs w:val="20"/>
                <w:vertAlign w:val="subscript"/>
              </w:rPr>
              <w:t>3</w:t>
            </w:r>
            <w:r w:rsidRPr="003E0254">
              <w:rPr>
                <w:bCs/>
                <w:sz w:val="20"/>
                <w:szCs w:val="20"/>
              </w:rPr>
              <w:t>)</w:t>
            </w:r>
            <w:r w:rsidRPr="003E0254">
              <w:rPr>
                <w:bCs/>
                <w:sz w:val="20"/>
                <w:szCs w:val="20"/>
                <w:vertAlign w:val="subscript"/>
              </w:rPr>
              <w:t>3</w:t>
            </w:r>
          </w:p>
        </w:tc>
        <w:tc>
          <w:tcPr>
            <w:tcW w:w="656" w:type="pct"/>
            <w:shd w:val="clear" w:color="auto" w:fill="92D050"/>
          </w:tcPr>
          <w:p w14:paraId="4ABFB06A" w14:textId="77777777" w:rsidR="00B53C39" w:rsidRPr="003E0254" w:rsidRDefault="00DA35C9">
            <w:pPr>
              <w:spacing w:line="276" w:lineRule="auto"/>
              <w:jc w:val="both"/>
              <w:rPr>
                <w:color w:val="000000" w:themeColor="text1"/>
                <w:sz w:val="20"/>
                <w:szCs w:val="20"/>
                <w:lang w:eastAsia="de-DE"/>
              </w:rPr>
            </w:pPr>
            <m:oMathPara>
              <m:oMath>
                <m:r>
                  <m:rPr>
                    <m:sty m:val="p"/>
                  </m:rPr>
                  <w:rPr>
                    <w:rFonts w:ascii="Cambria Math" w:hAnsi="Cambria Math" w:cs="Calibri"/>
                    <w:sz w:val="20"/>
                    <w:szCs w:val="20"/>
                    <w:lang w:eastAsia="de-DE"/>
                  </w:rPr>
                  <m:t>2</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Ce</m:t>
                    </m:r>
                  </m:e>
                  <m:sup>
                    <m:r>
                      <w:rPr>
                        <w:rFonts w:ascii="Cambria Math" w:hAnsi="Cambria Math" w:cs="Calibri"/>
                        <w:sz w:val="20"/>
                        <w:szCs w:val="20"/>
                        <w:lang w:eastAsia="de-DE"/>
                      </w:rPr>
                      <m:t>3+</m:t>
                    </m:r>
                  </m:sup>
                </m:sSup>
                <m:r>
                  <m:rPr>
                    <m:sty m:val="p"/>
                  </m:rPr>
                  <w:rPr>
                    <w:rFonts w:ascii="Cambria Math" w:hAnsi="Cambria Math" w:cs="Calibri"/>
                    <w:sz w:val="20"/>
                    <w:szCs w:val="20"/>
                    <w:lang w:eastAsia="de-DE"/>
                  </w:rPr>
                  <m:t xml:space="preserve"> +</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H</m:t>
                    </m:r>
                  </m:e>
                  <m:sub>
                    <m:r>
                      <w:rPr>
                        <w:rFonts w:ascii="Cambria Math" w:hAnsi="Cambria Math" w:cs="Calibri"/>
                        <w:sz w:val="20"/>
                        <w:szCs w:val="20"/>
                        <w:lang w:eastAsia="de-DE"/>
                      </w:rPr>
                      <m:t>2</m:t>
                    </m:r>
                  </m:sub>
                </m:sSub>
                <m:r>
                  <m:rPr>
                    <m:sty m:val="p"/>
                  </m:rPr>
                  <w:rPr>
                    <w:rFonts w:ascii="Cambria Math" w:hAnsi="Cambria Math" w:cs="Calibri"/>
                    <w:sz w:val="20"/>
                    <w:szCs w:val="20"/>
                    <w:lang w:eastAsia="de-DE"/>
                  </w:rPr>
                  <m:t xml:space="preserve">O ↔ </m:t>
                </m:r>
                <m:sSub>
                  <m:sSubPr>
                    <m:ctrlPr>
                      <w:rPr>
                        <w:rFonts w:ascii="Cambria Math" w:eastAsia="Cambria Math" w:hAnsi="Cambria Math" w:cs="Cambria Math"/>
                        <w:sz w:val="20"/>
                        <w:szCs w:val="20"/>
                        <w:lang w:eastAsia="de-DE"/>
                      </w:rPr>
                    </m:ctrlPr>
                  </m:sSubPr>
                  <m:e>
                    <m:r>
                      <m:rPr>
                        <m:sty m:val="p"/>
                      </m:rPr>
                      <w:rPr>
                        <w:rFonts w:ascii="Cambria Math" w:hAnsi="Cambria Math" w:cs="Calibri"/>
                        <w:sz w:val="20"/>
                        <w:szCs w:val="20"/>
                        <w:lang w:eastAsia="de-DE"/>
                      </w:rPr>
                      <m:t>Ce</m:t>
                    </m:r>
                  </m:e>
                  <m:sub>
                    <m:r>
                      <m:rPr>
                        <m:sty m:val="p"/>
                      </m:rPr>
                      <w:rPr>
                        <w:rFonts w:ascii="Cambria Math" w:hAnsi="Cambria Math" w:cs="Calibri"/>
                        <w:sz w:val="20"/>
                        <w:szCs w:val="20"/>
                        <w:lang w:eastAsia="de-DE"/>
                      </w:rPr>
                      <m:t>2</m:t>
                    </m:r>
                  </m:sub>
                </m:sSub>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O</m:t>
                    </m:r>
                  </m:e>
                  <m:sup>
                    <m:r>
                      <m:rPr>
                        <m:sty m:val="p"/>
                      </m:rPr>
                      <w:rPr>
                        <w:rFonts w:ascii="Cambria Math" w:hAnsi="Cambria Math" w:cs="Calibri"/>
                        <w:sz w:val="20"/>
                        <w:szCs w:val="20"/>
                        <w:lang w:eastAsia="de-DE"/>
                      </w:rPr>
                      <m:t>6+</m:t>
                    </m:r>
                  </m:sup>
                </m:sSup>
                <m:r>
                  <w:rPr>
                    <w:rFonts w:ascii="Cambria Math" w:hAnsi="Cambria Math" w:cs="Calibri"/>
                    <w:sz w:val="20"/>
                    <w:szCs w:val="20"/>
                    <w:lang w:eastAsia="de-DE"/>
                  </w:rPr>
                  <m:t>+</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2H</m:t>
                    </m:r>
                  </m:e>
                  <m:sup>
                    <m:r>
                      <m:rPr>
                        <m:sty m:val="p"/>
                      </m:rPr>
                      <w:rPr>
                        <w:rFonts w:ascii="Cambria Math" w:hAnsi="Cambria Math" w:cs="Calibri"/>
                        <w:sz w:val="20"/>
                        <w:szCs w:val="20"/>
                        <w:lang w:eastAsia="de-DE"/>
                      </w:rPr>
                      <m:t>+</m:t>
                    </m:r>
                  </m:sup>
                </m:sSup>
                <m:r>
                  <w:rPr>
                    <w:rFonts w:ascii="Cambria Math" w:hAnsi="Cambria Math" w:cs="Calibri"/>
                    <w:sz w:val="20"/>
                    <w:szCs w:val="20"/>
                    <w:lang w:eastAsia="de-DE"/>
                  </w:rPr>
                  <m:t>+2</m:t>
                </m:r>
                <m:sSup>
                  <m:sSupPr>
                    <m:ctrlPr>
                      <w:rPr>
                        <w:rFonts w:ascii="Cambria Math" w:eastAsia="Cambria Math" w:hAnsi="Cambria Math" w:cs="Cambria Math"/>
                        <w:sz w:val="20"/>
                        <w:szCs w:val="20"/>
                        <w:lang w:eastAsia="de-DE"/>
                      </w:rPr>
                    </m:ctrlPr>
                  </m:sSupPr>
                  <m:e>
                    <m:r>
                      <m:rPr>
                        <m:sty m:val="p"/>
                      </m:rPr>
                      <w:rPr>
                        <w:rFonts w:ascii="Cambria Math" w:hAnsi="Cambria Math" w:cs="Calibri"/>
                        <w:sz w:val="20"/>
                        <w:szCs w:val="20"/>
                        <w:lang w:eastAsia="de-DE"/>
                      </w:rPr>
                      <m:t>e</m:t>
                    </m:r>
                  </m:e>
                  <m:sup>
                    <m:r>
                      <w:rPr>
                        <w:rFonts w:ascii="Cambria Math" w:hAnsi="Cambria Math" w:cs="Calibri"/>
                        <w:sz w:val="20"/>
                        <w:szCs w:val="20"/>
                        <w:lang w:eastAsia="de-DE"/>
                      </w:rPr>
                      <m:t>-</m:t>
                    </m:r>
                  </m:sup>
                </m:sSup>
              </m:oMath>
            </m:oMathPara>
          </w:p>
          <w:p w14:paraId="17279CBB" w14:textId="77777777" w:rsidR="00B53C39" w:rsidRPr="003E0254" w:rsidRDefault="00B53C39">
            <w:pPr>
              <w:spacing w:line="276" w:lineRule="auto"/>
              <w:rPr>
                <w:bCs/>
                <w:sz w:val="20"/>
                <w:szCs w:val="20"/>
              </w:rPr>
            </w:pPr>
          </w:p>
        </w:tc>
        <w:tc>
          <w:tcPr>
            <w:tcW w:w="513" w:type="pct"/>
            <w:shd w:val="clear" w:color="auto" w:fill="92D050"/>
          </w:tcPr>
          <w:p w14:paraId="65B47DAF" w14:textId="77777777" w:rsidR="00B53C39" w:rsidRPr="003E0254" w:rsidRDefault="00DA35C9">
            <w:pPr>
              <w:spacing w:line="276" w:lineRule="auto"/>
              <w:rPr>
                <w:bCs/>
                <w:sz w:val="20"/>
                <w:szCs w:val="20"/>
              </w:rPr>
            </w:pPr>
            <w:r w:rsidRPr="003E0254">
              <w:rPr>
                <w:bCs/>
                <w:sz w:val="20"/>
                <w:szCs w:val="20"/>
              </w:rPr>
              <w:t xml:space="preserve">CEM: </w:t>
            </w:r>
          </w:p>
          <w:p w14:paraId="584694EA" w14:textId="77777777" w:rsidR="00B53C39" w:rsidRPr="003E0254" w:rsidRDefault="00DA35C9">
            <w:pPr>
              <w:spacing w:line="276" w:lineRule="auto"/>
              <w:rPr>
                <w:bCs/>
                <w:sz w:val="20"/>
                <w:szCs w:val="20"/>
              </w:rPr>
            </w:pPr>
            <w:proofErr w:type="spellStart"/>
            <w:r w:rsidRPr="003E0254">
              <w:rPr>
                <w:bCs/>
                <w:sz w:val="20"/>
                <w:szCs w:val="20"/>
              </w:rPr>
              <w:t>Nafion</w:t>
            </w:r>
            <w:proofErr w:type="spellEnd"/>
            <w:r w:rsidRPr="003E0254">
              <w:rPr>
                <w:bCs/>
                <w:sz w:val="20"/>
                <w:szCs w:val="20"/>
              </w:rPr>
              <w:t>® 1135</w:t>
            </w:r>
          </w:p>
        </w:tc>
        <w:tc>
          <w:tcPr>
            <w:tcW w:w="527" w:type="pct"/>
            <w:shd w:val="clear" w:color="auto" w:fill="92D050"/>
          </w:tcPr>
          <w:p w14:paraId="26CBB5E4" w14:textId="77777777" w:rsidR="00B53C39" w:rsidRPr="003E0254" w:rsidRDefault="00DA35C9">
            <w:pPr>
              <w:spacing w:line="276" w:lineRule="auto"/>
              <w:rPr>
                <w:bCs/>
                <w:sz w:val="20"/>
                <w:szCs w:val="20"/>
              </w:rPr>
            </w:pPr>
            <w:r w:rsidRPr="003E0254">
              <w:rPr>
                <w:bCs/>
                <w:sz w:val="20"/>
                <w:szCs w:val="20"/>
              </w:rPr>
              <w:t>Carbon-Polymer composite</w:t>
            </w:r>
          </w:p>
          <w:p w14:paraId="700DC058" w14:textId="77777777" w:rsidR="00B53C39" w:rsidRPr="003E0254" w:rsidRDefault="00B53C39">
            <w:pPr>
              <w:spacing w:line="276" w:lineRule="auto"/>
              <w:rPr>
                <w:bCs/>
                <w:sz w:val="20"/>
                <w:szCs w:val="20"/>
              </w:rPr>
            </w:pPr>
          </w:p>
        </w:tc>
        <w:tc>
          <w:tcPr>
            <w:tcW w:w="547" w:type="pct"/>
            <w:shd w:val="clear" w:color="auto" w:fill="92D050"/>
          </w:tcPr>
          <w:p w14:paraId="5A98EBF9" w14:textId="77777777" w:rsidR="00B53C39" w:rsidRPr="003E0254" w:rsidRDefault="00DA35C9">
            <w:pPr>
              <w:spacing w:line="276" w:lineRule="auto"/>
              <w:rPr>
                <w:bCs/>
                <w:sz w:val="20"/>
                <w:szCs w:val="20"/>
              </w:rPr>
            </w:pPr>
            <w:proofErr w:type="gramStart"/>
            <w:r w:rsidRPr="003E0254">
              <w:rPr>
                <w:sz w:val="20"/>
                <w:szCs w:val="20"/>
              </w:rPr>
              <w:t>Zn(</w:t>
            </w:r>
            <w:proofErr w:type="gramEnd"/>
            <w:r w:rsidRPr="003E0254">
              <w:rPr>
                <w:sz w:val="20"/>
                <w:szCs w:val="20"/>
              </w:rPr>
              <w:t>CH</w:t>
            </w:r>
            <w:r w:rsidRPr="003E0254">
              <w:rPr>
                <w:sz w:val="20"/>
                <w:szCs w:val="20"/>
                <w:vertAlign w:val="subscript"/>
              </w:rPr>
              <w:t>3</w:t>
            </w:r>
            <w:r w:rsidRPr="003E0254">
              <w:rPr>
                <w:sz w:val="20"/>
                <w:szCs w:val="20"/>
              </w:rPr>
              <w:t>SO</w:t>
            </w:r>
            <w:r w:rsidRPr="003E0254">
              <w:rPr>
                <w:sz w:val="20"/>
                <w:szCs w:val="20"/>
                <w:vertAlign w:val="subscript"/>
              </w:rPr>
              <w:t>3</w:t>
            </w:r>
            <w:r w:rsidRPr="003E0254">
              <w:rPr>
                <w:sz w:val="20"/>
                <w:szCs w:val="20"/>
              </w:rPr>
              <w:t>)</w:t>
            </w:r>
            <w:r w:rsidRPr="003E0254">
              <w:rPr>
                <w:sz w:val="20"/>
                <w:szCs w:val="20"/>
                <w:vertAlign w:val="subscript"/>
              </w:rPr>
              <w:t>3</w:t>
            </w:r>
          </w:p>
        </w:tc>
        <w:tc>
          <w:tcPr>
            <w:tcW w:w="493" w:type="pct"/>
            <w:vMerge/>
            <w:shd w:val="clear" w:color="auto" w:fill="92D050"/>
          </w:tcPr>
          <w:p w14:paraId="37A1A0F9" w14:textId="77777777" w:rsidR="00B53C39" w:rsidRPr="003E0254" w:rsidRDefault="00B53C39">
            <w:pPr>
              <w:spacing w:line="276" w:lineRule="auto"/>
              <w:rPr>
                <w:bCs/>
                <w:sz w:val="20"/>
                <w:szCs w:val="20"/>
              </w:rPr>
            </w:pPr>
          </w:p>
        </w:tc>
        <w:tc>
          <w:tcPr>
            <w:tcW w:w="295" w:type="pct"/>
            <w:shd w:val="clear" w:color="auto" w:fill="92D050"/>
          </w:tcPr>
          <w:p w14:paraId="4EA9516A" w14:textId="433977C7" w:rsidR="00B53C39" w:rsidRPr="003E0254" w:rsidRDefault="00DA35C9">
            <w:pPr>
              <w:spacing w:line="276" w:lineRule="auto"/>
              <w:rPr>
                <w:bCs/>
                <w:sz w:val="20"/>
                <w:szCs w:val="20"/>
              </w:rPr>
            </w:pPr>
            <w:r w:rsidRPr="003E0254">
              <w:rPr>
                <w:color w:val="000000" w:themeColor="text1"/>
                <w:sz w:val="20"/>
                <w:szCs w:val="20"/>
                <w:lang w:eastAsia="de-DE"/>
              </w:rPr>
              <w:t>Walsh et al.</w:t>
            </w:r>
            <w:r w:rsidR="000524B7" w:rsidRPr="003E0254">
              <w:rPr>
                <w:color w:val="000000" w:themeColor="text1"/>
                <w:sz w:val="20"/>
                <w:szCs w:val="20"/>
                <w:lang w:eastAsia="de-DE"/>
              </w:rPr>
              <w:fldChar w:fldCharType="begin" w:fldLock="1"/>
            </w:r>
            <w:r w:rsidR="00500B8D" w:rsidRPr="003E0254">
              <w:rPr>
                <w:color w:val="000000" w:themeColor="text1"/>
                <w:sz w:val="20"/>
                <w:szCs w:val="20"/>
                <w:lang w:eastAsia="de-DE"/>
              </w:rPr>
              <w:instrText>ADDIN CSL_CITATION {"citationItems":[{"id":"ITEM-1","itemData":{"DOI":"10.1002/cplu.201402103","ISSN":"2192-6506","abstract":"The Zn–Ce flow battery is a recently introduced hybrid redox flow battery (RFB) but has been extensively studied in the laboratory and at the industrial pilot scale since its introduction in 2005. The cell has the highest open</w:instrText>
            </w:r>
            <w:r w:rsidR="00500B8D" w:rsidRPr="003E0254">
              <w:rPr>
                <w:rFonts w:ascii="Cambria Math" w:hAnsi="Cambria Math" w:cs="Cambria Math"/>
                <w:color w:val="000000" w:themeColor="text1"/>
                <w:sz w:val="20"/>
                <w:szCs w:val="20"/>
                <w:lang w:eastAsia="de-DE"/>
              </w:rPr>
              <w:instrText>‐</w:instrText>
            </w:r>
            <w:r w:rsidR="00500B8D" w:rsidRPr="003E0254">
              <w:rPr>
                <w:color w:val="000000" w:themeColor="text1"/>
                <w:sz w:val="20"/>
                <w:szCs w:val="20"/>
                <w:lang w:eastAsia="de-DE"/>
              </w:rPr>
              <w:instrText>circuit cell potentials amongst aqueous RFBs, which can exceed 2.4 V at full charge. Although original patents were filed in 2004 and 2005, the history of the half</w:instrText>
            </w:r>
            <w:r w:rsidR="00500B8D" w:rsidRPr="003E0254">
              <w:rPr>
                <w:rFonts w:ascii="Cambria Math" w:hAnsi="Cambria Math" w:cs="Cambria Math"/>
                <w:color w:val="000000" w:themeColor="text1"/>
                <w:sz w:val="20"/>
                <w:szCs w:val="20"/>
                <w:lang w:eastAsia="de-DE"/>
              </w:rPr>
              <w:instrText>‐</w:instrText>
            </w:r>
            <w:r w:rsidR="00500B8D" w:rsidRPr="003E0254">
              <w:rPr>
                <w:color w:val="000000" w:themeColor="text1"/>
                <w:sz w:val="20"/>
                <w:szCs w:val="20"/>
                <w:lang w:eastAsia="de-DE"/>
              </w:rPr>
              <w:instrText>cell reactions stretches back many decades, with the Ce IV /Ce III redox couple being well studied in sulfuric acid as a redox mediator in organic electrosynthesis or in nitric acid for specialist cleaning in the chemical and nuclear industries; in addition, zinc deposition and stripping in acid media are well known in hydrometallurgy and electroplating of metals as well as in other secondary batteries using zinc negative electrodes. Methanesulfonic acid electrolytes were introduced in surface finishing several decades ago but their use in flow batteries is only 20 years old. This Review considers the thermodynamics and kinetics of the electrode reactions (desired and secondary) in each half</w:instrText>
            </w:r>
            <w:r w:rsidR="00500B8D" w:rsidRPr="003E0254">
              <w:rPr>
                <w:rFonts w:ascii="Cambria Math" w:hAnsi="Cambria Math" w:cs="Cambria Math"/>
                <w:color w:val="000000" w:themeColor="text1"/>
                <w:sz w:val="20"/>
                <w:szCs w:val="20"/>
                <w:lang w:eastAsia="de-DE"/>
              </w:rPr>
              <w:instrText>‐</w:instrText>
            </w:r>
            <w:r w:rsidR="00500B8D" w:rsidRPr="003E0254">
              <w:rPr>
                <w:color w:val="000000" w:themeColor="text1"/>
                <w:sz w:val="20"/>
                <w:szCs w:val="20"/>
                <w:lang w:eastAsia="de-DE"/>
              </w:rPr>
              <w:instrText>cell, operational variables, materials for cell components, cell design and performance of the zinc</w:instrText>
            </w:r>
            <w:r w:rsidR="00500B8D" w:rsidRPr="003E0254">
              <w:rPr>
                <w:rFonts w:ascii="Aptos" w:hAnsi="Aptos" w:cs="Aptos"/>
                <w:color w:val="000000" w:themeColor="text1"/>
                <w:sz w:val="20"/>
                <w:szCs w:val="20"/>
                <w:lang w:eastAsia="de-DE"/>
              </w:rPr>
              <w:instrText>–</w:instrText>
            </w:r>
            <w:r w:rsidR="00500B8D" w:rsidRPr="003E0254">
              <w:rPr>
                <w:color w:val="000000" w:themeColor="text1"/>
                <w:sz w:val="20"/>
                <w:szCs w:val="20"/>
                <w:lang w:eastAsia="de-DE"/>
              </w:rPr>
              <w:instrText>cerium flow battery. Continuing challenges are highlighted and critical research needs for the science and technological development are considered.","author":[{"dropping-particle":"","family":"Walsh","given":"Frank C.","non-dropping-particle":"","parse-names":false,"suffix":""},{"dropping-particle":"","family":"Ponce de Léon","given":"Carlos","non-dropping-particle":"","parse-names":false,"suffix":""},{"dropping-particle":"","family":"Berlouis","given":"Len","non-dropping-particle":"","parse-names":false,"suffix":""},{"dropping-particle":"","family":"Nikiforidis","given":"George","non-dropping-particle":"","parse-names":false,"suffix":""},{"dropping-particle":"","family":"Arenas</w:instrText>
            </w:r>
            <w:r w:rsidR="00500B8D" w:rsidRPr="003E0254">
              <w:rPr>
                <w:rFonts w:ascii="Cambria Math" w:hAnsi="Cambria Math" w:cs="Cambria Math"/>
                <w:color w:val="000000" w:themeColor="text1"/>
                <w:sz w:val="20"/>
                <w:szCs w:val="20"/>
                <w:lang w:eastAsia="de-DE"/>
              </w:rPr>
              <w:instrText>‐</w:instrText>
            </w:r>
            <w:r w:rsidR="00500B8D" w:rsidRPr="003E0254">
              <w:rPr>
                <w:color w:val="000000" w:themeColor="text1"/>
                <w:sz w:val="20"/>
                <w:szCs w:val="20"/>
                <w:lang w:eastAsia="de-DE"/>
              </w:rPr>
              <w:instrText>Mart</w:instrText>
            </w:r>
            <w:r w:rsidR="00500B8D" w:rsidRPr="003E0254">
              <w:rPr>
                <w:rFonts w:ascii="Aptos" w:hAnsi="Aptos" w:cs="Aptos"/>
                <w:color w:val="000000" w:themeColor="text1"/>
                <w:sz w:val="20"/>
                <w:szCs w:val="20"/>
                <w:lang w:eastAsia="de-DE"/>
              </w:rPr>
              <w:instrText>í</w:instrText>
            </w:r>
            <w:r w:rsidR="00500B8D" w:rsidRPr="003E0254">
              <w:rPr>
                <w:color w:val="000000" w:themeColor="text1"/>
                <w:sz w:val="20"/>
                <w:szCs w:val="20"/>
                <w:lang w:eastAsia="de-DE"/>
              </w:rPr>
              <w:instrText>nez","given":"Luis F.","non-dropping-particle":"","parse-names":false,"suffix":""},{"dropping-particle":"","family":"Hodgson","given":"David","non-dropping-particle":"","parse-names":false,"suffix":""},{"dropping-particle":"","family":"Hall","given":"David","non-dropping-particle":"","parse-names":false,"suffix":""}],"container-title":"ChemPlusChem","id":"ITEM-1","issue":"2","issued":{"date-parts":[["2015","2","13"]]},"page":"288-311","publisher":"John Wiley &amp; Sons, Ltd","title":"The Development of Zn–Ce Hybrid Redox Flow Batteries for Energy Storage and Their Continuing Challenges","type":"article-journal","volume":"80"},"uris":["http://www.mendeley.com/documents/?uuid=77883aad-d24a-36c3-ae4d-1ef787a36ec4"]}],"mendeley":{"formattedCitation":"&lt;sup&gt;[255]&lt;/sup&gt;","plainTextFormattedCitation":"[255]","previouslyFormattedCitation":"&lt;sup&gt;[254]&lt;/sup&gt;"},"properties":{"noteIndex":0},"schema":"https://github.com/citation-style-language/schema/raw/master/csl-citation.json"}</w:instrText>
            </w:r>
            <w:r w:rsidR="000524B7" w:rsidRPr="003E0254">
              <w:rPr>
                <w:color w:val="000000" w:themeColor="text1"/>
                <w:sz w:val="20"/>
                <w:szCs w:val="20"/>
                <w:lang w:eastAsia="de-DE"/>
              </w:rPr>
              <w:fldChar w:fldCharType="separate"/>
            </w:r>
            <w:r w:rsidR="00500B8D" w:rsidRPr="003E0254">
              <w:rPr>
                <w:noProof/>
                <w:color w:val="000000" w:themeColor="text1"/>
                <w:sz w:val="20"/>
                <w:szCs w:val="20"/>
                <w:vertAlign w:val="superscript"/>
                <w:lang w:eastAsia="de-DE"/>
              </w:rPr>
              <w:t>[255]</w:t>
            </w:r>
            <w:r w:rsidR="000524B7" w:rsidRPr="003E0254">
              <w:rPr>
                <w:color w:val="000000" w:themeColor="text1"/>
                <w:sz w:val="20"/>
                <w:szCs w:val="20"/>
                <w:lang w:eastAsia="de-DE"/>
              </w:rPr>
              <w:fldChar w:fldCharType="end"/>
            </w:r>
            <w:r w:rsidRPr="003E0254">
              <w:rPr>
                <w:color w:val="000000" w:themeColor="text1"/>
                <w:sz w:val="20"/>
                <w:szCs w:val="20"/>
                <w:lang w:eastAsia="de-DE"/>
              </w:rPr>
              <w:t xml:space="preserve"> </w:t>
            </w:r>
          </w:p>
        </w:tc>
      </w:tr>
      <w:tr w:rsidR="00B53C39" w:rsidRPr="003E0254" w14:paraId="37DA9F3D" w14:textId="77777777">
        <w:tc>
          <w:tcPr>
            <w:tcW w:w="419" w:type="pct"/>
            <w:vMerge/>
            <w:shd w:val="clear" w:color="auto" w:fill="92D050"/>
            <w:vAlign w:val="center"/>
          </w:tcPr>
          <w:p w14:paraId="277CD259" w14:textId="77777777" w:rsidR="00B53C39" w:rsidRPr="003E0254" w:rsidRDefault="00B53C39">
            <w:pPr>
              <w:spacing w:line="276" w:lineRule="auto"/>
              <w:jc w:val="center"/>
              <w:rPr>
                <w:b/>
                <w:bCs/>
                <w:sz w:val="20"/>
                <w:szCs w:val="20"/>
                <w:u w:val="single"/>
              </w:rPr>
            </w:pPr>
          </w:p>
        </w:tc>
        <w:tc>
          <w:tcPr>
            <w:tcW w:w="488" w:type="pct"/>
            <w:shd w:val="clear" w:color="auto" w:fill="92D050"/>
          </w:tcPr>
          <w:p w14:paraId="7A9E76DF" w14:textId="77777777" w:rsidR="00B53C39" w:rsidRPr="003E0254" w:rsidRDefault="00DA35C9">
            <w:pPr>
              <w:spacing w:line="276" w:lineRule="auto"/>
              <w:rPr>
                <w:bCs/>
                <w:sz w:val="20"/>
                <w:szCs w:val="20"/>
              </w:rPr>
            </w:pPr>
            <w:r w:rsidRPr="003E0254">
              <w:rPr>
                <w:bCs/>
                <w:sz w:val="20"/>
                <w:szCs w:val="20"/>
              </w:rPr>
              <w:t>Zn-organic</w:t>
            </w:r>
          </w:p>
        </w:tc>
        <w:tc>
          <w:tcPr>
            <w:tcW w:w="455" w:type="pct"/>
            <w:shd w:val="clear" w:color="auto" w:fill="92D050"/>
          </w:tcPr>
          <w:p w14:paraId="2C434159" w14:textId="77777777" w:rsidR="00B53C39" w:rsidRPr="003E0254" w:rsidRDefault="00DA35C9">
            <w:pPr>
              <w:spacing w:line="276" w:lineRule="auto"/>
              <w:rPr>
                <w:bCs/>
                <w:sz w:val="20"/>
                <w:szCs w:val="20"/>
              </w:rPr>
            </w:pPr>
            <w:r w:rsidRPr="003E0254">
              <w:rPr>
                <w:bCs/>
                <w:sz w:val="20"/>
                <w:szCs w:val="20"/>
              </w:rPr>
              <w:t>Carbon felt</w:t>
            </w:r>
          </w:p>
        </w:tc>
        <w:tc>
          <w:tcPr>
            <w:tcW w:w="607" w:type="pct"/>
            <w:shd w:val="clear" w:color="auto" w:fill="92D050"/>
          </w:tcPr>
          <w:p w14:paraId="2B2EC262" w14:textId="77777777" w:rsidR="00B53C39" w:rsidRPr="003E0254" w:rsidRDefault="00DA35C9">
            <w:pPr>
              <w:spacing w:line="276" w:lineRule="auto"/>
              <w:rPr>
                <w:bCs/>
                <w:sz w:val="20"/>
                <w:szCs w:val="20"/>
              </w:rPr>
            </w:pPr>
            <w:r w:rsidRPr="003E0254">
              <w:rPr>
                <w:bCs/>
                <w:sz w:val="20"/>
                <w:szCs w:val="20"/>
              </w:rPr>
              <w:t>TEMPOL</w:t>
            </w:r>
          </w:p>
        </w:tc>
        <w:tc>
          <w:tcPr>
            <w:tcW w:w="656" w:type="pct"/>
            <w:shd w:val="clear" w:color="auto" w:fill="92D050"/>
            <w:vAlign w:val="center"/>
          </w:tcPr>
          <w:p w14:paraId="3BE3F548" w14:textId="77777777" w:rsidR="00B53C39" w:rsidRPr="003E0254" w:rsidRDefault="00DA35C9">
            <w:pPr>
              <w:spacing w:line="276" w:lineRule="auto"/>
              <w:jc w:val="center"/>
              <w:rPr>
                <w:bCs/>
                <w:sz w:val="20"/>
                <w:szCs w:val="20"/>
              </w:rPr>
            </w:pPr>
            <w:r w:rsidRPr="003E0254">
              <w:rPr>
                <w:sz w:val="20"/>
                <w:szCs w:val="20"/>
              </w:rPr>
              <w:object w:dxaOrig="2203" w:dyaOrig="1099" w14:anchorId="1CBE9437">
                <v:shape id="_x0000_i1027" type="#_x0000_t75" style="width:74.25pt;height:34.5pt;mso-wrap-distance-left:0;mso-wrap-distance-top:0;mso-wrap-distance-right:0;mso-wrap-distance-bottom:0" o:ole="">
                  <v:imagedata r:id="rId63" o:title=""/>
                  <o:lock v:ext="edit" rotation="t"/>
                </v:shape>
                <o:OLEObject Type="Embed" ProgID="ChemDraw.Document.6.0" ShapeID="_x0000_i1027" DrawAspect="Content" ObjectID="_1813054510" r:id="rId64"/>
              </w:object>
            </w:r>
          </w:p>
        </w:tc>
        <w:tc>
          <w:tcPr>
            <w:tcW w:w="513" w:type="pct"/>
            <w:shd w:val="clear" w:color="auto" w:fill="92D050"/>
          </w:tcPr>
          <w:p w14:paraId="3F465117" w14:textId="77777777" w:rsidR="00B53C39" w:rsidRPr="003E0254" w:rsidRDefault="00DA35C9">
            <w:pPr>
              <w:spacing w:line="276" w:lineRule="auto"/>
              <w:rPr>
                <w:bCs/>
                <w:sz w:val="20"/>
                <w:szCs w:val="20"/>
              </w:rPr>
            </w:pPr>
            <w:r w:rsidRPr="003E0254">
              <w:rPr>
                <w:bCs/>
                <w:sz w:val="20"/>
                <w:szCs w:val="20"/>
              </w:rPr>
              <w:t xml:space="preserve">CEM: </w:t>
            </w:r>
            <w:proofErr w:type="spellStart"/>
            <w:r w:rsidRPr="003E0254">
              <w:rPr>
                <w:bCs/>
                <w:sz w:val="20"/>
                <w:szCs w:val="20"/>
              </w:rPr>
              <w:t>Nafion</w:t>
            </w:r>
            <w:proofErr w:type="spellEnd"/>
            <w:r w:rsidRPr="003E0254">
              <w:rPr>
                <w:bCs/>
                <w:sz w:val="20"/>
                <w:szCs w:val="20"/>
              </w:rPr>
              <w:t>® or AEM:</w:t>
            </w:r>
          </w:p>
          <w:p w14:paraId="07A1AA36" w14:textId="77777777" w:rsidR="00B53C39" w:rsidRPr="003E0254" w:rsidRDefault="00DA35C9">
            <w:pPr>
              <w:spacing w:line="276" w:lineRule="auto"/>
              <w:rPr>
                <w:bCs/>
                <w:sz w:val="20"/>
                <w:szCs w:val="20"/>
              </w:rPr>
            </w:pPr>
            <w:r w:rsidRPr="003E0254">
              <w:rPr>
                <w:bCs/>
                <w:sz w:val="20"/>
                <w:szCs w:val="20"/>
              </w:rPr>
              <w:t>SELEMION</w:t>
            </w:r>
          </w:p>
        </w:tc>
        <w:tc>
          <w:tcPr>
            <w:tcW w:w="527" w:type="pct"/>
            <w:shd w:val="clear" w:color="auto" w:fill="92D050"/>
          </w:tcPr>
          <w:p w14:paraId="600B9EB3" w14:textId="77777777" w:rsidR="00B53C39" w:rsidRPr="003E0254" w:rsidRDefault="00DA35C9">
            <w:pPr>
              <w:spacing w:line="276" w:lineRule="auto"/>
              <w:rPr>
                <w:bCs/>
                <w:sz w:val="20"/>
                <w:szCs w:val="20"/>
              </w:rPr>
            </w:pPr>
            <w:r w:rsidRPr="003E0254">
              <w:rPr>
                <w:bCs/>
                <w:sz w:val="20"/>
                <w:szCs w:val="20"/>
              </w:rPr>
              <w:t>Zinc foil</w:t>
            </w:r>
          </w:p>
        </w:tc>
        <w:tc>
          <w:tcPr>
            <w:tcW w:w="547" w:type="pct"/>
            <w:shd w:val="clear" w:color="auto" w:fill="92D050"/>
          </w:tcPr>
          <w:p w14:paraId="38D42500" w14:textId="77777777" w:rsidR="00B53C39" w:rsidRPr="003E0254" w:rsidRDefault="00DA35C9">
            <w:pPr>
              <w:spacing w:line="276" w:lineRule="auto"/>
              <w:rPr>
                <w:bCs/>
                <w:sz w:val="20"/>
                <w:szCs w:val="20"/>
                <w:vertAlign w:val="subscript"/>
              </w:rPr>
            </w:pPr>
            <w:r w:rsidRPr="003E0254">
              <w:rPr>
                <w:bCs/>
                <w:sz w:val="20"/>
                <w:szCs w:val="20"/>
              </w:rPr>
              <w:t>ZnAc</w:t>
            </w:r>
            <w:r w:rsidRPr="003E0254">
              <w:rPr>
                <w:bCs/>
                <w:sz w:val="20"/>
                <w:szCs w:val="20"/>
                <w:vertAlign w:val="subscript"/>
              </w:rPr>
              <w:t>2</w:t>
            </w:r>
          </w:p>
        </w:tc>
        <w:tc>
          <w:tcPr>
            <w:tcW w:w="493" w:type="pct"/>
            <w:vMerge/>
            <w:shd w:val="clear" w:color="auto" w:fill="92D050"/>
          </w:tcPr>
          <w:p w14:paraId="3D9C4106" w14:textId="77777777" w:rsidR="00B53C39" w:rsidRPr="003E0254" w:rsidRDefault="00B53C39">
            <w:pPr>
              <w:spacing w:line="276" w:lineRule="auto"/>
              <w:rPr>
                <w:bCs/>
                <w:sz w:val="20"/>
                <w:szCs w:val="20"/>
              </w:rPr>
            </w:pPr>
          </w:p>
        </w:tc>
        <w:tc>
          <w:tcPr>
            <w:tcW w:w="295" w:type="pct"/>
            <w:shd w:val="clear" w:color="auto" w:fill="92D050"/>
          </w:tcPr>
          <w:p w14:paraId="2E775CB8" w14:textId="29C3CC6A" w:rsidR="00B53C39" w:rsidRPr="003E0254" w:rsidRDefault="00DA35C9">
            <w:pPr>
              <w:spacing w:line="276" w:lineRule="auto"/>
              <w:rPr>
                <w:bCs/>
                <w:sz w:val="20"/>
                <w:szCs w:val="20"/>
              </w:rPr>
            </w:pPr>
            <w:r w:rsidRPr="003E0254">
              <w:rPr>
                <w:bCs/>
                <w:sz w:val="20"/>
                <w:szCs w:val="20"/>
              </w:rPr>
              <w:t>Orita et al.</w:t>
            </w:r>
            <w:r w:rsidR="000524B7" w:rsidRPr="003E0254">
              <w:rPr>
                <w:bCs/>
                <w:sz w:val="20"/>
                <w:szCs w:val="20"/>
              </w:rPr>
              <w:fldChar w:fldCharType="begin" w:fldLock="1"/>
            </w:r>
            <w:r w:rsidR="00500B8D" w:rsidRPr="003E0254">
              <w:rPr>
                <w:bCs/>
                <w:sz w:val="20"/>
                <w:szCs w:val="20"/>
              </w:rPr>
              <w:instrText>ADDIN CSL_CITATION {"citationItems":[{"id":"ITEM-1","itemData":{"DOI":"10.1016/J.JPOWSOUR.2016.04.136","ISSN":"0378-7753","abstract":"Electrochemical and UV-VIS measurements demonstrate that the pH value of a 4-hydroxy-2,2,6,6-tetramethyl-1-pipperidinyloxyl (TEMPOL) electrolyte significantly impacts its redox reversibility. The diffusion coefficient and kinetic rate constant of TEMPOL in neutral aqueous solution are determined and shown to be comparable to those of vanadium ions used for industrially utilized redox flow batteries (RFBs). RFBs that incorporate a TEMPOL catholyte and Zn-based anolyte have an average voltage of 1.46 V and an energy efficiency of 80.4% during the initial cycle, when subject to a constant current of 10 mA cm-2. We demonstrate several factors that significantly influence the concentration and capacity retention of TEMPOL upon cycling; namely, pH and atmospheric gases dissolved in electrolyte. We expand upon the known reactions of TEMPOL in aqueous electrolyte and propose several concepts to improve its electrochemical performance in a RFB. Controlling these factors will be the key to enable the successful implementation of this relatively inexpensive and environmentally friendly battery.","author":[{"dropping-particle":"","family":"Orita","given":"A.","non-dropping-particle":"","parse-names":false,"suffix":""},{"dropping-particle":"","family":"Verde","given":"M. G.","non-dropping-particle":"","parse-names":false,"suffix":""},{"dropping-particle":"","family":"Sakai","given":"M.","non-dropping-particle":"","parse-names":false,"suffix":""},{"dropping-particle":"","family":"Meng","given":"Y. S.","non-dropping-particle":"","parse-names":false,"suffix":""}],"container-title":"Journal of Power Sources","id":"ITEM-1","issued":{"date-parts":[["2016","7","30"]]},"page":"126-134","publisher":"Elsevier","title":"The impact of pH on side reactions for aqueous redox flow batteries based on nitroxyl radical compounds","type":"article-journal","volume":"321"},"uris":["http://www.mendeley.com/documents/?uuid=f2df5c40-c239-346c-82c1-afe2ced34eff"]}],"mendeley":{"formattedCitation":"&lt;sup&gt;[281]&lt;/sup&gt;","plainTextFormattedCitation":"[281]","previouslyFormattedCitation":"&lt;sup&gt;[280]&lt;/sup&gt;"},"properties":{"noteIndex":0},"schema":"https://github.com/citation-style-language/schema/raw/master/csl-citation.json"}</w:instrText>
            </w:r>
            <w:r w:rsidR="000524B7" w:rsidRPr="003E0254">
              <w:rPr>
                <w:bCs/>
                <w:sz w:val="20"/>
                <w:szCs w:val="20"/>
              </w:rPr>
              <w:fldChar w:fldCharType="separate"/>
            </w:r>
            <w:r w:rsidR="00500B8D" w:rsidRPr="003E0254">
              <w:rPr>
                <w:bCs/>
                <w:noProof/>
                <w:sz w:val="20"/>
                <w:szCs w:val="20"/>
                <w:vertAlign w:val="superscript"/>
              </w:rPr>
              <w:t>[281]</w:t>
            </w:r>
            <w:r w:rsidR="000524B7" w:rsidRPr="003E0254">
              <w:rPr>
                <w:bCs/>
                <w:sz w:val="20"/>
                <w:szCs w:val="20"/>
              </w:rPr>
              <w:fldChar w:fldCharType="end"/>
            </w:r>
          </w:p>
        </w:tc>
      </w:tr>
    </w:tbl>
    <w:p w14:paraId="591BB3E3" w14:textId="77777777" w:rsidR="00B53C39" w:rsidRPr="003E0254" w:rsidRDefault="00B53C39">
      <w:pPr>
        <w:spacing w:line="276" w:lineRule="auto"/>
        <w:sectPr w:rsidR="00B53C39" w:rsidRPr="003E0254">
          <w:pgSz w:w="15840" w:h="12240" w:orient="landscape"/>
          <w:pgMar w:top="1440" w:right="1440" w:bottom="1440" w:left="1440" w:header="720" w:footer="720" w:gutter="0"/>
          <w:cols w:space="720"/>
        </w:sectPr>
      </w:pPr>
    </w:p>
    <w:p w14:paraId="54DBCE8B" w14:textId="5AD3F959" w:rsidR="00B53C39" w:rsidRPr="003E0254" w:rsidRDefault="00DA35C9">
      <w:pPr>
        <w:pStyle w:val="berschrift4"/>
        <w:spacing w:line="276" w:lineRule="auto"/>
        <w:rPr>
          <w:b/>
          <w:bCs/>
          <w:i w:val="0"/>
          <w:iCs w:val="0"/>
        </w:rPr>
      </w:pPr>
      <w:bookmarkStart w:id="11" w:name="_Hlk189809283"/>
      <w:r w:rsidRPr="003E0254">
        <w:rPr>
          <w:b/>
          <w:bCs/>
          <w:i w:val="0"/>
          <w:iCs w:val="0"/>
        </w:rPr>
        <w:lastRenderedPageBreak/>
        <w:t>2.</w:t>
      </w:r>
      <w:r w:rsidR="003E4F58" w:rsidRPr="003E0254">
        <w:rPr>
          <w:b/>
          <w:bCs/>
          <w:i w:val="0"/>
          <w:iCs w:val="0"/>
        </w:rPr>
        <w:t>5</w:t>
      </w:r>
      <w:r w:rsidRPr="003E0254">
        <w:rPr>
          <w:b/>
          <w:bCs/>
          <w:i w:val="0"/>
          <w:iCs w:val="0"/>
        </w:rPr>
        <w:t xml:space="preserve">.3 </w:t>
      </w:r>
      <w:r w:rsidR="0060471C" w:rsidRPr="003E0254">
        <w:rPr>
          <w:b/>
          <w:bCs/>
          <w:i w:val="0"/>
          <w:iCs w:val="0"/>
        </w:rPr>
        <w:t>Electrolytes</w:t>
      </w:r>
    </w:p>
    <w:p w14:paraId="1F9F5DC1" w14:textId="4C9FB9F7" w:rsidR="000602BF" w:rsidRPr="003E0254" w:rsidRDefault="009F4519" w:rsidP="000602BF">
      <w:pPr>
        <w:spacing w:line="276" w:lineRule="auto"/>
        <w:jc w:val="both"/>
      </w:pPr>
      <w:r w:rsidRPr="003E0254">
        <w:t>The e</w:t>
      </w:r>
      <w:r w:rsidR="000602BF" w:rsidRPr="003E0254">
        <w:t xml:space="preserve">lectrolyte formulation </w:t>
      </w:r>
      <w:r w:rsidR="00097781" w:rsidRPr="003E0254">
        <w:t xml:space="preserve">is </w:t>
      </w:r>
      <w:r w:rsidR="00B300CF" w:rsidRPr="003E0254">
        <w:t xml:space="preserve">fundamental </w:t>
      </w:r>
      <w:r w:rsidR="00097781" w:rsidRPr="003E0254">
        <w:t>in regulating</w:t>
      </w:r>
      <w:r w:rsidR="00B300CF" w:rsidRPr="003E0254">
        <w:t xml:space="preserve"> the</w:t>
      </w:r>
      <w:r w:rsidR="000602BF" w:rsidRPr="003E0254">
        <w:t xml:space="preserve"> cell voltage, zinc deposition behavior, and overall cycl</w:t>
      </w:r>
      <w:r w:rsidRPr="003E0254">
        <w:t>ing</w:t>
      </w:r>
      <w:r w:rsidR="000602BF" w:rsidRPr="003E0254">
        <w:t xml:space="preserve"> stability in zinc</w:t>
      </w:r>
      <w:r w:rsidR="000602BF" w:rsidRPr="003E0254">
        <w:rPr>
          <w:rFonts w:ascii="Cambria Math" w:hAnsi="Cambria Math" w:cs="Cambria Math"/>
        </w:rPr>
        <w:t>‐</w:t>
      </w:r>
      <w:r w:rsidR="000602BF" w:rsidRPr="003E0254">
        <w:t>based redox flow batteries. In aqueous systems, salts</w:t>
      </w:r>
      <w:r w:rsidR="00C95A14" w:rsidRPr="003E0254">
        <w:t>,</w:t>
      </w:r>
      <w:r w:rsidR="000602BF" w:rsidRPr="003E0254">
        <w:t xml:space="preserve"> such as </w:t>
      </w:r>
      <w:proofErr w:type="spellStart"/>
      <w:r w:rsidR="000602BF" w:rsidRPr="003E0254">
        <w:t>ZnSO</w:t>
      </w:r>
      <w:proofErr w:type="spellEnd"/>
      <w:r w:rsidR="000602BF" w:rsidRPr="003E0254">
        <w:rPr>
          <w:rFonts w:ascii="Aptos" w:hAnsi="Aptos" w:cs="Aptos"/>
        </w:rPr>
        <w:t>₄</w:t>
      </w:r>
      <w:r w:rsidR="000602BF" w:rsidRPr="003E0254">
        <w:t xml:space="preserve"> or </w:t>
      </w:r>
      <w:proofErr w:type="spellStart"/>
      <w:r w:rsidR="000602BF" w:rsidRPr="003E0254">
        <w:t>ZnCl</w:t>
      </w:r>
      <w:proofErr w:type="spellEnd"/>
      <w:r w:rsidR="000602BF" w:rsidRPr="003E0254">
        <w:rPr>
          <w:rFonts w:ascii="Aptos" w:hAnsi="Aptos" w:cs="Aptos"/>
        </w:rPr>
        <w:t>₂</w:t>
      </w:r>
      <w:r w:rsidR="00C95A14" w:rsidRPr="003E0254">
        <w:rPr>
          <w:rFonts w:ascii="Aptos" w:hAnsi="Aptos" w:cs="Aptos"/>
        </w:rPr>
        <w:t>,</w:t>
      </w:r>
      <w:r w:rsidR="000602BF" w:rsidRPr="003E0254">
        <w:t xml:space="preserve"> are typically dissolved in water with the pH adjusted to alkaline, neutral, or mildly acidic conditions to suit different redox chemistries. For example, in an alkaline Br</w:t>
      </w:r>
      <w:r w:rsidR="000602BF" w:rsidRPr="003E0254">
        <w:rPr>
          <w:rFonts w:ascii="Aptos" w:hAnsi="Aptos" w:cs="Aptos"/>
        </w:rPr>
        <w:t>₂</w:t>
      </w:r>
      <w:r w:rsidR="00996CC5" w:rsidRPr="003E0254">
        <w:rPr>
          <w:lang w:eastAsia="de-DE"/>
        </w:rPr>
        <w:t>||Zn</w:t>
      </w:r>
      <w:r w:rsidR="000602BF" w:rsidRPr="003E0254">
        <w:t xml:space="preserve"> cell,</w:t>
      </w:r>
      <w:r w:rsidR="003034F6" w:rsidRPr="003E0254">
        <w:fldChar w:fldCharType="begin" w:fldLock="1"/>
      </w:r>
      <w:r w:rsidR="00500B8D" w:rsidRPr="003E0254">
        <w:instrText>ADDIN CSL_CITATION {"citationItems":[{"id":"ITEM-1","itemData":{"DOI":"10.1016/J.ELECTACTA.2022.141799","ISSN":"0013-4686","abstract":"Environmentally benign, affordable alkaline Zn(OH)42−/Zn redox flow battery (RFB) remain a promising energy storage system for stationary applications owing to it's two electron transfer abilities having redox potential (-1.26 V vs SHE) with 820 Ahkg−1 theoretical capacity. It is hypothesized that meticulously tailoring the pH of the anolyte from neutral to alkaline medium could significantly lower the redox potential of zinc from -0.76 V vs standard hydrogen potential (SHE) to -1.26 V adding 500 mV to the conventional RFB systems significantly improving overall energy density. Herein, a new hybrid alkaline based ZnBr2 redox flow battery (AZBB) is demonstrated by pairing Zn(OH)42−/Zn redox couple as anolyte with 2Br−/Br2 redox couple as catholyte with exceptionally high (2.34 V) cell voltage. Very interestingly, AZBB shows a higher charging voltage of 2.47 V and discharge voltage of 2.1 V at current density of 40 mA cm−2 with 88 % coulombic efficiency, 79 % voltage efficiency and 70 % energy efficiency. Even at high current density of 120 mA cm−2, the AZBB shows a coulombic efficiency of 90 %, voltage efficiency of 52% and energy efficiency 46 % with the high discharge voltage of 1.75 V. More importantly, the new hybrid alkaline based ZnBr2 redox flow battery stably runs 500 cycles at 20 mA cm−2 with the coulombic efficiency of 73 %, voltage efficiency of 80 % and energy efficiency of 58 %. Thus, the new strategy of fine tuning the pH of electrolytes leads to an efficient route to achieve higher cell voltage with 27 % high energy density RFB systems.","author":[{"dropping-particle":"","family":"Thamizhselvan","given":"Rahul","non-dropping-particle":"","parse-names":false,"suffix":""},{"dropping-particle":"","family":"Naresh","given":"Raghupandiyan","non-dropping-particle":"","parse-names":false,"suffix":""},{"dropping-particle":"","family":"Ulaganathan","given":"Mani","non-dropping-particle":"","parse-names":false,"suffix":""},{"dropping-particle":"","family":"Pol","given":"Vilas G.","non-dropping-particle":"","parse-names":false,"suffix":""},{"dropping-particle":"","family":"Ragupathy","given":"Pitchai","non-dropping-particle":"","parse-names":false,"suffix":""}],"container-title":"Electrochimica Acta","id":"ITEM-1","issued":{"date-parts":[["2023","2","10"]]},"page":"141799","publisher":"Pergamon","title":"Achieving Exceptional Cell Voltage (2.34 V) through Tailoring pH of Aqueous Zn-Br2 Redox Flow Battery for Potential Large-Scale Energy Storage","type":"article-journal","volume":"441"},"uris":["http://www.mendeley.com/documents/?uuid=4ce32a48-d9c4-30e7-a0a3-6286d942a146"]}],"mendeley":{"formattedCitation":"&lt;sup&gt;[266]&lt;/sup&gt;","plainTextFormattedCitation":"[266]","previouslyFormattedCitation":"&lt;sup&gt;[265]&lt;/sup&gt;"},"properties":{"noteIndex":0},"schema":"https://github.com/citation-style-language/schema/raw/master/csl-citation.json"}</w:instrText>
      </w:r>
      <w:r w:rsidR="003034F6" w:rsidRPr="003E0254">
        <w:fldChar w:fldCharType="separate"/>
      </w:r>
      <w:r w:rsidR="00500B8D" w:rsidRPr="003E0254">
        <w:rPr>
          <w:noProof/>
          <w:vertAlign w:val="superscript"/>
        </w:rPr>
        <w:t>[266]</w:t>
      </w:r>
      <w:r w:rsidR="003034F6" w:rsidRPr="003E0254">
        <w:fldChar w:fldCharType="end"/>
      </w:r>
      <w:r w:rsidR="000602BF" w:rsidRPr="003E0254">
        <w:t xml:space="preserve"> an electrolyte composed of NaOH and </w:t>
      </w:r>
      <w:proofErr w:type="spellStart"/>
      <w:r w:rsidR="000602BF" w:rsidRPr="003E0254">
        <w:t>ZnO</w:t>
      </w:r>
      <w:proofErr w:type="spellEnd"/>
      <w:r w:rsidR="000602BF" w:rsidRPr="003E0254">
        <w:t xml:space="preserve"> facilitates the formation of zincate complexes (Zn(OH)₄²</w:t>
      </w:r>
      <w:r w:rsidR="000602BF" w:rsidRPr="003E0254">
        <w:rPr>
          <w:rFonts w:ascii="Cambria Math" w:hAnsi="Cambria Math" w:cs="Cambria Math"/>
        </w:rPr>
        <w:t>⁻</w:t>
      </w:r>
      <w:r w:rsidR="000602BF" w:rsidRPr="003E0254">
        <w:t>), which are critical for efficient zinc plating. This formulation yields a cell voltage of 2.34</w:t>
      </w:r>
      <w:r w:rsidR="003034F6" w:rsidRPr="003E0254">
        <w:t> </w:t>
      </w:r>
      <w:r w:rsidR="000602BF" w:rsidRPr="003E0254">
        <w:t>V and an energy density of 125.43</w:t>
      </w:r>
      <w:r w:rsidR="003034F6" w:rsidRPr="003E0254">
        <w:t> </w:t>
      </w:r>
      <w:proofErr w:type="spellStart"/>
      <w:r w:rsidR="000602BF" w:rsidRPr="003E0254">
        <w:t>Wh</w:t>
      </w:r>
      <w:proofErr w:type="spellEnd"/>
      <w:r w:rsidR="003034F6" w:rsidRPr="003E0254">
        <w:t> </w:t>
      </w:r>
      <w:r w:rsidR="000602BF" w:rsidRPr="003E0254">
        <w:t>L</w:t>
      </w:r>
      <w:r w:rsidR="000602BF" w:rsidRPr="003E0254">
        <w:rPr>
          <w:rFonts w:ascii="Cambria Math" w:hAnsi="Cambria Math" w:cs="Cambria Math"/>
        </w:rPr>
        <w:t>⁻</w:t>
      </w:r>
      <w:r w:rsidR="000602BF" w:rsidRPr="003E0254">
        <w:rPr>
          <w:rFonts w:ascii="Aptos" w:hAnsi="Aptos" w:cs="Aptos"/>
        </w:rPr>
        <w:t>¹</w:t>
      </w:r>
      <w:r w:rsidR="000602BF" w:rsidRPr="003E0254">
        <w:t>. In contrast, alkaline Ce</w:t>
      </w:r>
      <w:r w:rsidR="00996CC5" w:rsidRPr="003E0254">
        <w:rPr>
          <w:lang w:eastAsia="de-DE"/>
        </w:rPr>
        <w:t>||Zn</w:t>
      </w:r>
      <w:r w:rsidR="000602BF" w:rsidRPr="003E0254">
        <w:t xml:space="preserve"> cells operating under similar conditions can reach cell voltages as high as 3.08</w:t>
      </w:r>
      <w:r w:rsidR="000602BF" w:rsidRPr="003E0254">
        <w:rPr>
          <w:rFonts w:ascii="Arial" w:hAnsi="Arial" w:cs="Arial"/>
        </w:rPr>
        <w:t> </w:t>
      </w:r>
      <w:r w:rsidR="000602BF" w:rsidRPr="003E0254">
        <w:t>V,</w:t>
      </w:r>
      <w:r w:rsidR="003034F6" w:rsidRPr="003E0254">
        <w:fldChar w:fldCharType="begin" w:fldLock="1"/>
      </w:r>
      <w:r w:rsidR="00500B8D" w:rsidRPr="003E0254">
        <w:instrText>ADDIN CSL_CITATION {"citationItems":[{"id":"ITEM-1","itemData":{"DOI":"10.1039/C4EE00165F","ISSN":"1754-5706","abstract":"Here we present a multiple ion-exchange membrane (IEM) cell design for redox flow batteries (RFBs) that can generally accommodate redox pair combinations with any mixed ion charges. This design also allows flexible choice of electrolytes such as an acid electrolyte at one electrode while a base in the other. More specifically, the double-IEM cell with one anion-exchange membrane (AEM), one cation-exchange membrane (CEM), and a middle electrolyte in between can work with all redox pairs except for the case of two hybrid redox pairs (i.e., an anion–cation pair vs. an anion–cation pair). For the combination of two hybrid pairs, a triple-IEM cell with three membranes (CEM/AEM/CEM or AEM/CEM/AEM) and two middle electrolytes is needed. The double- and triple-IEM cells bring unprecedented freedom in choosing redox pairs and supporting electrolytes. Of particular importance, two featured aqueous RFBs are demonstrated here: (1) ultra-high voltage zinc–cerium RFB with 3.08 V standard cell voltage, the highest among all known aqueous RFBs; and (2) ultra-low cost sulfur–iron RFB with 1.22 V standard cell voltage, with two highly available elements (iron and sulfur are the 1st and 5th most produced elements worldwide, respectively).","author":[{"dropping-particle":"","family":"Gu","given":"Shuang","non-dropping-particle":"","parse-names":false,"suffix":""},{"dropping-particle":"","family":"Gong","given":"Ke","non-dropping-particle":"","parse-names":false,"suffix":""},{"dropping-particle":"","family":"Yan","given":"Emily Z.","non-dropping-particle":"","parse-names":false,"suffix":""},{"dropping-particle":"","family":"Yan","given":"Yushan","non-dropping-particle":"","parse-names":false,"suffix":""}],"container-title":"Energy &amp; Environmental Science","id":"ITEM-1","issue":"9","issued":{"date-parts":[["2014","8","13"]]},"page":"2986-2998","publisher":"The Royal Society of Chemistry","title":"A multiple ion-exchange membrane design for redox flow batteries","type":"article-journal","volume":"7"},"uris":["http://www.mendeley.com/documents/?uuid=a9a34b5b-dfec-465d-8661-89babb4a7312"]}],"mendeley":{"formattedCitation":"&lt;sup&gt;[256]&lt;/sup&gt;","plainTextFormattedCitation":"[256]","previouslyFormattedCitation":"&lt;sup&gt;[255]&lt;/sup&gt;"},"properties":{"noteIndex":0},"schema":"https://github.com/citation-style-language/schema/raw/master/csl-citation.json"}</w:instrText>
      </w:r>
      <w:r w:rsidR="003034F6" w:rsidRPr="003E0254">
        <w:fldChar w:fldCharType="separate"/>
      </w:r>
      <w:r w:rsidR="00500B8D" w:rsidRPr="003E0254">
        <w:rPr>
          <w:noProof/>
          <w:vertAlign w:val="superscript"/>
        </w:rPr>
        <w:t>[256]</w:t>
      </w:r>
      <w:r w:rsidR="003034F6" w:rsidRPr="003E0254">
        <w:fldChar w:fldCharType="end"/>
      </w:r>
      <w:r w:rsidR="000602BF" w:rsidRPr="003E0254">
        <w:t xml:space="preserve"> although these systems require a double ion exchange membrane setup that increases cost and slows ion transfer kinetics. Aqueous I</w:t>
      </w:r>
      <w:r w:rsidR="000602BF" w:rsidRPr="003E0254">
        <w:rPr>
          <w:rFonts w:ascii="Aptos" w:hAnsi="Aptos" w:cs="Aptos"/>
        </w:rPr>
        <w:t>₂</w:t>
      </w:r>
      <w:r w:rsidR="00996CC5" w:rsidRPr="003E0254">
        <w:rPr>
          <w:lang w:eastAsia="de-DE"/>
        </w:rPr>
        <w:t>||Zn</w:t>
      </w:r>
      <w:r w:rsidR="000602BF" w:rsidRPr="003E0254">
        <w:t xml:space="preserve"> systems</w:t>
      </w:r>
      <w:r w:rsidR="00572B3F" w:rsidRPr="003E0254">
        <w:fldChar w:fldCharType="begin" w:fldLock="1"/>
      </w:r>
      <w:r w:rsidR="00500B8D" w:rsidRPr="003E0254">
        <w:instrText>ADDIN CSL_CITATION {"citationItems":[{"id":"ITEM-1","itemData":{"DOI":"10.1016/J.ENSM.2020.06.031","ISSN":"2405-8297","abstract":"Zinc-iodine redox flow batteries (ZIFBs) have emerged as promising energy storage systems due to their high-energy density. However, their practical use has been limited by their poor stability, low efficiency and high cost. In this work, we implemented a novel strategy to improve the performance and cyclability of ZIFBs, as well as decrease the chemical cost, by developing and utilizing ammonium-based electrolytes. An ammonium chloride supported zinc-iodine redox flow battery (AC-ZIFB) based on the ammonium iodide/triiodide redox couple was designed, and it achieved a high energy density of 137 WhL-1, Coulombic efficiency of ~99%, energy efficiency of ~80%, and a cycle-life of 2500 cycles at a 11-times lower chemical cost than conventional ZIFBs. Such improvements are mainly attributed to the multifunctional roles of cost-effective chemicals utilized in a new decoupled electrolyte design, which mitigates zinc dendrite formation, facilitates anodic and cathodic reaction kinetics and unlocks extra capacity with the primary aid of I2Cl− formation. This straightforward, yet effective strategy, empowers the AC-ZIFB with excellent potential as a robust and practical redox flow battery and more broadly demonstrates a facile strategy of using multifunctional electrolyte chemistry to achieve a reliable, high-performance, and cost-competitive energy storage system.","author":[{"dropping-particle":"","family":"Mousavi","given":"Mahboubeh","non-dropping-particle":"","parse-names":false,"suffix":""},{"dropping-particle":"","family":"Jiang","given":"Gaopeng","non-dropping-particle":"","parse-names":false,"suffix":""},{"dropping-particle":"","family":"Zhang","given":"Jing","non-dropping-particle":"","parse-names":false,"suffix":""},{"dropping-particle":"","family":"Kashkooli","given":"Ali Ghorbani","non-dropping-particle":"","parse-names":false,"suffix":""},{"dropping-particle":"","family":"Dou","given":"Haozhen","non-dropping-particle":"","parse-names":false,"suffix":""},{"dropping-particle":"","family":"Silva","given":"Catherine J.","non-dropping-particle":"","parse-names":false,"suffix":""},{"dropping-particle":"","family":"Cano","given":"Zachary P.","non-dropping-particle":"","parse-names":false,"suffix":""},{"dropping-particle":"","family":"Niu","given":"Yue","non-dropping-particle":"","parse-names":false,"suffix":""},{"dropping-particle":"","family":"Yu","given":"Aiping","non-dropping-particle":"","parse-names":false,"suffix":""},{"dropping-particle":"","family":"Chen","given":"Zhongwei","non-dropping-particle":"","parse-names":false,"suffix":""}],"container-title":"Energy Storage Materials","id":"ITEM-1","issued":{"date-parts":[["2020","11","1"]]},"page":"465-476","publisher":"Elsevier","title":"Decoupled low-cost ammonium-based electrolyte design for highly stable zinc–iodine redox flow batteries","type":"article-journal","volume":"32"},"uris":["http://www.mendeley.com/documents/?uuid=27fd548a-3efe-3595-b75d-b3d7e03600bc"]}],"mendeley":{"formattedCitation":"&lt;sup&gt;[273]&lt;/sup&gt;","plainTextFormattedCitation":"[273]","previouslyFormattedCitation":"&lt;sup&gt;[272]&lt;/sup&gt;"},"properties":{"noteIndex":0},"schema":"https://github.com/citation-style-language/schema/raw/master/csl-citation.json"}</w:instrText>
      </w:r>
      <w:r w:rsidR="00572B3F" w:rsidRPr="003E0254">
        <w:fldChar w:fldCharType="separate"/>
      </w:r>
      <w:r w:rsidR="00500B8D" w:rsidRPr="003E0254">
        <w:rPr>
          <w:noProof/>
          <w:vertAlign w:val="superscript"/>
        </w:rPr>
        <w:t>[273]</w:t>
      </w:r>
      <w:r w:rsidR="00572B3F" w:rsidRPr="003E0254">
        <w:fldChar w:fldCharType="end"/>
      </w:r>
      <w:r w:rsidR="000602BF" w:rsidRPr="003E0254">
        <w:t xml:space="preserve"> have demonstrated exceptional cycle numbers (&gt;2500 cycles) and high energy density (137</w:t>
      </w:r>
      <w:r w:rsidR="00572B3F" w:rsidRPr="003E0254">
        <w:t> </w:t>
      </w:r>
      <w:proofErr w:type="spellStart"/>
      <w:r w:rsidR="000602BF" w:rsidRPr="003E0254">
        <w:t>Wh</w:t>
      </w:r>
      <w:proofErr w:type="spellEnd"/>
      <w:r w:rsidR="00572B3F" w:rsidRPr="003E0254">
        <w:t> </w:t>
      </w:r>
      <w:r w:rsidR="000602BF" w:rsidRPr="003E0254">
        <w:t>L</w:t>
      </w:r>
      <w:r w:rsidR="000602BF" w:rsidRPr="003E0254">
        <w:rPr>
          <w:rFonts w:ascii="Cambria Math" w:hAnsi="Cambria Math" w:cs="Cambria Math"/>
        </w:rPr>
        <w:t>⁻</w:t>
      </w:r>
      <w:r w:rsidR="000602BF" w:rsidRPr="003E0254">
        <w:rPr>
          <w:rFonts w:ascii="Aptos" w:hAnsi="Aptos" w:cs="Aptos"/>
        </w:rPr>
        <w:t>¹</w:t>
      </w:r>
      <w:r w:rsidR="000602BF" w:rsidRPr="003E0254">
        <w:t>) at moderate current densities (~10</w:t>
      </w:r>
      <w:r w:rsidR="00572B3F" w:rsidRPr="003E0254">
        <w:t> </w:t>
      </w:r>
      <w:r w:rsidR="000602BF" w:rsidRPr="003E0254">
        <w:t>mA</w:t>
      </w:r>
      <w:r w:rsidR="00572B3F" w:rsidRPr="003E0254">
        <w:t> </w:t>
      </w:r>
      <w:r w:rsidR="000602BF" w:rsidRPr="003E0254">
        <w:t>cm</w:t>
      </w:r>
      <w:r w:rsidR="000602BF" w:rsidRPr="003E0254">
        <w:rPr>
          <w:rFonts w:ascii="Cambria Math" w:hAnsi="Cambria Math" w:cs="Cambria Math"/>
        </w:rPr>
        <w:t>⁻</w:t>
      </w:r>
      <w:r w:rsidR="000602BF" w:rsidRPr="003E0254">
        <w:rPr>
          <w:rFonts w:ascii="Aptos" w:hAnsi="Aptos" w:cs="Aptos"/>
        </w:rPr>
        <w:t>²</w:t>
      </w:r>
      <w:r w:rsidR="000602BF" w:rsidRPr="003E0254">
        <w:t>), yet challenges</w:t>
      </w:r>
      <w:r w:rsidR="00C95A14" w:rsidRPr="003E0254">
        <w:t>,</w:t>
      </w:r>
      <w:r w:rsidR="000602BF" w:rsidRPr="003E0254">
        <w:t xml:space="preserve"> such as high material costs, iodine-related environmental concerns, and self-discharge persist. </w:t>
      </w:r>
    </w:p>
    <w:p w14:paraId="0F8F9E43" w14:textId="2B66B7EA" w:rsidR="00B53C39" w:rsidRPr="003E0254" w:rsidRDefault="000602BF" w:rsidP="000602BF">
      <w:pPr>
        <w:spacing w:line="276" w:lineRule="auto"/>
        <w:jc w:val="both"/>
      </w:pPr>
      <w:r w:rsidRPr="003E0254">
        <w:t>Alternatively, organic electrolytes based on solvents like acetonitrile or propylene carbonate offer a broader electrochemical stability window—with oxidative limits up to approximately 3.6</w:t>
      </w:r>
      <w:r w:rsidR="009C49E3" w:rsidRPr="003E0254">
        <w:t> </w:t>
      </w:r>
      <w:r w:rsidRPr="003E0254">
        <w:t>V vs. Zn|Zn</w:t>
      </w:r>
      <w:r w:rsidRPr="003E0254">
        <w:rPr>
          <w:rFonts w:ascii="Aptos" w:hAnsi="Aptos" w:cs="Aptos"/>
        </w:rPr>
        <w:t>²</w:t>
      </w:r>
      <w:r w:rsidRPr="003E0254">
        <w:rPr>
          <w:rFonts w:ascii="Cambria Math" w:hAnsi="Cambria Math" w:cs="Cambria Math"/>
        </w:rPr>
        <w:t>⁺</w:t>
      </w:r>
      <w:r w:rsidRPr="003E0254">
        <w:rPr>
          <w:rFonts w:ascii="Aptos" w:hAnsi="Aptos" w:cs="Aptos"/>
        </w:rPr>
        <w:t>—</w:t>
      </w:r>
      <w:r w:rsidRPr="003E0254">
        <w:t>and enable operation at high current densities (up to 200</w:t>
      </w:r>
      <w:r w:rsidR="009C49E3" w:rsidRPr="003E0254">
        <w:t> </w:t>
      </w:r>
      <w:r w:rsidRPr="003E0254">
        <w:t>mA</w:t>
      </w:r>
      <w:r w:rsidR="009C49E3" w:rsidRPr="003E0254">
        <w:t> </w:t>
      </w:r>
      <w:r w:rsidRPr="003E0254">
        <w:t>cm</w:t>
      </w:r>
      <w:r w:rsidRPr="003E0254">
        <w:rPr>
          <w:rFonts w:ascii="Cambria Math" w:hAnsi="Cambria Math" w:cs="Cambria Math"/>
        </w:rPr>
        <w:t>⁻</w:t>
      </w:r>
      <w:r w:rsidRPr="003E0254">
        <w:rPr>
          <w:rFonts w:ascii="Aptos" w:hAnsi="Aptos" w:cs="Aptos"/>
        </w:rPr>
        <w:t>²</w:t>
      </w:r>
      <w:r w:rsidRPr="003E0254">
        <w:t xml:space="preserve"> as reported for Zn</w:t>
      </w:r>
      <w:r w:rsidRPr="003E0254">
        <w:rPr>
          <w:rFonts w:ascii="Aptos" w:hAnsi="Aptos" w:cs="Aptos"/>
        </w:rPr>
        <w:t>–</w:t>
      </w:r>
      <w:r w:rsidR="00F91992" w:rsidRPr="003E0254">
        <w:t>o</w:t>
      </w:r>
      <w:r w:rsidRPr="003E0254">
        <w:t>rganic cells by Luo et al.</w:t>
      </w:r>
      <w:r w:rsidR="009C49E3" w:rsidRPr="003E0254">
        <w:fldChar w:fldCharType="begin" w:fldLock="1"/>
      </w:r>
      <w:r w:rsidR="00500B8D" w:rsidRPr="003E0254">
        <w:instrText>ADDIN CSL_CITATION {"citationItems":[{"id":"ITEM-1","itemData":{"DOI":"10.1002/ANGE.202204030","ISSN":"1521-3757","abstract":" Zinc metal represents a low</w:instrText>
      </w:r>
      <w:r w:rsidR="00500B8D" w:rsidRPr="003E0254">
        <w:rPr>
          <w:rFonts w:ascii="Cambria Math" w:hAnsi="Cambria Math" w:cs="Cambria Math"/>
        </w:rPr>
        <w:instrText>‐</w:instrText>
      </w:r>
      <w:r w:rsidR="00500B8D" w:rsidRPr="003E0254">
        <w:instrText>cost, high</w:instrText>
      </w:r>
      <w:r w:rsidR="00500B8D" w:rsidRPr="003E0254">
        <w:rPr>
          <w:rFonts w:ascii="Cambria Math" w:hAnsi="Cambria Math" w:cs="Cambria Math"/>
        </w:rPr>
        <w:instrText>‐</w:instrText>
      </w:r>
      <w:r w:rsidR="00500B8D" w:rsidRPr="003E0254">
        <w:instrText>capacity anode material to develop energy</w:instrText>
      </w:r>
      <w:r w:rsidR="00500B8D" w:rsidRPr="003E0254">
        <w:rPr>
          <w:rFonts w:ascii="Cambria Math" w:hAnsi="Cambria Math" w:cs="Cambria Math"/>
        </w:rPr>
        <w:instrText>‐</w:instrText>
      </w:r>
      <w:r w:rsidR="00500B8D" w:rsidRPr="003E0254">
        <w:instrText>dense aqueous redox</w:instrText>
      </w:r>
      <w:r w:rsidR="00500B8D" w:rsidRPr="003E0254">
        <w:rPr>
          <w:rFonts w:ascii="Cambria Math" w:hAnsi="Cambria Math" w:cs="Cambria Math"/>
        </w:rPr>
        <w:instrText>‐</w:instrText>
      </w:r>
      <w:r w:rsidR="00500B8D" w:rsidRPr="003E0254">
        <w:instrText>flow batteries (RFB). However, the energy</w:instrText>
      </w:r>
      <w:r w:rsidR="00500B8D" w:rsidRPr="003E0254">
        <w:rPr>
          <w:rFonts w:ascii="Cambria Math" w:hAnsi="Cambria Math" w:cs="Cambria Math"/>
        </w:rPr>
        <w:instrText>‐</w:instrText>
      </w:r>
      <w:r w:rsidR="00500B8D" w:rsidRPr="003E0254">
        <w:instrText>storage applications of traditional inorganic Zn halide flow batteries are primarily plagued by the material challenges of traditional halide cathode electrolytes (e.g., bromine), including corrosion, toxicity, and severe crossover. Herein, we report a bipolar zinc–ferrocene salt compound, zinc 1,1′</w:instrText>
      </w:r>
      <w:r w:rsidR="00500B8D" w:rsidRPr="003E0254">
        <w:rPr>
          <w:rFonts w:ascii="Cambria Math" w:hAnsi="Cambria Math" w:cs="Cambria Math"/>
        </w:rPr>
        <w:instrText>‐</w:instrText>
      </w:r>
      <w:r w:rsidR="00500B8D" w:rsidRPr="003E0254">
        <w:instrText>bis(3</w:instrText>
      </w:r>
      <w:r w:rsidR="00500B8D" w:rsidRPr="003E0254">
        <w:rPr>
          <w:rFonts w:ascii="Cambria Math" w:hAnsi="Cambria Math" w:cs="Cambria Math"/>
        </w:rPr>
        <w:instrText>‐</w:instrText>
      </w:r>
      <w:r w:rsidR="00500B8D" w:rsidRPr="003E0254">
        <w:instrText xml:space="preserve">sulfonatopropyl)ferrocene,  Zn[Fc(SPr) 2 ]  (1.80 M solubility or 48.2 Ah L </w:instrText>
      </w:r>
      <w:r w:rsidR="00500B8D" w:rsidRPr="003E0254">
        <w:rPr>
          <w:rFonts w:ascii="Aptos" w:hAnsi="Aptos" w:cs="Aptos"/>
        </w:rPr>
        <w:instrText>−</w:instrText>
      </w:r>
      <w:r w:rsidR="00500B8D" w:rsidRPr="003E0254">
        <w:instrText xml:space="preserve"> charge storage capacity)</w:instrText>
      </w:r>
      <w:r w:rsidR="00500B8D" w:rsidRPr="003E0254">
        <w:rPr>
          <w:rFonts w:ascii="Aptos" w:hAnsi="Aptos" w:cs="Aptos"/>
        </w:rPr>
        <w:instrText>—</w:instrText>
      </w:r>
      <w:r w:rsidR="00500B8D" w:rsidRPr="003E0254">
        <w:instrText>a robust, energy</w:instrText>
      </w:r>
      <w:r w:rsidR="00500B8D" w:rsidRPr="003E0254">
        <w:rPr>
          <w:rFonts w:ascii="Cambria Math" w:hAnsi="Cambria Math" w:cs="Cambria Math"/>
        </w:rPr>
        <w:instrText>‐</w:instrText>
      </w:r>
      <w:r w:rsidR="00500B8D" w:rsidRPr="003E0254">
        <w:instrText>dense, bipolar redox</w:instrText>
      </w:r>
      <w:r w:rsidR="00500B8D" w:rsidRPr="003E0254">
        <w:rPr>
          <w:rFonts w:ascii="Cambria Math" w:hAnsi="Cambria Math" w:cs="Cambria Math"/>
        </w:rPr>
        <w:instrText>‐</w:instrText>
      </w:r>
      <w:r w:rsidR="00500B8D" w:rsidRPr="003E0254">
        <w:instrText xml:space="preserve">active electrolyte material for RFBs.  Zn[Fc(SPr) 2 ]  </w:instrText>
      </w:r>
      <w:r w:rsidR="00500B8D" w:rsidRPr="003E0254">
        <w:rPr>
          <w:rFonts w:ascii="Cambria Math" w:hAnsi="Cambria Math" w:cs="Cambria Math"/>
        </w:rPr>
        <w:instrText>‐</w:instrText>
      </w:r>
      <w:r w:rsidR="00500B8D" w:rsidRPr="003E0254">
        <w:instrText>based redox</w:instrText>
      </w:r>
      <w:r w:rsidR="00500B8D" w:rsidRPr="003E0254">
        <w:rPr>
          <w:rFonts w:ascii="Cambria Math" w:hAnsi="Cambria Math" w:cs="Cambria Math"/>
        </w:rPr>
        <w:instrText>‐</w:instrText>
      </w:r>
      <w:r w:rsidR="00500B8D" w:rsidRPr="003E0254">
        <w:instrText xml:space="preserve">flow batteries operated at high current densities of up to 200 mA cm </w:instrText>
      </w:r>
      <w:r w:rsidR="00500B8D" w:rsidRPr="003E0254">
        <w:rPr>
          <w:rFonts w:ascii="Aptos" w:hAnsi="Aptos" w:cs="Aptos"/>
        </w:rPr>
        <w:instrText>−</w:instrText>
      </w:r>
      <w:r w:rsidR="00500B8D" w:rsidRPr="003E0254">
        <w:instrText xml:space="preserve">2 and delivered an energy efficiency of up to 81.5 % and a power density of up to 270.5 mW cm </w:instrText>
      </w:r>
      <w:r w:rsidR="00500B8D" w:rsidRPr="003E0254">
        <w:rPr>
          <w:rFonts w:ascii="Aptos" w:hAnsi="Aptos" w:cs="Aptos"/>
        </w:rPr>
        <w:instrText>−</w:instrText>
      </w:r>
      <w:r w:rsidR="00500B8D" w:rsidRPr="003E0254">
        <w:instrText>2 . A Zn[Fc(SPr) 2 ] flow battery demonstrated an energy density of 20.2 Wh L −1 and displayed nearly 100 % capacity retention for 2000 cycles (1284 h or 53.5 days). ","author":[{"dropping-particle":"","family":"Luo","given":"Jian","non-dropping-particle":"","parse-names":false,"suffix":""},{"dropping-particle":"","family":"Hu","given":"Bo","non-dropping-particle":"","parse-names":false,"suffix":""},{"dropping-particle":"","family":"Hu","given":"Maowei","non-dropping-particle":"","parse-names":false,"suffix":""},{"dropping-particle":"","family":"Wu","given":"Wenda","non-dropping-particle":"","parse-names":false,"suffix":""},{"dropping-particle":"","family":"Liu","given":"T. Leo","non-dropping-particle":"","parse-names":false,"suffix":""}],"container-title":"Angewandte Chemie","id":"ITEM-1","issue":"30","issued":{"date-parts":[["2022","7","25"]]},"page":"e202204030","publisher":"John Wiley &amp; Sons, Ltd","title":"An Energy-Dense, Powerful, Robust Bipolar Zinc–Ferrocene Redox-Flow Battery","type":"article-journal","volume":"134"},"uris":["http://www.mendeley.com/documents/?uuid=3ab6b092-9226-3b2a-87d6-5a9db7bbb324"]}],"mendeley":{"formattedCitation":"&lt;sup&gt;[278]&lt;/sup&gt;","plainTextFormattedCitation":"[278]","previouslyFormattedCitation":"&lt;sup&gt;[277]&lt;/sup&gt;"},"properties":{"noteIndex":0},"schema":"https://github.com/citation-style-language/schema/raw/master/csl-citation.json"}</w:instrText>
      </w:r>
      <w:r w:rsidR="009C49E3" w:rsidRPr="003E0254">
        <w:fldChar w:fldCharType="separate"/>
      </w:r>
      <w:r w:rsidR="00500B8D" w:rsidRPr="003E0254">
        <w:rPr>
          <w:noProof/>
          <w:vertAlign w:val="superscript"/>
        </w:rPr>
        <w:t>[278]</w:t>
      </w:r>
      <w:r w:rsidR="009C49E3" w:rsidRPr="003E0254">
        <w:fldChar w:fldCharType="end"/>
      </w:r>
      <w:r w:rsidRPr="003E0254">
        <w:t xml:space="preserve"> However, the lower solubility of zinc salts in organic media often restricts </w:t>
      </w:r>
      <w:r w:rsidR="00C95A14" w:rsidRPr="003E0254">
        <w:t xml:space="preserve">the </w:t>
      </w:r>
      <w:r w:rsidRPr="003E0254">
        <w:t>volumetric energy density. To address these limitations, tailored additives</w:t>
      </w:r>
      <w:r w:rsidR="00C95A14" w:rsidRPr="003E0254">
        <w:t>,</w:t>
      </w:r>
      <w:r w:rsidRPr="003E0254">
        <w:t xml:space="preserve"> such as trimethyl phosphate and sodium citrate</w:t>
      </w:r>
      <w:r w:rsidR="00F91992" w:rsidRPr="003E0254">
        <w:t>,</w:t>
      </w:r>
      <w:r w:rsidRPr="003E0254">
        <w:t xml:space="preserve"> are incorporated to improve ion transport, modify the solvation environment of Zn²</w:t>
      </w:r>
      <w:r w:rsidRPr="003E0254">
        <w:rPr>
          <w:rFonts w:ascii="Cambria Math" w:hAnsi="Cambria Math" w:cs="Cambria Math"/>
        </w:rPr>
        <w:t>⁺</w:t>
      </w:r>
      <w:r w:rsidRPr="003E0254">
        <w:t>, and suppress dendritic growth. Recent studies by Shoaib et al.</w:t>
      </w:r>
      <w:r w:rsidR="009C49E3" w:rsidRPr="003E0254">
        <w:fldChar w:fldCharType="begin" w:fldLock="1"/>
      </w:r>
      <w:r w:rsidR="00500B8D" w:rsidRPr="003E0254">
        <w:instrText>ADDIN CSL_CITATION {"citationItems":[{"id":"ITEM-1","itemData":{"DOI":"10.1002/aenm.202400721","ISSN":"1614-6832","abstract":"Development and application of large</w:instrText>
      </w:r>
      <w:r w:rsidR="00500B8D" w:rsidRPr="003E0254">
        <w:rPr>
          <w:rFonts w:ascii="Cambria Math" w:hAnsi="Cambria Math" w:cs="Cambria Math"/>
        </w:rPr>
        <w:instrText>‐</w:instrText>
      </w:r>
      <w:r w:rsidR="00500B8D" w:rsidRPr="003E0254">
        <w:instrText>scale energy storage systems are surging due to the increasing proportion of intermittent renewable energy sources in the global energy mix. Redox flow batteries are prime candidates for large</w:instrText>
      </w:r>
      <w:r w:rsidR="00500B8D" w:rsidRPr="003E0254">
        <w:rPr>
          <w:rFonts w:ascii="Cambria Math" w:hAnsi="Cambria Math" w:cs="Cambria Math"/>
        </w:rPr>
        <w:instrText>‐</w:instrText>
      </w:r>
      <w:r w:rsidR="00500B8D" w:rsidRPr="003E0254">
        <w:instrText>scale energy storage due to their modular design and scalability, flexible operation, and ability to decouple energy and power. To date, several different redox couples are exploited in redox</w:instrText>
      </w:r>
      <w:r w:rsidR="00500B8D" w:rsidRPr="003E0254">
        <w:rPr>
          <w:rFonts w:ascii="Cambria Math" w:hAnsi="Cambria Math" w:cs="Cambria Math"/>
        </w:rPr>
        <w:instrText>‐</w:instrText>
      </w:r>
      <w:r w:rsidR="00500B8D" w:rsidRPr="003E0254">
        <w:instrText>flow batteries; some are already commercialized. This battery technology is facing a lot of challenges in the science, engineering, and economic front. Issues plaguing flow batteries are low energy density, high overall cost, poor stability of electrolytes, shifting of solvent from anolyte to catholyte while using cation exchange membrane, reverse flow with anion exchange membrane, and corrosion of graphite felt in the catholyte side. Significant research efforts are ongoing to address these challenges. This comprehensive and critical review summarizes the recent progress in electrolyte technologies, including electrochemical performance and stability, strategies to enhance the energy and power densities and, in the end, the levelized and life</w:instrText>
      </w:r>
      <w:r w:rsidR="00500B8D" w:rsidRPr="003E0254">
        <w:rPr>
          <w:rFonts w:ascii="Cambria Math" w:hAnsi="Cambria Math" w:cs="Cambria Math"/>
        </w:rPr>
        <w:instrText>‐</w:instrText>
      </w:r>
      <w:r w:rsidR="00500B8D" w:rsidRPr="003E0254">
        <w:instrText>cycle cost of these batteries analyzed. A comprehensive outlook on this technology with respect to practical energy storage applications is also provided.","author":[{"dropping-particle":"","family":"Shoaib","given":"Muhammad","non-dropping-particle":"","parse-names":false,"suffix":""},{"dropping-particle":"","family":"Vallayil","given":"Priya","non-dropping-particle":"","parse-names":false,"suffix":""},{"dropping-particle":"","family":"Jaiswal","given":"Nandini","non-dropping-particle":"","parse-names":false,"suffix":""},{"dropping-particle":"","family":"Iyapazham Vaigunda Suba","given":"Prathap","non-dropping-particle":"","parse-names":false,"suffix":""},{"dropping-particle":"","family":"Sankararaman","given":"Sethuraman","non-dropping-particle":"","parse-names":false,"suffix":""},{"dropping-particle":"","family":"Ramanujam","given":"Kothandaraman","non-dropping-particle":"","parse-names":false,"suffix":""},{"dropping-particle":"","family":"Thangadurai","given":"Venkataraman","non-dropping-particle":"","parse-names":false,"suffix":""}],"container-title":"Advanced Energy Materials","id":"ITEM-1","issue":"32","issued":{"date-parts":[["2024","8","18"]]},"page":"2400721","publisher":"John Wiley &amp; Sons, Ltd","title":"Advances in Redox Flow Batteries – A Comprehensive Review on Inorganic and Organic Electrolytes and Engineering Perspectives","type":"article-journal","volume":"14"},"uris":["http://www.mendeley.com/documents/?uuid=03615b99-d632-32a5-ac86-9862e1aa4e48"]}],"mendeley":{"formattedCitation":"&lt;sup&gt;[282]&lt;/sup&gt;","plainTextFormattedCitation":"[282]","previouslyFormattedCitation":"&lt;sup&gt;[281]&lt;/sup&gt;"},"properties":{"noteIndex":0},"schema":"https://github.com/citation-style-language/schema/raw/master/csl-citation.json"}</w:instrText>
      </w:r>
      <w:r w:rsidR="009C49E3" w:rsidRPr="003E0254">
        <w:fldChar w:fldCharType="separate"/>
      </w:r>
      <w:r w:rsidR="00500B8D" w:rsidRPr="003E0254">
        <w:rPr>
          <w:noProof/>
          <w:vertAlign w:val="superscript"/>
        </w:rPr>
        <w:t>[282]</w:t>
      </w:r>
      <w:r w:rsidR="009C49E3" w:rsidRPr="003E0254">
        <w:fldChar w:fldCharType="end"/>
      </w:r>
      <w:r w:rsidRPr="003E0254">
        <w:t xml:space="preserve"> and Yuan et al.</w:t>
      </w:r>
      <w:r w:rsidR="009C49E3" w:rsidRPr="003E0254">
        <w:fldChar w:fldCharType="begin" w:fldLock="1"/>
      </w:r>
      <w:r w:rsidR="00500B8D" w:rsidRPr="003E0254">
        <w:instrText>ADDIN CSL_CITATION {"citationItems":[{"id":"ITEM-1","itemData":{"DOI":"10.1007/S11426-022-1456-5/METRICS","ISSN":"18691870","abstract":"Energy storage technologies have been identified as the key in constructing new electric power systems and achieving carbon neutrality, as they can absorb and smooth the renewables-generated electricity. Alkaline zinc-based flow batteries are well suitable for stationary energy storage applications, since they feature the advantages of high safety, high cell voltage and low cost. Currently, many alkaline zinc-based flow batteries have been proposed and developed, e.g., the alkaline zinc-iron flow battery and alkaline zinc—nickel flow battery. Their development and application are closely related to advanced materials and battery configurations. In this perspective, we will first provide a brief introduction and discussion of alkaline zinc-based flow batteries. Then we focus on these batteries from the perspective of their current status, challenges and prospects. The bottlenecks for these batteries are briefly analyzed. Combined with the practical requirements and development trends of alkaline zinc-based flow battery technologies, their future development and research direction will be summarized. [Figure not available: see fulltext.]","author":[{"dropping-particle":"","family":"Yuan","given":"Zhizhang","non-dropping-particle":"","parse-names":false,"suffix":""},{"dropping-particle":"","family":"Li","given":"Xianfeng","non-dropping-particle":"","parse-names":false,"suffix":""}],"container-title":"Science China Chemistry","id":"ITEM-1","issue":"1","issued":{"date-parts":[["2024","1","1"]]},"page":"260-275","publisher":"Science China Press","title":"Perspective of alkaline zinc-based flow batteries","type":"article-journal","volume":"67"},"uris":["http://www.mendeley.com/documents/?uuid=60888a21-89aa-3219-91c0-b40a1dca8b1a"]}],"mendeley":{"formattedCitation":"&lt;sup&gt;[283]&lt;/sup&gt;","plainTextFormattedCitation":"[283]","previouslyFormattedCitation":"&lt;sup&gt;[282]&lt;/sup&gt;"},"properties":{"noteIndex":0},"schema":"https://github.com/citation-style-language/schema/raw/master/csl-citation.json"}</w:instrText>
      </w:r>
      <w:r w:rsidR="009C49E3" w:rsidRPr="003E0254">
        <w:fldChar w:fldCharType="separate"/>
      </w:r>
      <w:r w:rsidR="00500B8D" w:rsidRPr="003E0254">
        <w:rPr>
          <w:noProof/>
          <w:vertAlign w:val="superscript"/>
        </w:rPr>
        <w:t>[283]</w:t>
      </w:r>
      <w:r w:rsidR="009C49E3" w:rsidRPr="003E0254">
        <w:fldChar w:fldCharType="end"/>
      </w:r>
      <w:r w:rsidRPr="003E0254">
        <w:t xml:space="preserve"> have demonstrated that these additives can enhance both </w:t>
      </w:r>
      <w:r w:rsidR="00E65688" w:rsidRPr="003E0254">
        <w:t xml:space="preserve">the </w:t>
      </w:r>
      <w:r w:rsidRPr="003E0254">
        <w:t>ionic conductivity and the chemical stability of zincate species, leading to improved cell performance. Furthermore, the integration of ionic liquids as co</w:t>
      </w:r>
      <w:r w:rsidRPr="003E0254">
        <w:rPr>
          <w:rFonts w:ascii="Cambria Math" w:hAnsi="Cambria Math" w:cs="Cambria Math"/>
        </w:rPr>
        <w:t>‐</w:t>
      </w:r>
      <w:r w:rsidRPr="003E0254">
        <w:t>solvents or additives has emerged as a promising strategy to extend the electrochemical window and stabilize the electrode</w:t>
      </w:r>
      <w:r w:rsidRPr="003E0254">
        <w:rPr>
          <w:rFonts w:ascii="Aptos" w:hAnsi="Aptos" w:cs="Aptos"/>
        </w:rPr>
        <w:t>–</w:t>
      </w:r>
      <w:r w:rsidRPr="003E0254">
        <w:t>electrolyte interface.</w:t>
      </w:r>
      <w:r w:rsidR="009C49E3" w:rsidRPr="003E0254">
        <w:fldChar w:fldCharType="begin" w:fldLock="1"/>
      </w:r>
      <w:r w:rsidR="00500B8D" w:rsidRPr="003E0254">
        <w:instrText>ADDIN CSL_CITATION {"citationItems":[{"id":"ITEM-1","itemData":{"DOI":"10.1007/978-981-16-4480-1_10-1","ISBN":"978-981-16-4480-1","abstract":"Redox Flow Batteries (RFBs) are a versatile and scalable option for energy storage, essential for balancing renewable energy sources and grid stability. This chapter explores the role of ionic liquids (ILs) in enhancing the performance of RFBs, focusing on their...","author":[{"dropping-particle":"","family":"Joseph","given":"Aswathy","non-dropping-particle":"","parse-names":false,"suffix":""},{"dropping-particle":"","family":"Mathew","given":"Suresh","non-dropping-particle":"","parse-names":false,"suffix":""}],"container-title":"Handbook of Energy Materials","id":"ITEM-1","issued":{"date-parts":[["2025"]]},"page":"1-35","publisher":"Springer, Singapore","publisher-place":"Singapore","title":"Ionic Liquid-Based Redox Flow Batteries","type":"article-journal"},"uris":["http://www.mendeley.com/documents/?uuid=e1d7a179-2f7c-3791-a61f-68e2211d22d7"]}],"mendeley":{"formattedCitation":"&lt;sup&gt;[284]&lt;/sup&gt;","plainTextFormattedCitation":"[284]","previouslyFormattedCitation":"&lt;sup&gt;[283]&lt;/sup&gt;"},"properties":{"noteIndex":0},"schema":"https://github.com/citation-style-language/schema/raw/master/csl-citation.json"}</w:instrText>
      </w:r>
      <w:r w:rsidR="009C49E3" w:rsidRPr="003E0254">
        <w:fldChar w:fldCharType="separate"/>
      </w:r>
      <w:r w:rsidR="00500B8D" w:rsidRPr="003E0254">
        <w:rPr>
          <w:noProof/>
          <w:vertAlign w:val="superscript"/>
        </w:rPr>
        <w:t>[284]</w:t>
      </w:r>
      <w:r w:rsidR="009C49E3" w:rsidRPr="003E0254">
        <w:fldChar w:fldCharType="end"/>
      </w:r>
      <w:r w:rsidRPr="003E0254">
        <w:t xml:space="preserve"> These approaches collectively contribute to </w:t>
      </w:r>
      <w:r w:rsidR="00E65688" w:rsidRPr="003E0254">
        <w:t xml:space="preserve">the </w:t>
      </w:r>
      <w:r w:rsidRPr="003E0254">
        <w:t>optimiz</w:t>
      </w:r>
      <w:r w:rsidR="00E65688" w:rsidRPr="003E0254">
        <w:t>ation of</w:t>
      </w:r>
      <w:r w:rsidRPr="003E0254">
        <w:t xml:space="preserve"> electrolyte formulations, a key step toward advancing the practical deployment of zinc</w:t>
      </w:r>
      <w:r w:rsidRPr="003E0254">
        <w:rPr>
          <w:rFonts w:ascii="Cambria Math" w:hAnsi="Cambria Math" w:cs="Cambria Math"/>
        </w:rPr>
        <w:t>‐</w:t>
      </w:r>
      <w:r w:rsidRPr="003E0254">
        <w:t>based redox flow batteries for large</w:t>
      </w:r>
      <w:r w:rsidRPr="003E0254">
        <w:rPr>
          <w:rFonts w:ascii="Cambria Math" w:hAnsi="Cambria Math" w:cs="Cambria Math"/>
        </w:rPr>
        <w:t>‐</w:t>
      </w:r>
      <w:r w:rsidRPr="003E0254">
        <w:t>scale energy storage.</w:t>
      </w:r>
      <w:bookmarkEnd w:id="11"/>
    </w:p>
    <w:p w14:paraId="5415975A" w14:textId="23CC7061" w:rsidR="00BC3AA6" w:rsidRPr="003E0254" w:rsidRDefault="00BC3AA6" w:rsidP="00BC3AA6">
      <w:pPr>
        <w:spacing w:line="276" w:lineRule="auto"/>
        <w:jc w:val="both"/>
      </w:pPr>
      <w:r w:rsidRPr="003E0254">
        <w:t xml:space="preserve">Note: In polymer- and organic-based redox flow battery systems, </w:t>
      </w:r>
      <w:proofErr w:type="spellStart"/>
      <w:r w:rsidRPr="003E0254">
        <w:t>ZnCl</w:t>
      </w:r>
      <w:proofErr w:type="spellEnd"/>
      <w:r w:rsidRPr="003E0254">
        <w:t>₂ is typically used as a supporting electrolyte or Zn²⁺ source and does not participate in redox reactions in contrast to the ZnBr</w:t>
      </w:r>
      <w:r w:rsidRPr="003E0254">
        <w:rPr>
          <w:vertAlign w:val="subscript"/>
        </w:rPr>
        <w:t>2</w:t>
      </w:r>
      <w:r w:rsidRPr="003E0254">
        <w:t xml:space="preserve"> /Br</w:t>
      </w:r>
      <w:r w:rsidRPr="003E0254">
        <w:rPr>
          <w:vertAlign w:val="subscript"/>
        </w:rPr>
        <w:t>2</w:t>
      </w:r>
      <w:r w:rsidRPr="003E0254">
        <w:t xml:space="preserve"> system. Since these systems operate at voltages well below the Cl⁻/Cl₂ redox potential (~1.36 V vs SHE), the evolution of chlorine gas is not expected.</w:t>
      </w:r>
      <w:r w:rsidRPr="003E0254">
        <w:fldChar w:fldCharType="begin" w:fldLock="1"/>
      </w:r>
      <w:r w:rsidR="00500B8D" w:rsidRPr="003E0254">
        <w:instrText>ADDIN CSL_CITATION {"citationItems":[{"id":"ITEM-1","itemData":{"DOI":"10.1002/adma.201505000","ISSN":"0935-9648","PMID":"26810789","abstract":"The combination of a polymer-based 2,2,6,6-tetramethylpiperidinyl-N-oxyl (TEMPO) catholyte and a zinc anode, together with a cost-efficient size-exclusion membrane, builds a new type of semi-organic, \"green,\" hybrid-flow battery, which features a high potential range of up to 2 V, high efficiencies, and a long life time.","author":[{"dropping-particle":"","family":"Winsberg","given":"Jan","non-dropping-particle":"","parse-names":false,"suffix":""},{"dropping-particle":"","family":"Janoschka","given":"Tobias","non-dropping-particle":"","parse-names":false,"suffix":""},{"dropping-particle":"","family":"Morgenstern","given":"Sabine","non-dropping-particle":"","parse-names":false,"suffix":""},{"dropping-particle":"","family":"Hagemann","given":"Tino","non-dropping-particle":"","parse-names":false,"suffix":""},{"dropping-particle":"","family":"Muench","given":"Simon","non-dropping-particle":"","parse-names":false,"suffix":""},{"dropping-particle":"","family":"Hauffman","given":"Guillaume","non-dropping-particle":"","parse-names":false,"suffix":""},{"dropping-particle":"","family":"Gohy","given":"Jean</w:instrText>
      </w:r>
      <w:r w:rsidR="00500B8D" w:rsidRPr="003E0254">
        <w:rPr>
          <w:rFonts w:ascii="Cambria Math" w:hAnsi="Cambria Math" w:cs="Cambria Math"/>
        </w:rPr>
        <w:instrText>‐</w:instrText>
      </w:r>
      <w:r w:rsidR="00500B8D" w:rsidRPr="003E0254">
        <w:instrText>Fran</w:instrText>
      </w:r>
      <w:r w:rsidR="00500B8D" w:rsidRPr="003E0254">
        <w:rPr>
          <w:rFonts w:ascii="Aptos" w:hAnsi="Aptos" w:cs="Aptos"/>
        </w:rPr>
        <w:instrText>ç</w:instrText>
      </w:r>
      <w:r w:rsidR="00500B8D" w:rsidRPr="003E0254">
        <w:instrText>ois","non-dropping-particle":"","parse-names":false,"suffix":""},{"dropping-particle":"","family":"Hager","given":"Martin D.","non-dropping-particle":"","parse-names":false,"suffix":""},{"dropping-particle":"","family":"Schubert","given":"Ulrich S.","non-dropping-particle":"","parse-names":false,"suffix":""}],"container-title":"Advanced Materials","id":"ITEM-1","issue":"11","issued":{"date-parts":[["2016","3","26"]]},"page":"2238-2243","publisher":"John Wiley &amp; Sons, Ltd","title":"Poly(TEMPO)/Zinc Hybrid</w:instrText>
      </w:r>
      <w:r w:rsidR="00500B8D" w:rsidRPr="003E0254">
        <w:rPr>
          <w:rFonts w:ascii="Cambria Math" w:hAnsi="Cambria Math" w:cs="Cambria Math"/>
        </w:rPr>
        <w:instrText>‐</w:instrText>
      </w:r>
      <w:r w:rsidR="00500B8D" w:rsidRPr="003E0254">
        <w:instrText xml:space="preserve">Flow Battery: A Novel, </w:instrText>
      </w:r>
      <w:r w:rsidR="00500B8D" w:rsidRPr="003E0254">
        <w:rPr>
          <w:rFonts w:ascii="Aptos" w:hAnsi="Aptos" w:cs="Aptos"/>
        </w:rPr>
        <w:instrText>“</w:instrText>
      </w:r>
      <w:r w:rsidR="00500B8D" w:rsidRPr="003E0254">
        <w:instrText>Green,</w:instrText>
      </w:r>
      <w:r w:rsidR="00500B8D" w:rsidRPr="003E0254">
        <w:rPr>
          <w:rFonts w:ascii="Aptos" w:hAnsi="Aptos" w:cs="Aptos"/>
        </w:rPr>
        <w:instrText>”</w:instrText>
      </w:r>
      <w:r w:rsidR="00500B8D" w:rsidRPr="003E0254">
        <w:instrText xml:space="preserve"> High Voltage, and Safe Energy Storage System","type":"article-journal","volume":"28"},"uris":["http://www.mendeley.com/documents/?uuid=1e5914cd-46ba-4fb3-8424-f1a959344599"]}],"mendeley":{"formattedCitation":"&lt;sup&gt;[277]&lt;/sup&gt;","plainTextFormattedCitation":"[277]","previouslyFormattedCitation":"&lt;sup&gt;[276]&lt;/sup&gt;"},"properties":{"noteIndex":0},"schema":"https://github.com/citation-style-language/schema/raw/master/csl-citation.json"}</w:instrText>
      </w:r>
      <w:r w:rsidRPr="003E0254">
        <w:fldChar w:fldCharType="separate"/>
      </w:r>
      <w:r w:rsidR="00500B8D" w:rsidRPr="003E0254">
        <w:rPr>
          <w:noProof/>
          <w:vertAlign w:val="superscript"/>
        </w:rPr>
        <w:t>[277]</w:t>
      </w:r>
      <w:r w:rsidRPr="003E0254">
        <w:fldChar w:fldCharType="end"/>
      </w:r>
      <w:r w:rsidRPr="003E0254">
        <w:t xml:space="preserve"> This </w:t>
      </w:r>
      <w:r w:rsidR="00DF5C81" w:rsidRPr="003E0254">
        <w:t xml:space="preserve">is in </w:t>
      </w:r>
      <w:r w:rsidRPr="003E0254">
        <w:t>contrast with traditional Cl</w:t>
      </w:r>
      <w:r w:rsidRPr="003E0254">
        <w:rPr>
          <w:rFonts w:ascii="Aptos" w:hAnsi="Aptos" w:cs="Aptos"/>
        </w:rPr>
        <w:t>₂</w:t>
      </w:r>
      <w:r w:rsidRPr="003E0254">
        <w:rPr>
          <w:lang w:eastAsia="de-DE"/>
        </w:rPr>
        <w:t>||Zn</w:t>
      </w:r>
      <w:r w:rsidRPr="003E0254">
        <w:t xml:space="preserve"> batteries, in which Cl₂ gas formation is a deliberate part of the charge/discharge process.</w:t>
      </w:r>
      <w:r w:rsidRPr="003E0254">
        <w:fldChar w:fldCharType="begin" w:fldLock="1"/>
      </w:r>
      <w:r w:rsidR="00500B8D" w:rsidRPr="003E0254">
        <w:instrText>ADDIN CSL_CITATION {"citationItems":[{"id":"ITEM-1","itemData":{"DOI":"10.1016/0378-7753(82)80037-2","ISSN":"0378-7753","abstract":"An alternative design for a zinc-chlorine electrical energy storage system is described. It is proposed that operation under higher than normal press. © 1982.","author":[{"dropping-particle":"","family":"Mitra","given":"S.","non-dropping-particle":"","parse-names":false,"suffix":""}],"container-title":"Journal of Power Sources","id":"ITEM-1","issue":"3","issued":{"date-parts":[["1982","1","1"]]},"page":"359-367","publisher":"Elsevier","title":"A design for zinc—chlorine batteries","type":"article-journal","volume":"8"},"uris":["http://www.mendeley.com/documents/?uuid=673b5b09-d3ae-3cf3-8bc7-c37a944a80da"]}],"mendeley":{"formattedCitation":"&lt;sup&gt;[285]&lt;/sup&gt;","plainTextFormattedCitation":"[285]","previouslyFormattedCitation":"&lt;sup&gt;[284]&lt;/sup&gt;"},"properties":{"noteIndex":0},"schema":"https://github.com/citation-style-language/schema/raw/master/csl-citation.json"}</w:instrText>
      </w:r>
      <w:r w:rsidRPr="003E0254">
        <w:fldChar w:fldCharType="separate"/>
      </w:r>
      <w:r w:rsidR="00500B8D" w:rsidRPr="003E0254">
        <w:rPr>
          <w:noProof/>
          <w:vertAlign w:val="superscript"/>
        </w:rPr>
        <w:t>[285]</w:t>
      </w:r>
      <w:r w:rsidRPr="003E0254">
        <w:fldChar w:fldCharType="end"/>
      </w:r>
      <w:r w:rsidRPr="003E0254">
        <w:t xml:space="preserve"> </w:t>
      </w:r>
    </w:p>
    <w:p w14:paraId="5B5C41F1" w14:textId="504DF89F" w:rsidR="00BC3AA6" w:rsidRPr="003E0254" w:rsidRDefault="00BC3AA6" w:rsidP="00BC3AA6">
      <w:pPr>
        <w:spacing w:line="276" w:lineRule="auto"/>
        <w:jc w:val="both"/>
        <w:rPr>
          <w:lang w:val="da-DK"/>
        </w:rPr>
      </w:pPr>
      <w:r w:rsidRPr="003E0254">
        <w:t xml:space="preserve">In </w:t>
      </w:r>
      <w:proofErr w:type="spellStart"/>
      <w:r w:rsidRPr="003E0254">
        <w:t>ZnI</w:t>
      </w:r>
      <w:proofErr w:type="spellEnd"/>
      <w:r w:rsidRPr="003E0254">
        <w:t>₂-based systems, elemental iodine (I₂) formation and precipitation can occur at high states of charge, potentially leading to passivation effects and reduced cycl</w:t>
      </w:r>
      <w:r w:rsidR="00DF5C81" w:rsidRPr="003E0254">
        <w:t>ing</w:t>
      </w:r>
      <w:r w:rsidRPr="003E0254">
        <w:t xml:space="preserve"> stability. However, recent studies, including a comprehensive review by Fan et al.,</w:t>
      </w:r>
      <w:r w:rsidR="00F8506B" w:rsidRPr="003E0254">
        <w:fldChar w:fldCharType="begin" w:fldLock="1"/>
      </w:r>
      <w:r w:rsidR="00500B8D" w:rsidRPr="003E0254">
        <w:instrText>ADDIN CSL_CITATION {"citationItems":[{"id":"ITEM-1","itemData":{"DOI":"10.1016/J.EST.2024.112215","ISSN":"2352-152X","abstract":"With the increasing need for intermittent natural energy resources, large-scale, long-term energy storage systems are increasingly required to make the best use of renewable power resources. Zinc</w:instrText>
      </w:r>
      <w:r w:rsidR="00500B8D" w:rsidRPr="003E0254">
        <w:rPr>
          <w:rFonts w:ascii="Cambria Math" w:hAnsi="Cambria Math" w:cs="Cambria Math"/>
        </w:rPr>
        <w:instrText>‑</w:instrText>
      </w:r>
      <w:r w:rsidR="00500B8D" w:rsidRPr="003E0254">
        <w:instrText>iodine redox flow batteries are considered to be one of the most promising next-generation large-scale energy storage systems because of their considerable energy density, intrinsic safety, environmental friendliness, and low unit energy storage cost. However, the development of zinc</w:instrText>
      </w:r>
      <w:r w:rsidR="00500B8D" w:rsidRPr="003E0254">
        <w:rPr>
          <w:rFonts w:ascii="Cambria Math" w:hAnsi="Cambria Math" w:cs="Cambria Math"/>
        </w:rPr>
        <w:instrText>‑</w:instrText>
      </w:r>
      <w:r w:rsidR="00500B8D" w:rsidRPr="003E0254">
        <w:instrText>iodine flow batteries still suffers from low iodide availability, iodide shuttling effect, and zinc dendrites. And unfortunately, a review regarding the battery as a whole incorporating the interplay between the positive and negative reactions to elucidate the impact of each key component on performance is still missing. This work summarized the strategies to address the above issues, including tailoring electrolyte compositions, modifying electrodes and membrane properties, and designing overall system devices. Moreover, the relevant mechanisms are illustrated, contributing to developing high-performance designs for zinc</w:instrText>
      </w:r>
      <w:r w:rsidR="00500B8D" w:rsidRPr="003E0254">
        <w:rPr>
          <w:rFonts w:ascii="Cambria Math" w:hAnsi="Cambria Math" w:cs="Cambria Math"/>
        </w:rPr>
        <w:instrText>‑</w:instrText>
      </w:r>
      <w:r w:rsidR="00500B8D" w:rsidRPr="003E0254">
        <w:instrText>iodine flow batteries with high energy density and a long lifespan.","author":[{"dropping-particle":"","family":"Fan","given":"Dongrui","non-dropping-particle":"","parse-names":false,"suffix":""},{"dropping-particle":"","family":"Gong","given":"Jingyao","non-dropping-particle":"","parse-names":false,"suffix":""},{"dropping-particle":"","family":"Deng","given":"Shitao","non-dropping-particle":"","parse-names":false,"suffix":""},{"dropping-particle":"","family":"Yan","given":"Han","non-dropping-particle":"","parse-names":false,"suffix":""},{"dropping-particle":"","family":"Zhu","given":"Qiang","non-dropping-particle":"","parse-names":false,"suffix":""},{"dropping-particle":"","family":"Jiang","given":"Haoran","non-dropping-particle":"","parse-names":false,"suffix":""}],"container-title":"Journal of Energy Storage","id":"ITEM-1","issued":{"date-parts":[["2024","7","1"]]},"page":"112215","publisher":"Elsevier","title":"Progress and challenges of zinc</w:instrText>
      </w:r>
      <w:r w:rsidR="00500B8D" w:rsidRPr="003E0254">
        <w:rPr>
          <w:rFonts w:ascii="Cambria Math" w:hAnsi="Cambria Math" w:cs="Cambria Math"/>
        </w:rPr>
        <w:instrText>‑</w:instrText>
      </w:r>
      <w:r w:rsidR="00500B8D" w:rsidRPr="003E0254">
        <w:instrText>iodine flow batteries: From energy storage mechanism to key components","type":"article-journal","volume":"92"},"uris":["http://www.mendeley.com/documents/?uuid=2fbaba7b-e54e-3f43-9b6a-d83f2f83f46d"]}],"mendeley":{"formattedCitation":"&lt;sup&gt;[286]&lt;/sup&gt;","plainTextFormattedCitation":"[286]","previouslyFormattedCitation":"&lt;sup&gt;[285]&lt;/sup&gt;"},"properties":{"noteIndex":0},"schema":"https://github.com/citation-style-language/schema/raw/master/csl-citation.json"}</w:instrText>
      </w:r>
      <w:r w:rsidR="00F8506B" w:rsidRPr="003E0254">
        <w:fldChar w:fldCharType="separate"/>
      </w:r>
      <w:r w:rsidR="00500B8D" w:rsidRPr="003E0254">
        <w:rPr>
          <w:noProof/>
          <w:vertAlign w:val="superscript"/>
        </w:rPr>
        <w:t>[286]</w:t>
      </w:r>
      <w:r w:rsidR="00F8506B" w:rsidRPr="003E0254">
        <w:fldChar w:fldCharType="end"/>
      </w:r>
      <w:r w:rsidRPr="003E0254">
        <w:t xml:space="preserve"> emphasize that iodine volatility is not a dominant issue under standard operating conditions. Instead, the formation of I₂ films and low iodide utilization are the primary challenges. These are being addressed through electrolyte formulation strategies, including the use of Br⁻, Cl⁻, and SCN⁻ as complexing agents to stabilize iodine species in solution.</w:t>
      </w:r>
      <w:r w:rsidR="00F8506B" w:rsidRPr="003E0254">
        <w:fldChar w:fldCharType="begin" w:fldLock="1"/>
      </w:r>
      <w:r w:rsidR="00500B8D" w:rsidRPr="003E0254">
        <w:instrText>ADDIN CSL_CITATION {"citationItems":[{"id":"ITEM-1","itemData":{"DOI":"10.1016/J.EST.2024.112215","ISSN":"2352-152X","abstract":"With the increasing need for intermittent natural energy resources, large-scale, long-term energy storage systems are increasingly required to make the best use of renewable power resources. Zinc</w:instrText>
      </w:r>
      <w:r w:rsidR="00500B8D" w:rsidRPr="003E0254">
        <w:rPr>
          <w:rFonts w:ascii="Cambria Math" w:hAnsi="Cambria Math" w:cs="Cambria Math"/>
        </w:rPr>
        <w:instrText>‑</w:instrText>
      </w:r>
      <w:r w:rsidR="00500B8D" w:rsidRPr="003E0254">
        <w:instrText>iodine redox flow batteries are considered to be one of the most promising next-generation large-scale energy storage systems because of their considerable energy density, intrinsic safety, environmental friendliness, and low unit energy storage cost. However, the development of zinc</w:instrText>
      </w:r>
      <w:r w:rsidR="00500B8D" w:rsidRPr="003E0254">
        <w:rPr>
          <w:rFonts w:ascii="Cambria Math" w:hAnsi="Cambria Math" w:cs="Cambria Math"/>
        </w:rPr>
        <w:instrText>‑</w:instrText>
      </w:r>
      <w:r w:rsidR="00500B8D" w:rsidRPr="003E0254">
        <w:instrText>iodine flow batteries still suffers from low iodide availability, iodide shuttling effect, and zinc dendrites. And unfortunately, a review regarding the battery as a whole incorporating the interplay between the positive and negative reactions to elucidate the impact of each key component on performance is still missing. This work summarized the strategies to address the above issues, including tailoring electrolyte compositions, modifying electrodes and membrane properties, and designing overall system devices. Moreover, the relevant mechanisms are illustrated, contributing to developing high-performance designs for zinc</w:instrText>
      </w:r>
      <w:r w:rsidR="00500B8D" w:rsidRPr="003E0254">
        <w:rPr>
          <w:rFonts w:ascii="Cambria Math" w:hAnsi="Cambria Math" w:cs="Cambria Math"/>
        </w:rPr>
        <w:instrText>‑</w:instrText>
      </w:r>
      <w:r w:rsidR="00500B8D" w:rsidRPr="003E0254">
        <w:instrText>iodine flow batteries with high energy density and a long lifespan.","author":[{"dropping-particle":"","family":"Fan","given":"Dongrui","non-dropping-particle":"","parse-names":false,"suffix":""},{"dropping-particle":"","family":"Gong","given":"Jingyao","non-dropping-particle":"","parse-names":false,"suffix":""},{"dropping-particle":"","family":"Deng","given":"Shitao","non-dropping-particle":"","parse-names":false,"suffix":""},{"dropping-particle":"","family":"Yan","given":"Han","non-dropping-particle":"","parse-names":false,"suffix":""},{"dropping-particle":"","family":"Zhu","given":"Qiang","non-dropping-particle":"","parse-names":false,"suffix":""},{"dropping-particle":"","family":"Jiang","given":"Haoran","non-dropping-particle":"","parse-names":false,"suffix":""}],"container-title":"Journal of Energy Storage","id":"ITEM-1","issued":{"date-parts":[["2024","7","1"]]},"page":"112215","publisher":"Elsevier","title":"Progress and challenges of zinc</w:instrText>
      </w:r>
      <w:r w:rsidR="00500B8D" w:rsidRPr="003E0254">
        <w:rPr>
          <w:rFonts w:ascii="Cambria Math" w:hAnsi="Cambria Math" w:cs="Cambria Math"/>
        </w:rPr>
        <w:instrText>‑</w:instrText>
      </w:r>
      <w:r w:rsidR="00500B8D" w:rsidRPr="003E0254">
        <w:instrText>iodine flow batteries: From energy storage mechanism to key components","type":"article-journal","volume":"92"},"uris":["http://www.mendeley.com/documents/?uuid=2fbaba7b-e54e-3f43-9b6a-d83f2f83f46d"]}],"mendeley":{"formattedCitation":"&lt;sup&gt;[286]&lt;/sup&gt;","plainTextFormattedCitation":"[286]","previouslyFormattedCitation":"&lt;sup&gt;[285]&lt;/sup&gt;"},"properties":{"noteIndex":0},"schema":"https://github.com/citation-style-language/schema/raw/master/csl-citation.json"}</w:instrText>
      </w:r>
      <w:r w:rsidR="00F8506B" w:rsidRPr="003E0254">
        <w:fldChar w:fldCharType="separate"/>
      </w:r>
      <w:r w:rsidR="00500B8D" w:rsidRPr="003E0254">
        <w:rPr>
          <w:noProof/>
          <w:vertAlign w:val="superscript"/>
        </w:rPr>
        <w:t>[286]</w:t>
      </w:r>
      <w:r w:rsidR="00F8506B" w:rsidRPr="003E0254">
        <w:fldChar w:fldCharType="end"/>
      </w:r>
    </w:p>
    <w:p w14:paraId="13B73C2C" w14:textId="77777777" w:rsidR="00B53C39" w:rsidRPr="003E0254" w:rsidRDefault="00B53C39">
      <w:pPr>
        <w:spacing w:line="276" w:lineRule="auto"/>
        <w:jc w:val="both"/>
      </w:pPr>
    </w:p>
    <w:p w14:paraId="778C1090" w14:textId="4ADA4DD5" w:rsidR="00B53C39" w:rsidRPr="003E0254" w:rsidRDefault="00DA35C9">
      <w:pPr>
        <w:pStyle w:val="berschrift4"/>
        <w:spacing w:line="276" w:lineRule="auto"/>
        <w:rPr>
          <w:rFonts w:eastAsiaTheme="minorHAnsi" w:cstheme="minorBidi"/>
          <w:i w:val="0"/>
          <w:iCs w:val="0"/>
          <w:color w:val="auto"/>
        </w:rPr>
      </w:pPr>
      <w:r w:rsidRPr="003E0254">
        <w:rPr>
          <w:b/>
          <w:bCs/>
          <w:i w:val="0"/>
          <w:iCs w:val="0"/>
        </w:rPr>
        <w:lastRenderedPageBreak/>
        <w:t>2.</w:t>
      </w:r>
      <w:r w:rsidR="003E4F58" w:rsidRPr="003E0254">
        <w:rPr>
          <w:b/>
          <w:bCs/>
          <w:i w:val="0"/>
          <w:iCs w:val="0"/>
        </w:rPr>
        <w:t>5</w:t>
      </w:r>
      <w:r w:rsidRPr="003E0254">
        <w:rPr>
          <w:b/>
          <w:bCs/>
          <w:i w:val="0"/>
          <w:iCs w:val="0"/>
        </w:rPr>
        <w:t xml:space="preserve">.4 Summary and </w:t>
      </w:r>
      <w:r w:rsidR="007B26C7" w:rsidRPr="003E0254">
        <w:rPr>
          <w:b/>
          <w:bCs/>
          <w:i w:val="0"/>
          <w:iCs w:val="0"/>
        </w:rPr>
        <w:t>Outlook</w:t>
      </w:r>
      <w:r w:rsidRPr="003E0254">
        <w:rPr>
          <w:b/>
          <w:bCs/>
          <w:i w:val="0"/>
          <w:iCs w:val="0"/>
        </w:rPr>
        <w:t xml:space="preserve"> of Zinc-</w:t>
      </w:r>
      <w:r w:rsidR="00687EEE" w:rsidRPr="003E0254">
        <w:rPr>
          <w:b/>
          <w:bCs/>
          <w:i w:val="0"/>
          <w:iCs w:val="0"/>
        </w:rPr>
        <w:t>Based Flow Batteries</w:t>
      </w:r>
    </w:p>
    <w:p w14:paraId="4DE49110" w14:textId="0F7D343A" w:rsidR="000602BF" w:rsidRPr="003E0254" w:rsidRDefault="000602BF" w:rsidP="000602BF">
      <w:pPr>
        <w:pBdr>
          <w:top w:val="none" w:sz="4" w:space="0" w:color="000000"/>
          <w:left w:val="none" w:sz="4" w:space="0" w:color="000000"/>
          <w:bottom w:val="none" w:sz="4" w:space="0" w:color="000000"/>
          <w:right w:val="none" w:sz="4" w:space="0" w:color="000000"/>
        </w:pBdr>
        <w:spacing w:line="276" w:lineRule="auto"/>
        <w:jc w:val="both"/>
      </w:pPr>
      <w:r w:rsidRPr="003E0254">
        <w:t>As mentioned above in chapter 2.</w:t>
      </w:r>
      <w:r w:rsidR="003E4F58" w:rsidRPr="003E0254">
        <w:t>3</w:t>
      </w:r>
      <w:r w:rsidRPr="003E0254">
        <w:t>.4, lithium-ion batteries typically deliver cell voltages between 3.6</w:t>
      </w:r>
      <w:r w:rsidR="000B5B29" w:rsidRPr="003E0254">
        <w:t xml:space="preserve"> V </w:t>
      </w:r>
      <w:r w:rsidRPr="003E0254">
        <w:t>and 4.2</w:t>
      </w:r>
      <w:r w:rsidR="007D57E2" w:rsidRPr="003E0254">
        <w:t> </w:t>
      </w:r>
      <w:r w:rsidRPr="003E0254">
        <w:t>V and energy densities in the range of 150</w:t>
      </w:r>
      <w:r w:rsidRPr="003E0254">
        <w:rPr>
          <w:rFonts w:ascii="Aptos" w:hAnsi="Aptos" w:cs="Aptos"/>
        </w:rPr>
        <w:t>–</w:t>
      </w:r>
      <w:r w:rsidRPr="003E0254">
        <w:t>250</w:t>
      </w:r>
      <w:r w:rsidR="007D57E2" w:rsidRPr="003E0254">
        <w:t> </w:t>
      </w:r>
      <w:proofErr w:type="spellStart"/>
      <w:r w:rsidRPr="003E0254">
        <w:t>Wh</w:t>
      </w:r>
      <w:proofErr w:type="spellEnd"/>
      <w:r w:rsidR="007D57E2" w:rsidRPr="003E0254">
        <w:t> </w:t>
      </w:r>
      <w:r w:rsidRPr="003E0254">
        <w:t>kg</w:t>
      </w:r>
      <w:r w:rsidRPr="003E0254">
        <w:rPr>
          <w:rFonts w:ascii="Cambria Math" w:hAnsi="Cambria Math" w:cs="Cambria Math"/>
        </w:rPr>
        <w:t>⁻</w:t>
      </w:r>
      <w:r w:rsidRPr="003E0254">
        <w:rPr>
          <w:rFonts w:ascii="Aptos" w:hAnsi="Aptos" w:cs="Aptos"/>
        </w:rPr>
        <w:t>¹</w:t>
      </w:r>
      <w:r w:rsidRPr="003E0254">
        <w:t>. However, they often face challenges related to limited cycle life, safety concerns, and scalability issues for large-scale grid storage. In contrast, zinc-based redox flow batteries (RFBs) offer very long cycle lives, modular scalability, lower costs, and improved environmental sustainability</w:t>
      </w:r>
      <w:r w:rsidRPr="003E0254">
        <w:rPr>
          <w:rFonts w:ascii="Aptos" w:hAnsi="Aptos" w:cs="Aptos"/>
        </w:rPr>
        <w:t>—</w:t>
      </w:r>
      <w:r w:rsidRPr="003E0254">
        <w:t>thanks to zinc</w:t>
      </w:r>
      <w:r w:rsidRPr="003E0254">
        <w:rPr>
          <w:rFonts w:ascii="Aptos" w:hAnsi="Aptos" w:cs="Aptos"/>
        </w:rPr>
        <w:t>’</w:t>
      </w:r>
      <w:r w:rsidRPr="003E0254">
        <w:t>s abundance</w:t>
      </w:r>
      <w:r w:rsidR="00484FBB" w:rsidRPr="003E0254">
        <w:t xml:space="preserve">, accessibility, </w:t>
      </w:r>
      <w:r w:rsidRPr="003E0254">
        <w:t>and established recycling routes. Among the promising zinc-flow chemistries, several systems have demonstrated outstanding performance. For example, aqueous Br₂</w:t>
      </w:r>
      <w:r w:rsidR="00996CC5" w:rsidRPr="003E0254">
        <w:rPr>
          <w:lang w:eastAsia="de-DE"/>
        </w:rPr>
        <w:t>||Zn</w:t>
      </w:r>
      <w:r w:rsidRPr="003E0254">
        <w:t xml:space="preserve"> cells achieve a respectable energy density </w:t>
      </w:r>
      <w:r w:rsidR="000B5B29" w:rsidRPr="003E0254">
        <w:t xml:space="preserve">of </w:t>
      </w:r>
      <w:r w:rsidRPr="003E0254">
        <w:t>a</w:t>
      </w:r>
      <w:r w:rsidR="000B5B29" w:rsidRPr="003E0254">
        <w:t>bout</w:t>
      </w:r>
      <w:r w:rsidRPr="003E0254">
        <w:t xml:space="preserve"> 125</w:t>
      </w:r>
      <w:r w:rsidR="00BA672E" w:rsidRPr="003E0254">
        <w:t> </w:t>
      </w:r>
      <w:proofErr w:type="spellStart"/>
      <w:r w:rsidRPr="003E0254">
        <w:t>Wh</w:t>
      </w:r>
      <w:proofErr w:type="spellEnd"/>
      <w:r w:rsidR="00BA672E" w:rsidRPr="003E0254">
        <w:t> </w:t>
      </w:r>
      <w:r w:rsidRPr="003E0254">
        <w:t>L</w:t>
      </w:r>
      <w:r w:rsidRPr="003E0254">
        <w:rPr>
          <w:rFonts w:ascii="Cambria Math" w:hAnsi="Cambria Math" w:cs="Cambria Math"/>
        </w:rPr>
        <w:t>⁻</w:t>
      </w:r>
      <w:r w:rsidRPr="003E0254">
        <w:rPr>
          <w:rFonts w:ascii="Aptos" w:hAnsi="Aptos" w:cs="Aptos"/>
        </w:rPr>
        <w:t>¹</w:t>
      </w:r>
      <w:r w:rsidRPr="003E0254">
        <w:t>, making them attractive for high-power applications despite challenges</w:t>
      </w:r>
      <w:r w:rsidR="000B5B29" w:rsidRPr="003E0254">
        <w:t>,</w:t>
      </w:r>
      <w:r w:rsidRPr="003E0254">
        <w:t xml:space="preserve"> such as corrosion and toxicity. In aqueous Ce</w:t>
      </w:r>
      <w:r w:rsidR="00996CC5" w:rsidRPr="003E0254">
        <w:rPr>
          <w:lang w:eastAsia="de-DE"/>
        </w:rPr>
        <w:t>||Zn</w:t>
      </w:r>
      <w:r w:rsidRPr="003E0254">
        <w:t xml:space="preserve"> cells, the highest reported cell voltage of 3.08</w:t>
      </w:r>
      <w:r w:rsidR="00BA672E" w:rsidRPr="003E0254">
        <w:t> </w:t>
      </w:r>
      <w:r w:rsidRPr="003E0254">
        <w:t xml:space="preserve">V and an energy efficiency of 90% stand out, although these systems </w:t>
      </w:r>
      <w:r w:rsidR="00E07B93" w:rsidRPr="003E0254">
        <w:t>achieve</w:t>
      </w:r>
      <w:r w:rsidRPr="003E0254">
        <w:t xml:space="preserve"> extremely low cycle </w:t>
      </w:r>
      <w:r w:rsidR="00E07B93" w:rsidRPr="003E0254">
        <w:t>numbers</w:t>
      </w:r>
      <w:r w:rsidRPr="003E0254">
        <w:t>, as well as expensive and complex membrane systems. Additionally, aqueous I₂</w:t>
      </w:r>
      <w:r w:rsidR="00996CC5" w:rsidRPr="003E0254">
        <w:rPr>
          <w:lang w:eastAsia="de-DE"/>
        </w:rPr>
        <w:t>||Zn</w:t>
      </w:r>
      <w:r w:rsidRPr="003E0254">
        <w:t xml:space="preserve"> systems demonstrate exceptional longevity with cycle numbers exceeding 2500 at moderate current densities, though high material costs and environmental issues related to iodine remain </w:t>
      </w:r>
      <w:r w:rsidR="0066366F" w:rsidRPr="003E0254">
        <w:t xml:space="preserve">as </w:t>
      </w:r>
      <w:r w:rsidRPr="003E0254">
        <w:t xml:space="preserve">concerns </w:t>
      </w:r>
      <w:r w:rsidR="0066366F" w:rsidRPr="003E0254">
        <w:t xml:space="preserve">as well as </w:t>
      </w:r>
      <w:r w:rsidRPr="003E0254">
        <w:t>self-discharge. Organic Zn-based RFBs, exemplified by Zn–</w:t>
      </w:r>
      <w:r w:rsidR="00F91992" w:rsidRPr="003E0254">
        <w:t>o</w:t>
      </w:r>
      <w:r w:rsidRPr="003E0254">
        <w:t>rganic cells, show robust cycling performance over 2000–3000 cycles and support very high current densities (up to 200</w:t>
      </w:r>
      <w:r w:rsidR="00BA672E" w:rsidRPr="003E0254">
        <w:t> </w:t>
      </w:r>
      <w:r w:rsidRPr="003E0254">
        <w:t>mA</w:t>
      </w:r>
      <w:r w:rsidR="00BA672E" w:rsidRPr="003E0254">
        <w:t> </w:t>
      </w:r>
      <w:r w:rsidRPr="003E0254">
        <w:t>cm</w:t>
      </w:r>
      <w:r w:rsidRPr="003E0254">
        <w:rPr>
          <w:rFonts w:ascii="Cambria Math" w:hAnsi="Cambria Math" w:cs="Cambria Math"/>
        </w:rPr>
        <w:t>⁻</w:t>
      </w:r>
      <w:r w:rsidRPr="003E0254">
        <w:rPr>
          <w:rFonts w:ascii="Aptos" w:hAnsi="Aptos" w:cs="Aptos"/>
        </w:rPr>
        <w:t>²</w:t>
      </w:r>
      <w:r w:rsidRPr="003E0254">
        <w:t>), albeit with modest energy density (~20</w:t>
      </w:r>
      <w:r w:rsidR="00BA672E" w:rsidRPr="003E0254">
        <w:t> </w:t>
      </w:r>
      <w:proofErr w:type="spellStart"/>
      <w:r w:rsidRPr="003E0254">
        <w:t>Wh</w:t>
      </w:r>
      <w:proofErr w:type="spellEnd"/>
      <w:r w:rsidR="00BA672E" w:rsidRPr="003E0254">
        <w:t> </w:t>
      </w:r>
      <w:r w:rsidRPr="003E0254">
        <w:t>L</w:t>
      </w:r>
      <w:r w:rsidRPr="003E0254">
        <w:rPr>
          <w:rFonts w:ascii="Cambria Math" w:hAnsi="Cambria Math" w:cs="Cambria Math"/>
        </w:rPr>
        <w:t>⁻</w:t>
      </w:r>
      <w:r w:rsidRPr="003E0254">
        <w:rPr>
          <w:rFonts w:ascii="Aptos" w:hAnsi="Aptos" w:cs="Aptos"/>
        </w:rPr>
        <w:t>¹</w:t>
      </w:r>
      <w:r w:rsidRPr="003E0254">
        <w:t xml:space="preserve">) due to the inherent molecular mass of the redox-active species. A summary of the </w:t>
      </w:r>
      <w:r w:rsidR="00BA672E" w:rsidRPr="003E0254">
        <w:t>above-mentioned</w:t>
      </w:r>
      <w:r w:rsidRPr="003E0254">
        <w:t xml:space="preserve"> outstanding zinc-based redox flow chemistries can be found in </w:t>
      </w:r>
      <w:r w:rsidR="00E07B93" w:rsidRPr="003E0254">
        <w:t>Table 6</w:t>
      </w:r>
      <w:r w:rsidRPr="003E0254">
        <w:t>.</w:t>
      </w:r>
    </w:p>
    <w:p w14:paraId="46B8CBA9" w14:textId="20636DD7" w:rsidR="000602BF" w:rsidRPr="003E0254" w:rsidRDefault="000602BF" w:rsidP="000602BF">
      <w:pPr>
        <w:pBdr>
          <w:top w:val="none" w:sz="4" w:space="0" w:color="000000"/>
          <w:left w:val="none" w:sz="4" w:space="0" w:color="000000"/>
          <w:bottom w:val="none" w:sz="4" w:space="0" w:color="000000"/>
          <w:right w:val="none" w:sz="4" w:space="0" w:color="000000"/>
        </w:pBdr>
        <w:spacing w:line="276" w:lineRule="auto"/>
        <w:jc w:val="both"/>
      </w:pPr>
    </w:p>
    <w:p w14:paraId="55870220" w14:textId="63655B76" w:rsidR="005627A0" w:rsidRPr="003E0254" w:rsidRDefault="005627A0" w:rsidP="005627A0">
      <w:pPr>
        <w:pStyle w:val="Beschriftung"/>
        <w:keepNext/>
      </w:pPr>
      <w:r w:rsidRPr="003E0254">
        <w:t xml:space="preserve">Table </w:t>
      </w:r>
      <w:r w:rsidR="0054077B" w:rsidRPr="003E0254">
        <w:fldChar w:fldCharType="begin"/>
      </w:r>
      <w:r w:rsidR="0054077B" w:rsidRPr="003E0254">
        <w:instrText xml:space="preserve"> SEQ Table \* ARABIC </w:instrText>
      </w:r>
      <w:r w:rsidR="0054077B" w:rsidRPr="003E0254">
        <w:fldChar w:fldCharType="separate"/>
      </w:r>
      <w:r w:rsidR="00BC65F2" w:rsidRPr="003E0254">
        <w:rPr>
          <w:noProof/>
        </w:rPr>
        <w:t>6</w:t>
      </w:r>
      <w:r w:rsidR="0054077B" w:rsidRPr="003E0254">
        <w:rPr>
          <w:noProof/>
        </w:rPr>
        <w:fldChar w:fldCharType="end"/>
      </w:r>
      <w:r w:rsidRPr="003E0254">
        <w:t>:</w:t>
      </w:r>
      <w:r w:rsidR="00FA5121" w:rsidRPr="003E0254">
        <w:t xml:space="preserve"> Examples of high-performing zinc-flow batteries featuring various cell chemistries.</w:t>
      </w:r>
    </w:p>
    <w:tbl>
      <w:tblPr>
        <w:tblStyle w:val="Tabellenraster"/>
        <w:tblW w:w="5000" w:type="pct"/>
        <w:tblLayout w:type="fixed"/>
        <w:tblLook w:val="04A0" w:firstRow="1" w:lastRow="0" w:firstColumn="1" w:lastColumn="0" w:noHBand="0" w:noVBand="1"/>
      </w:tblPr>
      <w:tblGrid>
        <w:gridCol w:w="857"/>
        <w:gridCol w:w="939"/>
        <w:gridCol w:w="720"/>
        <w:gridCol w:w="1081"/>
        <w:gridCol w:w="989"/>
        <w:gridCol w:w="843"/>
        <w:gridCol w:w="957"/>
        <w:gridCol w:w="1169"/>
        <w:gridCol w:w="1795"/>
      </w:tblGrid>
      <w:tr w:rsidR="00B53C39" w:rsidRPr="003E0254" w14:paraId="1BD5E4FA" w14:textId="77777777" w:rsidTr="000E3AB3">
        <w:trPr>
          <w:trHeight w:val="483"/>
        </w:trPr>
        <w:tc>
          <w:tcPr>
            <w:tcW w:w="458" w:type="pct"/>
            <w:vAlign w:val="center"/>
          </w:tcPr>
          <w:p w14:paraId="4DE108BB" w14:textId="77777777" w:rsidR="00B53C39" w:rsidRPr="003E0254" w:rsidRDefault="00DA35C9">
            <w:pPr>
              <w:spacing w:line="276" w:lineRule="auto"/>
              <w:jc w:val="center"/>
              <w:rPr>
                <w:b/>
                <w:bCs/>
                <w:sz w:val="20"/>
                <w:szCs w:val="20"/>
              </w:rPr>
            </w:pPr>
            <w:r w:rsidRPr="003E0254">
              <w:rPr>
                <w:b/>
                <w:bCs/>
                <w:sz w:val="20"/>
                <w:szCs w:val="20"/>
              </w:rPr>
              <w:t>Cell type</w:t>
            </w:r>
          </w:p>
        </w:tc>
        <w:tc>
          <w:tcPr>
            <w:tcW w:w="502" w:type="pct"/>
            <w:vAlign w:val="center"/>
          </w:tcPr>
          <w:p w14:paraId="4D18CDFE" w14:textId="77777777" w:rsidR="00B53C39" w:rsidRPr="003E0254" w:rsidRDefault="00DA35C9">
            <w:pPr>
              <w:spacing w:line="276" w:lineRule="auto"/>
              <w:jc w:val="center"/>
              <w:rPr>
                <w:b/>
                <w:bCs/>
                <w:sz w:val="20"/>
                <w:szCs w:val="20"/>
              </w:rPr>
            </w:pPr>
            <w:r w:rsidRPr="003E0254">
              <w:rPr>
                <w:b/>
                <w:bCs/>
                <w:sz w:val="20"/>
                <w:szCs w:val="20"/>
              </w:rPr>
              <w:t>Components</w:t>
            </w:r>
          </w:p>
        </w:tc>
        <w:tc>
          <w:tcPr>
            <w:tcW w:w="2455" w:type="pct"/>
            <w:gridSpan w:val="5"/>
            <w:vAlign w:val="center"/>
          </w:tcPr>
          <w:p w14:paraId="4BA35DDE" w14:textId="77777777" w:rsidR="00B53C39" w:rsidRPr="003E0254" w:rsidRDefault="00DA35C9">
            <w:pPr>
              <w:spacing w:line="276" w:lineRule="auto"/>
              <w:jc w:val="center"/>
              <w:rPr>
                <w:b/>
                <w:bCs/>
                <w:sz w:val="20"/>
                <w:szCs w:val="20"/>
              </w:rPr>
            </w:pPr>
            <w:r w:rsidRPr="003E0254">
              <w:rPr>
                <w:b/>
                <w:bCs/>
                <w:sz w:val="20"/>
                <w:szCs w:val="20"/>
              </w:rPr>
              <w:t>Performance Indicator</w:t>
            </w:r>
          </w:p>
        </w:tc>
        <w:tc>
          <w:tcPr>
            <w:tcW w:w="625" w:type="pct"/>
            <w:vAlign w:val="center"/>
          </w:tcPr>
          <w:p w14:paraId="5554EA42" w14:textId="77777777" w:rsidR="00B53C39" w:rsidRPr="003E0254" w:rsidRDefault="00DA35C9">
            <w:pPr>
              <w:spacing w:line="276" w:lineRule="auto"/>
              <w:jc w:val="center"/>
              <w:rPr>
                <w:b/>
                <w:bCs/>
                <w:sz w:val="20"/>
                <w:szCs w:val="20"/>
              </w:rPr>
            </w:pPr>
            <w:r w:rsidRPr="003E0254">
              <w:rPr>
                <w:b/>
                <w:bCs/>
                <w:sz w:val="20"/>
                <w:szCs w:val="20"/>
              </w:rPr>
              <w:t>REF</w:t>
            </w:r>
          </w:p>
        </w:tc>
        <w:tc>
          <w:tcPr>
            <w:tcW w:w="960" w:type="pct"/>
            <w:vAlign w:val="center"/>
          </w:tcPr>
          <w:p w14:paraId="35ABD34C" w14:textId="77777777" w:rsidR="00B53C39" w:rsidRPr="003E0254" w:rsidRDefault="00DA35C9">
            <w:pPr>
              <w:spacing w:line="276" w:lineRule="auto"/>
              <w:jc w:val="center"/>
              <w:rPr>
                <w:b/>
                <w:bCs/>
                <w:sz w:val="20"/>
                <w:szCs w:val="20"/>
              </w:rPr>
            </w:pPr>
            <w:r w:rsidRPr="003E0254">
              <w:rPr>
                <w:b/>
                <w:bCs/>
                <w:sz w:val="20"/>
                <w:szCs w:val="20"/>
              </w:rPr>
              <w:t>Comment</w:t>
            </w:r>
          </w:p>
        </w:tc>
      </w:tr>
      <w:tr w:rsidR="00B53C39" w:rsidRPr="003E0254" w14:paraId="63B9DCB4" w14:textId="77777777" w:rsidTr="000E3AB3">
        <w:trPr>
          <w:trHeight w:val="1196"/>
        </w:trPr>
        <w:tc>
          <w:tcPr>
            <w:tcW w:w="458" w:type="pct"/>
            <w:vAlign w:val="center"/>
          </w:tcPr>
          <w:p w14:paraId="77BE008A" w14:textId="77777777" w:rsidR="00B53C39" w:rsidRPr="003E0254" w:rsidRDefault="00B53C39">
            <w:pPr>
              <w:spacing w:line="276" w:lineRule="auto"/>
              <w:jc w:val="center"/>
              <w:rPr>
                <w:sz w:val="20"/>
                <w:szCs w:val="20"/>
              </w:rPr>
            </w:pPr>
          </w:p>
        </w:tc>
        <w:tc>
          <w:tcPr>
            <w:tcW w:w="502" w:type="pct"/>
            <w:vAlign w:val="center"/>
          </w:tcPr>
          <w:p w14:paraId="4F27B767" w14:textId="77777777" w:rsidR="00B53C39" w:rsidRPr="003E0254" w:rsidRDefault="00B53C39">
            <w:pPr>
              <w:spacing w:line="276" w:lineRule="auto"/>
              <w:jc w:val="center"/>
              <w:rPr>
                <w:sz w:val="20"/>
                <w:szCs w:val="20"/>
              </w:rPr>
            </w:pPr>
          </w:p>
        </w:tc>
        <w:tc>
          <w:tcPr>
            <w:tcW w:w="385" w:type="pct"/>
            <w:vAlign w:val="center"/>
          </w:tcPr>
          <w:p w14:paraId="41B3BB44" w14:textId="77777777" w:rsidR="00B53C39" w:rsidRPr="003E0254" w:rsidRDefault="00DA35C9">
            <w:pPr>
              <w:spacing w:line="276" w:lineRule="auto"/>
              <w:jc w:val="center"/>
              <w:rPr>
                <w:sz w:val="20"/>
                <w:szCs w:val="20"/>
              </w:rPr>
            </w:pPr>
            <w:r w:rsidRPr="003E0254">
              <w:rPr>
                <w:sz w:val="20"/>
                <w:szCs w:val="20"/>
              </w:rPr>
              <w:t>Cycle number</w:t>
            </w:r>
          </w:p>
        </w:tc>
        <w:tc>
          <w:tcPr>
            <w:tcW w:w="578" w:type="pct"/>
            <w:vAlign w:val="center"/>
          </w:tcPr>
          <w:p w14:paraId="2723F92B" w14:textId="77777777" w:rsidR="00B53C39" w:rsidRPr="003E0254" w:rsidRDefault="00DA35C9">
            <w:pPr>
              <w:spacing w:line="276" w:lineRule="auto"/>
              <w:jc w:val="center"/>
              <w:rPr>
                <w:sz w:val="20"/>
                <w:szCs w:val="20"/>
              </w:rPr>
            </w:pPr>
            <w:r w:rsidRPr="003E0254">
              <w:rPr>
                <w:sz w:val="20"/>
                <w:szCs w:val="20"/>
              </w:rPr>
              <w:t>Energy Efficiency / %</w:t>
            </w:r>
          </w:p>
        </w:tc>
        <w:tc>
          <w:tcPr>
            <w:tcW w:w="529" w:type="pct"/>
            <w:vAlign w:val="center"/>
          </w:tcPr>
          <w:p w14:paraId="2A1ABBD1" w14:textId="77777777" w:rsidR="00B53C39" w:rsidRPr="003E0254" w:rsidRDefault="00DA35C9">
            <w:pPr>
              <w:spacing w:line="276" w:lineRule="auto"/>
              <w:jc w:val="center"/>
              <w:rPr>
                <w:sz w:val="20"/>
                <w:szCs w:val="20"/>
                <w:vertAlign w:val="superscript"/>
              </w:rPr>
            </w:pPr>
            <w:r w:rsidRPr="003E0254">
              <w:rPr>
                <w:sz w:val="20"/>
                <w:szCs w:val="20"/>
              </w:rPr>
              <w:t xml:space="preserve">Capacity / </w:t>
            </w:r>
            <w:proofErr w:type="spellStart"/>
            <w:r w:rsidRPr="003E0254">
              <w:rPr>
                <w:sz w:val="20"/>
                <w:szCs w:val="20"/>
              </w:rPr>
              <w:t>Wh</w:t>
            </w:r>
            <w:proofErr w:type="spellEnd"/>
            <w:r w:rsidRPr="003E0254">
              <w:rPr>
                <w:sz w:val="20"/>
                <w:szCs w:val="20"/>
              </w:rPr>
              <w:t xml:space="preserve"> L</w:t>
            </w:r>
            <w:r w:rsidRPr="003E0254">
              <w:rPr>
                <w:sz w:val="20"/>
                <w:szCs w:val="20"/>
                <w:vertAlign w:val="superscript"/>
              </w:rPr>
              <w:t>-1</w:t>
            </w:r>
          </w:p>
        </w:tc>
        <w:tc>
          <w:tcPr>
            <w:tcW w:w="451" w:type="pct"/>
            <w:vAlign w:val="center"/>
          </w:tcPr>
          <w:p w14:paraId="5EA4088E" w14:textId="77777777" w:rsidR="00B53C39" w:rsidRPr="003E0254" w:rsidRDefault="00DA35C9">
            <w:pPr>
              <w:spacing w:line="276" w:lineRule="auto"/>
              <w:jc w:val="center"/>
              <w:rPr>
                <w:sz w:val="20"/>
                <w:szCs w:val="20"/>
              </w:rPr>
            </w:pPr>
            <w:r w:rsidRPr="003E0254">
              <w:rPr>
                <w:sz w:val="20"/>
                <w:szCs w:val="20"/>
              </w:rPr>
              <w:t>Cell voltage / V</w:t>
            </w:r>
          </w:p>
        </w:tc>
        <w:tc>
          <w:tcPr>
            <w:tcW w:w="512" w:type="pct"/>
            <w:vAlign w:val="center"/>
          </w:tcPr>
          <w:p w14:paraId="55E9224D" w14:textId="77777777" w:rsidR="00B53C39" w:rsidRPr="003E0254" w:rsidRDefault="00DA35C9">
            <w:pPr>
              <w:spacing w:line="276" w:lineRule="auto"/>
              <w:jc w:val="center"/>
              <w:rPr>
                <w:sz w:val="20"/>
                <w:szCs w:val="20"/>
              </w:rPr>
            </w:pPr>
            <w:r w:rsidRPr="003E0254">
              <w:rPr>
                <w:sz w:val="20"/>
                <w:szCs w:val="20"/>
              </w:rPr>
              <w:t>Current density/</w:t>
            </w:r>
          </w:p>
          <w:p w14:paraId="6BD5C155" w14:textId="77777777" w:rsidR="00B53C39" w:rsidRPr="003E0254" w:rsidRDefault="00DA35C9">
            <w:pPr>
              <w:spacing w:line="276" w:lineRule="auto"/>
              <w:jc w:val="center"/>
              <w:rPr>
                <w:sz w:val="20"/>
                <w:szCs w:val="20"/>
              </w:rPr>
            </w:pPr>
            <w:r w:rsidRPr="003E0254">
              <w:rPr>
                <w:sz w:val="20"/>
                <w:szCs w:val="20"/>
              </w:rPr>
              <w:t>mA cm</w:t>
            </w:r>
            <w:r w:rsidRPr="003E0254">
              <w:rPr>
                <w:sz w:val="20"/>
                <w:szCs w:val="20"/>
                <w:vertAlign w:val="superscript"/>
              </w:rPr>
              <w:t>-</w:t>
            </w:r>
            <w:r w:rsidRPr="003E0254">
              <w:rPr>
                <w:sz w:val="20"/>
                <w:szCs w:val="20"/>
              </w:rPr>
              <w:t>²</w:t>
            </w:r>
          </w:p>
        </w:tc>
        <w:tc>
          <w:tcPr>
            <w:tcW w:w="625" w:type="pct"/>
          </w:tcPr>
          <w:p w14:paraId="0266C029" w14:textId="3B1A260A" w:rsidR="00B53C39" w:rsidRPr="003E0254" w:rsidRDefault="00DA35C9">
            <w:pPr>
              <w:spacing w:line="276" w:lineRule="auto"/>
              <w:jc w:val="center"/>
              <w:rPr>
                <w:sz w:val="20"/>
                <w:szCs w:val="20"/>
                <w:lang w:val="de-DE"/>
              </w:rPr>
            </w:pPr>
            <w:r w:rsidRPr="003E0254">
              <w:rPr>
                <w:sz w:val="20"/>
                <w:szCs w:val="20"/>
                <w:lang w:val="de-DE"/>
              </w:rPr>
              <w:t>Mahmood et al.</w:t>
            </w:r>
            <w:r w:rsidR="00EE56B4" w:rsidRPr="003E0254">
              <w:rPr>
                <w:sz w:val="20"/>
                <w:szCs w:val="20"/>
              </w:rPr>
              <w:fldChar w:fldCharType="begin" w:fldLock="1"/>
            </w:r>
            <w:r w:rsidR="00500B8D" w:rsidRPr="003E0254">
              <w:rPr>
                <w:sz w:val="20"/>
                <w:szCs w:val="20"/>
                <w:lang w:val="de-DE"/>
              </w:rPr>
              <w:instrText>ADDIN CSL_CITATION {"citationItems":[{"id":"ITEM-1","itemData":{"DOI":"10.1002/ADVS.202305561","ISSN":"2198-3844","PMID":"37988707","abstract":"Zinc-bromine batteries (ZBBs) have recently gained significant attention as inexpensive and safer alternatives to potentially flammable lithium-ion batteries. Zn metal is relatively stable in aqueous electrolytes, making ZBBs safer and easier to handle. However, Zn metal anodes are still affected by several issues, including dendrite growth, Zn dissolution, and the crossover of Br species from cathodes to corrode anodes, resulting in self-discharge and fast performance fading. Similarly, Br2 undergoes sluggish redox reactions on cathodes, which brings several issues such as poor reaction kinetics, the highly corrosive nature of Br species leading to corrosion of separators and poisoning of anodes, and the volatile nature of Br species causing increased internal pressures, etc. These issues are compounded in flowless ZBB configuration as no fresh electrolyte is available to provide extra/fresh reaction species. In this review, the factors controlling the performance of ZBBs in flow and flowless configurations are thoroughly reviewed, along with the status of ZBBs in the commercial sector. The review also summarizes various novel methodologies to mitigate these challenges and presents research areas for future studies. In summary, this review will offer a perspective on the historical evolution, recent advancements, and prospects of ZBBs.","author":[{"dropping-particle":"","family":"Mahmood","given":"Asif","non-dropping-particle":"","parse-names":false,"suffix":""},{"dropping-particle":"","family":"Zheng","given":"Zhi","non-dropping-particle":"","parse-names":false,"suffix":""},{"dropping-particle":"","family":"Chen","given":"Yuan","non-dropping-particle":"","parse-names":false,"suffix":""}],"container-title":"Advanced Science","id":"ITEM-1","issue":"3","issued":{"date-parts":[["2024","1","1"]]},"page":"2305561","publisher":"John Wiley &amp; Sons, Ltd","title":"Zinc–Bromine Batteries: Challenges, Prospective Solutions, and Future","type":"article-journal","volume":"11"},"uris":["http://www.mendeley.com/documents/?uuid=c86865f4-4980-36c9-94fd-756947b1095b"]}],"mendeley":{"formattedCitation":"&lt;sup&gt;[276]&lt;/sup&gt;","plainTextFormattedCitation":"[276]","previouslyFormattedCitation":"&lt;sup&gt;[275]&lt;/sup&gt;"},"properties":{"noteIndex":0},"schema":"https://github.com/citation-style-language/schema/raw/master/csl-citation.json"}</w:instrText>
            </w:r>
            <w:r w:rsidR="00EE56B4" w:rsidRPr="003E0254">
              <w:rPr>
                <w:sz w:val="20"/>
                <w:szCs w:val="20"/>
              </w:rPr>
              <w:fldChar w:fldCharType="separate"/>
            </w:r>
            <w:r w:rsidR="00500B8D" w:rsidRPr="003E0254">
              <w:rPr>
                <w:noProof/>
                <w:sz w:val="20"/>
                <w:szCs w:val="20"/>
                <w:vertAlign w:val="superscript"/>
                <w:lang w:val="de-DE"/>
              </w:rPr>
              <w:t>[276]</w:t>
            </w:r>
            <w:r w:rsidR="00EE56B4" w:rsidRPr="003E0254">
              <w:rPr>
                <w:sz w:val="20"/>
                <w:szCs w:val="20"/>
              </w:rPr>
              <w:fldChar w:fldCharType="end"/>
            </w:r>
            <w:r w:rsidRPr="003E0254">
              <w:rPr>
                <w:sz w:val="20"/>
                <w:szCs w:val="20"/>
                <w:lang w:val="de-DE"/>
              </w:rPr>
              <w:t xml:space="preserve"> </w:t>
            </w:r>
          </w:p>
          <w:p w14:paraId="3B1A0A11" w14:textId="09B93628" w:rsidR="00B53C39" w:rsidRPr="003E0254" w:rsidRDefault="00DA35C9">
            <w:pPr>
              <w:spacing w:line="276" w:lineRule="auto"/>
              <w:jc w:val="center"/>
              <w:rPr>
                <w:sz w:val="20"/>
                <w:szCs w:val="20"/>
                <w:lang w:val="de-DE"/>
              </w:rPr>
            </w:pPr>
            <w:r w:rsidRPr="003E0254">
              <w:rPr>
                <w:sz w:val="20"/>
                <w:szCs w:val="20"/>
                <w:lang w:val="de-DE"/>
              </w:rPr>
              <w:t>Wang et al</w:t>
            </w:r>
            <w:r w:rsidR="00EE56B4" w:rsidRPr="003E0254">
              <w:rPr>
                <w:sz w:val="20"/>
                <w:szCs w:val="20"/>
                <w:lang w:val="de-DE"/>
              </w:rPr>
              <w:t>.</w:t>
            </w:r>
            <w:r w:rsidR="00EE56B4" w:rsidRPr="003E0254">
              <w:rPr>
                <w:sz w:val="20"/>
                <w:szCs w:val="20"/>
              </w:rPr>
              <w:fldChar w:fldCharType="begin" w:fldLock="1"/>
            </w:r>
            <w:r w:rsidR="00500B8D" w:rsidRPr="003E0254">
              <w:rPr>
                <w:sz w:val="20"/>
                <w:szCs w:val="20"/>
                <w:lang w:val="de-DE"/>
              </w:rPr>
              <w:instrText>ADDIN CSL_CITATION {"citationItems":[{"id":"ITEM-1","itemData":{"DOI":"10.1039/D4EE01015A","ISSN":"1754-5706","abstract":"Zinc-based flow batteries (ZFBs) are regarded as promising candidates for large-scale energy storage systems. However, the formation of dead zinc and dendrites, especially at high areal capacities and current densities, makes ZFBs commonly operate at a low anolyte utilization rate (AUR), limiting their applications. In this study, we developed an effective strategy for addressing these problems through Zn–Bi2O3 chemistry. We found that the electrochemical oxidation of dead zinc by Bi2O3 can rapidly restore the lost capacity of the battery. We also discovered that the presence of saturated high-valent bismuth salts in the anolyte can aid in forming functional Bi and ZnBi alloy interfaces, thus hindering the growth of zinc dendrites. Consequently, alkaline zinc–iron flow batteries (AZIFBs) with Bi2O3 can maintain an AUR of 99% even at 160 mA cm−2, which is, to our knowledge, the highest value ever reported for ZFBs at such a high current density. These AZIFBs can also achieve ultrahigh cycling stability for over 800 hours, with an average Coulombic efficiency of 99.6% and a high areal capacity of 99.5 mA h cm−2. Overall, this study provides valuable insights into high-energy-density and low-cost ZFBs with a high AUR and promotes their development.","author":[{"dropping-particle":"","family":"Wang","given":"Shengnan","non-dropping-particle":"","parse-names":false,"suffix":""},{"dropping-particle":"","family":"Li","given":"Tianyu","non-dropping-particle":"","parse-names":false,"suffix":""},{"dropping-particle":"","family":"Yuan","given":"Chenguang","non-dropping-particle":"","parse-names":false,"suffix":""},{"dropping-particle":"","family":"Zhu","given":"Jiaxiong","non-dropping-particle":"","parse-names":false,"suffix":""},{"dropping-particle":"","family":"Li","given":"Pei","non-dropping-particle":"","parse-names":false,"suffix":""},{"dropping-particle":"","family":"Zhang","given":"Shaoce","non-dropping-particle":"","parse-names":false,"suffix":""},{"dropping-particle":"","family":"Wei","given":"Zhiquan","non-dropping-particle":"","parse-names":false,"suffix":""},{"dropping-particle":"","family":"Wang","given":"Yiqiao","non-dropping-particle":"","parse-names":false,"suffix":""},{"dropping-particle":"","family":"Li","given":"Xianfeng","non-dropping-particle":"","parse-names":false,"suffix":""},{"dropping-particle":"","family":"Zhi","given":"Chunyi","non-dropping-particle":"","parse-names":false,"suffix":""}],"container-title":"Energy &amp; Environmental Science","id":"ITEM-1","issue":"19","issued":{"date-parts":[["2024","10","1"]]},"page":"7155-7164","publisher":"The Royal Society of Chemistry","title":"Realizing an anolyte utilization rate of 99% in low-cost zinc-based flow batteries by rejuvenating dead zinc","type":"article-journal","volume":"17"},"uris":["http://www.mendeley.com/documents/?uuid=89844076-297e-332b-b646-e633be202d68"]}],"mendeley":{"formattedCitation":"&lt;sup&gt;[287]&lt;/sup&gt;","plainTextFormattedCitation":"[287]","previouslyFormattedCitation":"&lt;sup&gt;[286]&lt;/sup&gt;"},"properties":{"noteIndex":0},"schema":"https://github.com/citation-style-language/schema/raw/master/csl-citation.json"}</w:instrText>
            </w:r>
            <w:r w:rsidR="00EE56B4" w:rsidRPr="003E0254">
              <w:rPr>
                <w:sz w:val="20"/>
                <w:szCs w:val="20"/>
              </w:rPr>
              <w:fldChar w:fldCharType="separate"/>
            </w:r>
            <w:r w:rsidR="00500B8D" w:rsidRPr="003E0254">
              <w:rPr>
                <w:noProof/>
                <w:sz w:val="20"/>
                <w:szCs w:val="20"/>
                <w:vertAlign w:val="superscript"/>
                <w:lang w:val="de-DE"/>
              </w:rPr>
              <w:t>[287]</w:t>
            </w:r>
            <w:r w:rsidR="00EE56B4" w:rsidRPr="003E0254">
              <w:rPr>
                <w:sz w:val="20"/>
                <w:szCs w:val="20"/>
              </w:rPr>
              <w:fldChar w:fldCharType="end"/>
            </w:r>
            <w:r w:rsidRPr="003E0254">
              <w:rPr>
                <w:sz w:val="20"/>
                <w:szCs w:val="20"/>
                <w:lang w:val="de-DE"/>
              </w:rPr>
              <w:t xml:space="preserve"> 2024</w:t>
            </w:r>
          </w:p>
          <w:p w14:paraId="4E867FAB" w14:textId="10DE1CC3" w:rsidR="00B53C39" w:rsidRPr="003E0254" w:rsidRDefault="00DA35C9">
            <w:pPr>
              <w:spacing w:line="276" w:lineRule="auto"/>
              <w:jc w:val="center"/>
              <w:rPr>
                <w:sz w:val="20"/>
                <w:szCs w:val="20"/>
              </w:rPr>
            </w:pPr>
            <w:r w:rsidRPr="003E0254">
              <w:rPr>
                <w:sz w:val="20"/>
                <w:szCs w:val="20"/>
                <w:lang w:val="de-DE"/>
              </w:rPr>
              <w:t>Leung et al.</w:t>
            </w:r>
            <w:r w:rsidR="00EE56B4" w:rsidRPr="003E0254">
              <w:rPr>
                <w:sz w:val="20"/>
                <w:szCs w:val="20"/>
              </w:rPr>
              <w:fldChar w:fldCharType="begin" w:fldLock="1"/>
            </w:r>
            <w:r w:rsidR="00500B8D" w:rsidRPr="003E0254">
              <w:rPr>
                <w:sz w:val="20"/>
                <w:szCs w:val="20"/>
                <w:lang w:val="de-DE"/>
              </w:rPr>
              <w:instrText>ADDIN CSL_CITATION {"citationItems":[{"id":"ITEM-1","itemData":{"DOI":"10.1016/J.JPOWSOUR.2017.05.057","ISSN":"0378-7753","abstract":"Redox flow batteries (RFBs) have emerged as prime candidates for energy storage on the medium and large scales, particularly at the grid scale. The demand for versatile energy storage continues to increase as more electrical energy is generated from intermittent renewable sources. A major barrier in the way of broad deployment and deep market penetration is the use of expensive metals as the active species in the electrolytes. The use of organic redox couples in aqueous or non-aqueous electrolytes is a promising approach to reducing the overall cost in long-term, since these materials can be low-cost and abundant. The performance of such redox couples can be tuned by modifying their chemical structure. In recent years, significant developments in organic redox flow batteries has taken place, with the introduction of new groups of highly soluble organic molecules, capable of providing a cell voltage and charge capacity comparable to conventional metal-based systems. This review summarises the fundamental developments and characterization of organic redox flow batteries from both the chemistry and materials perspectives. The latest advances, future challenges and opportunities for further development are discussed.","author":[{"dropping-particle":"","family":"Leung","given":"P.","non-dropping-particle":"","parse-names":false,"suffix":""},{"dropping-particle":"","family":"Shah","given":"A. A.","non-dropping-particle":"","parse-names":false,"suffix":""},{"dropping-particle":"","family":"Sanz","given":"L.","non-dropping-particle":"","parse-names":false,"suffix":""},{"dropping-particle":"","family":"Flox","given":"C.","non-dropping-particle":"","parse-names":false,"suffix":""},{"dropping-particle":"","family":"Morante","given":"J. R.","non-dropping-particle":"","parse-names":false,"suffix":""},{"dropping-particle":"","family":"Xu","given":"Q.","non-dropping-particle":"","parse-names":false,"suffix":""},{"dropping-particle":"","family":"Mohamed","given":"M. R.","non-dropping-particle":"","parse-names":false,"suffix":""},{"dropping-particle":"","family":"Ponce de León","given":"C.","non-dropping-particle":"","parse-names":false,"suffix":""},{"dropping-particle":"","family":"Walsh","given":"F. C.","non-dropping-particle":"","parse-names":false,"suffix":""}],"container-title":"Journal of Power Sources","id":"ITEM-1","issued":{"date-parts":[["2017","8","31"]]},"page":"243-283","publisher":"Elsevier","title":"Recent developments in organic redox flow batteries: A critical review","type":"article-journal","volume":"360"},"uris":["http://www.mendeley.com/documents/?uuid=9294e60e-f246-3c97-8909-2756df80f5be"]}],"mendeley":{"formattedCitation":"&lt;sup&gt;[288]&lt;/sup&gt;","plainTextFormattedCitation":"[288]","previouslyFormattedCitation":"&lt;sup&gt;[287]&lt;/sup&gt;"},"properties":{"noteIndex":0},"schema":"https://github.com/citation-style-language/schema/raw/master/csl-citation.json"}</w:instrText>
            </w:r>
            <w:r w:rsidR="00EE56B4" w:rsidRPr="003E0254">
              <w:rPr>
                <w:sz w:val="20"/>
                <w:szCs w:val="20"/>
              </w:rPr>
              <w:fldChar w:fldCharType="separate"/>
            </w:r>
            <w:r w:rsidR="00500B8D" w:rsidRPr="003E0254">
              <w:rPr>
                <w:noProof/>
                <w:sz w:val="20"/>
                <w:szCs w:val="20"/>
                <w:vertAlign w:val="superscript"/>
              </w:rPr>
              <w:t>[288]</w:t>
            </w:r>
            <w:r w:rsidR="00EE56B4" w:rsidRPr="003E0254">
              <w:rPr>
                <w:sz w:val="20"/>
                <w:szCs w:val="20"/>
              </w:rPr>
              <w:fldChar w:fldCharType="end"/>
            </w:r>
          </w:p>
          <w:p w14:paraId="64D9FFE1" w14:textId="32D1217E" w:rsidR="00B53C39" w:rsidRPr="003E0254" w:rsidRDefault="00DA35C9">
            <w:pPr>
              <w:spacing w:line="276" w:lineRule="auto"/>
              <w:jc w:val="center"/>
              <w:rPr>
                <w:sz w:val="20"/>
                <w:szCs w:val="20"/>
              </w:rPr>
            </w:pPr>
            <w:proofErr w:type="spellStart"/>
            <w:r w:rsidRPr="003E0254">
              <w:rPr>
                <w:sz w:val="20"/>
                <w:szCs w:val="20"/>
              </w:rPr>
              <w:t>Cremoncini</w:t>
            </w:r>
            <w:proofErr w:type="spellEnd"/>
            <w:r w:rsidRPr="003E0254">
              <w:rPr>
                <w:sz w:val="20"/>
                <w:szCs w:val="20"/>
              </w:rPr>
              <w:t xml:space="preserve"> et al.</w:t>
            </w:r>
            <w:r w:rsidR="005C5C3D" w:rsidRPr="003E0254">
              <w:rPr>
                <w:sz w:val="20"/>
                <w:szCs w:val="20"/>
              </w:rPr>
              <w:fldChar w:fldCharType="begin" w:fldLock="1"/>
            </w:r>
            <w:r w:rsidR="00500B8D" w:rsidRPr="003E0254">
              <w:rPr>
                <w:sz w:val="20"/>
                <w:szCs w:val="20"/>
              </w:rPr>
              <w:instrText>ADDIN CSL_CITATION {"citationItems":[{"id":"ITEM-1","itemData":{"DOI":"10.1016/J.APENERGY.2024.122738","ISSN":"0306-2619","abstract":"Redox Flow Batteries (RFBs) are a versatile and durable type of electrochemical storage and a promising option for large-scale stationary energy storage. Aqueous Organic Redox Flow Batteries (AORFBs) are an innovative category of RFBs that utilize organic species as active molecules in aqueous electrolytes. These species allow for customization of their properties to achieve high technical performance and reduce battery cost. This study presents a comprehensive techno-economic analysis of AORFBs, evaluating their cost metrics and their associated uncertainties. The work modeled both capital cost and Levelized Cost of Storage (LCOS) for RFBs. The model was validated on the Vanadium Redox Flow Battery (VRFB), and it was employed to evaluate the costs for a generic AORFB, using a Monte Carlo technique to incorporate the uncertainty related to the value of critical parameters. Through stochastic analysis, AORFBs are estimated to have an average specific capital cost of 674 €/kWh for 4 h, and 398 €/kWh for 8 h batteries, and probabilities between 16.9% and 29.6% of having lower capital costs compared to VRFBs. AORFBs are estimated to have a current levelized cost, calculated including only the cost of energy lost in the storage due to irreversibility, of about 530 €/MWh for 4 h, and 411 €/MWh for 8 h batteries. The levelized costs of storage, calculated including the total cost of energy charged into the storage, have average values of 663 €/MWh for 4 h, and 543 €/MWh for 8 h batteries. AORFBs have less than 1% probability of having lower LCOS than VRFBs. Current AORFB systems have higher costs compared to state-of-the-art VRFBs, even assuming a low fabrication cost for available organic molecules. This is caused primarily by the AORFBs’ low energy and power densities and high degradation rates. To ensure cost competitiveness with VRFBs, it is essential to identify better-performing organic redox pairs, which should exhibit high open circuit voltage (≥ 1.1 V), should maintain reasonable round-trip efficiency (≥ 71%) while operating at a high current density (≥55mA/cm2). Furthermore, new organic species should have low degradation rates (≤ 0.4 %/day).","author":[{"dropping-particle":"","family":"Cremoncini","given":"Diana","non-dropping-particle":"","parse-names":false,"suffix":""},{"dropping-particle":"","family":"Lorenzo","given":"Giuseppina","non-dropping-particle":"Di","parse-names":false,"suffix":""},{"dropping-particle":"","family":"Frate","given":"Guido Francesco","non-dropping-particle":"","parse-names":false,"suffix":""},{"dropping-particle":"","family":"Bischi","given":"Aldo","non-dropping-particle":"","parse-names":false,"suffix":""},{"dropping-particle":"","family":"Baccioli","given":"Andrea","non-dropping-particle":"","parse-names":false,"suffix":""},{"dropping-particle":"","family":"Ferrari","given":"Lorenzo","non-dropping-particle":"","parse-names":false,"suffix":""}],"container-title":"Applied Energy","id":"ITEM-1","issued":{"date-parts":[["2024","4","15"]]},"page":"122738","publisher":"Elsevier","title":"Techno-economic analysis of Aqueous Organic Redox Flow Batteries: Stochastic investigation of capital cost and levelized cost of storage","type":"article-journal","volume":"360"},"uris":["http://www.mendeley.com/documents/?uuid=1700198b-298b-369c-92e6-d86c3e8f1ecf"]}],"mendeley":{"formattedCitation":"&lt;sup&gt;[289]&lt;/sup&gt;","plainTextFormattedCitation":"[289]","previouslyFormattedCitation":"&lt;sup&gt;[288]&lt;/sup&gt;"},"properties":{"noteIndex":0},"schema":"https://github.com/citation-style-language/schema/raw/master/csl-citation.json"}</w:instrText>
            </w:r>
            <w:r w:rsidR="005C5C3D" w:rsidRPr="003E0254">
              <w:rPr>
                <w:sz w:val="20"/>
                <w:szCs w:val="20"/>
              </w:rPr>
              <w:fldChar w:fldCharType="separate"/>
            </w:r>
            <w:r w:rsidR="00500B8D" w:rsidRPr="003E0254">
              <w:rPr>
                <w:noProof/>
                <w:sz w:val="20"/>
                <w:szCs w:val="20"/>
                <w:vertAlign w:val="superscript"/>
              </w:rPr>
              <w:t>[289]</w:t>
            </w:r>
            <w:r w:rsidR="005C5C3D" w:rsidRPr="003E0254">
              <w:rPr>
                <w:sz w:val="20"/>
                <w:szCs w:val="20"/>
              </w:rPr>
              <w:fldChar w:fldCharType="end"/>
            </w:r>
            <w:r w:rsidRPr="003E0254">
              <w:rPr>
                <w:sz w:val="20"/>
                <w:szCs w:val="20"/>
              </w:rPr>
              <w:t xml:space="preserve"> </w:t>
            </w:r>
          </w:p>
          <w:p w14:paraId="487846FC" w14:textId="2E402D5D" w:rsidR="00B53C39" w:rsidRPr="003E0254" w:rsidRDefault="00DA35C9">
            <w:pPr>
              <w:spacing w:line="276" w:lineRule="auto"/>
              <w:jc w:val="center"/>
              <w:rPr>
                <w:sz w:val="20"/>
                <w:szCs w:val="20"/>
              </w:rPr>
            </w:pPr>
            <w:r w:rsidRPr="003E0254">
              <w:rPr>
                <w:sz w:val="20"/>
                <w:szCs w:val="20"/>
              </w:rPr>
              <w:t>Emmel et al.</w:t>
            </w:r>
            <w:r w:rsidR="005C5C3D" w:rsidRPr="003E0254">
              <w:rPr>
                <w:sz w:val="20"/>
                <w:szCs w:val="20"/>
              </w:rPr>
              <w:fldChar w:fldCharType="begin" w:fldLock="1"/>
            </w:r>
            <w:r w:rsidR="00500B8D" w:rsidRPr="003E0254">
              <w:rPr>
                <w:sz w:val="20"/>
                <w:szCs w:val="20"/>
              </w:rPr>
              <w:instrText>ADDIN CSL_CITATION {"citationItems":[{"id":"ITEM-1","itemData":{"DOI":"10.1038/s41467-023-42450-9","ISSN":"2041-1723","PMID":"37865696","abstract":"Flow batteries are one option for future, low-cost stationary energy storage. We present a perspective overview of the potential cost of organic active materials for aqueous flow batteries based on a comprehensive mathematical model. The battery capital costs for 38 different organic active materials, as well as the state-of-the-art vanadium system are elucidated. We reveal that only a small number of organic molecules would result in costs close to the vanadium reference system. We identify the most promising candidate as the phenazine 3,3′-(phenazine-1,6-diylbis(azanediyl))dipropionic acid) [1,6-DPAP], suggesting costs even below that of the vanadium reference. Additional cost-saving potential can be expected by mass production of these active materials; major benefits lie in the reduced electrolyte costs as well as power costs, although plant maintenance is a major challenge when applying organic materials. Moreover, this work is designed to be expandable. The developed calculation tool (ReFlowLab) accompanying this publication is open for updates with new data. To guide research and implementation of aqueous organic redox flow batteries it is essential to estimate their potential costs. In this perspective, the authors present an overview of the potential cost of organic active materials for aqueous flow batteries and identify cost reduction routes.","author":[{"dropping-particle":"","family":"Emmel","given":"Dominik","non-dropping-particle":"","parse-names":false,"suffix":""},{"dropping-particle":"","family":"Kunz","given":"Simon","non-dropping-particle":"","parse-names":false,"suffix":""},{"dropping-particle":"","family":"Blume","given":"Nick","non-dropping-particle":"","parse-names":false,"suffix":""},{"dropping-particle":"","family":"Kwon","given":"Yongchai","non-dropping-particle":"","parse-names":false,"suffix":""},{"dropping-particle":"","family":"Turek","given":"Thomas","non-dropping-particle":"","parse-names":false,"suffix":""},{"dropping-particle":"","family":"Minke","given":"Christine","non-dropping-particle":"","parse-names":false,"suffix":""},{"dropping-particle":"","family":"Schröder","given":"Daniel","non-dropping-particle":"","parse-names":false,"suffix":""}],"container-title":"Nature Communications 2023 14:1","id":"ITEM-1","issue":"1","issued":{"date-parts":[["2023","10","21"]]},"page":"1-9","publisher":"Nature Publishing Group","title":"Benchmarking organic active materials for aqueous redox flow batteries in terms of lifetime and cost","type":"article-journal","volume":"14"},"uris":["http://www.mendeley.com/documents/?uuid=8f55be50-e961-3347-8702-3ff0466836b2"]}],"mendeley":{"formattedCitation":"&lt;sup&gt;[290]&lt;/sup&gt;","plainTextFormattedCitation":"[290]","previouslyFormattedCitation":"&lt;sup&gt;[289]&lt;/sup&gt;"},"properties":{"noteIndex":0},"schema":"https://github.com/citation-style-language/schema/raw/master/csl-citation.json"}</w:instrText>
            </w:r>
            <w:r w:rsidR="005C5C3D" w:rsidRPr="003E0254">
              <w:rPr>
                <w:sz w:val="20"/>
                <w:szCs w:val="20"/>
              </w:rPr>
              <w:fldChar w:fldCharType="separate"/>
            </w:r>
            <w:r w:rsidR="00500B8D" w:rsidRPr="003E0254">
              <w:rPr>
                <w:noProof/>
                <w:sz w:val="20"/>
                <w:szCs w:val="20"/>
                <w:vertAlign w:val="superscript"/>
              </w:rPr>
              <w:t>[290]</w:t>
            </w:r>
            <w:r w:rsidR="005C5C3D" w:rsidRPr="003E0254">
              <w:rPr>
                <w:sz w:val="20"/>
                <w:szCs w:val="20"/>
              </w:rPr>
              <w:fldChar w:fldCharType="end"/>
            </w:r>
            <w:r w:rsidRPr="003E0254">
              <w:rPr>
                <w:sz w:val="20"/>
                <w:szCs w:val="20"/>
              </w:rPr>
              <w:t xml:space="preserve"> </w:t>
            </w:r>
          </w:p>
        </w:tc>
        <w:tc>
          <w:tcPr>
            <w:tcW w:w="960" w:type="pct"/>
            <w:vAlign w:val="center"/>
          </w:tcPr>
          <w:p w14:paraId="6DF4CF19" w14:textId="748BCA0C" w:rsidR="00B53C39" w:rsidRPr="003E0254" w:rsidRDefault="00B53C39">
            <w:pPr>
              <w:spacing w:line="276" w:lineRule="auto"/>
              <w:jc w:val="center"/>
              <w:rPr>
                <w:sz w:val="20"/>
                <w:szCs w:val="20"/>
              </w:rPr>
            </w:pPr>
          </w:p>
        </w:tc>
      </w:tr>
      <w:tr w:rsidR="00B53C39" w:rsidRPr="003E0254" w14:paraId="029D5C22" w14:textId="77777777" w:rsidTr="000E3AB3">
        <w:trPr>
          <w:trHeight w:val="573"/>
        </w:trPr>
        <w:tc>
          <w:tcPr>
            <w:tcW w:w="458" w:type="pct"/>
            <w:vAlign w:val="center"/>
          </w:tcPr>
          <w:p w14:paraId="6C54D183" w14:textId="77777777" w:rsidR="00B53C39" w:rsidRPr="003E0254" w:rsidRDefault="00DA35C9">
            <w:pPr>
              <w:spacing w:line="276" w:lineRule="auto"/>
              <w:jc w:val="center"/>
              <w:rPr>
                <w:sz w:val="20"/>
                <w:szCs w:val="20"/>
              </w:rPr>
            </w:pPr>
            <w:r w:rsidRPr="003E0254">
              <w:rPr>
                <w:sz w:val="20"/>
                <w:szCs w:val="20"/>
              </w:rPr>
              <w:t>aqueous</w:t>
            </w:r>
          </w:p>
        </w:tc>
        <w:tc>
          <w:tcPr>
            <w:tcW w:w="502" w:type="pct"/>
            <w:vAlign w:val="center"/>
          </w:tcPr>
          <w:p w14:paraId="0CF66C8E" w14:textId="57C64514" w:rsidR="00B53C39" w:rsidRPr="003E0254" w:rsidRDefault="00DA35C9">
            <w:pPr>
              <w:spacing w:line="276" w:lineRule="auto"/>
              <w:jc w:val="center"/>
              <w:rPr>
                <w:sz w:val="20"/>
                <w:szCs w:val="20"/>
              </w:rPr>
            </w:pPr>
            <w:r w:rsidRPr="003E0254">
              <w:rPr>
                <w:rFonts w:eastAsia="Times New Roman" w:cs="Calibri"/>
                <w:color w:val="000000"/>
                <w:sz w:val="20"/>
                <w:szCs w:val="20"/>
                <w:lang w:eastAsia="de-DE"/>
                <w14:ligatures w14:val="none"/>
              </w:rPr>
              <w:t>Br₂</w:t>
            </w:r>
            <w:r w:rsidR="00996CC5" w:rsidRPr="003E0254">
              <w:rPr>
                <w:sz w:val="20"/>
                <w:szCs w:val="20"/>
                <w:lang w:eastAsia="de-DE"/>
              </w:rPr>
              <w:t>||Zn</w:t>
            </w:r>
          </w:p>
        </w:tc>
        <w:tc>
          <w:tcPr>
            <w:tcW w:w="385" w:type="pct"/>
            <w:vAlign w:val="center"/>
          </w:tcPr>
          <w:p w14:paraId="64AF2EAB" w14:textId="77777777" w:rsidR="00B53C39" w:rsidRPr="003E0254" w:rsidRDefault="00DA35C9">
            <w:pPr>
              <w:spacing w:line="276" w:lineRule="auto"/>
              <w:jc w:val="center"/>
              <w:rPr>
                <w:sz w:val="20"/>
                <w:szCs w:val="20"/>
              </w:rPr>
            </w:pPr>
            <w:r w:rsidRPr="003E0254">
              <w:rPr>
                <w:sz w:val="20"/>
                <w:szCs w:val="20"/>
              </w:rPr>
              <w:t>500</w:t>
            </w:r>
          </w:p>
        </w:tc>
        <w:tc>
          <w:tcPr>
            <w:tcW w:w="578" w:type="pct"/>
            <w:vAlign w:val="center"/>
          </w:tcPr>
          <w:p w14:paraId="2F9E40F8" w14:textId="77777777" w:rsidR="00B53C39" w:rsidRPr="003E0254" w:rsidRDefault="00DA35C9">
            <w:pPr>
              <w:spacing w:line="276" w:lineRule="auto"/>
              <w:jc w:val="center"/>
              <w:rPr>
                <w:sz w:val="20"/>
                <w:szCs w:val="20"/>
              </w:rPr>
            </w:pPr>
            <w:r w:rsidRPr="003E0254">
              <w:rPr>
                <w:sz w:val="20"/>
                <w:szCs w:val="20"/>
              </w:rPr>
              <w:t>55</w:t>
            </w:r>
          </w:p>
        </w:tc>
        <w:tc>
          <w:tcPr>
            <w:tcW w:w="529" w:type="pct"/>
            <w:vAlign w:val="center"/>
          </w:tcPr>
          <w:p w14:paraId="652F44AE" w14:textId="77777777" w:rsidR="00B53C39" w:rsidRPr="003E0254" w:rsidRDefault="00DA35C9">
            <w:pPr>
              <w:spacing w:line="276" w:lineRule="auto"/>
              <w:jc w:val="center"/>
              <w:rPr>
                <w:sz w:val="20"/>
                <w:szCs w:val="20"/>
              </w:rPr>
            </w:pPr>
            <w:r w:rsidRPr="003E0254">
              <w:rPr>
                <w:sz w:val="20"/>
                <w:szCs w:val="20"/>
              </w:rPr>
              <w:t>125.43</w:t>
            </w:r>
          </w:p>
        </w:tc>
        <w:tc>
          <w:tcPr>
            <w:tcW w:w="451" w:type="pct"/>
            <w:vAlign w:val="center"/>
          </w:tcPr>
          <w:p w14:paraId="616AB833" w14:textId="77777777" w:rsidR="00B53C39" w:rsidRPr="003E0254" w:rsidRDefault="00DA35C9">
            <w:pPr>
              <w:spacing w:line="276" w:lineRule="auto"/>
              <w:jc w:val="center"/>
              <w:rPr>
                <w:sz w:val="20"/>
                <w:szCs w:val="20"/>
              </w:rPr>
            </w:pPr>
            <w:r w:rsidRPr="003E0254">
              <w:rPr>
                <w:sz w:val="20"/>
                <w:szCs w:val="20"/>
              </w:rPr>
              <w:t>2.34</w:t>
            </w:r>
          </w:p>
        </w:tc>
        <w:tc>
          <w:tcPr>
            <w:tcW w:w="512" w:type="pct"/>
            <w:vAlign w:val="center"/>
          </w:tcPr>
          <w:p w14:paraId="5629796F" w14:textId="77777777" w:rsidR="00B53C39" w:rsidRPr="003E0254" w:rsidRDefault="00DA35C9">
            <w:pPr>
              <w:spacing w:line="276" w:lineRule="auto"/>
              <w:jc w:val="center"/>
              <w:rPr>
                <w:sz w:val="20"/>
                <w:szCs w:val="20"/>
              </w:rPr>
            </w:pPr>
            <w:r w:rsidRPr="003E0254">
              <w:rPr>
                <w:sz w:val="20"/>
                <w:szCs w:val="20"/>
              </w:rPr>
              <w:t>20-120</w:t>
            </w:r>
          </w:p>
        </w:tc>
        <w:tc>
          <w:tcPr>
            <w:tcW w:w="625" w:type="pct"/>
            <w:vAlign w:val="center"/>
          </w:tcPr>
          <w:p w14:paraId="1024694D" w14:textId="44EA9A3A" w:rsidR="00B53C39" w:rsidRPr="003E0254" w:rsidRDefault="00DA35C9">
            <w:pPr>
              <w:spacing w:line="276" w:lineRule="auto"/>
              <w:jc w:val="center"/>
              <w:rPr>
                <w:sz w:val="20"/>
                <w:szCs w:val="20"/>
              </w:rPr>
            </w:pPr>
            <w:proofErr w:type="spellStart"/>
            <w:r w:rsidRPr="003E0254">
              <w:rPr>
                <w:sz w:val="20"/>
                <w:szCs w:val="20"/>
              </w:rPr>
              <w:t>Thamizhselvan</w:t>
            </w:r>
            <w:proofErr w:type="spellEnd"/>
            <w:r w:rsidRPr="003E0254">
              <w:rPr>
                <w:sz w:val="20"/>
                <w:szCs w:val="20"/>
              </w:rPr>
              <w:t xml:space="preserve"> et al.</w:t>
            </w:r>
            <w:r w:rsidR="005C5C3D" w:rsidRPr="003E0254">
              <w:rPr>
                <w:sz w:val="20"/>
                <w:szCs w:val="20"/>
              </w:rPr>
              <w:fldChar w:fldCharType="begin" w:fldLock="1"/>
            </w:r>
            <w:r w:rsidR="00500B8D" w:rsidRPr="003E0254">
              <w:rPr>
                <w:sz w:val="20"/>
                <w:szCs w:val="20"/>
              </w:rPr>
              <w:instrText>ADDIN CSL_CITATION {"citationItems":[{"id":"ITEM-1","itemData":{"DOI":"10.1016/J.ELECTACTA.2022.141799","ISSN":"0013-4686","abstract":"Environmentally benign, affordable alkaline Zn(OH)42−/Zn redox flow battery (RFB) remain a promising energy storage system for stationary applications owing to it's two electron transfer abilities having redox potential (-1.26 V vs SHE) with 820 Ahkg−1 theoretical capacity. It is hypothesized that meticulously tailoring the pH of the anolyte from neutral to alkaline medium could significantly lower the redox potential of zinc from -0.76 V vs standard hydrogen potential (SHE) to -1.26 V adding 500 mV to the conventional RFB systems significantly improving overall energy density. Herein, a new hybrid alkaline based ZnBr2 redox flow battery (AZBB) is demonstrated by pairing Zn(OH)42−/Zn redox couple as anolyte with 2Br−/Br2 redox couple as catholyte with exceptionally high (2.34 V) cell voltage. Very interestingly, AZBB shows a higher charging voltage of 2.47 V and discharge voltage of 2.1 V at current density of 40 mA cm−2 with 88 % coulombic efficiency, 79 % voltage efficiency and 70 % energy efficiency. Even at high current density of 120 mA cm−2, the AZBB shows a coulombic efficiency of 90 %, voltage efficiency of 52% and energy efficiency 46 % with the high discharge voltage of 1.75 V. More importantly, the new hybrid alkaline based ZnBr2 redox flow battery stably runs 500 cycles at 20 mA cm−2 with the coulombic efficiency of 73 %, voltage efficiency of 80 % and energy efficiency of 58 %. Thus, the new strategy of fine tuning the pH of electrolytes leads to an efficient route to achieve higher cell voltage with 27 % high energy density RFB systems.","author":[{"dropping-particle":"","family":"Thamizhselvan","given":"Rahul","non-dropping-particle":"","parse-names":false,"suffix":""},{"dropping-particle":"","family":"Naresh","given":"Raghupandiyan","non-dropping-particle":"","parse-names":false,"suffix":""},{"dropping-particle":"","family":"Ulaganathan","given":"Mani","non-dropping-particle":"","parse-names":false,"suffix":""},{"dropping-particle":"","family":"Pol","given":"Vilas G.","non-dropping-particle":"","parse-names":false,"suffix":""},{"dropping-particle":"","family":"Ragupathy","given":"Pitchai","non-dropping-particle":"","parse-names":false,"suffix":""}],"container-title":"Electrochimica Acta","id":"ITEM-1","issued":{"date-parts":[["2023","2","10"]]},"page":"141799","publisher":"Pergamon","title":"Achieving Exceptional Cell Voltage (2.34 V) through Tailoring pH of Aqueous Zn-Br2 Redox Flow Battery for Potential Large-Scale Energy Storage","type":"article-journal","volume":"441"},"uris":["http://www.mendeley.com/documents/?uuid=4ce32a48-d9c4-30e7-a0a3-6286d942a146"]}],"mendeley":{"formattedCitation":"&lt;sup&gt;[266]&lt;/sup&gt;","plainTextFormattedCitation":"[266]","previouslyFormattedCitation":"&lt;sup&gt;[265]&lt;/sup&gt;"},"properties":{"noteIndex":0},"schema":"https://github.com/citation-style-language/schema/raw/master/csl-citation.json"}</w:instrText>
            </w:r>
            <w:r w:rsidR="005C5C3D" w:rsidRPr="003E0254">
              <w:rPr>
                <w:sz w:val="20"/>
                <w:szCs w:val="20"/>
              </w:rPr>
              <w:fldChar w:fldCharType="separate"/>
            </w:r>
            <w:r w:rsidR="00500B8D" w:rsidRPr="003E0254">
              <w:rPr>
                <w:noProof/>
                <w:sz w:val="20"/>
                <w:szCs w:val="20"/>
                <w:vertAlign w:val="superscript"/>
              </w:rPr>
              <w:t>[266]</w:t>
            </w:r>
            <w:r w:rsidR="005C5C3D" w:rsidRPr="003E0254">
              <w:rPr>
                <w:sz w:val="20"/>
                <w:szCs w:val="20"/>
              </w:rPr>
              <w:fldChar w:fldCharType="end"/>
            </w:r>
            <w:r w:rsidRPr="003E0254">
              <w:rPr>
                <w:sz w:val="20"/>
                <w:szCs w:val="20"/>
              </w:rPr>
              <w:t xml:space="preserve"> </w:t>
            </w:r>
          </w:p>
        </w:tc>
        <w:tc>
          <w:tcPr>
            <w:tcW w:w="960" w:type="pct"/>
            <w:vAlign w:val="center"/>
          </w:tcPr>
          <w:p w14:paraId="6F71FA54" w14:textId="77777777" w:rsidR="00B53C39" w:rsidRPr="003E0254" w:rsidRDefault="00DA35C9">
            <w:pPr>
              <w:spacing w:line="276" w:lineRule="auto"/>
              <w:jc w:val="center"/>
              <w:rPr>
                <w:sz w:val="20"/>
                <w:szCs w:val="20"/>
              </w:rPr>
            </w:pPr>
            <w:r w:rsidRPr="003E0254">
              <w:rPr>
                <w:sz w:val="20"/>
                <w:szCs w:val="20"/>
              </w:rPr>
              <w:t>Very high current densities, partially commercialized, corrosion, toxicity and environmental hazards are challenges.</w:t>
            </w:r>
          </w:p>
        </w:tc>
      </w:tr>
      <w:tr w:rsidR="00B53C39" w:rsidRPr="003E0254" w14:paraId="56653365" w14:textId="77777777" w:rsidTr="000E3AB3">
        <w:trPr>
          <w:trHeight w:val="538"/>
        </w:trPr>
        <w:tc>
          <w:tcPr>
            <w:tcW w:w="458" w:type="pct"/>
            <w:vAlign w:val="center"/>
          </w:tcPr>
          <w:p w14:paraId="69E44251" w14:textId="77777777" w:rsidR="00B53C39" w:rsidRPr="003E0254" w:rsidRDefault="00DA35C9">
            <w:pPr>
              <w:spacing w:line="276" w:lineRule="auto"/>
              <w:jc w:val="center"/>
              <w:rPr>
                <w:sz w:val="20"/>
                <w:szCs w:val="20"/>
              </w:rPr>
            </w:pPr>
            <w:r w:rsidRPr="003E0254">
              <w:rPr>
                <w:sz w:val="20"/>
                <w:szCs w:val="20"/>
              </w:rPr>
              <w:t>aqueous</w:t>
            </w:r>
          </w:p>
        </w:tc>
        <w:tc>
          <w:tcPr>
            <w:tcW w:w="502" w:type="pct"/>
            <w:vAlign w:val="center"/>
          </w:tcPr>
          <w:p w14:paraId="74D0FF95" w14:textId="25DA8FC0" w:rsidR="00B53C39" w:rsidRPr="003E0254" w:rsidRDefault="00DA35C9">
            <w:pPr>
              <w:spacing w:line="276" w:lineRule="auto"/>
              <w:jc w:val="center"/>
              <w:rPr>
                <w:sz w:val="20"/>
                <w:szCs w:val="20"/>
              </w:rPr>
            </w:pPr>
            <w:r w:rsidRPr="003E0254">
              <w:rPr>
                <w:rFonts w:eastAsia="Times New Roman" w:cs="Calibri"/>
                <w:color w:val="000000"/>
                <w:sz w:val="20"/>
                <w:szCs w:val="20"/>
                <w:lang w:eastAsia="de-DE"/>
                <w14:ligatures w14:val="none"/>
              </w:rPr>
              <w:t>Ce</w:t>
            </w:r>
            <w:r w:rsidR="00996CC5" w:rsidRPr="003E0254">
              <w:rPr>
                <w:sz w:val="20"/>
                <w:szCs w:val="20"/>
                <w:lang w:eastAsia="de-DE"/>
              </w:rPr>
              <w:t>||Zn</w:t>
            </w:r>
          </w:p>
        </w:tc>
        <w:tc>
          <w:tcPr>
            <w:tcW w:w="385" w:type="pct"/>
            <w:vAlign w:val="center"/>
          </w:tcPr>
          <w:p w14:paraId="10E9E607" w14:textId="77777777" w:rsidR="00B53C39" w:rsidRPr="003E0254" w:rsidRDefault="00DA35C9">
            <w:pPr>
              <w:spacing w:line="276" w:lineRule="auto"/>
              <w:jc w:val="center"/>
              <w:rPr>
                <w:sz w:val="20"/>
                <w:szCs w:val="20"/>
              </w:rPr>
            </w:pPr>
            <w:r w:rsidRPr="003E0254">
              <w:rPr>
                <w:sz w:val="20"/>
                <w:szCs w:val="20"/>
              </w:rPr>
              <w:t>5</w:t>
            </w:r>
          </w:p>
        </w:tc>
        <w:tc>
          <w:tcPr>
            <w:tcW w:w="578" w:type="pct"/>
            <w:vAlign w:val="center"/>
          </w:tcPr>
          <w:p w14:paraId="782A476C" w14:textId="77777777" w:rsidR="00B53C39" w:rsidRPr="003E0254" w:rsidRDefault="00DA35C9">
            <w:pPr>
              <w:spacing w:line="276" w:lineRule="auto"/>
              <w:jc w:val="center"/>
              <w:rPr>
                <w:sz w:val="20"/>
                <w:szCs w:val="20"/>
              </w:rPr>
            </w:pPr>
            <w:r w:rsidRPr="003E0254">
              <w:rPr>
                <w:sz w:val="20"/>
                <w:szCs w:val="20"/>
              </w:rPr>
              <w:t>90</w:t>
            </w:r>
          </w:p>
        </w:tc>
        <w:tc>
          <w:tcPr>
            <w:tcW w:w="529" w:type="pct"/>
            <w:vAlign w:val="center"/>
          </w:tcPr>
          <w:p w14:paraId="0902F2DF" w14:textId="77777777" w:rsidR="00B53C39" w:rsidRPr="003E0254" w:rsidRDefault="00DA35C9">
            <w:pPr>
              <w:spacing w:line="276" w:lineRule="auto"/>
              <w:jc w:val="center"/>
              <w:rPr>
                <w:sz w:val="20"/>
                <w:szCs w:val="20"/>
              </w:rPr>
            </w:pPr>
            <w:r w:rsidRPr="003E0254">
              <w:rPr>
                <w:sz w:val="20"/>
                <w:szCs w:val="20"/>
              </w:rPr>
              <w:t>41.72</w:t>
            </w:r>
          </w:p>
        </w:tc>
        <w:tc>
          <w:tcPr>
            <w:tcW w:w="451" w:type="pct"/>
            <w:vAlign w:val="center"/>
          </w:tcPr>
          <w:p w14:paraId="512C1992" w14:textId="77777777" w:rsidR="00B53C39" w:rsidRPr="003E0254" w:rsidRDefault="00DA35C9">
            <w:pPr>
              <w:spacing w:line="276" w:lineRule="auto"/>
              <w:jc w:val="center"/>
              <w:rPr>
                <w:sz w:val="20"/>
                <w:szCs w:val="20"/>
              </w:rPr>
            </w:pPr>
            <w:r w:rsidRPr="003E0254">
              <w:rPr>
                <w:sz w:val="20"/>
                <w:szCs w:val="20"/>
              </w:rPr>
              <w:t>3.08</w:t>
            </w:r>
          </w:p>
        </w:tc>
        <w:tc>
          <w:tcPr>
            <w:tcW w:w="512" w:type="pct"/>
            <w:vAlign w:val="center"/>
          </w:tcPr>
          <w:p w14:paraId="23DDD799" w14:textId="77777777" w:rsidR="00B53C39" w:rsidRPr="003E0254" w:rsidRDefault="00DA35C9">
            <w:pPr>
              <w:spacing w:line="276" w:lineRule="auto"/>
              <w:jc w:val="center"/>
              <w:rPr>
                <w:sz w:val="20"/>
                <w:szCs w:val="20"/>
              </w:rPr>
            </w:pPr>
            <w:r w:rsidRPr="003E0254">
              <w:rPr>
                <w:sz w:val="20"/>
                <w:szCs w:val="20"/>
              </w:rPr>
              <w:t>5</w:t>
            </w:r>
          </w:p>
        </w:tc>
        <w:tc>
          <w:tcPr>
            <w:tcW w:w="625" w:type="pct"/>
            <w:vAlign w:val="center"/>
          </w:tcPr>
          <w:p w14:paraId="10A4CF18" w14:textId="21715271" w:rsidR="00B53C39" w:rsidRPr="003E0254" w:rsidRDefault="00DA35C9">
            <w:pPr>
              <w:spacing w:line="276" w:lineRule="auto"/>
              <w:jc w:val="center"/>
              <w:rPr>
                <w:sz w:val="20"/>
                <w:szCs w:val="20"/>
              </w:rPr>
            </w:pPr>
            <w:r w:rsidRPr="003E0254">
              <w:rPr>
                <w:bCs/>
                <w:sz w:val="20"/>
                <w:szCs w:val="20"/>
              </w:rPr>
              <w:t>Gu et al</w:t>
            </w:r>
            <w:r w:rsidR="005C5C3D" w:rsidRPr="003E0254">
              <w:rPr>
                <w:bCs/>
                <w:sz w:val="20"/>
                <w:szCs w:val="20"/>
              </w:rPr>
              <w:t>.</w:t>
            </w:r>
            <w:r w:rsidR="005C5C3D" w:rsidRPr="003E0254">
              <w:rPr>
                <w:bCs/>
                <w:sz w:val="20"/>
                <w:szCs w:val="20"/>
              </w:rPr>
              <w:fldChar w:fldCharType="begin" w:fldLock="1"/>
            </w:r>
            <w:r w:rsidR="00500B8D" w:rsidRPr="003E0254">
              <w:rPr>
                <w:bCs/>
                <w:sz w:val="20"/>
                <w:szCs w:val="20"/>
              </w:rPr>
              <w:instrText>ADDIN CSL_CITATION {"citationItems":[{"id":"ITEM-1","itemData":{"DOI":"10.1039/C4EE00165F","ISSN":"1754-5706","abstract":"Here we present a multiple ion-exchange membrane (IEM) cell design for redox flow batteries (RFBs) that can generally accommodate redox pair combinations with any mixed ion charges. This design also allows flexible choice of electrolytes such as an acid electrolyte at one electrode while a base in the other. More specifically, the double-IEM cell with one anion-exchange membrane (AEM), one cation-exchange membrane (CEM), and a middle electrolyte in between can work with all redox pairs except for the case of two hybrid redox pairs (i.e., an anion–cation pair vs. an anion–cation pair). For the combination of two hybrid pairs, a triple-IEM cell with three membranes (CEM/AEM/CEM or AEM/CEM/AEM) and two middle electrolytes is needed. The double- and triple-IEM cells bring unprecedented freedom in choosing redox pairs and supporting electrolytes. Of particular importance, two featured aqueous RFBs are demonstrated here: (1) ultra-high voltage zinc–cerium RFB with 3.08 V standard cell voltage, the highest among all known aqueous RFBs; and (2) ultra-low cost sulfur–iron RFB with 1.22 V standard cell voltage, with two highly available elements (iron and sulfur are the 1st and 5th most produced elements worldwide, respectively).","author":[{"dropping-particle":"","family":"Gu","given":"Shuang","non-dropping-particle":"","parse-names":false,"suffix":""},{"dropping-particle":"","family":"Gong","given":"Ke","non-dropping-particle":"","parse-names":false,"suffix":""},{"dropping-particle":"","family":"Yan","given":"Emily Z.","non-dropping-particle":"","parse-names":false,"suffix":""},{"dropping-particle":"","family":"Yan","given":"Yushan","non-dropping-particle":"","parse-names":false,"suffix":""}],"container-title":"Energy &amp; Environmental Science","id":"ITEM-1","issue":"9","issued":{"date-parts":[["2014","8","13"]]},"page":"2986-2998","publisher":"The Royal Society of Chemistry","title":"A multiple ion-exchange membrane design for redox flow batteries","type":"article-journal","volume":"7"},"uris":["http://www.mendeley.com/documents/?uuid=a9a34b5b-dfec-465d-8661-89babb4a7312"]}],"mendeley":{"formattedCitation":"&lt;sup&gt;[256]&lt;/sup&gt;","plainTextFormattedCitation":"[256]","previouslyFormattedCitation":"&lt;sup&gt;[255]&lt;/sup&gt;"},"properties":{"noteIndex":0},"schema":"https://github.com/citation-style-language/schema/raw/master/csl-citation.json"}</w:instrText>
            </w:r>
            <w:r w:rsidR="005C5C3D" w:rsidRPr="003E0254">
              <w:rPr>
                <w:bCs/>
                <w:sz w:val="20"/>
                <w:szCs w:val="20"/>
              </w:rPr>
              <w:fldChar w:fldCharType="separate"/>
            </w:r>
            <w:r w:rsidR="00500B8D" w:rsidRPr="003E0254">
              <w:rPr>
                <w:bCs/>
                <w:noProof/>
                <w:sz w:val="20"/>
                <w:szCs w:val="20"/>
                <w:vertAlign w:val="superscript"/>
              </w:rPr>
              <w:t>[256]</w:t>
            </w:r>
            <w:r w:rsidR="005C5C3D" w:rsidRPr="003E0254">
              <w:rPr>
                <w:bCs/>
                <w:sz w:val="20"/>
                <w:szCs w:val="20"/>
              </w:rPr>
              <w:fldChar w:fldCharType="end"/>
            </w:r>
            <w:r w:rsidR="005C5C3D" w:rsidRPr="003E0254">
              <w:rPr>
                <w:bCs/>
                <w:sz w:val="20"/>
                <w:szCs w:val="20"/>
              </w:rPr>
              <w:t xml:space="preserve"> </w:t>
            </w:r>
          </w:p>
        </w:tc>
        <w:tc>
          <w:tcPr>
            <w:tcW w:w="960" w:type="pct"/>
            <w:vAlign w:val="center"/>
          </w:tcPr>
          <w:p w14:paraId="0A1157E2" w14:textId="77777777" w:rsidR="00B53C39" w:rsidRPr="003E0254" w:rsidRDefault="00DA35C9">
            <w:pPr>
              <w:spacing w:line="276" w:lineRule="auto"/>
              <w:jc w:val="center"/>
              <w:rPr>
                <w:sz w:val="20"/>
                <w:szCs w:val="20"/>
              </w:rPr>
            </w:pPr>
            <w:r w:rsidRPr="003E0254">
              <w:rPr>
                <w:sz w:val="20"/>
                <w:szCs w:val="20"/>
              </w:rPr>
              <w:t xml:space="preserve">Highest known cell voltage for aqueous RFBs, high </w:t>
            </w:r>
            <w:r w:rsidRPr="003E0254">
              <w:rPr>
                <w:sz w:val="20"/>
                <w:szCs w:val="20"/>
              </w:rPr>
              <w:lastRenderedPageBreak/>
              <w:t>safety risk due to very strong pH gradient, double ion exchange membrane system is very expensive, membrane transfer kinetics therefore very slow.</w:t>
            </w:r>
          </w:p>
        </w:tc>
      </w:tr>
      <w:tr w:rsidR="00B53C39" w:rsidRPr="003E0254" w14:paraId="63DA6BD4" w14:textId="77777777" w:rsidTr="000E3AB3">
        <w:trPr>
          <w:trHeight w:val="538"/>
        </w:trPr>
        <w:tc>
          <w:tcPr>
            <w:tcW w:w="458" w:type="pct"/>
            <w:vAlign w:val="center"/>
          </w:tcPr>
          <w:p w14:paraId="03718FAC" w14:textId="77777777" w:rsidR="00B53C39" w:rsidRPr="003E0254" w:rsidRDefault="00DA35C9">
            <w:pPr>
              <w:spacing w:line="276" w:lineRule="auto"/>
              <w:jc w:val="center"/>
              <w:rPr>
                <w:sz w:val="20"/>
                <w:szCs w:val="20"/>
              </w:rPr>
            </w:pPr>
            <w:r w:rsidRPr="003E0254">
              <w:rPr>
                <w:sz w:val="20"/>
                <w:szCs w:val="20"/>
              </w:rPr>
              <w:lastRenderedPageBreak/>
              <w:t>aqueous</w:t>
            </w:r>
          </w:p>
        </w:tc>
        <w:tc>
          <w:tcPr>
            <w:tcW w:w="502" w:type="pct"/>
            <w:vAlign w:val="center"/>
          </w:tcPr>
          <w:p w14:paraId="36A17521" w14:textId="56D2C2D6" w:rsidR="00B53C39" w:rsidRPr="003E0254" w:rsidRDefault="00DA35C9">
            <w:pPr>
              <w:spacing w:line="276" w:lineRule="auto"/>
              <w:jc w:val="center"/>
              <w:rPr>
                <w:sz w:val="20"/>
                <w:szCs w:val="20"/>
              </w:rPr>
            </w:pPr>
            <w:r w:rsidRPr="003E0254">
              <w:rPr>
                <w:rFonts w:eastAsia="Times New Roman" w:cs="Calibri"/>
                <w:color w:val="000000"/>
                <w:sz w:val="20"/>
                <w:szCs w:val="20"/>
                <w:lang w:eastAsia="de-DE"/>
                <w14:ligatures w14:val="none"/>
              </w:rPr>
              <w:t>I₂</w:t>
            </w:r>
            <w:r w:rsidR="00996CC5" w:rsidRPr="003E0254">
              <w:rPr>
                <w:sz w:val="20"/>
                <w:szCs w:val="20"/>
                <w:lang w:eastAsia="de-DE"/>
              </w:rPr>
              <w:t>||Zn</w:t>
            </w:r>
          </w:p>
        </w:tc>
        <w:tc>
          <w:tcPr>
            <w:tcW w:w="385" w:type="pct"/>
            <w:vAlign w:val="center"/>
          </w:tcPr>
          <w:p w14:paraId="6B173CF1" w14:textId="77777777" w:rsidR="00B53C39" w:rsidRPr="003E0254" w:rsidRDefault="00DA35C9">
            <w:pPr>
              <w:spacing w:line="276" w:lineRule="auto"/>
              <w:jc w:val="center"/>
              <w:rPr>
                <w:sz w:val="20"/>
                <w:szCs w:val="20"/>
              </w:rPr>
            </w:pPr>
            <w:r w:rsidRPr="003E0254">
              <w:rPr>
                <w:sz w:val="20"/>
                <w:szCs w:val="20"/>
              </w:rPr>
              <w:t>&gt;2500</w:t>
            </w:r>
          </w:p>
        </w:tc>
        <w:tc>
          <w:tcPr>
            <w:tcW w:w="578" w:type="pct"/>
            <w:vAlign w:val="center"/>
          </w:tcPr>
          <w:p w14:paraId="7589CE1A" w14:textId="77777777" w:rsidR="00B53C39" w:rsidRPr="003E0254" w:rsidRDefault="00DA35C9">
            <w:pPr>
              <w:spacing w:line="276" w:lineRule="auto"/>
              <w:jc w:val="center"/>
              <w:rPr>
                <w:sz w:val="20"/>
                <w:szCs w:val="20"/>
              </w:rPr>
            </w:pPr>
            <w:r w:rsidRPr="003E0254">
              <w:rPr>
                <w:sz w:val="20"/>
                <w:szCs w:val="20"/>
              </w:rPr>
              <w:t>80</w:t>
            </w:r>
          </w:p>
        </w:tc>
        <w:tc>
          <w:tcPr>
            <w:tcW w:w="529" w:type="pct"/>
            <w:vAlign w:val="center"/>
          </w:tcPr>
          <w:p w14:paraId="42B4B2A8" w14:textId="77777777" w:rsidR="00B53C39" w:rsidRPr="003E0254" w:rsidRDefault="00DA35C9">
            <w:pPr>
              <w:spacing w:line="276" w:lineRule="auto"/>
              <w:jc w:val="center"/>
              <w:rPr>
                <w:sz w:val="20"/>
                <w:szCs w:val="20"/>
              </w:rPr>
            </w:pPr>
            <w:r w:rsidRPr="003E0254">
              <w:rPr>
                <w:sz w:val="20"/>
                <w:szCs w:val="20"/>
              </w:rPr>
              <w:t>137</w:t>
            </w:r>
          </w:p>
        </w:tc>
        <w:tc>
          <w:tcPr>
            <w:tcW w:w="451" w:type="pct"/>
            <w:vAlign w:val="center"/>
          </w:tcPr>
          <w:p w14:paraId="2936B093" w14:textId="77777777" w:rsidR="00B53C39" w:rsidRPr="003E0254" w:rsidRDefault="00DA35C9">
            <w:pPr>
              <w:spacing w:line="276" w:lineRule="auto"/>
              <w:jc w:val="center"/>
              <w:rPr>
                <w:sz w:val="20"/>
                <w:szCs w:val="20"/>
              </w:rPr>
            </w:pPr>
            <w:r w:rsidRPr="003E0254">
              <w:rPr>
                <w:sz w:val="20"/>
                <w:szCs w:val="20"/>
              </w:rPr>
              <w:t>1.37</w:t>
            </w:r>
          </w:p>
        </w:tc>
        <w:tc>
          <w:tcPr>
            <w:tcW w:w="512" w:type="pct"/>
            <w:vAlign w:val="center"/>
          </w:tcPr>
          <w:p w14:paraId="3220AD34" w14:textId="77777777" w:rsidR="00B53C39" w:rsidRPr="003E0254" w:rsidRDefault="00DA35C9">
            <w:pPr>
              <w:spacing w:line="276" w:lineRule="auto"/>
              <w:jc w:val="center"/>
              <w:rPr>
                <w:sz w:val="20"/>
                <w:szCs w:val="20"/>
              </w:rPr>
            </w:pPr>
            <w:r w:rsidRPr="003E0254">
              <w:rPr>
                <w:sz w:val="20"/>
                <w:szCs w:val="20"/>
              </w:rPr>
              <w:t>10</w:t>
            </w:r>
          </w:p>
        </w:tc>
        <w:tc>
          <w:tcPr>
            <w:tcW w:w="625" w:type="pct"/>
            <w:vAlign w:val="center"/>
          </w:tcPr>
          <w:p w14:paraId="2AA16767" w14:textId="46C90869" w:rsidR="00B53C39" w:rsidRPr="003E0254" w:rsidRDefault="00DA35C9">
            <w:pPr>
              <w:spacing w:line="276" w:lineRule="auto"/>
              <w:jc w:val="center"/>
              <w:rPr>
                <w:sz w:val="20"/>
                <w:szCs w:val="20"/>
              </w:rPr>
            </w:pPr>
            <w:r w:rsidRPr="003E0254">
              <w:rPr>
                <w:sz w:val="20"/>
                <w:szCs w:val="20"/>
              </w:rPr>
              <w:t>Mousavi et al</w:t>
            </w:r>
            <w:r w:rsidR="005C5C3D" w:rsidRPr="003E0254">
              <w:rPr>
                <w:sz w:val="20"/>
                <w:szCs w:val="20"/>
              </w:rPr>
              <w:t>.</w:t>
            </w:r>
            <w:r w:rsidR="005C5C3D" w:rsidRPr="003E0254">
              <w:rPr>
                <w:sz w:val="20"/>
                <w:szCs w:val="20"/>
              </w:rPr>
              <w:fldChar w:fldCharType="begin" w:fldLock="1"/>
            </w:r>
            <w:r w:rsidR="00500B8D" w:rsidRPr="003E0254">
              <w:rPr>
                <w:sz w:val="20"/>
                <w:szCs w:val="20"/>
              </w:rPr>
              <w:instrText>ADDIN CSL_CITATION {"citationItems":[{"id":"ITEM-1","itemData":{"DOI":"10.1016/J.ENSM.2020.06.031","ISSN":"2405-8297","abstract":"Zinc-iodine redox flow batteries (ZIFBs) have emerged as promising energy storage systems due to their high-energy density. However, their practical use has been limited by their poor stability, low efficiency and high cost. In this work, we implemented a novel strategy to improve the performance and cyclability of ZIFBs, as well as decrease the chemical cost, by developing and utilizing ammonium-based electrolytes. An ammonium chloride supported zinc-iodine redox flow battery (AC-ZIFB) based on the ammonium iodide/triiodide redox couple was designed, and it achieved a high energy density of 137 WhL-1, Coulombic efficiency of ~99%, energy efficiency of ~80%, and a cycle-life of 2500 cycles at a 11-times lower chemical cost than conventional ZIFBs. Such improvements are mainly attributed to the multifunctional roles of cost-effective chemicals utilized in a new decoupled electrolyte design, which mitigates zinc dendrite formation, facilitates anodic and cathodic reaction kinetics and unlocks extra capacity with the primary aid of I2Cl− formation. This straightforward, yet effective strategy, empowers the AC-ZIFB with excellent potential as a robust and practical redox flow battery and more broadly demonstrates a facile strategy of using multifunctional electrolyte chemistry to achieve a reliable, high-performance, and cost-competitive energy storage system.","author":[{"dropping-particle":"","family":"Mousavi","given":"Mahboubeh","non-dropping-particle":"","parse-names":false,"suffix":""},{"dropping-particle":"","family":"Jiang","given":"Gaopeng","non-dropping-particle":"","parse-names":false,"suffix":""},{"dropping-particle":"","family":"Zhang","given":"Jing","non-dropping-particle":"","parse-names":false,"suffix":""},{"dropping-particle":"","family":"Kashkooli","given":"Ali Ghorbani","non-dropping-particle":"","parse-names":false,"suffix":""},{"dropping-particle":"","family":"Dou","given":"Haozhen","non-dropping-particle":"","parse-names":false,"suffix":""},{"dropping-particle":"","family":"Silva","given":"Catherine J.","non-dropping-particle":"","parse-names":false,"suffix":""},{"dropping-particle":"","family":"Cano","given":"Zachary P.","non-dropping-particle":"","parse-names":false,"suffix":""},{"dropping-particle":"","family":"Niu","given":"Yue","non-dropping-particle":"","parse-names":false,"suffix":""},{"dropping-particle":"","family":"Yu","given":"Aiping","non-dropping-particle":"","parse-names":false,"suffix":""},{"dropping-particle":"","family":"Chen","given":"Zhongwei","non-dropping-particle":"","parse-names":false,"suffix":""}],"container-title":"Energy Storage Materials","id":"ITEM-1","issued":{"date-parts":[["2020","11","1"]]},"page":"465-476","publisher":"Elsevier","title":"Decoupled low-cost ammonium-based electrolyte design for highly stable zinc–iodine redox flow batteries","type":"article-journal","volume":"32"},"uris":["http://www.mendeley.com/documents/?uuid=27fd548a-3efe-3595-b75d-b3d7e03600bc"]}],"mendeley":{"formattedCitation":"&lt;sup&gt;[273]&lt;/sup&gt;","plainTextFormattedCitation":"[273]","previouslyFormattedCitation":"&lt;sup&gt;[272]&lt;/sup&gt;"},"properties":{"noteIndex":0},"schema":"https://github.com/citation-style-language/schema/raw/master/csl-citation.json"}</w:instrText>
            </w:r>
            <w:r w:rsidR="005C5C3D" w:rsidRPr="003E0254">
              <w:rPr>
                <w:sz w:val="20"/>
                <w:szCs w:val="20"/>
              </w:rPr>
              <w:fldChar w:fldCharType="separate"/>
            </w:r>
            <w:r w:rsidR="00500B8D" w:rsidRPr="003E0254">
              <w:rPr>
                <w:noProof/>
                <w:sz w:val="20"/>
                <w:szCs w:val="20"/>
                <w:vertAlign w:val="superscript"/>
              </w:rPr>
              <w:t>[273]</w:t>
            </w:r>
            <w:r w:rsidR="005C5C3D" w:rsidRPr="003E0254">
              <w:rPr>
                <w:sz w:val="20"/>
                <w:szCs w:val="20"/>
              </w:rPr>
              <w:fldChar w:fldCharType="end"/>
            </w:r>
            <w:r w:rsidRPr="003E0254">
              <w:rPr>
                <w:sz w:val="20"/>
                <w:szCs w:val="20"/>
              </w:rPr>
              <w:t xml:space="preserve"> </w:t>
            </w:r>
          </w:p>
        </w:tc>
        <w:tc>
          <w:tcPr>
            <w:tcW w:w="960" w:type="pct"/>
            <w:vAlign w:val="center"/>
          </w:tcPr>
          <w:p w14:paraId="20011048" w14:textId="77777777" w:rsidR="00B53C39" w:rsidRPr="003E0254" w:rsidRDefault="00DA35C9">
            <w:pPr>
              <w:spacing w:line="276" w:lineRule="auto"/>
              <w:jc w:val="center"/>
              <w:rPr>
                <w:sz w:val="20"/>
                <w:szCs w:val="20"/>
              </w:rPr>
            </w:pPr>
            <w:r w:rsidRPr="003E0254">
              <w:rPr>
                <w:sz w:val="20"/>
                <w:szCs w:val="20"/>
              </w:rPr>
              <w:t>Extremely high lifespan/number of cycles, high energy density but low current densities during charging/discharging, high material costs (I</w:t>
            </w:r>
            <w:r w:rsidRPr="003E0254">
              <w:rPr>
                <w:sz w:val="20"/>
                <w:szCs w:val="20"/>
                <w:vertAlign w:val="subscript"/>
              </w:rPr>
              <w:t>2</w:t>
            </w:r>
            <w:r w:rsidRPr="003E0254">
              <w:rPr>
                <w:sz w:val="20"/>
                <w:szCs w:val="20"/>
              </w:rPr>
              <w:t>, ion exchange membrane), potentially hazardous to the environment.</w:t>
            </w:r>
          </w:p>
        </w:tc>
      </w:tr>
      <w:tr w:rsidR="00B53C39" w:rsidRPr="003E0254" w14:paraId="039F0479" w14:textId="77777777" w:rsidTr="000E3AB3">
        <w:trPr>
          <w:trHeight w:val="538"/>
        </w:trPr>
        <w:tc>
          <w:tcPr>
            <w:tcW w:w="458" w:type="pct"/>
            <w:vAlign w:val="center"/>
          </w:tcPr>
          <w:p w14:paraId="4D677D68" w14:textId="77777777" w:rsidR="00B53C39" w:rsidRPr="003E0254" w:rsidRDefault="00DA35C9">
            <w:pPr>
              <w:spacing w:line="276" w:lineRule="auto"/>
              <w:jc w:val="center"/>
              <w:rPr>
                <w:sz w:val="20"/>
                <w:szCs w:val="20"/>
              </w:rPr>
            </w:pPr>
            <w:r w:rsidRPr="003E0254">
              <w:rPr>
                <w:sz w:val="20"/>
                <w:szCs w:val="20"/>
              </w:rPr>
              <w:t>organic</w:t>
            </w:r>
          </w:p>
        </w:tc>
        <w:tc>
          <w:tcPr>
            <w:tcW w:w="502" w:type="pct"/>
            <w:vAlign w:val="center"/>
          </w:tcPr>
          <w:p w14:paraId="1642CD02" w14:textId="77777777" w:rsidR="00B53C39" w:rsidRPr="003E0254" w:rsidRDefault="00DA35C9">
            <w:pPr>
              <w:spacing w:line="276" w:lineRule="auto"/>
              <w:jc w:val="center"/>
              <w:rPr>
                <w:sz w:val="20"/>
                <w:szCs w:val="20"/>
              </w:rPr>
            </w:pPr>
            <w:r w:rsidRPr="003E0254">
              <w:rPr>
                <w:rFonts w:eastAsia="Times New Roman" w:cs="Calibri"/>
                <w:color w:val="000000"/>
                <w:sz w:val="20"/>
                <w:szCs w:val="20"/>
                <w:lang w:eastAsia="de-DE"/>
                <w14:ligatures w14:val="none"/>
              </w:rPr>
              <w:t>Zn-Organic</w:t>
            </w:r>
          </w:p>
        </w:tc>
        <w:tc>
          <w:tcPr>
            <w:tcW w:w="385" w:type="pct"/>
            <w:vAlign w:val="center"/>
          </w:tcPr>
          <w:p w14:paraId="1BBF917B" w14:textId="77777777" w:rsidR="00B53C39" w:rsidRPr="003E0254" w:rsidRDefault="00DA35C9">
            <w:pPr>
              <w:spacing w:line="276" w:lineRule="auto"/>
              <w:jc w:val="center"/>
              <w:rPr>
                <w:sz w:val="20"/>
                <w:szCs w:val="20"/>
              </w:rPr>
            </w:pPr>
            <w:r w:rsidRPr="003E0254">
              <w:rPr>
                <w:sz w:val="20"/>
                <w:szCs w:val="20"/>
              </w:rPr>
              <w:t>&gt;2000</w:t>
            </w:r>
          </w:p>
          <w:p w14:paraId="1F3CE7AA" w14:textId="77777777" w:rsidR="00B53C39" w:rsidRPr="003E0254" w:rsidRDefault="00DA35C9">
            <w:pPr>
              <w:spacing w:line="276" w:lineRule="auto"/>
              <w:jc w:val="center"/>
              <w:rPr>
                <w:sz w:val="20"/>
                <w:szCs w:val="20"/>
              </w:rPr>
            </w:pPr>
            <w:r w:rsidRPr="003E0254">
              <w:rPr>
                <w:sz w:val="20"/>
                <w:szCs w:val="20"/>
              </w:rPr>
              <w:t>&gt;3000</w:t>
            </w:r>
          </w:p>
        </w:tc>
        <w:tc>
          <w:tcPr>
            <w:tcW w:w="578" w:type="pct"/>
            <w:vAlign w:val="center"/>
          </w:tcPr>
          <w:p w14:paraId="7E901F46" w14:textId="77777777" w:rsidR="00B53C39" w:rsidRPr="003E0254" w:rsidRDefault="00DA35C9">
            <w:pPr>
              <w:spacing w:line="276" w:lineRule="auto"/>
              <w:jc w:val="center"/>
              <w:rPr>
                <w:sz w:val="20"/>
                <w:szCs w:val="20"/>
              </w:rPr>
            </w:pPr>
            <w:r w:rsidRPr="003E0254">
              <w:rPr>
                <w:sz w:val="20"/>
                <w:szCs w:val="20"/>
              </w:rPr>
              <w:t>81.5</w:t>
            </w:r>
          </w:p>
        </w:tc>
        <w:tc>
          <w:tcPr>
            <w:tcW w:w="529" w:type="pct"/>
            <w:vAlign w:val="center"/>
          </w:tcPr>
          <w:p w14:paraId="7A0CBB4F" w14:textId="77777777" w:rsidR="00B53C39" w:rsidRPr="003E0254" w:rsidRDefault="00DA35C9">
            <w:pPr>
              <w:spacing w:line="276" w:lineRule="auto"/>
              <w:jc w:val="center"/>
              <w:rPr>
                <w:sz w:val="20"/>
                <w:szCs w:val="20"/>
              </w:rPr>
            </w:pPr>
            <w:r w:rsidRPr="003E0254">
              <w:rPr>
                <w:sz w:val="20"/>
                <w:szCs w:val="20"/>
              </w:rPr>
              <w:t>20.2</w:t>
            </w:r>
          </w:p>
        </w:tc>
        <w:tc>
          <w:tcPr>
            <w:tcW w:w="451" w:type="pct"/>
            <w:vAlign w:val="center"/>
          </w:tcPr>
          <w:p w14:paraId="557AC1B4" w14:textId="77777777" w:rsidR="00B53C39" w:rsidRPr="003E0254" w:rsidRDefault="00DA35C9">
            <w:pPr>
              <w:spacing w:line="276" w:lineRule="auto"/>
              <w:jc w:val="center"/>
              <w:rPr>
                <w:sz w:val="20"/>
                <w:szCs w:val="20"/>
              </w:rPr>
            </w:pPr>
            <w:r w:rsidRPr="003E0254">
              <w:rPr>
                <w:sz w:val="20"/>
                <w:szCs w:val="20"/>
              </w:rPr>
              <w:t>1.13</w:t>
            </w:r>
          </w:p>
        </w:tc>
        <w:tc>
          <w:tcPr>
            <w:tcW w:w="512" w:type="pct"/>
            <w:vAlign w:val="center"/>
          </w:tcPr>
          <w:p w14:paraId="616607E8" w14:textId="77777777" w:rsidR="00B53C39" w:rsidRPr="003E0254" w:rsidRDefault="00DA35C9">
            <w:pPr>
              <w:spacing w:line="276" w:lineRule="auto"/>
              <w:jc w:val="center"/>
              <w:rPr>
                <w:sz w:val="20"/>
                <w:szCs w:val="20"/>
              </w:rPr>
            </w:pPr>
            <w:r w:rsidRPr="003E0254">
              <w:rPr>
                <w:sz w:val="20"/>
                <w:szCs w:val="20"/>
              </w:rPr>
              <w:t>200</w:t>
            </w:r>
          </w:p>
        </w:tc>
        <w:tc>
          <w:tcPr>
            <w:tcW w:w="625" w:type="pct"/>
            <w:vAlign w:val="center"/>
          </w:tcPr>
          <w:p w14:paraId="224A303E" w14:textId="6D9A188E" w:rsidR="00B53C39" w:rsidRPr="003E0254" w:rsidRDefault="00DA35C9">
            <w:pPr>
              <w:spacing w:line="276" w:lineRule="auto"/>
              <w:jc w:val="center"/>
              <w:rPr>
                <w:sz w:val="20"/>
                <w:szCs w:val="20"/>
              </w:rPr>
            </w:pPr>
            <w:r w:rsidRPr="003E0254">
              <w:rPr>
                <w:sz w:val="20"/>
                <w:szCs w:val="20"/>
              </w:rPr>
              <w:t>Luo et al.</w:t>
            </w:r>
            <w:r w:rsidR="005C5C3D" w:rsidRPr="003E0254">
              <w:rPr>
                <w:sz w:val="20"/>
                <w:szCs w:val="20"/>
              </w:rPr>
              <w:fldChar w:fldCharType="begin" w:fldLock="1"/>
            </w:r>
            <w:r w:rsidR="00500B8D" w:rsidRPr="003E0254">
              <w:rPr>
                <w:sz w:val="20"/>
                <w:szCs w:val="20"/>
              </w:rPr>
              <w:instrText>ADDIN CSL_CITATION {"citationItems":[{"id":"ITEM-1","itemData":{"DOI":"10.1002/ANGE.202204030","ISSN":"1521-3757","abstract":" Zinc metal represents a low</w:instrText>
            </w:r>
            <w:r w:rsidR="00500B8D" w:rsidRPr="003E0254">
              <w:rPr>
                <w:rFonts w:ascii="Cambria Math" w:hAnsi="Cambria Math" w:cs="Cambria Math"/>
                <w:sz w:val="20"/>
                <w:szCs w:val="20"/>
              </w:rPr>
              <w:instrText>‐</w:instrText>
            </w:r>
            <w:r w:rsidR="00500B8D" w:rsidRPr="003E0254">
              <w:rPr>
                <w:sz w:val="20"/>
                <w:szCs w:val="20"/>
              </w:rPr>
              <w:instrText>cost, high</w:instrText>
            </w:r>
            <w:r w:rsidR="00500B8D" w:rsidRPr="003E0254">
              <w:rPr>
                <w:rFonts w:ascii="Cambria Math" w:hAnsi="Cambria Math" w:cs="Cambria Math"/>
                <w:sz w:val="20"/>
                <w:szCs w:val="20"/>
              </w:rPr>
              <w:instrText>‐</w:instrText>
            </w:r>
            <w:r w:rsidR="00500B8D" w:rsidRPr="003E0254">
              <w:rPr>
                <w:sz w:val="20"/>
                <w:szCs w:val="20"/>
              </w:rPr>
              <w:instrText>capacity anode material to develop energy</w:instrText>
            </w:r>
            <w:r w:rsidR="00500B8D" w:rsidRPr="003E0254">
              <w:rPr>
                <w:rFonts w:ascii="Cambria Math" w:hAnsi="Cambria Math" w:cs="Cambria Math"/>
                <w:sz w:val="20"/>
                <w:szCs w:val="20"/>
              </w:rPr>
              <w:instrText>‐</w:instrText>
            </w:r>
            <w:r w:rsidR="00500B8D" w:rsidRPr="003E0254">
              <w:rPr>
                <w:sz w:val="20"/>
                <w:szCs w:val="20"/>
              </w:rPr>
              <w:instrText>dense aqueous redox</w:instrText>
            </w:r>
            <w:r w:rsidR="00500B8D" w:rsidRPr="003E0254">
              <w:rPr>
                <w:rFonts w:ascii="Cambria Math" w:hAnsi="Cambria Math" w:cs="Cambria Math"/>
                <w:sz w:val="20"/>
                <w:szCs w:val="20"/>
              </w:rPr>
              <w:instrText>‐</w:instrText>
            </w:r>
            <w:r w:rsidR="00500B8D" w:rsidRPr="003E0254">
              <w:rPr>
                <w:sz w:val="20"/>
                <w:szCs w:val="20"/>
              </w:rPr>
              <w:instrText>flow batteries (RFB). However, the energy</w:instrText>
            </w:r>
            <w:r w:rsidR="00500B8D" w:rsidRPr="003E0254">
              <w:rPr>
                <w:rFonts w:ascii="Cambria Math" w:hAnsi="Cambria Math" w:cs="Cambria Math"/>
                <w:sz w:val="20"/>
                <w:szCs w:val="20"/>
              </w:rPr>
              <w:instrText>‐</w:instrText>
            </w:r>
            <w:r w:rsidR="00500B8D" w:rsidRPr="003E0254">
              <w:rPr>
                <w:sz w:val="20"/>
                <w:szCs w:val="20"/>
              </w:rPr>
              <w:instrText>storage applications of traditional inorganic Zn halide flow batteries are primarily plagued by the material challenges of traditional halide cathode electrolytes (e.g., bromine), including corrosion, toxicity, and severe crossover. Herein, we report a bipolar zinc–ferrocene salt compound, zinc 1,1′</w:instrText>
            </w:r>
            <w:r w:rsidR="00500B8D" w:rsidRPr="003E0254">
              <w:rPr>
                <w:rFonts w:ascii="Cambria Math" w:hAnsi="Cambria Math" w:cs="Cambria Math"/>
                <w:sz w:val="20"/>
                <w:szCs w:val="20"/>
              </w:rPr>
              <w:instrText>‐</w:instrText>
            </w:r>
            <w:r w:rsidR="00500B8D" w:rsidRPr="003E0254">
              <w:rPr>
                <w:sz w:val="20"/>
                <w:szCs w:val="20"/>
              </w:rPr>
              <w:instrText>bis(3</w:instrText>
            </w:r>
            <w:r w:rsidR="00500B8D" w:rsidRPr="003E0254">
              <w:rPr>
                <w:rFonts w:ascii="Cambria Math" w:hAnsi="Cambria Math" w:cs="Cambria Math"/>
                <w:sz w:val="20"/>
                <w:szCs w:val="20"/>
              </w:rPr>
              <w:instrText>‐</w:instrText>
            </w:r>
            <w:r w:rsidR="00500B8D" w:rsidRPr="003E0254">
              <w:rPr>
                <w:sz w:val="20"/>
                <w:szCs w:val="20"/>
              </w:rPr>
              <w:instrText xml:space="preserve">sulfonatopropyl)ferrocene,  Zn[Fc(SPr) 2 ]  (1.80 M solubility or 48.2 Ah L </w:instrText>
            </w:r>
            <w:r w:rsidR="00500B8D" w:rsidRPr="003E0254">
              <w:rPr>
                <w:rFonts w:ascii="Aptos" w:hAnsi="Aptos" w:cs="Aptos"/>
                <w:sz w:val="20"/>
                <w:szCs w:val="20"/>
              </w:rPr>
              <w:instrText>−</w:instrText>
            </w:r>
            <w:r w:rsidR="00500B8D" w:rsidRPr="003E0254">
              <w:rPr>
                <w:sz w:val="20"/>
                <w:szCs w:val="20"/>
              </w:rPr>
              <w:instrText xml:space="preserve"> charge storage capacity)</w:instrText>
            </w:r>
            <w:r w:rsidR="00500B8D" w:rsidRPr="003E0254">
              <w:rPr>
                <w:rFonts w:ascii="Aptos" w:hAnsi="Aptos" w:cs="Aptos"/>
                <w:sz w:val="20"/>
                <w:szCs w:val="20"/>
              </w:rPr>
              <w:instrText>—</w:instrText>
            </w:r>
            <w:r w:rsidR="00500B8D" w:rsidRPr="003E0254">
              <w:rPr>
                <w:sz w:val="20"/>
                <w:szCs w:val="20"/>
              </w:rPr>
              <w:instrText>a robust, energy</w:instrText>
            </w:r>
            <w:r w:rsidR="00500B8D" w:rsidRPr="003E0254">
              <w:rPr>
                <w:rFonts w:ascii="Cambria Math" w:hAnsi="Cambria Math" w:cs="Cambria Math"/>
                <w:sz w:val="20"/>
                <w:szCs w:val="20"/>
              </w:rPr>
              <w:instrText>‐</w:instrText>
            </w:r>
            <w:r w:rsidR="00500B8D" w:rsidRPr="003E0254">
              <w:rPr>
                <w:sz w:val="20"/>
                <w:szCs w:val="20"/>
              </w:rPr>
              <w:instrText>dense, bipolar redox</w:instrText>
            </w:r>
            <w:r w:rsidR="00500B8D" w:rsidRPr="003E0254">
              <w:rPr>
                <w:rFonts w:ascii="Cambria Math" w:hAnsi="Cambria Math" w:cs="Cambria Math"/>
                <w:sz w:val="20"/>
                <w:szCs w:val="20"/>
              </w:rPr>
              <w:instrText>‐</w:instrText>
            </w:r>
            <w:r w:rsidR="00500B8D" w:rsidRPr="003E0254">
              <w:rPr>
                <w:sz w:val="20"/>
                <w:szCs w:val="20"/>
              </w:rPr>
              <w:instrText xml:space="preserve">active electrolyte material for RFBs.  Zn[Fc(SPr) 2 ]  </w:instrText>
            </w:r>
            <w:r w:rsidR="00500B8D" w:rsidRPr="003E0254">
              <w:rPr>
                <w:rFonts w:ascii="Cambria Math" w:hAnsi="Cambria Math" w:cs="Cambria Math"/>
                <w:sz w:val="20"/>
                <w:szCs w:val="20"/>
              </w:rPr>
              <w:instrText>‐</w:instrText>
            </w:r>
            <w:r w:rsidR="00500B8D" w:rsidRPr="003E0254">
              <w:rPr>
                <w:sz w:val="20"/>
                <w:szCs w:val="20"/>
              </w:rPr>
              <w:instrText>based redox</w:instrText>
            </w:r>
            <w:r w:rsidR="00500B8D" w:rsidRPr="003E0254">
              <w:rPr>
                <w:rFonts w:ascii="Cambria Math" w:hAnsi="Cambria Math" w:cs="Cambria Math"/>
                <w:sz w:val="20"/>
                <w:szCs w:val="20"/>
              </w:rPr>
              <w:instrText>‐</w:instrText>
            </w:r>
            <w:r w:rsidR="00500B8D" w:rsidRPr="003E0254">
              <w:rPr>
                <w:sz w:val="20"/>
                <w:szCs w:val="20"/>
              </w:rPr>
              <w:instrText xml:space="preserve">flow batteries operated at high current densities of up to 200 mA cm </w:instrText>
            </w:r>
            <w:r w:rsidR="00500B8D" w:rsidRPr="003E0254">
              <w:rPr>
                <w:rFonts w:ascii="Aptos" w:hAnsi="Aptos" w:cs="Aptos"/>
                <w:sz w:val="20"/>
                <w:szCs w:val="20"/>
              </w:rPr>
              <w:instrText>−</w:instrText>
            </w:r>
            <w:r w:rsidR="00500B8D" w:rsidRPr="003E0254">
              <w:rPr>
                <w:sz w:val="20"/>
                <w:szCs w:val="20"/>
              </w:rPr>
              <w:instrText xml:space="preserve">2 and delivered an energy efficiency of up to 81.5 % and a power density of up to 270.5 mW cm </w:instrText>
            </w:r>
            <w:r w:rsidR="00500B8D" w:rsidRPr="003E0254">
              <w:rPr>
                <w:rFonts w:ascii="Aptos" w:hAnsi="Aptos" w:cs="Aptos"/>
                <w:sz w:val="20"/>
                <w:szCs w:val="20"/>
              </w:rPr>
              <w:instrText>−</w:instrText>
            </w:r>
            <w:r w:rsidR="00500B8D" w:rsidRPr="003E0254">
              <w:rPr>
                <w:sz w:val="20"/>
                <w:szCs w:val="20"/>
              </w:rPr>
              <w:instrText>2 . A Zn[Fc(SPr) 2 ] flow battery demonstrated an energy density of 20.2 Wh L −1 and displayed nearly 100 % capacity retention for 2000 cycles (1284 h or 53.5 days). ","author":[{"dropping-particle":"","family":"Luo","given":"Jian","non-dropping-particle":"","parse-names":false,"suffix":""},{"dropping-particle":"","family":"Hu","given":"Bo","non-dropping-particle":"","parse-names":false,"suffix":""},{"dropping-particle":"","family":"Hu","given":"Maowei","non-dropping-particle":"","parse-names":false,"suffix":""},{"dropping-particle":"","family":"Wu","given":"Wenda","non-dropping-particle":"","parse-names":false,"suffix":""},{"dropping-particle":"","family":"Liu","given":"T. Leo","non-dropping-particle":"","parse-names":false,"suffix":""}],"container-title":"Angewandte Chemie","id":"ITEM-1","issue":"30","issued":{"date-parts":[["2022","7","25"]]},"page":"e202204030","publisher":"John Wiley &amp; Sons, Ltd","title":"An Energy-Dense, Powerful, Robust Bipolar Zinc–Ferrocene Redox-Flow Battery","type":"article-journal","volume":"134"},"uris":["http://www.mendeley.com/documents/?uuid=3ab6b092-9226-3b2a-87d6-5a9db7bbb324"]}],"mendeley":{"formattedCitation":"&lt;sup&gt;[278]&lt;/sup&gt;","plainTextFormattedCitation":"[278]","previouslyFormattedCitation":"&lt;sup&gt;[277]&lt;/sup&gt;"},"properties":{"noteIndex":0},"schema":"https://github.com/citation-style-language/schema/raw/master/csl-citation.json"}</w:instrText>
            </w:r>
            <w:r w:rsidR="005C5C3D" w:rsidRPr="003E0254">
              <w:rPr>
                <w:sz w:val="20"/>
                <w:szCs w:val="20"/>
              </w:rPr>
              <w:fldChar w:fldCharType="separate"/>
            </w:r>
            <w:r w:rsidR="00500B8D" w:rsidRPr="003E0254">
              <w:rPr>
                <w:noProof/>
                <w:sz w:val="20"/>
                <w:szCs w:val="20"/>
                <w:vertAlign w:val="superscript"/>
              </w:rPr>
              <w:t>[278]</w:t>
            </w:r>
            <w:r w:rsidR="005C5C3D" w:rsidRPr="003E0254">
              <w:rPr>
                <w:sz w:val="20"/>
                <w:szCs w:val="20"/>
              </w:rPr>
              <w:fldChar w:fldCharType="end"/>
            </w:r>
            <w:r w:rsidRPr="003E0254">
              <w:rPr>
                <w:sz w:val="20"/>
                <w:szCs w:val="20"/>
              </w:rPr>
              <w:t xml:space="preserve"> </w:t>
            </w:r>
          </w:p>
        </w:tc>
        <w:tc>
          <w:tcPr>
            <w:tcW w:w="960" w:type="pct"/>
            <w:vAlign w:val="center"/>
          </w:tcPr>
          <w:p w14:paraId="37AD04D4" w14:textId="77777777" w:rsidR="00B53C39" w:rsidRPr="003E0254" w:rsidRDefault="00DA35C9">
            <w:pPr>
              <w:spacing w:line="276" w:lineRule="auto"/>
              <w:jc w:val="center"/>
              <w:rPr>
                <w:sz w:val="20"/>
                <w:szCs w:val="20"/>
              </w:rPr>
            </w:pPr>
            <w:r w:rsidRPr="003E0254">
              <w:rPr>
                <w:sz w:val="20"/>
                <w:szCs w:val="20"/>
              </w:rPr>
              <w:t>Organic Zn-based RFBs are highly versatile, compatible with all cell types (alkaline, neutral, acidic), and support a bipolar setup. They enable high current densities and cycle numbers, though their molecular mass limits energy density to a medium level.</w:t>
            </w:r>
          </w:p>
        </w:tc>
      </w:tr>
    </w:tbl>
    <w:p w14:paraId="067B4611" w14:textId="77777777" w:rsidR="00B53C39" w:rsidRPr="003E0254" w:rsidRDefault="00B53C39">
      <w:pPr>
        <w:pBdr>
          <w:top w:val="none" w:sz="4" w:space="0" w:color="000000"/>
          <w:left w:val="none" w:sz="4" w:space="0" w:color="000000"/>
          <w:bottom w:val="none" w:sz="4" w:space="0" w:color="000000"/>
          <w:right w:val="none" w:sz="4" w:space="0" w:color="000000"/>
        </w:pBdr>
        <w:spacing w:line="276" w:lineRule="auto"/>
        <w:ind w:left="360"/>
        <w:jc w:val="both"/>
      </w:pPr>
    </w:p>
    <w:p w14:paraId="6E58E00D" w14:textId="6FA10997" w:rsidR="00DF7C26" w:rsidRPr="003E0254" w:rsidRDefault="00DF7C26" w:rsidP="00DF7C26">
      <w:pPr>
        <w:pBdr>
          <w:top w:val="none" w:sz="4" w:space="0" w:color="000000"/>
          <w:left w:val="none" w:sz="4" w:space="0" w:color="000000"/>
          <w:bottom w:val="none" w:sz="4" w:space="0" w:color="000000"/>
          <w:right w:val="none" w:sz="4" w:space="0" w:color="000000"/>
        </w:pBdr>
        <w:spacing w:line="276" w:lineRule="auto"/>
        <w:jc w:val="both"/>
      </w:pPr>
      <w:r w:rsidRPr="003E0254">
        <w:t>Overall</w:t>
      </w:r>
      <w:r w:rsidR="00F91992" w:rsidRPr="003E0254">
        <w:t>,</w:t>
      </w:r>
      <w:r w:rsidRPr="003E0254">
        <w:t xml:space="preserve"> organic electrolytes eliminate the need for scarce transition metals like nickel and cobalt and allow tunable redox properties for improved cycling stability. However, their higher synthesis costs can offset zinc’s cost advantage, making economic feasibility a key factor. While organic-based systems may increase material costs, they offer long-term benefits such as reduced reliance on critical raw materials, </w:t>
      </w:r>
      <w:r w:rsidRPr="003E0254">
        <w:lastRenderedPageBreak/>
        <w:t>extended lifespan, improved power density, and lower environmental and disposal costs. Aqueous zinc-RFBs remain the more cost-effective option, but organic-based systems present a scalable and sustainable alternative for next-generation energy storage, balancing economic and environmental considerations.</w:t>
      </w:r>
    </w:p>
    <w:p w14:paraId="423B9ED1" w14:textId="77777777" w:rsidR="00B53C39" w:rsidRPr="003E0254" w:rsidRDefault="00B53C39">
      <w:pPr>
        <w:pBdr>
          <w:top w:val="none" w:sz="4" w:space="0" w:color="000000"/>
          <w:left w:val="none" w:sz="4" w:space="0" w:color="000000"/>
          <w:bottom w:val="none" w:sz="4" w:space="0" w:color="000000"/>
          <w:right w:val="none" w:sz="4" w:space="0" w:color="000000"/>
        </w:pBdr>
        <w:spacing w:line="276" w:lineRule="auto"/>
        <w:ind w:left="360"/>
        <w:jc w:val="both"/>
      </w:pPr>
    </w:p>
    <w:p w14:paraId="04488AF3" w14:textId="09CC0160" w:rsidR="00B53C39" w:rsidRPr="003E0254" w:rsidRDefault="00DA35C9">
      <w:pPr>
        <w:pStyle w:val="berschrift2"/>
        <w:spacing w:line="276" w:lineRule="auto"/>
        <w:rPr>
          <w:b/>
          <w:bCs/>
        </w:rPr>
      </w:pPr>
      <w:r w:rsidRPr="003E0254">
        <w:rPr>
          <w:b/>
          <w:bCs/>
        </w:rPr>
        <w:t xml:space="preserve">3. Economic </w:t>
      </w:r>
      <w:r w:rsidR="00687EEE" w:rsidRPr="003E0254">
        <w:rPr>
          <w:b/>
          <w:bCs/>
        </w:rPr>
        <w:t>A</w:t>
      </w:r>
      <w:r w:rsidRPr="003E0254">
        <w:rPr>
          <w:b/>
          <w:bCs/>
        </w:rPr>
        <w:t xml:space="preserve">spects of </w:t>
      </w:r>
      <w:r w:rsidR="00687EEE" w:rsidRPr="003E0254">
        <w:rPr>
          <w:b/>
          <w:bCs/>
        </w:rPr>
        <w:t>Z</w:t>
      </w:r>
      <w:r w:rsidRPr="003E0254">
        <w:rPr>
          <w:b/>
          <w:bCs/>
        </w:rPr>
        <w:t xml:space="preserve">inc </w:t>
      </w:r>
      <w:r w:rsidR="00687EEE" w:rsidRPr="003E0254">
        <w:rPr>
          <w:b/>
          <w:bCs/>
        </w:rPr>
        <w:t>B</w:t>
      </w:r>
      <w:r w:rsidRPr="003E0254">
        <w:rPr>
          <w:b/>
          <w:bCs/>
        </w:rPr>
        <w:t>atteries</w:t>
      </w:r>
    </w:p>
    <w:p w14:paraId="6E0749A4" w14:textId="77777777" w:rsidR="00B53C39" w:rsidRPr="003E0254" w:rsidRDefault="00DA35C9">
      <w:pPr>
        <w:pStyle w:val="berschrift3"/>
        <w:spacing w:line="276" w:lineRule="auto"/>
        <w:rPr>
          <w:b/>
          <w:bCs/>
        </w:rPr>
      </w:pPr>
      <w:r w:rsidRPr="003E0254">
        <w:rPr>
          <w:b/>
          <w:bCs/>
        </w:rPr>
        <w:t>3.1 Background</w:t>
      </w:r>
    </w:p>
    <w:p w14:paraId="28A10FB7" w14:textId="43D96A67" w:rsidR="00B53C39" w:rsidRPr="003E0254" w:rsidRDefault="00DA35C9">
      <w:pPr>
        <w:spacing w:line="276" w:lineRule="auto"/>
        <w:jc w:val="both"/>
        <w:rPr>
          <w:color w:val="000000" w:themeColor="text1"/>
        </w:rPr>
      </w:pPr>
      <w:r w:rsidRPr="003E0254">
        <w:t>While the consideration of materials and technology is important, ecological and economic factors also play a crucial role in assessing the long-term viability of a</w:t>
      </w:r>
      <w:r w:rsidR="00F91992" w:rsidRPr="003E0254">
        <w:t>ny</w:t>
      </w:r>
      <w:r w:rsidRPr="003E0254">
        <w:t xml:space="preserve"> technology. In this context, the availability of resources </w:t>
      </w:r>
      <w:r w:rsidR="00E73CFF" w:rsidRPr="003E0254">
        <w:t>must</w:t>
      </w:r>
      <w:r w:rsidRPr="003E0254">
        <w:t xml:space="preserve"> be evaluated. </w:t>
      </w:r>
      <w:r w:rsidRPr="003E0254">
        <w:rPr>
          <w:color w:val="000000" w:themeColor="text1"/>
        </w:rPr>
        <w:t xml:space="preserve">According to recent studies, the zinc content in the earth's crust is estimated at 198 trillion tons up to a depth of 5 kilometers. </w:t>
      </w:r>
      <w:r w:rsidR="00807969" w:rsidRPr="003E0254">
        <w:rPr>
          <w:color w:val="000000" w:themeColor="text1"/>
        </w:rPr>
        <w:t>Assuming that mining at a depth of 5 km is technically feasible, the extractable global zinc resources are calculated at 63 billion tons</w:t>
      </w:r>
      <w:r w:rsidRPr="003E0254">
        <w:rPr>
          <w:color w:val="000000" w:themeColor="text1"/>
        </w:rPr>
        <w:t>.</w:t>
      </w:r>
      <w:r w:rsidR="001E5408" w:rsidRPr="003E0254">
        <w:rPr>
          <w:color w:val="000000" w:themeColor="text1"/>
        </w:rPr>
        <w:fldChar w:fldCharType="begin" w:fldLock="1"/>
      </w:r>
      <w:r w:rsidR="00500B8D" w:rsidRPr="003E0254">
        <w:rPr>
          <w:color w:val="000000" w:themeColor="text1"/>
        </w:rPr>
        <w:instrText>ADDIN CSL_CITATION {"citationItems":[{"id":"ITEM-1","itemData":{"DOI":"10.1016/J.RCRADV.2023.200166","ISSN":"2667-3789","abstract":"Society's increasing demand for metals led to the discussion as to whether scarcity of raw materials could lead to supply shortages and to which extend circularity can prevent resource depletion. This study investigates the need for and availability of secondary and primary zinc resources under moderate demand growth. A dynamic MFA model simulates future potentials of 9–14 Mt/a zinc recycling and the necessity of 17–22 Mt/a zinc mining in 2050. The MFA model estimates a cumulative required mine production of 500–560 Mt between 2020 and 2050, which equals less than 1% of the extractable global zinc resources estimated within a geological analysis. With continuous exploration contributing to new discoveries, primary zinc is sufficiently physically available. In contrast, recycling is limited to the amounts of post-consumer waste generation. Recycling capacities need to be extended, collection systems optimized and processing efficiencies increased worldwide to realize the full extent of modelled potentials.","author":[{"dropping-particle":"","family":"Rostek","given":"Leon","non-dropping-particle":"","parse-names":false,"suffix":""},{"dropping-particle":"","family":"Pirard","given":"Eric","non-dropping-particle":"","parse-names":false,"suffix":""},{"dropping-particle":"","family":"Loibl","given":"Antonia","non-dropping-particle":"","parse-names":false,"suffix":""}],"container-title":"Resources, Conservation &amp; Recycling Advances","id":"ITEM-1","issued":{"date-parts":[["2023","11","1"]]},"page":"200166","publisher":"Elsevier","title":"The future availability of zinc: Potential contributions from recycling and necessary ones from mining","type":"article-journal","volume":"19"},"uris":["http://www.mendeley.com/documents/?uuid=6d655d23-2d07-3b4e-8948-5dd1f7838768"]}],"mendeley":{"formattedCitation":"&lt;sup&gt;[291]&lt;/sup&gt;","plainTextFormattedCitation":"[291]","previouslyFormattedCitation":"&lt;sup&gt;[290]&lt;/sup&gt;"},"properties":{"noteIndex":0},"schema":"https://github.com/citation-style-language/schema/raw/master/csl-citation.json"}</w:instrText>
      </w:r>
      <w:r w:rsidR="001E5408" w:rsidRPr="003E0254">
        <w:rPr>
          <w:color w:val="000000" w:themeColor="text1"/>
        </w:rPr>
        <w:fldChar w:fldCharType="separate"/>
      </w:r>
      <w:r w:rsidR="00500B8D" w:rsidRPr="003E0254">
        <w:rPr>
          <w:noProof/>
          <w:color w:val="000000" w:themeColor="text1"/>
          <w:vertAlign w:val="superscript"/>
        </w:rPr>
        <w:t>[291]</w:t>
      </w:r>
      <w:r w:rsidR="001E5408" w:rsidRPr="003E0254">
        <w:rPr>
          <w:color w:val="000000" w:themeColor="text1"/>
        </w:rPr>
        <w:fldChar w:fldCharType="end"/>
      </w:r>
      <w:r w:rsidRPr="003E0254">
        <w:rPr>
          <w:color w:val="000000" w:themeColor="text1"/>
        </w:rPr>
        <w:t xml:space="preserve"> Worldwide, approximately 247 million tons of zinc are currently in use.</w:t>
      </w:r>
      <w:r w:rsidR="005608A8" w:rsidRPr="003E0254">
        <w:rPr>
          <w:color w:val="000000" w:themeColor="text1"/>
        </w:rPr>
        <w:fldChar w:fldCharType="begin" w:fldLock="1"/>
      </w:r>
      <w:r w:rsidR="00500B8D" w:rsidRPr="003E0254">
        <w:rPr>
          <w:color w:val="000000" w:themeColor="text1"/>
        </w:rPr>
        <w:instrText>ADDIN CSL_CITATION {"citationItems":[{"id":"ITEM-1","itemData":{"author":[{"dropping-particle":"","family":"Dr. Josef Daniel- Ivad","given":"","non-dropping-particle":"","parse-names":false,"suffix":""}],"id":"ITEM-1","issued":{"date-parts":[["2025"]]},"publisher-place":"Orlando, FL","title":"Think Zinc! The Zinc Battery Initiative","type":"report"},"uris":["http://www.mendeley.com/documents/?uuid=f24be052-b426-3635-9014-228081414a83"]}],"mendeley":{"formattedCitation":"&lt;sup&gt;[292]&lt;/sup&gt;","plainTextFormattedCitation":"[292]","previouslyFormattedCitation":"&lt;sup&gt;[291]&lt;/sup&gt;"},"properties":{"noteIndex":0},"schema":"https://github.com/citation-style-language/schema/raw/master/csl-citation.json"}</w:instrText>
      </w:r>
      <w:r w:rsidR="005608A8" w:rsidRPr="003E0254">
        <w:rPr>
          <w:color w:val="000000" w:themeColor="text1"/>
        </w:rPr>
        <w:fldChar w:fldCharType="separate"/>
      </w:r>
      <w:r w:rsidR="00500B8D" w:rsidRPr="003E0254">
        <w:rPr>
          <w:noProof/>
          <w:color w:val="000000" w:themeColor="text1"/>
          <w:vertAlign w:val="superscript"/>
        </w:rPr>
        <w:t>[292]</w:t>
      </w:r>
      <w:r w:rsidR="005608A8" w:rsidRPr="003E0254">
        <w:rPr>
          <w:color w:val="000000" w:themeColor="text1"/>
        </w:rPr>
        <w:fldChar w:fldCharType="end"/>
      </w:r>
      <w:r w:rsidRPr="003E0254">
        <w:rPr>
          <w:color w:val="000000" w:themeColor="text1"/>
        </w:rPr>
        <w:t xml:space="preserve"> The annual demand for zinc is 20 million tons, with 12.8 million tons supplied by mining and 7.6 million tons from recycling pre- and post-consumer scrap.</w:t>
      </w:r>
      <w:r w:rsidR="00807969" w:rsidRPr="003E0254">
        <w:rPr>
          <w:color w:val="000000" w:themeColor="text1"/>
        </w:rPr>
        <w:fldChar w:fldCharType="begin" w:fldLock="1"/>
      </w:r>
      <w:r w:rsidR="00500B8D" w:rsidRPr="003E0254">
        <w:rPr>
          <w:color w:val="000000" w:themeColor="text1"/>
        </w:rPr>
        <w:instrText>ADDIN CSL_CITATION {"citationItems":[{"id":"ITEM-1","itemData":{"author":[{"dropping-particle":"","family":"Dr. Josef Daniel- Ivad","given":"","non-dropping-particle":"","parse-names":false,"suffix":""}],"id":"ITEM-1","issued":{"date-parts":[["2025"]]},"publisher-place":"Orlando, FL","title":"Think Zinc! The Zinc Battery Initiative","type":"report"},"uris":["http://www.mendeley.com/documents/?uuid=f24be052-b426-3635-9014-228081414a83"]}],"mendeley":{"formattedCitation":"&lt;sup&gt;[292]&lt;/sup&gt;","plainTextFormattedCitation":"[292]","previouslyFormattedCitation":"&lt;sup&gt;[291]&lt;/sup&gt;"},"properties":{"noteIndex":0},"schema":"https://github.com/citation-style-language/schema/raw/master/csl-citation.json"}</w:instrText>
      </w:r>
      <w:r w:rsidR="00807969" w:rsidRPr="003E0254">
        <w:rPr>
          <w:color w:val="000000" w:themeColor="text1"/>
        </w:rPr>
        <w:fldChar w:fldCharType="separate"/>
      </w:r>
      <w:r w:rsidR="00500B8D" w:rsidRPr="003E0254">
        <w:rPr>
          <w:noProof/>
          <w:color w:val="000000" w:themeColor="text1"/>
          <w:vertAlign w:val="superscript"/>
        </w:rPr>
        <w:t>[292]</w:t>
      </w:r>
      <w:r w:rsidR="00807969" w:rsidRPr="003E0254">
        <w:rPr>
          <w:color w:val="000000" w:themeColor="text1"/>
        </w:rPr>
        <w:fldChar w:fldCharType="end"/>
      </w:r>
      <w:r w:rsidRPr="003E0254">
        <w:rPr>
          <w:color w:val="000000" w:themeColor="text1"/>
        </w:rPr>
        <w:t xml:space="preserve"> Based on the present rate of demand, it can be projected that the extractable zinc reserves will be sufficient to sustain supply for </w:t>
      </w:r>
      <w:r w:rsidR="00F77BBC" w:rsidRPr="003E0254">
        <w:rPr>
          <w:color w:val="000000" w:themeColor="text1"/>
        </w:rPr>
        <w:t>more than</w:t>
      </w:r>
      <w:r w:rsidRPr="003E0254">
        <w:rPr>
          <w:color w:val="000000" w:themeColor="text1"/>
        </w:rPr>
        <w:t xml:space="preserve"> 5,0</w:t>
      </w:r>
      <w:r w:rsidR="00F77BBC" w:rsidRPr="003E0254">
        <w:rPr>
          <w:color w:val="000000" w:themeColor="text1"/>
        </w:rPr>
        <w:t>0</w:t>
      </w:r>
      <w:r w:rsidRPr="003E0254">
        <w:rPr>
          <w:color w:val="000000" w:themeColor="text1"/>
        </w:rPr>
        <w:t>0 years.</w:t>
      </w:r>
      <w:r w:rsidR="00807969" w:rsidRPr="003E0254">
        <w:rPr>
          <w:color w:val="000000" w:themeColor="text1"/>
        </w:rPr>
        <w:fldChar w:fldCharType="begin" w:fldLock="1"/>
      </w:r>
      <w:r w:rsidR="00500B8D" w:rsidRPr="003E0254">
        <w:rPr>
          <w:color w:val="000000" w:themeColor="text1"/>
        </w:rPr>
        <w:instrText>ADDIN CSL_CITATION {"citationItems":[{"id":"ITEM-1","itemData":{"author":[{"dropping-particle":"","family":"Dr. Josef Daniel- Ivad","given":"","non-dropping-particle":"","parse-names":false,"suffix":""}],"id":"ITEM-1","issued":{"date-parts":[["2025"]]},"publisher-place":"Orlando, FL","title":"Think Zinc! The Zinc Battery Initiative","type":"report"},"uris":["http://www.mendeley.com/documents/?uuid=f24be052-b426-3635-9014-228081414a83"]}],"mendeley":{"formattedCitation":"&lt;sup&gt;[292]&lt;/sup&gt;","plainTextFormattedCitation":"[292]","previouslyFormattedCitation":"&lt;sup&gt;[291]&lt;/sup&gt;"},"properties":{"noteIndex":0},"schema":"https://github.com/citation-style-language/schema/raw/master/csl-citation.json"}</w:instrText>
      </w:r>
      <w:r w:rsidR="00807969" w:rsidRPr="003E0254">
        <w:rPr>
          <w:color w:val="000000" w:themeColor="text1"/>
        </w:rPr>
        <w:fldChar w:fldCharType="separate"/>
      </w:r>
      <w:r w:rsidR="00500B8D" w:rsidRPr="003E0254">
        <w:rPr>
          <w:noProof/>
          <w:color w:val="000000" w:themeColor="text1"/>
          <w:vertAlign w:val="superscript"/>
        </w:rPr>
        <w:t>[292]</w:t>
      </w:r>
      <w:r w:rsidR="00807969" w:rsidRPr="003E0254">
        <w:rPr>
          <w:color w:val="000000" w:themeColor="text1"/>
        </w:rPr>
        <w:fldChar w:fldCharType="end"/>
      </w:r>
      <w:r w:rsidRPr="003E0254">
        <w:rPr>
          <w:color w:val="000000" w:themeColor="text1"/>
        </w:rPr>
        <w:t xml:space="preserve"> </w:t>
      </w:r>
      <w:r w:rsidRPr="003E0254">
        <w:rPr>
          <w:color w:val="000000" w:themeColor="text1"/>
          <w14:ligatures w14:val="none"/>
        </w:rPr>
        <w:t>In contrast, the global lithium resources are projected to be 105 million tons, while current global reserves are estimated at only 28 million tons.</w:t>
      </w:r>
      <w:r w:rsidR="001E5408" w:rsidRPr="003E0254">
        <w:rPr>
          <w:color w:val="000000" w:themeColor="text1"/>
          <w14:ligatures w14:val="none"/>
        </w:rPr>
        <w:fldChar w:fldCharType="begin" w:fldLock="1"/>
      </w:r>
      <w:r w:rsidR="00500B8D" w:rsidRPr="003E0254">
        <w:rPr>
          <w:color w:val="000000" w:themeColor="text1"/>
          <w14:ligatures w14:val="none"/>
        </w:rPr>
        <w:instrText>ADDIN CSL_CITATION {"citationItems":[{"id":"ITEM-1","itemData":{"DOI":"10.3133/MCS2024","ISBN":"978-1-4113-4544-7","author":[{"dropping-particle":"","family":"Survey","given":"U.S. Geological","non-dropping-particle":"","parse-names":false,"suffix":""}],"container-title":"Mineral Commodity Summaries","id":"ITEM-1","issued":{"date-parts":[["2024"]]},"title":"Mineral commodity summaries 2024","type":"article-journal"},"uris":["http://www.mendeley.com/documents/?uuid=677b0d6d-190e-3a66-bd99-a1e42c8c3619"]}],"mendeley":{"formattedCitation":"&lt;sup&gt;[293]&lt;/sup&gt;","plainTextFormattedCitation":"[293]","previouslyFormattedCitation":"&lt;sup&gt;[292]&lt;/sup&gt;"},"properties":{"noteIndex":0},"schema":"https://github.com/citation-style-language/schema/raw/master/csl-citation.json"}</w:instrText>
      </w:r>
      <w:r w:rsidR="001E5408" w:rsidRPr="003E0254">
        <w:rPr>
          <w:color w:val="000000" w:themeColor="text1"/>
          <w14:ligatures w14:val="none"/>
        </w:rPr>
        <w:fldChar w:fldCharType="separate"/>
      </w:r>
      <w:r w:rsidR="00500B8D" w:rsidRPr="003E0254">
        <w:rPr>
          <w:noProof/>
          <w:color w:val="000000" w:themeColor="text1"/>
          <w:vertAlign w:val="superscript"/>
          <w14:ligatures w14:val="none"/>
        </w:rPr>
        <w:t>[293]</w:t>
      </w:r>
      <w:r w:rsidR="001E5408" w:rsidRPr="003E0254">
        <w:rPr>
          <w:color w:val="000000" w:themeColor="text1"/>
          <w14:ligatures w14:val="none"/>
        </w:rPr>
        <w:fldChar w:fldCharType="end"/>
      </w:r>
      <w:r w:rsidRPr="003E0254">
        <w:rPr>
          <w:color w:val="000000" w:themeColor="text1"/>
          <w14:ligatures w14:val="none"/>
        </w:rPr>
        <w:t xml:space="preserve"> </w:t>
      </w:r>
      <w:r w:rsidR="00D10DC2" w:rsidRPr="003E0254">
        <w:rPr>
          <w:color w:val="000000" w:themeColor="text1"/>
          <w14:ligatures w14:val="none"/>
        </w:rPr>
        <w:t xml:space="preserve">However, despite the double electron exchange, the high molar mass and low potential of zinc vs. SHE means that significantly more zinc is required to achieve the same energy as with lithium. This substantially reduces the difference between reserves and resources in the context of energy storage. </w:t>
      </w:r>
      <w:r w:rsidR="00D10DC2" w:rsidRPr="003E0254">
        <w:rPr>
          <w:color w:val="000000" w:themeColor="text1"/>
        </w:rPr>
        <w:t>Furthermore, zinc resources are widely distributed, making the supply less vulnerable to geopolitical instability</w:t>
      </w:r>
      <w:r w:rsidR="00D10DC2" w:rsidRPr="003E0254">
        <w:rPr>
          <w:color w:val="000000" w:themeColor="text1"/>
          <w14:ligatures w14:val="none"/>
        </w:rPr>
        <w:t>.</w:t>
      </w:r>
      <w:r w:rsidR="00D10DC2" w:rsidRPr="003E0254">
        <w:rPr>
          <w:color w:val="000000" w:themeColor="text1"/>
          <w14:ligatures w14:val="none"/>
        </w:rPr>
        <w:fldChar w:fldCharType="begin" w:fldLock="1"/>
      </w:r>
      <w:r w:rsidR="002F6D4C" w:rsidRPr="003E0254">
        <w:rPr>
          <w:color w:val="000000" w:themeColor="text1"/>
          <w14:ligatures w14:val="none"/>
        </w:rPr>
        <w:instrText>ADDIN CSL_CITATION {"citationItems":[{"id":"ITEM-1","itemData":{"DOI":"10.1038/s41467-024-48368-0","ISSN":"2041-1723","PMID":"38744859","abstract":"In the literature on zinc-based batteries, it is often highlighted that zinc offers significant advantages over lithium due to its abundance, affordability, and accessibility. Additionally, aqueous rechargeable zinc batteries are promoted as a sustainable and cost-effective alternative to lithium-ion batteries, especially for renewable energy storage. The aim of this Comment is to provide a perspective on these statements, elucidating their foundations and implications and giving a quick but comprehensive background to authors and readers that deal with this topic, focusing specifically on batteries with zinc ions shuttling reversibly between the metallic negative electrode and the insertion-type positive electrode. Aqueous zinc batteries are currently being explored as potential alternatives to non-aqueous lithium-ion batteries. In this comment, the authors highlight zinc’s global supply chain resilience and lower material costs yet caution about its higher mass requirement for comparable charge storage.","author":[{"dropping-particle":"","family":"Innocenti","given":"Alessandro","non-dropping-particle":"","parse-names":false,"suffix":""},{"dropping-particle":"","family":"Bresser","given":"Dominic","non-dropping-particle":"","parse-names":false,"suffix":""},{"dropping-particle":"","family":"Garche","given":"Jürgen","non-dropping-particle":"","parse-names":false,"suffix":""},{"dropping-particle":"","family":"Passerini","given":"Stefano","non-dropping-particle":"","parse-names":false,"suffix":""}],"container-title":"Nature Communications 2024 15:1","id":"ITEM-1","issue":"1","issued":{"date-parts":[["2024","5","14"]]},"page":"1-6","publisher":"Nature Publishing Group","title":"A critical discussion of the current availability of lithium and zinc for use in batteries","type":"article-journal","volume":"15"},"uris":["http://www.mendeley.com/documents/?uuid=0a1ad2c2-3f1f-366f-a886-6c594f2c2609"]}],"mendeley":{"formattedCitation":"&lt;sup&gt;[3]&lt;/sup&gt;","plainTextFormattedCitation":"[3]","previouslyFormattedCitation":"&lt;sup&gt;[3]&lt;/sup&gt;"},"properties":{"noteIndex":0},"schema":"https://github.com/citation-style-language/schema/raw/master/csl-citation.json"}</w:instrText>
      </w:r>
      <w:r w:rsidR="00D10DC2" w:rsidRPr="003E0254">
        <w:rPr>
          <w:color w:val="000000" w:themeColor="text1"/>
          <w14:ligatures w14:val="none"/>
        </w:rPr>
        <w:fldChar w:fldCharType="separate"/>
      </w:r>
      <w:r w:rsidR="00A94915" w:rsidRPr="003E0254">
        <w:rPr>
          <w:noProof/>
          <w:color w:val="000000" w:themeColor="text1"/>
          <w:vertAlign w:val="superscript"/>
          <w14:ligatures w14:val="none"/>
        </w:rPr>
        <w:t>[3]</w:t>
      </w:r>
      <w:r w:rsidR="00D10DC2" w:rsidRPr="003E0254">
        <w:rPr>
          <w:color w:val="000000" w:themeColor="text1"/>
          <w14:ligatures w14:val="none"/>
        </w:rPr>
        <w:fldChar w:fldCharType="end"/>
      </w:r>
      <w:r w:rsidR="00D10DC2" w:rsidRPr="003E0254">
        <w:rPr>
          <w:color w:val="000000" w:themeColor="text1"/>
          <w14:ligatures w14:val="none"/>
        </w:rPr>
        <w:t xml:space="preserve"> </w:t>
      </w:r>
      <w:r w:rsidR="00D10DC2" w:rsidRPr="003E0254">
        <w:rPr>
          <w:color w:val="000000" w:themeColor="text1"/>
        </w:rPr>
        <w:t xml:space="preserve">. </w:t>
      </w:r>
      <w:r w:rsidR="00D10DC2" w:rsidRPr="003E0254">
        <w:rPr>
          <w:color w:val="000000" w:themeColor="text1"/>
          <w14:ligatures w14:val="none"/>
        </w:rPr>
        <w:t>In contrast, more than 96% of lithium production comes from Australia, Chile, China and Argentina.</w:t>
      </w:r>
      <w:r w:rsidR="00D10DC2" w:rsidRPr="003E0254">
        <w:rPr>
          <w:color w:val="000000" w:themeColor="text1"/>
          <w14:ligatures w14:val="none"/>
        </w:rPr>
        <w:fldChar w:fldCharType="begin" w:fldLock="1"/>
      </w:r>
      <w:r w:rsidR="002F6D4C" w:rsidRPr="003E0254">
        <w:rPr>
          <w:color w:val="000000" w:themeColor="text1"/>
          <w14:ligatures w14:val="none"/>
        </w:rPr>
        <w:instrText>ADDIN CSL_CITATION {"citationItems":[{"id":"ITEM-1","itemData":{"DOI":"10.1038/s41467-024-48368-0","ISSN":"2041-1723","PMID":"38744859","abstract":"In the literature on zinc-based batteries, it is often highlighted that zinc offers significant advantages over lithium due to its abundance, affordability, and accessibility. Additionally, aqueous rechargeable zinc batteries are promoted as a sustainable and cost-effective alternative to lithium-ion batteries, especially for renewable energy storage. The aim of this Comment is to provide a perspective on these statements, elucidating their foundations and implications and giving a quick but comprehensive background to authors and readers that deal with this topic, focusing specifically on batteries with zinc ions shuttling reversibly between the metallic negative electrode and the insertion-type positive electrode. Aqueous zinc batteries are currently being explored as potential alternatives to non-aqueous lithium-ion batteries. In this comment, the authors highlight zinc’s global supply chain resilience and lower material costs yet caution about its higher mass requirement for comparable charge storage.","author":[{"dropping-particle":"","family":"Innocenti","given":"Alessandro","non-dropping-particle":"","parse-names":false,"suffix":""},{"dropping-particle":"","family":"Bresser","given":"Dominic","non-dropping-particle":"","parse-names":false,"suffix":""},{"dropping-particle":"","family":"Garche","given":"Jürgen","non-dropping-particle":"","parse-names":false,"suffix":""},{"dropping-particle":"","family":"Passerini","given":"Stefano","non-dropping-particle":"","parse-names":false,"suffix":""}],"container-title":"Nature Communications 2024 15:1","id":"ITEM-1","issue":"1","issued":{"date-parts":[["2024","5","14"]]},"page":"1-6","publisher":"Nature Publishing Group","title":"A critical discussion of the current availability of lithium and zinc for use in batteries","type":"article-journal","volume":"15"},"uris":["http://www.mendeley.com/documents/?uuid=0a1ad2c2-3f1f-366f-a886-6c594f2c2609"]}],"mendeley":{"formattedCitation":"&lt;sup&gt;[3]&lt;/sup&gt;","plainTextFormattedCitation":"[3]","previouslyFormattedCitation":"&lt;sup&gt;[3]&lt;/sup&gt;"},"properties":{"noteIndex":0},"schema":"https://github.com/citation-style-language/schema/raw/master/csl-citation.json"}</w:instrText>
      </w:r>
      <w:r w:rsidR="00D10DC2" w:rsidRPr="003E0254">
        <w:rPr>
          <w:color w:val="000000" w:themeColor="text1"/>
          <w14:ligatures w14:val="none"/>
        </w:rPr>
        <w:fldChar w:fldCharType="separate"/>
      </w:r>
      <w:r w:rsidR="00A94915" w:rsidRPr="003E0254">
        <w:rPr>
          <w:noProof/>
          <w:color w:val="000000" w:themeColor="text1"/>
          <w:vertAlign w:val="superscript"/>
          <w14:ligatures w14:val="none"/>
        </w:rPr>
        <w:t>[3]</w:t>
      </w:r>
      <w:r w:rsidR="00D10DC2" w:rsidRPr="003E0254">
        <w:rPr>
          <w:color w:val="000000" w:themeColor="text1"/>
          <w14:ligatures w14:val="none"/>
        </w:rPr>
        <w:fldChar w:fldCharType="end"/>
      </w:r>
      <w:r w:rsidR="00D10DC2" w:rsidRPr="003E0254">
        <w:rPr>
          <w:color w:val="000000" w:themeColor="text1"/>
          <w14:ligatures w14:val="none"/>
        </w:rPr>
        <w:t xml:space="preserve"> </w:t>
      </w:r>
      <w:r w:rsidRPr="003E0254">
        <w:rPr>
          <w:color w:val="000000" w:themeColor="text1"/>
        </w:rPr>
        <w:t>Due to the high availability of zinc and the rising global demand for lithium,</w:t>
      </w:r>
      <w:r w:rsidRPr="003E0254">
        <w:rPr>
          <w:color w:val="000000" w:themeColor="text1"/>
          <w14:ligatures w14:val="none"/>
        </w:rPr>
        <w:t xml:space="preserve"> </w:t>
      </w:r>
      <w:r w:rsidRPr="003E0254">
        <w:rPr>
          <w:color w:val="000000" w:themeColor="text1"/>
        </w:rPr>
        <w:t xml:space="preserve">the market price of zinc </w:t>
      </w:r>
      <w:r w:rsidR="00F77BBC" w:rsidRPr="003E0254">
        <w:rPr>
          <w:color w:val="000000" w:themeColor="text1"/>
        </w:rPr>
        <w:t>is expected to be</w:t>
      </w:r>
      <w:r w:rsidRPr="003E0254">
        <w:rPr>
          <w:color w:val="000000" w:themeColor="text1"/>
        </w:rPr>
        <w:t xml:space="preserve"> less volatile than </w:t>
      </w:r>
      <w:r w:rsidR="00F91992" w:rsidRPr="003E0254">
        <w:rPr>
          <w:color w:val="000000" w:themeColor="text1"/>
        </w:rPr>
        <w:t>that of</w:t>
      </w:r>
      <w:r w:rsidR="00E73CFF" w:rsidRPr="003E0254">
        <w:rPr>
          <w:color w:val="000000" w:themeColor="text1"/>
        </w:rPr>
        <w:t xml:space="preserve"> </w:t>
      </w:r>
      <w:r w:rsidRPr="003E0254">
        <w:rPr>
          <w:color w:val="000000" w:themeColor="text1"/>
        </w:rPr>
        <w:t>lithium</w:t>
      </w:r>
      <w:r w:rsidRPr="003E0254">
        <w:rPr>
          <w:color w:val="000000" w:themeColor="text1"/>
          <w14:ligatures w14:val="none"/>
        </w:rPr>
        <w:t>.</w:t>
      </w:r>
    </w:p>
    <w:p w14:paraId="3D91B517" w14:textId="4977BE68" w:rsidR="00B53C39" w:rsidRPr="003E0254" w:rsidRDefault="00DA35C9">
      <w:pPr>
        <w:spacing w:line="276" w:lineRule="auto"/>
        <w:jc w:val="both"/>
        <w:rPr>
          <w:rFonts w:eastAsia="Arial" w:cs="Arial"/>
          <w:color w:val="000000"/>
        </w:rPr>
      </w:pPr>
      <w:r w:rsidRPr="003E0254">
        <w:t xml:space="preserve">The </w:t>
      </w:r>
      <w:r w:rsidR="00F91992" w:rsidRPr="003E0254">
        <w:t xml:space="preserve">price </w:t>
      </w:r>
      <w:r w:rsidRPr="003E0254">
        <w:t>volatility of lithium precursors has been a major issue for the lithium-ion battery industry, affecting cell costs and market stability. Lithium carbonate and lithium hydroxide are important precursors for lithium-ion batteries. Market prices are dependent on a variety of influencing factors, such as supply chain constraints, geopolitical factors and an uneven supply/demand balance from the rapidly growing electric vehicle sector. Figure</w:t>
      </w:r>
      <w:r w:rsidR="00C54F0E" w:rsidRPr="003E0254">
        <w:t xml:space="preserve"> 7</w:t>
      </w:r>
      <w:r w:rsidRPr="003E0254">
        <w:t xml:space="preserve"> (Raw Material Price) shows that spot prices for lithium carbonate </w:t>
      </w:r>
      <w:r w:rsidR="00F91992" w:rsidRPr="003E0254">
        <w:t>rose</w:t>
      </w:r>
      <w:r w:rsidRPr="003E0254">
        <w:t xml:space="preserve"> sharply in 2022, reaching $68</w:t>
      </w:r>
      <w:r w:rsidR="00885400" w:rsidRPr="003E0254">
        <w:t> </w:t>
      </w:r>
      <w:r w:rsidRPr="003E0254">
        <w:t>kg</w:t>
      </w:r>
      <w:r w:rsidR="00885400" w:rsidRPr="003E0254">
        <w:rPr>
          <w:vertAlign w:val="superscript"/>
        </w:rPr>
        <w:t>-1</w:t>
      </w:r>
      <w:r w:rsidRPr="003E0254">
        <w:t xml:space="preserve">. </w:t>
      </w:r>
      <w:r w:rsidR="005608A8" w:rsidRPr="003E0254">
        <w:t xml:space="preserve">This resulted from a supply deficit due to EV ramp-up, which was reflected in delayed deliveries, irrational purchasing behavior and inventory build-up to protect against rising prices. After 2022, prices collapsed again, with the main drivers being </w:t>
      </w:r>
      <w:r w:rsidRPr="003E0254">
        <w:t xml:space="preserve">Chinese overcapacity, Chinese macro policies in the form of government subsidies and a slowing EV market. Thus, it is </w:t>
      </w:r>
      <w:r w:rsidR="00E73CFF" w:rsidRPr="003E0254">
        <w:t xml:space="preserve">unclear if and </w:t>
      </w:r>
      <w:r w:rsidRPr="003E0254">
        <w:t xml:space="preserve">at what level lithium prices will settle in the long term. </w:t>
      </w:r>
      <w:r w:rsidRPr="003E0254">
        <w:rPr>
          <w:rFonts w:eastAsia="Arial" w:cs="Arial"/>
          <w:color w:val="000000"/>
        </w:rPr>
        <w:t xml:space="preserve">Similarly, volatile price movements can be seen to a lesser extent </w:t>
      </w:r>
      <w:r w:rsidR="00E73CFF" w:rsidRPr="003E0254">
        <w:rPr>
          <w:rFonts w:eastAsia="Arial" w:cs="Arial"/>
          <w:color w:val="000000"/>
        </w:rPr>
        <w:t>for</w:t>
      </w:r>
      <w:r w:rsidRPr="003E0254">
        <w:rPr>
          <w:rFonts w:eastAsia="Arial" w:cs="Arial"/>
          <w:color w:val="000000"/>
        </w:rPr>
        <w:t xml:space="preserve"> cobalt and nickel, both of which serve as precursors for NMC</w:t>
      </w:r>
      <w:r w:rsidR="00F73FF9" w:rsidRPr="003E0254">
        <w:rPr>
          <w:rFonts w:eastAsia="Arial" w:cs="Arial"/>
          <w:color w:val="000000"/>
        </w:rPr>
        <w:t xml:space="preserve"> (lithium nickel manganese cobalt oxide)</w:t>
      </w:r>
      <w:r w:rsidRPr="003E0254">
        <w:rPr>
          <w:rFonts w:eastAsia="Arial" w:cs="Arial"/>
          <w:color w:val="000000"/>
        </w:rPr>
        <w:t xml:space="preserve">, which is used as a cathode material in lithium-ion batteries. The situation is similar for vanadium pentoxide for </w:t>
      </w:r>
      <w:r w:rsidR="009755F7" w:rsidRPr="003E0254">
        <w:rPr>
          <w:rFonts w:eastAsia="Arial" w:cs="Arial"/>
          <w:color w:val="000000"/>
        </w:rPr>
        <w:t>redox flow</w:t>
      </w:r>
      <w:r w:rsidRPr="003E0254">
        <w:rPr>
          <w:rFonts w:eastAsia="Arial" w:cs="Arial"/>
          <w:color w:val="000000"/>
        </w:rPr>
        <w:t xml:space="preserve"> systems, where a price jump of 300% can be observed in 2018 (cf. Fig</w:t>
      </w:r>
      <w:r w:rsidR="00C54F0E" w:rsidRPr="003E0254">
        <w:rPr>
          <w:rFonts w:eastAsia="Arial" w:cs="Arial"/>
          <w:color w:val="000000"/>
        </w:rPr>
        <w:t>.</w:t>
      </w:r>
      <w:r w:rsidRPr="003E0254">
        <w:rPr>
          <w:rFonts w:eastAsia="Arial" w:cs="Arial"/>
          <w:color w:val="000000"/>
        </w:rPr>
        <w:t xml:space="preserve"> </w:t>
      </w:r>
      <w:r w:rsidR="00C54F0E" w:rsidRPr="003E0254">
        <w:rPr>
          <w:rFonts w:eastAsia="Arial" w:cs="Arial"/>
          <w:color w:val="000000"/>
        </w:rPr>
        <w:t>7</w:t>
      </w:r>
      <w:r w:rsidRPr="003E0254">
        <w:rPr>
          <w:rFonts w:eastAsia="Arial" w:cs="Arial"/>
          <w:color w:val="000000"/>
        </w:rPr>
        <w:t>).</w:t>
      </w:r>
    </w:p>
    <w:p w14:paraId="1A4913C4" w14:textId="77777777" w:rsidR="00371BB3" w:rsidRPr="003E0254" w:rsidRDefault="00371BB3">
      <w:pPr>
        <w:spacing w:line="276" w:lineRule="auto"/>
        <w:jc w:val="both"/>
        <w:rPr>
          <w:rFonts w:eastAsia="Arial" w:cs="Arial"/>
          <w:color w:val="00000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71BB3" w:rsidRPr="003E0254" w14:paraId="19DE4B9B" w14:textId="77777777" w:rsidTr="003C03B5">
        <w:tc>
          <w:tcPr>
            <w:tcW w:w="9350" w:type="dxa"/>
          </w:tcPr>
          <w:p w14:paraId="39D0C9E6" w14:textId="2E3B14FC" w:rsidR="00371BB3" w:rsidRPr="003E0254" w:rsidRDefault="00371BB3" w:rsidP="003C03B5">
            <w:pPr>
              <w:keepNext/>
              <w:spacing w:line="276" w:lineRule="auto"/>
              <w:jc w:val="center"/>
              <w:rPr>
                <w:rFonts w:eastAsia="Arial" w:cs="Arial"/>
                <w:color w:val="000000"/>
              </w:rPr>
            </w:pPr>
            <w:r w:rsidRPr="003E0254">
              <w:rPr>
                <w:noProof/>
              </w:rPr>
              <w:lastRenderedPageBreak/>
              <w:drawing>
                <wp:inline distT="0" distB="0" distL="0" distR="0" wp14:anchorId="2BA0C883" wp14:editId="6AC05280">
                  <wp:extent cx="4055250" cy="3164376"/>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26272" name=""/>
                          <pic:cNvPicPr>
                            <a:picLocks noChangeAspect="1"/>
                          </pic:cNvPicPr>
                        </pic:nvPicPr>
                        <pic:blipFill>
                          <a:blip r:embed="rId65" cstate="print">
                            <a:extLst>
                              <a:ext uri="{28A0092B-C50C-407E-A947-70E740481C1C}">
                                <a14:useLocalDpi xmlns:a14="http://schemas.microsoft.com/office/drawing/2010/main" val="0"/>
                              </a:ext>
                            </a:extLst>
                          </a:blip>
                          <a:stretch/>
                        </pic:blipFill>
                        <pic:spPr bwMode="auto">
                          <a:xfrm>
                            <a:off x="0" y="0"/>
                            <a:ext cx="4055250" cy="3164376"/>
                          </a:xfrm>
                          <a:prstGeom prst="rect">
                            <a:avLst/>
                          </a:prstGeom>
                        </pic:spPr>
                      </pic:pic>
                    </a:graphicData>
                  </a:graphic>
                </wp:inline>
              </w:drawing>
            </w:r>
          </w:p>
        </w:tc>
      </w:tr>
    </w:tbl>
    <w:p w14:paraId="19DD10CB" w14:textId="2F2A938C" w:rsidR="00B53C39" w:rsidRPr="003E0254" w:rsidRDefault="00371BB3" w:rsidP="00371BB3">
      <w:pPr>
        <w:pStyle w:val="Beschriftung"/>
        <w:rPr>
          <w:sz w:val="20"/>
          <w:szCs w:val="20"/>
        </w:rPr>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7</w:t>
      </w:r>
      <w:r w:rsidR="0054077B" w:rsidRPr="003E0254">
        <w:rPr>
          <w:noProof/>
        </w:rPr>
        <w:fldChar w:fldCharType="end"/>
      </w:r>
      <w:r w:rsidRPr="003E0254">
        <w:t>:</w:t>
      </w:r>
      <w:r w:rsidR="00DA35C9" w:rsidRPr="003E0254">
        <w:rPr>
          <w:sz w:val="20"/>
          <w:szCs w:val="20"/>
        </w:rPr>
        <w:t xml:space="preserve"> </w:t>
      </w:r>
      <w:r w:rsidR="00DA35C9" w:rsidRPr="003E0254">
        <w:t>Development of precursor material cost since 2010; Source: U.S. Geological Survey, Mineral commodity summaries 2012-2024</w:t>
      </w:r>
      <w:r w:rsidR="00C54F0E" w:rsidRPr="003E0254">
        <w:fldChar w:fldCharType="begin" w:fldLock="1"/>
      </w:r>
      <w:r w:rsidR="00500B8D" w:rsidRPr="003E0254">
        <w:instrText>ADDIN CSL_CITATION {"citationItems":[{"id":"ITEM-1","itemData":{"DOI":"10.3133/MCS2024","ISBN":"978-1-4113-4544-7","author":[{"dropping-particle":"","family":"Survey","given":"U.S. Geological","non-dropping-particle":"","parse-names":false,"suffix":""}],"container-title":"Mineral Commodity Summaries","id":"ITEM-1","issued":{"date-parts":[["2024"]]},"title":"Mineral commodity summaries 2024","type":"article-journal"},"uris":["http://www.mendeley.com/documents/?uuid=677b0d6d-190e-3a66-bd99-a1e42c8c3619"]}],"mendeley":{"formattedCitation":"&lt;sup&gt;[293]&lt;/sup&gt;","plainTextFormattedCitation":"[293]","previouslyFormattedCitation":"&lt;sup&gt;[292]&lt;/sup&gt;"},"properties":{"noteIndex":0},"schema":"https://github.com/citation-style-language/schema/raw/master/csl-citation.json"}</w:instrText>
      </w:r>
      <w:r w:rsidR="00C54F0E" w:rsidRPr="003E0254">
        <w:fldChar w:fldCharType="separate"/>
      </w:r>
      <w:r w:rsidR="00500B8D" w:rsidRPr="003E0254">
        <w:rPr>
          <w:i w:val="0"/>
          <w:noProof/>
          <w:vertAlign w:val="superscript"/>
        </w:rPr>
        <w:t>[293]</w:t>
      </w:r>
      <w:r w:rsidR="00C54F0E" w:rsidRPr="003E0254">
        <w:fldChar w:fldCharType="end"/>
      </w:r>
      <w:r w:rsidR="00DA35C9" w:rsidRPr="003E0254">
        <w:t xml:space="preserve"> (Note: Nickel, Cobalt and Zinc are metal prices and need further processing for use as battery precursor material)</w:t>
      </w:r>
      <w:r w:rsidR="00C54F0E" w:rsidRPr="003E0254">
        <w:t>.</w:t>
      </w:r>
    </w:p>
    <w:p w14:paraId="50DA02A1" w14:textId="22C25F7A" w:rsidR="00B53C39" w:rsidRPr="003E0254" w:rsidRDefault="00DA35C9">
      <w:pPr>
        <w:spacing w:line="276" w:lineRule="auto"/>
        <w:jc w:val="both"/>
      </w:pPr>
      <w:r w:rsidRPr="003E0254">
        <w:t>In contrast, zinc and manganese dioxide, essential components for zinc-based battery technologies, exhibit relatively low and stable pricing</w:t>
      </w:r>
      <w:r w:rsidR="007D0F5A" w:rsidRPr="003E0254">
        <w:t>,</w:t>
      </w:r>
      <w:r w:rsidRPr="003E0254">
        <w:t xml:space="preserve"> currently at $3.49 and $2.11 per kilogram (see Fig. </w:t>
      </w:r>
      <w:r w:rsidR="00953694" w:rsidRPr="003E0254">
        <w:t>7</w:t>
      </w:r>
      <w:r w:rsidRPr="003E0254">
        <w:t>). The global abundance of zinc and manganese, coupled with their less complex extraction processes, contribute to their price stability. This disparity offers a compelling advantage for zinc battery technologies, suggesting a potential shift or diversification in the energy storage industry. Manufacturers may increasingly explore alternatives that provide more predictable cost structures while maintaining performance, particularly in stationary energy storage applications.</w:t>
      </w:r>
      <w:r w:rsidR="00953694" w:rsidRPr="003E0254">
        <w:fldChar w:fldCharType="begin" w:fldLock="1"/>
      </w:r>
      <w:r w:rsidR="00500B8D" w:rsidRPr="003E0254">
        <w:instrText>ADDIN CSL_CITATION {"citationItems":[{"id":"ITEM-1","itemData":{"URL":"https://www.oxfordenergy.org/publications/lithium-price-volatility-where-next-for-the-market/","accessed":{"date-parts":[["2025","3","8"]]},"id":"ITEM-1","issued":{"date-parts":[["0"]]},"title":"Lithium price volatility: where next for the market? - Oxford Institute for Energy Studies","type":"webpage"},"uris":["http://www.mendeley.com/documents/?uuid=41f003a3-4189-326c-b9a7-097b75a98daf"]}],"mendeley":{"formattedCitation":"&lt;sup&gt;[294]&lt;/sup&gt;","plainTextFormattedCitation":"[294]","previouslyFormattedCitation":"&lt;sup&gt;[293]&lt;/sup&gt;"},"properties":{"noteIndex":0},"schema":"https://github.com/citation-style-language/schema/raw/master/csl-citation.json"}</w:instrText>
      </w:r>
      <w:r w:rsidR="00953694" w:rsidRPr="003E0254">
        <w:fldChar w:fldCharType="separate"/>
      </w:r>
      <w:r w:rsidR="00500B8D" w:rsidRPr="003E0254">
        <w:rPr>
          <w:noProof/>
          <w:vertAlign w:val="superscript"/>
        </w:rPr>
        <w:t>[294]</w:t>
      </w:r>
      <w:r w:rsidR="00953694" w:rsidRPr="003E0254">
        <w:fldChar w:fldCharType="end"/>
      </w:r>
      <w:r w:rsidRPr="003E0254">
        <w:rPr>
          <w14:ligatures w14:val="none"/>
        </w:rPr>
        <w:t xml:space="preserve"> </w:t>
      </w:r>
    </w:p>
    <w:p w14:paraId="6052974F" w14:textId="24268A26" w:rsidR="00B53C39" w:rsidRPr="003E0254" w:rsidRDefault="00807969">
      <w:pPr>
        <w:spacing w:line="276" w:lineRule="auto"/>
        <w:jc w:val="both"/>
      </w:pPr>
      <w:r w:rsidRPr="003E0254">
        <w:t xml:space="preserve">Assuming that </w:t>
      </w:r>
      <w:r w:rsidR="00BB687F" w:rsidRPr="003E0254">
        <w:t xml:space="preserve">future rechargeable </w:t>
      </w:r>
      <w:r w:rsidRPr="003E0254">
        <w:t xml:space="preserve">zinc-based batteries </w:t>
      </w:r>
      <w:r w:rsidR="00F91992" w:rsidRPr="003E0254">
        <w:t>will be</w:t>
      </w:r>
      <w:r w:rsidRPr="003E0254">
        <w:t xml:space="preserve"> primarily utilized for stationary energy storage, the potential market for zinc batteries has increased in recent years and further growth is expected. Between 2023 and 2031, the global market for stationary energy storage systems is projected to nearly double, increasing from 256.49 billion USD to 506.5 billion USD. During this period, the European market for stationary energy storage systems is also predicted to double, maintaining a relatively constant share of approximately 14% of the global market (cf. Fig. 8).</w:t>
      </w:r>
      <w:r w:rsidRPr="003E0254">
        <w:fldChar w:fldCharType="begin" w:fldLock="1"/>
      </w:r>
      <w:r w:rsidR="00500B8D" w:rsidRPr="003E0254">
        <w:instrText>ADDIN CSL_CITATION {"citationItems":[{"id":"ITEM-1","itemData":{"URL":"https://www.statista.com/statistics/1457926/global-energy-storage-market-size-by-region-forecast/","accessed":{"date-parts":[["2025","3","10"]]},"id":"ITEM-1","issued":{"date-parts":[["0"]]},"title":"Global energy storage market size by region 2031 | Statista","type":"webpage"},"uris":["http://www.mendeley.com/documents/?uuid=80f9fb26-9e0d-39bb-b0f0-a442eb8b00eb"]},{"id":"ITEM-2","itemData":{"author":[{"dropping-particle":"","family":"Tepe","given":"Benedikt","non-dropping-particle":"","parse-names":false,"suffix":""},{"dropping-particle":"","family":"Collath","given":"Nils","non-dropping-particle":"","parse-names":false,"suffix":""},{"dropping-particle":"","family":"Hesse","given":"Holger","non-dropping-particle":"","parse-names":false,"suffix":""},{"dropping-particle":"","family":"Rosenthal","given":"Markus","non-dropping-particle":"","parse-names":false,"suffix":""},{"dropping-particle":"","family":"Windelen","given":"Urban","non-dropping-particle":"","parse-names":false,"suffix":""}],"container-title":"Energiewirtschaftliche Tagesfragen 71. Jg.","id":"ITEM-2","issued":{"date-parts":[["2021"]]},"page":"3","title":"Stationäre Batteriespeicher in Deutschland: Aktuelle Entwicklungen und Trends in 2021","type":"article-journal"},"uris":["http://www.mendeley.com/documents/?uuid=83b19741-81a8-340a-b650-5b97fb0401ca"]}],"mendeley":{"formattedCitation":"&lt;sup&gt;[295,296]&lt;/sup&gt;","plainTextFormattedCitation":"[295,296]","previouslyFormattedCitation":"&lt;sup&gt;[294,295]&lt;/sup&gt;"},"properties":{"noteIndex":0},"schema":"https://github.com/citation-style-language/schema/raw/master/csl-citation.json"}</w:instrText>
      </w:r>
      <w:r w:rsidRPr="003E0254">
        <w:fldChar w:fldCharType="separate"/>
      </w:r>
      <w:r w:rsidR="00500B8D" w:rsidRPr="003E0254">
        <w:rPr>
          <w:noProof/>
          <w:vertAlign w:val="superscript"/>
        </w:rPr>
        <w:t>[295,296]</w:t>
      </w:r>
      <w:r w:rsidRPr="003E0254">
        <w:fldChar w:fldCharType="end"/>
      </w:r>
    </w:p>
    <w:p w14:paraId="5B83943B" w14:textId="21C84634" w:rsidR="00B53C39" w:rsidRPr="003E0254" w:rsidRDefault="00DA35C9">
      <w:pPr>
        <w:spacing w:line="276" w:lineRule="auto"/>
        <w:jc w:val="both"/>
      </w:pPr>
      <w:r w:rsidRPr="003E0254">
        <w:t>Due to the growing market, zinc-based battery technologies are increasingly supported to advance sustainable energy storage solutions.</w:t>
      </w:r>
      <w:r w:rsidRPr="003E0254">
        <w:rPr>
          <w:color w:val="FF0000"/>
        </w:rPr>
        <w:t xml:space="preserve"> </w:t>
      </w:r>
      <w:r w:rsidR="001509AB" w:rsidRPr="003E0254">
        <w:t>Within</w:t>
      </w:r>
      <w:r w:rsidRPr="003E0254">
        <w:t xml:space="preserve"> </w:t>
      </w:r>
      <w:r w:rsidR="001509AB" w:rsidRPr="003E0254">
        <w:t>E</w:t>
      </w:r>
      <w:r w:rsidRPr="003E0254">
        <w:t>urope, the program Horizon Europe provides funding for a wide range of innovative energy storage projects, including research into zinc-based batteries for applications in grid storage and renewable energy integration.</w:t>
      </w:r>
      <w:r w:rsidR="00953694" w:rsidRPr="003E0254">
        <w:fldChar w:fldCharType="begin" w:fldLock="1"/>
      </w:r>
      <w:r w:rsidR="00500B8D" w:rsidRPr="003E0254">
        <w:instrText>ADDIN CSL_CITATION {"citationItems":[{"id":"ITEM-1","itemData":{"id":"ITEM-1","issued":{"date-parts":[["2024"]]},"title":"BATT4EU SRIA European Partnership - Strategic Research &amp; Innovation Agenda - February","type":"report"},"uris":["http://www.mendeley.com/documents/?uuid=f44fbc70-5683-3148-b1c5-469a45f26d12"]}],"mendeley":{"formattedCitation":"&lt;sup&gt;[297]&lt;/sup&gt;","plainTextFormattedCitation":"[297]","previouslyFormattedCitation":"&lt;sup&gt;[296]&lt;/sup&gt;"},"properties":{"noteIndex":0},"schema":"https://github.com/citation-style-language/schema/raw/master/csl-citation.json"}</w:instrText>
      </w:r>
      <w:r w:rsidR="00953694" w:rsidRPr="003E0254">
        <w:fldChar w:fldCharType="separate"/>
      </w:r>
      <w:r w:rsidR="00500B8D" w:rsidRPr="003E0254">
        <w:rPr>
          <w:noProof/>
          <w:vertAlign w:val="superscript"/>
        </w:rPr>
        <w:t>[297]</w:t>
      </w:r>
      <w:r w:rsidR="00953694" w:rsidRPr="003E0254">
        <w:fldChar w:fldCharType="end"/>
      </w:r>
      <w:r w:rsidRPr="003E0254">
        <w:rPr>
          <w:color w:val="FF0000"/>
        </w:rPr>
        <w:t xml:space="preserve"> </w:t>
      </w:r>
      <w:r w:rsidRPr="003E0254">
        <w:t xml:space="preserve">On a national level, the Swedish Energy Agency supports the </w:t>
      </w:r>
      <w:proofErr w:type="spellStart"/>
      <w:r w:rsidRPr="003E0254">
        <w:t>Enerpoly</w:t>
      </w:r>
      <w:proofErr w:type="spellEnd"/>
      <w:r w:rsidRPr="003E0254">
        <w:t xml:space="preserve"> Production Innovation Center (EPIC), which aims to scale up the production of sustainable </w:t>
      </w:r>
      <w:r w:rsidR="00A439A1" w:rsidRPr="003E0254">
        <w:t>zinc-metal</w:t>
      </w:r>
      <w:r w:rsidRPr="003E0254">
        <w:t xml:space="preserve"> batteries. The project is expected to begin production in a mega-factory in Stockholm in 2025, with the intention to increase capacity progressively over time.</w:t>
      </w:r>
      <w:r w:rsidR="00953694" w:rsidRPr="003E0254">
        <w:fldChar w:fldCharType="begin" w:fldLock="1"/>
      </w:r>
      <w:r w:rsidR="00500B8D" w:rsidRPr="003E0254">
        <w:instrText>ADDIN CSL_CITATION {"citationItems":[{"id":"ITEM-1","itemData":{"URL":"https://www.enerpoly.com/technology","accessed":{"date-parts":[["2025","3","7"]]},"author":[{"dropping-particle":"","family":"Https://www.enerpoly.com/technology","given":"","non-dropping-particle":"","parse-names":false,"suffix":""}],"id":"ITEM-1","issued":{"date-parts":[["0"]]},"title":"Enerpoly | Affordable, safe, and sustainable zinc-ion batteries","type":"webpage"},"uris":["http://www.mendeley.com/documents/?uuid=1443f49c-4e26-3978-bf0b-baab0a2bea16"]}],"mendeley":{"formattedCitation":"&lt;sup&gt;[172]&lt;/sup&gt;","plainTextFormattedCitation":"[172]","previouslyFormattedCitation":"&lt;sup&gt;[171]&lt;/sup&gt;"},"properties":{"noteIndex":0},"schema":"https://github.com/citation-style-language/schema/raw/master/csl-citation.json"}</w:instrText>
      </w:r>
      <w:r w:rsidR="00953694" w:rsidRPr="003E0254">
        <w:fldChar w:fldCharType="separate"/>
      </w:r>
      <w:r w:rsidR="00500B8D" w:rsidRPr="003E0254">
        <w:rPr>
          <w:noProof/>
          <w:vertAlign w:val="superscript"/>
        </w:rPr>
        <w:t>[172]</w:t>
      </w:r>
      <w:r w:rsidR="00953694" w:rsidRPr="003E0254">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E7B79" w:rsidRPr="003E0254" w14:paraId="21652F2E" w14:textId="77777777" w:rsidTr="003C03B5">
        <w:tc>
          <w:tcPr>
            <w:tcW w:w="9350" w:type="dxa"/>
          </w:tcPr>
          <w:p w14:paraId="7B665F5B" w14:textId="2097A364" w:rsidR="005E7B79" w:rsidRPr="003E0254" w:rsidRDefault="005E7B79" w:rsidP="005E7B79">
            <w:pPr>
              <w:keepNext/>
              <w:spacing w:line="276" w:lineRule="auto"/>
              <w:jc w:val="both"/>
            </w:pPr>
            <w:r w:rsidRPr="003E0254">
              <w:rPr>
                <w:noProof/>
              </w:rPr>
              <w:lastRenderedPageBreak/>
              <w:drawing>
                <wp:anchor distT="0" distB="0" distL="115200" distR="115200" simplePos="0" relativeHeight="251659264" behindDoc="0" locked="0" layoutInCell="1" allowOverlap="1" wp14:anchorId="7463F51D" wp14:editId="1F8FFC8F">
                  <wp:simplePos x="985520" y="1122045"/>
                  <wp:positionH relativeFrom="margin">
                    <wp:align>center</wp:align>
                  </wp:positionH>
                  <wp:positionV relativeFrom="margin">
                    <wp:align>center</wp:align>
                  </wp:positionV>
                  <wp:extent cx="4420235" cy="345249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83044" name=""/>
                          <pic:cNvPicPr>
                            <a:picLocks noChangeAspect="1"/>
                          </pic:cNvPicPr>
                        </pic:nvPicPr>
                        <pic:blipFill>
                          <a:blip r:embed="rId66"/>
                          <a:srcRect l="8448" t="9369" r="11423" b="8917"/>
                          <a:stretch/>
                        </pic:blipFill>
                        <pic:spPr bwMode="auto">
                          <a:xfrm>
                            <a:off x="0" y="0"/>
                            <a:ext cx="4420235" cy="3452495"/>
                          </a:xfrm>
                          <a:prstGeom prst="rect">
                            <a:avLst/>
                          </a:prstGeom>
                        </pic:spPr>
                      </pic:pic>
                    </a:graphicData>
                  </a:graphic>
                </wp:anchor>
              </w:drawing>
            </w:r>
          </w:p>
        </w:tc>
      </w:tr>
    </w:tbl>
    <w:p w14:paraId="49CD8E2B" w14:textId="22B6EF6F" w:rsidR="00807969" w:rsidRPr="003E0254" w:rsidRDefault="005E7B79" w:rsidP="00807969">
      <w:pPr>
        <w:pStyle w:val="Beschriftung"/>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8</w:t>
      </w:r>
      <w:r w:rsidR="0054077B" w:rsidRPr="003E0254">
        <w:rPr>
          <w:noProof/>
        </w:rPr>
        <w:fldChar w:fldCharType="end"/>
      </w:r>
      <w:r w:rsidRPr="003E0254">
        <w:t>:</w:t>
      </w:r>
      <w:r w:rsidR="00DA35C9" w:rsidRPr="003E0254">
        <w:t xml:space="preserve"> Forecast of the market size for stationary energy storage in Europe in </w:t>
      </w:r>
      <w:r w:rsidR="00460EF2" w:rsidRPr="003E0254">
        <w:t>billions of</w:t>
      </w:r>
      <w:r w:rsidR="00DA35C9" w:rsidRPr="003E0254">
        <w:t xml:space="preserve"> USD with the compound annual growth rate (CAGR)</w:t>
      </w:r>
      <w:r w:rsidRPr="003E0254">
        <w:t>.</w:t>
      </w:r>
      <w:r w:rsidR="00807969" w:rsidRPr="003E0254">
        <w:t xml:space="preserve"> (Source: Statista 2024</w:t>
      </w:r>
      <w:r w:rsidR="00807969" w:rsidRPr="003E0254">
        <w:fldChar w:fldCharType="begin" w:fldLock="1"/>
      </w:r>
      <w:r w:rsidR="00500B8D" w:rsidRPr="003E0254">
        <w:instrText>ADDIN CSL_CITATION {"citationItems":[{"id":"ITEM-1","itemData":{"URL":"https://www.statista.com/statistics/1457926/global-energy-storage-market-size-by-region-forecast/","accessed":{"date-parts":[["2025","3","10"]]},"id":"ITEM-1","issued":{"date-parts":[["0"]]},"title":"Global energy storage market size by region 2031 | Statista","type":"webpage"},"uris":["http://www.mendeley.com/documents/?uuid=80f9fb26-9e0d-39bb-b0f0-a442eb8b00eb"]}],"mendeley":{"formattedCitation":"&lt;sup&gt;[295]&lt;/sup&gt;","plainTextFormattedCitation":"[295]","previouslyFormattedCitation":"&lt;sup&gt;[294]&lt;/sup&gt;"},"properties":{"noteIndex":0},"schema":"https://github.com/citation-style-language/schema/raw/master/csl-citation.json"}</w:instrText>
      </w:r>
      <w:r w:rsidR="00807969" w:rsidRPr="003E0254">
        <w:fldChar w:fldCharType="separate"/>
      </w:r>
      <w:r w:rsidR="00500B8D" w:rsidRPr="003E0254">
        <w:rPr>
          <w:i w:val="0"/>
          <w:noProof/>
          <w:vertAlign w:val="superscript"/>
        </w:rPr>
        <w:t>[295]</w:t>
      </w:r>
      <w:r w:rsidR="00807969" w:rsidRPr="003E0254">
        <w:fldChar w:fldCharType="end"/>
      </w:r>
      <w:r w:rsidR="00807969" w:rsidRPr="003E0254">
        <w:t>, CAGR own calculations)</w:t>
      </w:r>
      <w:r w:rsidR="008667CA" w:rsidRPr="003E0254">
        <w:t>.</w:t>
      </w:r>
      <w:r w:rsidR="00807969" w:rsidRPr="003E0254">
        <w:t xml:space="preserve"> </w:t>
      </w:r>
    </w:p>
    <w:p w14:paraId="6AFF572A" w14:textId="77777777" w:rsidR="00B53C39" w:rsidRPr="003E0254" w:rsidRDefault="00B53C39">
      <w:pPr>
        <w:spacing w:line="276" w:lineRule="auto"/>
        <w:jc w:val="both"/>
        <w:rPr>
          <w:sz w:val="20"/>
          <w:szCs w:val="20"/>
        </w:rPr>
      </w:pPr>
    </w:p>
    <w:p w14:paraId="60BFCCE8" w14:textId="288E0D2F" w:rsidR="00B53C39" w:rsidRPr="003E0254" w:rsidRDefault="00DA35C9">
      <w:pPr>
        <w:pStyle w:val="berschrift3"/>
        <w:spacing w:line="276" w:lineRule="auto"/>
        <w:rPr>
          <w:b/>
          <w:bCs/>
        </w:rPr>
      </w:pPr>
      <w:r w:rsidRPr="003E0254">
        <w:rPr>
          <w:b/>
          <w:bCs/>
        </w:rPr>
        <w:t xml:space="preserve">3.2 Cost </w:t>
      </w:r>
      <w:r w:rsidR="0016358B" w:rsidRPr="003E0254">
        <w:rPr>
          <w:b/>
          <w:bCs/>
        </w:rPr>
        <w:t>A</w:t>
      </w:r>
      <w:r w:rsidRPr="003E0254">
        <w:rPr>
          <w:b/>
          <w:bCs/>
        </w:rPr>
        <w:t>nalysis</w:t>
      </w:r>
    </w:p>
    <w:p w14:paraId="0830B9F8" w14:textId="69331852" w:rsidR="00884D88" w:rsidRPr="003E0254" w:rsidRDefault="008902B0" w:rsidP="00884D88">
      <w:pPr>
        <w:pBdr>
          <w:top w:val="none" w:sz="4" w:space="0" w:color="000000"/>
          <w:left w:val="none" w:sz="4" w:space="0" w:color="000000"/>
          <w:bottom w:val="none" w:sz="4" w:space="0" w:color="000000"/>
          <w:right w:val="none" w:sz="4" w:space="0" w:color="000000"/>
        </w:pBdr>
        <w:spacing w:line="276" w:lineRule="auto"/>
        <w:jc w:val="both"/>
      </w:pPr>
      <w:r w:rsidRPr="003E0254">
        <w:t>One of the key factors that needs to be considered when assessing the potential success of a technology is its cost, especially when considering global market penetration. This is also true for the zinc batteries</w:t>
      </w:r>
      <w:r w:rsidR="00F91992" w:rsidRPr="003E0254">
        <w:t xml:space="preserve"> discussed in this work</w:t>
      </w:r>
      <w:r w:rsidRPr="003E0254">
        <w:t xml:space="preserve">. For further consideration, economic analyses must be carried out to be able to make </w:t>
      </w:r>
      <w:r w:rsidR="00F91992" w:rsidRPr="003E0254">
        <w:t>assessments</w:t>
      </w:r>
      <w:r w:rsidRPr="003E0254">
        <w:t xml:space="preserve"> </w:t>
      </w:r>
      <w:r w:rsidR="00F91992" w:rsidRPr="003E0254">
        <w:t xml:space="preserve">with respect to </w:t>
      </w:r>
      <w:r w:rsidRPr="003E0254">
        <w:t xml:space="preserve">economic viability. There are several cost factors that can influence the economic viability of different battery systems. </w:t>
      </w:r>
      <w:r w:rsidR="00884D88" w:rsidRPr="003E0254">
        <w:t>These include material costs, production costs, operating costs and disposal costs. In the early phases of LIB research, often only material costs were considered</w:t>
      </w:r>
      <w:r w:rsidR="00A824A0" w:rsidRPr="003E0254">
        <w:fldChar w:fldCharType="begin" w:fldLock="1"/>
      </w:r>
      <w:r w:rsidR="00500B8D" w:rsidRPr="003E0254">
        <w:instrText>ADDIN CSL_CITATION {"citationItems":[{"id":"ITEM-1","itemData":{"DOI":"10.1007/S40684-015-0031-X/METRICS","ISSN":"21980810","abstract":"Due to global warming and the rise of the CO2 emissions electric mobility is in the focus. In this case costs for li-ion batteries and especially the material costs are the main cost drivers for electric vehicles. The aim of this paper is to develop a material cost model which can evaluate cell chemistry alternatives for li-ion battery anodes and cathodes. A focus is set on innovative cell chemistries which currently are not using in mass production. The presented model is based on bottom-up approach which can calculate costs and cell performance together to determine the ratio of material cost and energy. The general results are complemented with a case study that assesses that active material with a high specific energy can help reducing the material costs and improves cell performance parameters.","author":[{"dropping-particle":"","family":"Petri","given":"Ralf","non-dropping-particle":"","parse-names":false,"suffix":""},{"dropping-particle":"","family":"Giebel","given":"Tobias","non-dropping-particle":"","parse-names":false,"suffix":""},{"dropping-particle":"","family":"Zhang","given":"Bin","non-dropping-particle":"","parse-names":false,"suffix":""},{"dropping-particle":"","family":"Schünemann","given":"Jan Hinnerk","non-dropping-particle":"","parse-names":false,"suffix":""},{"dropping-particle":"","family":"Herrmann","given":"Christoph","non-dropping-particle":"","parse-names":false,"suffix":""}],"container-title":"International Journal of Precision Engineering and Manufacturing - Green Technology","id":"ITEM-1","issue":"3","issued":{"date-parts":[["2015","7","23"]]},"page":"263-268","publisher":"Korean Society for Precision Engineering","title":"Material cost model for innovative li-ion battery cells in electric vehicle applications","type":"article-journal","volume":"2"},"uris":["http://www.mendeley.com/documents/?uuid=3bb1a276-8277-3597-a241-5f8f648e876c"]},{"id":"ITEM-2","itemData":{"DOI":"10.3390/EN12030504","ISSN":"1996-1073","abstract":"In this study, we develop a method for calculating electric vehicle lithium-ion battery pack performance and cost. To begin, we construct a model allowing for calculation of cell performance and material cost using a bottom-up approach starting with real-world material costs. It thus provides a supplement to existing models, which often begin with fixed cathode active material (CAM) prices that do not reflect raw metal price fluctuations. We collect and display data from the London Metal Exchange to show that such metal prices, in this case specifically cobalt and nickel, do indeed fluctuate and cannot be assumed to remain static or decrease consistently. We input this data into our model, which allows for a visualization of the effects of these metal price fluctuations on the prices of the CAMs. CAMs analyzed include various lithium transition metal oxide-type layered oxide (NMC and NCA) technologies, as well as cubic spinel oxide (LMO), high voltage spinel oxide (LNMO), and lithium metal phosphate (LFP). The calculated CAM costs are combined with additional cell component costs in order to calculate full cell costs, which are in turn scaled up to full battery pack costs. Economies of scale are accounted for separately for each cost fraction.","author":[{"dropping-particle":"","family":"Wentker","given":"Marc","non-dropping-particle":"","parse-names":false,"suffix":""},{"dropping-particle":"","family":"Greenwood","given":"Matthew","non-dropping-particle":"","parse-names":false,"suffix":""},{"dropping-particle":"","family":"Leker","given":"Jens","non-dropping-particle":"","parse-names":false,"suffix":""}],"container-title":"Energies 2019, Vol. 12, Page 504","id":"ITEM-2","issue":"3","issued":{"date-parts":[["2019","2","5"]]},"page":"504","publisher":"Multidisciplinary Digital Publishing Institute","title":"A Bottom-Up Approach to Lithium-Ion Battery Cost Modeling with a Focus on Cathode Active Materials","type":"article-journal","volume":"12"},"uris":["http://www.mendeley.com/documents/?uuid=43b4e0c3-4a51-30bc-9067-dd2043fe319a"]}],"mendeley":{"formattedCitation":"&lt;sup&gt;[298,299]&lt;/sup&gt;","plainTextFormattedCitation":"[298,299]","previouslyFormattedCitation":"&lt;sup&gt;[297,298]&lt;/sup&gt;"},"properties":{"noteIndex":0},"schema":"https://github.com/citation-style-language/schema/raw/master/csl-citation.json"}</w:instrText>
      </w:r>
      <w:r w:rsidR="00A824A0" w:rsidRPr="003E0254">
        <w:fldChar w:fldCharType="separate"/>
      </w:r>
      <w:r w:rsidR="00500B8D" w:rsidRPr="003E0254">
        <w:rPr>
          <w:noProof/>
          <w:vertAlign w:val="superscript"/>
        </w:rPr>
        <w:t>[298,299]</w:t>
      </w:r>
      <w:r w:rsidR="00A824A0" w:rsidRPr="003E0254">
        <w:fldChar w:fldCharType="end"/>
      </w:r>
      <w:r w:rsidR="00884D88" w:rsidRPr="003E0254">
        <w:t xml:space="preserve"> or production costs were modeled in a highly simplified way.</w:t>
      </w:r>
      <w:r w:rsidR="00A824A0" w:rsidRPr="003E0254">
        <w:fldChar w:fldCharType="begin" w:fldLock="1"/>
      </w:r>
      <w:r w:rsidR="00500B8D" w:rsidRPr="003E0254">
        <w:instrText>ADDIN CSL_CITATION {"citationItems":[{"id":"ITEM-1","itemData":{"DOI":"10.1002/ESE3.47","ISSN":"2050-0505","abstract":"The purpose of this study was to highlight the technical and economic issues arising in lithium-ion cells for automotive applications, and to indicate some potential solutions to lower the cost. This topic has already been the subject of some studies, but, although of primary importance, the role on cost of a cell design parameter, the electrode coating thickness, has rarely been described. This study intends to explore particularly the influence of this parameter. To do so, the cost of cells with four positive electrode materials (NMC, NCA, LFP, and LMO), and the same negative electrode material are compared at several electrode thickness. The cost of these cells is computed using an innovative model and varies between 230 and 400 $ per kWh. With the assumptions used, it appears that the potential savings resulting from doubling the electrode coating thickness from 50 to 100 μm at a given porosity represent roughly 25% of the cell cost. The electrode coating thickness emerges as an essential parameter for an unbiased cells cost comparison. This article gives a view of the current lithium-ion cells costs, and provides guidelines to lower cells cost.","author":[{"dropping-particle":"","family":"Patry","given":"Gaëtan","non-dropping-particle":"","parse-names":false,"suffix":""},{"dropping-particle":"","family":"Romagny","given":"Alex","non-dropping-particle":"","parse-names":false,"suffix":""},{"dropping-particle":"","family":"Martinet","given":"Sébastien","non-dropping-particle":"","parse-names":false,"suffix":""},{"dropping-particle":"","family":"Froelich","given":"Daniel","non-dropping-particle":"","parse-names":false,"suffix":""}],"container-title":"Energy Science &amp; Engineering","id":"ITEM-1","issue":"1","issued":{"date-parts":[["2015","1","1"]]},"page":"71-82","publisher":"John Wiley &amp; Sons, Ltd","title":"Cost modeling of lithium-ion battery cells for automotive applications","type":"article-journal","volume":"3"},"uris":["http://www.mendeley.com/documents/?uuid=a89082dc-1d01-3cb0-a04c-3acc03064909"]},{"id":"ITEM-2","itemData":{"DOI":"10.1149/2.0081514JES/XML","ISSN":"0013-4651","abstract":"The demand for rechargeable batteries with high gravimetric and volumetric energy density will continue to grow due to the rapidly increasing integration of renewable energy into the global energy scheme. In terms of energy density, modern high-end rechargeable-battery technology is reaching its fundamental limits and no big advancement leaps in this field are expected. The energy-cost model, developed for comparative evaluation of battery cell chemistries in a commercial type pouch cell configuration, helps us to find the relationship between cost and energy density, enabling the prediction of the most promising material combinations for near-future non-aqueous rechargeable batteries for portable electronics and automotive applications. Among the wide variety of positive electrode materials only few show enough potential for commercialization, and, clearly, the immediate future will still be dominated by Li-ion technology, with Li-rich and Ni-rich materials as definite winners, and with Li–S and Na-ion emerging as contestants due to low cost and abundance of their key components. As further significant improvements in gravimetric/volumetric energy density and cost cannot be achieved through new battery chemistries, then the engineering, targeting cost reduction and safety assurance, will most likely be the main driving force behind future rechargeable battery development.","author":[{"dropping-particle":"","family":"Berg","given":"Erik J.","non-dropping-particle":"","parse-names":false,"suffix":""},{"dropping-particle":"","family":"Villevieille","given":"Claire","non-dropping-particle":"","parse-names":false,"suffix":""},{"dropping-particle":"","family":"Streich","given":"Daniel","non-dropping-particle":"","parse-names":false,"suffix":""},{"dropping-particle":"","family":"Trabesinger","given":"Sigita","non-dropping-particle":"","parse-names":false,"suffix":""},{"dropping-particle":"","family":"Novák","given":"Petr","non-dropping-particle":"","parse-names":false,"suffix":""}],"container-title":"Journal of The Electrochemical Society","id":"ITEM-2","issue":"14","issued":{"date-parts":[["2015","10","9"]]},"page":"A2468-A2475","publisher":"The Electrochemical Society","title":"Rechargeable Batteries: Grasping for the Limits of Chemistry","type":"article-journal","volume":"162"},"uris":["http://www.mendeley.com/documents/?uuid=f57bc5be-4e86-3c1d-828d-375354f85e48"]}],"mendeley":{"formattedCitation":"&lt;sup&gt;[300,301]&lt;/sup&gt;","plainTextFormattedCitation":"[300,301]","previouslyFormattedCitation":"&lt;sup&gt;[299,300]&lt;/sup&gt;"},"properties":{"noteIndex":0},"schema":"https://github.com/citation-style-language/schema/raw/master/csl-citation.json"}</w:instrText>
      </w:r>
      <w:r w:rsidR="00A824A0" w:rsidRPr="003E0254">
        <w:fldChar w:fldCharType="separate"/>
      </w:r>
      <w:r w:rsidR="00500B8D" w:rsidRPr="003E0254">
        <w:rPr>
          <w:noProof/>
          <w:vertAlign w:val="superscript"/>
        </w:rPr>
        <w:t>[300,301]</w:t>
      </w:r>
      <w:r w:rsidR="00A824A0" w:rsidRPr="003E0254">
        <w:fldChar w:fldCharType="end"/>
      </w:r>
      <w:r w:rsidR="00884D88" w:rsidRPr="003E0254">
        <w:t xml:space="preserve"> It was argued that materials account for a high share of </w:t>
      </w:r>
      <w:r w:rsidR="00F91992" w:rsidRPr="003E0254">
        <w:t xml:space="preserve">the </w:t>
      </w:r>
      <w:r w:rsidR="00884D88" w:rsidRPr="003E0254">
        <w:t xml:space="preserve">total costs. In addition, </w:t>
      </w:r>
      <w:r w:rsidR="00F91992" w:rsidRPr="003E0254">
        <w:t>the available data on large-scale production was probably limited at that time.</w:t>
      </w:r>
      <w:r w:rsidR="00884D88" w:rsidRPr="003E0254">
        <w:t xml:space="preserve"> For zinc batteries, it is expected that material will account for a smaller share of the total cost than it does for LIBs, although the exact share is still unclear. However, the data on the production of secondary and primary cells is similarly limited. Therefore, a similar approach is taken in this work. After the initial look at the economic benefits in Chapter 2, this chapter will take an in-depth look at the material cost of zinc batteries. Although production, operation, and disposal are excluded, leaving some aspects unaddressed, focusing on material costs still permits an initial evaluation of the technologies. </w:t>
      </w:r>
    </w:p>
    <w:p w14:paraId="2D12F083" w14:textId="505B1BB6" w:rsidR="008902B0" w:rsidRPr="003E0254" w:rsidRDefault="008902B0" w:rsidP="008902B0">
      <w:pPr>
        <w:pBdr>
          <w:top w:val="none" w:sz="4" w:space="0" w:color="000000"/>
          <w:left w:val="none" w:sz="4" w:space="0" w:color="000000"/>
          <w:bottom w:val="none" w:sz="4" w:space="0" w:color="000000"/>
          <w:right w:val="none" w:sz="4" w:space="0" w:color="000000"/>
        </w:pBd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4F13C4" w:rsidRPr="003E0254" w14:paraId="10837A26" w14:textId="77777777" w:rsidTr="00A824A0">
        <w:tc>
          <w:tcPr>
            <w:tcW w:w="9360" w:type="dxa"/>
          </w:tcPr>
          <w:p w14:paraId="0B3BCF11" w14:textId="561599DF" w:rsidR="004F13C4" w:rsidRPr="003E0254" w:rsidRDefault="00D10DC2" w:rsidP="00884D88">
            <w:pPr>
              <w:keepNext/>
              <w:spacing w:line="276" w:lineRule="auto"/>
              <w:jc w:val="both"/>
            </w:pPr>
            <w:r w:rsidRPr="003E0254">
              <w:rPr>
                <w:noProof/>
              </w:rPr>
              <w:lastRenderedPageBreak/>
              <w:drawing>
                <wp:inline distT="0" distB="0" distL="0" distR="0" wp14:anchorId="15BCD548" wp14:editId="084EF9C2">
                  <wp:extent cx="5852160" cy="2938955"/>
                  <wp:effectExtent l="0" t="0" r="0" b="0"/>
                  <wp:docPr id="4810834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68029" cy="2946924"/>
                          </a:xfrm>
                          <a:prstGeom prst="rect">
                            <a:avLst/>
                          </a:prstGeom>
                          <a:noFill/>
                          <a:ln>
                            <a:noFill/>
                          </a:ln>
                        </pic:spPr>
                      </pic:pic>
                    </a:graphicData>
                  </a:graphic>
                </wp:inline>
              </w:drawing>
            </w:r>
          </w:p>
        </w:tc>
      </w:tr>
    </w:tbl>
    <w:p w14:paraId="1E7CB188" w14:textId="05876D59" w:rsidR="00265FA9" w:rsidRPr="003E0254" w:rsidRDefault="00265FA9" w:rsidP="00265FA9">
      <w:pPr>
        <w:pStyle w:val="Beschriftung"/>
        <w:rPr>
          <w:sz w:val="20"/>
          <w:szCs w:val="20"/>
        </w:rPr>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9</w:t>
      </w:r>
      <w:r w:rsidR="0054077B" w:rsidRPr="003E0254">
        <w:rPr>
          <w:noProof/>
        </w:rPr>
        <w:fldChar w:fldCharType="end"/>
      </w:r>
      <w:r w:rsidRPr="003E0254">
        <w:t>:</w:t>
      </w:r>
      <w:r w:rsidRPr="003E0254">
        <w:rPr>
          <w:sz w:val="20"/>
          <w:szCs w:val="20"/>
        </w:rPr>
        <w:t xml:space="preserve"> Detailed material costs of the </w:t>
      </w:r>
      <w:r w:rsidR="00A439A1" w:rsidRPr="003E0254">
        <w:rPr>
          <w:sz w:val="20"/>
          <w:szCs w:val="20"/>
        </w:rPr>
        <w:t>zinc-metal</w:t>
      </w:r>
      <w:r w:rsidRPr="003E0254">
        <w:rPr>
          <w:sz w:val="20"/>
          <w:szCs w:val="20"/>
        </w:rPr>
        <w:t xml:space="preserve"> batteries in comparison to a NMC811 and an LFP cell (see supplementary information S1 for input data)</w:t>
      </w:r>
      <w:r w:rsidR="00A824A0" w:rsidRPr="003E0254">
        <w:rPr>
          <w:sz w:val="20"/>
          <w:szCs w:val="20"/>
        </w:rPr>
        <w:t>.</w:t>
      </w:r>
    </w:p>
    <w:p w14:paraId="77DD1EED" w14:textId="5312A24D" w:rsidR="00E6221D" w:rsidRPr="003E0254" w:rsidRDefault="00884D88" w:rsidP="00E6221D">
      <w:pPr>
        <w:pBdr>
          <w:top w:val="none" w:sz="4" w:space="0" w:color="000000"/>
          <w:left w:val="none" w:sz="4" w:space="0" w:color="000000"/>
          <w:bottom w:val="none" w:sz="4" w:space="0" w:color="000000"/>
          <w:right w:val="none" w:sz="4" w:space="0" w:color="000000"/>
        </w:pBdr>
        <w:spacing w:line="276" w:lineRule="auto"/>
        <w:jc w:val="both"/>
      </w:pPr>
      <w:r w:rsidRPr="003E0254">
        <w:t xml:space="preserve">Lithium-ion batteries currently represent the state-of-the-art for metal-ion batteries. To compare the material costs of </w:t>
      </w:r>
      <w:r w:rsidR="00EF1735" w:rsidRPr="003E0254">
        <w:t>ZMB</w:t>
      </w:r>
      <w:r w:rsidR="001924AC" w:rsidRPr="003E0254">
        <w:t>s</w:t>
      </w:r>
      <w:r w:rsidRPr="003E0254">
        <w:t xml:space="preserve">, the material costs of NMC811 and LFP </w:t>
      </w:r>
      <w:r w:rsidR="001924AC" w:rsidRPr="003E0254">
        <w:t xml:space="preserve">(lithium iron phosphate) </w:t>
      </w:r>
      <w:r w:rsidRPr="003E0254">
        <w:t xml:space="preserve">batteries were also calculated. A promising candidate for </w:t>
      </w:r>
      <w:r w:rsidR="00EF1735" w:rsidRPr="003E0254">
        <w:t>ZMB</w:t>
      </w:r>
      <w:r w:rsidRPr="003E0254">
        <w:t xml:space="preserve"> is a manganese dioxide cathode paired with a zinc-metal anode.</w:t>
      </w:r>
      <w:r w:rsidR="00E6221D" w:rsidRPr="003E0254">
        <w:t xml:space="preserve"> </w:t>
      </w:r>
      <w:r w:rsidRPr="003E0254">
        <w:t>While current β-MnO</w:t>
      </w:r>
      <w:r w:rsidRPr="003E0254">
        <w:rPr>
          <w:vertAlign w:val="subscript"/>
        </w:rPr>
        <w:t>2</w:t>
      </w:r>
      <w:r w:rsidRPr="003E0254">
        <w:t xml:space="preserve"> has a capacity of about 258 </w:t>
      </w:r>
      <w:proofErr w:type="spellStart"/>
      <w:r w:rsidRPr="003E0254">
        <w:t>mAh</w:t>
      </w:r>
      <w:proofErr w:type="spellEnd"/>
      <w:r w:rsidRPr="003E0254">
        <w:t> g</w:t>
      </w:r>
      <w:r w:rsidRPr="003E0254">
        <w:rPr>
          <w:vertAlign w:val="superscript"/>
        </w:rPr>
        <w:t>-1</w:t>
      </w:r>
      <w:r w:rsidRPr="003E0254">
        <w:t>,</w:t>
      </w:r>
      <w:r w:rsidR="003629A3" w:rsidRPr="003E0254">
        <w:fldChar w:fldCharType="begin" w:fldLock="1"/>
      </w:r>
      <w:r w:rsidR="0038049A" w:rsidRPr="003E0254">
        <w:instrText>ADDIN CSL_CITATION {"citationItems":[{"id":"ITEM-1","itemData":{"DOI":"10.1002/ADFM.201802564","ISSN":"1616-3028","abstract":"The ever-growing demands for electrical energy storage have stimulated the pursuit of alternative advanced batteries. Zn-ion batteries (ZIBs) are receiving increased attentions due to the low cost, high safety, and high eco-efficiency. However, it is still a big challenge to develop suitable cathode materials for intercalation of Zn ions. This review provides a timely access for researchers to the recent activities regarding ZIBs. First, cathode materials including various manganese oxides, vanadium compounds, and Prussian blue analogs are summarized with details in crystal structures and Zn ion storage mechanisms. Then, the electrolytes and their influences on the electrochemical processes are discussed. Finally, opinions on the current challenge of ZIBs and perspective to future research directions are provided.","author":[{"dropping-particle":"","family":"Song","given":"Ming","non-dropping-particle":"","parse-names":false,"suffix":""},{"dropping-particle":"","family":"Tan","given":"Hua","non-dropping-particle":"","parse-names":false,"suffix":""},{"dropping-particle":"","family":"Chao","given":"Dongliang","non-dropping-particle":"","parse-names":false,"suffix":""},{"dropping-particle":"","family":"Jin Fan","given":"Hong","non-dropping-particle":"","parse-names":false,"suffix":""},{"dropping-particle":"","family":"Song","given":"M","non-dropping-particle":"","parse-names":false,"suffix":""},{"dropping-particle":"","family":"Tan","given":"H","non-dropping-particle":"","parse-names":false,"suffix":""},{"dropping-particle":"","family":"Chao","given":"D","non-dropping-particle":"","parse-names":false,"suffix":""},{"dropping-particle":"","family":"Fan","given":"H J","non-dropping-particle":"","parse-names":false,"suffix":""}],"container-title":"Advanced Functional Materials","id":"ITEM-1","issue":"41","issued":{"date-parts":[["2018","10","1"]]},"page":"1802564","publisher":"John Wiley &amp; Sons, Ltd","title":"Recent Advances in Zn-Ion Batteries","type":"article-journal","volume":"28"},"uris":["http://www.mendeley.com/documents/?uuid=bd10e499-0ad0-398c-ab63-e071c95ccc68"]}],"mendeley":{"formattedCitation":"&lt;sup&gt;[24]&lt;/sup&gt;","plainTextFormattedCitation":"[24]","previouslyFormattedCitation":"&lt;sup&gt;[24]&lt;/sup&gt;"},"properties":{"noteIndex":0},"schema":"https://github.com/citation-style-language/schema/raw/master/csl-citation.json"}</w:instrText>
      </w:r>
      <w:r w:rsidR="003629A3" w:rsidRPr="003E0254">
        <w:fldChar w:fldCharType="separate"/>
      </w:r>
      <w:r w:rsidR="0038049A" w:rsidRPr="003E0254">
        <w:rPr>
          <w:noProof/>
          <w:vertAlign w:val="superscript"/>
        </w:rPr>
        <w:t>[24]</w:t>
      </w:r>
      <w:r w:rsidR="003629A3" w:rsidRPr="003E0254">
        <w:fldChar w:fldCharType="end"/>
      </w:r>
      <w:r w:rsidRPr="003E0254">
        <w:t xml:space="preserve"> δ-MnO</w:t>
      </w:r>
      <w:r w:rsidRPr="003E0254">
        <w:rPr>
          <w:vertAlign w:val="subscript"/>
        </w:rPr>
        <w:t>2</w:t>
      </w:r>
      <w:r w:rsidRPr="003E0254">
        <w:t xml:space="preserve"> has the potential for capacities </w:t>
      </w:r>
      <w:r w:rsidR="00F91992" w:rsidRPr="003E0254">
        <w:t xml:space="preserve">of </w:t>
      </w:r>
      <w:r w:rsidRPr="003E0254">
        <w:t xml:space="preserve">up to 500 </w:t>
      </w:r>
      <w:proofErr w:type="spellStart"/>
      <w:r w:rsidRPr="003E0254">
        <w:t>mAh</w:t>
      </w:r>
      <w:proofErr w:type="spellEnd"/>
      <w:r w:rsidRPr="003E0254">
        <w:t> g</w:t>
      </w:r>
      <w:r w:rsidRPr="003E0254">
        <w:rPr>
          <w:vertAlign w:val="superscript"/>
        </w:rPr>
        <w:t>-1</w:t>
      </w:r>
      <w:r w:rsidRPr="003E0254">
        <w:t>.</w:t>
      </w:r>
      <w:r w:rsidR="003629A3" w:rsidRPr="003E0254">
        <w:fldChar w:fldCharType="begin" w:fldLock="1"/>
      </w:r>
      <w:r w:rsidR="00500B8D" w:rsidRPr="003E0254">
        <w:instrText>ADDIN CSL_CITATION {"citationItems":[{"id":"ITEM-1","itemData":{"DOI":"10.1016/J.ISCI.2020.100943","ISSN":"2589-0042","abstract":"Rechargeable Zn-ion batteries working with manganese oxide cathodes and mild aqueous electrolytes suffer from notorious cathode dissolution during galvanostatic cycling. Herein, for the first time we demonstrate the dynamic self-recovery chemistry of manganese compound during charge/discharge processes, which strongly determines the battery performance. A cobalt-modified δ-MnO2 with a redox-active surface shows superior self-recovery capability as a cathode. The cobalt-containing species in the cathode enable efficient self-recovery by continuously catalyzing the electrochemical deposition of active Mn compound, which is confirmed by characterizations of both practical coin-type batteries and a new-design electrolyzer system. Under optimized condition, a high specific capacity over 500 mAh g−1 is achieved, together with a decent cycling performance with a retention rate of 63% over 5,000 cycles. With this cobalt-facilitated deposition effect, the battery with low concentration (0.02 M) of additive Mn2+ in the electrolyte (only 12 atom % to the overall Mn) maintains decent capacity retention.","author":[{"dropping-particle":"","family":"Zhong","given":"Yijun","non-dropping-particle":"","parse-names":false,"suffix":""},{"dropping-particle":"","family":"Xu","given":"Xiaomin","non-dropping-particle":"","parse-names":false,"suffix":""},{"dropping-particle":"","family":"Veder","given":"Jean Pierre","non-dropping-particle":"","parse-names":false,"suffix":""},{"dropping-particle":"","family":"Shao","given":"Zongping","non-dropping-particle":"","parse-names":false,"suffix":""}],"container-title":"iScience","id":"ITEM-1","issue":"3","issued":{"date-parts":[["2020","3","27"]]},"page":"100943","publisher":"Elsevier","title":"Self-Recovery Chemistry and Cobalt-Catalyzed Electrochemical Deposition of Cathode for Boosting Performance of Aqueous Zinc-Ion Batteries","type":"article-journal","volume":"23"},"uris":["http://www.mendeley.com/documents/?uuid=037de399-4db1-45cc-92f1-4e43d91a09e3"]}],"mendeley":{"formattedCitation":"&lt;sup&gt;[78]&lt;/sup&gt;","plainTextFormattedCitation":"[78]","previouslyFormattedCitation":"&lt;sup&gt;[77]&lt;/sup&gt;"},"properties":{"noteIndex":0},"schema":"https://github.com/citation-style-language/schema/raw/master/csl-citation.json"}</w:instrText>
      </w:r>
      <w:r w:rsidR="003629A3" w:rsidRPr="003E0254">
        <w:fldChar w:fldCharType="separate"/>
      </w:r>
      <w:r w:rsidR="00500B8D" w:rsidRPr="003E0254">
        <w:rPr>
          <w:noProof/>
          <w:vertAlign w:val="superscript"/>
        </w:rPr>
        <w:t>[78]</w:t>
      </w:r>
      <w:r w:rsidR="003629A3" w:rsidRPr="003E0254">
        <w:fldChar w:fldCharType="end"/>
      </w:r>
      <w:r w:rsidRPr="003E0254">
        <w:t xml:space="preserve"> For this reason, Figure 9 presents both β-MnO</w:t>
      </w:r>
      <w:r w:rsidRPr="003E0254">
        <w:rPr>
          <w:vertAlign w:val="subscript"/>
        </w:rPr>
        <w:t>2</w:t>
      </w:r>
      <w:r w:rsidRPr="003E0254">
        <w:t xml:space="preserve"> as the current material and δ-MnO</w:t>
      </w:r>
      <w:r w:rsidRPr="003E0254">
        <w:rPr>
          <w:vertAlign w:val="subscript"/>
        </w:rPr>
        <w:t>2</w:t>
      </w:r>
      <w:r w:rsidRPr="003E0254">
        <w:t xml:space="preserve"> as a potential future material. The material cost for the β-MnO</w:t>
      </w:r>
      <w:r w:rsidRPr="003E0254">
        <w:rPr>
          <w:vertAlign w:val="subscript"/>
        </w:rPr>
        <w:t>2</w:t>
      </w:r>
      <w:r w:rsidRPr="003E0254">
        <w:t xml:space="preserve"> cell at $48</w:t>
      </w:r>
      <w:r w:rsidR="00065F65" w:rsidRPr="003E0254">
        <w:t> kWh</w:t>
      </w:r>
      <w:r w:rsidR="00065F65" w:rsidRPr="003E0254">
        <w:rPr>
          <w:vertAlign w:val="superscript"/>
        </w:rPr>
        <w:t>-1</w:t>
      </w:r>
      <w:r w:rsidRPr="003E0254">
        <w:t xml:space="preserve"> is slightly lower than that of the NMC811 reference cell at $49</w:t>
      </w:r>
      <w:r w:rsidR="00065F65" w:rsidRPr="003E0254">
        <w:t> kWh</w:t>
      </w:r>
      <w:r w:rsidR="00065F65" w:rsidRPr="003E0254">
        <w:rPr>
          <w:vertAlign w:val="superscript"/>
        </w:rPr>
        <w:t>-1</w:t>
      </w:r>
      <w:r w:rsidRPr="003E0254">
        <w:t>, but higher than the LFP material cost at $37</w:t>
      </w:r>
      <w:r w:rsidR="00065F65" w:rsidRPr="003E0254">
        <w:t> kWh</w:t>
      </w:r>
      <w:r w:rsidR="00065F65" w:rsidRPr="003E0254">
        <w:rPr>
          <w:vertAlign w:val="superscript"/>
        </w:rPr>
        <w:t>-1</w:t>
      </w:r>
      <w:r w:rsidRPr="003E0254">
        <w:t>. In contrast, the material costs for the δ -MnO</w:t>
      </w:r>
      <w:r w:rsidRPr="003E0254">
        <w:rPr>
          <w:vertAlign w:val="subscript"/>
        </w:rPr>
        <w:t>2</w:t>
      </w:r>
      <w:r w:rsidRPr="003E0254">
        <w:t xml:space="preserve"> cell are lower at around </w:t>
      </w:r>
      <w:r w:rsidR="00065F65" w:rsidRPr="003E0254">
        <w:t>$</w:t>
      </w:r>
      <w:r w:rsidRPr="003E0254">
        <w:t>24</w:t>
      </w:r>
      <w:r w:rsidR="00065F65" w:rsidRPr="003E0254">
        <w:t> kWh</w:t>
      </w:r>
      <w:r w:rsidR="00065F65" w:rsidRPr="003E0254">
        <w:rPr>
          <w:vertAlign w:val="superscript"/>
        </w:rPr>
        <w:t>-1</w:t>
      </w:r>
      <w:r w:rsidRPr="003E0254">
        <w:t>. A cost comparison reveals the clear advantage of using MnO</w:t>
      </w:r>
      <w:r w:rsidRPr="003E0254">
        <w:rPr>
          <w:vertAlign w:val="subscript"/>
        </w:rPr>
        <w:t>2</w:t>
      </w:r>
      <w:r w:rsidRPr="003E0254">
        <w:t xml:space="preserve"> as the cathode active material (CAM), which offers excellent performance parameters while being inexpensive. The cost of δ-MnO</w:t>
      </w:r>
      <w:r w:rsidRPr="003E0254">
        <w:rPr>
          <w:vertAlign w:val="subscript"/>
        </w:rPr>
        <w:t>2</w:t>
      </w:r>
      <w:r w:rsidRPr="003E0254">
        <w:t xml:space="preserve"> at $4.8</w:t>
      </w:r>
      <w:r w:rsidR="00065F65" w:rsidRPr="003E0254">
        <w:t> kWh</w:t>
      </w:r>
      <w:r w:rsidR="00065F65" w:rsidRPr="003E0254">
        <w:rPr>
          <w:vertAlign w:val="superscript"/>
        </w:rPr>
        <w:t>-1</w:t>
      </w:r>
      <w:r w:rsidRPr="003E0254">
        <w:t xml:space="preserve"> is half that of LFP at $12.45</w:t>
      </w:r>
      <w:r w:rsidR="00065F65" w:rsidRPr="003E0254">
        <w:t> kWh</w:t>
      </w:r>
      <w:r w:rsidR="00065F65" w:rsidRPr="003E0254">
        <w:rPr>
          <w:vertAlign w:val="superscript"/>
        </w:rPr>
        <w:t>-1</w:t>
      </w:r>
      <w:r w:rsidRPr="003E0254">
        <w:t xml:space="preserve"> and several times lower than NMC811 at $31.4</w:t>
      </w:r>
      <w:r w:rsidR="00065F65" w:rsidRPr="003E0254">
        <w:t> kWh</w:t>
      </w:r>
      <w:r w:rsidR="00065F65" w:rsidRPr="003E0254">
        <w:rPr>
          <w:vertAlign w:val="superscript"/>
        </w:rPr>
        <w:t>-1</w:t>
      </w:r>
      <w:r w:rsidRPr="003E0254">
        <w:t xml:space="preserve">. The costs for cathode binders for zinc </w:t>
      </w:r>
      <w:r w:rsidR="00F91992" w:rsidRPr="003E0254">
        <w:t xml:space="preserve">are higher </w:t>
      </w:r>
      <w:r w:rsidRPr="003E0254">
        <w:t>than</w:t>
      </w:r>
      <w:r w:rsidR="00F91992" w:rsidRPr="003E0254">
        <w:t xml:space="preserve"> for</w:t>
      </w:r>
      <w:r w:rsidRPr="003E0254">
        <w:t xml:space="preserve"> lithium, given the assumption of a 10% mass fraction of </w:t>
      </w:r>
      <w:proofErr w:type="spellStart"/>
      <w:r w:rsidRPr="003E0254">
        <w:t>PVdF</w:t>
      </w:r>
      <w:proofErr w:type="spellEnd"/>
      <w:r w:rsidRPr="003E0254">
        <w:t xml:space="preserve"> here, compared to 5% for lithium batteries. </w:t>
      </w:r>
      <w:r w:rsidR="00F91992" w:rsidRPr="003E0254">
        <w:t>On the other hand</w:t>
      </w:r>
      <w:r w:rsidRPr="003E0254">
        <w:t xml:space="preserve">, the electrolyte for </w:t>
      </w:r>
      <w:r w:rsidR="00EF1735" w:rsidRPr="003E0254">
        <w:t>ZMB</w:t>
      </w:r>
      <w:r w:rsidRPr="003E0254">
        <w:t>s is cheaper, using aqueous 3M ZnSO</w:t>
      </w:r>
      <w:r w:rsidRPr="003E0254">
        <w:rPr>
          <w:vertAlign w:val="subscript"/>
        </w:rPr>
        <w:t>4</w:t>
      </w:r>
      <w:r w:rsidRPr="003E0254">
        <w:t xml:space="preserve"> instead of the more expensive LiPF</w:t>
      </w:r>
      <w:r w:rsidRPr="003E0254">
        <w:rPr>
          <w:vertAlign w:val="subscript"/>
        </w:rPr>
        <w:t>6</w:t>
      </w:r>
      <w:r w:rsidRPr="003E0254">
        <w:t xml:space="preserve"> in organic solvents in LIBs. </w:t>
      </w:r>
      <w:r w:rsidR="00F91992" w:rsidRPr="003E0254">
        <w:t>T</w:t>
      </w:r>
      <w:r w:rsidRPr="003E0254">
        <w:t>he thickness of the Zn anode</w:t>
      </w:r>
      <w:r w:rsidR="00F91992" w:rsidRPr="003E0254">
        <w:t xml:space="preserve"> is a practical constraint</w:t>
      </w:r>
      <w:r w:rsidRPr="003E0254">
        <w:t>.</w:t>
      </w:r>
      <w:r w:rsidR="00E6221D" w:rsidRPr="003E0254">
        <w:t xml:space="preserve"> According to Gourley et al.</w:t>
      </w:r>
      <w:r w:rsidR="00B87DA8" w:rsidRPr="003E0254">
        <w:fldChar w:fldCharType="begin" w:fldLock="1"/>
      </w:r>
      <w:r w:rsidR="002F6D4C" w:rsidRPr="003E0254">
        <w:instrText>ADDIN CSL_CITATION {"citationItems":[{"id":"ITEM-1","itemData":{"DOI":"10.1016/J.JOULE.2023.06.007","ISSN":"2542-4351","abstract":"The development of safe, inexpensive, and long service life stationary energy storage infrastructure is critical to support the decarbonization of the power and automotive sectors. While lithium-ion batteries are considered the industry standard of excellence for applications requiring high energy density, they may not be the best choice for all applications, particularly stationary energy storage. This study presents rechargeable Zn-ion batteries (ZIBs) as a promising technology primed for greater utilization in stationary applications. We consider the main benefits and challenges of ZIBs by comparing key characteristics such as cost, safety, environmental impact, and lifetime with pumped hydro, compressed air, lithium-ion, lead-acid, and redox-flow batteries. The low projected manufacturing costs, high safety, and excellent recyclability of ZIBs highlight the potential success of the technology. However, commercialization efforts are bottlenecked by active material dissolution, a lack of realistic performance demonstrations, and the need for manufacturing validation and cost analysis at the pilot scale. Considering recent advancements to lifetime and capacity of ZIBs, we propose a modified research approach including performance analysis of high-loading electrodes, in situ/operando characterization of reaction mechanisms, and standardized testing protocols and reporting to move beyond the benchtop battery and better facilitate ZIB commercialization.","author":[{"dropping-particle":"","family":"Gourley","given":"Storm W.D.","non-dropping-particle":"","parse-names":false,"suffix":""},{"dropping-particle":"","family":"Brown","given":"Ryan","non-dropping-particle":"","parse-names":false,"suffix":""},{"dropping-particle":"","family":"Adams","given":"Brian D.","non-dropping-particle":"","parse-names":false,"suffix":""},{"dropping-particle":"","family":"Higgins","given":"Drew","non-dropping-particle":"","parse-names":false,"suffix":""}],"container-title":"Joule","id":"ITEM-1","issue":"7","issued":{"date-parts":[["2023","7","19"]]},"page":"1415-1436","publisher":"Cell Press","title":"Zinc-ion batteries for stationary energy storage","type":"article-journal","volume":"7"},"uris":["http://www.mendeley.com/documents/?uuid=b2697a6d-5781-3b09-a2a4-7a9716579cd9"]}],"mendeley":{"formattedCitation":"&lt;sup&gt;[19]&lt;/sup&gt;","plainTextFormattedCitation":"[19]","previouslyFormattedCitation":"&lt;sup&gt;[19]&lt;/sup&gt;"},"properties":{"noteIndex":0},"schema":"https://github.com/citation-style-language/schema/raw/master/csl-citation.json"}</w:instrText>
      </w:r>
      <w:r w:rsidR="00B87DA8" w:rsidRPr="003E0254">
        <w:fldChar w:fldCharType="separate"/>
      </w:r>
      <w:r w:rsidR="00A94915" w:rsidRPr="003E0254">
        <w:rPr>
          <w:noProof/>
          <w:vertAlign w:val="superscript"/>
        </w:rPr>
        <w:t>[19]</w:t>
      </w:r>
      <w:r w:rsidR="00B87DA8" w:rsidRPr="003E0254">
        <w:fldChar w:fldCharType="end"/>
      </w:r>
      <w:r w:rsidR="00E6221D" w:rsidRPr="003E0254">
        <w:t xml:space="preserve">, </w:t>
      </w:r>
      <w:r w:rsidR="0056296F" w:rsidRPr="003E0254">
        <w:t xml:space="preserve">zinc foils thinner than 50 µm are currently difficult to obtain, resulting in a </w:t>
      </w:r>
      <w:r w:rsidR="004B5EA1" w:rsidRPr="003E0254">
        <w:t>substantial</w:t>
      </w:r>
      <w:r w:rsidR="0056296F" w:rsidRPr="003E0254">
        <w:t xml:space="preserve"> oversizing of the anode. Here it is assumed that zinc foils with 10 µm can be produced and fully utilized in the cell. To quantify this effect, an δ-MnO</w:t>
      </w:r>
      <w:r w:rsidR="0056296F" w:rsidRPr="003E0254">
        <w:rPr>
          <w:vertAlign w:val="subscript"/>
        </w:rPr>
        <w:t>2</w:t>
      </w:r>
      <w:r w:rsidR="0056296F" w:rsidRPr="003E0254">
        <w:t xml:space="preserve"> battery was modeled with zinc powder as the anode, as there are no restrictions on foil thickness. This approach would make the battery $2.3</w:t>
      </w:r>
      <w:r w:rsidR="00065F65" w:rsidRPr="003E0254">
        <w:t> kWh</w:t>
      </w:r>
      <w:r w:rsidR="00065F65" w:rsidRPr="003E0254">
        <w:rPr>
          <w:vertAlign w:val="superscript"/>
        </w:rPr>
        <w:t>-1</w:t>
      </w:r>
      <w:r w:rsidR="0056296F" w:rsidRPr="003E0254">
        <w:t xml:space="preserve"> more expensive. Overall, </w:t>
      </w:r>
      <w:r w:rsidR="00A439A1" w:rsidRPr="003E0254">
        <w:t>zinc-metal</w:t>
      </w:r>
      <w:r w:rsidR="0056296F" w:rsidRPr="003E0254">
        <w:t xml:space="preserve"> batteries still have lower material costs, estimated at $80</w:t>
      </w:r>
      <w:r w:rsidR="00065F65" w:rsidRPr="003E0254">
        <w:t> kWh</w:t>
      </w:r>
      <w:r w:rsidR="00065F65" w:rsidRPr="003E0254">
        <w:rPr>
          <w:vertAlign w:val="superscript"/>
        </w:rPr>
        <w:t>-1</w:t>
      </w:r>
      <w:r w:rsidR="0056296F" w:rsidRPr="003E0254">
        <w:t xml:space="preserve"> by Gourley et </w:t>
      </w:r>
      <w:r w:rsidR="00E6221D" w:rsidRPr="003E0254">
        <w:t>al.</w:t>
      </w:r>
      <w:r w:rsidR="00B87DA8" w:rsidRPr="003E0254">
        <w:fldChar w:fldCharType="begin" w:fldLock="1"/>
      </w:r>
      <w:r w:rsidR="002F6D4C" w:rsidRPr="003E0254">
        <w:instrText>ADDIN CSL_CITATION {"citationItems":[{"id":"ITEM-1","itemData":{"DOI":"10.1016/J.JOULE.2023.06.007","ISSN":"2542-4351","abstract":"The development of safe, inexpensive, and long service life stationary energy storage infrastructure is critical to support the decarbonization of the power and automotive sectors. While lithium-ion batteries are considered the industry standard of excellence for applications requiring high energy density, they may not be the best choice for all applications, particularly stationary energy storage. This study presents rechargeable Zn-ion batteries (ZIBs) as a promising technology primed for greater utilization in stationary applications. We consider the main benefits and challenges of ZIBs by comparing key characteristics such as cost, safety, environmental impact, and lifetime with pumped hydro, compressed air, lithium-ion, lead-acid, and redox-flow batteries. The low projected manufacturing costs, high safety, and excellent recyclability of ZIBs highlight the potential success of the technology. However, commercialization efforts are bottlenecked by active material dissolution, a lack of realistic performance demonstrations, and the need for manufacturing validation and cost analysis at the pilot scale. Considering recent advancements to lifetime and capacity of ZIBs, we propose a modified research approach including performance analysis of high-loading electrodes, in situ/operando characterization of reaction mechanisms, and standardized testing protocols and reporting to move beyond the benchtop battery and better facilitate ZIB commercialization.","author":[{"dropping-particle":"","family":"Gourley","given":"Storm W.D.","non-dropping-particle":"","parse-names":false,"suffix":""},{"dropping-particle":"","family":"Brown","given":"Ryan","non-dropping-particle":"","parse-names":false,"suffix":""},{"dropping-particle":"","family":"Adams","given":"Brian D.","non-dropping-particle":"","parse-names":false,"suffix":""},{"dropping-particle":"","family":"Higgins","given":"Drew","non-dropping-particle":"","parse-names":false,"suffix":""}],"container-title":"Joule","id":"ITEM-1","issue":"7","issued":{"date-parts":[["2023","7","19"]]},"page":"1415-1436","publisher":"Cell Press","title":"Zinc-ion batteries for stationary energy storage","type":"article-journal","volume":"7"},"uris":["http://www.mendeley.com/documents/?uuid=b2697a6d-5781-3b09-a2a4-7a9716579cd9"]}],"mendeley":{"formattedCitation":"&lt;sup&gt;[19]&lt;/sup&gt;","plainTextFormattedCitation":"[19]","previouslyFormattedCitation":"&lt;sup&gt;[19]&lt;/sup&gt;"},"properties":{"noteIndex":0},"schema":"https://github.com/citation-style-language/schema/raw/master/csl-citation.json"}</w:instrText>
      </w:r>
      <w:r w:rsidR="00B87DA8" w:rsidRPr="003E0254">
        <w:fldChar w:fldCharType="separate"/>
      </w:r>
      <w:r w:rsidR="00A94915" w:rsidRPr="003E0254">
        <w:rPr>
          <w:noProof/>
          <w:vertAlign w:val="superscript"/>
        </w:rPr>
        <w:t>[19]</w:t>
      </w:r>
      <w:r w:rsidR="00B87DA8" w:rsidRPr="003E0254">
        <w:fldChar w:fldCharType="end"/>
      </w:r>
      <w:r w:rsidR="00E6221D" w:rsidRPr="003E0254">
        <w:t xml:space="preserve"> </w:t>
      </w:r>
      <w:r w:rsidR="0056296F" w:rsidRPr="003E0254">
        <w:t xml:space="preserve">It is therefore expected that </w:t>
      </w:r>
      <w:r w:rsidR="00A439A1" w:rsidRPr="003E0254">
        <w:t>zinc-metal</w:t>
      </w:r>
      <w:r w:rsidR="0056296F" w:rsidRPr="003E0254">
        <w:t xml:space="preserve"> batteries will have a cost advantage, even over low-cost LFP cells in the future.</w:t>
      </w:r>
      <w:r w:rsidR="00E6221D" w:rsidRPr="003E0254">
        <w:t xml:space="preserve"> </w:t>
      </w:r>
      <w:r w:rsidR="00E6221D" w:rsidRPr="003E0254">
        <w:tab/>
      </w:r>
    </w:p>
    <w:p w14:paraId="53024C2D" w14:textId="68387A80" w:rsidR="0056296F" w:rsidRPr="003E0254" w:rsidRDefault="0056296F" w:rsidP="0056296F">
      <w:pPr>
        <w:pBdr>
          <w:top w:val="none" w:sz="4" w:space="0" w:color="000000"/>
          <w:left w:val="none" w:sz="4" w:space="0" w:color="000000"/>
          <w:bottom w:val="none" w:sz="4" w:space="0" w:color="000000"/>
          <w:right w:val="none" w:sz="4" w:space="0" w:color="000000"/>
        </w:pBd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B87DA8" w:rsidRPr="003E0254" w14:paraId="61A61FF8" w14:textId="77777777" w:rsidTr="003C03B5">
        <w:tc>
          <w:tcPr>
            <w:tcW w:w="9350" w:type="dxa"/>
          </w:tcPr>
          <w:p w14:paraId="776B1233" w14:textId="65F0C6E5" w:rsidR="00B87DA8" w:rsidRPr="003E0254" w:rsidRDefault="00A149FD" w:rsidP="00A149FD">
            <w:pPr>
              <w:keepNext/>
              <w:spacing w:line="276" w:lineRule="auto"/>
              <w:jc w:val="center"/>
              <w:rPr>
                <w14:ligatures w14:val="none"/>
              </w:rPr>
            </w:pPr>
            <w:r w:rsidRPr="003E0254">
              <w:rPr>
                <w:noProof/>
              </w:rPr>
              <w:lastRenderedPageBreak/>
              <w:drawing>
                <wp:inline distT="0" distB="0" distL="0" distR="0" wp14:anchorId="610B2CF6" wp14:editId="35D80341">
                  <wp:extent cx="3495564" cy="3232298"/>
                  <wp:effectExtent l="0" t="0" r="0" b="6350"/>
                  <wp:docPr id="18714350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506248" cy="3242177"/>
                          </a:xfrm>
                          <a:prstGeom prst="rect">
                            <a:avLst/>
                          </a:prstGeom>
                          <a:noFill/>
                          <a:ln>
                            <a:noFill/>
                          </a:ln>
                        </pic:spPr>
                      </pic:pic>
                    </a:graphicData>
                  </a:graphic>
                </wp:inline>
              </w:drawing>
            </w:r>
          </w:p>
        </w:tc>
      </w:tr>
    </w:tbl>
    <w:p w14:paraId="6CF72E4E" w14:textId="2A1182E6" w:rsidR="00B87DA8" w:rsidRPr="003E0254" w:rsidRDefault="00B87DA8" w:rsidP="00B87DA8">
      <w:pPr>
        <w:pStyle w:val="Beschriftung"/>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10</w:t>
      </w:r>
      <w:r w:rsidR="0054077B" w:rsidRPr="003E0254">
        <w:rPr>
          <w:noProof/>
        </w:rPr>
        <w:fldChar w:fldCharType="end"/>
      </w:r>
      <w:r w:rsidRPr="003E0254">
        <w:t>: Detailed material costs of the modeled zinc air battery (see S2 for input data).</w:t>
      </w:r>
    </w:p>
    <w:p w14:paraId="709D853F" w14:textId="77777777" w:rsidR="00C74896" w:rsidRPr="003E0254" w:rsidRDefault="00C74896" w:rsidP="00C74896"/>
    <w:p w14:paraId="46D1A530" w14:textId="73BAF049" w:rsidR="00AD1450" w:rsidRPr="003E0254" w:rsidRDefault="00AD1450" w:rsidP="00C74896">
      <w:r w:rsidRPr="003E0254">
        <w:t>In the current research landscape, little attention is paid to the cost modeling of zinc-air batteries and metal-air batteries. Given the absence of a model to analyze the costs of ZABs, this work developed a simplified material cost model. This model is based on a single-layer 10x10 cm zinc-air cell, where a bill of materials is calculated using geometric factors, and the material costs are determined based on the mass. This results in a 37 </w:t>
      </w:r>
      <w:proofErr w:type="spellStart"/>
      <w:r w:rsidRPr="003E0254">
        <w:t>Wh</w:t>
      </w:r>
      <w:proofErr w:type="spellEnd"/>
      <w:r w:rsidRPr="003E0254">
        <w:t xml:space="preserve"> cell and material costs of $12.7 kWh</w:t>
      </w:r>
      <w:r w:rsidRPr="003E0254">
        <w:rPr>
          <w:vertAlign w:val="superscript"/>
        </w:rPr>
        <w:t>-1</w:t>
      </w:r>
      <w:r w:rsidRPr="003E0254">
        <w:t xml:space="preserve"> (see Fig. 10). The porous anode, with a thickness of 1 mm, consists of zinc particles, binder, conductive carbon, and zinc oxide with a ratio of 86:2:2:10. The assumed electrolyte reservoir thickness is 1 mm. On the cathode side, a nickel-iron-cobalt catalyst supported by a carbon matrix was modeled. In addition, a current collector made of nickel-steel mesh and a gas diffusion layer made of carbon cloth are included. The cell is encased in a 0.8 mm thick steel casing, which accounts for most of the cell's weight. One of the most important cost factors is the anode material zinc at $3.59 kWh</w:t>
      </w:r>
      <w:r w:rsidRPr="003E0254">
        <w:rPr>
          <w:vertAlign w:val="superscript"/>
        </w:rPr>
        <w:t>-1</w:t>
      </w:r>
      <w:r w:rsidRPr="003E0254">
        <w:t>. Another major cost factor is the nickel-iron-cobalt catalyst, which is based on expensive metals with volatile prices (see Chapter 3.1). However, only small quantities are required, with mass loadings of 0.5 to 2 mg cm</w:t>
      </w:r>
      <w:r w:rsidRPr="003E0254">
        <w:rPr>
          <w:vertAlign w:val="superscript"/>
        </w:rPr>
        <w:t>-</w:t>
      </w:r>
      <w:r w:rsidRPr="003E0254">
        <w:t>², to facilitate the ORR and OER. Consequently, the catalyst accounts for a relatively small share, despite its higher input price. It can be concluded that, in principle, a high theoretical cell energy can be achieved with a low material input. This suggests that the material costs per kWh of cell energy are low. However, as described in Chapter 2.3, the theoretical performance of zinc-air batteries may not directly translate to practical real-world applications, particularly during long-term operation where capacity retention is problematic. This could lead to higher costs of practical zinc-air batteries.</w:t>
      </w:r>
    </w:p>
    <w:p w14:paraId="6FDBDD43" w14:textId="77777777" w:rsidR="00AD1450" w:rsidRPr="003E0254" w:rsidRDefault="00AD1450" w:rsidP="00C74896"/>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E1C94" w:rsidRPr="003E0254" w14:paraId="13BBC575" w14:textId="77777777" w:rsidTr="003C03B5">
        <w:tc>
          <w:tcPr>
            <w:tcW w:w="9350" w:type="dxa"/>
          </w:tcPr>
          <w:p w14:paraId="1194C7A5" w14:textId="2EFC4AD0" w:rsidR="004E1C94" w:rsidRPr="003E0254" w:rsidRDefault="00D10DC2" w:rsidP="004E1C94">
            <w:pPr>
              <w:keepNext/>
              <w:spacing w:line="276" w:lineRule="auto"/>
              <w:jc w:val="center"/>
            </w:pPr>
            <w:r w:rsidRPr="003E0254">
              <w:rPr>
                <w:noProof/>
              </w:rPr>
              <w:lastRenderedPageBreak/>
              <w:drawing>
                <wp:inline distT="0" distB="0" distL="0" distR="0" wp14:anchorId="1FCED858" wp14:editId="5D4E6615">
                  <wp:extent cx="3805893" cy="3219450"/>
                  <wp:effectExtent l="0" t="0" r="4445" b="0"/>
                  <wp:docPr id="21221500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18122" cy="3229795"/>
                          </a:xfrm>
                          <a:prstGeom prst="rect">
                            <a:avLst/>
                          </a:prstGeom>
                          <a:noFill/>
                          <a:ln>
                            <a:noFill/>
                          </a:ln>
                        </pic:spPr>
                      </pic:pic>
                    </a:graphicData>
                  </a:graphic>
                </wp:inline>
              </w:drawing>
            </w:r>
          </w:p>
        </w:tc>
      </w:tr>
    </w:tbl>
    <w:p w14:paraId="1D14A89E" w14:textId="465BE4B9" w:rsidR="00B53C39" w:rsidRPr="003E0254" w:rsidRDefault="004E1C94" w:rsidP="004E1C94">
      <w:pPr>
        <w:pStyle w:val="Beschriftung"/>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11</w:t>
      </w:r>
      <w:r w:rsidR="0054077B" w:rsidRPr="003E0254">
        <w:rPr>
          <w:noProof/>
        </w:rPr>
        <w:fldChar w:fldCharType="end"/>
      </w:r>
      <w:r w:rsidRPr="003E0254">
        <w:t>:</w:t>
      </w:r>
      <w:r w:rsidR="00DA35C9" w:rsidRPr="003E0254">
        <w:t xml:space="preserve"> Detailed material cost analysis of the </w:t>
      </w:r>
      <w:r w:rsidR="00996CC5" w:rsidRPr="003E0254">
        <w:t>Br</w:t>
      </w:r>
      <w:r w:rsidR="00996CC5" w:rsidRPr="003E0254">
        <w:rPr>
          <w:vertAlign w:val="subscript"/>
        </w:rPr>
        <w:t>2</w:t>
      </w:r>
      <w:r w:rsidR="00996CC5" w:rsidRPr="003E0254">
        <w:t>||Zn</w:t>
      </w:r>
      <w:r w:rsidR="00DA35C9" w:rsidRPr="003E0254">
        <w:t xml:space="preserve"> and </w:t>
      </w:r>
      <w:r w:rsidR="00FC3B31" w:rsidRPr="003E0254">
        <w:t>all</w:t>
      </w:r>
      <w:r w:rsidR="00DA35C9" w:rsidRPr="003E0254">
        <w:t xml:space="preserve"> vanadium redox flow battery (see S3 for data)</w:t>
      </w:r>
      <w:r w:rsidR="00C60E6A" w:rsidRPr="003E0254">
        <w:t>.</w:t>
      </w:r>
    </w:p>
    <w:p w14:paraId="3C95857F" w14:textId="3216A3C4" w:rsidR="00B53C39" w:rsidRPr="003E0254" w:rsidRDefault="0056296F">
      <w:pPr>
        <w:pBdr>
          <w:top w:val="none" w:sz="4" w:space="0" w:color="000000"/>
          <w:left w:val="none" w:sz="4" w:space="0" w:color="000000"/>
          <w:bottom w:val="none" w:sz="4" w:space="0" w:color="000000"/>
          <w:right w:val="none" w:sz="4" w:space="0" w:color="000000"/>
        </w:pBdr>
        <w:spacing w:line="276" w:lineRule="auto"/>
        <w:jc w:val="both"/>
        <w:rPr>
          <w:rFonts w:ascii="Arial" w:eastAsia="Arial" w:hAnsi="Arial" w:cs="Arial"/>
          <w:color w:val="000000"/>
        </w:rPr>
      </w:pPr>
      <w:r w:rsidRPr="003E0254">
        <w:t>A techno-economic model by Tang et al. was adapted to analyze and compare redox flow battery technologies (see supporting information S3)</w:t>
      </w:r>
      <w:r w:rsidR="004E1C94" w:rsidRPr="003E0254">
        <w:t>.</w:t>
      </w:r>
      <w:r w:rsidR="004E1C94" w:rsidRPr="003E0254">
        <w:fldChar w:fldCharType="begin" w:fldLock="1"/>
      </w:r>
      <w:r w:rsidR="002F6D4C" w:rsidRPr="003E0254">
        <w:instrText>ADDIN CSL_CITATION {"citationItems":[{"id":"ITEM-1","itemData":{"DOI":"10.1016/J.ELECTACTA.2022.141460","ISSN":"0013-4686","abstract":"Redox flow battery (RFB) is a promising technology to store large amounts of energies in liquid electrolytes attributable to their unique architectures. In recent years, various new chemistries have been introduced in both aqueous and non-aqueous electrolytes as pathways to lower-cost systems, eventually meeting the long-term cost target of USD$ &lt; 100 (kW h)−1 for board market penetration. Since there is a lack of capital cost data available for flow batteries under the same criteria and assumptions, a fact-based techno-economic analysis is evaluated based on real systems to facilitate the explorations of more competitive systems. In total, nine conventional and emerging flow battery systems are evaluated based on aqueous and non-aqueous electrolytes using existing architectures. This analysis is attempted to evaluate the feasibility of these emerging systems to meet the cost target and to predict their technological prospects for energy storage applications. The capital costs of these resulting flow batteries are compared and discussed, providing suggestions for further improvements to meet the ambitious cost target in long-term.","author":[{"dropping-particle":"","family":"Tang","given":"L.","non-dropping-particle":"","parse-names":false,"suffix":""},{"dropping-particle":"","family":"Leung","given":"P.","non-dropping-particle":"","parse-names":false,"suffix":""},{"dropping-particle":"","family":"Mohamed","given":"M. R.","non-dropping-particle":"","parse-names":false,"suffix":""},{"dropping-particle":"","family":"Xu","given":"Q.","non-dropping-particle":"","parse-names":false,"suffix":""},{"dropping-particle":"","family":"Dai","given":"S.","non-dropping-particle":"","parse-names":false,"suffix":""},{"dropping-particle":"","family":"Zhu","given":"X.","non-dropping-particle":"","parse-names":false,"suffix":""},{"dropping-particle":"","family":"Flox","given":"C.","non-dropping-particle":"","parse-names":false,"suffix":""},{"dropping-particle":"","family":"Shah","given":"A. A.","non-dropping-particle":"","parse-names":false,"suffix":""},{"dropping-particle":"","family":"Liao","given":"Q.","non-dropping-particle":"","parse-names":false,"suffix":""}],"container-title":"Electrochimica Acta","id":"ITEM-1","issued":{"date-parts":[["2023","1","1"]]},"page":"141460","publisher":"Pergamon","title":"Capital cost evaluation of conventional and emerging redox flow batteries for grid storage applications","type":"article-journal","volume":"437"},"uris":["http://www.mendeley.com/documents/?uuid=c533625b-6f7e-4489-b343-14d7dfc99c22"]}],"mendeley":{"formattedCitation":"&lt;sup&gt;[18]&lt;/sup&gt;","plainTextFormattedCitation":"[18]","previouslyFormattedCitation":"&lt;sup&gt;[18]&lt;/sup&gt;"},"properties":{"noteIndex":0},"schema":"https://github.com/citation-style-language/schema/raw/master/csl-citation.json"}</w:instrText>
      </w:r>
      <w:r w:rsidR="004E1C94" w:rsidRPr="003E0254">
        <w:fldChar w:fldCharType="separate"/>
      </w:r>
      <w:r w:rsidR="00A94915" w:rsidRPr="003E0254">
        <w:rPr>
          <w:noProof/>
          <w:vertAlign w:val="superscript"/>
        </w:rPr>
        <w:t>[18]</w:t>
      </w:r>
      <w:r w:rsidR="004E1C94" w:rsidRPr="003E0254">
        <w:fldChar w:fldCharType="end"/>
      </w:r>
      <w:r w:rsidR="004E1C94" w:rsidRPr="003E0254">
        <w:t xml:space="preserve"> </w:t>
      </w:r>
      <w:r w:rsidRPr="003E0254">
        <w:t xml:space="preserve">Figure 11 shows that materials for </w:t>
      </w:r>
      <w:r w:rsidR="003E79F6" w:rsidRPr="003E0254">
        <w:t>Br</w:t>
      </w:r>
      <w:r w:rsidR="003E79F6" w:rsidRPr="003E0254">
        <w:rPr>
          <w:vertAlign w:val="subscript"/>
        </w:rPr>
        <w:t>2</w:t>
      </w:r>
      <w:r w:rsidR="003E79F6" w:rsidRPr="003E0254">
        <w:t xml:space="preserve">||Zn </w:t>
      </w:r>
      <w:r w:rsidRPr="003E0254">
        <w:t>batteries are slightly more expensive at $191</w:t>
      </w:r>
      <w:r w:rsidR="00065F65" w:rsidRPr="003E0254">
        <w:t> kWh</w:t>
      </w:r>
      <w:r w:rsidR="00065F65" w:rsidRPr="003E0254">
        <w:rPr>
          <w:vertAlign w:val="superscript"/>
        </w:rPr>
        <w:t>-1</w:t>
      </w:r>
      <w:r w:rsidRPr="003E0254">
        <w:t xml:space="preserve"> than vanadium batteries at $162</w:t>
      </w:r>
      <w:r w:rsidR="00065F65" w:rsidRPr="003E0254">
        <w:t> kWh</w:t>
      </w:r>
      <w:r w:rsidR="00065F65" w:rsidRPr="003E0254">
        <w:rPr>
          <w:vertAlign w:val="superscript"/>
        </w:rPr>
        <w:t>-1</w:t>
      </w:r>
      <w:r w:rsidRPr="003E0254">
        <w:t xml:space="preserve">. Both technologies share common materials, such as bipolar plates, graphite felt electrodes, PVC frame, and anionic selective membranes. However, the energy per stack, the functional unit of a redox flow battery, differs between </w:t>
      </w:r>
      <w:r w:rsidR="00C60E6A" w:rsidRPr="003E0254">
        <w:t>all vanadium</w:t>
      </w:r>
      <w:r w:rsidRPr="003E0254">
        <w:t xml:space="preserve"> and </w:t>
      </w:r>
      <w:r w:rsidR="003E79F6" w:rsidRPr="003E0254">
        <w:t>Br</w:t>
      </w:r>
      <w:r w:rsidR="003E79F6" w:rsidRPr="003E0254">
        <w:rPr>
          <w:vertAlign w:val="subscript"/>
        </w:rPr>
        <w:t>2</w:t>
      </w:r>
      <w:r w:rsidR="003E79F6" w:rsidRPr="003E0254">
        <w:t>||Zn</w:t>
      </w:r>
      <w:r w:rsidRPr="003E0254">
        <w:t xml:space="preserve"> batteries. Therefore, approximately 33 stacks are required for vanadium, but </w:t>
      </w:r>
      <w:r w:rsidR="00EB2961" w:rsidRPr="003E0254">
        <w:t>58</w:t>
      </w:r>
      <w:r w:rsidRPr="003E0254">
        <w:t xml:space="preserve"> stacks are required for </w:t>
      </w:r>
      <w:r w:rsidR="003E79F6" w:rsidRPr="003E0254">
        <w:t>Br</w:t>
      </w:r>
      <w:r w:rsidR="003E79F6" w:rsidRPr="003E0254">
        <w:rPr>
          <w:vertAlign w:val="subscript"/>
        </w:rPr>
        <w:t>2</w:t>
      </w:r>
      <w:r w:rsidR="003E79F6" w:rsidRPr="003E0254">
        <w:t>||Zn</w:t>
      </w:r>
      <w:r w:rsidR="00C60E6A" w:rsidRPr="003E0254">
        <w:t xml:space="preserve"> </w:t>
      </w:r>
      <w:r w:rsidRPr="003E0254">
        <w:t xml:space="preserve">to achieve the target energy. As a result, identical cost items for the </w:t>
      </w:r>
      <w:r w:rsidR="003E79F6" w:rsidRPr="003E0254">
        <w:t>Br</w:t>
      </w:r>
      <w:r w:rsidR="003E79F6" w:rsidRPr="003E0254">
        <w:rPr>
          <w:vertAlign w:val="subscript"/>
        </w:rPr>
        <w:t>2</w:t>
      </w:r>
      <w:r w:rsidR="003E79F6" w:rsidRPr="003E0254">
        <w:t>||Zn</w:t>
      </w:r>
      <w:r w:rsidR="00C60E6A" w:rsidRPr="003E0254">
        <w:t xml:space="preserve"> </w:t>
      </w:r>
      <w:r w:rsidRPr="003E0254">
        <w:t>battery are higher, as more membrane material is needed to provide the same energy in kWh. Another difference is the active material, with vanadium pentoxide being more expensive at $20.4</w:t>
      </w:r>
      <w:r w:rsidR="00065F65" w:rsidRPr="003E0254">
        <w:t> </w:t>
      </w:r>
      <w:r w:rsidRPr="003E0254">
        <w:t>kg</w:t>
      </w:r>
      <w:r w:rsidR="00065F65" w:rsidRPr="003E0254">
        <w:rPr>
          <w:vertAlign w:val="superscript"/>
        </w:rPr>
        <w:t>-1</w:t>
      </w:r>
      <w:r w:rsidRPr="003E0254">
        <w:t xml:space="preserve"> than zinc bromide at $2.3</w:t>
      </w:r>
      <w:r w:rsidR="00065F65" w:rsidRPr="003E0254">
        <w:t> </w:t>
      </w:r>
      <w:r w:rsidRPr="003E0254">
        <w:t>kg</w:t>
      </w:r>
      <w:r w:rsidR="00065F65" w:rsidRPr="003E0254">
        <w:rPr>
          <w:vertAlign w:val="superscript"/>
        </w:rPr>
        <w:t>-1</w:t>
      </w:r>
      <w:r w:rsidRPr="003E0254">
        <w:t xml:space="preserve">. This is partially offset by the need for a sequestration agent for the </w:t>
      </w:r>
      <w:r w:rsidR="003E79F6" w:rsidRPr="003E0254">
        <w:t>Br</w:t>
      </w:r>
      <w:r w:rsidR="003E79F6" w:rsidRPr="003E0254">
        <w:rPr>
          <w:vertAlign w:val="subscript"/>
        </w:rPr>
        <w:t>2</w:t>
      </w:r>
      <w:r w:rsidR="003E79F6" w:rsidRPr="003E0254">
        <w:t>||Zn</w:t>
      </w:r>
      <w:r w:rsidR="00BB1183" w:rsidRPr="003E0254">
        <w:t xml:space="preserve"> </w:t>
      </w:r>
      <w:r w:rsidRPr="003E0254">
        <w:t>system, with material costs of $28</w:t>
      </w:r>
      <w:r w:rsidR="00065F65" w:rsidRPr="003E0254">
        <w:t> </w:t>
      </w:r>
      <w:r w:rsidRPr="003E0254">
        <w:t>kg</w:t>
      </w:r>
      <w:r w:rsidR="00065F65" w:rsidRPr="003E0254">
        <w:rPr>
          <w:vertAlign w:val="superscript"/>
        </w:rPr>
        <w:t>-1</w:t>
      </w:r>
      <w:r w:rsidRPr="003E0254">
        <w:t xml:space="preserve"> reported by Tang et al. making this one of the largest cost factors. It is assumed here that the costs for such organic materials can be reduced by a factor of five in the future through economies of scale and more mature technology, resulting in costs of about $5</w:t>
      </w:r>
      <w:r w:rsidR="00065F65" w:rsidRPr="003E0254">
        <w:t> </w:t>
      </w:r>
      <w:r w:rsidRPr="003E0254">
        <w:t>kg</w:t>
      </w:r>
      <w:r w:rsidR="00065F65" w:rsidRPr="003E0254">
        <w:rPr>
          <w:vertAlign w:val="superscript"/>
        </w:rPr>
        <w:t>-1</w:t>
      </w:r>
      <w:r w:rsidRPr="003E0254">
        <w:t xml:space="preserve"> for the sequestering agent (see S3 for further information). In this model, the vanadium battery still has a small cost advantage over the zinc-bromine battery. However, this advantage is smaller than the $435</w:t>
      </w:r>
      <w:r w:rsidR="00065F65" w:rsidRPr="003E0254">
        <w:t> kWh</w:t>
      </w:r>
      <w:r w:rsidR="00065F65" w:rsidRPr="003E0254">
        <w:rPr>
          <w:vertAlign w:val="superscript"/>
        </w:rPr>
        <w:t>-1</w:t>
      </w:r>
      <w:r w:rsidRPr="003E0254">
        <w:t xml:space="preserve"> figure reported by Tang et al. for </w:t>
      </w:r>
      <w:r w:rsidR="003E79F6" w:rsidRPr="003E0254">
        <w:t>Br</w:t>
      </w:r>
      <w:r w:rsidR="003E79F6" w:rsidRPr="003E0254">
        <w:rPr>
          <w:vertAlign w:val="subscript"/>
        </w:rPr>
        <w:t>2</w:t>
      </w:r>
      <w:r w:rsidR="003E79F6" w:rsidRPr="003E0254">
        <w:t>||Zn</w:t>
      </w:r>
      <w:r w:rsidR="006D0154" w:rsidRPr="003E0254">
        <w:t>.</w:t>
      </w:r>
      <w:r w:rsidR="006D0154" w:rsidRPr="003E0254">
        <w:fldChar w:fldCharType="begin" w:fldLock="1"/>
      </w:r>
      <w:r w:rsidR="002F6D4C" w:rsidRPr="003E0254">
        <w:instrText>ADDIN CSL_CITATION {"citationItems":[{"id":"ITEM-1","itemData":{"DOI":"10.1016/J.ELECTACTA.2022.141460","ISSN":"0013-4686","abstract":"Redox flow battery (RFB) is a promising technology to store large amounts of energies in liquid electrolytes attributable to their unique architectures. In recent years, various new chemistries have been introduced in both aqueous and non-aqueous electrolytes as pathways to lower-cost systems, eventually meeting the long-term cost target of USD$ &lt; 100 (kW h)−1 for board market penetration. Since there is a lack of capital cost data available for flow batteries under the same criteria and assumptions, a fact-based techno-economic analysis is evaluated based on real systems to facilitate the explorations of more competitive systems. In total, nine conventional and emerging flow battery systems are evaluated based on aqueous and non-aqueous electrolytes using existing architectures. This analysis is attempted to evaluate the feasibility of these emerging systems to meet the cost target and to predict their technological prospects for energy storage applications. The capital costs of these resulting flow batteries are compared and discussed, providing suggestions for further improvements to meet the ambitious cost target in long-term.","author":[{"dropping-particle":"","family":"Tang","given":"L.","non-dropping-particle":"","parse-names":false,"suffix":""},{"dropping-particle":"","family":"Leung","given":"P.","non-dropping-particle":"","parse-names":false,"suffix":""},{"dropping-particle":"","family":"Mohamed","given":"M. R.","non-dropping-particle":"","parse-names":false,"suffix":""},{"dropping-particle":"","family":"Xu","given":"Q.","non-dropping-particle":"","parse-names":false,"suffix":""},{"dropping-particle":"","family":"Dai","given":"S.","non-dropping-particle":"","parse-names":false,"suffix":""},{"dropping-particle":"","family":"Zhu","given":"X.","non-dropping-particle":"","parse-names":false,"suffix":""},{"dropping-particle":"","family":"Flox","given":"C.","non-dropping-particle":"","parse-names":false,"suffix":""},{"dropping-particle":"","family":"Shah","given":"A. A.","non-dropping-particle":"","parse-names":false,"suffix":""},{"dropping-particle":"","family":"Liao","given":"Q.","non-dropping-particle":"","parse-names":false,"suffix":""}],"container-title":"Electrochimica Acta","id":"ITEM-1","issued":{"date-parts":[["2023","1","1"]]},"page":"141460","publisher":"Pergamon","title":"Capital cost evaluation of conventional and emerging redox flow batteries for grid storage applications","type":"article-journal","volume":"437"},"uris":["http://www.mendeley.com/documents/?uuid=c533625b-6f7e-4489-b343-14d7dfc99c22"]}],"mendeley":{"formattedCitation":"&lt;sup&gt;[18]&lt;/sup&gt;","plainTextFormattedCitation":"[18]","previouslyFormattedCitation":"&lt;sup&gt;[18]&lt;/sup&gt;"},"properties":{"noteIndex":0},"schema":"https://github.com/citation-style-language/schema/raw/master/csl-citation.json"}</w:instrText>
      </w:r>
      <w:r w:rsidR="006D0154" w:rsidRPr="003E0254">
        <w:fldChar w:fldCharType="separate"/>
      </w:r>
      <w:r w:rsidR="00A94915" w:rsidRPr="003E0254">
        <w:rPr>
          <w:noProof/>
          <w:vertAlign w:val="superscript"/>
        </w:rPr>
        <w:t>[18]</w:t>
      </w:r>
      <w:r w:rsidR="006D0154" w:rsidRPr="003E0254">
        <w:fldChar w:fldCharType="end"/>
      </w:r>
      <w:r w:rsidR="00E6221D" w:rsidRPr="003E0254">
        <w:t xml:space="preserve"> </w:t>
      </w:r>
      <w:r w:rsidRPr="003E0254">
        <w:t xml:space="preserve">Additionally, it is questionable whether this advantage compensates for the criticality of vanadium as a raw material and its volatile price development. When considering the material costs of zinc redox flow batteries alone, further development is needed to achieve cost advantage. A potential avenue for exploration is the development of organic materials as a substitute for bromine. This would eliminate the need for a sequestering agent and, importantly, allow the anion-selective membrane to be replaced by a simple porous membrane, removing the largest cost factor (cf. chapter 2.4). Furthermore, the requirements for corrosion protection are </w:t>
      </w:r>
      <w:r w:rsidR="00F573B3" w:rsidRPr="003E0254">
        <w:t>less stringent</w:t>
      </w:r>
      <w:r w:rsidRPr="003E0254">
        <w:t xml:space="preserve"> for organic materials than for vanadium and </w:t>
      </w:r>
      <w:r w:rsidR="003E79F6" w:rsidRPr="003E0254">
        <w:t>Br</w:t>
      </w:r>
      <w:r w:rsidR="003E79F6" w:rsidRPr="003E0254">
        <w:rPr>
          <w:vertAlign w:val="subscript"/>
        </w:rPr>
        <w:t>2</w:t>
      </w:r>
      <w:r w:rsidR="003E79F6" w:rsidRPr="003E0254">
        <w:t>||Zn</w:t>
      </w:r>
      <w:r w:rsidR="00BB1183" w:rsidRPr="003E0254">
        <w:t xml:space="preserve"> </w:t>
      </w:r>
      <w:r w:rsidRPr="003E0254">
        <w:t xml:space="preserve">batteries, likely to result in lower production and </w:t>
      </w:r>
      <w:r w:rsidRPr="003E0254">
        <w:lastRenderedPageBreak/>
        <w:t>maintenance costs.</w:t>
      </w:r>
      <w:r w:rsidRPr="003E0254">
        <w:rPr>
          <w:rFonts w:ascii="Arial" w:eastAsia="Arial" w:hAnsi="Arial" w:cs="Arial"/>
          <w:color w:val="000000"/>
        </w:rPr>
        <w:t xml:space="preserve"> </w:t>
      </w:r>
      <w:r w:rsidR="00EB2961" w:rsidRPr="003E0254">
        <w:t xml:space="preserve">However, the material cost for organic materials could be too high to enable cost-efficient commercialization, which should be investigated in future studies.  </w:t>
      </w:r>
      <w:r w:rsidR="00EB2961" w:rsidRPr="003E0254">
        <w:rPr>
          <w:rFonts w:ascii="Arial" w:eastAsia="Arial" w:hAnsi="Arial" w:cs="Arial"/>
          <w:color w:val="000000"/>
        </w:rPr>
        <w:t xml:space="preserve">  </w:t>
      </w:r>
      <w:r w:rsidRPr="003E0254">
        <w:rPr>
          <w:rFonts w:ascii="Arial" w:eastAsia="Arial" w:hAnsi="Arial" w:cs="Arial"/>
          <w:color w:val="000000"/>
        </w:rPr>
        <w:t xml:space="preserve"> </w:t>
      </w:r>
      <w:r w:rsidR="00DA35C9" w:rsidRPr="003E0254">
        <w:rPr>
          <w:rFonts w:ascii="Arial" w:eastAsia="Arial" w:hAnsi="Arial" w:cs="Arial"/>
          <w:color w:val="000000"/>
        </w:rPr>
        <w:t xml:space="preserve">  </w:t>
      </w:r>
    </w:p>
    <w:p w14:paraId="70FDEDCC" w14:textId="4EFE1E36" w:rsidR="00546AB0" w:rsidRPr="003E0254" w:rsidRDefault="00F573B3" w:rsidP="00546AB0">
      <w:pPr>
        <w:pBdr>
          <w:top w:val="none" w:sz="4" w:space="0" w:color="000000"/>
          <w:left w:val="none" w:sz="4" w:space="0" w:color="000000"/>
          <w:bottom w:val="none" w:sz="4" w:space="0" w:color="000000"/>
          <w:right w:val="none" w:sz="4" w:space="0" w:color="000000"/>
        </w:pBdr>
        <w:spacing w:line="276" w:lineRule="auto"/>
        <w:jc w:val="both"/>
      </w:pPr>
      <w:r w:rsidRPr="003E0254">
        <w:t>When</w:t>
      </w:r>
      <w:r w:rsidR="00546AB0" w:rsidRPr="003E0254">
        <w:t xml:space="preserve"> the three battery technologies</w:t>
      </w:r>
      <w:r w:rsidRPr="003E0254">
        <w:t xml:space="preserve"> are compared</w:t>
      </w:r>
      <w:r w:rsidR="00546AB0" w:rsidRPr="003E0254">
        <w:t>, it is immediately apparent that zinc-bromine redox</w:t>
      </w:r>
      <w:r w:rsidR="009A6775" w:rsidRPr="003E0254">
        <w:t xml:space="preserve"> </w:t>
      </w:r>
      <w:r w:rsidR="00546AB0" w:rsidRPr="003E0254">
        <w:t>flow batteries have the highest material costs per kWh at $191</w:t>
      </w:r>
      <w:r w:rsidR="00065F65" w:rsidRPr="003E0254">
        <w:t> kWh</w:t>
      </w:r>
      <w:r w:rsidR="00065F65" w:rsidRPr="003E0254">
        <w:rPr>
          <w:vertAlign w:val="superscript"/>
        </w:rPr>
        <w:t>-1</w:t>
      </w:r>
      <w:r w:rsidR="00546AB0" w:rsidRPr="003E0254">
        <w:t xml:space="preserve"> (see Fig. 12). </w:t>
      </w:r>
      <w:r w:rsidR="00A439A1" w:rsidRPr="003E0254">
        <w:t>Zinc-metal</w:t>
      </w:r>
      <w:r w:rsidR="00546AB0" w:rsidRPr="003E0254">
        <w:t xml:space="preserve"> batteries follow with costs of $48</w:t>
      </w:r>
      <w:r w:rsidR="00065F65" w:rsidRPr="003E0254">
        <w:t> kWh</w:t>
      </w:r>
      <w:r w:rsidR="00065F65" w:rsidRPr="003E0254">
        <w:rPr>
          <w:vertAlign w:val="superscript"/>
        </w:rPr>
        <w:t>-1</w:t>
      </w:r>
      <w:r w:rsidR="00546AB0" w:rsidRPr="003E0254">
        <w:t xml:space="preserve"> for the β-MnO</w:t>
      </w:r>
      <w:r w:rsidR="00546AB0" w:rsidRPr="003E0254">
        <w:rPr>
          <w:vertAlign w:val="subscript"/>
        </w:rPr>
        <w:t>2</w:t>
      </w:r>
      <w:r w:rsidR="00546AB0" w:rsidRPr="003E0254">
        <w:t xml:space="preserve"> cell and $24.4</w:t>
      </w:r>
      <w:r w:rsidR="00065F65" w:rsidRPr="003E0254">
        <w:t> kWh</w:t>
      </w:r>
      <w:r w:rsidR="00065F65" w:rsidRPr="003E0254">
        <w:rPr>
          <w:vertAlign w:val="superscript"/>
        </w:rPr>
        <w:t>-1</w:t>
      </w:r>
      <w:r w:rsidR="00546AB0" w:rsidRPr="003E0254">
        <w:t xml:space="preserve"> for the δ</w:t>
      </w:r>
      <w:r w:rsidR="00546AB0" w:rsidRPr="003E0254">
        <w:noBreakHyphen/>
        <w:t>MnO</w:t>
      </w:r>
      <w:r w:rsidR="00546AB0" w:rsidRPr="003E0254">
        <w:rPr>
          <w:vertAlign w:val="subscript"/>
        </w:rPr>
        <w:t>2</w:t>
      </w:r>
      <w:r w:rsidR="00546AB0" w:rsidRPr="003E0254">
        <w:t xml:space="preserve"> cell. The zinc-air battery is the most cost-effective, </w:t>
      </w:r>
      <w:r w:rsidRPr="003E0254">
        <w:t xml:space="preserve">especially </w:t>
      </w:r>
      <w:r w:rsidR="00546AB0" w:rsidRPr="003E0254">
        <w:t>with material costs of $12.7</w:t>
      </w:r>
      <w:r w:rsidR="00065F65" w:rsidRPr="003E0254">
        <w:t> kWh</w:t>
      </w:r>
      <w:r w:rsidR="00065F65" w:rsidRPr="003E0254">
        <w:rPr>
          <w:vertAlign w:val="superscript"/>
        </w:rPr>
        <w:t>-1</w:t>
      </w:r>
      <w:r w:rsidR="00546AB0" w:rsidRPr="003E0254">
        <w:t xml:space="preserve">, </w:t>
      </w:r>
      <w:r w:rsidRPr="003E0254">
        <w:t>implying a high</w:t>
      </w:r>
      <w:r w:rsidR="00546AB0" w:rsidRPr="003E0254">
        <w:t xml:space="preserve"> potential for providing low-cost electrochemical energy storage for stationary applications. </w:t>
      </w:r>
    </w:p>
    <w:p w14:paraId="0E4DC9CE" w14:textId="6D18259F" w:rsidR="00546AB0" w:rsidRPr="003E0254" w:rsidRDefault="00546AB0" w:rsidP="00546AB0">
      <w:pPr>
        <w:pBdr>
          <w:top w:val="none" w:sz="4" w:space="0" w:color="000000"/>
          <w:left w:val="none" w:sz="4" w:space="0" w:color="000000"/>
          <w:bottom w:val="none" w:sz="4" w:space="0" w:color="000000"/>
          <w:right w:val="none" w:sz="4" w:space="0" w:color="000000"/>
        </w:pBdr>
        <w:spacing w:line="276" w:lineRule="auto"/>
        <w:jc w:val="both"/>
      </w:pPr>
      <w:r w:rsidRPr="003E0254">
        <w:t xml:space="preserve">Within the metal battery technology group, </w:t>
      </w:r>
      <w:r w:rsidR="00EF1735" w:rsidRPr="003E0254">
        <w:t>ZMB</w:t>
      </w:r>
      <w:r w:rsidRPr="003E0254">
        <w:t xml:space="preserve">s offer a cost advantage over </w:t>
      </w:r>
      <w:r w:rsidR="00EB04CE" w:rsidRPr="003E0254">
        <w:t xml:space="preserve">state-of-the-art </w:t>
      </w:r>
      <w:r w:rsidRPr="003E0254">
        <w:t xml:space="preserve">LIBs. In addition, LIBs are industrially scaled and highly developed, so </w:t>
      </w:r>
      <w:r w:rsidR="00EF1735" w:rsidRPr="003E0254">
        <w:t>ZMB</w:t>
      </w:r>
      <w:r w:rsidRPr="003E0254">
        <w:t>s may be able to benefit from economies of scale and knowledge transfer, which is not the case for secondary metal-air batteries, which still face challenges with short cycle</w:t>
      </w:r>
      <w:r w:rsidR="00322F6D" w:rsidRPr="003E0254">
        <w:t>-life</w:t>
      </w:r>
      <w:r w:rsidRPr="003E0254">
        <w:t>.</w:t>
      </w:r>
      <w:r w:rsidRPr="003E0254">
        <w:fldChar w:fldCharType="begin" w:fldLock="1"/>
      </w:r>
      <w:r w:rsidR="00500B8D" w:rsidRPr="003E0254">
        <w:instrText>ADDIN CSL_CITATION {"citationItems":[{"id":"ITEM-1","itemData":{"DOI":"10.1039/C7TA01693J","ISSN":"2050-7496","abstract":"As a promising technology, electrically rechargeable zinc–air batteries have gained significant attention in the past few years. Herein, in this review, we focused on the main challenges of the electrically rechargeable zinc–air batteries in alkaline electrolytes and the up-to-date progress from materials to technologies towards overcoming these technical barriers. We first overviewed the design and working mechanism of the battery and classified the hindrances into dendritic growth at the anode, lack of higher performance bifunctional catalysts at the air electrode, and electrolyte-related problems. Then, detailed discussions have been provided on the latest progress to address these technical issues based on the nano/micro-materials. Flexible zinc–air batteries as a new development have also been discussed in a separate section. Finally, conclusions have been provided followed by future perspective.","author":[{"dropping-particle":"","family":"Gu","given":"Peng","non-dropping-particle":"","parse-names":false,"suffix":""},{"dropping-particle":"","family":"Zheng","given":"Mingbo","non-dropping-particle":"","parse-names":false,"suffix":""},{"dropping-particle":"","family":"Zhao","given":"Qunxing","non-dropping-particle":"","parse-names":false,"suffix":""},{"dropping-particle":"","family":"Xiao","given":"Xiao","non-dropping-particle":"","parse-names":false,"suffix":""},{"dropping-particle":"","family":"Xue","given":"Huaiguo","non-dropping-particle":"","parse-names":false,"suffix":""},{"dropping-particle":"","family":"Pang","given":"Huan","non-dropping-particle":"","parse-names":false,"suffix":""}],"container-title":"Journal of Materials Chemistry A","id":"ITEM-1","issue":"17","issued":{"date-parts":[["2017","5","3"]]},"page":"7651-7666","publisher":"The Royal Society of Chemistry","title":"Rechargeable zinc–air batteries: a promising way to green energy","type":"article-journal","volume":"5"},"uris":["http://www.mendeley.com/documents/?uuid=9fa848d1-caf8-3d63-be3c-9c5e805155a0"]},{"id":"ITEM-2","itemData":{"DOI":"10.1016/J.ESCI.2024.100309","ISSN":"2667-1417","author":[{"dropping-particle":"","family":"Huang","given":"Ruo-Bei","non-dropping-particle":"","parse-names":false,"suffix":""},{"dropping-particle":"","family":"Wang","given":"Meng-Yin","non-dropping-particle":"","parse-names":false,"suffix":""},{"dropping-particle":"","family":"Xiong","given":"Jian-Feng","non-dropping-particle":"","parse-names":false,"suffix":""},{"dropping-particle":"","family":"Zhang","given":"Hua","non-dropping-particle":"","parse-names":false,"suffix":""},{"dropping-particle":"","family":"Tian","given":"Jing-Hua","non-dropping-particle":"","parse-names":false,"suffix":""},{"dropping-particle":"","family":"Li","given":"Jian-Feng","non-dropping-particle":"","parse-names":false,"suffix":""}],"container-title":"eScience","id":"ITEM-2","issued":{"date-parts":[["2024","9","10"]]},"page":"100309","publisher":"Elsevier","title":"Anode optimization strategies for zinc–air batteries","type":"article-journal"},"uris":["http://www.mendeley.com/documents/?uuid=1a8de0d0-3185-3c9e-90d5-461a7f6e8d3f"]}],"mendeley":{"formattedCitation":"&lt;sup&gt;[302,303]&lt;/sup&gt;","plainTextFormattedCitation":"[302,303]","previouslyFormattedCitation":"&lt;sup&gt;[301,302]&lt;/sup&gt;"},"properties":{"noteIndex":0},"schema":"https://github.com/citation-style-language/schema/raw/master/csl-citation.json"}</w:instrText>
      </w:r>
      <w:r w:rsidRPr="003E0254">
        <w:fldChar w:fldCharType="separate"/>
      </w:r>
      <w:r w:rsidR="00500B8D" w:rsidRPr="003E0254">
        <w:rPr>
          <w:noProof/>
          <w:vertAlign w:val="superscript"/>
        </w:rPr>
        <w:t>[302,303]</w:t>
      </w:r>
      <w:r w:rsidRPr="003E0254">
        <w:fldChar w:fldCharType="end"/>
      </w:r>
      <w:r w:rsidRPr="003E0254">
        <w:t xml:space="preserve"> This could lead to </w:t>
      </w:r>
      <w:r w:rsidR="00EF1735" w:rsidRPr="003E0254">
        <w:t>ZMB</w:t>
      </w:r>
      <w:r w:rsidRPr="003E0254">
        <w:t xml:space="preserve">s becoming established in stationary energy storage applications in the near future. </w:t>
      </w:r>
    </w:p>
    <w:p w14:paraId="1E7F0E69" w14:textId="693AF8F1" w:rsidR="00546AB0" w:rsidRPr="003E0254" w:rsidRDefault="00546AB0" w:rsidP="00546AB0">
      <w:pPr>
        <w:pBdr>
          <w:top w:val="none" w:sz="4" w:space="0" w:color="000000"/>
          <w:left w:val="none" w:sz="4" w:space="0" w:color="000000"/>
          <w:bottom w:val="none" w:sz="4" w:space="0" w:color="000000"/>
          <w:right w:val="none" w:sz="4" w:space="0" w:color="000000"/>
        </w:pBdr>
        <w:spacing w:line="276" w:lineRule="auto"/>
        <w:jc w:val="both"/>
      </w:pPr>
      <w:r w:rsidRPr="003E0254">
        <w:t>Of the technologies examined, the zinc-bromine battery is the most expensive. However, as redox</w:t>
      </w:r>
      <w:r w:rsidR="00EC3D7A" w:rsidRPr="003E0254">
        <w:t xml:space="preserve"> </w:t>
      </w:r>
      <w:r w:rsidRPr="003E0254">
        <w:t xml:space="preserve">flow batteries generally have long lifespans, high cycling stability, and are easily scalable, they could prove advantageous for stationary storage in the long term, whereby the advantage of zinc-bromine in terms of raw material criticality and price volatility can be exploited. Therefore, it is likely that these technologies will coexist as complementary solutions rather than one prevailing over the others. </w:t>
      </w:r>
    </w:p>
    <w:p w14:paraId="3C39DAC1" w14:textId="77777777" w:rsidR="00AD1450" w:rsidRPr="003E0254" w:rsidRDefault="00AD1450" w:rsidP="00AD1450">
      <w:pPr>
        <w:pBdr>
          <w:top w:val="none" w:sz="4" w:space="0" w:color="000000"/>
          <w:left w:val="none" w:sz="4" w:space="0" w:color="000000"/>
          <w:bottom w:val="none" w:sz="4" w:space="0" w:color="000000"/>
          <w:right w:val="none" w:sz="4" w:space="0" w:color="000000"/>
        </w:pBdr>
        <w:spacing w:line="276" w:lineRule="auto"/>
        <w:jc w:val="both"/>
      </w:pPr>
      <w:r w:rsidRPr="003E0254">
        <w:t xml:space="preserve">While material costs provide valuable insights, they do not account for factors like cycle life and thus longevity, efficiency losses, and recyclability, highlighting the need for comprehensive evaluations when comparing different technologies. Material cost analysis can be used to identify trends for specific technologies, but it is of limited value for cross-technology analysis. </w:t>
      </w:r>
    </w:p>
    <w:p w14:paraId="7F27187E" w14:textId="5CCF8124" w:rsidR="00A47904" w:rsidRPr="003E0254" w:rsidRDefault="00A47904" w:rsidP="00E6221D">
      <w:pPr>
        <w:pBdr>
          <w:top w:val="none" w:sz="4" w:space="0" w:color="000000"/>
          <w:left w:val="none" w:sz="4" w:space="0" w:color="000000"/>
          <w:bottom w:val="none" w:sz="4" w:space="0" w:color="000000"/>
          <w:right w:val="none" w:sz="4" w:space="0" w:color="000000"/>
        </w:pBdr>
        <w:spacing w:line="276" w:lineRule="auto"/>
        <w:jc w:val="both"/>
      </w:pPr>
      <w:r w:rsidRPr="003E0254">
        <w:t xml:space="preserve">By considering technology roadmaps for zinc batteries, the results of this study can be contextualized. According to the Fraunhofer ISI Alternative Battery Technology Roadmap 2030+ by Thielmann et al. (2023), current lab-scale </w:t>
      </w:r>
      <w:r w:rsidR="00EF1735" w:rsidRPr="003E0254">
        <w:t>ZMB</w:t>
      </w:r>
      <w:r w:rsidRPr="003E0254">
        <w:t xml:space="preserve"> coin cells have gravimetric energy densities of 30-60 </w:t>
      </w:r>
      <w:proofErr w:type="spellStart"/>
      <w:r w:rsidRPr="003E0254">
        <w:t>Wh</w:t>
      </w:r>
      <w:proofErr w:type="spellEnd"/>
      <w:r w:rsidRPr="003E0254">
        <w:t> kg</w:t>
      </w:r>
      <w:r w:rsidRPr="003E0254">
        <w:rPr>
          <w:vertAlign w:val="superscript"/>
        </w:rPr>
        <w:t>-1</w:t>
      </w:r>
      <w:r w:rsidRPr="003E0254">
        <w:t>, which are expected to reach 50-120 </w:t>
      </w:r>
      <w:proofErr w:type="spellStart"/>
      <w:r w:rsidRPr="003E0254">
        <w:t>Wh</w:t>
      </w:r>
      <w:proofErr w:type="spellEnd"/>
      <w:r w:rsidRPr="003E0254">
        <w:t> kg</w:t>
      </w:r>
      <w:r w:rsidRPr="003E0254">
        <w:rPr>
          <w:vertAlign w:val="superscript"/>
        </w:rPr>
        <w:t>-1</w:t>
      </w:r>
      <w:r w:rsidRPr="003E0254">
        <w:t xml:space="preserve"> in larger future cells</w:t>
      </w:r>
      <w:r w:rsidR="00E6221D" w:rsidRPr="003E0254">
        <w:t>.</w:t>
      </w:r>
      <w:r w:rsidR="00642B2D"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642B2D" w:rsidRPr="003E0254">
        <w:fldChar w:fldCharType="separate"/>
      </w:r>
      <w:r w:rsidR="00A94915" w:rsidRPr="003E0254">
        <w:rPr>
          <w:noProof/>
          <w:vertAlign w:val="superscript"/>
        </w:rPr>
        <w:t>[20]</w:t>
      </w:r>
      <w:r w:rsidR="00642B2D" w:rsidRPr="003E0254">
        <w:fldChar w:fldCharType="end"/>
      </w:r>
      <w:r w:rsidR="00E6221D" w:rsidRPr="003E0254">
        <w:t xml:space="preserve"> </w:t>
      </w:r>
      <w:r w:rsidRPr="003E0254">
        <w:t xml:space="preserve">The </w:t>
      </w:r>
      <w:r w:rsidR="00EF1735" w:rsidRPr="003E0254">
        <w:t>ZMB</w:t>
      </w:r>
      <w:r w:rsidRPr="003E0254">
        <w:t xml:space="preserve">s </w:t>
      </w:r>
      <w:r w:rsidR="00F573B3" w:rsidRPr="003E0254">
        <w:t xml:space="preserve">considered </w:t>
      </w:r>
      <w:r w:rsidRPr="003E0254">
        <w:t>in this work surpass these projections, achieving 128 </w:t>
      </w:r>
      <w:proofErr w:type="spellStart"/>
      <w:r w:rsidRPr="003E0254">
        <w:t>Wh</w:t>
      </w:r>
      <w:proofErr w:type="spellEnd"/>
      <w:r w:rsidRPr="003E0254">
        <w:t> kg</w:t>
      </w:r>
      <w:r w:rsidRPr="003E0254">
        <w:rPr>
          <w:vertAlign w:val="superscript"/>
        </w:rPr>
        <w:t>-1</w:t>
      </w:r>
      <w:r w:rsidRPr="003E0254">
        <w:t xml:space="preserve"> for the β-MnO</w:t>
      </w:r>
      <w:r w:rsidRPr="003E0254">
        <w:rPr>
          <w:vertAlign w:val="subscript"/>
        </w:rPr>
        <w:t>2</w:t>
      </w:r>
      <w:r w:rsidR="001F5E64" w:rsidRPr="003E0254">
        <w:sym w:font="Symbol" w:char="F07C"/>
      </w:r>
      <w:r w:rsidR="001F5E64" w:rsidRPr="003E0254">
        <w:sym w:font="Symbol" w:char="F07C"/>
      </w:r>
      <w:r w:rsidRPr="003E0254">
        <w:t>Zn pouch cell and 253 </w:t>
      </w:r>
      <w:proofErr w:type="spellStart"/>
      <w:r w:rsidRPr="003E0254">
        <w:t>Wh</w:t>
      </w:r>
      <w:proofErr w:type="spellEnd"/>
      <w:r w:rsidRPr="003E0254">
        <w:t> kg</w:t>
      </w:r>
      <w:r w:rsidRPr="003E0254">
        <w:rPr>
          <w:vertAlign w:val="superscript"/>
        </w:rPr>
        <w:t>-1</w:t>
      </w:r>
      <w:r w:rsidRPr="003E0254">
        <w:t xml:space="preserve"> for the δ</w:t>
      </w:r>
      <w:r w:rsidRPr="003E0254">
        <w:noBreakHyphen/>
        <w:t>MnO</w:t>
      </w:r>
      <w:r w:rsidRPr="003E0254">
        <w:rPr>
          <w:vertAlign w:val="subscript"/>
        </w:rPr>
        <w:t>2</w:t>
      </w:r>
      <w:r w:rsidRPr="003E0254">
        <w:t xml:space="preserve"> cell. Thielmann et al. (2023) report theoretical capacities for zinc and MnO</w:t>
      </w:r>
      <w:r w:rsidRPr="003E0254">
        <w:rPr>
          <w:vertAlign w:val="subscript"/>
        </w:rPr>
        <w:t>2</w:t>
      </w:r>
      <w:r w:rsidRPr="003E0254">
        <w:t xml:space="preserve"> that are consistent with those used in this study</w:t>
      </w:r>
      <w:r w:rsidR="00E6221D" w:rsidRPr="003E0254">
        <w:t>.</w:t>
      </w:r>
      <w:r w:rsidR="0060471C"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60471C" w:rsidRPr="003E0254">
        <w:fldChar w:fldCharType="separate"/>
      </w:r>
      <w:r w:rsidR="00A94915" w:rsidRPr="003E0254">
        <w:rPr>
          <w:noProof/>
          <w:vertAlign w:val="superscript"/>
        </w:rPr>
        <w:t>[20]</w:t>
      </w:r>
      <w:r w:rsidR="0060471C" w:rsidRPr="003E0254">
        <w:fldChar w:fldCharType="end"/>
      </w:r>
      <w:r w:rsidR="00E6221D" w:rsidRPr="003E0254">
        <w:t xml:space="preserve"> </w:t>
      </w:r>
      <w:r w:rsidRPr="003E0254">
        <w:t>However, in the absence of specific information on the sources or methods for the energy density calculations, it is difficult to determine the cause of this discrepancy between this work and Thielmann et al. It is hypothesized that the much lower practical capacities assumed by Thielmann et al. could explain this difference, possibly due to reduced energy efficiency or parasitic reactions within the cell.</w:t>
      </w:r>
      <w:r w:rsidR="003E79F6" w:rsidRPr="003E0254">
        <w:t xml:space="preserve"> Results from this study are comparable to the work of Innocenti et al. who modeled a </w:t>
      </w:r>
      <w:bookmarkStart w:id="12" w:name="_Hlk198292716"/>
      <w:r w:rsidR="003E79F6" w:rsidRPr="003E0254">
        <w:t>MnO</w:t>
      </w:r>
      <w:r w:rsidR="003E79F6" w:rsidRPr="003E0254">
        <w:rPr>
          <w:vertAlign w:val="subscript"/>
        </w:rPr>
        <w:t>2</w:t>
      </w:r>
      <w:r w:rsidR="003E79F6" w:rsidRPr="003E0254">
        <w:sym w:font="Symbol" w:char="F07C"/>
      </w:r>
      <w:r w:rsidR="003E79F6" w:rsidRPr="003E0254">
        <w:sym w:font="Symbol" w:char="F07C"/>
      </w:r>
      <w:r w:rsidR="003E79F6" w:rsidRPr="003E0254">
        <w:t xml:space="preserve">Zn </w:t>
      </w:r>
      <w:bookmarkEnd w:id="12"/>
      <w:r w:rsidR="003E79F6" w:rsidRPr="003E0254">
        <w:t>cell with an energy density of 189 </w:t>
      </w:r>
      <w:proofErr w:type="spellStart"/>
      <w:r w:rsidR="003E79F6" w:rsidRPr="003E0254">
        <w:t>Wh</w:t>
      </w:r>
      <w:proofErr w:type="spellEnd"/>
      <w:r w:rsidR="003E79F6" w:rsidRPr="003E0254">
        <w:t> kg</w:t>
      </w:r>
      <w:r w:rsidR="003E79F6" w:rsidRPr="003E0254">
        <w:rPr>
          <w:vertAlign w:val="superscript"/>
        </w:rPr>
        <w:t>-1</w:t>
      </w:r>
      <w:r w:rsidR="003E79F6" w:rsidRPr="003E0254">
        <w:t>.</w:t>
      </w:r>
      <w:r w:rsidR="003E79F6" w:rsidRPr="003E0254">
        <w:fldChar w:fldCharType="begin" w:fldLock="1"/>
      </w:r>
      <w:r w:rsidR="002F6D4C" w:rsidRPr="003E0254">
        <w:instrText>ADDIN CSL_CITATION {"citationItems":[{"id":"ITEM-1","itemData":{"DOI":"10.1038/s41467-024-48368-0","ISSN":"2041-1723","PMID":"38744859","abstract":"In the literature on zinc-based batteries, it is often highlighted that zinc offers significant advantages over lithium due to its abundance, affordability, and accessibility. Additionally, aqueous rechargeable zinc batteries are promoted as a sustainable and cost-effective alternative to lithium-ion batteries, especially for renewable energy storage. The aim of this Comment is to provide a perspective on these statements, elucidating their foundations and implications and giving a quick but comprehensive background to authors and readers that deal with this topic, focusing specifically on batteries with zinc ions shuttling reversibly between the metallic negative electrode and the insertion-type positive electrode. Aqueous zinc batteries are currently being explored as potential alternatives to non-aqueous lithium-ion batteries. In this comment, the authors highlight zinc’s global supply chain resilience and lower material costs yet caution about its higher mass requirement for comparable charge storage.","author":[{"dropping-particle":"","family":"Innocenti","given":"Alessandro","non-dropping-particle":"","parse-names":false,"suffix":""},{"dropping-particle":"","family":"Bresser","given":"Dominic","non-dropping-particle":"","parse-names":false,"suffix":""},{"dropping-particle":"","family":"Garche","given":"Jürgen","non-dropping-particle":"","parse-names":false,"suffix":""},{"dropping-particle":"","family":"Passerini","given":"Stefano","non-dropping-particle":"","parse-names":false,"suffix":""}],"container-title":"Nature Communications 2024 15:1","id":"ITEM-1","issue":"1","issued":{"date-parts":[["2024","5","14"]]},"page":"1-6","publisher":"Nature Publishing Group","title":"A critical discussion of the current availability of lithium and zinc for use in batteries","type":"article-journal","volume":"15"},"uris":["http://www.mendeley.com/documents/?uuid=0a1ad2c2-3f1f-366f-a886-6c594f2c2609"]}],"mendeley":{"formattedCitation":"&lt;sup&gt;[3]&lt;/sup&gt;","plainTextFormattedCitation":"[3]","previouslyFormattedCitation":"&lt;sup&gt;[3]&lt;/sup&gt;"},"properties":{"noteIndex":0},"schema":"https://github.com/citation-style-language/schema/raw/master/csl-citation.json"}</w:instrText>
      </w:r>
      <w:r w:rsidR="003E79F6" w:rsidRPr="003E0254">
        <w:fldChar w:fldCharType="separate"/>
      </w:r>
      <w:r w:rsidR="00A94915" w:rsidRPr="003E0254">
        <w:rPr>
          <w:noProof/>
          <w:vertAlign w:val="superscript"/>
        </w:rPr>
        <w:t>[3]</w:t>
      </w:r>
      <w:r w:rsidR="003E79F6" w:rsidRPr="003E0254">
        <w:fldChar w:fldCharType="end"/>
      </w:r>
    </w:p>
    <w:p w14:paraId="01E5E135" w14:textId="576B3DC1" w:rsidR="00E6221D" w:rsidRPr="003E0254" w:rsidRDefault="001D44FF" w:rsidP="00E6221D">
      <w:pPr>
        <w:pBdr>
          <w:top w:val="none" w:sz="4" w:space="0" w:color="000000"/>
          <w:left w:val="none" w:sz="4" w:space="0" w:color="000000"/>
          <w:bottom w:val="none" w:sz="4" w:space="0" w:color="000000"/>
          <w:right w:val="none" w:sz="4" w:space="0" w:color="000000"/>
        </w:pBdr>
        <w:spacing w:line="276" w:lineRule="auto"/>
        <w:jc w:val="both"/>
      </w:pPr>
      <w:r w:rsidRPr="003E0254">
        <w:t>In</w:t>
      </w:r>
      <w:r w:rsidR="00A47904" w:rsidRPr="003E0254">
        <w:t xml:space="preserve"> terms of projected costs, Thielmann et al. estimate the total costs, including production, at €80</w:t>
      </w:r>
      <w:r w:rsidR="00065F65" w:rsidRPr="003E0254">
        <w:t> </w:t>
      </w:r>
      <w:r w:rsidR="00A47904" w:rsidRPr="003E0254">
        <w:t>kg</w:t>
      </w:r>
      <w:r w:rsidR="00065F65" w:rsidRPr="003E0254">
        <w:rPr>
          <w:vertAlign w:val="superscript"/>
        </w:rPr>
        <w:t>-1</w:t>
      </w:r>
      <w:r w:rsidR="00A47904" w:rsidRPr="003E0254">
        <w:t xml:space="preserve"> in 2025, dropping to €40</w:t>
      </w:r>
      <w:r w:rsidR="00065F65" w:rsidRPr="003E0254">
        <w:t> kWh</w:t>
      </w:r>
      <w:r w:rsidR="00065F65" w:rsidRPr="003E0254">
        <w:rPr>
          <w:vertAlign w:val="superscript"/>
        </w:rPr>
        <w:t>-1</w:t>
      </w:r>
      <w:r w:rsidR="00A47904" w:rsidRPr="003E0254">
        <w:t xml:space="preserve"> or less in the future</w:t>
      </w:r>
      <w:r w:rsidR="00E6221D" w:rsidRPr="003E0254">
        <w:t>.</w:t>
      </w:r>
      <w:r w:rsidR="0060471C"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60471C" w:rsidRPr="003E0254">
        <w:fldChar w:fldCharType="separate"/>
      </w:r>
      <w:r w:rsidR="00A94915" w:rsidRPr="003E0254">
        <w:rPr>
          <w:noProof/>
          <w:vertAlign w:val="superscript"/>
        </w:rPr>
        <w:t>[20]</w:t>
      </w:r>
      <w:r w:rsidR="0060471C" w:rsidRPr="003E0254">
        <w:fldChar w:fldCharType="end"/>
      </w:r>
      <w:r w:rsidR="00E6221D" w:rsidRPr="003E0254">
        <w:t xml:space="preserve"> </w:t>
      </w:r>
      <w:r w:rsidR="00A47904" w:rsidRPr="003E0254">
        <w:t>Using the 77% share of material costs in total costs found by Duffner et al.</w:t>
      </w:r>
      <w:r w:rsidR="00A47904" w:rsidRPr="003E0254">
        <w:fldChar w:fldCharType="begin" w:fldLock="1"/>
      </w:r>
      <w:r w:rsidR="00500B8D" w:rsidRPr="003E0254">
        <w:instrText>ADDIN CSL_CITATION {"citationItems":[{"id":"ITEM-1","itemData":{"DOI":"10.1016/J.IJPE.2020.107982","ISSN":"0925-5273","abstract":"Cost-efficient battery cell manufacturing is a topic of intense discussion in both industry and academia, as battery costs are crucial for the market success of electrical vehicles (EVs). Based on forecasted EV growth rates, battery cell manufacturers are investing billions of dollars in new battery cell plants. Whether these billion-dollar investments are economically viable depends on the materialization of forecasted EV growth rates and company-specific competitive market positions. For both, cost-efficient battery cell manufacturing is key for success. To ensure cost-efficient battery cell manufacturing, transparency is necessary regarding overall manufacturing costs, their cost drivers, and the monetary value of potential cost reductions. Driven by these requirements, a cost model for a large-scale battery cell factory is developed. The model relies on the process-based cost modelling technique (PBCM) and includes more than 250 parameters. Based on this cost model, directions are provided, how minimum costs can be achieved reflecting current and future state of technology. Further, it is outlined which process steps and cost elements have the greatest impact on total cost and should thus be focused within future cost reduction activities.","author":[{"dropping-particle":"","family":"Duffner","given":"Fabian","non-dropping-particle":"","parse-names":false,"suffix":""},{"dropping-particle":"","family":"Mauler","given":"Lukas","non-dropping-particle":"","parse-names":false,"suffix":""},{"dropping-particle":"","family":"Wentker","given":"Marc","non-dropping-particle":"","parse-names":false,"suffix":""},{"dropping-particle":"","family":"Leker","given":"Jens","non-dropping-particle":"","parse-names":false,"suffix":""},{"dropping-particle":"","family":"Winter","given":"Martin","non-dropping-particle":"","parse-names":false,"suffix":""}],"container-title":"International Journal of Production Economics","id":"ITEM-1","issued":{"date-parts":[["2021","2","1"]]},"page":"107982","publisher":"Elsevier","title":"Large-scale automotive battery cell manufacturing: Analyzing strategic and operational effects on manufacturing costs","type":"article-journal","volume":"232"},"uris":["http://www.mendeley.com/documents/?uuid=ea2945a8-a98e-3831-be9c-2edc89ada2fa"]}],"mendeley":{"formattedCitation":"&lt;sup&gt;[304]&lt;/sup&gt;","plainTextFormattedCitation":"[304]","previouslyFormattedCitation":"&lt;sup&gt;[303]&lt;/sup&gt;"},"properties":{"noteIndex":0},"schema":"https://github.com/citation-style-language/schema/raw/master/csl-citation.json"}</w:instrText>
      </w:r>
      <w:r w:rsidR="00A47904" w:rsidRPr="003E0254">
        <w:fldChar w:fldCharType="separate"/>
      </w:r>
      <w:r w:rsidR="00500B8D" w:rsidRPr="003E0254">
        <w:rPr>
          <w:noProof/>
          <w:vertAlign w:val="superscript"/>
        </w:rPr>
        <w:t>[304]</w:t>
      </w:r>
      <w:r w:rsidR="00A47904" w:rsidRPr="003E0254">
        <w:fldChar w:fldCharType="end"/>
      </w:r>
      <w:r w:rsidR="00A47904" w:rsidRPr="003E0254">
        <w:t xml:space="preserve"> for LIBs, the results of this study can be extrapolated to determine total costs, including production, for a better comparison. Converted to Euros, </w:t>
      </w:r>
      <w:r w:rsidR="00F573B3" w:rsidRPr="003E0254">
        <w:t xml:space="preserve">the </w:t>
      </w:r>
      <w:r w:rsidR="00A47904" w:rsidRPr="003E0254">
        <w:t>total costs are €57</w:t>
      </w:r>
      <w:r w:rsidR="00065F65" w:rsidRPr="003E0254">
        <w:t> kWh</w:t>
      </w:r>
      <w:r w:rsidR="00065F65" w:rsidRPr="003E0254">
        <w:rPr>
          <w:vertAlign w:val="superscript"/>
        </w:rPr>
        <w:t>-1</w:t>
      </w:r>
      <w:r w:rsidR="00A47904" w:rsidRPr="003E0254">
        <w:t xml:space="preserve"> for the </w:t>
      </w:r>
      <w:r w:rsidR="00A47904" w:rsidRPr="003E0254">
        <w:lastRenderedPageBreak/>
        <w:t>β-MnO</w:t>
      </w:r>
      <w:r w:rsidR="00A47904" w:rsidRPr="003E0254">
        <w:rPr>
          <w:vertAlign w:val="subscript"/>
        </w:rPr>
        <w:t xml:space="preserve">2 </w:t>
      </w:r>
      <w:r w:rsidR="00A47904" w:rsidRPr="003E0254">
        <w:t>cell and €29</w:t>
      </w:r>
      <w:r w:rsidR="00065F65" w:rsidRPr="003E0254">
        <w:t> kWh</w:t>
      </w:r>
      <w:r w:rsidR="00065F65" w:rsidRPr="003E0254">
        <w:rPr>
          <w:vertAlign w:val="superscript"/>
        </w:rPr>
        <w:t>-1</w:t>
      </w:r>
      <w:r w:rsidR="00A47904" w:rsidRPr="003E0254">
        <w:t xml:space="preserve"> for the δ</w:t>
      </w:r>
      <w:r w:rsidR="00A47904" w:rsidRPr="003E0254">
        <w:noBreakHyphen/>
        <w:t>MnO</w:t>
      </w:r>
      <w:r w:rsidR="00A47904" w:rsidRPr="003E0254">
        <w:rPr>
          <w:vertAlign w:val="subscript"/>
        </w:rPr>
        <w:t>2</w:t>
      </w:r>
      <w:r w:rsidR="00A47904" w:rsidRPr="003E0254">
        <w:t xml:space="preserve"> cell, which is about 25</w:t>
      </w:r>
      <w:r w:rsidR="003E79F6" w:rsidRPr="003E0254">
        <w:t>-</w:t>
      </w:r>
      <w:r w:rsidR="00A47904" w:rsidRPr="003E0254">
        <w:t>30% lower than in Thielmann et al</w:t>
      </w:r>
      <w:r w:rsidR="00E6221D" w:rsidRPr="003E0254">
        <w:t>.</w:t>
      </w:r>
      <w:r w:rsidR="0060471C"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60471C" w:rsidRPr="003E0254">
        <w:fldChar w:fldCharType="separate"/>
      </w:r>
      <w:r w:rsidR="00A94915" w:rsidRPr="003E0254">
        <w:rPr>
          <w:noProof/>
          <w:vertAlign w:val="superscript"/>
        </w:rPr>
        <w:t>[20]</w:t>
      </w:r>
      <w:r w:rsidR="0060471C" w:rsidRPr="003E0254">
        <w:fldChar w:fldCharType="end"/>
      </w:r>
      <w:r w:rsidR="00E6221D" w:rsidRPr="003E0254">
        <w:t xml:space="preserve"> </w:t>
      </w:r>
      <w:r w:rsidR="003E79F6" w:rsidRPr="003E0254">
        <w:t>and 30-60% lower than the $72 kWh</w:t>
      </w:r>
      <w:r w:rsidR="003E79F6" w:rsidRPr="003E0254">
        <w:rPr>
          <w:vertAlign w:val="superscript"/>
        </w:rPr>
        <w:t>-1</w:t>
      </w:r>
      <w:r w:rsidR="003E79F6" w:rsidRPr="003E0254">
        <w:t xml:space="preserve"> estimated by Innocenti et al.</w:t>
      </w:r>
      <w:r w:rsidR="003E79F6" w:rsidRPr="003E0254">
        <w:fldChar w:fldCharType="begin" w:fldLock="1"/>
      </w:r>
      <w:r w:rsidR="002F6D4C" w:rsidRPr="003E0254">
        <w:instrText>ADDIN CSL_CITATION {"citationItems":[{"id":"ITEM-1","itemData":{"DOI":"10.1038/s41467-024-48368-0","ISSN":"2041-1723","PMID":"38744859","abstract":"In the literature on zinc-based batteries, it is often highlighted that zinc offers significant advantages over lithium due to its abundance, affordability, and accessibility. Additionally, aqueous rechargeable zinc batteries are promoted as a sustainable and cost-effective alternative to lithium-ion batteries, especially for renewable energy storage. The aim of this Comment is to provide a perspective on these statements, elucidating their foundations and implications and giving a quick but comprehensive background to authors and readers that deal with this topic, focusing specifically on batteries with zinc ions shuttling reversibly between the metallic negative electrode and the insertion-type positive electrode. Aqueous zinc batteries are currently being explored as potential alternatives to non-aqueous lithium-ion batteries. In this comment, the authors highlight zinc’s global supply chain resilience and lower material costs yet caution about its higher mass requirement for comparable charge storage.","author":[{"dropping-particle":"","family":"Innocenti","given":"Alessandro","non-dropping-particle":"","parse-names":false,"suffix":""},{"dropping-particle":"","family":"Bresser","given":"Dominic","non-dropping-particle":"","parse-names":false,"suffix":""},{"dropping-particle":"","family":"Garche","given":"Jürgen","non-dropping-particle":"","parse-names":false,"suffix":""},{"dropping-particle":"","family":"Passerini","given":"Stefano","non-dropping-particle":"","parse-names":false,"suffix":""}],"container-title":"Nature Communications 2024 15:1","id":"ITEM-1","issue":"1","issued":{"date-parts":[["2024","5","14"]]},"page":"1-6","publisher":"Nature Publishing Group","title":"A critical discussion of the current availability of lithium and zinc for use in batteries","type":"article-journal","volume":"15"},"uris":["http://www.mendeley.com/documents/?uuid=0a1ad2c2-3f1f-366f-a886-6c594f2c2609"]}],"mendeley":{"formattedCitation":"&lt;sup&gt;[3]&lt;/sup&gt;","plainTextFormattedCitation":"[3]","previouslyFormattedCitation":"&lt;sup&gt;[3]&lt;/sup&gt;"},"properties":{"noteIndex":0},"schema":"https://github.com/citation-style-language/schema/raw/master/csl-citation.json"}</w:instrText>
      </w:r>
      <w:r w:rsidR="003E79F6" w:rsidRPr="003E0254">
        <w:fldChar w:fldCharType="separate"/>
      </w:r>
      <w:r w:rsidR="00A94915" w:rsidRPr="003E0254">
        <w:rPr>
          <w:noProof/>
          <w:vertAlign w:val="superscript"/>
        </w:rPr>
        <w:t>[3]</w:t>
      </w:r>
      <w:r w:rsidR="003E79F6" w:rsidRPr="003E0254">
        <w:fldChar w:fldCharType="end"/>
      </w:r>
    </w:p>
    <w:p w14:paraId="40FB83EA" w14:textId="77777777" w:rsidR="00AD1450" w:rsidRPr="003E0254" w:rsidRDefault="00AD1450" w:rsidP="00E6221D">
      <w:pPr>
        <w:pBdr>
          <w:top w:val="none" w:sz="4" w:space="0" w:color="000000"/>
          <w:left w:val="none" w:sz="4" w:space="0" w:color="000000"/>
          <w:bottom w:val="none" w:sz="4" w:space="0" w:color="000000"/>
          <w:right w:val="none" w:sz="4" w:space="0" w:color="000000"/>
        </w:pBd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AD1450" w:rsidRPr="003E0254" w14:paraId="04CC81A6" w14:textId="77777777" w:rsidTr="00FA74F5">
        <w:tc>
          <w:tcPr>
            <w:tcW w:w="9350" w:type="dxa"/>
            <w:vAlign w:val="center"/>
          </w:tcPr>
          <w:p w14:paraId="33209A4E" w14:textId="77777777" w:rsidR="00AD1450" w:rsidRPr="003E0254" w:rsidRDefault="00AD1450" w:rsidP="00FA74F5">
            <w:pPr>
              <w:keepNext/>
              <w:spacing w:line="276" w:lineRule="auto"/>
              <w:jc w:val="center"/>
            </w:pPr>
            <w:r w:rsidRPr="003E0254">
              <w:rPr>
                <w:noProof/>
              </w:rPr>
              <w:drawing>
                <wp:inline distT="0" distB="0" distL="0" distR="0" wp14:anchorId="0AB6773A" wp14:editId="0EC850FF">
                  <wp:extent cx="4834516" cy="3982720"/>
                  <wp:effectExtent l="0" t="0" r="4445" b="0"/>
                  <wp:docPr id="1609489623" name="Grafik 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89623" name="Grafik 7" descr="A graph of different colored bars&#10;&#10;AI-generated content may be incorrect."/>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849680" cy="3995212"/>
                          </a:xfrm>
                          <a:prstGeom prst="rect">
                            <a:avLst/>
                          </a:prstGeom>
                          <a:noFill/>
                          <a:ln>
                            <a:noFill/>
                          </a:ln>
                        </pic:spPr>
                      </pic:pic>
                    </a:graphicData>
                  </a:graphic>
                </wp:inline>
              </w:drawing>
            </w:r>
          </w:p>
        </w:tc>
      </w:tr>
    </w:tbl>
    <w:p w14:paraId="34967294" w14:textId="77777777" w:rsidR="00AD1450" w:rsidRPr="003E0254" w:rsidRDefault="00AD1450" w:rsidP="00AD1450">
      <w:pPr>
        <w:pStyle w:val="Beschriftung"/>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Pr="003E0254">
        <w:rPr>
          <w:noProof/>
        </w:rPr>
        <w:t>12</w:t>
      </w:r>
      <w:r w:rsidR="0054077B" w:rsidRPr="003E0254">
        <w:rPr>
          <w:noProof/>
        </w:rPr>
        <w:fldChar w:fldCharType="end"/>
      </w:r>
      <w:r w:rsidRPr="003E0254">
        <w:t>: Material cost comparison of all modeled batteries.</w:t>
      </w:r>
    </w:p>
    <w:p w14:paraId="6AFD6BEB" w14:textId="77A136A4" w:rsidR="00E6221D" w:rsidRPr="003E0254" w:rsidRDefault="00A47904" w:rsidP="00E6221D">
      <w:pPr>
        <w:pBdr>
          <w:top w:val="none" w:sz="4" w:space="0" w:color="000000"/>
          <w:left w:val="none" w:sz="4" w:space="0" w:color="000000"/>
          <w:bottom w:val="none" w:sz="4" w:space="0" w:color="000000"/>
          <w:right w:val="none" w:sz="4" w:space="0" w:color="000000"/>
        </w:pBdr>
        <w:spacing w:line="276" w:lineRule="auto"/>
        <w:jc w:val="both"/>
      </w:pPr>
      <w:r w:rsidRPr="003E0254">
        <w:t xml:space="preserve">For zinc-air batteries, energy densities between 100 and 300 </w:t>
      </w:r>
      <w:proofErr w:type="spellStart"/>
      <w:r w:rsidRPr="003E0254">
        <w:t>Wh</w:t>
      </w:r>
      <w:proofErr w:type="spellEnd"/>
      <w:r w:rsidR="003E79F6" w:rsidRPr="003E0254">
        <w:t> </w:t>
      </w:r>
      <w:r w:rsidRPr="003E0254">
        <w:t>kg</w:t>
      </w:r>
      <w:r w:rsidRPr="003E0254">
        <w:rPr>
          <w:vertAlign w:val="superscript"/>
        </w:rPr>
        <w:t>-1</w:t>
      </w:r>
      <w:r w:rsidRPr="003E0254">
        <w:t xml:space="preserve"> </w:t>
      </w:r>
      <w:r w:rsidR="00F573B3" w:rsidRPr="003E0254">
        <w:t>were</w:t>
      </w:r>
      <w:r w:rsidRPr="003E0254">
        <w:t xml:space="preserve"> reported by Thielmann et al</w:t>
      </w:r>
      <w:r w:rsidR="00E6221D" w:rsidRPr="003E0254">
        <w:t>.</w:t>
      </w:r>
      <w:r w:rsidR="006D0154"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6D0154" w:rsidRPr="003E0254">
        <w:fldChar w:fldCharType="separate"/>
      </w:r>
      <w:r w:rsidR="00A94915" w:rsidRPr="003E0254">
        <w:rPr>
          <w:noProof/>
          <w:vertAlign w:val="superscript"/>
        </w:rPr>
        <w:t>[20]</w:t>
      </w:r>
      <w:r w:rsidR="006D0154" w:rsidRPr="003E0254">
        <w:fldChar w:fldCharType="end"/>
      </w:r>
      <w:r w:rsidR="00E6221D" w:rsidRPr="003E0254">
        <w:t xml:space="preserve"> </w:t>
      </w:r>
      <w:r w:rsidRPr="003E0254">
        <w:t xml:space="preserve">The zinc-air cell modeled in this work is in this range at 181 </w:t>
      </w:r>
      <w:proofErr w:type="spellStart"/>
      <w:r w:rsidRPr="003E0254">
        <w:t>Wh</w:t>
      </w:r>
      <w:proofErr w:type="spellEnd"/>
      <w:r w:rsidR="003E79F6" w:rsidRPr="003E0254">
        <w:t> </w:t>
      </w:r>
      <w:r w:rsidRPr="003E0254">
        <w:t>kg</w:t>
      </w:r>
      <w:r w:rsidRPr="003E0254">
        <w:rPr>
          <w:vertAlign w:val="superscript"/>
        </w:rPr>
        <w:t>-1</w:t>
      </w:r>
      <w:r w:rsidRPr="003E0254">
        <w:t xml:space="preserve">. The cell casing assumed in the material cost calculations accounts for a large proportion of the total weight of the zinc-air cell. Therefore, a </w:t>
      </w:r>
      <w:r w:rsidR="00F573B3" w:rsidRPr="003E0254">
        <w:t>high</w:t>
      </w:r>
      <w:r w:rsidRPr="003E0254">
        <w:t xml:space="preserve"> potential for optimization is expected here, which will have an effect on </w:t>
      </w:r>
      <w:r w:rsidR="00F573B3" w:rsidRPr="003E0254">
        <w:t xml:space="preserve">the </w:t>
      </w:r>
      <w:r w:rsidRPr="003E0254">
        <w:t xml:space="preserve">energy density in the future. The energy density of 181 </w:t>
      </w:r>
      <w:proofErr w:type="spellStart"/>
      <w:r w:rsidRPr="003E0254">
        <w:t>Wh</w:t>
      </w:r>
      <w:proofErr w:type="spellEnd"/>
      <w:r w:rsidRPr="003E0254">
        <w:t xml:space="preserve"> kg</w:t>
      </w:r>
      <w:r w:rsidRPr="003E0254">
        <w:rPr>
          <w:vertAlign w:val="superscript"/>
        </w:rPr>
        <w:t>-1</w:t>
      </w:r>
      <w:r w:rsidRPr="003E0254">
        <w:t xml:space="preserve"> given in this work is therefore stated as the energy density that can be achieved in the short term, while the upper end of 300</w:t>
      </w:r>
      <w:r w:rsidR="00065F65" w:rsidRPr="003E0254">
        <w:t> </w:t>
      </w:r>
      <w:proofErr w:type="spellStart"/>
      <w:r w:rsidRPr="003E0254">
        <w:t>Wh</w:t>
      </w:r>
      <w:proofErr w:type="spellEnd"/>
      <w:r w:rsidR="00065F65" w:rsidRPr="003E0254">
        <w:t> </w:t>
      </w:r>
      <w:r w:rsidRPr="003E0254">
        <w:t>kg</w:t>
      </w:r>
      <w:r w:rsidRPr="003E0254">
        <w:rPr>
          <w:vertAlign w:val="superscript"/>
        </w:rPr>
        <w:t>-1</w:t>
      </w:r>
      <w:r w:rsidRPr="003E0254">
        <w:t xml:space="preserve"> by </w:t>
      </w:r>
      <w:proofErr w:type="spellStart"/>
      <w:r w:rsidRPr="003E0254">
        <w:t>Thielmann</w:t>
      </w:r>
      <w:proofErr w:type="spellEnd"/>
      <w:r w:rsidRPr="003E0254">
        <w:t xml:space="preserve"> et al. is stated as the energy density that can be achieved in the long term.</w:t>
      </w:r>
    </w:p>
    <w:p w14:paraId="207203F6" w14:textId="5A6E6CBE" w:rsidR="00A47904" w:rsidRPr="003E0254" w:rsidRDefault="00A47904" w:rsidP="00E6221D">
      <w:pPr>
        <w:pBdr>
          <w:top w:val="none" w:sz="4" w:space="0" w:color="000000"/>
          <w:left w:val="none" w:sz="4" w:space="0" w:color="000000"/>
          <w:bottom w:val="none" w:sz="4" w:space="0" w:color="000000"/>
          <w:right w:val="none" w:sz="4" w:space="0" w:color="000000"/>
        </w:pBdr>
        <w:spacing w:line="276" w:lineRule="auto"/>
        <w:jc w:val="both"/>
      </w:pPr>
      <w:r w:rsidRPr="003E0254">
        <w:t>The chemical cost of storage is reported by Armstrong et al. at $6</w:t>
      </w:r>
      <w:r w:rsidR="00065F65" w:rsidRPr="003E0254">
        <w:t xml:space="preserve">  kWh</w:t>
      </w:r>
      <w:r w:rsidR="00065F65" w:rsidRPr="003E0254">
        <w:rPr>
          <w:vertAlign w:val="superscript"/>
        </w:rPr>
        <w:t>-1</w:t>
      </w:r>
      <w:r w:rsidRPr="003E0254">
        <w:t>,</w:t>
      </w:r>
      <w:r w:rsidR="00697715" w:rsidRPr="003E0254">
        <w:fldChar w:fldCharType="begin" w:fldLock="1"/>
      </w:r>
      <w:r w:rsidR="00500B8D" w:rsidRPr="003E0254">
        <w:instrText>ADDIN CSL_CITATION {"citationItems":[{"id":"ITEM-1","itemData":{"ISBN":"978-0-578-29263-2","author":[{"dropping-particle":"","family":"Armstrong","given":"Robert","non-dropping-particle":"","parse-names":false,"suffix":""}],"id":"ITEM-1","issued":{"date-parts":[["0"]]},"title":"The Future of Energy Storage An Interdisciplinary MIT Study","type":"report"},"uris":["http://www.mendeley.com/documents/?uuid=8473bf8c-be30-33bc-bba8-503d3a5de875"]}],"mendeley":{"formattedCitation":"&lt;sup&gt;[305]&lt;/sup&gt;","plainTextFormattedCitation":"[305]","previouslyFormattedCitation":"&lt;sup&gt;[304]&lt;/sup&gt;"},"properties":{"noteIndex":0},"schema":"https://github.com/citation-style-language/schema/raw/master/csl-citation.json"}</w:instrText>
      </w:r>
      <w:r w:rsidR="00697715" w:rsidRPr="003E0254">
        <w:fldChar w:fldCharType="separate"/>
      </w:r>
      <w:r w:rsidR="00500B8D" w:rsidRPr="003E0254">
        <w:rPr>
          <w:noProof/>
          <w:vertAlign w:val="superscript"/>
        </w:rPr>
        <w:t>[305]</w:t>
      </w:r>
      <w:r w:rsidR="00697715" w:rsidRPr="003E0254">
        <w:fldChar w:fldCharType="end"/>
      </w:r>
      <w:r w:rsidRPr="003E0254">
        <w:t xml:space="preserve"> which is consistent with the material costs of the full cell calculated in this work at $12.7</w:t>
      </w:r>
      <w:r w:rsidR="00065F65" w:rsidRPr="003E0254">
        <w:t> kWh</w:t>
      </w:r>
      <w:r w:rsidR="00065F65" w:rsidRPr="003E0254">
        <w:rPr>
          <w:vertAlign w:val="superscript"/>
        </w:rPr>
        <w:t>-1</w:t>
      </w:r>
      <w:r w:rsidRPr="003E0254">
        <w:t xml:space="preserve">. Short-term manufacturing costs </w:t>
      </w:r>
      <w:r w:rsidR="002C568A" w:rsidRPr="003E0254">
        <w:t>were</w:t>
      </w:r>
      <w:r w:rsidRPr="003E0254">
        <w:t xml:space="preserve"> reported by Thielmann et al. to be between 100 and 150 $</w:t>
      </w:r>
      <w:r w:rsidR="00065F65" w:rsidRPr="003E0254">
        <w:t> kWh</w:t>
      </w:r>
      <w:r w:rsidR="00065F65" w:rsidRPr="003E0254">
        <w:rPr>
          <w:vertAlign w:val="superscript"/>
        </w:rPr>
        <w:t>-1</w:t>
      </w:r>
      <w:r w:rsidRPr="003E0254">
        <w:t xml:space="preserve">, but it is unclear whether these are full costs or production costs only. Long-term costs </w:t>
      </w:r>
      <w:r w:rsidR="002C568A" w:rsidRPr="003E0254">
        <w:t>were</w:t>
      </w:r>
      <w:r w:rsidRPr="003E0254">
        <w:t xml:space="preserve"> reported to be </w:t>
      </w:r>
      <w:r w:rsidR="002C568A" w:rsidRPr="003E0254">
        <w:t>lower</w:t>
      </w:r>
      <w:r w:rsidRPr="003E0254">
        <w:t xml:space="preserve"> than $10</w:t>
      </w:r>
      <w:r w:rsidR="00065F65" w:rsidRPr="003E0254">
        <w:t> kWh</w:t>
      </w:r>
      <w:r w:rsidR="00065F65" w:rsidRPr="003E0254">
        <w:rPr>
          <w:vertAlign w:val="superscript"/>
        </w:rPr>
        <w:t>-1</w:t>
      </w:r>
      <w:r w:rsidRPr="003E0254">
        <w:t>, which is taken from a highly simplified material cost estimate by Toussaint et al.</w:t>
      </w:r>
      <w:r w:rsidRPr="003E0254">
        <w:fldChar w:fldCharType="begin" w:fldLock="1"/>
      </w:r>
      <w:r w:rsidR="00500B8D"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2030+","type":"report"},"uris":["http://www.mendeley.com/documents/?uuid=58d2bfdf-47d6-3a36-b817-8b2cf78b804c"]},{"id":"ITEM-2","itemData":{"DOI":"10.1149/1.3507924/XML","ISBN":"9781566778589","ISSN":"1938-5862","abstract":"An electrically rechargeable zinc-air cell was developed and demonstrated using a bi-electrode on the cathode side and a 3D zinc electrode. About 200 cycles corresponding to 5000h of operation was achieved with this configuration. An innovating hybrid bi-electrode was evaluated which significantly increase the energy efficiency of our system to about 70% with an energy density close to 110 wh/kg and also improves the power response of the zinc air battery for punctual power demand application.","author":[{"dropping-particle":"","family":"Toussaint","given":"Gwenaëlle","non-dropping-particle":"","parse-names":false,"suffix":""},{"dropping-particle":"","family":"Stevens","given":"Philippe","non-dropping-particle":"","parse-names":false,"suffix":""},{"dropping-particle":"","family":"Akrour","given":"Laurent","non-dropping-particle":"","parse-names":false,"suffix":""},{"dropping-particle":"","family":"Rouget","given":"Robert","non-dropping-particle":"","parse-names":false,"suffix":""},{"dropping-particle":"","family":"Fourgeot","given":"Fabrice","non-dropping-particle":"","parse-names":false,"suffix":""}],"container-title":"ECS Transactions","id":"ITEM-2","issue":"32","issued":{"date-parts":[["2010","10","15"]]},"page":"25-34","publisher":"The Electrochemical Society","title":"Development of a Rechargeable Zinc-Air Battery","type":"article-journal","volume":"28"},"uris":["http://www.mendeley.com/documents/?uuid=2d1079ec-72f7-3c2d-a765-ae96241eb309"]}],"mendeley":{"formattedCitation":"&lt;sup&gt;[20,306]&lt;/sup&gt;","plainTextFormattedCitation":"[20,306]","previouslyFormattedCitation":"&lt;sup&gt;[20,305]&lt;/sup&gt;"},"properties":{"noteIndex":0},"schema":"https://github.com/citation-style-language/schema/raw/master/csl-citation.json"}</w:instrText>
      </w:r>
      <w:r w:rsidRPr="003E0254">
        <w:fldChar w:fldCharType="separate"/>
      </w:r>
      <w:r w:rsidR="00500B8D" w:rsidRPr="003E0254">
        <w:rPr>
          <w:noProof/>
          <w:vertAlign w:val="superscript"/>
        </w:rPr>
        <w:t>[20,306]</w:t>
      </w:r>
      <w:r w:rsidRPr="003E0254">
        <w:fldChar w:fldCharType="end"/>
      </w:r>
      <w:r w:rsidRPr="003E0254">
        <w:t xml:space="preserve"> Since no further data is available, the </w:t>
      </w:r>
      <w:r w:rsidR="002C568A" w:rsidRPr="003E0254">
        <w:t xml:space="preserve">cost of </w:t>
      </w:r>
      <w:r w:rsidRPr="003E0254">
        <w:t>$150</w:t>
      </w:r>
      <w:r w:rsidR="00065F65" w:rsidRPr="003E0254">
        <w:t> kWh</w:t>
      </w:r>
      <w:r w:rsidR="00065F65" w:rsidRPr="003E0254">
        <w:rPr>
          <w:vertAlign w:val="superscript"/>
        </w:rPr>
        <w:t>-1</w:t>
      </w:r>
      <w:r w:rsidRPr="003E0254">
        <w:t xml:space="preserve"> by Thielmann et al., which </w:t>
      </w:r>
      <w:r w:rsidR="002C568A" w:rsidRPr="003E0254">
        <w:t>was quoted</w:t>
      </w:r>
      <w:r w:rsidRPr="003E0254">
        <w:t xml:space="preserve"> from an expert interview, is given as the short-term achievable cost, and the material costs of $12.7</w:t>
      </w:r>
      <w:r w:rsidR="00065F65" w:rsidRPr="003E0254">
        <w:t> kWh</w:t>
      </w:r>
      <w:r w:rsidR="00065F65" w:rsidRPr="003E0254">
        <w:rPr>
          <w:vertAlign w:val="superscript"/>
        </w:rPr>
        <w:t>-1</w:t>
      </w:r>
      <w:r w:rsidRPr="003E0254">
        <w:t xml:space="preserve"> from this work as the long-term goal</w:t>
      </w:r>
      <w:r w:rsidR="00697715" w:rsidRPr="003E0254">
        <w:t>.</w:t>
      </w:r>
    </w:p>
    <w:p w14:paraId="04F2A7A9" w14:textId="77777777" w:rsidR="00B53C39" w:rsidRPr="003E0254" w:rsidRDefault="00B53C39">
      <w:pPr>
        <w:pBdr>
          <w:top w:val="none" w:sz="4" w:space="0" w:color="000000"/>
          <w:left w:val="none" w:sz="4" w:space="0" w:color="000000"/>
          <w:bottom w:val="none" w:sz="4" w:space="0" w:color="000000"/>
          <w:right w:val="none" w:sz="4" w:space="0" w:color="000000"/>
        </w:pBdr>
        <w:spacing w:line="276" w:lineRule="auto"/>
      </w:pPr>
    </w:p>
    <w:p w14:paraId="79EFB6D8" w14:textId="7E2CA5D2" w:rsidR="00EB2961" w:rsidRPr="003E0254" w:rsidRDefault="00EB2961" w:rsidP="00EB2961">
      <w:pPr>
        <w:pStyle w:val="berschrift3"/>
        <w:spacing w:line="276" w:lineRule="auto"/>
        <w:rPr>
          <w:b/>
          <w:bCs/>
        </w:rPr>
      </w:pPr>
      <w:r w:rsidRPr="003E0254">
        <w:rPr>
          <w:b/>
          <w:bCs/>
        </w:rPr>
        <w:lastRenderedPageBreak/>
        <w:t xml:space="preserve">3.3 </w:t>
      </w:r>
      <w:r w:rsidR="00481F8C" w:rsidRPr="003E0254">
        <w:rPr>
          <w:b/>
          <w:bCs/>
        </w:rPr>
        <w:t>Life Cycle Assessment</w:t>
      </w:r>
    </w:p>
    <w:p w14:paraId="7AA4D952" w14:textId="74EE9B13" w:rsidR="00481F8C" w:rsidRPr="003E0254" w:rsidRDefault="00481F8C" w:rsidP="00481F8C">
      <w:pPr>
        <w:jc w:val="both"/>
      </w:pPr>
      <w:r w:rsidRPr="003E0254">
        <w:t xml:space="preserve">A life cycle assessment (LCA) is a valuable tool for evaluating and comparing the environmental impact of various technologies. It encompasses diverse impact categories, from resource consumption to water pollution. Nonetheless, a thorough analysis of all 18 categories exceeds the scope of this study, which is why only the global warming potential (GWP), one of the most critical categories concerning climate change, is examined here. Lifecycle inventories from literature and the </w:t>
      </w:r>
      <w:proofErr w:type="spellStart"/>
      <w:r w:rsidRPr="003E0254">
        <w:t>Ecoinvent</w:t>
      </w:r>
      <w:proofErr w:type="spellEnd"/>
      <w:r w:rsidRPr="003E0254">
        <w:t> 3.11 database were utilized for this purpose (see supporting information S4). The results are presented in kilograms of CO</w:t>
      </w:r>
      <w:r w:rsidRPr="003E0254">
        <w:rPr>
          <w:vertAlign w:val="subscript"/>
        </w:rPr>
        <w:t>2</w:t>
      </w:r>
      <w:r w:rsidRPr="003E0254">
        <w:t xml:space="preserve"> equivalents per kWh, as different gases have varying effects on global warming, and standardization based on battery capacity allows for comparison between batter</w:t>
      </w:r>
      <w:r w:rsidR="00453A2E" w:rsidRPr="003E0254">
        <w:t>y types</w:t>
      </w:r>
      <w:r w:rsidRPr="003E0254">
        <w:t>.</w:t>
      </w:r>
    </w:p>
    <w:p w14:paraId="0EC8FAB8" w14:textId="77777777" w:rsidR="00692E5D" w:rsidRPr="003E0254" w:rsidRDefault="00692E5D" w:rsidP="00692E5D">
      <w:pPr>
        <w:jc w:val="both"/>
      </w:pPr>
      <w:r w:rsidRPr="003E0254">
        <w:t>Figure 13 displays the GWP of the batteries studied. A comparison of the two LIB reference cells with the ZMB and ZAB cells indicates a substantially higher GWP in the former. The primary contributors are the CAM, particularly in the NMC 811 cell, and most notably graphite. The high GWP of graphite (47.7 kg CO₂</w:t>
      </w:r>
      <w:r w:rsidRPr="003E0254">
        <w:noBreakHyphen/>
        <w:t>eq. kg</w:t>
      </w:r>
      <w:r w:rsidRPr="003E0254">
        <w:rPr>
          <w:rFonts w:ascii="Cambria Math" w:hAnsi="Cambria Math" w:cs="Cambria Math"/>
          <w:vertAlign w:val="superscript"/>
        </w:rPr>
        <w:noBreakHyphen/>
        <w:t>1</w:t>
      </w:r>
      <w:r w:rsidRPr="003E0254">
        <w:t>) is attributed to the high temperatures needed for its production, resulting in unfavorable outcomes. In contrast, the ZMBs range from 28.8 to 42.5 kg CO</w:t>
      </w:r>
      <w:r w:rsidRPr="003E0254">
        <w:rPr>
          <w:vertAlign w:val="subscript"/>
        </w:rPr>
        <w:t>2</w:t>
      </w:r>
      <w:r w:rsidRPr="003E0254">
        <w:noBreakHyphen/>
        <w:t xml:space="preserve">eq. per kWh, from </w:t>
      </w:r>
      <w:r w:rsidRPr="003E0254">
        <w:rPr>
          <w:rFonts w:ascii="Aptos Narrow" w:hAnsi="Aptos Narrow"/>
        </w:rPr>
        <w:t>δ</w:t>
      </w:r>
      <w:r w:rsidRPr="003E0254">
        <w:noBreakHyphen/>
        <w:t>MnO</w:t>
      </w:r>
      <w:r w:rsidRPr="003E0254">
        <w:rPr>
          <w:vertAlign w:val="subscript"/>
        </w:rPr>
        <w:t>2</w:t>
      </w:r>
      <w:r w:rsidRPr="003E0254">
        <w:t xml:space="preserve"> to </w:t>
      </w:r>
      <w:r w:rsidRPr="003E0254">
        <w:rPr>
          <w:rFonts w:ascii="Cambria Math" w:hAnsi="Cambria Math"/>
        </w:rPr>
        <w:t>β</w:t>
      </w:r>
      <w:r w:rsidRPr="003E0254">
        <w:noBreakHyphen/>
        <w:t>MnO</w:t>
      </w:r>
      <w:r w:rsidRPr="003E0254">
        <w:rPr>
          <w:vertAlign w:val="subscript"/>
        </w:rPr>
        <w:t>2</w:t>
      </w:r>
      <w:r w:rsidRPr="003E0254">
        <w:t xml:space="preserve">. The zinc metal anodes and manganese oxide cathodes perform better compared to their lithium counterparts, leaving the cathode binders as one of the main emitters. Here, </w:t>
      </w:r>
      <w:proofErr w:type="spellStart"/>
      <w:r w:rsidRPr="003E0254">
        <w:t>PVdF</w:t>
      </w:r>
      <w:proofErr w:type="spellEnd"/>
      <w:r w:rsidRPr="003E0254">
        <w:t xml:space="preserve"> at 61.6 kg CO</w:t>
      </w:r>
      <w:r w:rsidRPr="003E0254">
        <w:rPr>
          <w:vertAlign w:val="subscript"/>
        </w:rPr>
        <w:t>2</w:t>
      </w:r>
      <w:r w:rsidRPr="003E0254">
        <w:noBreakHyphen/>
        <w:t xml:space="preserve">eq. per kg is used at a high mass fraction of 10% for the manganese dioxide cathode. Therefore, substituting with a different binder could further enhance the GWP of ZMBs. </w:t>
      </w:r>
    </w:p>
    <w:p w14:paraId="0855F227" w14:textId="77777777" w:rsidR="00AD1450" w:rsidRPr="003E0254" w:rsidRDefault="00AD1450" w:rsidP="00AD1450">
      <w:pPr>
        <w:keepNext/>
        <w:spacing w:line="276" w:lineRule="auto"/>
        <w:jc w:val="both"/>
      </w:pPr>
      <w:r w:rsidRPr="003E0254">
        <w:t>The main drivers for the ZAB are the NFC 111 catalyst and the gas diffusion layer. However, due to the ZAB's high energy and energy density, comparatively few materials are needed, resulting in a low GWP. Similar to the costs, however, it remains questionable whether theoretical energies can be achieved over a higher number of cycles, which would significantly affect the CO</w:t>
      </w:r>
      <w:r w:rsidRPr="003E0254">
        <w:rPr>
          <w:vertAlign w:val="subscript"/>
        </w:rPr>
        <w:t>2</w:t>
      </w:r>
      <w:r w:rsidRPr="003E0254">
        <w:t xml:space="preserve"> footprint. The largest factor is the steel housing, accounting for 16.3 kg CO</w:t>
      </w:r>
      <w:r w:rsidRPr="003E0254">
        <w:rPr>
          <w:vertAlign w:val="subscript"/>
        </w:rPr>
        <w:t>2</w:t>
      </w:r>
      <w:r w:rsidRPr="003E0254">
        <w:t>-eq. per kWh. For the packaging container, a wall thickness of 0.8 mm used for prismatic cells was assumed, meaning the housing accounts for two-thirds of the total weight of the cell, skewing the result of the LCA. It can be assumed that, in large-scale industrial production, optimizing the housing would reduce this impact.</w:t>
      </w:r>
    </w:p>
    <w:p w14:paraId="029AD124" w14:textId="77777777" w:rsidR="00AD1450" w:rsidRPr="003E0254" w:rsidRDefault="00AD1450" w:rsidP="00692E5D">
      <w:pPr>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81F8C" w:rsidRPr="003E0254" w14:paraId="7F158461" w14:textId="77777777" w:rsidTr="003B3D03">
        <w:tc>
          <w:tcPr>
            <w:tcW w:w="9350" w:type="dxa"/>
          </w:tcPr>
          <w:p w14:paraId="52D63754" w14:textId="04D8AD00" w:rsidR="00481F8C" w:rsidRPr="003E0254" w:rsidRDefault="00481F8C" w:rsidP="003B3D03">
            <w:pPr>
              <w:keepNext/>
              <w:spacing w:line="276" w:lineRule="auto"/>
              <w:jc w:val="center"/>
            </w:pPr>
            <w:r w:rsidRPr="003E0254">
              <w:lastRenderedPageBreak/>
              <w:t>.</w:t>
            </w:r>
            <w:r w:rsidR="00692E5D" w:rsidRPr="003E0254">
              <w:rPr>
                <w:noProof/>
              </w:rPr>
              <w:drawing>
                <wp:inline distT="0" distB="0" distL="0" distR="0" wp14:anchorId="72E7780E" wp14:editId="218EA915">
                  <wp:extent cx="5220082" cy="4206078"/>
                  <wp:effectExtent l="0" t="0" r="0" b="4445"/>
                  <wp:docPr id="125717317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173176" name="Grafik 1257173176"/>
                          <pic:cNvPicPr/>
                        </pic:nvPicPr>
                        <pic:blipFill rotWithShape="1">
                          <a:blip r:embed="rId71" cstate="print">
                            <a:extLst>
                              <a:ext uri="{28A0092B-C50C-407E-A947-70E740481C1C}">
                                <a14:useLocalDpi xmlns:a14="http://schemas.microsoft.com/office/drawing/2010/main" val="0"/>
                              </a:ext>
                            </a:extLst>
                          </a:blip>
                          <a:srcRect r="8564"/>
                          <a:stretch>
                            <a:fillRect/>
                          </a:stretch>
                        </pic:blipFill>
                        <pic:spPr bwMode="auto">
                          <a:xfrm>
                            <a:off x="0" y="0"/>
                            <a:ext cx="5227748" cy="42122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002B5479" w14:textId="6D442182" w:rsidR="00692E5D" w:rsidRPr="003E0254" w:rsidRDefault="00481F8C" w:rsidP="00692E5D">
      <w:pPr>
        <w:pStyle w:val="Beschriftung"/>
      </w:pPr>
      <w:r w:rsidRPr="003E0254">
        <w:t xml:space="preserve">Figure </w:t>
      </w:r>
      <w:fldSimple w:instr=" SEQ Figure \* ARABIC ">
        <w:r w:rsidRPr="003E0254">
          <w:rPr>
            <w:noProof/>
          </w:rPr>
          <w:t>13</w:t>
        </w:r>
      </w:fldSimple>
      <w:r w:rsidRPr="003E0254">
        <w:t>: Global warming potential of the analyzed technologies in kg CO</w:t>
      </w:r>
      <w:r w:rsidRPr="003E0254">
        <w:rPr>
          <w:vertAlign w:val="subscript"/>
        </w:rPr>
        <w:t>2</w:t>
      </w:r>
      <w:r w:rsidRPr="003E0254">
        <w:t>-equivalents per kWh</w:t>
      </w:r>
      <w:r w:rsidR="00877A4F" w:rsidRPr="003E0254">
        <w:t xml:space="preserve"> </w:t>
      </w:r>
      <w:bookmarkStart w:id="13" w:name="_Hlk202276257"/>
      <w:r w:rsidR="00877A4F" w:rsidRPr="003E0254">
        <w:t>of battery storage</w:t>
      </w:r>
      <w:r w:rsidR="00692E5D" w:rsidRPr="003E0254">
        <w:t>.</w:t>
      </w:r>
      <w:bookmarkEnd w:id="13"/>
    </w:p>
    <w:p w14:paraId="133E23B6" w14:textId="4888A658" w:rsidR="00481F8C" w:rsidRPr="003E0254" w:rsidRDefault="00481F8C" w:rsidP="00481F8C">
      <w:pPr>
        <w:keepNext/>
        <w:spacing w:line="276" w:lineRule="auto"/>
        <w:jc w:val="both"/>
      </w:pPr>
      <w:r w:rsidRPr="003E0254">
        <w:t xml:space="preserve">Among all the technologies examined, the </w:t>
      </w:r>
      <w:r w:rsidR="00692E5D" w:rsidRPr="003E0254">
        <w:t>Br</w:t>
      </w:r>
      <w:r w:rsidR="00692E5D" w:rsidRPr="003E0254">
        <w:rPr>
          <w:vertAlign w:val="subscript"/>
        </w:rPr>
        <w:t>2</w:t>
      </w:r>
      <w:r w:rsidRPr="003E0254">
        <w:t>||</w:t>
      </w:r>
      <w:r w:rsidR="00692E5D" w:rsidRPr="003E0254">
        <w:t>Zn</w:t>
      </w:r>
      <w:r w:rsidRPr="003E0254">
        <w:t xml:space="preserve"> redox flow battery performed worst, with 145.8 kg CO</w:t>
      </w:r>
      <w:r w:rsidRPr="003E0254">
        <w:rPr>
          <w:vertAlign w:val="subscript"/>
        </w:rPr>
        <w:t>2</w:t>
      </w:r>
      <w:r w:rsidRPr="003E0254">
        <w:noBreakHyphen/>
        <w:t>eq. per kWh.  A major contributor is the graphite-containing bipolar plates. Due to the lower energy per cell stack in Br</w:t>
      </w:r>
      <w:r w:rsidRPr="003E0254">
        <w:rPr>
          <w:vertAlign w:val="subscript"/>
        </w:rPr>
        <w:t>2</w:t>
      </w:r>
      <w:r w:rsidRPr="003E0254">
        <w:t>||Zn batteries compared to vanadium batteries, more bipolar plates are needed, increasing the GWP. At 54.5 kg CO</w:t>
      </w:r>
      <w:r w:rsidRPr="003E0254">
        <w:rPr>
          <w:vertAlign w:val="subscript"/>
        </w:rPr>
        <w:t>2</w:t>
      </w:r>
      <w:r w:rsidRPr="003E0254">
        <w:noBreakHyphen/>
        <w:t>eq. per kWh, the results of this study are similar to those of the analysis by He et al.</w:t>
      </w:r>
      <w:r w:rsidRPr="003E0254">
        <w:fldChar w:fldCharType="begin" w:fldLock="1"/>
      </w:r>
      <w:r w:rsidR="00500B8D" w:rsidRPr="003E0254">
        <w:instrText>ADDIN CSL_CITATION {"citationItems":[{"id":"ITEM-1","itemData":{"DOI":"10.1016/J.JCLEPRO.2020.121740","ISSN":"0959-6526","abstract":"Energy storage systems, such as flow batteries, are essential for integrating variable renewable energy sources into the electricity grid. While a primary goal of increased renewable energy use on the grid is to mitigate environmental impact, the production of enabling technologies like energy storage systems causes environmental impact. Thus, understanding the impact of producing energy storage systems is crucial for determining the overall environmental performance of renewable energy from a systems perspective. In this study, the environmental impact associated with the production of emerging flow battery technologies is evaluated in an effort to inform materials selection and component design decisions. The production of three commercially available flow battery technologies is evaluated and compared on the basis of eight environmental impact categories, using primary data collected from battery manufacturers on the battery production phase including raw materials extraction, materials processing, manufacturing and assembly. In the baseline scenario, production of all-iron flow batteries led to the lowest impact scores in six of the eight impact categories such as global warming potential, 73 kg CO2 eq/kWh; and cumulative energy demand, 1090 MJ/kWh. While the production of vanadium redox flow batteries led to the highest impact values for six categories including global warming potential, 184 kg CO2 eq/kWh; and cumulative energy demand, 5200 MJ/kWh. Production of zinc-bromine flow batteries had the lowest values for ozone depletion, and freshwater ecotoxicity, and the highest value for abiotic resource depletion. The analysis highlight that the relative environmental impact of producing the three flow battery technologies varies with different system designs and materials selection choices. For example, harmonization of the battery system boundary led to freshwater eutrophication and freshwater ecotoxicity values for vanadium redox flow batteries lower than the values for zinc-bromine flow batteries. Regarding alternative material use strategies, we conclude that vanadium redox flow batteries exhibit the lowest potential in four of the eight impact categories including global warming potential at 61 kg CO2 eq/kWh. In zinc-bromine flow batteries, the titanium-based bipolar plate contributes higher environmental impact compared to carbon-based materials, and the polymer resins used in all-iron flow batteries could be replaced with material with lower …","author":[{"dropping-particle":"","family":"He","given":"Haoyang","non-dropping-particle":"","parse-names":false,"suffix":""},{"dropping-particle":"","family":"Tian","given":"Shan","non-dropping-particle":"","parse-names":false,"suffix":""},{"dropping-particle":"","family":"Tarroja","given":"Brian","non-dropping-particle":"","parse-names":false,"suffix":""},{"dropping-particle":"","family":"Ogunseitan","given":"Oladele A.","non-dropping-particle":"","parse-names":false,"suffix":""},{"dropping-particle":"","family":"Samuelsen","given":"Scott","non-dropping-particle":"","parse-names":false,"suffix":""},{"dropping-particle":"","family":"Schoenung","given":"Julie M.","non-dropping-particle":"","parse-names":false,"suffix":""}],"container-title":"Journal of Cleaner Production","id":"ITEM-1","issued":{"date-parts":[["2020","10","1"]]},"page":"121740","publisher":"Elsevier","title":"Flow battery production: Materials selection and environmental impact","type":"article-journal","volume":"269"},"uris":["http://www.mendeley.com/documents/?uuid=4d5c1bd3-9cfa-3702-ab8d-c28bcf760976"]}],"mendeley":{"formattedCitation":"&lt;sup&gt;[307]&lt;/sup&gt;","plainTextFormattedCitation":"[307]","previouslyFormattedCitation":"&lt;sup&gt;[306]&lt;/sup&gt;"},"properties":{"noteIndex":0},"schema":"https://github.com/citation-style-language/schema/raw/master/csl-citation.json"}</w:instrText>
      </w:r>
      <w:r w:rsidRPr="003E0254">
        <w:fldChar w:fldCharType="separate"/>
      </w:r>
      <w:r w:rsidR="00500B8D" w:rsidRPr="003E0254">
        <w:rPr>
          <w:noProof/>
          <w:vertAlign w:val="superscript"/>
        </w:rPr>
        <w:t>[307]</w:t>
      </w:r>
      <w:r w:rsidRPr="003E0254">
        <w:fldChar w:fldCharType="end"/>
      </w:r>
      <w:r w:rsidRPr="003E0254">
        <w:t xml:space="preserve"> The second important contributor is the </w:t>
      </w:r>
      <w:r w:rsidRPr="003E0254">
        <w:rPr>
          <w:rFonts w:ascii="Aptos" w:hAnsi="Aptos"/>
          <w:bCs/>
        </w:rPr>
        <w:t xml:space="preserve">sequestration </w:t>
      </w:r>
      <w:r w:rsidRPr="003E0254">
        <w:t>agent, where Shin et al.</w:t>
      </w:r>
      <w:r w:rsidRPr="003E0254">
        <w:fldChar w:fldCharType="begin" w:fldLock="1"/>
      </w:r>
      <w:r w:rsidR="00500B8D" w:rsidRPr="003E0254">
        <w:instrText>ADDIN CSL_CITATION {"citationItems":[{"id":"ITEM-1","itemData":{"DOI":"10.1016/J.COELEC.2021.100898","ISSN":"2451-9103","abstract":"The fire hazard of lithium-ion batteries has influenced the development of more efficient and safer battery technology for energy storage systems (ESSs). A flowless zinc–bromine battery (FL-ZBB), one of the simplest versions of redox batteries, offers a possibility of a cost-effective and nonflammable ESS. However, toward the development of a practical battery, many critical issues should be addressed. In this contribution, we review the current FL-ZBB technologies and provide an assessment of them from a battery design perspective. The key cell design parameters and their influence on battery specifications are described. The challenges related to materials and cell structure are also discussed to motivate future research.","author":[{"dropping-particle":"","family":"Shin","given":"Kyungjae","non-dropping-particle":"","parse-names":false,"suffix":""},{"dropping-particle":"","family":"Lee","given":"Ju Hyuk","non-dropping-particle":"","parse-names":false,"suffix":""},{"dropping-particle":"","family":"Heo","given":"Jiyun","non-dropping-particle":"","parse-names":false,"suffix":""},{"dropping-particle":"","family":"Kim","given":"Hee Tak","non-dropping-particle":"","parse-names":false,"suffix":""}],"container-title":"Current Opinion in Electrochemistry","id":"ITEM-1","issued":{"date-parts":[["2022","4","1"]]},"page":"100898","publisher":"Elsevier","title":"Current status and challenges for practical flowless Zn–Br batteries","type":"article-journal","volume":"32"},"uris":["http://www.mendeley.com/documents/?uuid=83f933ad-c0e2-37d5-b3e4-4bbdec579404"]}],"mendeley":{"formattedCitation":"&lt;sup&gt;[275]&lt;/sup&gt;","plainTextFormattedCitation":"[275]","previouslyFormattedCitation":"&lt;sup&gt;[274]&lt;/sup&gt;"},"properties":{"noteIndex":0},"schema":"https://github.com/citation-style-language/schema/raw/master/csl-citation.json"}</w:instrText>
      </w:r>
      <w:r w:rsidRPr="003E0254">
        <w:fldChar w:fldCharType="separate"/>
      </w:r>
      <w:r w:rsidR="00500B8D" w:rsidRPr="003E0254">
        <w:rPr>
          <w:noProof/>
          <w:vertAlign w:val="superscript"/>
        </w:rPr>
        <w:t>[275]</w:t>
      </w:r>
      <w:r w:rsidRPr="003E0254">
        <w:fldChar w:fldCharType="end"/>
      </w:r>
      <w:r w:rsidRPr="003E0254">
        <w:t xml:space="preserve"> suggest using N-</w:t>
      </w:r>
      <w:proofErr w:type="spellStart"/>
      <w:r w:rsidRPr="003E0254">
        <w:t>ethylpyridinium</w:t>
      </w:r>
      <w:proofErr w:type="spellEnd"/>
      <w:r w:rsidRPr="003E0254">
        <w:t xml:space="preserve"> bromide, which has an impact of 8.69 kg CO</w:t>
      </w:r>
      <w:r w:rsidRPr="003E0254">
        <w:rPr>
          <w:vertAlign w:val="subscript"/>
        </w:rPr>
        <w:t>2</w:t>
      </w:r>
      <w:r w:rsidRPr="003E0254">
        <w:noBreakHyphen/>
        <w:t xml:space="preserve">eq. per kg (see Table S 4.4). However, Figure 13 only considers the environmental impact of the battery materials. Therefore, when considering the entire service life of a battery, the redox flow battery's performance will improve due to its high cycle life. </w:t>
      </w:r>
    </w:p>
    <w:p w14:paraId="51ECA667" w14:textId="77777777" w:rsidR="00481F8C" w:rsidRPr="003E0254" w:rsidRDefault="00481F8C" w:rsidP="00481F8C">
      <w:pPr>
        <w:keepNext/>
        <w:spacing w:line="276" w:lineRule="auto"/>
        <w:jc w:val="both"/>
      </w:pPr>
      <w:r w:rsidRPr="003E0254">
        <w:t xml:space="preserve">In summary, static zinc batteries exhibit a better GWP than comparable lithium technologies, with the potential for further improvement. Although zinc redox flow batteries currently have a higher GWP, their long lifespan could offset the difference. </w:t>
      </w:r>
    </w:p>
    <w:p w14:paraId="11CCACA3" w14:textId="77777777" w:rsidR="00481F8C" w:rsidRPr="003E0254" w:rsidRDefault="00481F8C">
      <w:pPr>
        <w:pBdr>
          <w:top w:val="none" w:sz="4" w:space="0" w:color="000000"/>
          <w:left w:val="none" w:sz="4" w:space="0" w:color="000000"/>
          <w:bottom w:val="none" w:sz="4" w:space="0" w:color="000000"/>
          <w:right w:val="none" w:sz="4" w:space="0" w:color="000000"/>
        </w:pBdr>
        <w:spacing w:line="276" w:lineRule="auto"/>
      </w:pPr>
    </w:p>
    <w:p w14:paraId="6C16BF0E" w14:textId="360A312A" w:rsidR="00B53C39" w:rsidRPr="003E0254" w:rsidRDefault="00DA35C9">
      <w:pPr>
        <w:pStyle w:val="berschrift3"/>
        <w:spacing w:line="276" w:lineRule="auto"/>
        <w:rPr>
          <w:b/>
          <w:bCs/>
        </w:rPr>
      </w:pPr>
      <w:r w:rsidRPr="003E0254">
        <w:rPr>
          <w:b/>
          <w:bCs/>
        </w:rPr>
        <w:t>3.</w:t>
      </w:r>
      <w:r w:rsidR="00EB2961" w:rsidRPr="003E0254">
        <w:rPr>
          <w:b/>
          <w:bCs/>
        </w:rPr>
        <w:t>4</w:t>
      </w:r>
      <w:r w:rsidRPr="003E0254">
        <w:rPr>
          <w:b/>
          <w:bCs/>
        </w:rPr>
        <w:t xml:space="preserve"> Recycling</w:t>
      </w:r>
    </w:p>
    <w:p w14:paraId="680BDA17" w14:textId="440CE973" w:rsidR="008C425A" w:rsidRPr="003E0254" w:rsidRDefault="008C425A" w:rsidP="008C425A">
      <w:pPr>
        <w:pBdr>
          <w:top w:val="none" w:sz="4" w:space="0" w:color="000000"/>
          <w:left w:val="none" w:sz="4" w:space="0" w:color="000000"/>
          <w:bottom w:val="none" w:sz="4" w:space="0" w:color="000000"/>
          <w:right w:val="none" w:sz="4" w:space="0" w:color="000000"/>
        </w:pBdr>
        <w:spacing w:line="276" w:lineRule="auto"/>
        <w:jc w:val="both"/>
      </w:pPr>
      <w:r w:rsidRPr="003E0254">
        <w:t xml:space="preserve">The recycling of zinc from pre- and post-consumer scrap currently </w:t>
      </w:r>
      <w:r w:rsidR="00C653CE" w:rsidRPr="003E0254">
        <w:t>amounts to</w:t>
      </w:r>
      <w:r w:rsidRPr="003E0254">
        <w:t xml:space="preserve"> 7.6 million </w:t>
      </w:r>
      <w:proofErr w:type="spellStart"/>
      <w:r w:rsidRPr="003E0254">
        <w:t>tonnes</w:t>
      </w:r>
      <w:proofErr w:type="spellEnd"/>
      <w:r w:rsidRPr="003E0254">
        <w:t xml:space="preserve"> per year and is expected to increase</w:t>
      </w:r>
      <w:r w:rsidR="004052D0" w:rsidRPr="003E0254">
        <w:t xml:space="preserve"> by approximately</w:t>
      </w:r>
      <w:r w:rsidRPr="003E0254">
        <w:t xml:space="preserve"> between 9.3 and 14.3 million </w:t>
      </w:r>
      <w:proofErr w:type="spellStart"/>
      <w:r w:rsidRPr="003E0254">
        <w:t>tonnes</w:t>
      </w:r>
      <w:proofErr w:type="spellEnd"/>
      <w:r w:rsidRPr="003E0254">
        <w:t xml:space="preserve"> by 2050.</w:t>
      </w:r>
      <w:r w:rsidR="006D0154" w:rsidRPr="003E0254">
        <w:fldChar w:fldCharType="begin" w:fldLock="1"/>
      </w:r>
      <w:r w:rsidR="00500B8D" w:rsidRPr="003E0254">
        <w:instrText>ADDIN CSL_CITATION {"citationItems":[{"id":"ITEM-1","itemData":{"author":[{"dropping-particle":"","family":"Rostek","given":"Leon","non-dropping-particle":"","parse-names":false,"suffix":""}],"id":"ITEM-1","issued":{"date-parts":[["2024"]]},"publisher":"TU Clausthal","title":"Modelling the global zinc cycle with dynamic material flow analysis ","type":"thesis"},"uris":["http://www.mendeley.com/documents/?uuid=2b11da04-88a6-38c0-9ed8-7310ef8d6763"]}],"mendeley":{"formattedCitation":"&lt;sup&gt;[308]&lt;/sup&gt;","plainTextFormattedCitation":"[308]","previouslyFormattedCitation":"&lt;sup&gt;[307]&lt;/sup&gt;"},"properties":{"noteIndex":0},"schema":"https://github.com/citation-style-language/schema/raw/master/csl-citation.json"}</w:instrText>
      </w:r>
      <w:r w:rsidR="006D0154" w:rsidRPr="003E0254">
        <w:fldChar w:fldCharType="separate"/>
      </w:r>
      <w:r w:rsidR="00500B8D" w:rsidRPr="003E0254">
        <w:rPr>
          <w:noProof/>
          <w:vertAlign w:val="superscript"/>
        </w:rPr>
        <w:t>[308]</w:t>
      </w:r>
      <w:r w:rsidR="006D0154" w:rsidRPr="003E0254">
        <w:fldChar w:fldCharType="end"/>
      </w:r>
      <w:r w:rsidRPr="003E0254">
        <w:t xml:space="preserve"> To better </w:t>
      </w:r>
      <w:r w:rsidRPr="003E0254">
        <w:lastRenderedPageBreak/>
        <w:t xml:space="preserve">assess the potential of </w:t>
      </w:r>
      <w:r w:rsidR="004D7E8F" w:rsidRPr="003E0254">
        <w:t>zinc-based</w:t>
      </w:r>
      <w:r w:rsidRPr="003E0254">
        <w:t xml:space="preserve"> batteries, the recycling process is evaluated in comparison to current state-of-the-art battery technologies. </w:t>
      </w:r>
    </w:p>
    <w:p w14:paraId="29BAA469" w14:textId="6A8F0B54" w:rsidR="008C425A" w:rsidRPr="003E0254" w:rsidRDefault="008C425A" w:rsidP="008C425A">
      <w:pPr>
        <w:pBdr>
          <w:top w:val="none" w:sz="4" w:space="0" w:color="000000"/>
          <w:left w:val="none" w:sz="4" w:space="0" w:color="000000"/>
          <w:bottom w:val="none" w:sz="4" w:space="0" w:color="000000"/>
          <w:right w:val="none" w:sz="4" w:space="0" w:color="000000"/>
        </w:pBdr>
        <w:spacing w:line="276" w:lineRule="auto"/>
        <w:jc w:val="both"/>
      </w:pPr>
      <w:r w:rsidRPr="003E0254">
        <w:t>Recent research highlights the advantages of zinc battery recycling over lithium-ion batteries, which face challenges</w:t>
      </w:r>
      <w:r w:rsidR="00C653CE" w:rsidRPr="003E0254">
        <w:t>,</w:t>
      </w:r>
      <w:r w:rsidRPr="003E0254">
        <w:t xml:space="preserve"> such as toxic solvents and complex cathode materials. These factors contribute to higher costs, increased complexity, and a greater environmental impact during the recycling process.</w:t>
      </w:r>
      <w:r w:rsidR="0084194F" w:rsidRPr="003E0254">
        <w:fldChar w:fldCharType="begin" w:fldLock="1"/>
      </w:r>
      <w:r w:rsidR="002F6D4C" w:rsidRPr="003E0254">
        <w:instrText>ADDIN CSL_CITATION {"citationItems":[{"id":"ITEM-1","itemData":{"DOI":"10.1002/adsu.202100308","ISSN":"2366-7486","abstract":"Aqueous zinc ion batteries (AZIBs) are gaining widespread scientific and industrial attention thanks to their safety and potential environmental sustainability in comparison with other battery chemistries relying on organic electrolytes. AZIBs are good candidates for sustainable stationary storage, covering household energy needs or smoothing the intermittency associated with wind and solar energy. In spite of their potential as a sustainable energy storage technology, the study of their environmental repercussions remains unexplored. The environmental impacts associated with the fabrication of AZIBs are quantified using a cradle</w:instrText>
      </w:r>
      <w:r w:rsidR="002F6D4C" w:rsidRPr="003E0254">
        <w:rPr>
          <w:rFonts w:ascii="Cambria Math" w:hAnsi="Cambria Math" w:cs="Cambria Math"/>
        </w:rPr>
        <w:instrText>‐</w:instrText>
      </w:r>
      <w:r w:rsidR="002F6D4C" w:rsidRPr="003E0254">
        <w:instrText>to</w:instrText>
      </w:r>
      <w:r w:rsidR="002F6D4C" w:rsidRPr="003E0254">
        <w:rPr>
          <w:rFonts w:ascii="Cambria Math" w:hAnsi="Cambria Math" w:cs="Cambria Math"/>
        </w:rPr>
        <w:instrText>‐</w:instrText>
      </w:r>
      <w:r w:rsidR="002F6D4C" w:rsidRPr="003E0254">
        <w:instrText>gate life cycle assessment (LCA) methodology. Six laboratory</w:instrText>
      </w:r>
      <w:r w:rsidR="002F6D4C" w:rsidRPr="003E0254">
        <w:rPr>
          <w:rFonts w:ascii="Cambria Math" w:hAnsi="Cambria Math" w:cs="Cambria Math"/>
        </w:rPr>
        <w:instrText>‐</w:instrText>
      </w:r>
      <w:r w:rsidR="002F6D4C" w:rsidRPr="003E0254">
        <w:instrText>scale battery designs offering high delivered capacity, energy density and operating lifespan are selected. The contribution of different battery components to eighteen environmental impact indicators is shown. An average value of 45.1 kg CO 2 equiv per 1 kWh is obtained considering the metallic Zn anode, the cathode, the separator, the aqueous electrolyte and the electricity required for cell assembly. AZIBs are environmentally competitive with lithium</w:instrText>
      </w:r>
      <w:r w:rsidR="002F6D4C" w:rsidRPr="003E0254">
        <w:rPr>
          <w:rFonts w:ascii="Cambria Math" w:hAnsi="Cambria Math" w:cs="Cambria Math"/>
        </w:rPr>
        <w:instrText>‐</w:instrText>
      </w:r>
      <w:r w:rsidR="002F6D4C" w:rsidRPr="003E0254">
        <w:instrText>ion, lithium</w:instrText>
      </w:r>
      <w:r w:rsidR="002F6D4C" w:rsidRPr="003E0254">
        <w:rPr>
          <w:rFonts w:ascii="Cambria Math" w:hAnsi="Cambria Math" w:cs="Cambria Math"/>
        </w:rPr>
        <w:instrText>‐</w:instrText>
      </w:r>
      <w:r w:rsidR="002F6D4C" w:rsidRPr="003E0254">
        <w:instrText>oxygen, lithium</w:instrText>
      </w:r>
      <w:r w:rsidR="002F6D4C" w:rsidRPr="003E0254">
        <w:rPr>
          <w:rFonts w:ascii="Cambria Math" w:hAnsi="Cambria Math" w:cs="Cambria Math"/>
        </w:rPr>
        <w:instrText>‐</w:instrText>
      </w:r>
      <w:r w:rsidR="002F6D4C" w:rsidRPr="003E0254">
        <w:instrText>sulfur, and sodium</w:instrText>
      </w:r>
      <w:r w:rsidR="002F6D4C" w:rsidRPr="003E0254">
        <w:rPr>
          <w:rFonts w:ascii="Cambria Math" w:hAnsi="Cambria Math" w:cs="Cambria Math"/>
        </w:rPr>
        <w:instrText>‐</w:instrText>
      </w:r>
      <w:r w:rsidR="002F6D4C" w:rsidRPr="003E0254">
        <w:instrText>ion battery technologies and are attractive from a Circular Economy viewpoint given the potential of renewable materials as separators and the high recycling rates of electrodes. The obtained results prove the suitability of zinc ion batteries as a sustainable stationary energy storage solution.","author":[{"dropping-particle":"","family":"Iturrondobeitia","given":"Maider","non-dropping-particle":"","parse-names":false,"suffix":""},{"dropping-particle":"","family":"Akizu</w:instrText>
      </w:r>
      <w:r w:rsidR="002F6D4C" w:rsidRPr="003E0254">
        <w:rPr>
          <w:rFonts w:ascii="Cambria Math" w:hAnsi="Cambria Math" w:cs="Cambria Math"/>
        </w:rPr>
        <w:instrText>‐</w:instrText>
      </w:r>
      <w:r w:rsidR="002F6D4C" w:rsidRPr="003E0254">
        <w:instrText>Gardoki","given":"Ortzi","non-dropping-particle":"","parse-names":false,"suffix":""},{"dropping-particle":"","family":"Amondarain","given":"Oier","non-dropping-particle":"","parse-names":false,"suffix":""},{"dropping-particle":"","family":"Minguez","given":"Rikardo","non-dropping-particle":"","parse-names":false,"suffix":""},{"dropping-particle":"","family":"Lizundia","given":"Erlantz","non-dropping-particle":"","parse-names":false,"suffix":""}],"container-title":"Advanced Sustainable Systems","id":"ITEM-1","issue":"1","issued":{"date-parts":[["2022","1","17"]]},"page":"2100308","publisher":"John Wiley &amp; Sons, Ltd","title":"Environmental Impacts of Aqueous Zinc Ion Batteries Based on Life Cycle Assessment","type":"article-journal","volume":"6"},"uris":["http://www.mendeley.com/documents/?uuid=e96802d9-45e9-48f7-82cf-31c640db9514"]}],"mendeley":{"formattedCitation":"&lt;sup&gt;[12]&lt;/sup&gt;","plainTextFormattedCitation":"[12]","previouslyFormattedCitation":"&lt;sup&gt;[12]&lt;/sup&gt;"},"properties":{"noteIndex":0},"schema":"https://github.com/citation-style-language/schema/raw/master/csl-citation.json"}</w:instrText>
      </w:r>
      <w:r w:rsidR="0084194F" w:rsidRPr="003E0254">
        <w:fldChar w:fldCharType="separate"/>
      </w:r>
      <w:r w:rsidR="00A94915" w:rsidRPr="003E0254">
        <w:rPr>
          <w:noProof/>
          <w:vertAlign w:val="superscript"/>
        </w:rPr>
        <w:t>[12]</w:t>
      </w:r>
      <w:r w:rsidR="0084194F" w:rsidRPr="003E0254">
        <w:fldChar w:fldCharType="end"/>
      </w:r>
      <w:r w:rsidR="0084194F" w:rsidRPr="003E0254">
        <w:t xml:space="preserve"> </w:t>
      </w:r>
      <w:r w:rsidRPr="003E0254">
        <w:t>In contrast, zinc-based batteries can utilize aqueous electrolytes that do not contain toxic substances, making them potentially more suitable for recycling. Therefore, one advantage is the potential to efficiently recover metallic zinc from used batteries, achieving efficiencies of up to 99% through methods such as evaporation and controlled oxidation, without compromising battery performanc</w:t>
      </w:r>
      <w:r w:rsidR="0084194F" w:rsidRPr="003E0254">
        <w:t>e.</w:t>
      </w:r>
      <w:r w:rsidR="0084194F" w:rsidRPr="003E0254">
        <w:fldChar w:fldCharType="begin" w:fldLock="1"/>
      </w:r>
      <w:r w:rsidR="00500B8D" w:rsidRPr="003E0254">
        <w:instrText>ADDIN CSL_CITATION {"citationItems":[{"id":"ITEM-1","itemData":{"DOI":"10.1007/S11367-016-1131-8/TABLES/6","ISSN":"16147502","abstract":"Purpose: The purpose of this study was to update the average environmental impacts of global primary zinc production using a life cycle assessment (LCA) approach. This study represents the latest contribution from zinc producers, which historically established the first life cycle inventory for primary zinc production in 1998 (Western Europe) and the first global LCA-based cradle-to-gate study for zinc concentrate and special high-grade zinc (SHG; 99.99 %) in 2009. Improvements from the previous studies were realized through expanded geographical scope and range of production technologies. Methods: The product system under study (SHG zinc) was characterized by collecting primary data for the relevant production processes, including zinc ore mining and concentration, transportation of the zinc concentrate, and zinc concentrate smelting. This data was modeled in GaBi 6 and complemented with background data from the GaBi 2013 databases to create the cradle-to-gate LCA model. Allocation was used to distribute the inputs and outputs among the various co-products produced during the production process, with mass of metal content being the preferred allocation approach, when applicable. Results and discussion: In total, this global study includes primary data from 24 mines and 18 smelters, which cover 4.7 × 106 MT of zinc concentrate and 3.4 × 106 MT of SHG zinc, representing 36 and 27 % of global production, respectively. While the LCA model generated a full life cycle inventory, selected impact categories and indicators are reported in this article (global warming potential, acidification potential, eutrophication potential, photochemical ozone creation potential, ozone creation potential, and primary energy demand). The results show that SHG zinc has a primary energy demand of 37,500 MJ/t and a climate change impact of 2600 kg CO2-eq./t. Across all impact categories and indicators reported here, around 65 % of the burden are associated with smelting, 30 % with mining and concentration, and 5 % with transportation of the concentrate. Sensitivity analyses were carried out for the allocation method (total mass versus mass of metal content) and transportation of zinc concentrate. Conclusions: This study generated updated LCA information for the global production of SHG zinc, in line with the metal industry’s current harmonization efforts. Through the provision of unit process information for zinc concentrate and SHG zinc production, greater transparency is achi…","author":[{"dropping-particle":"","family":"Genderen","given":"Eric","non-dropping-particle":"Van","parse-names":false,"suffix":""},{"dropping-particle":"","family":"Wildnauer","given":"Maggie","non-dropping-particle":"","parse-names":false,"suffix":""},{"dropping-particle":"","family":"Santero","given":"Nick","non-dropping-particle":"","parse-names":false,"suffix":""},{"dropping-particle":"","family":"Sidi","given":"Nadir","non-dropping-particle":"","parse-names":false,"suffix":""}],"container-title":"International Journal of Life Cycle Assessment","id":"ITEM-1","issue":"11","issued":{"date-parts":[["2016","11","1"]]},"page":"1580-1593","publisher":"Springer Verlag","title":"A global life cycle assessment for primary zinc production","type":"article-journal","volume":"21"},"uris":["http://www.mendeley.com/documents/?uuid=879c2257-0fae-300b-b631-458af4b38673"]}],"mendeley":{"formattedCitation":"&lt;sup&gt;[309]&lt;/sup&gt;","plainTextFormattedCitation":"[309]","previouslyFormattedCitation":"&lt;sup&gt;[308]&lt;/sup&gt;"},"properties":{"noteIndex":0},"schema":"https://github.com/citation-style-language/schema/raw/master/csl-citation.json"}</w:instrText>
      </w:r>
      <w:r w:rsidR="0084194F" w:rsidRPr="003E0254">
        <w:fldChar w:fldCharType="separate"/>
      </w:r>
      <w:r w:rsidR="00500B8D" w:rsidRPr="003E0254">
        <w:rPr>
          <w:noProof/>
          <w:vertAlign w:val="superscript"/>
        </w:rPr>
        <w:t>[309]</w:t>
      </w:r>
      <w:r w:rsidR="0084194F" w:rsidRPr="003E0254">
        <w:fldChar w:fldCharType="end"/>
      </w:r>
      <w:r w:rsidR="0084194F" w:rsidRPr="003E0254">
        <w:t xml:space="preserve"> </w:t>
      </w:r>
      <w:r w:rsidRPr="003E0254">
        <w:t>Similarly, cathode materials can be recovered cost-effectively through thermal treatment methods with high resource recovery rates.</w:t>
      </w:r>
      <w:r w:rsidR="0084194F" w:rsidRPr="003E0254">
        <w:fldChar w:fldCharType="begin" w:fldLock="1"/>
      </w:r>
      <w:r w:rsidR="00500B8D" w:rsidRPr="003E0254">
        <w:instrText>ADDIN CSL_CITATION {"citationItems":[{"id":"ITEM-1","itemData":{"DOI":"10.1016/J.JPOWSOUR.2008.05.043","ISSN":"0378-7753","abstract":"In this paper a recycling process for the recovery of zinc and manganese from spent alkaline and zinc-carbon batteries is proposed. Laboratory tests are performed to obtain a purified pregnant solution from which metallic zinc (purity 99.6%) can be recovered by electrolysis; manganese is recovered as a mixture of oxides by roasting of solid residue coming from the leaching stage. Nearly 99% of zinc and 20% of manganese are extracted after 3 h, at 80°C with 10% w/v pulp density and 1.5 M sulphuric acid concentration. The leach liquor is purified by a selective precipitation of iron, whereas metallic impurities, such as copper, nickel and cadmium are removed by cementation with zinc powder. The solid residue of leaching is roasted for 30 min at 900 °C, removing graphite completely and obtaining a mixture of Mn3O 4 and Mn2O3 with 70% grade of Mn. After that a technical-economic assessment is carried out for a recycling plant with a feed capacity of 5000ty-1 of only alkaline and zinc-carbon batteries. This analysis shows the economic feasibility of that plant, supposing a battery price surcharge of 0.5€kg-1, with a return on investment of 34.5%, gross margin of 35.8% and around 3 years payback time. © 2008 Elsevier B.V. All rights reserved.","author":[{"dropping-particle":"","family":"Ferella","given":"Francesco","non-dropping-particle":"","parse-names":false,"suffix":""},{"dropping-particle":"","family":"Michelis","given":"Ida","non-dropping-particle":"De","parse-names":false,"suffix":""},{"dropping-particle":"","family":"Vegliò","given":"Francesco","non-dropping-particle":"","parse-names":false,"suffix":""}],"container-title":"Journal of Power Sources","id":"ITEM-1","issue":"2","issued":{"date-parts":[["2008","9","1"]]},"page":"805-811","publisher":"Elsevier","title":"Process for the recycling of alkaline and zinc–carbon spent batteries","type":"article-journal","volume":"183"},"uris":["http://www.mendeley.com/documents/?uuid=9664ac35-8815-338d-832e-a3592f1fcedd"]}],"mendeley":{"formattedCitation":"&lt;sup&gt;[310]&lt;/sup&gt;","plainTextFormattedCitation":"[310]","previouslyFormattedCitation":"&lt;sup&gt;[309]&lt;/sup&gt;"},"properties":{"noteIndex":0},"schema":"https://github.com/citation-style-language/schema/raw/master/csl-citation.json"}</w:instrText>
      </w:r>
      <w:r w:rsidR="0084194F" w:rsidRPr="003E0254">
        <w:fldChar w:fldCharType="separate"/>
      </w:r>
      <w:r w:rsidR="00500B8D" w:rsidRPr="003E0254">
        <w:rPr>
          <w:noProof/>
          <w:vertAlign w:val="superscript"/>
        </w:rPr>
        <w:t>[310]</w:t>
      </w:r>
      <w:r w:rsidR="0084194F" w:rsidRPr="003E0254">
        <w:fldChar w:fldCharType="end"/>
      </w:r>
      <w:r w:rsidR="0084194F" w:rsidRPr="003E0254">
        <w:t xml:space="preserve"> </w:t>
      </w:r>
      <w:r w:rsidRPr="003E0254">
        <w:t>The salts used in zinc-based batteries can also be easily separated and recycled through membrane distillation combined with crystallization, further enhancing the sustainability of the recycling process.</w:t>
      </w:r>
      <w:r w:rsidR="00105F34" w:rsidRPr="003E0254">
        <w:fldChar w:fldCharType="begin" w:fldLock="1"/>
      </w:r>
      <w:r w:rsidR="00500B8D" w:rsidRPr="003E0254">
        <w:instrText>ADDIN CSL_CITATION {"citationItems":[{"id":"ITEM-1","itemData":{"DOI":"10.3390/MEMBRANES10010019","ISBN":"8601060662768","ISSN":"2077-0375","abstract":"Tube membrane distillation (MD) integrated with a crystallization method is used in this study for the concurrent productions of pure water and salt crystals from concentrated single and mixed system solutions. The effects of concentrated Zn2+ and Ni2+ on performance in terms of membrane flux, permeate conductivity, crystal recovery rates, and crystal grades are investigated. Preferred crystallization and co-crystallization determinations were performed for mixed solutions. The results revealed that membrane fluxes remained at 2.61 kg·m?2·h?1 and showed a sharp decline until the saturation increased to 1.38. Water yield conductivity was below 10 ?s·cm?1. High concentrated zinc and nickel did not have a particular effect on the rejection of the membrane process. For the mixed solutions, membrane flux showed a sharp decrease due to the high saturation, while the conductivity of permeate remained below 10 ?s·cm?1 during the whole process. Co-crystallization has been proven to be a better method due to the existence of the SO42? common-ion effect. Membrane fouling studies have suggested that the membrane has excellent resistance to fouling from highly concentrated solutions. The MD integrated with crystallization proves to be a promising technology for treating highly concentrated heavy metal solutions.","author":[{"dropping-particle":"","family":"Lou","given":"Xiang Yang","non-dropping-particle":"","parse-names":false,"suffix":""},{"dropping-particle":"","family":"Ji","given":"Zhong Guang","non-dropping-particle":"","parse-names":false,"suffix":""},{"dropping-particle":"","family":"Xu","given":"Zheng","non-dropping-particle":"","parse-names":false,"suffix":""},{"dropping-particle":"","family":"Bai","given":"An Ping","non-dropping-particle":"","parse-names":false,"suffix":""},{"dropping-particle":"","family":"Resina-Gallego","given":"Montserrat","non-dropping-particle":"","parse-names":false,"suffix":""}],"container-title":"Membranes 2020, Vol. 10, Page 19","id":"ITEM-1","issue":"1","issued":{"date-parts":[["2020","1","20"]]},"page":"19","publisher":"Multidisciplinary Digital Publishing Institute","title":"Separation and Recycling of Concentrated Heavy Metal Wastewater by Tube Membrane Distillation Integrated with Crystallization","type":"article-journal","volume":"10"},"uris":["http://www.mendeley.com/documents/?uuid=75b9af5f-f2bd-395e-af2d-224f6344e2d1"]}],"mendeley":{"formattedCitation":"&lt;sup&gt;[311]&lt;/sup&gt;","plainTextFormattedCitation":"[311]","previouslyFormattedCitation":"&lt;sup&gt;[310]&lt;/sup&gt;"},"properties":{"noteIndex":0},"schema":"https://github.com/citation-style-language/schema/raw/master/csl-citation.json"}</w:instrText>
      </w:r>
      <w:r w:rsidR="00105F34" w:rsidRPr="003E0254">
        <w:fldChar w:fldCharType="separate"/>
      </w:r>
      <w:r w:rsidR="00500B8D" w:rsidRPr="003E0254">
        <w:rPr>
          <w:noProof/>
          <w:vertAlign w:val="superscript"/>
        </w:rPr>
        <w:t>[311]</w:t>
      </w:r>
      <w:r w:rsidR="00105F34" w:rsidRPr="003E0254">
        <w:fldChar w:fldCharType="end"/>
      </w:r>
      <w:r w:rsidR="007D529D" w:rsidRPr="003E0254">
        <w:t xml:space="preserve"> </w:t>
      </w:r>
      <w:r w:rsidRPr="003E0254">
        <w:t xml:space="preserve">However, the glass </w:t>
      </w:r>
      <w:r w:rsidR="007D529D" w:rsidRPr="003E0254">
        <w:t>fiber</w:t>
      </w:r>
      <w:r w:rsidRPr="003E0254">
        <w:t xml:space="preserve"> and </w:t>
      </w:r>
      <w:proofErr w:type="spellStart"/>
      <w:r w:rsidR="007D529D" w:rsidRPr="003E0254">
        <w:t>Nafion</w:t>
      </w:r>
      <w:proofErr w:type="spellEnd"/>
      <w:r w:rsidR="007D529D" w:rsidRPr="003E0254">
        <w:t xml:space="preserve">® </w:t>
      </w:r>
      <w:r w:rsidRPr="003E0254">
        <w:t>separators</w:t>
      </w:r>
      <w:r w:rsidR="007D529D" w:rsidRPr="003E0254">
        <w:t xml:space="preserve"> or membranes</w:t>
      </w:r>
      <w:r w:rsidRPr="003E0254">
        <w:t xml:space="preserve"> often utili</w:t>
      </w:r>
      <w:r w:rsidR="007D529D" w:rsidRPr="003E0254">
        <w:t>z</w:t>
      </w:r>
      <w:r w:rsidRPr="003E0254">
        <w:t xml:space="preserve">ed in </w:t>
      </w:r>
      <w:r w:rsidR="00EF1735" w:rsidRPr="003E0254">
        <w:t>ZMB</w:t>
      </w:r>
      <w:r w:rsidRPr="003E0254">
        <w:t>s are likely more challenging to recycle.</w:t>
      </w:r>
      <w:r w:rsidR="00081005" w:rsidRPr="003E0254">
        <w:t xml:space="preserve"> </w:t>
      </w:r>
      <w:r w:rsidRPr="003E0254">
        <w:t>Furthermore, recycling, particularly for Zn-air batteries, may be economically unattractive due to the low value of the raw materials used.</w:t>
      </w:r>
      <w:r w:rsidR="00105F34"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105F34" w:rsidRPr="003E0254">
        <w:fldChar w:fldCharType="separate"/>
      </w:r>
      <w:r w:rsidR="00A94915" w:rsidRPr="003E0254">
        <w:rPr>
          <w:noProof/>
          <w:vertAlign w:val="superscript"/>
        </w:rPr>
        <w:t>[20]</w:t>
      </w:r>
      <w:r w:rsidR="00105F34" w:rsidRPr="003E0254">
        <w:fldChar w:fldCharType="end"/>
      </w:r>
    </w:p>
    <w:p w14:paraId="784213E0" w14:textId="1DAD2DC7" w:rsidR="008C425A" w:rsidRPr="003E0254" w:rsidRDefault="008C425A" w:rsidP="008C425A">
      <w:pPr>
        <w:pBdr>
          <w:top w:val="none" w:sz="4" w:space="0" w:color="000000"/>
          <w:left w:val="none" w:sz="4" w:space="0" w:color="000000"/>
          <w:bottom w:val="none" w:sz="4" w:space="0" w:color="000000"/>
          <w:right w:val="none" w:sz="4" w:space="0" w:color="000000"/>
        </w:pBdr>
        <w:spacing w:line="276" w:lineRule="auto"/>
        <w:jc w:val="both"/>
      </w:pPr>
      <w:r w:rsidRPr="003E0254">
        <w:t>An additional benefit of zinc-based batteries is their high compatibility with established recycling processes. Specifically, zinc-based batteries can be integrated into current pyro- and hydrometallurgical recycling processes that have been established for primary zinc-carbon and alkaline batteries.</w:t>
      </w:r>
      <w:r w:rsidR="00105F34" w:rsidRPr="003E0254">
        <w:fldChar w:fldCharType="begin" w:fldLock="1"/>
      </w:r>
      <w:r w:rsidR="00500B8D" w:rsidRPr="003E0254">
        <w:instrText>ADDIN CSL_CITATION {"citationItems":[{"id":"ITEM-1","itemData":{"DOI":"10.1016/J.JOULE.2023.06.007","ISSN":"2542-4351","abstract":"The development of safe, inexpensive, and long service life stationary energy storage infrastructure is critical to support the decarbonization of the power and automotive sectors. While lithium-ion batteries are considered the industry standard of excellence for applications requiring high energy density, they may not be the best choice for all applications, particularly stationary energy storage. This study presents rechargeable Zn-ion batteries (ZIBs) as a promising technology primed for greater utilization in stationary applications. We consider the main benefits and challenges of ZIBs by comparing key characteristics such as cost, safety, environmental impact, and lifetime with pumped hydro, compressed air, lithium-ion, lead-acid, and redox-flow batteries. The low projected manufacturing costs, high safety, and excellent recyclability of ZIBs highlight the potential success of the technology. However, commercialization efforts are bottlenecked by active material dissolution, a lack of realistic performance demonstrations, and the need for manufacturing validation and cost analysis at the pilot scale. Considering recent advancements to lifetime and capacity of ZIBs, we propose a modified research approach including performance analysis of high-loading electrodes, in situ/operando characterization of reaction mechanisms, and standardized testing protocols and reporting to move beyond the benchtop battery and better facilitate ZIB commercialization.","author":[{"dropping-particle":"","family":"Gourley","given":"Storm W.D.","non-dropping-particle":"","parse-names":false,"suffix":""},{"dropping-particle":"","family":"Brown","given":"Ryan","non-dropping-particle":"","parse-names":false,"suffix":""},{"dropping-particle":"","family":"Adams","given":"Brian D.","non-dropping-particle":"","parse-names":false,"suffix":""},{"dropping-particle":"","family":"Higgins","given":"Drew","non-dropping-particle":"","parse-names":false,"suffix":""}],"container-title":"Joule","id":"ITEM-1","issue":"7","issued":{"date-parts":[["2023","7","19"]]},"page":"1415-1436","publisher":"Cell Press","title":"Zinc-ion batteries for stationary energy storage","type":"article-journal","volume":"7"},"uris":["http://www.mendeley.com/documents/?uuid=b2697a6d-5781-3b09-a2a4-7a9716579cd9"]},{"id":"ITEM-2","itemData":{"DOI":"10.1016/J.JPOWSOUR.2008.05.043","ISSN":"0378-7753","abstract":"In this paper a recycling process for the recovery of zinc and manganese from spent alkaline and zinc-carbon batteries is proposed. Laboratory tests are performed to obtain a purified pregnant solution from which metallic zinc (purity 99.6%) can be recovered by electrolysis; manganese is recovered as a mixture of oxides by roasting of solid residue coming from the leaching stage. Nearly 99% of zinc and 20% of manganese are extracted after 3 h, at 80°C with 10% w/v pulp density and 1.5 M sulphuric acid concentration. The leach liquor is purified by a selective precipitation of iron, whereas metallic impurities, such as copper, nickel and cadmium are removed by cementation with zinc powder. The solid residue of leaching is roasted for 30 min at 900 °C, removing graphite completely and obtaining a mixture of Mn3O 4 and Mn2O3 with 70% grade of Mn. After that a technical-economic assessment is carried out for a recycling plant with a feed capacity of 5000ty-1 of only alkaline and zinc-carbon batteries. This analysis shows the economic feasibility of that plant, supposing a battery price surcharge of 0.5€kg-1, with a return on investment of 34.5%, gross margin of 35.8% and around 3 years payback time. © 2008 Elsevier B.V. All rights reserved.","author":[{"dropping-particle":"","family":"Ferella","given":"Francesco","non-dropping-particle":"","parse-names":false,"suffix":""},{"dropping-particle":"","family":"Michelis","given":"Ida","non-dropping-particle":"De","parse-names":false,"suffix":""},{"dropping-particle":"","family":"Vegliò","given":"Francesco","non-dropping-particle":"","parse-names":false,"suffix":""}],"container-title":"Journal of Power Sources","id":"ITEM-2","issue":"2","issued":{"date-parts":[["2008","9","1"]]},"page":"805-811","publisher":"Elsevier","title":"Process for the recycling of alkaline and zinc–carbon spent batteries","type":"article-journal","volume":"183"},"uris":["http://www.mendeley.com/documents/?uuid=9664ac35-8815-338d-832e-a3592f1fcedd"]}],"mendeley":{"formattedCitation":"&lt;sup&gt;[19,310]&lt;/sup&gt;","plainTextFormattedCitation":"[19,310]","previouslyFormattedCitation":"&lt;sup&gt;[19,309]&lt;/sup&gt;"},"properties":{"noteIndex":0},"schema":"https://github.com/citation-style-language/schema/raw/master/csl-citation.json"}</w:instrText>
      </w:r>
      <w:r w:rsidR="00105F34" w:rsidRPr="003E0254">
        <w:fldChar w:fldCharType="separate"/>
      </w:r>
      <w:r w:rsidR="00500B8D" w:rsidRPr="003E0254">
        <w:rPr>
          <w:noProof/>
          <w:vertAlign w:val="superscript"/>
        </w:rPr>
        <w:t>[19,310]</w:t>
      </w:r>
      <w:r w:rsidR="00105F34" w:rsidRPr="003E0254">
        <w:fldChar w:fldCharType="end"/>
      </w:r>
      <w:r w:rsidRPr="003E0254">
        <w:t xml:space="preserve"> Research in this field is currently in its infancy, but it can be assumed that minor adjustments to the current recycling process for primary zinc batteries will be necessary.</w:t>
      </w:r>
      <w:r w:rsidR="00105F34" w:rsidRPr="003E0254">
        <w:t xml:space="preserve"> </w:t>
      </w:r>
      <w:r w:rsidRPr="003E0254">
        <w:t xml:space="preserve">It can therefore be assumed that the effort required for the recycling of zinc based </w:t>
      </w:r>
      <w:r w:rsidR="007D529D" w:rsidRPr="003E0254">
        <w:t>batteries</w:t>
      </w:r>
      <w:r w:rsidRPr="003E0254">
        <w:t xml:space="preserve"> is likely to be lower than for LIBs.</w:t>
      </w:r>
      <w:r w:rsidR="00105F34"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105F34" w:rsidRPr="003E0254">
        <w:fldChar w:fldCharType="separate"/>
      </w:r>
      <w:r w:rsidR="00A94915" w:rsidRPr="003E0254">
        <w:rPr>
          <w:noProof/>
          <w:vertAlign w:val="superscript"/>
        </w:rPr>
        <w:t>[20]</w:t>
      </w:r>
      <w:r w:rsidR="00105F34" w:rsidRPr="003E0254">
        <w:fldChar w:fldCharType="end"/>
      </w:r>
    </w:p>
    <w:p w14:paraId="1A01805F" w14:textId="788B8DA7" w:rsidR="008C425A" w:rsidRPr="003E0254" w:rsidRDefault="008C425A" w:rsidP="008C425A">
      <w:pPr>
        <w:pBdr>
          <w:top w:val="none" w:sz="4" w:space="0" w:color="000000"/>
          <w:left w:val="none" w:sz="4" w:space="0" w:color="000000"/>
          <w:bottom w:val="none" w:sz="4" w:space="0" w:color="000000"/>
          <w:right w:val="none" w:sz="4" w:space="0" w:color="000000"/>
        </w:pBdr>
        <w:spacing w:line="276" w:lineRule="auto"/>
        <w:jc w:val="both"/>
      </w:pPr>
      <w:r w:rsidRPr="003E0254">
        <w:t>In comparison, the purification steps required for regenerating the electrolyte of a</w:t>
      </w:r>
      <w:r w:rsidR="007D529D" w:rsidRPr="003E0254">
        <w:t>n</w:t>
      </w:r>
      <w:r w:rsidRPr="003E0254">
        <w:t xml:space="preserve"> end-of-life </w:t>
      </w:r>
      <w:r w:rsidR="009755F7" w:rsidRPr="003E0254">
        <w:t>redox flow</w:t>
      </w:r>
      <w:r w:rsidRPr="003E0254">
        <w:t xml:space="preserve"> battery are currently unknown, making an assessment difficult at this time. However, it can be assumed that the recycling process is generally feasible.</w:t>
      </w:r>
      <w:r w:rsidR="00105F34" w:rsidRPr="003E0254">
        <w:fldChar w:fldCharType="begin" w:fldLock="1"/>
      </w:r>
      <w:r w:rsidR="00500B8D" w:rsidRPr="003E0254">
        <w:instrText>ADDIN CSL_CITATION {"citationItems":[{"id":"ITEM-1","itemData":{"DOI":"10.1021/ACS.EST.8B02073/ASSET/IMAGES/LARGE/ES-2018-02073N_0006.JPEG","ISSN":"15205851","PMID":"30132664","abstract":"Batteries are one of the key technologies for flexible energy systems in the future. In particular, vanadium redox flow batteries (VRFB) are well suited to provide modular and scalable energy storage due to favorable characteristics such as long cycle life, easy scale-up, and good recyclability. However, there is a lack of detailed original studies on the potential environmental impacts of their production and operation. The present study fills this gap by providing a comprehensive life cycle assessment of a representative VRFB. Transparent and comprehensive inventory data are disclosed as a basis for further environmental studies. VRFBs are found to be promising regarding the assessed impact categories, especially at high energy-to-power (E/P) ratios. On the other hand, significant impacts are associated with the vanadium pentoxide production, which is why the origin and processing of the vanadium bearing ores are a key for further reducing the environmental impacts associated with the VRFB manufacturing. While the lower efficiency of the VRFB is a disadvantage in comparison to e.g. lithium-ion batteries (LIB), its recyclability is significantly higher. In this sense, the importance of taking a cradle-to-cradle life cycle perspective when comparing very different battery systems can be highlighted for further research on this topic.","author":[{"dropping-particle":"","family":"Weber","given":"Selina","non-dropping-particle":"","parse-names":false,"suffix":""},{"dropping-particle":"","family":"Peters","given":"Jens F.","non-dropping-particle":"","parse-names":false,"suffix":""},{"dropping-particle":"","family":"Baumann","given":"Manuel","non-dropping-particle":"","parse-names":false,"suffix":""},{"dropping-particle":"","family":"Weil","given":"Marcel","non-dropping-particle":"","parse-names":false,"suffix":""}],"container-title":"Environmental Science and Technology","id":"ITEM-1","issue":"18","issued":{"date-parts":[["2018","9","18"]]},"page":"10864-10873","publisher":"American Chemical Society","title":"Life Cycle Assessment of a Vanadium Redox Flow Battery","type":"article-journal","volume":"52"},"uris":["http://www.mendeley.com/documents/?uuid=12e469ea-9f8f-3e9b-ba8d-0a39b16580f7"]}],"mendeley":{"formattedCitation":"&lt;sup&gt;[312]&lt;/sup&gt;","plainTextFormattedCitation":"[312]","previouslyFormattedCitation":"&lt;sup&gt;[311]&lt;/sup&gt;"},"properties":{"noteIndex":0},"schema":"https://github.com/citation-style-language/schema/raw/master/csl-citation.json"}</w:instrText>
      </w:r>
      <w:r w:rsidR="00105F34" w:rsidRPr="003E0254">
        <w:fldChar w:fldCharType="separate"/>
      </w:r>
      <w:r w:rsidR="00500B8D" w:rsidRPr="003E0254">
        <w:rPr>
          <w:noProof/>
          <w:vertAlign w:val="superscript"/>
        </w:rPr>
        <w:t>[312]</w:t>
      </w:r>
      <w:r w:rsidR="00105F34" w:rsidRPr="003E0254">
        <w:fldChar w:fldCharType="end"/>
      </w:r>
      <w:r w:rsidR="00105F34" w:rsidRPr="003E0254">
        <w:t xml:space="preserve"> </w:t>
      </w:r>
      <w:r w:rsidR="006D0154" w:rsidRPr="003E0254">
        <w:t xml:space="preserve">It can also be assumed here that the existing zinc recycling capacities represent an advantage over vanadium. If the perspective is to switch to zinc-organic materials, it is questionable to what extent the organic </w:t>
      </w:r>
      <w:r w:rsidR="004052D0" w:rsidRPr="003E0254">
        <w:t>compounds</w:t>
      </w:r>
      <w:r w:rsidR="006D0154" w:rsidRPr="003E0254">
        <w:t xml:space="preserve"> can be recycled. </w:t>
      </w:r>
      <w:r w:rsidRPr="003E0254">
        <w:t xml:space="preserve">The recovery of the battery cell or stack is more complex, but since no rare or critical materials are involved, it is less </w:t>
      </w:r>
      <w:r w:rsidR="004B5EA1" w:rsidRPr="003E0254">
        <w:t>substantial</w:t>
      </w:r>
      <w:r w:rsidRPr="003E0254">
        <w:t>.</w:t>
      </w:r>
      <w:r w:rsidR="00105F34" w:rsidRPr="003E0254">
        <w:t xml:space="preserve"> </w:t>
      </w:r>
      <w:r w:rsidRPr="003E0254">
        <w:t>The components, such as tanks and tubes, can be recycled using standard methods for polymers and metals.</w:t>
      </w:r>
      <w:r w:rsidR="00105F34" w:rsidRPr="003E0254">
        <w:fldChar w:fldCharType="begin" w:fldLock="1"/>
      </w:r>
      <w:r w:rsidR="002F6D4C" w:rsidRPr="003E0254">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00105F34" w:rsidRPr="003E0254">
        <w:fldChar w:fldCharType="separate"/>
      </w:r>
      <w:r w:rsidR="00A94915" w:rsidRPr="003E0254">
        <w:rPr>
          <w:noProof/>
          <w:vertAlign w:val="superscript"/>
        </w:rPr>
        <w:t>[20]</w:t>
      </w:r>
      <w:r w:rsidR="00105F34" w:rsidRPr="003E0254">
        <w:fldChar w:fldCharType="end"/>
      </w:r>
    </w:p>
    <w:p w14:paraId="149D6B3A" w14:textId="77777777" w:rsidR="00B53C39" w:rsidRPr="003E0254" w:rsidRDefault="00B53C39">
      <w:pPr>
        <w:pBdr>
          <w:top w:val="none" w:sz="4" w:space="0" w:color="000000"/>
          <w:left w:val="none" w:sz="4" w:space="0" w:color="000000"/>
          <w:bottom w:val="none" w:sz="4" w:space="0" w:color="000000"/>
          <w:right w:val="none" w:sz="4" w:space="0" w:color="000000"/>
        </w:pBdr>
        <w:spacing w:line="276" w:lineRule="auto"/>
        <w:jc w:val="both"/>
      </w:pPr>
    </w:p>
    <w:p w14:paraId="5B7F61B8" w14:textId="63C6A497" w:rsidR="00B53C39" w:rsidRPr="003E0254" w:rsidRDefault="00DA35C9">
      <w:pPr>
        <w:pStyle w:val="berschrift2"/>
        <w:spacing w:line="276" w:lineRule="auto"/>
        <w:rPr>
          <w:b/>
          <w:bCs/>
        </w:rPr>
      </w:pPr>
      <w:r w:rsidRPr="003E0254">
        <w:rPr>
          <w:b/>
          <w:bCs/>
        </w:rPr>
        <w:t xml:space="preserve">4. Areas of </w:t>
      </w:r>
      <w:r w:rsidR="00E10CF3" w:rsidRPr="003E0254">
        <w:rPr>
          <w:b/>
          <w:bCs/>
        </w:rPr>
        <w:t>A</w:t>
      </w:r>
      <w:r w:rsidRPr="003E0254">
        <w:rPr>
          <w:b/>
          <w:bCs/>
        </w:rPr>
        <w:t xml:space="preserve">pplication and </w:t>
      </w:r>
      <w:r w:rsidR="00E10CF3" w:rsidRPr="003E0254">
        <w:rPr>
          <w:b/>
          <w:bCs/>
        </w:rPr>
        <w:t>M</w:t>
      </w:r>
      <w:r w:rsidRPr="003E0254">
        <w:rPr>
          <w:b/>
          <w:bCs/>
        </w:rPr>
        <w:t xml:space="preserve">arket </w:t>
      </w:r>
      <w:r w:rsidR="00E10CF3" w:rsidRPr="003E0254">
        <w:rPr>
          <w:b/>
          <w:bCs/>
        </w:rPr>
        <w:t>P</w:t>
      </w:r>
      <w:r w:rsidRPr="003E0254">
        <w:rPr>
          <w:b/>
          <w:bCs/>
        </w:rPr>
        <w:t xml:space="preserve">rospects </w:t>
      </w:r>
    </w:p>
    <w:p w14:paraId="30791F74" w14:textId="262E5CFB" w:rsidR="004413DE" w:rsidRPr="003E0254" w:rsidRDefault="004413DE" w:rsidP="005B3FF6">
      <w:pPr>
        <w:spacing w:line="276" w:lineRule="auto"/>
        <w:jc w:val="both"/>
      </w:pPr>
      <w:r w:rsidRPr="003E0254">
        <w:t>Currently, the only commercially available zinc-based battery technology is zinc-air</w:t>
      </w:r>
      <w:r w:rsidR="004052D0" w:rsidRPr="003E0254">
        <w:t xml:space="preserve"> in the form of</w:t>
      </w:r>
      <w:r w:rsidRPr="003E0254">
        <w:t xml:space="preserve"> primary cells. These batteries are ideal for applications that require long-term storage and operate at low current densities. Typical uses include medical devices, such as hearing aid batteries, barricade flashlights, fence controls, and emergency phones, particularly in areas without access to power lines.</w:t>
      </w:r>
      <w:r w:rsidR="00CC74D8" w:rsidRPr="003E0254">
        <w:fldChar w:fldCharType="begin" w:fldLock="1"/>
      </w:r>
      <w:r w:rsidR="00500B8D" w:rsidRPr="003E0254">
        <w:instrText>ADDIN CSL_CITATION {"citationItems":[{"id":"ITEM-1","itemData":{"DOI":"10.1002/14356007.O03_O11","ISSN":"1435-6007","author":[{"dropping-particle":"","family":"Spahrbier","given":"Dieter","non-dropping-particle":"","parse-names":false,"suffix":""}],"container-title":"Ullmann's Encyclopedia of Industrial Chemistry","id":"ITEM-1","issued":{"date-parts":[["2014","9","23"]]},"page":"1-53","publisher":"John Wiley &amp; Sons, Ltd","title":"Batteries, 2. Primary Batteries","type":"chapter"},"uris":["http://www.mendeley.com/documents/?uuid=9e065159-85b5-340a-9d91-1bfdf3ee4dcf"]}],"mendeley":{"formattedCitation":"&lt;sup&gt;[313]&lt;/sup&gt;","plainTextFormattedCitation":"[313]","previouslyFormattedCitation":"&lt;sup&gt;[312]&lt;/sup&gt;"},"properties":{"noteIndex":0},"schema":"https://github.com/citation-style-language/schema/raw/master/csl-citation.json"}</w:instrText>
      </w:r>
      <w:r w:rsidR="00CC74D8" w:rsidRPr="003E0254">
        <w:fldChar w:fldCharType="separate"/>
      </w:r>
      <w:r w:rsidR="00500B8D" w:rsidRPr="003E0254">
        <w:rPr>
          <w:noProof/>
          <w:vertAlign w:val="superscript"/>
        </w:rPr>
        <w:t>[313]</w:t>
      </w:r>
      <w:r w:rsidR="00CC74D8" w:rsidRPr="003E0254">
        <w:fldChar w:fldCharType="end"/>
      </w:r>
      <w:r w:rsidRPr="003E0254">
        <w:t xml:space="preserve"> Common forms of these batteries include cylindrical, prismatic, and button cells. Standardized large storage cells consist of models like the AR40 and 5AR40 (7 V, 85 Ah), as well as the 6AS4 and 6AS6 (5.1 V, 130 Ah)</w:t>
      </w:r>
      <w:r w:rsidR="005B3FF6" w:rsidRPr="003E0254">
        <w:t>.</w:t>
      </w:r>
      <w:r w:rsidR="00CC74D8" w:rsidRPr="003E0254">
        <w:fldChar w:fldCharType="begin" w:fldLock="1"/>
      </w:r>
      <w:r w:rsidR="00500B8D" w:rsidRPr="003E0254">
        <w:instrText>ADDIN CSL_CITATION {"citationItems":[{"id":"ITEM-1","itemData":{"DOI":"10.1002/14356007.O03_O11","ISSN":"1435-6007","author":[{"dropping-particle":"","family":"Spahrbier","given":"Dieter","non-dropping-particle":"","parse-names":false,"suffix":""}],"container-title":"Ullmann's Encyclopedia of Industrial Chemistry","id":"ITEM-1","issued":{"date-parts":[["2014","9","23"]]},"page":"1-53","publisher":"John Wiley &amp; Sons, Ltd","title":"Batteries, 2. Primary Batteries","type":"chapter"},"uris":["http://www.mendeley.com/documents/?uuid=9e065159-85b5-340a-9d91-1bfdf3ee4dcf"]}],"mendeley":{"formattedCitation":"&lt;sup&gt;[313]&lt;/sup&gt;","plainTextFormattedCitation":"[313]","previouslyFormattedCitation":"&lt;sup&gt;[312]&lt;/sup&gt;"},"properties":{"noteIndex":0},"schema":"https://github.com/citation-style-language/schema/raw/master/csl-citation.json"}</w:instrText>
      </w:r>
      <w:r w:rsidR="00CC74D8" w:rsidRPr="003E0254">
        <w:fldChar w:fldCharType="separate"/>
      </w:r>
      <w:r w:rsidR="00500B8D" w:rsidRPr="003E0254">
        <w:rPr>
          <w:noProof/>
          <w:vertAlign w:val="superscript"/>
        </w:rPr>
        <w:t>[313]</w:t>
      </w:r>
      <w:r w:rsidR="00CC74D8" w:rsidRPr="003E0254">
        <w:fldChar w:fldCharType="end"/>
      </w:r>
      <w:r w:rsidR="005B3FF6" w:rsidRPr="003E0254">
        <w:t xml:space="preserve"> </w:t>
      </w:r>
      <w:r w:rsidRPr="003E0254">
        <w:t xml:space="preserve">Since </w:t>
      </w:r>
      <w:r w:rsidRPr="003E0254">
        <w:lastRenderedPageBreak/>
        <w:t xml:space="preserve">these batteries are only available as primary cells, current research is focused on </w:t>
      </w:r>
      <w:r w:rsidR="006D0154" w:rsidRPr="003E0254">
        <w:t>improving</w:t>
      </w:r>
      <w:r w:rsidRPr="003E0254">
        <w:t xml:space="preserve"> </w:t>
      </w:r>
      <w:r w:rsidR="006D0154" w:rsidRPr="003E0254">
        <w:t xml:space="preserve">cyclability and energy densities </w:t>
      </w:r>
      <w:r w:rsidRPr="003E0254">
        <w:t xml:space="preserve">to develop viable secondary (rechargeable) cells. </w:t>
      </w:r>
    </w:p>
    <w:p w14:paraId="376DB110" w14:textId="5A84ABCF" w:rsidR="00777163" w:rsidRPr="003E0254" w:rsidRDefault="004052D0" w:rsidP="005B3FF6">
      <w:pPr>
        <w:spacing w:line="276" w:lineRule="auto"/>
        <w:jc w:val="both"/>
      </w:pPr>
      <w:r w:rsidRPr="003E0254">
        <w:t>Zinc-metal battery technology represents t</w:t>
      </w:r>
      <w:r w:rsidR="005B3FF6" w:rsidRPr="003E0254">
        <w:t>he cell system</w:t>
      </w:r>
      <w:r w:rsidRPr="003E0254">
        <w:t xml:space="preserve"> that</w:t>
      </w:r>
      <w:r w:rsidR="005B3FF6" w:rsidRPr="003E0254">
        <w:t xml:space="preserve"> is clearly advanced in terms of secondary cell </w:t>
      </w:r>
      <w:r w:rsidR="00F120E2" w:rsidRPr="003E0254">
        <w:t>operation</w:t>
      </w:r>
      <w:r w:rsidR="005B3FF6" w:rsidRPr="003E0254">
        <w:t xml:space="preserve">. </w:t>
      </w:r>
      <w:r w:rsidR="00777163" w:rsidRPr="003E0254">
        <w:t xml:space="preserve">Ongoing research efforts aim to create a resource-efficient electrolyte that can also help </w:t>
      </w:r>
      <w:r w:rsidR="007D46AB" w:rsidRPr="003E0254">
        <w:t xml:space="preserve">in </w:t>
      </w:r>
      <w:r w:rsidR="00777163" w:rsidRPr="003E0254">
        <w:t>control</w:t>
      </w:r>
      <w:r w:rsidR="007D46AB" w:rsidRPr="003E0254">
        <w:t>ling the</w:t>
      </w:r>
      <w:r w:rsidR="00777163" w:rsidRPr="003E0254">
        <w:t xml:space="preserve"> dendrite growth on the anode. The high-capacity cathode intercalation materials and processing technologies from lithium-ion research can be applied here. As a result, the market entry for </w:t>
      </w:r>
      <w:r w:rsidR="00A439A1" w:rsidRPr="003E0254">
        <w:t>zinc-metal</w:t>
      </w:r>
      <w:r w:rsidR="00777163" w:rsidRPr="003E0254">
        <w:t xml:space="preserve"> batteries is expected soon at relevant scales for stationary and industrial applications.</w:t>
      </w:r>
    </w:p>
    <w:p w14:paraId="6AE981D9" w14:textId="194A61E8" w:rsidR="007B617B" w:rsidRPr="003E0254" w:rsidRDefault="006D0154" w:rsidP="007B617B">
      <w:pPr>
        <w:spacing w:line="276" w:lineRule="auto"/>
        <w:jc w:val="both"/>
      </w:pPr>
      <w:r w:rsidRPr="003E0254">
        <w:t xml:space="preserve">The main advantages of </w:t>
      </w:r>
      <w:r w:rsidR="00A439A1" w:rsidRPr="003E0254">
        <w:t>zinc-metal</w:t>
      </w:r>
      <w:r w:rsidRPr="003E0254">
        <w:t xml:space="preserve"> technology compared to lithium-ion include affordable raw-materials and established recycling routes. This will lead to reduced costs per kilo</w:t>
      </w:r>
      <w:r w:rsidR="004052D0" w:rsidRPr="003E0254">
        <w:t xml:space="preserve"> </w:t>
      </w:r>
      <w:r w:rsidRPr="003E0254">
        <w:t>watt-hour (kWh) of the cells, which is crucial for stationary storage</w:t>
      </w:r>
      <w:r w:rsidR="007B617B" w:rsidRPr="003E0254">
        <w:t xml:space="preserve">. By improving cycle life with newly developed electrolyte additives, the application of </w:t>
      </w:r>
      <w:r w:rsidR="00A439A1" w:rsidRPr="003E0254">
        <w:t>zinc-metal</w:t>
      </w:r>
      <w:r w:rsidR="007B617B" w:rsidRPr="003E0254">
        <w:t xml:space="preserve"> technology in stationary energy storage is anticipated to increase </w:t>
      </w:r>
      <w:r w:rsidR="004B5EA1" w:rsidRPr="003E0254">
        <w:t>substantially</w:t>
      </w:r>
      <w:r w:rsidR="007B617B" w:rsidRPr="003E0254">
        <w:t>. Th</w:t>
      </w:r>
      <w:r w:rsidR="00C40C4E" w:rsidRPr="003E0254">
        <w:t>e</w:t>
      </w:r>
      <w:r w:rsidR="007B617B" w:rsidRPr="003E0254">
        <w:t xml:space="preserve"> </w:t>
      </w:r>
      <w:r w:rsidR="00C40C4E" w:rsidRPr="003E0254">
        <w:t xml:space="preserve">current state of research and development, along with </w:t>
      </w:r>
      <w:r w:rsidR="004052D0" w:rsidRPr="003E0254">
        <w:t xml:space="preserve">the perceived </w:t>
      </w:r>
      <w:r w:rsidR="00C40C4E" w:rsidRPr="003E0254">
        <w:t>future potential,</w:t>
      </w:r>
      <w:r w:rsidR="007B617B" w:rsidRPr="003E0254">
        <w:t xml:space="preserve"> </w:t>
      </w:r>
      <w:r w:rsidR="00C40C4E" w:rsidRPr="003E0254">
        <w:t>is</w:t>
      </w:r>
      <w:r w:rsidR="007B617B" w:rsidRPr="003E0254">
        <w:t xml:space="preserve"> illustrated in </w:t>
      </w:r>
      <w:r w:rsidR="0060471C" w:rsidRPr="003E0254">
        <w:t>Figure 1</w:t>
      </w:r>
      <w:r w:rsidR="004F2D1D" w:rsidRPr="003E0254">
        <w:t>4</w:t>
      </w:r>
      <w:r w:rsidR="007B617B" w:rsidRPr="003E0254">
        <w:t>.</w:t>
      </w:r>
    </w:p>
    <w:p w14:paraId="10D3B676" w14:textId="77777777" w:rsidR="00EB6F14" w:rsidRPr="003E0254" w:rsidRDefault="00EB6F14" w:rsidP="00EB6F14">
      <w:pPr>
        <w:spacing w:line="276" w:lineRule="auto"/>
        <w:jc w:val="both"/>
      </w:pPr>
      <w:r w:rsidRPr="003E0254">
        <w:t>The next anticipated advancement in market entry is the zinc-air secondary cell technology. Similarly to the zinc-metal system, research on the zinc anode primarily focuses on controlling dendrite growth. However, a notable research effort in recent years has been directed towards moving the technology beyond the conventional primary cells that use alkaline electrolytes. This involves developing new bifunctional cathodes. Combining the efficiencies of the newly explored near-neutral battery systems with more stable air electrodes can help to bring this technology to market. It is evident that scaling both existing and new developments is essential for the future advancement of this technology, particularly for stationary storage and aviation applications, to meet projected goals.</w:t>
      </w:r>
    </w:p>
    <w:p w14:paraId="1D793F25" w14:textId="77777777" w:rsidR="00AD1450" w:rsidRPr="003E0254" w:rsidRDefault="00AD1450" w:rsidP="00AD1450">
      <w:pPr>
        <w:spacing w:line="276" w:lineRule="auto"/>
        <w:jc w:val="both"/>
      </w:pPr>
      <w:r w:rsidRPr="003E0254">
        <w:t>The following Figure 15 outlines the commonly discussed applications for zinc-air batteries and addresses open research questions. These include developing strategies to prevent dendrite growth and the need for stable bifunctional catalysts and gas diffusion electrodes. The power density of these batteries is heavily influenced by the air electrode, which appears to be a bottleneck for high-power applications. Therefore, these cells are primarily anticipated to be used in stationary energy storage.</w:t>
      </w:r>
    </w:p>
    <w:p w14:paraId="4F78304E" w14:textId="77777777" w:rsidR="00AD1450" w:rsidRPr="003E0254" w:rsidRDefault="00AD1450" w:rsidP="00AD1450">
      <w:pPr>
        <w:spacing w:line="276" w:lineRule="auto"/>
        <w:jc w:val="both"/>
      </w:pPr>
      <w:r w:rsidRPr="003E0254">
        <w:t>The limitations of zinc-air battery technology primarily stem from zinc corrosion, solubility of zinc ion species in alkaline environments, and electrolyte issues e.g. dry out due to environmental conditions. To address this issue, many researchers have explored the use of pumped electrolyte cells, which can help controlling corrosion and prevent the unwanted segregation of zinc species. The development of zinc-redox flow batteries is a promising next step for these pumped alkaline zinc-air systems. This type of battery separates the storage volume from the power density.</w:t>
      </w:r>
    </w:p>
    <w:p w14:paraId="531968BB" w14:textId="77777777" w:rsidR="00EB6F14" w:rsidRPr="003E0254" w:rsidRDefault="00EB6F14" w:rsidP="007B617B">
      <w:pP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5B3FF6" w:rsidRPr="003E0254" w14:paraId="7DE9012A" w14:textId="77777777" w:rsidTr="00C40C4E">
        <w:tc>
          <w:tcPr>
            <w:tcW w:w="9360" w:type="dxa"/>
          </w:tcPr>
          <w:p w14:paraId="6B0019C1" w14:textId="5CD405B3" w:rsidR="005B3FF6" w:rsidRPr="003E0254" w:rsidRDefault="0099018D" w:rsidP="005B3FF6">
            <w:pPr>
              <w:keepNext/>
              <w:spacing w:line="276" w:lineRule="auto"/>
            </w:pPr>
            <w:r w:rsidRPr="003E0254">
              <w:rPr>
                <w:noProof/>
              </w:rPr>
              <w:lastRenderedPageBreak/>
              <w:drawing>
                <wp:inline distT="0" distB="0" distL="0" distR="0" wp14:anchorId="26FD0671" wp14:editId="272F4E1A">
                  <wp:extent cx="5834380" cy="3438525"/>
                  <wp:effectExtent l="0" t="0" r="0" b="0"/>
                  <wp:docPr id="3810066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834380" cy="3438525"/>
                          </a:xfrm>
                          <a:prstGeom prst="rect">
                            <a:avLst/>
                          </a:prstGeom>
                          <a:noFill/>
                        </pic:spPr>
                      </pic:pic>
                    </a:graphicData>
                  </a:graphic>
                </wp:inline>
              </w:drawing>
            </w:r>
          </w:p>
        </w:tc>
      </w:tr>
    </w:tbl>
    <w:p w14:paraId="4855F6B8" w14:textId="40991DA9" w:rsidR="005B3FF6" w:rsidRPr="003E0254" w:rsidRDefault="005B3FF6" w:rsidP="005B3FF6">
      <w:pPr>
        <w:pStyle w:val="Beschriftung"/>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14</w:t>
      </w:r>
      <w:r w:rsidR="0054077B" w:rsidRPr="003E0254">
        <w:rPr>
          <w:noProof/>
        </w:rPr>
        <w:fldChar w:fldCharType="end"/>
      </w:r>
      <w:r w:rsidRPr="003E0254">
        <w:t xml:space="preserve">: </w:t>
      </w:r>
      <w:r w:rsidR="00CC74D8" w:rsidRPr="003E0254">
        <w:t>R</w:t>
      </w:r>
      <w:r w:rsidRPr="003E0254">
        <w:t xml:space="preserve">oadmap for implementation of </w:t>
      </w:r>
      <w:r w:rsidR="00A439A1" w:rsidRPr="003E0254">
        <w:t>zinc-metal</w:t>
      </w:r>
      <w:r w:rsidRPr="003E0254">
        <w:t xml:space="preserve"> batterie</w:t>
      </w:r>
      <w:r w:rsidR="00857576" w:rsidRPr="003E0254">
        <w:t>s</w:t>
      </w:r>
      <w:r w:rsidR="00D3534B" w:rsidRPr="003E0254">
        <w:t>.</w:t>
      </w:r>
    </w:p>
    <w:p w14:paraId="46283FAB" w14:textId="77777777" w:rsidR="005B3FF6" w:rsidRPr="003E0254" w:rsidRDefault="005B3FF6">
      <w:pPr>
        <w:spacing w:line="276" w:lineRule="auto"/>
      </w:pPr>
    </w:p>
    <w:p w14:paraId="0485D5AC" w14:textId="77777777" w:rsidR="00EB6F14" w:rsidRPr="003E0254" w:rsidRDefault="00EB6F14" w:rsidP="00EB6F14">
      <w:pPr>
        <w:spacing w:line="276" w:lineRule="auto"/>
        <w:jc w:val="both"/>
      </w:pPr>
      <w:r w:rsidRPr="003E0254">
        <w:t>In contrast to conventional intercalation or conversion cells, the power density of pumped redox flow batteries does not scale with the stored energy as the energy is stored in different oxidation states of ions diluted within the electrolyte. This characteristic makes flow batteries particularly advantageous for applications where the size of the battery is less critical, such as stationary storage and marine vessels. Currently, most flow batteries rely on vanadium, which poses challenges due to its high toxicity and cost.</w:t>
      </w:r>
    </w:p>
    <w:p w14:paraId="0A8F1367" w14:textId="77777777" w:rsidR="00AD1450" w:rsidRPr="003E0254" w:rsidRDefault="00AD1450" w:rsidP="00AD1450">
      <w:pPr>
        <w:spacing w:line="276" w:lineRule="auto"/>
        <w:jc w:val="both"/>
      </w:pPr>
      <w:r w:rsidRPr="003E0254">
        <w:t xml:space="preserve">In contrast, the next generation of flow batteries based on zinc can adapt advancements from zinc-metal and zinc-air technologies for anode development. Additionally, the recycling processes for these batteries can be integrated into existing infrastructures. Zinc-based redox flow technology is a promising solution for coupling storage with renewable energy production that is dependent on external factors such as sun and wind. Such battery systems offer better long-term storage capabilities than lithium-ion batteries. However, they cannot be easily adapted to fast transient operating modes, which makes them ideal candidates for storing wind energy during periods of low wind, as an example. Figure 16 presents the current developments and application directions for zinc flow batteries. </w:t>
      </w:r>
    </w:p>
    <w:p w14:paraId="2FF2A41F" w14:textId="77777777" w:rsidR="00AD1450" w:rsidRPr="003E0254" w:rsidRDefault="00AD1450" w:rsidP="00EB6F14">
      <w:pPr>
        <w:spacing w:line="276" w:lineRule="auto"/>
        <w:jc w:val="both"/>
      </w:pPr>
    </w:p>
    <w:p w14:paraId="44B50854" w14:textId="77777777" w:rsidR="007B617B" w:rsidRPr="003E0254" w:rsidRDefault="007B617B" w:rsidP="007B617B">
      <w:pPr>
        <w:spacing w:line="276" w:lineRule="auto"/>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5B3FF6" w:rsidRPr="003E0254" w14:paraId="286D7949" w14:textId="77777777" w:rsidTr="00FC3B31">
        <w:tc>
          <w:tcPr>
            <w:tcW w:w="9350" w:type="dxa"/>
          </w:tcPr>
          <w:p w14:paraId="1844F4BB" w14:textId="55059378" w:rsidR="005B3FF6" w:rsidRPr="003E0254" w:rsidRDefault="0099018D" w:rsidP="00CC74D8">
            <w:pPr>
              <w:keepNext/>
              <w:spacing w:line="276" w:lineRule="auto"/>
            </w:pPr>
            <w:r w:rsidRPr="003E0254">
              <w:rPr>
                <w:noProof/>
              </w:rPr>
              <w:lastRenderedPageBreak/>
              <w:drawing>
                <wp:inline distT="0" distB="0" distL="0" distR="0" wp14:anchorId="7C56C8B3" wp14:editId="16765773">
                  <wp:extent cx="5675630" cy="3243580"/>
                  <wp:effectExtent l="0" t="0" r="1270" b="0"/>
                  <wp:docPr id="15370063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75630" cy="3243580"/>
                          </a:xfrm>
                          <a:prstGeom prst="rect">
                            <a:avLst/>
                          </a:prstGeom>
                          <a:noFill/>
                        </pic:spPr>
                      </pic:pic>
                    </a:graphicData>
                  </a:graphic>
                </wp:inline>
              </w:drawing>
            </w:r>
          </w:p>
        </w:tc>
      </w:tr>
    </w:tbl>
    <w:p w14:paraId="67C18E31" w14:textId="1F2718EE" w:rsidR="005B3FF6" w:rsidRPr="003E0254" w:rsidRDefault="00CC74D8" w:rsidP="00CC74D8">
      <w:pPr>
        <w:pStyle w:val="Beschriftung"/>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15</w:t>
      </w:r>
      <w:r w:rsidR="0054077B" w:rsidRPr="003E0254">
        <w:rPr>
          <w:noProof/>
        </w:rPr>
        <w:fldChar w:fldCharType="end"/>
      </w:r>
      <w:r w:rsidRPr="003E0254">
        <w:t xml:space="preserve">: </w:t>
      </w:r>
      <w:r w:rsidR="00D3534B" w:rsidRPr="003E0254">
        <w:t xml:space="preserve">Roadmap for the development of </w:t>
      </w:r>
      <w:r w:rsidR="00FC3B31" w:rsidRPr="003E0254">
        <w:t>zinc</w:t>
      </w:r>
      <w:r w:rsidRPr="003E0254">
        <w:t>-air batteries</w:t>
      </w:r>
      <w:r w:rsidR="00EA0685" w:rsidRPr="003E0254">
        <w:t>.</w:t>
      </w:r>
      <w:r w:rsidRPr="003E0254">
        <w:t xml:space="preserve"> </w:t>
      </w:r>
    </w:p>
    <w:p w14:paraId="453289E9" w14:textId="77777777" w:rsidR="005B3FF6" w:rsidRPr="003E0254" w:rsidRDefault="005B3FF6">
      <w:pPr>
        <w:spacing w:line="276" w:lineRule="auto"/>
      </w:pPr>
    </w:p>
    <w:p w14:paraId="0DAC4853" w14:textId="30CB2113" w:rsidR="00EB6F14" w:rsidRPr="003E0254" w:rsidRDefault="00EB6F14" w:rsidP="00EB6F14">
      <w:pPr>
        <w:pBdr>
          <w:top w:val="none" w:sz="4" w:space="0" w:color="000000"/>
          <w:left w:val="none" w:sz="4" w:space="0" w:color="000000"/>
          <w:bottom w:val="none" w:sz="4" w:space="0" w:color="000000"/>
          <w:right w:val="none" w:sz="4" w:space="0" w:color="000000"/>
        </w:pBdr>
        <w:spacing w:line="276" w:lineRule="auto"/>
        <w:jc w:val="both"/>
      </w:pPr>
      <w:r w:rsidRPr="003E0254">
        <w:t>In summary, zinc-based batteries offer several advantages due to the low material costs and non-toxic nature of zinc and many of their components. These factors are expected to support the implementation of these battery technologies in the near future. The primary application for these batteries appears to be stationary energy storage, where the price per stored kWh will ultimately determine which technology will be adopted. Zinc-based batteries, particularly in the forms of zinc-metal, zinc-air, and zinc redox flow technologies, are well-suited for stationary energy storage. The global market for these applications is projected to nearly double between 2023 and 2031, leading to an increased demand for cost-effective and stable energy storage solutions (see Chapter 3.1). The European market is expected to follow a similar growth trajectory, maintaining a substantial share of the global market.</w:t>
      </w:r>
      <w:r w:rsidRPr="003E0254">
        <w:fldChar w:fldCharType="begin" w:fldLock="1"/>
      </w:r>
      <w:r w:rsidR="00500B8D" w:rsidRPr="003E0254">
        <w:instrText>ADDIN CSL_CITATION {"citationItems":[{"id":"ITEM-1","itemData":{"URL":"https://www.statista.com/statistics/1457926/global-energy-storage-market-size-by-region-forecast/","accessed":{"date-parts":[["2025","3","10"]]},"id":"ITEM-1","issued":{"date-parts":[["0"]]},"title":"Global energy storage market size by region 2031 | Statista","type":"webpage"},"uris":["http://www.mendeley.com/documents/?uuid=80f9fb26-9e0d-39bb-b0f0-a442eb8b00eb"]},{"id":"ITEM-2","itemData":{"author":[{"dropping-particle":"","family":"Tepe","given":"Benedikt","non-dropping-particle":"","parse-names":false,"suffix":""},{"dropping-particle":"","family":"Collath","given":"Nils","non-dropping-particle":"","parse-names":false,"suffix":""},{"dropping-particle":"","family":"Hesse","given":"Holger","non-dropping-particle":"","parse-names":false,"suffix":""},{"dropping-particle":"","family":"Rosenthal","given":"Markus","non-dropping-particle":"","parse-names":false,"suffix":""},{"dropping-particle":"","family":"Windelen","given":"Urban","non-dropping-particle":"","parse-names":false,"suffix":""}],"container-title":"Energiewirtschaftliche Tagesfragen 71. Jg.","id":"ITEM-2","issued":{"date-parts":[["2021"]]},"page":"3","title":"Stationäre Batteriespeicher in Deutschland: Aktuelle Entwicklungen und Trends in 2021","type":"article-journal"},"uris":["http://www.mendeley.com/documents/?uuid=83b19741-81a8-340a-b650-5b97fb0401ca"]}],"mendeley":{"formattedCitation":"&lt;sup&gt;[295,296]&lt;/sup&gt;","plainTextFormattedCitation":"[295,296]","previouslyFormattedCitation":"&lt;sup&gt;[294,295]&lt;/sup&gt;"},"properties":{"noteIndex":0},"schema":"https://github.com/citation-style-language/schema/raw/master/csl-citation.json"}</w:instrText>
      </w:r>
      <w:r w:rsidRPr="003E0254">
        <w:fldChar w:fldCharType="separate"/>
      </w:r>
      <w:r w:rsidR="00500B8D" w:rsidRPr="003E0254">
        <w:rPr>
          <w:noProof/>
          <w:vertAlign w:val="superscript"/>
        </w:rPr>
        <w:t>[295,296]</w:t>
      </w:r>
      <w:r w:rsidRPr="003E0254">
        <w:fldChar w:fldCharType="end"/>
      </w:r>
    </w:p>
    <w:p w14:paraId="3CC465DA" w14:textId="77777777" w:rsidR="00AD1450" w:rsidRPr="003E0254" w:rsidRDefault="00AD1450" w:rsidP="00AD1450">
      <w:pPr>
        <w:pBdr>
          <w:top w:val="none" w:sz="4" w:space="0" w:color="000000"/>
          <w:left w:val="none" w:sz="4" w:space="0" w:color="000000"/>
          <w:bottom w:val="none" w:sz="4" w:space="0" w:color="000000"/>
          <w:right w:val="none" w:sz="4" w:space="0" w:color="000000"/>
        </w:pBdr>
        <w:spacing w:line="276" w:lineRule="auto"/>
        <w:jc w:val="both"/>
      </w:pPr>
      <w:r w:rsidRPr="003E0254">
        <w:t>To meet the increasing demand for stationary energy storage through electrochemical solutions, a substantial need for battery materials will arise. Relying solely on LIBs and vanadium redox flow batteries may lead to supply shortages and increased price volatility, ultimately hindering progress. Additionally, focusing on these technologies exclusively could deplete economically viable lithium reserves over the long term. Moreover, a substantial amount of material will accumulate after the decommissioning of stationary storage units, creating a need for recycling as part of a circular economy. Currently, the recycling capacity for lithium and vanadium at this scale does not exist and would have to be developed from scratch. In contrast, zinc battery technologies may help address these challenges because global zinc reserves are considerably more accessible, reducing the risk of future supply shortages and price volatilities. Furthermore, an established recycling system for zinc used in primary batteries already exists and could be expanded in the future. The outlook for zinc-based battery technologies is promising due to their cost advantages, resource accessibility, and simpler recyclability compared to lithium-ion and vanadium redox flow batteries.</w:t>
      </w:r>
    </w:p>
    <w:p w14:paraId="1D136F94" w14:textId="77777777" w:rsidR="00EB6F14" w:rsidRPr="003E0254" w:rsidRDefault="00EB6F14" w:rsidP="007A54D8">
      <w:pPr>
        <w:spacing w:line="276" w:lineRule="auto"/>
        <w:jc w:val="both"/>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CC74D8" w:rsidRPr="003E0254" w14:paraId="320A9679" w14:textId="77777777" w:rsidTr="00B767A8">
        <w:tc>
          <w:tcPr>
            <w:tcW w:w="9360" w:type="dxa"/>
          </w:tcPr>
          <w:p w14:paraId="0EC8379F" w14:textId="05988082" w:rsidR="00CC74D8" w:rsidRPr="003E0254" w:rsidRDefault="0099018D" w:rsidP="00CC74D8">
            <w:pPr>
              <w:keepNext/>
              <w:spacing w:line="276" w:lineRule="auto"/>
            </w:pPr>
            <w:r w:rsidRPr="003E0254">
              <w:rPr>
                <w:noProof/>
              </w:rPr>
              <w:drawing>
                <wp:inline distT="0" distB="0" distL="0" distR="0" wp14:anchorId="271E5740" wp14:editId="2715ACF2">
                  <wp:extent cx="5712460" cy="3274060"/>
                  <wp:effectExtent l="0" t="0" r="2540" b="0"/>
                  <wp:docPr id="16352866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12460" cy="3274060"/>
                          </a:xfrm>
                          <a:prstGeom prst="rect">
                            <a:avLst/>
                          </a:prstGeom>
                          <a:noFill/>
                        </pic:spPr>
                      </pic:pic>
                    </a:graphicData>
                  </a:graphic>
                </wp:inline>
              </w:drawing>
            </w:r>
          </w:p>
        </w:tc>
      </w:tr>
    </w:tbl>
    <w:p w14:paraId="2FA15735" w14:textId="2E673319" w:rsidR="005B3FF6" w:rsidRPr="003E0254" w:rsidRDefault="00CC74D8" w:rsidP="00CC74D8">
      <w:pPr>
        <w:pStyle w:val="Beschriftung"/>
      </w:pPr>
      <w:r w:rsidRPr="003E0254">
        <w:t xml:space="preserve">Figure </w:t>
      </w:r>
      <w:r w:rsidR="0054077B" w:rsidRPr="003E0254">
        <w:fldChar w:fldCharType="begin"/>
      </w:r>
      <w:r w:rsidR="0054077B" w:rsidRPr="003E0254">
        <w:instrText xml:space="preserve"> SEQ Figure \* ARABIC </w:instrText>
      </w:r>
      <w:r w:rsidR="0054077B" w:rsidRPr="003E0254">
        <w:fldChar w:fldCharType="separate"/>
      </w:r>
      <w:r w:rsidR="00481F8C" w:rsidRPr="003E0254">
        <w:rPr>
          <w:noProof/>
        </w:rPr>
        <w:t>16</w:t>
      </w:r>
      <w:r w:rsidR="0054077B" w:rsidRPr="003E0254">
        <w:rPr>
          <w:noProof/>
        </w:rPr>
        <w:fldChar w:fldCharType="end"/>
      </w:r>
      <w:r w:rsidRPr="003E0254">
        <w:t xml:space="preserve">: </w:t>
      </w:r>
      <w:r w:rsidR="00D3534B" w:rsidRPr="003E0254">
        <w:t>R</w:t>
      </w:r>
      <w:r w:rsidRPr="003E0254">
        <w:t xml:space="preserve">oadmap for the </w:t>
      </w:r>
      <w:r w:rsidR="00D3534B" w:rsidRPr="003E0254">
        <w:t>development</w:t>
      </w:r>
      <w:r w:rsidRPr="003E0254">
        <w:t xml:space="preserve"> of zinc </w:t>
      </w:r>
      <w:r w:rsidR="009755F7" w:rsidRPr="003E0254">
        <w:t>redox flow</w:t>
      </w:r>
      <w:r w:rsidRPr="003E0254">
        <w:t xml:space="preserve"> batteries</w:t>
      </w:r>
      <w:r w:rsidR="00EA0685" w:rsidRPr="003E0254">
        <w:t>.</w:t>
      </w:r>
    </w:p>
    <w:p w14:paraId="2D4DF6E3" w14:textId="77777777" w:rsidR="00CC74D8" w:rsidRPr="003E0254" w:rsidRDefault="00CC74D8">
      <w:pPr>
        <w:spacing w:line="276" w:lineRule="auto"/>
      </w:pPr>
    </w:p>
    <w:p w14:paraId="76D91BFC" w14:textId="7EE6B13B" w:rsidR="00CC74D8" w:rsidRPr="003E0254" w:rsidRDefault="00CC74D8" w:rsidP="00CC74D8">
      <w:pPr>
        <w:pBdr>
          <w:top w:val="none" w:sz="4" w:space="0" w:color="000000"/>
          <w:left w:val="none" w:sz="4" w:space="0" w:color="000000"/>
          <w:bottom w:val="none" w:sz="4" w:space="0" w:color="000000"/>
          <w:right w:val="none" w:sz="4" w:space="0" w:color="000000"/>
        </w:pBdr>
        <w:spacing w:line="276" w:lineRule="auto"/>
        <w:jc w:val="both"/>
        <w:rPr>
          <w14:ligatures w14:val="none"/>
        </w:rPr>
      </w:pPr>
      <w:r w:rsidRPr="003E0254">
        <w:t xml:space="preserve">The </w:t>
      </w:r>
      <w:r w:rsidR="006A3621" w:rsidRPr="003E0254">
        <w:t>variety</w:t>
      </w:r>
      <w:r w:rsidRPr="003E0254">
        <w:t xml:space="preserve"> of battery technologies underpins their diverse applications in stationary storage systems, with specific uses especially within the renewable energy sector. LIBs are primarily geared towards short- and mid-term energy storage for residential or industrial applications, but they can also be integrated into the grid, which can be applied to </w:t>
      </w:r>
      <w:r w:rsidR="00A439A1" w:rsidRPr="003E0254">
        <w:t>zinc-metal</w:t>
      </w:r>
      <w:r w:rsidRPr="003E0254">
        <w:t xml:space="preserve"> and zinc-air batteries. </w:t>
      </w:r>
      <w:r w:rsidR="00DE6218" w:rsidRPr="003E0254">
        <w:t>These technologies are effective in compensating for fluctuations in electricity generation from renewable sources and in addressing variations in industrial electricity prices. Typical applications include energy storage systems paired with photovoltaic (PV) systems in single-family and multi-family homes, with capacities ranging from 1 to 20 kWh, and industrial storage systems with capacities between approximately 50 kWh and 25 MWh. Their rapid response capabilities make them ideal for applications such as demand support, power oscillation damping, wind power gradient reduction, and frequency regulation.</w:t>
      </w:r>
      <w:r w:rsidR="00CC4E7D" w:rsidRPr="003E0254">
        <w:fldChar w:fldCharType="begin" w:fldLock="1"/>
      </w:r>
      <w:r w:rsidR="00CC4E7D" w:rsidRPr="003E0254">
        <w:instrText>ADDIN CSL_CITATION {"citationItems":[{"id":"ITEM-1","itemData":{"DOI":"10.1016/J.RSER.2022.112213","ISSN":"1364-0321","abstract":"Currently, the energy grid is changing to fit the increasing energy demands but also to support the rapid penetration of renewable energy sources. As a result, energy storage devices emerge to add buffer capacity and to reinforce residential and commercial usage, as an attempt to improve the overall utilization of the available green energy. Although various research has been conducted in the field including photovoltaic and wind applications, the study on suitability identification of different storage devices for various stationary application types is still the gap observed which needs further study and verification. The review performed fills these gaps by investigating the current status and applicability of energy storage devices, and the most suitable type of storage technologies for grid support applications are identified. Moreover, various technical, economic and environmental impact evaluation criteria's are taken into consideration for the identification of their characteristics and potentials. The comprehensive review shows that, from the electrochemical storage category, the lithium-ion battery fits both low and medium-size applications with high power and energy density requirements. From the electrical storage categories, capacitors, supercapacitors, and superconductive magnetic energy storage devices are identified as appropriate for high power applications. Besides, thermal energy storage is identified as suitable in seasonal and bulk energy application areas. With proper identification of the application's requirement and based on the techno-economic, and environmental impact investigations of energy storage devices, the use of a hybrid solutions with a combination of various storage devices is found to be a viable solution in the sector.","author":[{"dropping-particle":"","family":"Kebede","given":"Abraham Alem","non-dropping-particle":"","parse-names":false,"suffix":""},{"dropping-particle":"","family":"Kalogiannis","given":"Theodoros","non-dropping-particle":"","parse-names":false,"suffix":""},{"dropping-particle":"","family":"Mierlo","given":"Joeri","non-dropping-particle":"Van","parse-names":false,"suffix":""},{"dropping-particle":"","family":"Berecibar","given":"Maitane","non-dropping-particle":"","parse-names":false,"suffix":""}],"container-title":"Renewable and Sustainable Energy Reviews","id":"ITEM-1","issued":{"date-parts":[["2022","5","1"]]},"page":"112213","publisher":"Pergamon","title":"A comprehensive review of stationary energy storage devices for large scale renewable energy sources grid integration","type":"article-journal","volume":"159"},"uris":["http://www.mendeley.com/documents/?uuid=8b9596b0-1a39-381d-9ae3-2578d59c5e04"]}],"mendeley":{"formattedCitation":"&lt;sup&gt;[1]&lt;/sup&gt;","plainTextFormattedCitation":"[1]","previouslyFormattedCitation":"&lt;sup&gt;[1]&lt;/sup&gt;"},"properties":{"noteIndex":0},"schema":"https://github.com/citation-style-language/schema/raw/master/csl-citation.json"}</w:instrText>
      </w:r>
      <w:r w:rsidR="00CC4E7D" w:rsidRPr="003E0254">
        <w:fldChar w:fldCharType="separate"/>
      </w:r>
      <w:r w:rsidR="00CC4E7D" w:rsidRPr="003E0254">
        <w:rPr>
          <w:noProof/>
          <w:vertAlign w:val="superscript"/>
        </w:rPr>
        <w:t>[1]</w:t>
      </w:r>
      <w:r w:rsidR="00CC4E7D" w:rsidRPr="003E0254">
        <w:fldChar w:fldCharType="end"/>
      </w:r>
      <w:r w:rsidRPr="003E0254">
        <w:t xml:space="preserve"> Conversely, </w:t>
      </w:r>
      <w:r w:rsidR="009755F7" w:rsidRPr="003E0254">
        <w:t>redox flow</w:t>
      </w:r>
      <w:r w:rsidRPr="003E0254">
        <w:t xml:space="preserve"> batteries, including zinc</w:t>
      </w:r>
      <w:r w:rsidR="00DE6218" w:rsidRPr="003E0254">
        <w:t>-</w:t>
      </w:r>
      <w:r w:rsidRPr="003E0254">
        <w:t xml:space="preserve">bromine are more suited </w:t>
      </w:r>
      <w:r w:rsidR="006A3621" w:rsidRPr="003E0254">
        <w:t>for</w:t>
      </w:r>
      <w:r w:rsidRPr="003E0254">
        <w:t xml:space="preserve"> long-term energy storage applications. </w:t>
      </w:r>
      <w:r w:rsidR="00DE6218" w:rsidRPr="003E0254">
        <w:t>Although they require a similar amount of floor space as lithium-ion batteries, they are particularly well-suited for off-peak storage solutions due to their high discharge capacity, good scalability, and excellent lifespan</w:t>
      </w:r>
      <w:r w:rsidRPr="003E0254">
        <w:t>.</w:t>
      </w:r>
      <w:r w:rsidR="00CC4E7D" w:rsidRPr="003E0254">
        <w:fldChar w:fldCharType="begin" w:fldLock="1"/>
      </w:r>
      <w:r w:rsidR="00500B8D" w:rsidRPr="003E0254">
        <w:instrText>ADDIN CSL_CITATION {"citationItems":[{"id":"ITEM-1","itemData":{"DOI":"10.1039/D3YA00208J","ISSN":"2753-1457","abstract":"As renewable energy penetration increases, energy storage is becoming urgently needed for several purposes, including frequency control, peak shifting, and relieving grid congestion. While battery research often focuses on cell level energy density, other aspects of large-scale battery energy storage systems, such as footprint, safety, and storage-duration are frequently overlooked. Here, we investigate forty-four MWh-scale battery energy storage systems via satellite imagery and show that the building footprint of lithium-ion battery systems is often comparable to much less energy-dense technologies such as aqueous flow batteries. We show that due to their intrinsic safety, aqueous chemistries can be built more vertically, enabling smaller footprints, and unlocking new use cases. Transmission constraints for example have a growing impact on energy prices and grid stability, and due to regulatory and practical challenges limiting the addition of more transmission capacity, storage deployed in strategic locations can play a critical role in mitigating grid congestion. Such grid-nodes are often found near energy consumers, where land cost and safety concerns are significant. Deployments in urban areas to locally mitigate congestion and installations in buildings or underground thus provide compelling value propositions for aqueous battery chemistries beyond direct competition with lithium-ion batteries near renewable generation sites.","author":[{"dropping-particle":"","family":"Reber","given":"David","non-dropping-particle":"","parse-names":false,"suffix":""},{"dropping-particle":"","family":"Jarvis","given":"Sam R.","non-dropping-particle":"","parse-names":false,"suffix":""},{"dropping-particle":"","family":"Marshak","given":"Michael P.","non-dropping-particle":"","parse-names":false,"suffix":""}],"container-title":"Energy Advances","id":"ITEM-1","issue":"9","issued":{"date-parts":[["2023","9","14"]]},"page":"1357-1365","publisher":"RSC","title":"Beyond energy density: flow battery design driven by safety and location","type":"article-journal","volume":"2"},"uris":["http://www.mendeley.com/documents/?uuid=89af4b31-5f0e-304c-8cc0-abcc1e479ef9"]}],"mendeley":{"formattedCitation":"&lt;sup&gt;[314]&lt;/sup&gt;","plainTextFormattedCitation":"[314]","previouslyFormattedCitation":"&lt;sup&gt;[313]&lt;/sup&gt;"},"properties":{"noteIndex":0},"schema":"https://github.com/citation-style-language/schema/raw/master/csl-citation.json"}</w:instrText>
      </w:r>
      <w:r w:rsidR="00CC4E7D" w:rsidRPr="003E0254">
        <w:fldChar w:fldCharType="separate"/>
      </w:r>
      <w:r w:rsidR="00500B8D" w:rsidRPr="003E0254">
        <w:rPr>
          <w:noProof/>
          <w:vertAlign w:val="superscript"/>
        </w:rPr>
        <w:t>[314]</w:t>
      </w:r>
      <w:r w:rsidR="00CC4E7D" w:rsidRPr="003E0254">
        <w:fldChar w:fldCharType="end"/>
      </w:r>
      <w:r w:rsidRPr="003E0254">
        <w:t xml:space="preserve"> </w:t>
      </w:r>
      <w:r w:rsidR="00DE6218" w:rsidRPr="003E0254">
        <w:t>They are also effective for time-shifted energy storage, voltage sag mitigation, and rapid demand support, given their long discharge times</w:t>
      </w:r>
      <w:r w:rsidRPr="003E0254">
        <w:t>. This distinct separation in application profiles highlights the complementary nature of these technologies in addressing various energy storage needs within the market. As demand for both short-term and long-term storage solutions grows, these technologies present promising prospects.</w:t>
      </w:r>
      <w:r w:rsidR="00CC4E7D" w:rsidRPr="003E0254">
        <w:fldChar w:fldCharType="begin" w:fldLock="1"/>
      </w:r>
      <w:r w:rsidR="002F6D4C" w:rsidRPr="003E0254">
        <w:instrText>ADDIN CSL_CITATION {"citationItems":[{"id":"ITEM-1","itemData":{"DOI":"10.1016/J.RSER.2022.112213","ISSN":"1364-0321","abstract":"Currently, the energy grid is changing to fit the increasing energy demands but also to support the rapid penetration of renewable energy sources. As a result, energy storage devices emerge to add buffer capacity and to reinforce residential and commercial usage, as an attempt to improve the overall utilization of the available green energy. Although various research has been conducted in the field including photovoltaic and wind applications, the study on suitability identification of different storage devices for various stationary application types is still the gap observed which needs further study and verification. The review performed fills these gaps by investigating the current status and applicability of energy storage devices, and the most suitable type of storage technologies for grid support applications are identified. Moreover, various technical, economic and environmental impact evaluation criteria's are taken into consideration for the identification of their characteristics and potentials. The comprehensive review shows that, from the electrochemical storage category, the lithium-ion battery fits both low and medium-size applications with high power and energy density requirements. From the electrical storage categories, capacitors, supercapacitors, and superconductive magnetic energy storage devices are identified as appropriate for high power applications. Besides, thermal energy storage is identified as suitable in seasonal and bulk energy application areas. With proper identification of the application's requirement and based on the techno-economic, and environmental impact investigations of energy storage devices, the use of a hybrid solutions with a combination of various storage devices is found to be a viable solution in the sector.","author":[{"dropping-particle":"","family":"Kebede","given":"Abraham Alem","non-dropping-particle":"","parse-names":false,"suffix":""},{"dropping-particle":"","family":"Kalogiannis","given":"Theodoros","non-dropping-particle":"","parse-names":false,"suffix":""},{"dropping-particle":"","family":"Mierlo","given":"Joeri","non-dropping-particle":"Van","parse-names":false,"suffix":""},{"dropping-particle":"","family":"Berecibar","given":"Maitane","non-dropping-particle":"","parse-names":false,"suffix":""}],"container-title":"Renewable and Sustainable Energy Reviews","id":"ITEM-1","issued":{"date-parts":[["2022","5","1"]]},"page":"112213","publisher":"Pergamon","title":"A comprehensive review of stationary energy storage devices for large scale renewable energy sources grid integration","type":"article-journal","volume":"159"},"uris":["http://www.mendeley.com/documents/?uuid=8b9596b0-1a39-381d-9ae3-2578d59c5e04"]},{"id":"ITEM-2","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Luca","non-dropping-particle":"","parse-names":false,"suffix":""},{"dropping-particle":"","family":"Thielmann","given":"Axel","non-dropping-particle":"","parse-names":false,"suffix":""}],"id":"ITEM-2","issued":{"date-parts":[["2023"]]},"publisher":"Fraunhofer ISI","title":"Alternative Battery Technologies Roadmap 2030+","type":"report"},"uris":["http://www.mendeley.com/documents/?uuid=58d2bfdf-47d6-3a36-b817-8b2cf78b804c"]}],"mendeley":{"formattedCitation":"&lt;sup&gt;[1,20]&lt;/sup&gt;","plainTextFormattedCitation":"[1,20]","previouslyFormattedCitation":"&lt;sup&gt;[1,20]&lt;/sup&gt;"},"properties":{"noteIndex":0},"schema":"https://github.com/citation-style-language/schema/raw/master/csl-citation.json"}</w:instrText>
      </w:r>
      <w:r w:rsidR="00CC4E7D" w:rsidRPr="003E0254">
        <w:fldChar w:fldCharType="separate"/>
      </w:r>
      <w:r w:rsidR="00A94915" w:rsidRPr="003E0254">
        <w:rPr>
          <w:noProof/>
          <w:vertAlign w:val="superscript"/>
        </w:rPr>
        <w:t>[1,20]</w:t>
      </w:r>
      <w:r w:rsidR="00CC4E7D" w:rsidRPr="003E0254">
        <w:fldChar w:fldCharType="end"/>
      </w:r>
    </w:p>
    <w:p w14:paraId="49DB069A" w14:textId="77777777" w:rsidR="00EE1238" w:rsidRPr="003E0254" w:rsidRDefault="00EE1238">
      <w:pPr>
        <w:spacing w:line="276" w:lineRule="auto"/>
      </w:pPr>
    </w:p>
    <w:p w14:paraId="07C404B8" w14:textId="2E72515B" w:rsidR="00B53C39" w:rsidRPr="003E0254" w:rsidRDefault="00DA35C9">
      <w:pPr>
        <w:pStyle w:val="berschrift2"/>
        <w:spacing w:line="276" w:lineRule="auto"/>
        <w:rPr>
          <w:b/>
          <w:bCs/>
        </w:rPr>
      </w:pPr>
      <w:r w:rsidRPr="003E0254">
        <w:rPr>
          <w:b/>
          <w:bCs/>
        </w:rPr>
        <w:lastRenderedPageBreak/>
        <w:t xml:space="preserve">5. Conclusions </w:t>
      </w:r>
    </w:p>
    <w:p w14:paraId="09588E2F" w14:textId="7B8CAC2C" w:rsidR="00E07488" w:rsidRPr="003E0254" w:rsidRDefault="00ED6D8F" w:rsidP="00E07488">
      <w:pPr>
        <w:jc w:val="both"/>
        <w:rPr>
          <w14:ligatures w14:val="none"/>
        </w:rPr>
      </w:pPr>
      <w:r w:rsidRPr="003E0254">
        <w:rPr>
          <w14:ligatures w14:val="none"/>
        </w:rPr>
        <w:t>In this work, we addressed four central questions outlined in the introduction, focusing on how zinc-based battery technologies</w:t>
      </w:r>
      <w:r w:rsidR="00E07488" w:rsidRPr="003E0254">
        <w:rPr>
          <w14:ligatures w14:val="none"/>
        </w:rPr>
        <w:t xml:space="preserve"> are poised to play a pivotal role in the future of stationary energy storage systems</w:t>
      </w:r>
      <w:r w:rsidRPr="003E0254">
        <w:rPr>
          <w14:ligatures w14:val="none"/>
        </w:rPr>
        <w:t>. These technologies</w:t>
      </w:r>
      <w:r w:rsidR="00E07488" w:rsidRPr="003E0254">
        <w:rPr>
          <w14:ligatures w14:val="none"/>
        </w:rPr>
        <w:t xml:space="preserve"> offer promising alternatives to conventional lithium-ion and vanadium redox flow technologies. </w:t>
      </w:r>
      <w:r w:rsidRPr="003E0254">
        <w:rPr>
          <w14:ligatures w14:val="none"/>
        </w:rPr>
        <w:t>We</w:t>
      </w:r>
      <w:r w:rsidR="00E07488" w:rsidRPr="003E0254">
        <w:rPr>
          <w14:ligatures w14:val="none"/>
        </w:rPr>
        <w:t xml:space="preserve"> reviewed the historical development, current state of research, and future potential of three zinc battery chemistries: zinc-metal (ZMB), zinc-air (ZAB), and zinc redox flow batteries (ZFB). Each system </w:t>
      </w:r>
      <w:r w:rsidR="00F050D0" w:rsidRPr="003E0254">
        <w:rPr>
          <w14:ligatures w14:val="none"/>
        </w:rPr>
        <w:t>has</w:t>
      </w:r>
      <w:r w:rsidR="00E07488" w:rsidRPr="003E0254">
        <w:rPr>
          <w14:ligatures w14:val="none"/>
        </w:rPr>
        <w:t xml:space="preserve"> unique advantages and technical challenges, and </w:t>
      </w:r>
      <w:r w:rsidR="00F050D0" w:rsidRPr="003E0254">
        <w:rPr>
          <w14:ligatures w14:val="none"/>
        </w:rPr>
        <w:t>they</w:t>
      </w:r>
      <w:r w:rsidR="00E07488" w:rsidRPr="003E0254">
        <w:rPr>
          <w14:ligatures w14:val="none"/>
        </w:rPr>
        <w:t xml:space="preserve"> are at different technology readiness levels, suggesting a staggered but complementary deployment path within the stationary energy sector.</w:t>
      </w:r>
    </w:p>
    <w:p w14:paraId="25535F57" w14:textId="14C2B514" w:rsidR="00E07488" w:rsidRPr="003E0254" w:rsidRDefault="00D534AD" w:rsidP="00E07488">
      <w:pPr>
        <w:jc w:val="both"/>
        <w:rPr>
          <w14:ligatures w14:val="none"/>
        </w:rPr>
      </w:pPr>
      <w:r w:rsidRPr="003E0254">
        <w:rPr>
          <w14:ligatures w14:val="none"/>
        </w:rPr>
        <w:t>Rechargeable z</w:t>
      </w:r>
      <w:r w:rsidR="00E07488" w:rsidRPr="003E0254">
        <w:rPr>
          <w14:ligatures w14:val="none"/>
        </w:rPr>
        <w:t xml:space="preserve">inc-metal batteries are the most mature among the three systems and are expected to enter large-scale markets in the near future. Their success will critically depend on two key research directions: the development of high-capacity, stable cathode materials (e.g., doped manganese oxides, </w:t>
      </w:r>
      <w:proofErr w:type="spellStart"/>
      <w:r w:rsidR="00E07488" w:rsidRPr="003E0254">
        <w:rPr>
          <w14:ligatures w14:val="none"/>
        </w:rPr>
        <w:t>spinels</w:t>
      </w:r>
      <w:proofErr w:type="spellEnd"/>
      <w:r w:rsidR="00E07488" w:rsidRPr="003E0254">
        <w:rPr>
          <w14:ligatures w14:val="none"/>
        </w:rPr>
        <w:t>, or Prussian Blue analogues) and the optimization of electrolyte formulations to improve interfacial stability, minimize dendrite growth, and suppress hydrogen evolution. Innovations such as hydrogel-based quasi-solid electrolytes or novel high-solubility conducting salts may prove transformative. Importantly, most manufacturing processes can be adapted from lithium-ion production infrastructure, facilitating market integration.</w:t>
      </w:r>
    </w:p>
    <w:p w14:paraId="0A7D6446" w14:textId="0CCED2B3" w:rsidR="00E07488" w:rsidRPr="003E0254" w:rsidRDefault="00E07488" w:rsidP="00E07488">
      <w:pPr>
        <w:jc w:val="both"/>
        <w:rPr>
          <w14:ligatures w14:val="none"/>
        </w:rPr>
      </w:pPr>
      <w:r w:rsidRPr="003E0254">
        <w:rPr>
          <w14:ligatures w14:val="none"/>
        </w:rPr>
        <w:t xml:space="preserve">Zinc-air batteries, while capable of delivering high theoretical energy densities, require substantial advancements to become truly rechargeable and cycle-stable. Future efforts should prioritize the development of bifunctional, non-noble-metal catalysts with high ORR/OER activity and durability, as well as cathode architectures that ensure optimal gas diffusion and catalyst utilization. </w:t>
      </w:r>
      <w:r w:rsidR="00931A50" w:rsidRPr="003E0254">
        <w:rPr>
          <w14:ligatures w14:val="none"/>
        </w:rPr>
        <w:t>On</w:t>
      </w:r>
      <w:r w:rsidRPr="003E0254">
        <w:rPr>
          <w14:ligatures w14:val="none"/>
        </w:rPr>
        <w:t xml:space="preserve"> the anode side, moderate surface structuring and the use of synergistic additives for both electrodes and electrolytes will be critical to mitigate passivation, corrosion, and shape change. Although aqueous electrolytes offer intrinsic safety benefits, hydrogen evolution and carbonation pose challenges for long-term operation. Transitioning to near-neutral or hybrid electrolytes—possibly combined with solid-state or gel-based approaches—could enable stable, safe, and efficient systems. However, achieving a fully integrated and scalable cell design remains an open challenge and a prerequisite for commercialization.</w:t>
      </w:r>
    </w:p>
    <w:p w14:paraId="077C98D7" w14:textId="77777777" w:rsidR="00E07488" w:rsidRPr="003E0254" w:rsidRDefault="00E07488" w:rsidP="00E07488">
      <w:pPr>
        <w:jc w:val="both"/>
        <w:rPr>
          <w14:ligatures w14:val="none"/>
        </w:rPr>
      </w:pPr>
      <w:r w:rsidRPr="003E0254">
        <w:rPr>
          <w14:ligatures w14:val="none"/>
        </w:rPr>
        <w:t>Zinc redox flow batteries (ZRFBs), while less developed in comparison, hold significant promise due to their decoupled power and energy scalability. Their further development will benefit from insights gained in ZMB and ZAB research, particularly regarding zinc electrode stabilization and interfacial control. In the short term, improving membrane selectivity, electrolyte compatibility, and the structural integrity of zinc deposition layers will be essential. In the medium-to-long term, organic or hybrid organic-zinc redox couples offer a compelling route to higher voltage systems, improved temperature stability, and reduced material costs. Achieving high solubility and redox reversibility of organic molecules, alongside robust membrane technologies, will be key to realizing these goals.</w:t>
      </w:r>
    </w:p>
    <w:p w14:paraId="065B78F7" w14:textId="77777777" w:rsidR="00877A4F" w:rsidRPr="003E0254" w:rsidRDefault="00877A4F" w:rsidP="00877A4F">
      <w:pPr>
        <w:pStyle w:val="Beschriftung"/>
        <w:keepNext/>
      </w:pPr>
      <w:r w:rsidRPr="003E0254">
        <w:t xml:space="preserve">Table </w:t>
      </w:r>
      <w:fldSimple w:instr=" SEQ Table \* ARABIC ">
        <w:r w:rsidRPr="003E0254">
          <w:rPr>
            <w:noProof/>
          </w:rPr>
          <w:t>7</w:t>
        </w:r>
      </w:fldSimple>
      <w:r w:rsidRPr="003E0254">
        <w:t>: The perspectives on the zinc batteries in terms of short term, medium/long-term and vision.</w:t>
      </w:r>
    </w:p>
    <w:tbl>
      <w:tblPr>
        <w:tblStyle w:val="Tabellenraster"/>
        <w:tblW w:w="0" w:type="auto"/>
        <w:jc w:val="center"/>
        <w:tblLook w:val="04A0" w:firstRow="1" w:lastRow="0" w:firstColumn="1" w:lastColumn="0" w:noHBand="0" w:noVBand="1"/>
      </w:tblPr>
      <w:tblGrid>
        <w:gridCol w:w="1226"/>
        <w:gridCol w:w="1718"/>
        <w:gridCol w:w="2707"/>
        <w:gridCol w:w="2026"/>
        <w:gridCol w:w="1673"/>
      </w:tblGrid>
      <w:tr w:rsidR="00877A4F" w:rsidRPr="003E0254" w14:paraId="00A1F289" w14:textId="77777777" w:rsidTr="00C411AC">
        <w:trPr>
          <w:jc w:val="center"/>
        </w:trPr>
        <w:tc>
          <w:tcPr>
            <w:tcW w:w="1226" w:type="dxa"/>
            <w:vAlign w:val="center"/>
          </w:tcPr>
          <w:p w14:paraId="7E3C4B02" w14:textId="77777777" w:rsidR="00877A4F" w:rsidRPr="003E0254" w:rsidRDefault="00877A4F" w:rsidP="00C411AC">
            <w:pPr>
              <w:spacing w:line="276" w:lineRule="auto"/>
              <w:jc w:val="center"/>
              <w:rPr>
                <w:b/>
                <w:bCs/>
              </w:rPr>
            </w:pPr>
            <w:r w:rsidRPr="003E0254">
              <w:rPr>
                <w:b/>
                <w:bCs/>
              </w:rPr>
              <w:t>System</w:t>
            </w:r>
          </w:p>
        </w:tc>
        <w:tc>
          <w:tcPr>
            <w:tcW w:w="1718" w:type="dxa"/>
            <w:vAlign w:val="center"/>
          </w:tcPr>
          <w:p w14:paraId="6A167D2A" w14:textId="77777777" w:rsidR="00877A4F" w:rsidRPr="003E0254" w:rsidRDefault="00877A4F" w:rsidP="00C411AC">
            <w:pPr>
              <w:spacing w:line="276" w:lineRule="auto"/>
              <w:jc w:val="center"/>
              <w:rPr>
                <w:b/>
                <w:bCs/>
              </w:rPr>
            </w:pPr>
            <w:r w:rsidRPr="003E0254">
              <w:rPr>
                <w:b/>
                <w:bCs/>
              </w:rPr>
              <w:t>Short term</w:t>
            </w:r>
          </w:p>
        </w:tc>
        <w:tc>
          <w:tcPr>
            <w:tcW w:w="2707" w:type="dxa"/>
            <w:vAlign w:val="center"/>
          </w:tcPr>
          <w:p w14:paraId="7BCCB4C2" w14:textId="77777777" w:rsidR="00877A4F" w:rsidRPr="003E0254" w:rsidRDefault="00877A4F" w:rsidP="00C411AC">
            <w:pPr>
              <w:spacing w:line="276" w:lineRule="auto"/>
              <w:jc w:val="center"/>
              <w:rPr>
                <w:b/>
                <w:bCs/>
              </w:rPr>
            </w:pPr>
            <w:r w:rsidRPr="003E0254">
              <w:rPr>
                <w:b/>
                <w:bCs/>
              </w:rPr>
              <w:t>Medium/long term</w:t>
            </w:r>
          </w:p>
        </w:tc>
        <w:tc>
          <w:tcPr>
            <w:tcW w:w="2026" w:type="dxa"/>
            <w:vAlign w:val="center"/>
          </w:tcPr>
          <w:p w14:paraId="773F6405" w14:textId="77777777" w:rsidR="00877A4F" w:rsidRPr="003E0254" w:rsidRDefault="00877A4F" w:rsidP="00C411AC">
            <w:pPr>
              <w:spacing w:line="276" w:lineRule="auto"/>
              <w:jc w:val="center"/>
              <w:rPr>
                <w:b/>
                <w:bCs/>
              </w:rPr>
            </w:pPr>
            <w:r w:rsidRPr="003E0254">
              <w:rPr>
                <w:b/>
                <w:bCs/>
              </w:rPr>
              <w:t>Vision</w:t>
            </w:r>
          </w:p>
        </w:tc>
        <w:tc>
          <w:tcPr>
            <w:tcW w:w="1673" w:type="dxa"/>
          </w:tcPr>
          <w:p w14:paraId="55ED033C" w14:textId="77777777" w:rsidR="00877A4F" w:rsidRPr="003E0254" w:rsidRDefault="00877A4F" w:rsidP="00C411AC">
            <w:pPr>
              <w:spacing w:line="276" w:lineRule="auto"/>
              <w:jc w:val="center"/>
              <w:rPr>
                <w:b/>
                <w:bCs/>
              </w:rPr>
            </w:pPr>
            <w:r w:rsidRPr="003E0254">
              <w:rPr>
                <w:b/>
                <w:bCs/>
              </w:rPr>
              <w:t>Field of application</w:t>
            </w:r>
          </w:p>
        </w:tc>
      </w:tr>
      <w:tr w:rsidR="00877A4F" w:rsidRPr="003E0254" w14:paraId="741048E6" w14:textId="77777777" w:rsidTr="00C411AC">
        <w:trPr>
          <w:jc w:val="center"/>
        </w:trPr>
        <w:tc>
          <w:tcPr>
            <w:tcW w:w="1226" w:type="dxa"/>
            <w:vAlign w:val="center"/>
          </w:tcPr>
          <w:p w14:paraId="5FE22E29" w14:textId="77777777" w:rsidR="00877A4F" w:rsidRPr="003E0254" w:rsidRDefault="00877A4F" w:rsidP="00C411AC">
            <w:pPr>
              <w:spacing w:line="276" w:lineRule="auto"/>
              <w:jc w:val="center"/>
            </w:pPr>
            <w:r w:rsidRPr="003E0254">
              <w:t>ZMB</w:t>
            </w:r>
          </w:p>
        </w:tc>
        <w:tc>
          <w:tcPr>
            <w:tcW w:w="1718" w:type="dxa"/>
            <w:vAlign w:val="center"/>
          </w:tcPr>
          <w:p w14:paraId="0311C42D" w14:textId="77777777" w:rsidR="00877A4F" w:rsidRPr="003E0254" w:rsidRDefault="00877A4F" w:rsidP="00C411AC">
            <w:pPr>
              <w:spacing w:line="276" w:lineRule="auto"/>
              <w:jc w:val="center"/>
            </w:pPr>
            <w:r w:rsidRPr="003E0254">
              <w:rPr>
                <w:rFonts w:ascii="Calibri" w:hAnsi="Calibri" w:cs="Calibri"/>
              </w:rPr>
              <w:t>~</w:t>
            </w:r>
            <w:r w:rsidRPr="003E0254">
              <w:t>130 </w:t>
            </w:r>
            <w:proofErr w:type="spellStart"/>
            <w:r w:rsidRPr="003E0254">
              <w:t>Wh</w:t>
            </w:r>
            <w:proofErr w:type="spellEnd"/>
            <w:r w:rsidRPr="003E0254">
              <w:t> kg</w:t>
            </w:r>
            <w:r w:rsidRPr="003E0254">
              <w:rPr>
                <w:vertAlign w:val="superscript"/>
              </w:rPr>
              <w:t>-1</w:t>
            </w:r>
          </w:p>
          <w:p w14:paraId="5B9F92CA" w14:textId="77777777" w:rsidR="00877A4F" w:rsidRPr="003E0254" w:rsidRDefault="00877A4F" w:rsidP="00C411AC">
            <w:pPr>
              <w:spacing w:line="276" w:lineRule="auto"/>
              <w:jc w:val="center"/>
            </w:pPr>
            <w:r w:rsidRPr="003E0254">
              <w:t>$48 kWh</w:t>
            </w:r>
            <w:r w:rsidRPr="003E0254">
              <w:rPr>
                <w:vertAlign w:val="superscript"/>
              </w:rPr>
              <w:t>-1</w:t>
            </w:r>
          </w:p>
        </w:tc>
        <w:tc>
          <w:tcPr>
            <w:tcW w:w="2707" w:type="dxa"/>
            <w:vAlign w:val="center"/>
          </w:tcPr>
          <w:p w14:paraId="13CF422E" w14:textId="77777777" w:rsidR="00877A4F" w:rsidRPr="003E0254" w:rsidRDefault="00877A4F" w:rsidP="00C411AC">
            <w:pPr>
              <w:spacing w:line="276" w:lineRule="auto"/>
              <w:jc w:val="center"/>
            </w:pPr>
            <w:r w:rsidRPr="003E0254">
              <w:t xml:space="preserve">Stability of electrodes and electrolytes, cathode </w:t>
            </w:r>
            <w:r w:rsidRPr="003E0254">
              <w:lastRenderedPageBreak/>
              <w:t>materials with higher capacity</w:t>
            </w:r>
          </w:p>
        </w:tc>
        <w:tc>
          <w:tcPr>
            <w:tcW w:w="2026" w:type="dxa"/>
            <w:vAlign w:val="center"/>
          </w:tcPr>
          <w:p w14:paraId="112A8D52" w14:textId="77777777" w:rsidR="00877A4F" w:rsidRPr="003E0254" w:rsidRDefault="00877A4F" w:rsidP="00C411AC">
            <w:pPr>
              <w:spacing w:line="276" w:lineRule="auto"/>
              <w:jc w:val="center"/>
            </w:pPr>
            <w:r w:rsidRPr="003E0254">
              <w:rPr>
                <w:rFonts w:ascii="Calibri" w:hAnsi="Calibri" w:cs="Calibri"/>
              </w:rPr>
              <w:lastRenderedPageBreak/>
              <w:t>~</w:t>
            </w:r>
            <w:r w:rsidRPr="003E0254">
              <w:t>250 </w:t>
            </w:r>
            <w:proofErr w:type="spellStart"/>
            <w:r w:rsidRPr="003E0254">
              <w:t>Wh</w:t>
            </w:r>
            <w:proofErr w:type="spellEnd"/>
            <w:r w:rsidRPr="003E0254">
              <w:t> kg</w:t>
            </w:r>
            <w:r w:rsidRPr="003E0254">
              <w:rPr>
                <w:vertAlign w:val="superscript"/>
              </w:rPr>
              <w:t>-1</w:t>
            </w:r>
          </w:p>
          <w:p w14:paraId="287C3584" w14:textId="77777777" w:rsidR="00877A4F" w:rsidRPr="003E0254" w:rsidRDefault="00877A4F" w:rsidP="00C411AC">
            <w:pPr>
              <w:spacing w:line="276" w:lineRule="auto"/>
              <w:jc w:val="center"/>
            </w:pPr>
            <w:r w:rsidRPr="003E0254">
              <w:lastRenderedPageBreak/>
              <w:t>with improved power densities and cycling stability,</w:t>
            </w:r>
          </w:p>
          <w:p w14:paraId="401DE1AB" w14:textId="77777777" w:rsidR="00877A4F" w:rsidRPr="003E0254" w:rsidRDefault="00877A4F" w:rsidP="00C411AC">
            <w:pPr>
              <w:spacing w:line="276" w:lineRule="auto"/>
              <w:jc w:val="center"/>
            </w:pPr>
            <w:r w:rsidRPr="003E0254">
              <w:t>$24 kWh</w:t>
            </w:r>
            <w:r w:rsidRPr="003E0254">
              <w:rPr>
                <w:vertAlign w:val="superscript"/>
              </w:rPr>
              <w:t>-1</w:t>
            </w:r>
          </w:p>
        </w:tc>
        <w:tc>
          <w:tcPr>
            <w:tcW w:w="1673" w:type="dxa"/>
          </w:tcPr>
          <w:p w14:paraId="5567395B" w14:textId="77777777" w:rsidR="00877A4F" w:rsidRPr="003E0254" w:rsidRDefault="00877A4F" w:rsidP="00C411AC">
            <w:pPr>
              <w:spacing w:line="276" w:lineRule="auto"/>
              <w:jc w:val="center"/>
              <w:rPr>
                <w:rFonts w:asciiTheme="majorHAnsi" w:hAnsiTheme="majorHAnsi" w:cs="Calibri"/>
              </w:rPr>
            </w:pPr>
            <w:r w:rsidRPr="003E0254">
              <w:rPr>
                <w:rFonts w:asciiTheme="majorHAnsi" w:hAnsiTheme="majorHAnsi" w:cs="Calibri"/>
              </w:rPr>
              <w:lastRenderedPageBreak/>
              <w:t xml:space="preserve">Stationary storage, industrial </w:t>
            </w:r>
            <w:r w:rsidRPr="003E0254">
              <w:rPr>
                <w:rFonts w:asciiTheme="majorHAnsi" w:hAnsiTheme="majorHAnsi" w:cs="Calibri"/>
              </w:rPr>
              <w:lastRenderedPageBreak/>
              <w:t>backup systems, smart city, renewable grid support</w:t>
            </w:r>
          </w:p>
        </w:tc>
      </w:tr>
      <w:tr w:rsidR="00877A4F" w:rsidRPr="003E0254" w14:paraId="73DCE192" w14:textId="77777777" w:rsidTr="00C411AC">
        <w:trPr>
          <w:jc w:val="center"/>
        </w:trPr>
        <w:tc>
          <w:tcPr>
            <w:tcW w:w="1226" w:type="dxa"/>
            <w:vAlign w:val="center"/>
          </w:tcPr>
          <w:p w14:paraId="2FC98E86" w14:textId="77777777" w:rsidR="00877A4F" w:rsidRPr="003E0254" w:rsidRDefault="00877A4F" w:rsidP="00C411AC">
            <w:pPr>
              <w:spacing w:line="276" w:lineRule="auto"/>
              <w:jc w:val="center"/>
            </w:pPr>
            <w:r w:rsidRPr="003E0254">
              <w:lastRenderedPageBreak/>
              <w:t>ZAB</w:t>
            </w:r>
          </w:p>
        </w:tc>
        <w:tc>
          <w:tcPr>
            <w:tcW w:w="1718" w:type="dxa"/>
            <w:vAlign w:val="center"/>
          </w:tcPr>
          <w:p w14:paraId="626D84F7" w14:textId="77777777" w:rsidR="00877A4F" w:rsidRPr="003E0254" w:rsidRDefault="00877A4F" w:rsidP="00C411AC">
            <w:pPr>
              <w:spacing w:line="276" w:lineRule="auto"/>
              <w:jc w:val="center"/>
            </w:pPr>
            <w:r w:rsidRPr="003E0254">
              <w:rPr>
                <w:rFonts w:ascii="Calibri" w:hAnsi="Calibri" w:cs="Calibri"/>
              </w:rPr>
              <w:t>~</w:t>
            </w:r>
            <w:r w:rsidRPr="003E0254">
              <w:t>180 </w:t>
            </w:r>
            <w:proofErr w:type="spellStart"/>
            <w:r w:rsidRPr="003E0254">
              <w:t>Wh</w:t>
            </w:r>
            <w:proofErr w:type="spellEnd"/>
            <w:r w:rsidRPr="003E0254">
              <w:t> kg</w:t>
            </w:r>
            <w:r w:rsidRPr="003E0254">
              <w:rPr>
                <w:vertAlign w:val="superscript"/>
              </w:rPr>
              <w:t>-1</w:t>
            </w:r>
          </w:p>
          <w:p w14:paraId="1E92F337" w14:textId="77777777" w:rsidR="00877A4F" w:rsidRPr="003E0254" w:rsidRDefault="00877A4F" w:rsidP="00C411AC">
            <w:pPr>
              <w:spacing w:line="276" w:lineRule="auto"/>
              <w:jc w:val="center"/>
            </w:pPr>
            <w:r w:rsidRPr="003E0254">
              <w:rPr>
                <w:rFonts w:ascii="Calibri" w:hAnsi="Calibri" w:cs="Calibri"/>
              </w:rPr>
              <w:t>~</w:t>
            </w:r>
            <w:r w:rsidRPr="003E0254">
              <w:t>$150 kWh</w:t>
            </w:r>
            <w:r w:rsidRPr="003E0254">
              <w:rPr>
                <w:vertAlign w:val="superscript"/>
              </w:rPr>
              <w:t xml:space="preserve">-1a, </w:t>
            </w:r>
            <w:r w:rsidRPr="003E0254">
              <w:rPr>
                <w:vertAlign w:val="superscript"/>
              </w:rPr>
              <w:fldChar w:fldCharType="begin" w:fldLock="1"/>
            </w:r>
            <w:r w:rsidRPr="003E0254">
              <w:rPr>
                <w:vertAlign w:val="superscript"/>
              </w:rPr>
              <w:instrText>ADDIN CSL_CITATION {"citationItems":[{"id":"ITEM-1","itemData":{"DOI":"10.24406/PUBLICA-1342","author":[{"dropping-particle":"","family":"Stephan","given":"Annegret","non-dropping-particle":"","parse-names":false,"suffix":""},{"dropping-particle":"","family":"Hettesheimer","given":"Tim","non-dropping-particle":"","parse-names":false,"suffix":""},{"dropping-particle":"","family":"Neef","given":"Christoph","non-dropping-particle":"","parse-names":false,"suffix":""},{"dropping-particle":"","family":"Schmaltz","given":"Thomas","non-dropping-particle":"","parse-names":false,"suffix":""},{"dropping-particle":"","family":"Link","given":"Steffen","non-dropping-particle":"","parse-names":false,"suffix":""},{"dropping-particle":"","family":"Stephan","given":"Maximilian","non-dropping-particle":"","parse-names":false,"suffix":""},{"dropping-particle":"","family":"Heizmann","given":"Jan Luca","non-dropping-particle":"","parse-names":false,"suffix":""},{"dropping-particle":"","family":"Thielmann","given":"Axel","non-dropping-particle":"","parse-names":false,"suffix":""}],"id":"ITEM-1","issued":{"date-parts":[["2023"]]},"publisher":"Fraunhofer ISI","title":"Alternative Battery Technologies Roadmap 2030+","type":"report"},"uris":["http://www.mendeley.com/documents/?uuid=58d2bfdf-47d6-3a36-b817-8b2cf78b804c"]}],"mendeley":{"formattedCitation":"&lt;sup&gt;[20]&lt;/sup&gt;","plainTextFormattedCitation":"[20]","previouslyFormattedCitation":"&lt;sup&gt;[20]&lt;/sup&gt;"},"properties":{"noteIndex":0},"schema":"https://github.com/citation-style-language/schema/raw/master/csl-citation.json"}</w:instrText>
            </w:r>
            <w:r w:rsidRPr="003E0254">
              <w:rPr>
                <w:vertAlign w:val="superscript"/>
              </w:rPr>
              <w:fldChar w:fldCharType="separate"/>
            </w:r>
            <w:r w:rsidRPr="003E0254">
              <w:rPr>
                <w:noProof/>
                <w:vertAlign w:val="superscript"/>
              </w:rPr>
              <w:t>[20]</w:t>
            </w:r>
            <w:r w:rsidRPr="003E0254">
              <w:rPr>
                <w:vertAlign w:val="superscript"/>
              </w:rPr>
              <w:fldChar w:fldCharType="end"/>
            </w:r>
          </w:p>
        </w:tc>
        <w:tc>
          <w:tcPr>
            <w:tcW w:w="2707" w:type="dxa"/>
            <w:vAlign w:val="center"/>
          </w:tcPr>
          <w:p w14:paraId="068945A6" w14:textId="77777777" w:rsidR="00877A4F" w:rsidRPr="003E0254" w:rsidRDefault="00877A4F" w:rsidP="00C411AC">
            <w:pPr>
              <w:spacing w:line="276" w:lineRule="auto"/>
              <w:jc w:val="center"/>
            </w:pPr>
            <w:r w:rsidRPr="003E0254">
              <w:t>Stability of electrodes and bifunctional catalyst</w:t>
            </w:r>
          </w:p>
        </w:tc>
        <w:tc>
          <w:tcPr>
            <w:tcW w:w="2026" w:type="dxa"/>
            <w:vAlign w:val="center"/>
          </w:tcPr>
          <w:p w14:paraId="5B419B6A" w14:textId="221B586F" w:rsidR="00877A4F" w:rsidRPr="003E0254" w:rsidRDefault="00877A4F" w:rsidP="00C411AC">
            <w:pPr>
              <w:spacing w:line="276" w:lineRule="auto"/>
              <w:jc w:val="center"/>
            </w:pPr>
            <w:r w:rsidRPr="003E0254">
              <w:rPr>
                <w:rFonts w:ascii="Calibri" w:hAnsi="Calibri" w:cs="Calibri"/>
              </w:rPr>
              <w:t>~</w:t>
            </w:r>
            <w:r w:rsidRPr="003E0254">
              <w:t>450 </w:t>
            </w:r>
            <w:proofErr w:type="spellStart"/>
            <w:r w:rsidRPr="003E0254">
              <w:t>Wh</w:t>
            </w:r>
            <w:proofErr w:type="spellEnd"/>
            <w:r w:rsidRPr="003E0254">
              <w:t> kg</w:t>
            </w:r>
            <w:r w:rsidRPr="003E0254">
              <w:rPr>
                <w:vertAlign w:val="superscript"/>
              </w:rPr>
              <w:t>-1</w:t>
            </w:r>
            <w:r w:rsidRPr="003E0254">
              <w:rPr>
                <w:vertAlign w:val="superscript"/>
              </w:rPr>
              <w:fldChar w:fldCharType="begin" w:fldLock="1"/>
            </w:r>
            <w:r w:rsidR="00500B8D" w:rsidRPr="003E0254">
              <w:rPr>
                <w:vertAlign w:val="superscript"/>
              </w:rPr>
              <w:instrText>ADDIN CSL_CITATION {"citationItems":[{"id":"ITEM-1","itemData":{"DOI":"10.1021/ACSENERGYLETT.0C01994/ASSET/IMAGES/LARGE/NZ0C01994_0003.JPEG","ISSN":"23808195","abstract":"Commercial primary zinc-Air batteries provide 450 Wh kgcell-1 (at the cell level), but the practical specific energy of secondary zinc-Air batteries remains unclear. Using a specific-energy model and data from reported zinc-Air cells, we show that some rechargeable zinc-Air electrode materials may already be capable of enabling system-level specific energies between 200 and 450 Wh kgsys-1. These values rival best-case projections for battery packs using lithium-sulfur, lithium metal paired with layered metal oxides, or open lithium-Air. By performing a sensitivity analysis on the reported specific-energy model, we show that depth of discharge, areal discharge capacity, and solid-volume fraction of the porous Zn electrode are the most important parameters for increasing specific energy, rather than discharge voltage. To achieve a high specific energy, bipolar zinc-Air cells need to cycle above 40% depth of discharge with areal discharge energies &gt;100 mWh cmgeo-2.","author":[{"dropping-particle":"","family":"Hopkins","given":"Brandon J.","non-dropping-particle":"","parse-names":false,"suffix":""},{"dropping-particle":"","family":"Chervin","given":"Christopher N.","non-dropping-particle":"","parse-names":false,"suffix":""},{"dropping-particle":"","family":"Long","given":"Jeffrey W.","non-dropping-particle":"","parse-names":false,"suffix":""},{"dropping-particle":"","family":"Rolison","given":"Debra R.","non-dropping-particle":"","parse-names":false,"suffix":""},{"dropping-particle":"","family":"Parker","given":"Joseph F.","non-dropping-particle":"","parse-names":false,"suffix":""}],"container-title":"ACS Energy Letters","id":"ITEM-1","issue":"11","issued":{"date-parts":[["2020","11","13"]]},"page":"3405-3408","publisher":"American Chemical Society","title":"Projecting the Specific Energy of Rechargeable Zinc-Air Batteries","type":"article-journal","volume":"5"},"uris":["http://www.mendeley.com/documents/?uuid=d72ce08c-d1a2-367f-98f3-404e0304983c"]}],"mendeley":{"formattedCitation":"&lt;sup&gt;[247]&lt;/sup&gt;","plainTextFormattedCitation":"[247]","previouslyFormattedCitation":"&lt;sup&gt;[246]&lt;/sup&gt;"},"properties":{"noteIndex":0},"schema":"https://github.com/citation-style-language/schema/raw/master/csl-citation.json"}</w:instrText>
            </w:r>
            <w:r w:rsidRPr="003E0254">
              <w:rPr>
                <w:vertAlign w:val="superscript"/>
              </w:rPr>
              <w:fldChar w:fldCharType="separate"/>
            </w:r>
            <w:r w:rsidR="00500B8D" w:rsidRPr="003E0254">
              <w:rPr>
                <w:noProof/>
                <w:vertAlign w:val="superscript"/>
              </w:rPr>
              <w:t>[247]</w:t>
            </w:r>
            <w:r w:rsidRPr="003E0254">
              <w:rPr>
                <w:vertAlign w:val="superscript"/>
              </w:rPr>
              <w:fldChar w:fldCharType="end"/>
            </w:r>
            <w:r w:rsidRPr="003E0254">
              <w:rPr>
                <w:vertAlign w:val="superscript"/>
              </w:rPr>
              <w:t xml:space="preserve"> </w:t>
            </w:r>
            <w:r w:rsidRPr="003E0254">
              <w:t>while maintaining high cycling stability, $12 kWh</w:t>
            </w:r>
            <w:r w:rsidRPr="003E0254">
              <w:rPr>
                <w:vertAlign w:val="superscript"/>
              </w:rPr>
              <w:t>-1</w:t>
            </w:r>
          </w:p>
        </w:tc>
        <w:tc>
          <w:tcPr>
            <w:tcW w:w="1673" w:type="dxa"/>
          </w:tcPr>
          <w:p w14:paraId="7EF40E7E" w14:textId="77777777" w:rsidR="00877A4F" w:rsidRPr="003E0254" w:rsidRDefault="00877A4F" w:rsidP="00C411AC">
            <w:pPr>
              <w:spacing w:line="276" w:lineRule="auto"/>
              <w:jc w:val="center"/>
              <w:rPr>
                <w:rFonts w:asciiTheme="majorHAnsi" w:hAnsiTheme="majorHAnsi" w:cs="Calibri"/>
              </w:rPr>
            </w:pPr>
            <w:r w:rsidRPr="003E0254">
              <w:rPr>
                <w:rFonts w:asciiTheme="majorHAnsi" w:hAnsiTheme="majorHAnsi" w:cs="Calibri"/>
              </w:rPr>
              <w:t>Stationary storage, industrial backup systems</w:t>
            </w:r>
          </w:p>
        </w:tc>
      </w:tr>
      <w:tr w:rsidR="00877A4F" w:rsidRPr="003E0254" w14:paraId="0EBAE692" w14:textId="77777777" w:rsidTr="00C411AC">
        <w:trPr>
          <w:jc w:val="center"/>
        </w:trPr>
        <w:tc>
          <w:tcPr>
            <w:tcW w:w="1226" w:type="dxa"/>
            <w:vAlign w:val="center"/>
          </w:tcPr>
          <w:p w14:paraId="7BC68A28" w14:textId="77777777" w:rsidR="00877A4F" w:rsidRPr="003E0254" w:rsidRDefault="00877A4F" w:rsidP="00C411AC">
            <w:pPr>
              <w:spacing w:line="276" w:lineRule="auto"/>
              <w:jc w:val="center"/>
            </w:pPr>
            <w:r w:rsidRPr="003E0254">
              <w:t>ZFB</w:t>
            </w:r>
          </w:p>
        </w:tc>
        <w:tc>
          <w:tcPr>
            <w:tcW w:w="1718" w:type="dxa"/>
            <w:vAlign w:val="center"/>
          </w:tcPr>
          <w:p w14:paraId="0AAF24EF" w14:textId="77777777" w:rsidR="00877A4F" w:rsidRPr="003E0254" w:rsidRDefault="00877A4F" w:rsidP="00C411AC">
            <w:pPr>
              <w:spacing w:line="276" w:lineRule="auto"/>
              <w:jc w:val="center"/>
            </w:pPr>
            <w:r w:rsidRPr="003E0254">
              <w:t xml:space="preserve">50-125 </w:t>
            </w:r>
            <w:proofErr w:type="spellStart"/>
            <w:r w:rsidRPr="003E0254">
              <w:t>Wh</w:t>
            </w:r>
            <w:proofErr w:type="spellEnd"/>
            <w:r w:rsidRPr="003E0254">
              <w:t> L</w:t>
            </w:r>
            <w:r w:rsidRPr="003E0254">
              <w:rPr>
                <w:vertAlign w:val="superscript"/>
              </w:rPr>
              <w:t>-1</w:t>
            </w:r>
          </w:p>
          <w:p w14:paraId="7C2896CC" w14:textId="77777777" w:rsidR="00877A4F" w:rsidRPr="003E0254" w:rsidRDefault="00877A4F" w:rsidP="00C411AC">
            <w:pPr>
              <w:spacing w:line="276" w:lineRule="auto"/>
              <w:jc w:val="center"/>
              <w:rPr>
                <w:color w:val="000000" w:themeColor="text1"/>
              </w:rPr>
            </w:pPr>
            <w:r w:rsidRPr="003E0254">
              <w:rPr>
                <w:color w:val="000000" w:themeColor="text1"/>
              </w:rPr>
              <w:t>$435</w:t>
            </w:r>
            <w:r w:rsidRPr="003E0254">
              <w:t> kWh</w:t>
            </w:r>
            <w:r w:rsidRPr="003E0254">
              <w:rPr>
                <w:vertAlign w:val="superscript"/>
              </w:rPr>
              <w:t>-1</w:t>
            </w:r>
            <w:r w:rsidRPr="003E0254">
              <w:rPr>
                <w:color w:val="000000" w:themeColor="text1"/>
              </w:rPr>
              <w:fldChar w:fldCharType="begin" w:fldLock="1"/>
            </w:r>
            <w:r w:rsidRPr="003E0254">
              <w:rPr>
                <w:color w:val="000000" w:themeColor="text1"/>
              </w:rPr>
              <w:instrText>ADDIN CSL_CITATION {"citationItems":[{"id":"ITEM-1","itemData":{"DOI":"10.1016/J.ELECTACTA.2022.141460","ISSN":"0013-4686","abstract":"Redox flow battery (RFB) is a promising technology to store large amounts of energies in liquid electrolytes attributable to their unique architectures. In recent years, various new chemistries have been introduced in both aqueous and non-aqueous electrolytes as pathways to lower-cost systems, eventually meeting the long-term cost target of USD$ &lt; 100 (kW h)−1 for board market penetration. Since there is a lack of capital cost data available for flow batteries under the same criteria and assumptions, a fact-based techno-economic analysis is evaluated based on real systems to facilitate the explorations of more competitive systems. In total, nine conventional and emerging flow battery systems are evaluated based on aqueous and non-aqueous electrolytes using existing architectures. This analysis is attempted to evaluate the feasibility of these emerging systems to meet the cost target and to predict their technological prospects for energy storage applications. The capital costs of these resulting flow batteries are compared and discussed, providing suggestions for further improvements to meet the ambitious cost target in long-term.","author":[{"dropping-particle":"","family":"Tang","given":"L.","non-dropping-particle":"","parse-names":false,"suffix":""},{"dropping-particle":"","family":"Leung","given":"P.","non-dropping-particle":"","parse-names":false,"suffix":""},{"dropping-particle":"","family":"Mohamed","given":"M. R.","non-dropping-particle":"","parse-names":false,"suffix":""},{"dropping-particle":"","family":"Xu","given":"Q.","non-dropping-particle":"","parse-names":false,"suffix":""},{"dropping-particle":"","family":"Dai","given":"S.","non-dropping-particle":"","parse-names":false,"suffix":""},{"dropping-particle":"","family":"Zhu","given":"X.","non-dropping-particle":"","parse-names":false,"suffix":""},{"dropping-particle":"","family":"Flox","given":"C.","non-dropping-particle":"","parse-names":false,"suffix":""},{"dropping-particle":"","family":"Shah","given":"A. A.","non-dropping-particle":"","parse-names":false,"suffix":""},{"dropping-particle":"","family":"Liao","given":"Q.","non-dropping-particle":"","parse-names":false,"suffix":""}],"container-title":"Electrochimica Acta","id":"ITEM-1","issued":{"date-parts":[["2023","1","1"]]},"page":"141460","publisher":"Pergamon","title":"Capital cost evaluation of conventional and emerging redox flow batteries for grid storage applications","type":"article-journal","volume":"437"},"uris":["http://www.mendeley.com/documents/?uuid=c533625b-6f7e-4489-b343-14d7dfc99c22"]}],"mendeley":{"formattedCitation":"&lt;sup&gt;[18]&lt;/sup&gt;","plainTextFormattedCitation":"[18]","previouslyFormattedCitation":"&lt;sup&gt;[18]&lt;/sup&gt;"},"properties":{"noteIndex":0},"schema":"https://github.com/citation-style-language/schema/raw/master/csl-citation.json"}</w:instrText>
            </w:r>
            <w:r w:rsidRPr="003E0254">
              <w:rPr>
                <w:color w:val="000000" w:themeColor="text1"/>
              </w:rPr>
              <w:fldChar w:fldCharType="separate"/>
            </w:r>
            <w:r w:rsidRPr="003E0254">
              <w:rPr>
                <w:noProof/>
                <w:color w:val="000000" w:themeColor="text1"/>
                <w:vertAlign w:val="superscript"/>
              </w:rPr>
              <w:t>[18]</w:t>
            </w:r>
            <w:r w:rsidRPr="003E0254">
              <w:rPr>
                <w:color w:val="000000" w:themeColor="text1"/>
              </w:rPr>
              <w:fldChar w:fldCharType="end"/>
            </w:r>
          </w:p>
        </w:tc>
        <w:tc>
          <w:tcPr>
            <w:tcW w:w="2707" w:type="dxa"/>
            <w:vAlign w:val="center"/>
          </w:tcPr>
          <w:p w14:paraId="3C2E163B" w14:textId="77777777" w:rsidR="00877A4F" w:rsidRPr="003E0254" w:rsidRDefault="00877A4F" w:rsidP="00C411AC">
            <w:pPr>
              <w:spacing w:line="276" w:lineRule="auto"/>
              <w:jc w:val="center"/>
            </w:pPr>
            <w:r w:rsidRPr="003E0254">
              <w:t>Stability of electrodes and electrolyte, modular flow cell system</w:t>
            </w:r>
          </w:p>
        </w:tc>
        <w:tc>
          <w:tcPr>
            <w:tcW w:w="2026" w:type="dxa"/>
            <w:vAlign w:val="center"/>
          </w:tcPr>
          <w:p w14:paraId="4F17B4AB" w14:textId="77777777" w:rsidR="00877A4F" w:rsidRPr="003E0254" w:rsidRDefault="00877A4F" w:rsidP="00C411AC">
            <w:pPr>
              <w:spacing w:line="276" w:lineRule="auto"/>
              <w:jc w:val="center"/>
            </w:pPr>
            <w:r w:rsidRPr="003E0254">
              <w:t xml:space="preserve">80-190 </w:t>
            </w:r>
            <w:proofErr w:type="spellStart"/>
            <w:r w:rsidRPr="003E0254">
              <w:t>Wh</w:t>
            </w:r>
            <w:proofErr w:type="spellEnd"/>
            <w:r w:rsidRPr="003E0254">
              <w:t> L</w:t>
            </w:r>
            <w:r w:rsidRPr="003E0254">
              <w:rPr>
                <w:vertAlign w:val="superscript"/>
              </w:rPr>
              <w:t>-1</w:t>
            </w:r>
            <w:r w:rsidRPr="003E0254">
              <w:t>, with regards to organic redox flow cells with higher cell voltage,</w:t>
            </w:r>
          </w:p>
          <w:p w14:paraId="5B7AD8CA" w14:textId="77777777" w:rsidR="00877A4F" w:rsidRPr="003E0254" w:rsidRDefault="00877A4F" w:rsidP="00C411AC">
            <w:pPr>
              <w:spacing w:line="276" w:lineRule="auto"/>
              <w:jc w:val="center"/>
            </w:pPr>
            <w:r w:rsidRPr="003E0254">
              <w:t>$191 kWh</w:t>
            </w:r>
            <w:r w:rsidRPr="003E0254">
              <w:rPr>
                <w:vertAlign w:val="superscript"/>
              </w:rPr>
              <w:t>-1</w:t>
            </w:r>
          </w:p>
        </w:tc>
        <w:tc>
          <w:tcPr>
            <w:tcW w:w="1673" w:type="dxa"/>
          </w:tcPr>
          <w:p w14:paraId="12DBA0F7" w14:textId="77777777" w:rsidR="00877A4F" w:rsidRPr="003E0254" w:rsidRDefault="00877A4F" w:rsidP="00C411AC">
            <w:pPr>
              <w:spacing w:line="276" w:lineRule="auto"/>
              <w:jc w:val="center"/>
              <w:rPr>
                <w:rFonts w:asciiTheme="majorHAnsi" w:hAnsiTheme="majorHAnsi"/>
              </w:rPr>
            </w:pPr>
            <w:r w:rsidRPr="003E0254">
              <w:rPr>
                <w:rFonts w:asciiTheme="majorHAnsi" w:hAnsiTheme="majorHAnsi"/>
              </w:rPr>
              <w:t>Off-peak storage for renewables, rapid demand support, stationary storage</w:t>
            </w:r>
          </w:p>
        </w:tc>
      </w:tr>
      <w:tr w:rsidR="00877A4F" w:rsidRPr="003E0254" w14:paraId="18C01135" w14:textId="77777777" w:rsidTr="00C411AC">
        <w:trPr>
          <w:jc w:val="center"/>
        </w:trPr>
        <w:tc>
          <w:tcPr>
            <w:tcW w:w="7677" w:type="dxa"/>
            <w:gridSpan w:val="4"/>
            <w:vAlign w:val="center"/>
          </w:tcPr>
          <w:p w14:paraId="332C236A" w14:textId="77777777" w:rsidR="00877A4F" w:rsidRPr="003E0254" w:rsidRDefault="00877A4F" w:rsidP="00C411AC">
            <w:pPr>
              <w:spacing w:line="276" w:lineRule="auto"/>
              <w:rPr>
                <w:sz w:val="18"/>
                <w:szCs w:val="18"/>
              </w:rPr>
            </w:pPr>
            <w:r w:rsidRPr="003E0254">
              <w:rPr>
                <w:sz w:val="18"/>
                <w:szCs w:val="18"/>
                <w:vertAlign w:val="superscript"/>
              </w:rPr>
              <w:t>a</w:t>
            </w:r>
            <w:r w:rsidRPr="003E0254">
              <w:rPr>
                <w:sz w:val="18"/>
                <w:szCs w:val="18"/>
              </w:rPr>
              <w:t>: Potentially including both material and production cost.</w:t>
            </w:r>
          </w:p>
        </w:tc>
        <w:tc>
          <w:tcPr>
            <w:tcW w:w="1673" w:type="dxa"/>
          </w:tcPr>
          <w:p w14:paraId="3F577213" w14:textId="77777777" w:rsidR="00877A4F" w:rsidRPr="003E0254" w:rsidRDefault="00877A4F" w:rsidP="00C411AC">
            <w:pPr>
              <w:spacing w:line="276" w:lineRule="auto"/>
              <w:rPr>
                <w:sz w:val="18"/>
                <w:szCs w:val="18"/>
                <w:vertAlign w:val="superscript"/>
              </w:rPr>
            </w:pPr>
          </w:p>
        </w:tc>
      </w:tr>
    </w:tbl>
    <w:p w14:paraId="1B60CA9D" w14:textId="77777777" w:rsidR="00877A4F" w:rsidRPr="003E0254" w:rsidRDefault="00877A4F" w:rsidP="00877A4F">
      <w:pPr>
        <w:spacing w:line="276" w:lineRule="auto"/>
      </w:pPr>
    </w:p>
    <w:p w14:paraId="6DB8D08F" w14:textId="63BB1329" w:rsidR="00CF71DC" w:rsidRPr="003E0254" w:rsidRDefault="00E07488" w:rsidP="00E07488">
      <w:pPr>
        <w:jc w:val="both"/>
        <w:rPr>
          <w14:ligatures w14:val="none"/>
        </w:rPr>
      </w:pPr>
      <w:r w:rsidRPr="003E0254">
        <w:rPr>
          <w14:ligatures w14:val="none"/>
        </w:rPr>
        <w:t>Across all three systems</w:t>
      </w:r>
      <w:r w:rsidR="009D49CF" w:rsidRPr="003E0254">
        <w:rPr>
          <w14:ligatures w14:val="none"/>
        </w:rPr>
        <w:t xml:space="preserve"> (</w:t>
      </w:r>
      <w:r w:rsidR="00CF71DC" w:rsidRPr="003E0254">
        <w:rPr>
          <w14:ligatures w14:val="none"/>
        </w:rPr>
        <w:t xml:space="preserve">see </w:t>
      </w:r>
      <w:r w:rsidR="009D49CF" w:rsidRPr="003E0254">
        <w:rPr>
          <w14:ligatures w14:val="none"/>
        </w:rPr>
        <w:t>Table 7)</w:t>
      </w:r>
      <w:r w:rsidRPr="003E0254">
        <w:rPr>
          <w14:ligatures w14:val="none"/>
        </w:rPr>
        <w:t xml:space="preserve">, extending </w:t>
      </w:r>
      <w:r w:rsidR="00CF71DC" w:rsidRPr="003E0254">
        <w:rPr>
          <w14:ligatures w14:val="none"/>
        </w:rPr>
        <w:t xml:space="preserve">the </w:t>
      </w:r>
      <w:r w:rsidRPr="003E0254">
        <w:rPr>
          <w14:ligatures w14:val="none"/>
        </w:rPr>
        <w:t xml:space="preserve">cycle life and achieving high energy efficiency remain overarching challenges. Future research must systematically address degradation mechanisms—including </w:t>
      </w:r>
      <w:r w:rsidR="00CF71DC" w:rsidRPr="003E0254">
        <w:rPr>
          <w14:ligatures w14:val="none"/>
        </w:rPr>
        <w:t xml:space="preserve">the dissolution of </w:t>
      </w:r>
      <w:r w:rsidRPr="003E0254">
        <w:rPr>
          <w14:ligatures w14:val="none"/>
        </w:rPr>
        <w:t>transition metal</w:t>
      </w:r>
      <w:r w:rsidR="00CF71DC" w:rsidRPr="003E0254">
        <w:rPr>
          <w14:ligatures w14:val="none"/>
        </w:rPr>
        <w:t>s</w:t>
      </w:r>
      <w:r w:rsidRPr="003E0254">
        <w:rPr>
          <w14:ligatures w14:val="none"/>
        </w:rPr>
        <w:t xml:space="preserve">, dendritic growth, and parasitic side reactions—through targeted material design, interface engineering, and electrolyte optimization. </w:t>
      </w:r>
      <w:r w:rsidR="00CF71DC" w:rsidRPr="003E0254">
        <w:rPr>
          <w14:ligatures w14:val="none"/>
        </w:rPr>
        <w:t>A deeper understanding of these failure modes, especially under practical operating conditions, will enable the development of mitigation strategies essential for long-term durability. However, to our knowledge, there are currently no standardized testing protocols available for the comparable assessment of stationary cells under real-life conditions. This lack of standardized testing poses additional challenges when translating new laboratory developments to industrial applications.</w:t>
      </w:r>
    </w:p>
    <w:p w14:paraId="050CFA64" w14:textId="3E280ACA" w:rsidR="00E07488" w:rsidRPr="003E0254" w:rsidRDefault="008667CA" w:rsidP="00E07488">
      <w:pPr>
        <w:pBdr>
          <w:top w:val="none" w:sz="4" w:space="0" w:color="000000"/>
          <w:left w:val="none" w:sz="4" w:space="0" w:color="000000"/>
          <w:bottom w:val="none" w:sz="4" w:space="0" w:color="000000"/>
          <w:right w:val="none" w:sz="4" w:space="0" w:color="000000"/>
        </w:pBdr>
        <w:jc w:val="both"/>
      </w:pPr>
      <w:r w:rsidRPr="003E0254">
        <w:t xml:space="preserve">Beyond their technical features, zinc batteries present significant economic and ecological advantages, partly due to the accessibility and price stability of zinc resources. </w:t>
      </w:r>
      <w:r w:rsidR="00E07488" w:rsidRPr="003E0254">
        <w:t xml:space="preserve">Firstly, the accessibility of zinc resources and the stability of their prices are crucial factors. Conversely, lithium is in high demand and has experienced supply shortages in the past, resulting in price volatility. Similar issues affect other materials that are essential for state-of-the-art battery systems, including nickel, cobalt and vanadium. The accessibility of zinc, along with the consistency of its costs and prices, makes it a sustainable resource for long-term technological applications, particularly in battery production. </w:t>
      </w:r>
      <w:r w:rsidR="00E07488" w:rsidRPr="003E0254">
        <w:rPr>
          <w14:ligatures w14:val="none"/>
        </w:rPr>
        <w:t>Furthermore, zinc flow and zinc-air batteries require only minimal amounts of scarce raw materials, whereas intercalation chemistries (such as lithium-ion) necessitate larger quantities. The sustainability and availability of the materials used in zinc metal batteries have been thoroughly investigated, as these factors are key to successful implementation.</w:t>
      </w:r>
    </w:p>
    <w:p w14:paraId="5DEE8F4A" w14:textId="77777777" w:rsidR="00E07488" w:rsidRPr="003E0254" w:rsidRDefault="00E07488" w:rsidP="00E07488">
      <w:pPr>
        <w:pBdr>
          <w:top w:val="none" w:sz="4" w:space="0" w:color="000000"/>
          <w:left w:val="none" w:sz="4" w:space="0" w:color="000000"/>
          <w:bottom w:val="none" w:sz="4" w:space="0" w:color="000000"/>
          <w:right w:val="none" w:sz="4" w:space="0" w:color="000000"/>
        </w:pBdr>
        <w:jc w:val="both"/>
        <w:rPr>
          <w14:ligatures w14:val="none"/>
        </w:rPr>
      </w:pPr>
      <w:r w:rsidRPr="003E0254">
        <w:t xml:space="preserve">In terms of cost implications, zinc-based batteries have notable advantages. The material costs associated with zinc-metal batteries are lower on a per kilowatt-hour basis compared to their lithium-ion counterparts. In particular, zinc-air batteries stand out due to their overall potential for low material costs, positioning them as potentially cost-effective options for electrochemical energy storage. However, the practical feasibility of transferring the theoretically modeled zinc-air battery with the assumed </w:t>
      </w:r>
      <w:r w:rsidRPr="003E0254">
        <w:lastRenderedPageBreak/>
        <w:t>specifications into real world application remains questionable, particularly with regard to lifespan and cyclability. This is due to the aforementioned issues and limitations that need to be addressed, which may have cost implications. Zinc redox flow batteries are even more expensive than their already quite costly vanadium counterparts, but have advantages in terms of lower price volatility and the hopes for cost savings with organic materials in the future.</w:t>
      </w:r>
    </w:p>
    <w:p w14:paraId="23FBF63B" w14:textId="75EA7F51" w:rsidR="00E07488" w:rsidRPr="003E0254" w:rsidRDefault="008667CA" w:rsidP="00E07488">
      <w:pPr>
        <w:pBdr>
          <w:top w:val="none" w:sz="4" w:space="0" w:color="000000"/>
          <w:left w:val="none" w:sz="4" w:space="0" w:color="000000"/>
          <w:bottom w:val="none" w:sz="4" w:space="0" w:color="000000"/>
          <w:right w:val="none" w:sz="4" w:space="0" w:color="000000"/>
        </w:pBdr>
        <w:jc w:val="both"/>
      </w:pPr>
      <w:r w:rsidRPr="003E0254">
        <w:t xml:space="preserve">Regarding environmental impact, the ZMBs and the ZAM outperform their lithium counterparts with a substantially lower global warming potential. While the ZRFB exhibits a higher GWP, this may be offset by its potentially longer cycle life. </w:t>
      </w:r>
      <w:r w:rsidR="00E07488" w:rsidRPr="003E0254">
        <w:t xml:space="preserve">Recyclability is another area where zinc-based batteries excel. Their use of non-toxic aqueous electrolytes allows for simpler and less environmentally impactful recycling processes. They integrate easily into the existing recycling infrastructure, supporting the transition to closed-loop systems. The growing market for stationary energy storage enhances the appeal of a diverse battery technology space including zinc-based batteries, supported by funding and development projects, indicating their potential role in sustainable energy solutions. </w:t>
      </w:r>
    </w:p>
    <w:p w14:paraId="0513FC17" w14:textId="77777777" w:rsidR="00877A4F" w:rsidRPr="003E0254" w:rsidRDefault="00877A4F" w:rsidP="00877A4F">
      <w:pPr>
        <w:jc w:val="both"/>
        <w:rPr>
          <w14:ligatures w14:val="none"/>
        </w:rPr>
      </w:pPr>
      <w:r w:rsidRPr="003E0254">
        <w:rPr>
          <w14:ligatures w14:val="none"/>
        </w:rPr>
        <w:t>In conclusion, while each zinc battery chemistry exhibits unique strengths and application niches, their shared advantages—such as material abundance, low toxicity, and established recyclability—position them as highly attractive candidates for sustainable, large-scale energy storage. A coordinated research effort that integrates material innovation with system-level engineering and techno-economic analysis will be critical to unlock their full potential in future energy infrastructures.</w:t>
      </w:r>
    </w:p>
    <w:p w14:paraId="0A8CAB5F" w14:textId="77777777" w:rsidR="00620D1F" w:rsidRPr="003E0254" w:rsidRDefault="00620D1F" w:rsidP="00877A4F">
      <w:pPr>
        <w:jc w:val="both"/>
        <w:rPr>
          <w14:ligatures w14:val="none"/>
        </w:rPr>
      </w:pPr>
    </w:p>
    <w:p w14:paraId="0C02071F" w14:textId="120B3919" w:rsidR="004178FF" w:rsidRPr="003E0254" w:rsidRDefault="004178FF" w:rsidP="004178FF">
      <w:pPr>
        <w:pBdr>
          <w:top w:val="none" w:sz="4" w:space="0" w:color="000000"/>
          <w:left w:val="none" w:sz="4" w:space="0" w:color="000000"/>
          <w:bottom w:val="none" w:sz="4" w:space="0" w:color="000000"/>
          <w:right w:val="none" w:sz="4" w:space="0" w:color="000000"/>
        </w:pBdr>
        <w:spacing w:line="276" w:lineRule="auto"/>
        <w:jc w:val="both"/>
        <w:rPr>
          <w:b/>
          <w:bCs/>
        </w:rPr>
      </w:pPr>
      <w:r w:rsidRPr="003E0254">
        <w:rPr>
          <w:b/>
          <w:bCs/>
        </w:rPr>
        <w:t>Acknowledgements:</w:t>
      </w:r>
    </w:p>
    <w:p w14:paraId="7D8A7B13" w14:textId="374A1857" w:rsidR="00351058" w:rsidRPr="003E0254" w:rsidRDefault="00351058" w:rsidP="00351058">
      <w:pPr>
        <w:pBdr>
          <w:top w:val="none" w:sz="4" w:space="0" w:color="000000"/>
          <w:left w:val="none" w:sz="4" w:space="0" w:color="000000"/>
          <w:bottom w:val="none" w:sz="4" w:space="0" w:color="000000"/>
          <w:right w:val="none" w:sz="4" w:space="0" w:color="000000"/>
        </w:pBdr>
        <w:jc w:val="both"/>
      </w:pPr>
      <w:r w:rsidRPr="003E0254">
        <w:t xml:space="preserve">The researchers from IET-1, </w:t>
      </w:r>
      <w:proofErr w:type="spellStart"/>
      <w:r w:rsidRPr="003E0254">
        <w:t>Forschungszentrum</w:t>
      </w:r>
      <w:proofErr w:type="spellEnd"/>
      <w:r w:rsidRPr="003E0254">
        <w:t xml:space="preserve"> </w:t>
      </w:r>
      <w:proofErr w:type="spellStart"/>
      <w:r w:rsidRPr="003E0254">
        <w:t>Jülich</w:t>
      </w:r>
      <w:proofErr w:type="spellEnd"/>
      <w:r w:rsidRPr="003E0254">
        <w:t xml:space="preserve"> acknowledge the projects </w:t>
      </w:r>
      <w:proofErr w:type="spellStart"/>
      <w:r w:rsidRPr="003E0254">
        <w:t>Verbundvorhaben</w:t>
      </w:r>
      <w:proofErr w:type="spellEnd"/>
      <w:r w:rsidRPr="003E0254">
        <w:t xml:space="preserve"> iNEW2.0 (03SF0627A) and </w:t>
      </w:r>
      <w:proofErr w:type="spellStart"/>
      <w:r w:rsidRPr="003E0254">
        <w:t>FeEnCap</w:t>
      </w:r>
      <w:proofErr w:type="spellEnd"/>
      <w:r w:rsidRPr="003E0254">
        <w:t xml:space="preserve"> (13XP0536B) that were funded by the German Federal Ministry of Education and Research (BMBF). The authors thank Andre Bar for preparing </w:t>
      </w:r>
      <w:r w:rsidR="00A6509C" w:rsidRPr="003E0254">
        <w:t>Figure</w:t>
      </w:r>
      <w:r w:rsidRPr="003E0254">
        <w:t xml:space="preserve"> 2 and the TOC. </w:t>
      </w:r>
    </w:p>
    <w:p w14:paraId="4A95BA66" w14:textId="77777777" w:rsidR="00AD1450" w:rsidRPr="003E0254" w:rsidRDefault="00AD1450" w:rsidP="002772C3">
      <w:pPr>
        <w:pBdr>
          <w:top w:val="none" w:sz="4" w:space="0" w:color="000000"/>
          <w:left w:val="none" w:sz="4" w:space="0" w:color="000000"/>
          <w:bottom w:val="none" w:sz="4" w:space="0" w:color="000000"/>
          <w:right w:val="none" w:sz="4" w:space="0" w:color="000000"/>
        </w:pBdr>
        <w:spacing w:line="276" w:lineRule="auto"/>
        <w:jc w:val="both"/>
        <w:rPr>
          <w:b/>
          <w:bCs/>
        </w:rPr>
      </w:pPr>
    </w:p>
    <w:p w14:paraId="04260668" w14:textId="77777777" w:rsidR="00AD1450" w:rsidRPr="003E0254" w:rsidRDefault="00AD1450" w:rsidP="002772C3">
      <w:pPr>
        <w:pBdr>
          <w:top w:val="none" w:sz="4" w:space="0" w:color="000000"/>
          <w:left w:val="none" w:sz="4" w:space="0" w:color="000000"/>
          <w:bottom w:val="none" w:sz="4" w:space="0" w:color="000000"/>
          <w:right w:val="none" w:sz="4" w:space="0" w:color="000000"/>
        </w:pBdr>
        <w:spacing w:line="276" w:lineRule="auto"/>
        <w:jc w:val="both"/>
        <w:rPr>
          <w:b/>
          <w:bCs/>
        </w:rPr>
      </w:pPr>
    </w:p>
    <w:p w14:paraId="75A42ED6" w14:textId="77777777" w:rsidR="00AD1450" w:rsidRPr="003E0254" w:rsidRDefault="00AD1450" w:rsidP="002772C3">
      <w:pPr>
        <w:pBdr>
          <w:top w:val="none" w:sz="4" w:space="0" w:color="000000"/>
          <w:left w:val="none" w:sz="4" w:space="0" w:color="000000"/>
          <w:bottom w:val="none" w:sz="4" w:space="0" w:color="000000"/>
          <w:right w:val="none" w:sz="4" w:space="0" w:color="000000"/>
        </w:pBdr>
        <w:spacing w:line="276" w:lineRule="auto"/>
        <w:jc w:val="both"/>
        <w:rPr>
          <w:b/>
          <w:bCs/>
        </w:rPr>
      </w:pPr>
    </w:p>
    <w:p w14:paraId="0DFD82CE" w14:textId="77777777" w:rsidR="00AD1450" w:rsidRPr="003E0254" w:rsidRDefault="00AD1450" w:rsidP="002772C3">
      <w:pPr>
        <w:pBdr>
          <w:top w:val="none" w:sz="4" w:space="0" w:color="000000"/>
          <w:left w:val="none" w:sz="4" w:space="0" w:color="000000"/>
          <w:bottom w:val="none" w:sz="4" w:space="0" w:color="000000"/>
          <w:right w:val="none" w:sz="4" w:space="0" w:color="000000"/>
        </w:pBdr>
        <w:spacing w:line="276" w:lineRule="auto"/>
        <w:jc w:val="both"/>
        <w:rPr>
          <w:b/>
          <w:bCs/>
        </w:rPr>
      </w:pPr>
    </w:p>
    <w:p w14:paraId="17A8E7B1" w14:textId="77777777" w:rsidR="00AD1450" w:rsidRPr="003E0254" w:rsidRDefault="00AD1450" w:rsidP="002772C3">
      <w:pPr>
        <w:pBdr>
          <w:top w:val="none" w:sz="4" w:space="0" w:color="000000"/>
          <w:left w:val="none" w:sz="4" w:space="0" w:color="000000"/>
          <w:bottom w:val="none" w:sz="4" w:space="0" w:color="000000"/>
          <w:right w:val="none" w:sz="4" w:space="0" w:color="000000"/>
        </w:pBdr>
        <w:spacing w:line="276" w:lineRule="auto"/>
        <w:jc w:val="both"/>
        <w:rPr>
          <w:b/>
          <w:bCs/>
        </w:rPr>
      </w:pPr>
    </w:p>
    <w:p w14:paraId="77F6864B" w14:textId="518FE09E" w:rsidR="002772C3" w:rsidRPr="003E0254" w:rsidRDefault="002772C3" w:rsidP="002772C3">
      <w:pPr>
        <w:pBdr>
          <w:top w:val="none" w:sz="4" w:space="0" w:color="000000"/>
          <w:left w:val="none" w:sz="4" w:space="0" w:color="000000"/>
          <w:bottom w:val="none" w:sz="4" w:space="0" w:color="000000"/>
          <w:right w:val="none" w:sz="4" w:space="0" w:color="000000"/>
        </w:pBdr>
        <w:spacing w:line="276" w:lineRule="auto"/>
        <w:jc w:val="both"/>
        <w:rPr>
          <w:b/>
          <w:bCs/>
        </w:rPr>
      </w:pPr>
      <w:r w:rsidRPr="003E0254">
        <w:rPr>
          <w:b/>
          <w:bCs/>
        </w:rPr>
        <w:t>TOC-</w:t>
      </w:r>
      <w:r w:rsidR="00391B14" w:rsidRPr="003E0254">
        <w:rPr>
          <w:b/>
          <w:bCs/>
        </w:rPr>
        <w:t>(</w:t>
      </w:r>
      <w:r w:rsidRPr="003E0254">
        <w:rPr>
          <w:b/>
          <w:bCs/>
        </w:rPr>
        <w:t>Text 50-60 words):</w:t>
      </w:r>
    </w:p>
    <w:p w14:paraId="478AD665" w14:textId="3447E691" w:rsidR="002772C3" w:rsidRPr="003E0254" w:rsidRDefault="002772C3" w:rsidP="002772C3">
      <w:pPr>
        <w:pBdr>
          <w:top w:val="none" w:sz="4" w:space="0" w:color="000000"/>
          <w:left w:val="none" w:sz="4" w:space="0" w:color="000000"/>
          <w:bottom w:val="none" w:sz="4" w:space="0" w:color="000000"/>
          <w:right w:val="none" w:sz="4" w:space="0" w:color="000000"/>
        </w:pBdr>
        <w:spacing w:line="276" w:lineRule="auto"/>
        <w:jc w:val="both"/>
      </w:pPr>
      <w:r w:rsidRPr="003E0254">
        <w:t xml:space="preserve">Growing energy demands and the associated increase of renewable energy production require robust, sustainable, and cost-effective </w:t>
      </w:r>
      <w:r w:rsidR="008B7DDD" w:rsidRPr="003E0254">
        <w:t xml:space="preserve">energy </w:t>
      </w:r>
      <w:r w:rsidRPr="003E0254">
        <w:t>storage</w:t>
      </w:r>
      <w:r w:rsidR="008B7DDD" w:rsidRPr="003E0254">
        <w:t>, in particular for large scale stationary applications</w:t>
      </w:r>
      <w:r w:rsidRPr="003E0254">
        <w:t xml:space="preserve">. This </w:t>
      </w:r>
      <w:r w:rsidR="005F1004" w:rsidRPr="003E0254">
        <w:t>review</w:t>
      </w:r>
      <w:r w:rsidRPr="003E0254">
        <w:t xml:space="preserve"> evaluates zinc-based batteries as alternatives to lithium-ion and vanadium </w:t>
      </w:r>
      <w:r w:rsidR="008B7DDD" w:rsidRPr="003E0254">
        <w:t xml:space="preserve">redox flow </w:t>
      </w:r>
      <w:r w:rsidRPr="003E0254">
        <w:t xml:space="preserve">systems by emphasizing zinc’s </w:t>
      </w:r>
      <w:r w:rsidR="00252B85" w:rsidRPr="003E0254">
        <w:t>accessibility</w:t>
      </w:r>
      <w:r w:rsidRPr="003E0254">
        <w:t>, affordability, reduced environmental impact, and recycling advantages. Diverse chemistries, advanced electrode designs, and techno-economic analyses underscore zinc batteries’ promise for sustainable energy storage.</w:t>
      </w:r>
    </w:p>
    <w:p w14:paraId="54FB0757" w14:textId="77777777" w:rsidR="005F1004" w:rsidRPr="003E0254" w:rsidRDefault="005F1004" w:rsidP="002772C3">
      <w:pPr>
        <w:pBdr>
          <w:top w:val="none" w:sz="4" w:space="0" w:color="000000"/>
          <w:left w:val="none" w:sz="4" w:space="0" w:color="000000"/>
          <w:bottom w:val="none" w:sz="4" w:space="0" w:color="000000"/>
          <w:right w:val="none" w:sz="4" w:space="0" w:color="000000"/>
        </w:pBdr>
        <w:spacing w:line="276" w:lineRule="auto"/>
        <w:jc w:val="both"/>
        <w:rPr>
          <w14:ligatures w14:val="non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32663E" w:rsidRPr="003E0254" w14:paraId="635E9F03" w14:textId="77777777" w:rsidTr="0032663E">
        <w:tc>
          <w:tcPr>
            <w:tcW w:w="9350" w:type="dxa"/>
          </w:tcPr>
          <w:p w14:paraId="47715F37" w14:textId="51536DEE" w:rsidR="0032663E" w:rsidRPr="003E0254" w:rsidRDefault="0062091A" w:rsidP="005F1004">
            <w:pPr>
              <w:jc w:val="center"/>
            </w:pPr>
            <w:r w:rsidRPr="003E0254">
              <w:rPr>
                <w:noProof/>
              </w:rPr>
              <w:lastRenderedPageBreak/>
              <w:drawing>
                <wp:inline distT="0" distB="0" distL="0" distR="0" wp14:anchorId="45E35979" wp14:editId="6E07607F">
                  <wp:extent cx="3352800" cy="3041162"/>
                  <wp:effectExtent l="0" t="0" r="0" b="6985"/>
                  <wp:docPr id="1732787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355016" cy="3043172"/>
                          </a:xfrm>
                          <a:prstGeom prst="rect">
                            <a:avLst/>
                          </a:prstGeom>
                          <a:noFill/>
                          <a:ln>
                            <a:noFill/>
                          </a:ln>
                        </pic:spPr>
                      </pic:pic>
                    </a:graphicData>
                  </a:graphic>
                </wp:inline>
              </w:drawing>
            </w:r>
          </w:p>
        </w:tc>
      </w:tr>
    </w:tbl>
    <w:p w14:paraId="5D433DAE" w14:textId="77777777" w:rsidR="00CA5113" w:rsidRPr="003E0254" w:rsidRDefault="00CA5113">
      <w:pPr>
        <w:pBdr>
          <w:top w:val="none" w:sz="4" w:space="0" w:color="000000"/>
          <w:left w:val="none" w:sz="4" w:space="0" w:color="000000"/>
          <w:bottom w:val="none" w:sz="4" w:space="0" w:color="000000"/>
          <w:right w:val="none" w:sz="4" w:space="0" w:color="000000"/>
        </w:pBdr>
        <w:jc w:val="both"/>
        <w:rPr>
          <w:lang w:val="de-DE"/>
        </w:rPr>
      </w:pPr>
    </w:p>
    <w:p w14:paraId="7E162EEF" w14:textId="77777777" w:rsidR="001A0570" w:rsidRPr="003E0254" w:rsidRDefault="001A0570">
      <w:pPr>
        <w:pBdr>
          <w:top w:val="none" w:sz="4" w:space="0" w:color="000000"/>
          <w:left w:val="none" w:sz="4" w:space="0" w:color="000000"/>
          <w:bottom w:val="none" w:sz="4" w:space="0" w:color="000000"/>
          <w:right w:val="none" w:sz="4" w:space="0" w:color="000000"/>
        </w:pBdr>
        <w:jc w:val="both"/>
        <w:rPr>
          <w:lang w:val="de-DE"/>
        </w:rPr>
      </w:pPr>
    </w:p>
    <w:p w14:paraId="56943240"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7A115E34"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5205ABD8"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24388706"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5A6360FC"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5CC75504"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5BAE6EA6"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6919CFC1"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342AB25A" w14:textId="77777777" w:rsidR="00EB6F14" w:rsidRPr="003E0254" w:rsidRDefault="00EB6F14">
      <w:pPr>
        <w:pBdr>
          <w:top w:val="none" w:sz="4" w:space="0" w:color="000000"/>
          <w:left w:val="none" w:sz="4" w:space="0" w:color="000000"/>
          <w:bottom w:val="none" w:sz="4" w:space="0" w:color="000000"/>
          <w:right w:val="none" w:sz="4" w:space="0" w:color="000000"/>
        </w:pBdr>
        <w:jc w:val="both"/>
        <w:rPr>
          <w:lang w:val="de-DE"/>
        </w:rPr>
      </w:pPr>
    </w:p>
    <w:p w14:paraId="5DAC216C" w14:textId="113428B5" w:rsidR="00E526CE" w:rsidRPr="003E0254" w:rsidRDefault="008613D2" w:rsidP="008613D2">
      <w:pPr>
        <w:pStyle w:val="berschrift2"/>
        <w:rPr>
          <w:lang w:val="de-DE"/>
        </w:rPr>
      </w:pPr>
      <w:r w:rsidRPr="003E0254">
        <w:rPr>
          <w:lang w:val="de-DE"/>
        </w:rPr>
        <w:t xml:space="preserve">6. </w:t>
      </w:r>
      <w:r w:rsidR="00E526CE" w:rsidRPr="003E0254">
        <w:rPr>
          <w:lang w:val="de-DE"/>
        </w:rPr>
        <w:t>References</w:t>
      </w:r>
    </w:p>
    <w:p w14:paraId="6EB97CF6" w14:textId="1AD2A4D5" w:rsidR="00500B8D" w:rsidRPr="003E0254" w:rsidRDefault="00E526CE" w:rsidP="00500B8D">
      <w:pPr>
        <w:widowControl w:val="0"/>
        <w:autoSpaceDE w:val="0"/>
        <w:autoSpaceDN w:val="0"/>
        <w:adjustRightInd w:val="0"/>
        <w:spacing w:line="240" w:lineRule="auto"/>
        <w:ind w:left="640" w:hanging="640"/>
        <w:rPr>
          <w:rFonts w:ascii="Aptos" w:hAnsi="Aptos" w:cs="Times New Roman"/>
          <w:noProof/>
        </w:rPr>
      </w:pPr>
      <w:r w:rsidRPr="003E0254">
        <w:fldChar w:fldCharType="begin" w:fldLock="1"/>
      </w:r>
      <w:r w:rsidRPr="003E0254">
        <w:rPr>
          <w:lang w:val="de-DE"/>
        </w:rPr>
        <w:instrText xml:space="preserve">ADDIN Mendeley Bibliography CSL_BIBLIOGRAPHY </w:instrText>
      </w:r>
      <w:r w:rsidRPr="003E0254">
        <w:fldChar w:fldCharType="separate"/>
      </w:r>
      <w:r w:rsidR="00500B8D" w:rsidRPr="003E0254">
        <w:rPr>
          <w:rFonts w:ascii="Aptos" w:hAnsi="Aptos" w:cs="Times New Roman"/>
          <w:noProof/>
          <w:lang w:val="de-DE"/>
        </w:rPr>
        <w:t xml:space="preserve">[1] </w:t>
      </w:r>
      <w:r w:rsidR="00500B8D" w:rsidRPr="003E0254">
        <w:rPr>
          <w:rFonts w:ascii="Aptos" w:hAnsi="Aptos" w:cs="Times New Roman"/>
          <w:noProof/>
          <w:lang w:val="de-DE"/>
        </w:rPr>
        <w:tab/>
        <w:t xml:space="preserve">A. A. Kebede, T. Kalogiannis, J. Van Mierlo, M. Berecibar, </w:t>
      </w:r>
      <w:r w:rsidR="00500B8D" w:rsidRPr="003E0254">
        <w:rPr>
          <w:rFonts w:ascii="Aptos" w:hAnsi="Aptos" w:cs="Times New Roman"/>
          <w:i/>
          <w:iCs/>
          <w:noProof/>
          <w:lang w:val="de-DE"/>
        </w:rPr>
        <w:t xml:space="preserve">Renew. </w:t>
      </w:r>
      <w:r w:rsidR="00500B8D" w:rsidRPr="003E0254">
        <w:rPr>
          <w:rFonts w:ascii="Aptos" w:hAnsi="Aptos" w:cs="Times New Roman"/>
          <w:i/>
          <w:iCs/>
          <w:noProof/>
        </w:rPr>
        <w:t>Sustain. Energy Rev.</w:t>
      </w:r>
      <w:r w:rsidR="00500B8D" w:rsidRPr="003E0254">
        <w:rPr>
          <w:rFonts w:ascii="Aptos" w:hAnsi="Aptos" w:cs="Times New Roman"/>
          <w:noProof/>
        </w:rPr>
        <w:t xml:space="preserve"> </w:t>
      </w:r>
      <w:r w:rsidR="00500B8D" w:rsidRPr="003E0254">
        <w:rPr>
          <w:rFonts w:ascii="Aptos" w:hAnsi="Aptos" w:cs="Times New Roman"/>
          <w:b/>
          <w:bCs/>
          <w:noProof/>
        </w:rPr>
        <w:t>2022</w:t>
      </w:r>
      <w:r w:rsidR="00500B8D" w:rsidRPr="003E0254">
        <w:rPr>
          <w:rFonts w:ascii="Aptos" w:hAnsi="Aptos" w:cs="Times New Roman"/>
          <w:noProof/>
        </w:rPr>
        <w:t xml:space="preserve">, </w:t>
      </w:r>
      <w:r w:rsidR="00500B8D" w:rsidRPr="003E0254">
        <w:rPr>
          <w:rFonts w:ascii="Aptos" w:hAnsi="Aptos" w:cs="Times New Roman"/>
          <w:i/>
          <w:iCs/>
          <w:noProof/>
        </w:rPr>
        <w:t>159</w:t>
      </w:r>
      <w:r w:rsidR="00500B8D" w:rsidRPr="003E0254">
        <w:rPr>
          <w:rFonts w:ascii="Aptos" w:hAnsi="Aptos" w:cs="Times New Roman"/>
          <w:noProof/>
        </w:rPr>
        <w:t>, 112213.</w:t>
      </w:r>
    </w:p>
    <w:p w14:paraId="5CFBCC0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 </w:t>
      </w:r>
      <w:r w:rsidRPr="003E0254">
        <w:rPr>
          <w:rFonts w:ascii="Aptos" w:hAnsi="Aptos" w:cs="Times New Roman"/>
          <w:noProof/>
        </w:rPr>
        <w:tab/>
        <w:t xml:space="preserve">Z. Zhu, T. Jiang, M. Ali, Y. Meng, Y. Jin, Y. Cui, W. Chen, </w:t>
      </w:r>
      <w:r w:rsidRPr="003E0254">
        <w:rPr>
          <w:rFonts w:ascii="Aptos" w:hAnsi="Aptos" w:cs="Times New Roman"/>
          <w:i/>
          <w:iCs/>
          <w:noProof/>
        </w:rPr>
        <w:t xml:space="preserve">Chem. </w:t>
      </w:r>
      <w:r w:rsidRPr="003E0254">
        <w:rPr>
          <w:rFonts w:ascii="Aptos" w:hAnsi="Aptos" w:cs="Times New Roman"/>
          <w:i/>
          <w:iCs/>
          <w:noProof/>
          <w:lang w:val="de-DE"/>
        </w:rPr>
        <w:t>Rev.</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122</w:t>
      </w:r>
      <w:r w:rsidRPr="003E0254">
        <w:rPr>
          <w:rFonts w:ascii="Aptos" w:hAnsi="Aptos" w:cs="Times New Roman"/>
          <w:noProof/>
          <w:lang w:val="de-DE"/>
        </w:rPr>
        <w:t>, 16610.</w:t>
      </w:r>
    </w:p>
    <w:p w14:paraId="42CFCAB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[3] </w:t>
      </w:r>
      <w:r w:rsidRPr="003E0254">
        <w:rPr>
          <w:rFonts w:ascii="Aptos" w:hAnsi="Aptos" w:cs="Times New Roman"/>
          <w:noProof/>
          <w:lang w:val="de-DE"/>
        </w:rPr>
        <w:tab/>
        <w:t xml:space="preserve">A. Innocenti, D. Bresser, J. Garche, S. Passerini, </w:t>
      </w:r>
      <w:r w:rsidRPr="003E0254">
        <w:rPr>
          <w:rFonts w:ascii="Aptos" w:hAnsi="Aptos" w:cs="Times New Roman"/>
          <w:i/>
          <w:iCs/>
          <w:noProof/>
          <w:lang w:val="de-DE"/>
        </w:rPr>
        <w:t>Nat. Commun. 2024 151</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15</w:t>
      </w:r>
      <w:r w:rsidRPr="003E0254">
        <w:rPr>
          <w:rFonts w:ascii="Aptos" w:hAnsi="Aptos" w:cs="Times New Roman"/>
          <w:noProof/>
          <w:lang w:val="de-DE"/>
        </w:rPr>
        <w:t>, 1.</w:t>
      </w:r>
    </w:p>
    <w:p w14:paraId="38A1A17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 </w:t>
      </w:r>
      <w:r w:rsidRPr="003E0254">
        <w:rPr>
          <w:rFonts w:ascii="Aptos" w:hAnsi="Aptos" w:cs="Times New Roman"/>
          <w:noProof/>
          <w:lang w:val="de-DE"/>
        </w:rPr>
        <w:tab/>
        <w:t xml:space="preserve">G. Fang, J. Zhou, A. Pan, S. Liang, </w:t>
      </w:r>
      <w:r w:rsidRPr="003E0254">
        <w:rPr>
          <w:rFonts w:ascii="Aptos" w:hAnsi="Aptos" w:cs="Times New Roman"/>
          <w:i/>
          <w:iCs/>
          <w:noProof/>
          <w:lang w:val="de-DE"/>
        </w:rPr>
        <w:t>ACS Energy Lett.</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3</w:t>
      </w:r>
      <w:r w:rsidRPr="003E0254">
        <w:rPr>
          <w:rFonts w:ascii="Aptos" w:hAnsi="Aptos" w:cs="Times New Roman"/>
          <w:noProof/>
          <w:lang w:val="de-DE"/>
        </w:rPr>
        <w:t>, 2480.</w:t>
      </w:r>
    </w:p>
    <w:p w14:paraId="2BBBD57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[5] </w:t>
      </w:r>
      <w:r w:rsidRPr="003E0254">
        <w:rPr>
          <w:rFonts w:ascii="Aptos" w:hAnsi="Aptos" w:cs="Times New Roman"/>
          <w:noProof/>
          <w:lang w:val="de-DE"/>
        </w:rPr>
        <w:tab/>
        <w:t xml:space="preserve">J. Ming, J. Guo, C. Xia, W. Wang, H. N. Alshareef, </w:t>
      </w:r>
      <w:r w:rsidRPr="003E0254">
        <w:rPr>
          <w:rFonts w:ascii="Aptos" w:hAnsi="Aptos" w:cs="Times New Roman"/>
          <w:i/>
          <w:iCs/>
          <w:noProof/>
          <w:lang w:val="de-DE"/>
        </w:rPr>
        <w:t xml:space="preserve">Mater. </w:t>
      </w:r>
      <w:r w:rsidRPr="003E0254">
        <w:rPr>
          <w:rFonts w:ascii="Aptos" w:hAnsi="Aptos" w:cs="Times New Roman"/>
          <w:i/>
          <w:iCs/>
          <w:noProof/>
        </w:rPr>
        <w:t>Sci. Eng. R Reports</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135</w:t>
      </w:r>
      <w:r w:rsidRPr="003E0254">
        <w:rPr>
          <w:rFonts w:ascii="Aptos" w:hAnsi="Aptos" w:cs="Times New Roman"/>
          <w:noProof/>
        </w:rPr>
        <w:t>, 58.</w:t>
      </w:r>
    </w:p>
    <w:p w14:paraId="5FF895B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[6] </w:t>
      </w:r>
      <w:r w:rsidRPr="003E0254">
        <w:rPr>
          <w:rFonts w:ascii="Aptos" w:hAnsi="Aptos" w:cs="Times New Roman"/>
          <w:noProof/>
        </w:rPr>
        <w:tab/>
        <w:t xml:space="preserve">N. Zhang, X. Chen, M. Yu, Z. Niu, F. Cheng, J. Chen, </w:t>
      </w:r>
      <w:r w:rsidRPr="003E0254">
        <w:rPr>
          <w:rFonts w:ascii="Aptos" w:hAnsi="Aptos" w:cs="Times New Roman"/>
          <w:i/>
          <w:iCs/>
          <w:noProof/>
        </w:rPr>
        <w:t>Chem. Soc. Rev.</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49</w:t>
      </w:r>
      <w:r w:rsidRPr="003E0254">
        <w:rPr>
          <w:rFonts w:ascii="Aptos" w:hAnsi="Aptos" w:cs="Times New Roman"/>
          <w:noProof/>
        </w:rPr>
        <w:t>, 4203.</w:t>
      </w:r>
    </w:p>
    <w:p w14:paraId="5E94476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[7] </w:t>
      </w:r>
      <w:r w:rsidRPr="003E0254">
        <w:rPr>
          <w:rFonts w:ascii="Aptos" w:hAnsi="Aptos" w:cs="Times New Roman"/>
          <w:noProof/>
        </w:rPr>
        <w:tab/>
        <w:t xml:space="preserve">A. Konarov, N. Voronina, J. H. Jo, Z. Bakenov, Y. K. Sun, S. T. Myung, </w:t>
      </w:r>
      <w:r w:rsidRPr="003E0254">
        <w:rPr>
          <w:rFonts w:ascii="Aptos" w:hAnsi="Aptos" w:cs="Times New Roman"/>
          <w:i/>
          <w:iCs/>
          <w:noProof/>
        </w:rPr>
        <w:t>ACS Energy Lett.</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3</w:t>
      </w:r>
      <w:r w:rsidRPr="003E0254">
        <w:rPr>
          <w:rFonts w:ascii="Aptos" w:hAnsi="Aptos" w:cs="Times New Roman"/>
          <w:noProof/>
        </w:rPr>
        <w:t>, 2620.</w:t>
      </w:r>
    </w:p>
    <w:p w14:paraId="7983FD8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pl-PL"/>
        </w:rPr>
      </w:pPr>
      <w:r w:rsidRPr="003E0254">
        <w:rPr>
          <w:rFonts w:ascii="Aptos" w:hAnsi="Aptos" w:cs="Times New Roman"/>
          <w:noProof/>
        </w:rPr>
        <w:t xml:space="preserve">[8] </w:t>
      </w:r>
      <w:r w:rsidRPr="003E0254">
        <w:rPr>
          <w:rFonts w:ascii="Aptos" w:hAnsi="Aptos" w:cs="Times New Roman"/>
          <w:noProof/>
        </w:rPr>
        <w:tab/>
        <w:t xml:space="preserve">B. Tang, L. Shan, S. Liang, J. Zhou, </w:t>
      </w:r>
      <w:r w:rsidRPr="003E0254">
        <w:rPr>
          <w:rFonts w:ascii="Aptos" w:hAnsi="Aptos" w:cs="Times New Roman"/>
          <w:i/>
          <w:iCs/>
          <w:noProof/>
        </w:rPr>
        <w:t xml:space="preserve">Energy Environ. </w:t>
      </w:r>
      <w:r w:rsidRPr="003E0254">
        <w:rPr>
          <w:rFonts w:ascii="Aptos" w:hAnsi="Aptos" w:cs="Times New Roman"/>
          <w:i/>
          <w:iCs/>
          <w:noProof/>
          <w:lang w:val="pl-PL"/>
        </w:rPr>
        <w:t>Sci.</w:t>
      </w:r>
      <w:r w:rsidRPr="003E0254">
        <w:rPr>
          <w:rFonts w:ascii="Aptos" w:hAnsi="Aptos" w:cs="Times New Roman"/>
          <w:noProof/>
          <w:lang w:val="pl-PL"/>
        </w:rPr>
        <w:t xml:space="preserve"> </w:t>
      </w:r>
      <w:r w:rsidRPr="003E0254">
        <w:rPr>
          <w:rFonts w:ascii="Aptos" w:hAnsi="Aptos" w:cs="Times New Roman"/>
          <w:b/>
          <w:bCs/>
          <w:noProof/>
          <w:lang w:val="pl-PL"/>
        </w:rPr>
        <w:t>2019</w:t>
      </w:r>
      <w:r w:rsidRPr="003E0254">
        <w:rPr>
          <w:rFonts w:ascii="Aptos" w:hAnsi="Aptos" w:cs="Times New Roman"/>
          <w:noProof/>
          <w:lang w:val="pl-PL"/>
        </w:rPr>
        <w:t xml:space="preserve">, </w:t>
      </w:r>
      <w:r w:rsidRPr="003E0254">
        <w:rPr>
          <w:rFonts w:ascii="Aptos" w:hAnsi="Aptos" w:cs="Times New Roman"/>
          <w:i/>
          <w:iCs/>
          <w:noProof/>
          <w:lang w:val="pl-PL"/>
        </w:rPr>
        <w:t>12</w:t>
      </w:r>
      <w:r w:rsidRPr="003E0254">
        <w:rPr>
          <w:rFonts w:ascii="Aptos" w:hAnsi="Aptos" w:cs="Times New Roman"/>
          <w:noProof/>
          <w:lang w:val="pl-PL"/>
        </w:rPr>
        <w:t>, 3288.</w:t>
      </w:r>
    </w:p>
    <w:p w14:paraId="57A300D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pl-PL"/>
        </w:rPr>
      </w:pPr>
      <w:r w:rsidRPr="003E0254">
        <w:rPr>
          <w:rFonts w:ascii="Aptos" w:hAnsi="Aptos" w:cs="Times New Roman"/>
          <w:noProof/>
          <w:lang w:val="pl-PL"/>
        </w:rPr>
        <w:t xml:space="preserve">[9] </w:t>
      </w:r>
      <w:r w:rsidRPr="003E0254">
        <w:rPr>
          <w:rFonts w:ascii="Aptos" w:hAnsi="Aptos" w:cs="Times New Roman"/>
          <w:noProof/>
          <w:lang w:val="pl-PL"/>
        </w:rPr>
        <w:tab/>
        <w:t xml:space="preserve">Y. Li, H. Dai, </w:t>
      </w:r>
      <w:r w:rsidRPr="003E0254">
        <w:rPr>
          <w:rFonts w:ascii="Aptos" w:hAnsi="Aptos" w:cs="Times New Roman"/>
          <w:i/>
          <w:iCs/>
          <w:noProof/>
          <w:lang w:val="pl-PL"/>
        </w:rPr>
        <w:t>Chem. Soc. Rev.</w:t>
      </w:r>
      <w:r w:rsidRPr="003E0254">
        <w:rPr>
          <w:rFonts w:ascii="Aptos" w:hAnsi="Aptos" w:cs="Times New Roman"/>
          <w:noProof/>
          <w:lang w:val="pl-PL"/>
        </w:rPr>
        <w:t xml:space="preserve"> </w:t>
      </w:r>
      <w:r w:rsidRPr="003E0254">
        <w:rPr>
          <w:rFonts w:ascii="Aptos" w:hAnsi="Aptos" w:cs="Times New Roman"/>
          <w:b/>
          <w:bCs/>
          <w:noProof/>
          <w:lang w:val="pl-PL"/>
        </w:rPr>
        <w:t>2014</w:t>
      </w:r>
      <w:r w:rsidRPr="003E0254">
        <w:rPr>
          <w:rFonts w:ascii="Aptos" w:hAnsi="Aptos" w:cs="Times New Roman"/>
          <w:noProof/>
          <w:lang w:val="pl-PL"/>
        </w:rPr>
        <w:t xml:space="preserve">, </w:t>
      </w:r>
      <w:r w:rsidRPr="003E0254">
        <w:rPr>
          <w:rFonts w:ascii="Aptos" w:hAnsi="Aptos" w:cs="Times New Roman"/>
          <w:i/>
          <w:iCs/>
          <w:noProof/>
          <w:lang w:val="pl-PL"/>
        </w:rPr>
        <w:t>43</w:t>
      </w:r>
      <w:r w:rsidRPr="003E0254">
        <w:rPr>
          <w:rFonts w:ascii="Aptos" w:hAnsi="Aptos" w:cs="Times New Roman"/>
          <w:noProof/>
          <w:lang w:val="pl-PL"/>
        </w:rPr>
        <w:t>, 5257.</w:t>
      </w:r>
    </w:p>
    <w:p w14:paraId="2363D9E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pl-PL"/>
        </w:rPr>
      </w:pPr>
      <w:r w:rsidRPr="003E0254">
        <w:rPr>
          <w:rFonts w:ascii="Aptos" w:hAnsi="Aptos" w:cs="Times New Roman"/>
          <w:noProof/>
          <w:lang w:val="pl-PL"/>
        </w:rPr>
        <w:t xml:space="preserve">[10] </w:t>
      </w:r>
      <w:r w:rsidRPr="003E0254">
        <w:rPr>
          <w:rFonts w:ascii="Aptos" w:hAnsi="Aptos" w:cs="Times New Roman"/>
          <w:noProof/>
          <w:lang w:val="pl-PL"/>
        </w:rPr>
        <w:tab/>
        <w:t xml:space="preserve">J. Fu, Z. P. Cano, M. G. Park, A. Yu, M. Fowler, Z. Chen, </w:t>
      </w:r>
      <w:r w:rsidRPr="003E0254">
        <w:rPr>
          <w:rFonts w:ascii="Aptos" w:hAnsi="Aptos" w:cs="Times New Roman"/>
          <w:i/>
          <w:iCs/>
          <w:noProof/>
          <w:lang w:val="pl-PL"/>
        </w:rPr>
        <w:t>Adv. Mater.</w:t>
      </w:r>
      <w:r w:rsidRPr="003E0254">
        <w:rPr>
          <w:rFonts w:ascii="Aptos" w:hAnsi="Aptos" w:cs="Times New Roman"/>
          <w:noProof/>
          <w:lang w:val="pl-PL"/>
        </w:rPr>
        <w:t xml:space="preserve"> </w:t>
      </w:r>
      <w:r w:rsidRPr="003E0254">
        <w:rPr>
          <w:rFonts w:ascii="Aptos" w:hAnsi="Aptos" w:cs="Times New Roman"/>
          <w:b/>
          <w:bCs/>
          <w:noProof/>
          <w:lang w:val="pl-PL"/>
        </w:rPr>
        <w:t>2017</w:t>
      </w:r>
      <w:r w:rsidRPr="003E0254">
        <w:rPr>
          <w:rFonts w:ascii="Aptos" w:hAnsi="Aptos" w:cs="Times New Roman"/>
          <w:noProof/>
          <w:lang w:val="pl-PL"/>
        </w:rPr>
        <w:t xml:space="preserve">, </w:t>
      </w:r>
      <w:r w:rsidRPr="003E0254">
        <w:rPr>
          <w:rFonts w:ascii="Aptos" w:hAnsi="Aptos" w:cs="Times New Roman"/>
          <w:i/>
          <w:iCs/>
          <w:noProof/>
          <w:lang w:val="pl-PL"/>
        </w:rPr>
        <w:t>29</w:t>
      </w:r>
      <w:r w:rsidRPr="003E0254">
        <w:rPr>
          <w:rFonts w:ascii="Aptos" w:hAnsi="Aptos" w:cs="Times New Roman"/>
          <w:noProof/>
          <w:lang w:val="pl-PL"/>
        </w:rPr>
        <w:t>, 1604685.</w:t>
      </w:r>
    </w:p>
    <w:p w14:paraId="48AB235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pl-PL"/>
        </w:rPr>
        <w:t xml:space="preserve">[11] </w:t>
      </w:r>
      <w:r w:rsidRPr="003E0254">
        <w:rPr>
          <w:rFonts w:ascii="Aptos" w:hAnsi="Aptos" w:cs="Times New Roman"/>
          <w:noProof/>
          <w:lang w:val="pl-PL"/>
        </w:rPr>
        <w:tab/>
        <w:t xml:space="preserve">K. W. Leong, Y. Wang, M. Ni, W. Pan, S. Luo, D. Y. C. Leung, </w:t>
      </w:r>
      <w:r w:rsidRPr="003E0254">
        <w:rPr>
          <w:rFonts w:ascii="Aptos" w:hAnsi="Aptos" w:cs="Times New Roman"/>
          <w:i/>
          <w:iCs/>
          <w:noProof/>
          <w:lang w:val="pl-PL"/>
        </w:rPr>
        <w:t xml:space="preserve">Renew. </w:t>
      </w:r>
      <w:r w:rsidRPr="003E0254">
        <w:rPr>
          <w:rFonts w:ascii="Aptos" w:hAnsi="Aptos" w:cs="Times New Roman"/>
          <w:i/>
          <w:iCs/>
          <w:noProof/>
        </w:rPr>
        <w:t>Sustain. Energy Rev.</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154</w:t>
      </w:r>
      <w:r w:rsidRPr="003E0254">
        <w:rPr>
          <w:rFonts w:ascii="Aptos" w:hAnsi="Aptos" w:cs="Times New Roman"/>
          <w:noProof/>
        </w:rPr>
        <w:t>, 111771.</w:t>
      </w:r>
    </w:p>
    <w:p w14:paraId="6876E7A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[12] </w:t>
      </w:r>
      <w:r w:rsidRPr="003E0254">
        <w:rPr>
          <w:rFonts w:ascii="Aptos" w:hAnsi="Aptos" w:cs="Times New Roman"/>
          <w:noProof/>
        </w:rPr>
        <w:tab/>
        <w:t>M. Iturrondobeitia, O. Akizu</w:t>
      </w:r>
      <w:r w:rsidRPr="003E0254">
        <w:rPr>
          <w:rFonts w:ascii="Cambria Math" w:hAnsi="Cambria Math" w:cs="Cambria Math"/>
          <w:noProof/>
        </w:rPr>
        <w:t>‐</w:t>
      </w:r>
      <w:r w:rsidRPr="003E0254">
        <w:rPr>
          <w:rFonts w:ascii="Aptos" w:hAnsi="Aptos" w:cs="Times New Roman"/>
          <w:noProof/>
        </w:rPr>
        <w:t xml:space="preserve">Gardoki, O. Amondarain, R. Minguez, E. Lizundia, </w:t>
      </w:r>
      <w:r w:rsidRPr="003E0254">
        <w:rPr>
          <w:rFonts w:ascii="Aptos" w:hAnsi="Aptos" w:cs="Times New Roman"/>
          <w:i/>
          <w:iCs/>
          <w:noProof/>
        </w:rPr>
        <w:t>Adv. Sustain. Syst.</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6</w:t>
      </w:r>
      <w:r w:rsidRPr="003E0254">
        <w:rPr>
          <w:rFonts w:ascii="Aptos" w:hAnsi="Aptos" w:cs="Times New Roman"/>
          <w:noProof/>
        </w:rPr>
        <w:t>, 2100308.</w:t>
      </w:r>
    </w:p>
    <w:p w14:paraId="34A24DA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[13] </w:t>
      </w:r>
      <w:r w:rsidRPr="003E0254">
        <w:rPr>
          <w:rFonts w:ascii="Aptos" w:hAnsi="Aptos" w:cs="Times New Roman"/>
          <w:noProof/>
        </w:rPr>
        <w:tab/>
        <w:t xml:space="preserve">A. Khor, P. Leung, M. R. Mohamed, C. Flox, Q. Xu, L. An, R. G. A. Wills, J. R. Morante, A. A. Shah, </w:t>
      </w:r>
      <w:r w:rsidRPr="003E0254">
        <w:rPr>
          <w:rFonts w:ascii="Aptos" w:hAnsi="Aptos" w:cs="Times New Roman"/>
          <w:i/>
          <w:iCs/>
          <w:noProof/>
        </w:rPr>
        <w:t>Mater. Today Energy</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80.</w:t>
      </w:r>
    </w:p>
    <w:p w14:paraId="518A0B4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[14] </w:t>
      </w:r>
      <w:r w:rsidRPr="003E0254">
        <w:rPr>
          <w:rFonts w:ascii="Aptos" w:hAnsi="Aptos" w:cs="Times New Roman"/>
          <w:noProof/>
        </w:rPr>
        <w:tab/>
        <w:t xml:space="preserve">Z. Yuan, Y. Yin, C. Xie, H. Zhang, Y. Yao, X. Li, </w:t>
      </w:r>
      <w:r w:rsidRPr="003E0254">
        <w:rPr>
          <w:rFonts w:ascii="Aptos" w:hAnsi="Aptos" w:cs="Times New Roman"/>
          <w:i/>
          <w:iCs/>
          <w:noProof/>
        </w:rPr>
        <w:t xml:space="preserve">Adv. </w:t>
      </w:r>
      <w:r w:rsidRPr="003E0254">
        <w:rPr>
          <w:rFonts w:ascii="Aptos" w:hAnsi="Aptos" w:cs="Times New Roman"/>
          <w:i/>
          <w:iCs/>
          <w:noProof/>
          <w:lang w:val="de-DE"/>
        </w:rPr>
        <w:t>Mater.</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31</w:t>
      </w:r>
      <w:r w:rsidRPr="003E0254">
        <w:rPr>
          <w:rFonts w:ascii="Aptos" w:hAnsi="Aptos" w:cs="Times New Roman"/>
          <w:noProof/>
          <w:lang w:val="de-DE"/>
        </w:rPr>
        <w:t>, e1902025.</w:t>
      </w:r>
    </w:p>
    <w:p w14:paraId="37DECC0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[15] </w:t>
      </w:r>
      <w:r w:rsidRPr="003E0254">
        <w:rPr>
          <w:rFonts w:ascii="Aptos" w:hAnsi="Aptos" w:cs="Times New Roman"/>
          <w:noProof/>
          <w:lang w:val="de-DE"/>
        </w:rPr>
        <w:tab/>
        <w:t xml:space="preserve">G. Wang, H. Zou, X. Zhu, M. Ding, C. Jia, </w:t>
      </w:r>
      <w:r w:rsidRPr="003E0254">
        <w:rPr>
          <w:rFonts w:ascii="Aptos" w:hAnsi="Aptos" w:cs="Times New Roman"/>
          <w:i/>
          <w:iCs/>
          <w:noProof/>
          <w:lang w:val="de-DE"/>
        </w:rPr>
        <w:t>J. Phys. D. Appl. Phys.</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55</w:t>
      </w:r>
      <w:r w:rsidRPr="003E0254">
        <w:rPr>
          <w:rFonts w:ascii="Aptos" w:hAnsi="Aptos" w:cs="Times New Roman"/>
          <w:noProof/>
          <w:lang w:val="de-DE"/>
        </w:rPr>
        <w:t>, 163001.</w:t>
      </w:r>
    </w:p>
    <w:p w14:paraId="7945F55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[16] </w:t>
      </w:r>
      <w:r w:rsidRPr="003E0254">
        <w:rPr>
          <w:rFonts w:ascii="Aptos" w:hAnsi="Aptos" w:cs="Times New Roman"/>
          <w:noProof/>
          <w:lang w:val="de-DE"/>
        </w:rPr>
        <w:tab/>
        <w:t xml:space="preserve">K. Gong, X. Ma, K. M. Conforti, K. J. Kuttler, J. B. Grunewald, K. L. Yeager, M. Z. Bazant, S. Gu, Y. Yan, </w:t>
      </w:r>
      <w:r w:rsidRPr="003E0254">
        <w:rPr>
          <w:rFonts w:ascii="Aptos" w:hAnsi="Aptos" w:cs="Times New Roman"/>
          <w:i/>
          <w:iCs/>
          <w:noProof/>
          <w:lang w:val="de-DE"/>
        </w:rPr>
        <w:t xml:space="preserve">Energy Environ. </w:t>
      </w:r>
      <w:r w:rsidRPr="003E0254">
        <w:rPr>
          <w:rFonts w:ascii="Aptos" w:hAnsi="Aptos" w:cs="Times New Roman"/>
          <w:i/>
          <w:iCs/>
          <w:noProof/>
        </w:rPr>
        <w:t>Sci.</w:t>
      </w:r>
      <w:r w:rsidRPr="003E0254">
        <w:rPr>
          <w:rFonts w:ascii="Aptos" w:hAnsi="Aptos" w:cs="Times New Roman"/>
          <w:noProof/>
        </w:rPr>
        <w:t xml:space="preserve"> </w:t>
      </w:r>
      <w:r w:rsidRPr="003E0254">
        <w:rPr>
          <w:rFonts w:ascii="Aptos" w:hAnsi="Aptos" w:cs="Times New Roman"/>
          <w:b/>
          <w:bCs/>
          <w:noProof/>
        </w:rPr>
        <w:t>2015</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2941.</w:t>
      </w:r>
    </w:p>
    <w:p w14:paraId="0BE211C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[17] </w:t>
      </w:r>
      <w:r w:rsidRPr="003E0254">
        <w:rPr>
          <w:rFonts w:ascii="Aptos" w:hAnsi="Aptos" w:cs="Times New Roman"/>
          <w:noProof/>
        </w:rPr>
        <w:tab/>
        <w:t xml:space="preserve">Z. Chen, Y. Liu, W. Yu, Q. He, M. Ni, S. Yang, S. Zhang, P. Tan, </w:t>
      </w:r>
      <w:r w:rsidRPr="003E0254">
        <w:rPr>
          <w:rFonts w:ascii="Aptos" w:hAnsi="Aptos" w:cs="Times New Roman"/>
          <w:i/>
          <w:iCs/>
          <w:noProof/>
        </w:rPr>
        <w:t>J. Energy Storage</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44</w:t>
      </w:r>
      <w:r w:rsidRPr="003E0254">
        <w:rPr>
          <w:rFonts w:ascii="Aptos" w:hAnsi="Aptos" w:cs="Times New Roman"/>
          <w:noProof/>
        </w:rPr>
        <w:t>, 103327.</w:t>
      </w:r>
    </w:p>
    <w:p w14:paraId="7AD0CCD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[18] </w:t>
      </w:r>
      <w:r w:rsidRPr="003E0254">
        <w:rPr>
          <w:rFonts w:ascii="Aptos" w:hAnsi="Aptos" w:cs="Times New Roman"/>
          <w:noProof/>
        </w:rPr>
        <w:tab/>
        <w:t xml:space="preserve">L. Tang, P. Leung, M. R. Mohamed, Q. Xu, S. Dai, X. Zhu, C. Flox, A. A. Shah, Q. Liao, </w:t>
      </w:r>
      <w:r w:rsidRPr="003E0254">
        <w:rPr>
          <w:rFonts w:ascii="Aptos" w:hAnsi="Aptos" w:cs="Times New Roman"/>
          <w:i/>
          <w:iCs/>
          <w:noProof/>
        </w:rPr>
        <w:t>Electrochim. Acta</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437</w:t>
      </w:r>
      <w:r w:rsidRPr="003E0254">
        <w:rPr>
          <w:rFonts w:ascii="Aptos" w:hAnsi="Aptos" w:cs="Times New Roman"/>
          <w:noProof/>
        </w:rPr>
        <w:t>, 141460.</w:t>
      </w:r>
    </w:p>
    <w:p w14:paraId="374F543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 </w:t>
      </w:r>
      <w:r w:rsidRPr="003E0254">
        <w:rPr>
          <w:rFonts w:ascii="Aptos" w:hAnsi="Aptos" w:cs="Times New Roman"/>
          <w:noProof/>
        </w:rPr>
        <w:tab/>
        <w:t xml:space="preserve">S. W. D. Gourley, R. Brown, B. D. Adams, D. Higgins, </w:t>
      </w:r>
      <w:r w:rsidRPr="003E0254">
        <w:rPr>
          <w:rFonts w:ascii="Aptos" w:hAnsi="Aptos" w:cs="Times New Roman"/>
          <w:i/>
          <w:iCs/>
          <w:noProof/>
        </w:rPr>
        <w:t>Joule</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7</w:t>
      </w:r>
      <w:r w:rsidRPr="003E0254">
        <w:rPr>
          <w:rFonts w:ascii="Aptos" w:hAnsi="Aptos" w:cs="Times New Roman"/>
          <w:noProof/>
        </w:rPr>
        <w:t>, 1415.</w:t>
      </w:r>
    </w:p>
    <w:p w14:paraId="795F4CA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 </w:t>
      </w:r>
      <w:r w:rsidRPr="003E0254">
        <w:rPr>
          <w:rFonts w:ascii="Aptos" w:hAnsi="Aptos" w:cs="Times New Roman"/>
          <w:noProof/>
        </w:rPr>
        <w:tab/>
        <w:t xml:space="preserve">A. Stephan, T. Hettesheimer, C. Neef, T. Schmaltz, S. Link, M. Stephan, J. L. Heizmann, A. Thielmann, </w:t>
      </w:r>
      <w:r w:rsidRPr="003E0254">
        <w:rPr>
          <w:rFonts w:ascii="Aptos" w:hAnsi="Aptos" w:cs="Times New Roman"/>
          <w:i/>
          <w:iCs/>
          <w:noProof/>
        </w:rPr>
        <w:t>Alternative Battery Technologies Roadmap 2030+</w:t>
      </w:r>
      <w:r w:rsidRPr="003E0254">
        <w:rPr>
          <w:rFonts w:ascii="Aptos" w:hAnsi="Aptos" w:cs="Times New Roman"/>
          <w:noProof/>
        </w:rPr>
        <w:t xml:space="preserve">, Fraunhofer ISI, </w:t>
      </w:r>
      <w:r w:rsidRPr="003E0254">
        <w:rPr>
          <w:rFonts w:ascii="Aptos" w:hAnsi="Aptos" w:cs="Times New Roman"/>
          <w:b/>
          <w:bCs/>
          <w:noProof/>
        </w:rPr>
        <w:t>2023</w:t>
      </w:r>
      <w:r w:rsidRPr="003E0254">
        <w:rPr>
          <w:rFonts w:ascii="Aptos" w:hAnsi="Aptos" w:cs="Times New Roman"/>
          <w:noProof/>
        </w:rPr>
        <w:t>.</w:t>
      </w:r>
    </w:p>
    <w:p w14:paraId="580C67C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[21] </w:t>
      </w:r>
      <w:r w:rsidRPr="003E0254">
        <w:rPr>
          <w:rFonts w:ascii="Aptos" w:hAnsi="Aptos" w:cs="Times New Roman"/>
          <w:noProof/>
        </w:rPr>
        <w:tab/>
        <w:t xml:space="preserve">S. Javed, G. Suo, L. Habib, C. Lin, J. Li, X. Hou, X. Ye, Y. Yang, S. Ding, </w:t>
      </w:r>
      <w:r w:rsidRPr="003E0254">
        <w:rPr>
          <w:rFonts w:ascii="Aptos" w:hAnsi="Aptos" w:cs="Times New Roman"/>
          <w:i/>
          <w:iCs/>
          <w:noProof/>
        </w:rPr>
        <w:t>J. Energy Storage</w:t>
      </w:r>
      <w:r w:rsidRPr="003E0254">
        <w:rPr>
          <w:rFonts w:ascii="Aptos" w:hAnsi="Aptos" w:cs="Times New Roman"/>
          <w:noProof/>
        </w:rPr>
        <w:t xml:space="preserve"> </w:t>
      </w:r>
      <w:r w:rsidRPr="003E0254">
        <w:rPr>
          <w:rFonts w:ascii="Aptos" w:hAnsi="Aptos" w:cs="Times New Roman"/>
          <w:b/>
          <w:bCs/>
          <w:noProof/>
        </w:rPr>
        <w:t>2025</w:t>
      </w:r>
      <w:r w:rsidRPr="003E0254">
        <w:rPr>
          <w:rFonts w:ascii="Aptos" w:hAnsi="Aptos" w:cs="Times New Roman"/>
          <w:noProof/>
        </w:rPr>
        <w:t xml:space="preserve">, </w:t>
      </w:r>
      <w:r w:rsidRPr="003E0254">
        <w:rPr>
          <w:rFonts w:ascii="Aptos" w:hAnsi="Aptos" w:cs="Times New Roman"/>
          <w:i/>
          <w:iCs/>
          <w:noProof/>
        </w:rPr>
        <w:t>118</w:t>
      </w:r>
      <w:r w:rsidRPr="003E0254">
        <w:rPr>
          <w:rFonts w:ascii="Aptos" w:hAnsi="Aptos" w:cs="Times New Roman"/>
          <w:noProof/>
        </w:rPr>
        <w:t>, 116271.</w:t>
      </w:r>
    </w:p>
    <w:p w14:paraId="6EF51CD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[22] </w:t>
      </w:r>
      <w:r w:rsidRPr="003E0254">
        <w:rPr>
          <w:rFonts w:ascii="Aptos" w:hAnsi="Aptos" w:cs="Times New Roman"/>
          <w:noProof/>
        </w:rPr>
        <w:tab/>
        <w:t xml:space="preserve">T. Wang, C. Li, X. Xie, B. Lu, Z. He, S. Liang, J. Zhou, </w:t>
      </w:r>
      <w:r w:rsidRPr="003E0254">
        <w:rPr>
          <w:rFonts w:ascii="Aptos" w:hAnsi="Aptos" w:cs="Times New Roman"/>
          <w:i/>
          <w:iCs/>
          <w:noProof/>
        </w:rPr>
        <w:t>ACS Nano</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14</w:t>
      </w:r>
      <w:r w:rsidRPr="003E0254">
        <w:rPr>
          <w:rFonts w:ascii="Aptos" w:hAnsi="Aptos" w:cs="Times New Roman"/>
          <w:noProof/>
        </w:rPr>
        <w:t>, 16321.</w:t>
      </w:r>
    </w:p>
    <w:p w14:paraId="4C6174F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[23] </w:t>
      </w:r>
      <w:r w:rsidRPr="003E0254">
        <w:rPr>
          <w:rFonts w:ascii="Aptos" w:hAnsi="Aptos" w:cs="Times New Roman"/>
          <w:noProof/>
        </w:rPr>
        <w:tab/>
        <w:t xml:space="preserve">J. Yang, B. Yin, Y. Sun, H. Pan, W. Sun, B. Jia, S. Zhang, T. Ma, </w:t>
      </w:r>
      <w:r w:rsidRPr="003E0254">
        <w:rPr>
          <w:rFonts w:ascii="Aptos" w:hAnsi="Aptos" w:cs="Times New Roman"/>
          <w:i/>
          <w:iCs/>
          <w:noProof/>
        </w:rPr>
        <w:t>Zinc Anode for Mild Aqueous Zinc-Ion Batteries: Challenges, Strategies, and Perspectives</w:t>
      </w:r>
      <w:r w:rsidRPr="003E0254">
        <w:rPr>
          <w:rFonts w:ascii="Aptos" w:hAnsi="Aptos" w:cs="Times New Roman"/>
          <w:noProof/>
        </w:rPr>
        <w:t xml:space="preserve">, Vol. 14, Springer Singapore, </w:t>
      </w:r>
      <w:r w:rsidRPr="003E0254">
        <w:rPr>
          <w:rFonts w:ascii="Aptos" w:hAnsi="Aptos" w:cs="Times New Roman"/>
          <w:b/>
          <w:bCs/>
          <w:noProof/>
        </w:rPr>
        <w:t>2022</w:t>
      </w:r>
      <w:r w:rsidRPr="003E0254">
        <w:rPr>
          <w:rFonts w:ascii="Aptos" w:hAnsi="Aptos" w:cs="Times New Roman"/>
          <w:noProof/>
        </w:rPr>
        <w:t>.</w:t>
      </w:r>
    </w:p>
    <w:p w14:paraId="51D145E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[24] </w:t>
      </w:r>
      <w:r w:rsidRPr="003E0254">
        <w:rPr>
          <w:rFonts w:ascii="Aptos" w:hAnsi="Aptos" w:cs="Times New Roman"/>
          <w:noProof/>
        </w:rPr>
        <w:tab/>
        <w:t xml:space="preserve">M. Song, H. Tan, D. Chao, H. Jin Fan, M. Song, H. Tan, D. Chao, H. J. Fan, </w:t>
      </w:r>
      <w:r w:rsidRPr="003E0254">
        <w:rPr>
          <w:rFonts w:ascii="Aptos" w:hAnsi="Aptos" w:cs="Times New Roman"/>
          <w:i/>
          <w:iCs/>
          <w:noProof/>
        </w:rPr>
        <w:t xml:space="preserve">Adv. </w:t>
      </w:r>
      <w:r w:rsidRPr="003E0254">
        <w:rPr>
          <w:rFonts w:ascii="Aptos" w:hAnsi="Aptos" w:cs="Times New Roman"/>
          <w:i/>
          <w:iCs/>
          <w:noProof/>
          <w:lang w:val="de-DE"/>
        </w:rPr>
        <w:t>Funct. Mater.</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28</w:t>
      </w:r>
      <w:r w:rsidRPr="003E0254">
        <w:rPr>
          <w:rFonts w:ascii="Aptos" w:hAnsi="Aptos" w:cs="Times New Roman"/>
          <w:noProof/>
          <w:lang w:val="de-DE"/>
        </w:rPr>
        <w:t>, 1802564.</w:t>
      </w:r>
    </w:p>
    <w:p w14:paraId="647399C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 </w:t>
      </w:r>
      <w:r w:rsidRPr="003E0254">
        <w:rPr>
          <w:rFonts w:ascii="Aptos" w:hAnsi="Aptos" w:cs="Times New Roman"/>
          <w:noProof/>
          <w:lang w:val="de-DE"/>
        </w:rPr>
        <w:tab/>
        <w:t xml:space="preserve">X. W. Lv, Z. Wang, Z. Lai, Y. Liu, T. Ma, J. Geng, Z. Y. Yuan, </w:t>
      </w:r>
      <w:r w:rsidRPr="003E0254">
        <w:rPr>
          <w:rFonts w:ascii="Aptos" w:hAnsi="Aptos" w:cs="Times New Roman"/>
          <w:i/>
          <w:iCs/>
          <w:noProof/>
          <w:lang w:val="de-DE"/>
        </w:rPr>
        <w:t>Small</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20</w:t>
      </w:r>
      <w:r w:rsidRPr="003E0254">
        <w:rPr>
          <w:rFonts w:ascii="Aptos" w:hAnsi="Aptos" w:cs="Times New Roman"/>
          <w:noProof/>
          <w:lang w:val="de-DE"/>
        </w:rPr>
        <w:t>, 2306396.</w:t>
      </w:r>
    </w:p>
    <w:p w14:paraId="41DECEC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[26] </w:t>
      </w:r>
      <w:r w:rsidRPr="003E0254">
        <w:rPr>
          <w:rFonts w:ascii="Aptos" w:hAnsi="Aptos" w:cs="Times New Roman"/>
          <w:noProof/>
          <w:lang w:val="de-DE"/>
        </w:rPr>
        <w:tab/>
        <w:t xml:space="preserve">Q. Wang, S. Kaushik, X. Xiao, Q. Xu, </w:t>
      </w:r>
      <w:r w:rsidRPr="003E0254">
        <w:rPr>
          <w:rFonts w:ascii="Aptos" w:hAnsi="Aptos" w:cs="Times New Roman"/>
          <w:i/>
          <w:iCs/>
          <w:noProof/>
          <w:lang w:val="de-DE"/>
        </w:rPr>
        <w:t>Chem. Soc. Rev.</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52</w:t>
      </w:r>
      <w:r w:rsidRPr="003E0254">
        <w:rPr>
          <w:rFonts w:ascii="Aptos" w:hAnsi="Aptos" w:cs="Times New Roman"/>
          <w:noProof/>
          <w:lang w:val="de-DE"/>
        </w:rPr>
        <w:t>, 6139.</w:t>
      </w:r>
    </w:p>
    <w:p w14:paraId="1BB00C6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[27] </w:t>
      </w:r>
      <w:r w:rsidRPr="003E0254">
        <w:rPr>
          <w:rFonts w:ascii="Aptos" w:hAnsi="Aptos" w:cs="Times New Roman"/>
          <w:noProof/>
          <w:lang w:val="de-DE"/>
        </w:rPr>
        <w:tab/>
        <w:t xml:space="preserve">X. Han, X. Li, J. White, C. Zhong, Y. Deng, W. Hu, T. Ma,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1801396.</w:t>
      </w:r>
    </w:p>
    <w:p w14:paraId="4BD7956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[28] </w:t>
      </w:r>
      <w:r w:rsidRPr="003E0254">
        <w:rPr>
          <w:rFonts w:ascii="Aptos" w:hAnsi="Aptos" w:cs="Times New Roman"/>
          <w:noProof/>
          <w:lang w:val="de-DE"/>
        </w:rPr>
        <w:tab/>
        <w:t xml:space="preserve">M. Piccolino, </w:t>
      </w:r>
      <w:r w:rsidRPr="003E0254">
        <w:rPr>
          <w:rFonts w:ascii="Aptos" w:hAnsi="Aptos" w:cs="Times New Roman"/>
          <w:i/>
          <w:iCs/>
          <w:noProof/>
          <w:lang w:val="de-DE"/>
        </w:rPr>
        <w:t>Trends Neurosci.</w:t>
      </w:r>
      <w:r w:rsidRPr="003E0254">
        <w:rPr>
          <w:rFonts w:ascii="Aptos" w:hAnsi="Aptos" w:cs="Times New Roman"/>
          <w:noProof/>
          <w:lang w:val="de-DE"/>
        </w:rPr>
        <w:t xml:space="preserve"> </w:t>
      </w:r>
      <w:r w:rsidRPr="003E0254">
        <w:rPr>
          <w:rFonts w:ascii="Aptos" w:hAnsi="Aptos" w:cs="Times New Roman"/>
          <w:b/>
          <w:bCs/>
          <w:noProof/>
        </w:rPr>
        <w:t>1997</w:t>
      </w:r>
      <w:r w:rsidRPr="003E0254">
        <w:rPr>
          <w:rFonts w:ascii="Aptos" w:hAnsi="Aptos" w:cs="Times New Roman"/>
          <w:noProof/>
        </w:rPr>
        <w:t xml:space="preserve">, </w:t>
      </w:r>
      <w:r w:rsidRPr="003E0254">
        <w:rPr>
          <w:rFonts w:ascii="Aptos" w:hAnsi="Aptos" w:cs="Times New Roman"/>
          <w:i/>
          <w:iCs/>
          <w:noProof/>
        </w:rPr>
        <w:t>20</w:t>
      </w:r>
      <w:r w:rsidRPr="003E0254">
        <w:rPr>
          <w:rFonts w:ascii="Aptos" w:hAnsi="Aptos" w:cs="Times New Roman"/>
          <w:noProof/>
        </w:rPr>
        <w:t>, 443.</w:t>
      </w:r>
    </w:p>
    <w:p w14:paraId="288BFBD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 </w:t>
      </w:r>
      <w:r w:rsidRPr="003E0254">
        <w:rPr>
          <w:rFonts w:ascii="Aptos" w:hAnsi="Aptos" w:cs="Times New Roman"/>
          <w:noProof/>
        </w:rPr>
        <w:tab/>
        <w:t xml:space="preserve">D. Linden, </w:t>
      </w:r>
      <w:r w:rsidRPr="003E0254">
        <w:rPr>
          <w:rFonts w:ascii="Aptos" w:hAnsi="Aptos" w:cs="Times New Roman"/>
          <w:i/>
          <w:iCs/>
          <w:noProof/>
        </w:rPr>
        <w:t>Handbook of batteries and fuel cells</w:t>
      </w:r>
      <w:r w:rsidRPr="003E0254">
        <w:rPr>
          <w:rFonts w:ascii="Aptos" w:hAnsi="Aptos" w:cs="Times New Roman"/>
          <w:noProof/>
        </w:rPr>
        <w:t xml:space="preserve">, McGraw-Hill, New York, </w:t>
      </w:r>
      <w:r w:rsidRPr="003E0254">
        <w:rPr>
          <w:rFonts w:ascii="Aptos" w:hAnsi="Aptos" w:cs="Times New Roman"/>
          <w:b/>
          <w:bCs/>
          <w:noProof/>
        </w:rPr>
        <w:t>1984</w:t>
      </w:r>
      <w:r w:rsidRPr="003E0254">
        <w:rPr>
          <w:rFonts w:ascii="Aptos" w:hAnsi="Aptos" w:cs="Times New Roman"/>
          <w:noProof/>
        </w:rPr>
        <w:t>.</w:t>
      </w:r>
    </w:p>
    <w:p w14:paraId="1D495C5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 </w:t>
      </w:r>
      <w:r w:rsidRPr="003E0254">
        <w:rPr>
          <w:rFonts w:ascii="Aptos" w:hAnsi="Aptos" w:cs="Times New Roman"/>
          <w:noProof/>
        </w:rPr>
        <w:tab/>
        <w:t xml:space="preserve">C. Chakkaravarthy, A. K. A. Waheed, H. V. K. Udupa,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1981</w:t>
      </w:r>
      <w:r w:rsidRPr="003E0254">
        <w:rPr>
          <w:rFonts w:ascii="Aptos" w:hAnsi="Aptos" w:cs="Times New Roman"/>
          <w:noProof/>
        </w:rPr>
        <w:t xml:space="preserve">, </w:t>
      </w:r>
      <w:r w:rsidRPr="003E0254">
        <w:rPr>
          <w:rFonts w:ascii="Aptos" w:hAnsi="Aptos" w:cs="Times New Roman"/>
          <w:i/>
          <w:iCs/>
          <w:noProof/>
        </w:rPr>
        <w:t>6</w:t>
      </w:r>
      <w:r w:rsidRPr="003E0254">
        <w:rPr>
          <w:rFonts w:ascii="Aptos" w:hAnsi="Aptos" w:cs="Times New Roman"/>
          <w:noProof/>
        </w:rPr>
        <w:t>, 203.</w:t>
      </w:r>
    </w:p>
    <w:p w14:paraId="2269664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[31] </w:t>
      </w:r>
      <w:r w:rsidRPr="003E0254">
        <w:rPr>
          <w:rFonts w:ascii="Aptos" w:hAnsi="Aptos" w:cs="Times New Roman"/>
          <w:noProof/>
        </w:rPr>
        <w:tab/>
        <w:t xml:space="preserve">F. R. McLarnon, E. J. Cairns, </w:t>
      </w:r>
      <w:r w:rsidRPr="003E0254">
        <w:rPr>
          <w:rFonts w:ascii="Aptos" w:hAnsi="Aptos" w:cs="Times New Roman"/>
          <w:i/>
          <w:iCs/>
          <w:noProof/>
        </w:rPr>
        <w:t>J. Electrochem. Soc.</w:t>
      </w:r>
      <w:r w:rsidRPr="003E0254">
        <w:rPr>
          <w:rFonts w:ascii="Aptos" w:hAnsi="Aptos" w:cs="Times New Roman"/>
          <w:noProof/>
        </w:rPr>
        <w:t xml:space="preserve"> </w:t>
      </w:r>
      <w:r w:rsidRPr="003E0254">
        <w:rPr>
          <w:rFonts w:ascii="Aptos" w:hAnsi="Aptos" w:cs="Times New Roman"/>
          <w:b/>
          <w:bCs/>
          <w:noProof/>
        </w:rPr>
        <w:t>1991</w:t>
      </w:r>
      <w:r w:rsidRPr="003E0254">
        <w:rPr>
          <w:rFonts w:ascii="Aptos" w:hAnsi="Aptos" w:cs="Times New Roman"/>
          <w:noProof/>
        </w:rPr>
        <w:t xml:space="preserve">, </w:t>
      </w:r>
      <w:r w:rsidRPr="003E0254">
        <w:rPr>
          <w:rFonts w:ascii="Aptos" w:hAnsi="Aptos" w:cs="Times New Roman"/>
          <w:i/>
          <w:iCs/>
          <w:noProof/>
        </w:rPr>
        <w:t>138</w:t>
      </w:r>
      <w:r w:rsidRPr="003E0254">
        <w:rPr>
          <w:rFonts w:ascii="Aptos" w:hAnsi="Aptos" w:cs="Times New Roman"/>
          <w:noProof/>
        </w:rPr>
        <w:t>, 645.</w:t>
      </w:r>
    </w:p>
    <w:p w14:paraId="408498D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[32] </w:t>
      </w:r>
      <w:r w:rsidRPr="003E0254">
        <w:rPr>
          <w:rFonts w:ascii="Aptos" w:hAnsi="Aptos" w:cs="Times New Roman"/>
          <w:noProof/>
        </w:rPr>
        <w:tab/>
        <w:t xml:space="preserve">A. P. Abbott, G. Capper, D. L. Davies, H. Munro, R. K. Rasheed, V. Tambyrajah, </w:t>
      </w:r>
      <w:r w:rsidRPr="003E0254">
        <w:rPr>
          <w:rFonts w:ascii="Aptos" w:hAnsi="Aptos" w:cs="Times New Roman"/>
          <w:i/>
          <w:iCs/>
          <w:noProof/>
        </w:rPr>
        <w:t>ACS Symp. Ser.</w:t>
      </w:r>
      <w:r w:rsidRPr="003E0254">
        <w:rPr>
          <w:rFonts w:ascii="Aptos" w:hAnsi="Aptos" w:cs="Times New Roman"/>
          <w:noProof/>
        </w:rPr>
        <w:t xml:space="preserve"> </w:t>
      </w:r>
      <w:r w:rsidRPr="003E0254">
        <w:rPr>
          <w:rFonts w:ascii="Aptos" w:hAnsi="Aptos" w:cs="Times New Roman"/>
          <w:b/>
          <w:bCs/>
          <w:noProof/>
        </w:rPr>
        <w:t>2003</w:t>
      </w:r>
      <w:r w:rsidRPr="003E0254">
        <w:rPr>
          <w:rFonts w:ascii="Aptos" w:hAnsi="Aptos" w:cs="Times New Roman"/>
          <w:noProof/>
        </w:rPr>
        <w:t xml:space="preserve">, </w:t>
      </w:r>
      <w:r w:rsidRPr="003E0254">
        <w:rPr>
          <w:rFonts w:ascii="Aptos" w:hAnsi="Aptos" w:cs="Times New Roman"/>
          <w:i/>
          <w:iCs/>
          <w:noProof/>
        </w:rPr>
        <w:t>856</w:t>
      </w:r>
      <w:r w:rsidRPr="003E0254">
        <w:rPr>
          <w:rFonts w:ascii="Aptos" w:hAnsi="Aptos" w:cs="Times New Roman"/>
          <w:noProof/>
        </w:rPr>
        <w:t>, 439.</w:t>
      </w:r>
    </w:p>
    <w:p w14:paraId="39E93A8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[33] </w:t>
      </w:r>
      <w:r w:rsidRPr="003E0254">
        <w:rPr>
          <w:rFonts w:ascii="Aptos" w:hAnsi="Aptos" w:cs="Times New Roman"/>
          <w:noProof/>
        </w:rPr>
        <w:tab/>
        <w:t xml:space="preserve">B. Scrosati, </w:t>
      </w:r>
      <w:r w:rsidRPr="003E0254">
        <w:rPr>
          <w:rFonts w:ascii="Aptos" w:hAnsi="Aptos" w:cs="Times New Roman"/>
          <w:i/>
          <w:iCs/>
          <w:noProof/>
        </w:rPr>
        <w:t>J. Electrochem. Soc.</w:t>
      </w:r>
      <w:r w:rsidRPr="003E0254">
        <w:rPr>
          <w:rFonts w:ascii="Aptos" w:hAnsi="Aptos" w:cs="Times New Roman"/>
          <w:noProof/>
        </w:rPr>
        <w:t xml:space="preserve"> </w:t>
      </w:r>
      <w:r w:rsidRPr="003E0254">
        <w:rPr>
          <w:rFonts w:ascii="Aptos" w:hAnsi="Aptos" w:cs="Times New Roman"/>
          <w:b/>
          <w:bCs/>
          <w:noProof/>
        </w:rPr>
        <w:t>1992</w:t>
      </w:r>
      <w:r w:rsidRPr="003E0254">
        <w:rPr>
          <w:rFonts w:ascii="Aptos" w:hAnsi="Aptos" w:cs="Times New Roman"/>
          <w:noProof/>
        </w:rPr>
        <w:t xml:space="preserve">, </w:t>
      </w:r>
      <w:r w:rsidRPr="003E0254">
        <w:rPr>
          <w:rFonts w:ascii="Aptos" w:hAnsi="Aptos" w:cs="Times New Roman"/>
          <w:i/>
          <w:iCs/>
          <w:noProof/>
        </w:rPr>
        <w:t>139</w:t>
      </w:r>
      <w:r w:rsidRPr="003E0254">
        <w:rPr>
          <w:rFonts w:ascii="Aptos" w:hAnsi="Aptos" w:cs="Times New Roman"/>
          <w:noProof/>
        </w:rPr>
        <w:t>, 2776.</w:t>
      </w:r>
    </w:p>
    <w:p w14:paraId="43779B5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[34] </w:t>
      </w:r>
      <w:r w:rsidRPr="003E0254">
        <w:rPr>
          <w:rFonts w:ascii="Aptos" w:hAnsi="Aptos" w:cs="Times New Roman"/>
          <w:noProof/>
          <w:lang w:val="de-DE"/>
        </w:rPr>
        <w:tab/>
        <w:t xml:space="preserve">J. Duan, J. Zhao, X. Li, S. Panchal, J. Yuan, R. Fraser, M. Fowler, </w:t>
      </w:r>
      <w:r w:rsidRPr="003E0254">
        <w:rPr>
          <w:rFonts w:ascii="Aptos" w:hAnsi="Aptos" w:cs="Times New Roman"/>
          <w:i/>
          <w:iCs/>
          <w:noProof/>
          <w:lang w:val="de-DE"/>
        </w:rPr>
        <w:t>Energies 2021, Vol. 14, Page 4187</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14</w:t>
      </w:r>
      <w:r w:rsidRPr="003E0254">
        <w:rPr>
          <w:rFonts w:ascii="Aptos" w:hAnsi="Aptos" w:cs="Times New Roman"/>
          <w:noProof/>
          <w:lang w:val="de-DE"/>
        </w:rPr>
        <w:t>, 4187.</w:t>
      </w:r>
    </w:p>
    <w:p w14:paraId="5E8E74C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[35] </w:t>
      </w:r>
      <w:r w:rsidRPr="003E0254">
        <w:rPr>
          <w:rFonts w:ascii="Aptos" w:hAnsi="Aptos" w:cs="Times New Roman"/>
          <w:noProof/>
        </w:rPr>
        <w:tab/>
        <w:t xml:space="preserve">A. R. Mainar, E. Iruin, L. C. Colmenares, A. Kvasha, I. de Meatza, M. Bengoechea, O. Leonet, I. Boyano, Z. Zhang, J. A. Blazquez, </w:t>
      </w:r>
      <w:r w:rsidRPr="003E0254">
        <w:rPr>
          <w:rFonts w:ascii="Aptos" w:hAnsi="Aptos" w:cs="Times New Roman"/>
          <w:i/>
          <w:iCs/>
          <w:noProof/>
        </w:rPr>
        <w:t>J. Energy Storage</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15</w:t>
      </w:r>
      <w:r w:rsidRPr="003E0254">
        <w:rPr>
          <w:rFonts w:ascii="Aptos" w:hAnsi="Aptos" w:cs="Times New Roman"/>
          <w:noProof/>
        </w:rPr>
        <w:t>, 304.</w:t>
      </w:r>
    </w:p>
    <w:p w14:paraId="1A23B86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[36] </w:t>
      </w:r>
      <w:r w:rsidRPr="003E0254">
        <w:rPr>
          <w:rFonts w:ascii="Aptos" w:hAnsi="Aptos" w:cs="Times New Roman"/>
          <w:noProof/>
        </w:rPr>
        <w:tab/>
        <w:t xml:space="preserve">G. Nazir, A. Rehman, J. H. Lee, C. H. Kim, J. Gautam, K. Heo, S. Hussain, M. Ikram, A. A. AlObaid, S. Y. Lee, S. J. Park, </w:t>
      </w:r>
      <w:r w:rsidRPr="003E0254">
        <w:rPr>
          <w:rFonts w:ascii="Aptos" w:hAnsi="Aptos" w:cs="Times New Roman"/>
          <w:i/>
          <w:iCs/>
          <w:noProof/>
        </w:rPr>
        <w:t>Nano-Micro Lett. 2024 161</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16</w:t>
      </w:r>
      <w:r w:rsidRPr="003E0254">
        <w:rPr>
          <w:rFonts w:ascii="Aptos" w:hAnsi="Aptos" w:cs="Times New Roman"/>
          <w:noProof/>
        </w:rPr>
        <w:t>, 1.</w:t>
      </w:r>
    </w:p>
    <w:p w14:paraId="6766691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[37] </w:t>
      </w:r>
      <w:r w:rsidRPr="003E0254">
        <w:rPr>
          <w:rFonts w:ascii="Aptos" w:hAnsi="Aptos" w:cs="Times New Roman"/>
          <w:noProof/>
          <w:lang w:val="de-DE"/>
        </w:rPr>
        <w:tab/>
        <w:t xml:space="preserve">Q. Liu, L. Wang, H. Fu, </w:t>
      </w:r>
      <w:r w:rsidRPr="003E0254">
        <w:rPr>
          <w:rFonts w:ascii="Aptos" w:hAnsi="Aptos" w:cs="Times New Roman"/>
          <w:i/>
          <w:iCs/>
          <w:noProof/>
          <w:lang w:val="de-DE"/>
        </w:rPr>
        <w:t>J. Mater. Chem. A</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4400.</w:t>
      </w:r>
    </w:p>
    <w:p w14:paraId="5EDB56A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[38] </w:t>
      </w:r>
      <w:r w:rsidRPr="003E0254">
        <w:rPr>
          <w:rFonts w:ascii="Aptos" w:hAnsi="Aptos" w:cs="Times New Roman"/>
          <w:noProof/>
          <w:lang w:val="de-DE"/>
        </w:rPr>
        <w:tab/>
        <w:t xml:space="preserve">K. Huang, R. Wang, S. Zhao, P. Du, H. Wang, H. Wei, Y. Long, B. Deng, M. Lei, B. Ge, H. Gou, R. Zhang, H. Wu,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29</w:t>
      </w:r>
      <w:r w:rsidRPr="003E0254">
        <w:rPr>
          <w:rFonts w:ascii="Aptos" w:hAnsi="Aptos" w:cs="Times New Roman"/>
          <w:noProof/>
        </w:rPr>
        <w:t>, 156.</w:t>
      </w:r>
    </w:p>
    <w:p w14:paraId="1F9710D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[39] </w:t>
      </w:r>
      <w:r w:rsidRPr="003E0254">
        <w:rPr>
          <w:rFonts w:ascii="Aptos" w:hAnsi="Aptos" w:cs="Times New Roman"/>
          <w:noProof/>
        </w:rPr>
        <w:tab/>
        <w:t xml:space="preserve">Y. Peng, C. Lai, M. Zhang, X. Liu, Y. Yin, Y. Li, Z. Wu,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526</w:t>
      </w:r>
      <w:r w:rsidRPr="003E0254">
        <w:rPr>
          <w:rFonts w:ascii="Aptos" w:hAnsi="Aptos" w:cs="Times New Roman"/>
          <w:noProof/>
        </w:rPr>
        <w:t>, 231173.</w:t>
      </w:r>
    </w:p>
    <w:p w14:paraId="016DE45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[40] </w:t>
      </w:r>
      <w:r w:rsidRPr="003E0254">
        <w:rPr>
          <w:rFonts w:ascii="Aptos" w:hAnsi="Aptos" w:cs="Times New Roman"/>
          <w:noProof/>
        </w:rPr>
        <w:tab/>
        <w:t xml:space="preserve">X. Yuan, C. He, J. Wang, X. You, Y. Chen, Q. Gou, N. Yang, G. Xie, Y. Hou, </w:t>
      </w:r>
      <w:r w:rsidRPr="003E0254">
        <w:rPr>
          <w:rFonts w:ascii="Aptos" w:hAnsi="Aptos" w:cs="Times New Roman"/>
          <w:i/>
          <w:iCs/>
          <w:noProof/>
        </w:rPr>
        <w:t>J. Alloys Compd.</w:t>
      </w:r>
      <w:r w:rsidRPr="003E0254">
        <w:rPr>
          <w:rFonts w:ascii="Aptos" w:hAnsi="Aptos" w:cs="Times New Roman"/>
          <w:noProof/>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970</w:t>
      </w:r>
      <w:r w:rsidRPr="003E0254">
        <w:rPr>
          <w:rFonts w:ascii="Aptos" w:hAnsi="Aptos" w:cs="Times New Roman"/>
          <w:noProof/>
          <w:lang w:val="de-DE"/>
        </w:rPr>
        <w:t>, 172523.</w:t>
      </w:r>
    </w:p>
    <w:p w14:paraId="6FDDCE7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[41] </w:t>
      </w:r>
      <w:r w:rsidRPr="003E0254">
        <w:rPr>
          <w:rFonts w:ascii="Aptos" w:hAnsi="Aptos" w:cs="Times New Roman"/>
          <w:noProof/>
          <w:lang w:val="de-DE"/>
        </w:rPr>
        <w:tab/>
        <w:t xml:space="preserve">X. Zhang, J. P. Hu, N. Fu, W. Bin Zhou, B. Liu, Q. Deng, X. W. Wu, </w:t>
      </w:r>
      <w:r w:rsidRPr="003E0254">
        <w:rPr>
          <w:rFonts w:ascii="Aptos" w:hAnsi="Aptos" w:cs="Times New Roman"/>
          <w:i/>
          <w:iCs/>
          <w:noProof/>
          <w:lang w:val="de-DE"/>
        </w:rPr>
        <w:t>InfoMat</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4</w:t>
      </w:r>
      <w:r w:rsidRPr="003E0254">
        <w:rPr>
          <w:rFonts w:ascii="Aptos" w:hAnsi="Aptos" w:cs="Times New Roman"/>
          <w:noProof/>
          <w:lang w:val="de-DE"/>
        </w:rPr>
        <w:t>, e12306.</w:t>
      </w:r>
    </w:p>
    <w:p w14:paraId="2B45DA6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[42] </w:t>
      </w:r>
      <w:r w:rsidRPr="003E0254">
        <w:rPr>
          <w:rFonts w:ascii="Aptos" w:hAnsi="Aptos" w:cs="Times New Roman"/>
          <w:noProof/>
          <w:lang w:val="de-DE"/>
        </w:rPr>
        <w:tab/>
        <w:t xml:space="preserve">C. Xu, B. Li, H. Du, F. Kang, </w:t>
      </w:r>
      <w:r w:rsidRPr="003E0254">
        <w:rPr>
          <w:rFonts w:ascii="Aptos" w:hAnsi="Aptos" w:cs="Times New Roman"/>
          <w:i/>
          <w:iCs/>
          <w:noProof/>
          <w:lang w:val="de-DE"/>
        </w:rPr>
        <w:t>Angew. Chemie Int. Ed.</w:t>
      </w:r>
      <w:r w:rsidRPr="003E0254">
        <w:rPr>
          <w:rFonts w:ascii="Aptos" w:hAnsi="Aptos" w:cs="Times New Roman"/>
          <w:noProof/>
          <w:lang w:val="de-DE"/>
        </w:rPr>
        <w:t xml:space="preserve"> </w:t>
      </w:r>
      <w:r w:rsidRPr="003E0254">
        <w:rPr>
          <w:rFonts w:ascii="Aptos" w:hAnsi="Aptos" w:cs="Times New Roman"/>
          <w:b/>
          <w:bCs/>
          <w:noProof/>
          <w:lang w:val="de-DE"/>
        </w:rPr>
        <w:t>2012</w:t>
      </w:r>
      <w:r w:rsidRPr="003E0254">
        <w:rPr>
          <w:rFonts w:ascii="Aptos" w:hAnsi="Aptos" w:cs="Times New Roman"/>
          <w:noProof/>
          <w:lang w:val="de-DE"/>
        </w:rPr>
        <w:t xml:space="preserve">, </w:t>
      </w:r>
      <w:r w:rsidRPr="003E0254">
        <w:rPr>
          <w:rFonts w:ascii="Aptos" w:hAnsi="Aptos" w:cs="Times New Roman"/>
          <w:i/>
          <w:iCs/>
          <w:noProof/>
          <w:lang w:val="de-DE"/>
        </w:rPr>
        <w:t>51</w:t>
      </w:r>
      <w:r w:rsidRPr="003E0254">
        <w:rPr>
          <w:rFonts w:ascii="Aptos" w:hAnsi="Aptos" w:cs="Times New Roman"/>
          <w:noProof/>
          <w:lang w:val="de-DE"/>
        </w:rPr>
        <w:t>, 933.</w:t>
      </w:r>
    </w:p>
    <w:p w14:paraId="31D7C76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[43] </w:t>
      </w:r>
      <w:r w:rsidRPr="003E0254">
        <w:rPr>
          <w:rFonts w:ascii="Aptos" w:hAnsi="Aptos" w:cs="Times New Roman"/>
          <w:noProof/>
          <w:lang w:val="de-DE"/>
        </w:rPr>
        <w:tab/>
        <w:t xml:space="preserve">L. E. Blanc, D. Kundu, L. F. Nazar, </w:t>
      </w:r>
      <w:r w:rsidRPr="003E0254">
        <w:rPr>
          <w:rFonts w:ascii="Aptos" w:hAnsi="Aptos" w:cs="Times New Roman"/>
          <w:i/>
          <w:iCs/>
          <w:noProof/>
          <w:lang w:val="de-DE"/>
        </w:rPr>
        <w:t>Joule</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4</w:t>
      </w:r>
      <w:r w:rsidRPr="003E0254">
        <w:rPr>
          <w:rFonts w:ascii="Aptos" w:hAnsi="Aptos" w:cs="Times New Roman"/>
          <w:noProof/>
          <w:lang w:val="de-DE"/>
        </w:rPr>
        <w:t>, 771.</w:t>
      </w:r>
    </w:p>
    <w:p w14:paraId="3E0A9B0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[44] </w:t>
      </w:r>
      <w:r w:rsidRPr="003E0254">
        <w:rPr>
          <w:rFonts w:ascii="Aptos" w:hAnsi="Aptos" w:cs="Times New Roman"/>
          <w:noProof/>
          <w:lang w:val="de-DE"/>
        </w:rPr>
        <w:tab/>
        <w:t xml:space="preserve">J. Ding, H. Gao, D. Ji, K. Zhao, S. Wang, F. Cheng, </w:t>
      </w:r>
      <w:r w:rsidRPr="003E0254">
        <w:rPr>
          <w:rFonts w:ascii="Aptos" w:hAnsi="Aptos" w:cs="Times New Roman"/>
          <w:i/>
          <w:iCs/>
          <w:noProof/>
          <w:lang w:val="de-DE"/>
        </w:rPr>
        <w:t xml:space="preserve">J. Mater. </w:t>
      </w:r>
      <w:r w:rsidRPr="003E0254">
        <w:rPr>
          <w:rFonts w:ascii="Aptos" w:hAnsi="Aptos" w:cs="Times New Roman"/>
          <w:i/>
          <w:iCs/>
          <w:noProof/>
        </w:rPr>
        <w:t>Chem. A</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5258.</w:t>
      </w:r>
    </w:p>
    <w:p w14:paraId="37EA541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[45] </w:t>
      </w:r>
      <w:r w:rsidRPr="003E0254">
        <w:rPr>
          <w:rFonts w:ascii="Aptos" w:hAnsi="Aptos" w:cs="Times New Roman"/>
          <w:noProof/>
        </w:rPr>
        <w:tab/>
        <w:t xml:space="preserve">J. Cao, F. Zhao, W. Guan, X. Yang, Q. Zhao, L. Gao, X. Ren, G. Wu, A. Liu, </w:t>
      </w:r>
      <w:r w:rsidRPr="003E0254">
        <w:rPr>
          <w:rFonts w:ascii="Aptos" w:hAnsi="Aptos" w:cs="Times New Roman"/>
          <w:i/>
          <w:iCs/>
          <w:noProof/>
        </w:rPr>
        <w:t>Small</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20</w:t>
      </w:r>
      <w:r w:rsidRPr="003E0254">
        <w:rPr>
          <w:rFonts w:ascii="Aptos" w:hAnsi="Aptos" w:cs="Times New Roman"/>
          <w:noProof/>
        </w:rPr>
        <w:t>, 2400221.</w:t>
      </w:r>
    </w:p>
    <w:p w14:paraId="33A94D4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[46] </w:t>
      </w:r>
      <w:r w:rsidRPr="003E0254">
        <w:rPr>
          <w:rFonts w:ascii="Aptos" w:hAnsi="Aptos" w:cs="Times New Roman"/>
          <w:noProof/>
          <w:lang w:val="de-DE"/>
        </w:rPr>
        <w:tab/>
        <w:t xml:space="preserve">B. Zhang, P. Dong, S. Yuan, Y. Zhang, Y. Zhang, Y. Wang, </w:t>
      </w:r>
      <w:r w:rsidRPr="003E0254">
        <w:rPr>
          <w:rFonts w:ascii="Aptos" w:hAnsi="Aptos" w:cs="Times New Roman"/>
          <w:i/>
          <w:iCs/>
          <w:noProof/>
          <w:lang w:val="de-DE"/>
        </w:rPr>
        <w:t>Chem Bio Eng.</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w:t>
      </w:r>
      <w:r w:rsidRPr="003E0254">
        <w:rPr>
          <w:rFonts w:ascii="Aptos" w:hAnsi="Aptos" w:cs="Times New Roman"/>
          <w:noProof/>
          <w:lang w:val="de-DE"/>
        </w:rPr>
        <w:t>, 113.</w:t>
      </w:r>
    </w:p>
    <w:p w14:paraId="010567F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[47] </w:t>
      </w:r>
      <w:r w:rsidRPr="003E0254">
        <w:rPr>
          <w:rFonts w:ascii="Aptos" w:hAnsi="Aptos" w:cs="Times New Roman"/>
          <w:noProof/>
          <w:lang w:val="de-DE"/>
        </w:rPr>
        <w:tab/>
        <w:t xml:space="preserve">C. Liu, X. Xie, B. Lu, J. Zhou, S. Liang, </w:t>
      </w:r>
      <w:r w:rsidRPr="003E0254">
        <w:rPr>
          <w:rFonts w:ascii="Aptos" w:hAnsi="Aptos" w:cs="Times New Roman"/>
          <w:i/>
          <w:iCs/>
          <w:noProof/>
          <w:lang w:val="de-DE"/>
        </w:rPr>
        <w:t>ACS Energy Lett.</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6</w:t>
      </w:r>
      <w:r w:rsidRPr="003E0254">
        <w:rPr>
          <w:rFonts w:ascii="Aptos" w:hAnsi="Aptos" w:cs="Times New Roman"/>
          <w:noProof/>
          <w:lang w:val="de-DE"/>
        </w:rPr>
        <w:t>, 1015.</w:t>
      </w:r>
    </w:p>
    <w:p w14:paraId="477349A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[48] </w:t>
      </w:r>
      <w:r w:rsidRPr="003E0254">
        <w:rPr>
          <w:rFonts w:ascii="Aptos" w:hAnsi="Aptos" w:cs="Times New Roman"/>
          <w:noProof/>
          <w:lang w:val="de-DE"/>
        </w:rPr>
        <w:tab/>
        <w:t xml:space="preserve">H. Zhang, C. Sun, M. Ge, </w:t>
      </w:r>
      <w:r w:rsidRPr="003E0254">
        <w:rPr>
          <w:rFonts w:ascii="Aptos" w:hAnsi="Aptos" w:cs="Times New Roman"/>
          <w:i/>
          <w:iCs/>
          <w:noProof/>
          <w:lang w:val="de-DE"/>
        </w:rPr>
        <w:t>Batter. 2022, Vol. 8, Page 202</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202.</w:t>
      </w:r>
    </w:p>
    <w:p w14:paraId="2CDD3EF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[49] </w:t>
      </w:r>
      <w:r w:rsidRPr="003E0254">
        <w:rPr>
          <w:rFonts w:ascii="Aptos" w:hAnsi="Aptos" w:cs="Times New Roman"/>
          <w:noProof/>
          <w:lang w:val="de-DE"/>
        </w:rPr>
        <w:tab/>
        <w:t xml:space="preserve">X. Wang, R. K. Gautam, J. Jiang, </w:t>
      </w:r>
      <w:r w:rsidRPr="003E0254">
        <w:rPr>
          <w:rFonts w:ascii="Aptos" w:hAnsi="Aptos" w:cs="Times New Roman"/>
          <w:i/>
          <w:iCs/>
          <w:noProof/>
          <w:lang w:val="de-DE"/>
        </w:rPr>
        <w:t>Chem. Soc. Rev.</w:t>
      </w:r>
      <w:r w:rsidRPr="003E0254">
        <w:rPr>
          <w:rFonts w:ascii="Aptos" w:hAnsi="Aptos" w:cs="Times New Roman"/>
          <w:noProof/>
          <w:lang w:val="de-DE"/>
        </w:rPr>
        <w:t xml:space="preserve"> </w:t>
      </w:r>
      <w:r w:rsidRPr="003E0254">
        <w:rPr>
          <w:rFonts w:ascii="Aptos" w:hAnsi="Aptos" w:cs="Times New Roman"/>
          <w:b/>
          <w:bCs/>
          <w:noProof/>
          <w:lang w:val="de-DE"/>
        </w:rPr>
        <w:t>2025</w:t>
      </w:r>
      <w:r w:rsidRPr="003E0254">
        <w:rPr>
          <w:rFonts w:ascii="Aptos" w:hAnsi="Aptos" w:cs="Times New Roman"/>
          <w:noProof/>
          <w:lang w:val="de-DE"/>
        </w:rPr>
        <w:t xml:space="preserve">, </w:t>
      </w:r>
      <w:r w:rsidRPr="003E0254">
        <w:rPr>
          <w:rFonts w:ascii="Aptos" w:hAnsi="Aptos" w:cs="Times New Roman"/>
          <w:i/>
          <w:iCs/>
          <w:noProof/>
          <w:lang w:val="de-DE"/>
        </w:rPr>
        <w:t>54</w:t>
      </w:r>
      <w:r w:rsidRPr="003E0254">
        <w:rPr>
          <w:rFonts w:ascii="Aptos" w:hAnsi="Aptos" w:cs="Times New Roman"/>
          <w:noProof/>
          <w:lang w:val="de-DE"/>
        </w:rPr>
        <w:t>, 5895.</w:t>
      </w:r>
    </w:p>
    <w:p w14:paraId="3EC68BD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[50] </w:t>
      </w:r>
      <w:r w:rsidRPr="003E0254">
        <w:rPr>
          <w:rFonts w:ascii="Aptos" w:hAnsi="Aptos" w:cs="Times New Roman"/>
          <w:noProof/>
          <w:lang w:val="de-DE"/>
        </w:rPr>
        <w:tab/>
        <w:t xml:space="preserve">C. Wang, G. Gao, Y. Su, J. Xie, D. He, X. Wang, Y. Wang, Y. Wang, </w:t>
      </w:r>
      <w:r w:rsidRPr="003E0254">
        <w:rPr>
          <w:rFonts w:ascii="Aptos" w:hAnsi="Aptos" w:cs="Times New Roman"/>
          <w:i/>
          <w:iCs/>
          <w:noProof/>
          <w:lang w:val="de-DE"/>
        </w:rPr>
        <w:t>Nat. Commun. 2024 151</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15</w:t>
      </w:r>
      <w:r w:rsidRPr="003E0254">
        <w:rPr>
          <w:rFonts w:ascii="Aptos" w:hAnsi="Aptos" w:cs="Times New Roman"/>
          <w:noProof/>
          <w:lang w:val="de-DE"/>
        </w:rPr>
        <w:t>, 1.</w:t>
      </w:r>
    </w:p>
    <w:p w14:paraId="61EF6A5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[51] </w:t>
      </w:r>
      <w:r w:rsidRPr="003E0254">
        <w:rPr>
          <w:rFonts w:ascii="Aptos" w:hAnsi="Aptos" w:cs="Times New Roman"/>
          <w:noProof/>
          <w:lang w:val="de-DE"/>
        </w:rPr>
        <w:tab/>
        <w:t xml:space="preserve">P. Zhang, M. Wei, K. Wang, H. Wang, Y. Zuo, M. Zhang,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lang w:val="de-DE"/>
        </w:rPr>
        <w:t>2025</w:t>
      </w:r>
      <w:r w:rsidRPr="003E0254">
        <w:rPr>
          <w:rFonts w:ascii="Aptos" w:hAnsi="Aptos" w:cs="Times New Roman"/>
          <w:noProof/>
          <w:lang w:val="de-DE"/>
        </w:rPr>
        <w:t xml:space="preserve">, </w:t>
      </w:r>
      <w:r w:rsidRPr="003E0254">
        <w:rPr>
          <w:rFonts w:ascii="Aptos" w:hAnsi="Aptos" w:cs="Times New Roman"/>
          <w:i/>
          <w:iCs/>
          <w:noProof/>
          <w:lang w:val="de-DE"/>
        </w:rPr>
        <w:t>75</w:t>
      </w:r>
      <w:r w:rsidRPr="003E0254">
        <w:rPr>
          <w:rFonts w:ascii="Aptos" w:hAnsi="Aptos" w:cs="Times New Roman"/>
          <w:noProof/>
          <w:lang w:val="de-DE"/>
        </w:rPr>
        <w:t>, 104109.</w:t>
      </w:r>
    </w:p>
    <w:p w14:paraId="38D0083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[52] </w:t>
      </w:r>
      <w:r w:rsidRPr="003E0254">
        <w:rPr>
          <w:rFonts w:ascii="Aptos" w:hAnsi="Aptos" w:cs="Times New Roman"/>
          <w:noProof/>
          <w:lang w:val="de-DE"/>
        </w:rPr>
        <w:tab/>
        <w:t xml:space="preserve">X. Li, L. Wang, Y. Fu, H. Dang, D. Wang, F. Ran, </w:t>
      </w:r>
      <w:r w:rsidRPr="003E0254">
        <w:rPr>
          <w:rFonts w:ascii="Aptos" w:hAnsi="Aptos" w:cs="Times New Roman"/>
          <w:i/>
          <w:iCs/>
          <w:noProof/>
          <w:lang w:val="de-DE"/>
        </w:rPr>
        <w:t>Nano Energy</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116</w:t>
      </w:r>
      <w:r w:rsidRPr="003E0254">
        <w:rPr>
          <w:rFonts w:ascii="Aptos" w:hAnsi="Aptos" w:cs="Times New Roman"/>
          <w:noProof/>
          <w:lang w:val="de-DE"/>
        </w:rPr>
        <w:t>, 108858.</w:t>
      </w:r>
    </w:p>
    <w:p w14:paraId="1FD6FF3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[53] </w:t>
      </w:r>
      <w:r w:rsidRPr="003E0254">
        <w:rPr>
          <w:rFonts w:ascii="Aptos" w:hAnsi="Aptos" w:cs="Times New Roman"/>
          <w:noProof/>
          <w:lang w:val="de-DE"/>
        </w:rPr>
        <w:tab/>
        <w:t xml:space="preserve">G. Wang, Q. K. Zhang, X. Q. Zhang, J. Lu, C. Pei, D. Min, J. Q. Huang, H. S. Park,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2025</w:t>
      </w:r>
      <w:r w:rsidRPr="003E0254">
        <w:rPr>
          <w:rFonts w:ascii="Aptos" w:hAnsi="Aptos" w:cs="Times New Roman"/>
          <w:noProof/>
          <w:lang w:val="de-DE"/>
        </w:rPr>
        <w:t xml:space="preserve">, </w:t>
      </w:r>
      <w:r w:rsidRPr="003E0254">
        <w:rPr>
          <w:rFonts w:ascii="Aptos" w:hAnsi="Aptos" w:cs="Times New Roman"/>
          <w:i/>
          <w:iCs/>
          <w:noProof/>
          <w:lang w:val="de-DE"/>
        </w:rPr>
        <w:t>15</w:t>
      </w:r>
      <w:r w:rsidRPr="003E0254">
        <w:rPr>
          <w:rFonts w:ascii="Aptos" w:hAnsi="Aptos" w:cs="Times New Roman"/>
          <w:noProof/>
          <w:lang w:val="de-DE"/>
        </w:rPr>
        <w:t>, 2304557.</w:t>
      </w:r>
    </w:p>
    <w:p w14:paraId="1608C7E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[54] </w:t>
      </w:r>
      <w:r w:rsidRPr="003E0254">
        <w:rPr>
          <w:rFonts w:ascii="Aptos" w:hAnsi="Aptos" w:cs="Times New Roman"/>
          <w:noProof/>
          <w:lang w:val="de-DE"/>
        </w:rPr>
        <w:tab/>
        <w:t xml:space="preserve">D. Yang, J. Li, C. Liu, W. Xing, J. Zhu, </w:t>
      </w:r>
      <w:r w:rsidRPr="003E0254">
        <w:rPr>
          <w:rFonts w:ascii="Aptos" w:hAnsi="Aptos" w:cs="Times New Roman"/>
          <w:i/>
          <w:iCs/>
          <w:noProof/>
          <w:lang w:val="de-DE"/>
        </w:rPr>
        <w:t>J. Energy Chem.</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82</w:t>
      </w:r>
      <w:r w:rsidRPr="003E0254">
        <w:rPr>
          <w:rFonts w:ascii="Aptos" w:hAnsi="Aptos" w:cs="Times New Roman"/>
          <w:noProof/>
          <w:lang w:val="de-DE"/>
        </w:rPr>
        <w:t>, 122.</w:t>
      </w:r>
    </w:p>
    <w:p w14:paraId="69E9BF3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[55] </w:t>
      </w:r>
      <w:r w:rsidRPr="003E0254">
        <w:rPr>
          <w:rFonts w:ascii="Aptos" w:hAnsi="Aptos" w:cs="Times New Roman"/>
          <w:noProof/>
          <w:lang w:val="de-DE"/>
        </w:rPr>
        <w:tab/>
        <w:t xml:space="preserve">B. Li, Y. Zeng, W. Zhang, B. Lu, Q. Yang, J. Zhou, Z. He, </w:t>
      </w:r>
      <w:r w:rsidRPr="003E0254">
        <w:rPr>
          <w:rFonts w:ascii="Aptos" w:hAnsi="Aptos" w:cs="Times New Roman"/>
          <w:i/>
          <w:iCs/>
          <w:noProof/>
          <w:lang w:val="de-DE"/>
        </w:rPr>
        <w:t xml:space="preserve">Sci. </w:t>
      </w:r>
      <w:r w:rsidRPr="003E0254">
        <w:rPr>
          <w:rFonts w:ascii="Aptos" w:hAnsi="Aptos" w:cs="Times New Roman"/>
          <w:i/>
          <w:iCs/>
          <w:noProof/>
        </w:rPr>
        <w:t>Bull.</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69</w:t>
      </w:r>
      <w:r w:rsidRPr="003E0254">
        <w:rPr>
          <w:rFonts w:ascii="Aptos" w:hAnsi="Aptos" w:cs="Times New Roman"/>
          <w:noProof/>
        </w:rPr>
        <w:t>, 688.</w:t>
      </w:r>
    </w:p>
    <w:p w14:paraId="475A443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[56] </w:t>
      </w:r>
      <w:r w:rsidRPr="003E0254">
        <w:rPr>
          <w:rFonts w:ascii="Aptos" w:hAnsi="Aptos" w:cs="Times New Roman"/>
          <w:noProof/>
        </w:rPr>
        <w:tab/>
        <w:t xml:space="preserve">B. Li, X. Zhang, T. Wang, Z. He, B. Lu, S. Liang, J. Zhou, </w:t>
      </w:r>
      <w:r w:rsidRPr="003E0254">
        <w:rPr>
          <w:rFonts w:ascii="Aptos" w:hAnsi="Aptos" w:cs="Times New Roman"/>
          <w:i/>
          <w:iCs/>
          <w:noProof/>
        </w:rPr>
        <w:t>Nano-Micro Lett. 2021 141</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14</w:t>
      </w:r>
      <w:r w:rsidRPr="003E0254">
        <w:rPr>
          <w:rFonts w:ascii="Aptos" w:hAnsi="Aptos" w:cs="Times New Roman"/>
          <w:noProof/>
        </w:rPr>
        <w:t>, 1.</w:t>
      </w:r>
    </w:p>
    <w:p w14:paraId="6CF8405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[57] </w:t>
      </w:r>
      <w:r w:rsidRPr="003E0254">
        <w:rPr>
          <w:rFonts w:ascii="Aptos" w:hAnsi="Aptos" w:cs="Times New Roman"/>
          <w:noProof/>
        </w:rPr>
        <w:tab/>
        <w:t xml:space="preserve">A. Naveed, T. Rasheed, B. Raza, J. Chen, J. Yang, N. Yanna, J. Wang, </w:t>
      </w:r>
      <w:r w:rsidRPr="003E0254">
        <w:rPr>
          <w:rFonts w:ascii="Aptos" w:hAnsi="Aptos" w:cs="Times New Roman"/>
          <w:i/>
          <w:iCs/>
          <w:noProof/>
        </w:rPr>
        <w:t>Energy Storage Mater.</w:t>
      </w:r>
      <w:r w:rsidRPr="003E0254">
        <w:rPr>
          <w:rFonts w:ascii="Aptos" w:hAnsi="Aptos" w:cs="Times New Roman"/>
          <w:noProof/>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44</w:t>
      </w:r>
      <w:r w:rsidRPr="003E0254">
        <w:rPr>
          <w:rFonts w:ascii="Aptos" w:hAnsi="Aptos" w:cs="Times New Roman"/>
          <w:noProof/>
          <w:lang w:val="de-DE"/>
        </w:rPr>
        <w:t>, 206.</w:t>
      </w:r>
    </w:p>
    <w:p w14:paraId="0AC8DFD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[58] </w:t>
      </w:r>
      <w:r w:rsidRPr="003E0254">
        <w:rPr>
          <w:rFonts w:ascii="Aptos" w:hAnsi="Aptos" w:cs="Times New Roman"/>
          <w:noProof/>
          <w:lang w:val="de-DE"/>
        </w:rPr>
        <w:tab/>
        <w:t xml:space="preserve">C. Li, L. Wang, J. Zhang, D. Zhang, J. Du, Y. Yao, G. Hong,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44</w:t>
      </w:r>
      <w:r w:rsidRPr="003E0254">
        <w:rPr>
          <w:rFonts w:ascii="Aptos" w:hAnsi="Aptos" w:cs="Times New Roman"/>
          <w:noProof/>
          <w:lang w:val="de-DE"/>
        </w:rPr>
        <w:t>, 104.</w:t>
      </w:r>
    </w:p>
    <w:p w14:paraId="5740D2D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[59] </w:t>
      </w:r>
      <w:r w:rsidRPr="003E0254">
        <w:rPr>
          <w:rFonts w:ascii="Aptos" w:hAnsi="Aptos" w:cs="Times New Roman"/>
          <w:noProof/>
          <w:lang w:val="de-DE"/>
        </w:rPr>
        <w:tab/>
        <w:t xml:space="preserve">H. Ren, S. Li, B. Wang, Y. Gong, H. Zhang, J. Wang, Q. Lv, D. Wang, H. Liu, S. Dou,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68</w:t>
      </w:r>
      <w:r w:rsidRPr="003E0254">
        <w:rPr>
          <w:rFonts w:ascii="Aptos" w:hAnsi="Aptos" w:cs="Times New Roman"/>
          <w:noProof/>
          <w:lang w:val="de-DE"/>
        </w:rPr>
        <w:t>, 103364.</w:t>
      </w:r>
    </w:p>
    <w:p w14:paraId="6CE451D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[60] </w:t>
      </w:r>
      <w:r w:rsidRPr="003E0254">
        <w:rPr>
          <w:rFonts w:ascii="Aptos" w:hAnsi="Aptos" w:cs="Times New Roman"/>
          <w:noProof/>
          <w:lang w:val="de-DE"/>
        </w:rPr>
        <w:tab/>
        <w:t xml:space="preserve">Y. Liang, M. Qiu, P. Sun, W. Mai, </w:t>
      </w:r>
      <w:r w:rsidRPr="003E0254">
        <w:rPr>
          <w:rFonts w:ascii="Aptos" w:hAnsi="Aptos" w:cs="Times New Roman"/>
          <w:i/>
          <w:iCs/>
          <w:noProof/>
          <w:lang w:val="de-DE"/>
        </w:rPr>
        <w:t>Adv. Funct. Mater.</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33</w:t>
      </w:r>
      <w:r w:rsidRPr="003E0254">
        <w:rPr>
          <w:rFonts w:ascii="Aptos" w:hAnsi="Aptos" w:cs="Times New Roman"/>
          <w:noProof/>
          <w:lang w:val="de-DE"/>
        </w:rPr>
        <w:t>, 2304878.</w:t>
      </w:r>
    </w:p>
    <w:p w14:paraId="0E25CFD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[61] </w:t>
      </w:r>
      <w:r w:rsidRPr="003E0254">
        <w:rPr>
          <w:rFonts w:ascii="Aptos" w:hAnsi="Aptos" w:cs="Times New Roman"/>
          <w:noProof/>
          <w:lang w:val="de-DE"/>
        </w:rPr>
        <w:tab/>
        <w:t xml:space="preserve">Q. Li, A. Chen, D. Wang, Y. Zhao, X. Wang, X. Jin, B. Xiong, C. Zhi, </w:t>
      </w:r>
      <w:r w:rsidRPr="003E0254">
        <w:rPr>
          <w:rFonts w:ascii="Aptos" w:hAnsi="Aptos" w:cs="Times New Roman"/>
          <w:i/>
          <w:iCs/>
          <w:noProof/>
          <w:lang w:val="de-DE"/>
        </w:rPr>
        <w:t xml:space="preserve">Nat. </w:t>
      </w:r>
      <w:r w:rsidRPr="003E0254">
        <w:rPr>
          <w:rFonts w:ascii="Aptos" w:hAnsi="Aptos" w:cs="Times New Roman"/>
          <w:i/>
          <w:iCs/>
          <w:noProof/>
        </w:rPr>
        <w:t>Commun. 2022 131</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13</w:t>
      </w:r>
      <w:r w:rsidRPr="003E0254">
        <w:rPr>
          <w:rFonts w:ascii="Aptos" w:hAnsi="Aptos" w:cs="Times New Roman"/>
          <w:noProof/>
        </w:rPr>
        <w:t>, 1.</w:t>
      </w:r>
    </w:p>
    <w:p w14:paraId="5BA2963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[62] </w:t>
      </w:r>
      <w:r w:rsidRPr="003E0254">
        <w:rPr>
          <w:rFonts w:ascii="Aptos" w:hAnsi="Aptos" w:cs="Times New Roman"/>
          <w:noProof/>
        </w:rPr>
        <w:tab/>
        <w:t xml:space="preserve">Y. Zhao, Y. Wang, J. Li, J. Xiong, Q. Li, K. K. Abdalla, Y. Zhao, Z. Cai, X. Sun, </w:t>
      </w:r>
      <w:r w:rsidRPr="003E0254">
        <w:rPr>
          <w:rFonts w:ascii="Aptos" w:hAnsi="Aptos" w:cs="Times New Roman"/>
          <w:i/>
          <w:iCs/>
          <w:noProof/>
        </w:rPr>
        <w:t>eScience</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100331.</w:t>
      </w:r>
    </w:p>
    <w:p w14:paraId="0769772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[63] </w:t>
      </w:r>
      <w:r w:rsidRPr="003E0254">
        <w:rPr>
          <w:rFonts w:ascii="Aptos" w:hAnsi="Aptos" w:cs="Times New Roman"/>
          <w:noProof/>
          <w:lang w:val="de-DE"/>
        </w:rPr>
        <w:tab/>
        <w:t xml:space="preserve">P. Ruan, S. Liang, B. Lu, H. J. Fan, J. Zhou, </w:t>
      </w:r>
      <w:r w:rsidRPr="003E0254">
        <w:rPr>
          <w:rFonts w:ascii="Aptos" w:hAnsi="Aptos" w:cs="Times New Roman"/>
          <w:i/>
          <w:iCs/>
          <w:noProof/>
          <w:lang w:val="de-DE"/>
        </w:rPr>
        <w:t>Angew. Chemie Int. Ed.</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61</w:t>
      </w:r>
      <w:r w:rsidRPr="003E0254">
        <w:rPr>
          <w:rFonts w:ascii="Aptos" w:hAnsi="Aptos" w:cs="Times New Roman"/>
          <w:noProof/>
          <w:lang w:val="de-DE"/>
        </w:rPr>
        <w:t>, e202200598.</w:t>
      </w:r>
    </w:p>
    <w:p w14:paraId="740DBFD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[64] </w:t>
      </w:r>
      <w:r w:rsidRPr="003E0254">
        <w:rPr>
          <w:rFonts w:ascii="Aptos" w:hAnsi="Aptos" w:cs="Times New Roman"/>
          <w:noProof/>
          <w:lang w:val="de-DE"/>
        </w:rPr>
        <w:tab/>
        <w:t xml:space="preserve">Y. Gao, L. Liu, Y. Jiang, D. Yu, X. Zheng, J. Wang, J. Liu, D. Luo, Y. Zhang, Z. Shi, X. Wang, Y. P. Deng, Z. Chen, </w:t>
      </w:r>
      <w:r w:rsidRPr="003E0254">
        <w:rPr>
          <w:rFonts w:ascii="Aptos" w:hAnsi="Aptos" w:cs="Times New Roman"/>
          <w:i/>
          <w:iCs/>
          <w:noProof/>
          <w:lang w:val="de-DE"/>
        </w:rPr>
        <w:t>Nano-Micro Lett. 2024 161</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16</w:t>
      </w:r>
      <w:r w:rsidRPr="003E0254">
        <w:rPr>
          <w:rFonts w:ascii="Aptos" w:hAnsi="Aptos" w:cs="Times New Roman"/>
          <w:noProof/>
          <w:lang w:val="de-DE"/>
        </w:rPr>
        <w:t>, 1.</w:t>
      </w:r>
    </w:p>
    <w:p w14:paraId="4E860B7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[65] </w:t>
      </w:r>
      <w:r w:rsidRPr="003E0254">
        <w:rPr>
          <w:rFonts w:ascii="Aptos" w:hAnsi="Aptos" w:cs="Times New Roman"/>
          <w:noProof/>
          <w:lang w:val="de-DE"/>
        </w:rPr>
        <w:tab/>
        <w:t xml:space="preserve">L. Tang, W. Lu, H. Zhang, X. Li, </w:t>
      </w:r>
      <w:r w:rsidRPr="003E0254">
        <w:rPr>
          <w:rFonts w:ascii="Aptos" w:hAnsi="Aptos" w:cs="Times New Roman"/>
          <w:i/>
          <w:iCs/>
          <w:noProof/>
          <w:lang w:val="de-DE"/>
        </w:rPr>
        <w:t>Energy Mater. Adv.</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2022</w:t>
      </w:r>
      <w:r w:rsidRPr="003E0254">
        <w:rPr>
          <w:rFonts w:ascii="Aptos" w:hAnsi="Aptos" w:cs="Times New Roman"/>
          <w:noProof/>
          <w:lang w:val="de-DE"/>
        </w:rPr>
        <w:t>.</w:t>
      </w:r>
    </w:p>
    <w:p w14:paraId="077315C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[66] </w:t>
      </w:r>
      <w:r w:rsidRPr="003E0254">
        <w:rPr>
          <w:rFonts w:ascii="Aptos" w:hAnsi="Aptos" w:cs="Times New Roman"/>
          <w:noProof/>
          <w:lang w:val="de-DE"/>
        </w:rPr>
        <w:tab/>
        <w:t xml:space="preserve">X. Liu, X. Fan, B. Liu, J. Ding, Y. Deng, X. Han, C. Zhong, W. X. Hu Liu, X. Fan, B. Liu, J. Ding, C. Zhong, W. Hu, Y. Deng, X. Han, </w:t>
      </w:r>
      <w:r w:rsidRPr="003E0254">
        <w:rPr>
          <w:rFonts w:ascii="Aptos" w:hAnsi="Aptos" w:cs="Times New Roman"/>
          <w:i/>
          <w:iCs/>
          <w:noProof/>
          <w:lang w:val="de-DE"/>
        </w:rPr>
        <w:t>Adv. Mater.</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33</w:t>
      </w:r>
      <w:r w:rsidRPr="003E0254">
        <w:rPr>
          <w:rFonts w:ascii="Aptos" w:hAnsi="Aptos" w:cs="Times New Roman"/>
          <w:noProof/>
          <w:lang w:val="de-DE"/>
        </w:rPr>
        <w:t>, 2006461.</w:t>
      </w:r>
    </w:p>
    <w:p w14:paraId="6517073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[67] </w:t>
      </w:r>
      <w:r w:rsidRPr="003E0254">
        <w:rPr>
          <w:rFonts w:ascii="Aptos" w:hAnsi="Aptos" w:cs="Times New Roman"/>
          <w:noProof/>
          <w:lang w:val="de-DE"/>
        </w:rPr>
        <w:tab/>
        <w:t xml:space="preserve">J. Liu, Z. Shen, C. Z. Lu, </w:t>
      </w:r>
      <w:r w:rsidRPr="003E0254">
        <w:rPr>
          <w:rFonts w:ascii="Aptos" w:hAnsi="Aptos" w:cs="Times New Roman"/>
          <w:i/>
          <w:iCs/>
          <w:noProof/>
          <w:lang w:val="de-DE"/>
        </w:rPr>
        <w:t xml:space="preserve">J. Mater. </w:t>
      </w:r>
      <w:r w:rsidRPr="003E0254">
        <w:rPr>
          <w:rFonts w:ascii="Aptos" w:hAnsi="Aptos" w:cs="Times New Roman"/>
          <w:i/>
          <w:iCs/>
          <w:noProof/>
        </w:rPr>
        <w:t>Chem. A</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12</w:t>
      </w:r>
      <w:r w:rsidRPr="003E0254">
        <w:rPr>
          <w:rFonts w:ascii="Aptos" w:hAnsi="Aptos" w:cs="Times New Roman"/>
          <w:noProof/>
        </w:rPr>
        <w:t>, 2647.</w:t>
      </w:r>
    </w:p>
    <w:p w14:paraId="3F7CFBA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[68] </w:t>
      </w:r>
      <w:r w:rsidRPr="003E0254">
        <w:rPr>
          <w:rFonts w:ascii="Aptos" w:hAnsi="Aptos" w:cs="Times New Roman"/>
          <w:noProof/>
        </w:rPr>
        <w:tab/>
        <w:t xml:space="preserve">X. Liu, L. Yue, W. Dong, Y. Qu, X. Sun, L. Chen, </w:t>
      </w:r>
      <w:r w:rsidRPr="003E0254">
        <w:rPr>
          <w:rFonts w:ascii="Aptos" w:hAnsi="Aptos" w:cs="Times New Roman"/>
          <w:i/>
          <w:iCs/>
          <w:noProof/>
        </w:rPr>
        <w:t xml:space="preserve">Batter. </w:t>
      </w:r>
      <w:r w:rsidRPr="003E0254">
        <w:rPr>
          <w:rFonts w:ascii="Aptos" w:hAnsi="Aptos" w:cs="Times New Roman"/>
          <w:i/>
          <w:iCs/>
          <w:noProof/>
          <w:lang w:val="de-DE"/>
        </w:rPr>
        <w:t>2024, Vol. 10, Page 97</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10</w:t>
      </w:r>
      <w:r w:rsidRPr="003E0254">
        <w:rPr>
          <w:rFonts w:ascii="Aptos" w:hAnsi="Aptos" w:cs="Times New Roman"/>
          <w:noProof/>
          <w:lang w:val="de-DE"/>
        </w:rPr>
        <w:t>, 97.</w:t>
      </w:r>
    </w:p>
    <w:p w14:paraId="38D04A9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[69] </w:t>
      </w:r>
      <w:r w:rsidRPr="003E0254">
        <w:rPr>
          <w:rFonts w:ascii="Aptos" w:hAnsi="Aptos" w:cs="Times New Roman"/>
          <w:noProof/>
          <w:lang w:val="de-DE"/>
        </w:rPr>
        <w:tab/>
        <w:t xml:space="preserve">D. Xie, Y. Sang, D. H. Wang, W. Y. Diao, F. Y. Tao, C. Liu, J. W. Wang, H. Z. Sun, J. P. Zhang, X. L. Wu, </w:t>
      </w:r>
      <w:r w:rsidRPr="003E0254">
        <w:rPr>
          <w:rFonts w:ascii="Aptos" w:hAnsi="Aptos" w:cs="Times New Roman"/>
          <w:i/>
          <w:iCs/>
          <w:noProof/>
          <w:lang w:val="de-DE"/>
        </w:rPr>
        <w:t>Angew. Chemie Int. Ed.</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62</w:t>
      </w:r>
      <w:r w:rsidRPr="003E0254">
        <w:rPr>
          <w:rFonts w:ascii="Aptos" w:hAnsi="Aptos" w:cs="Times New Roman"/>
          <w:noProof/>
          <w:lang w:val="de-DE"/>
        </w:rPr>
        <w:t>, e202216934.</w:t>
      </w:r>
    </w:p>
    <w:p w14:paraId="29CA001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[70] </w:t>
      </w:r>
      <w:r w:rsidRPr="003E0254">
        <w:rPr>
          <w:rFonts w:ascii="Aptos" w:hAnsi="Aptos" w:cs="Times New Roman"/>
          <w:noProof/>
          <w:lang w:val="de-DE"/>
        </w:rPr>
        <w:tab/>
        <w:t xml:space="preserve">N. Chang, T. Li, R. Li, S. Wang, Y. Yin, H. Zhang, X. Li, </w:t>
      </w:r>
      <w:r w:rsidRPr="003E0254">
        <w:rPr>
          <w:rFonts w:ascii="Aptos" w:hAnsi="Aptos" w:cs="Times New Roman"/>
          <w:i/>
          <w:iCs/>
          <w:noProof/>
          <w:lang w:val="de-DE"/>
        </w:rPr>
        <w:t xml:space="preserve">Energy Environ. </w:t>
      </w:r>
      <w:r w:rsidRPr="003E0254">
        <w:rPr>
          <w:rFonts w:ascii="Aptos" w:hAnsi="Aptos" w:cs="Times New Roman"/>
          <w:i/>
          <w:iCs/>
          <w:noProof/>
        </w:rPr>
        <w:t>Sci.</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13</w:t>
      </w:r>
      <w:r w:rsidRPr="003E0254">
        <w:rPr>
          <w:rFonts w:ascii="Aptos" w:hAnsi="Aptos" w:cs="Times New Roman"/>
          <w:noProof/>
        </w:rPr>
        <w:t>, 3527.</w:t>
      </w:r>
    </w:p>
    <w:p w14:paraId="45720A2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[71] </w:t>
      </w:r>
      <w:r w:rsidRPr="003E0254">
        <w:rPr>
          <w:rFonts w:ascii="Aptos" w:hAnsi="Aptos" w:cs="Times New Roman"/>
          <w:noProof/>
        </w:rPr>
        <w:tab/>
        <w:t xml:space="preserve">S. Wu, Z. Hu, P. He, L. Ren, J. Huang, J. Luo, </w:t>
      </w:r>
      <w:r w:rsidRPr="003E0254">
        <w:rPr>
          <w:rFonts w:ascii="Aptos" w:hAnsi="Aptos" w:cs="Times New Roman"/>
          <w:i/>
          <w:iCs/>
          <w:noProof/>
        </w:rPr>
        <w:t>eScience</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3</w:t>
      </w:r>
      <w:r w:rsidRPr="003E0254">
        <w:rPr>
          <w:rFonts w:ascii="Aptos" w:hAnsi="Aptos" w:cs="Times New Roman"/>
          <w:noProof/>
        </w:rPr>
        <w:t>, 100120.</w:t>
      </w:r>
    </w:p>
    <w:p w14:paraId="42FD7DC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[72] </w:t>
      </w:r>
      <w:r w:rsidRPr="003E0254">
        <w:rPr>
          <w:rFonts w:ascii="Aptos" w:hAnsi="Aptos" w:cs="Times New Roman"/>
          <w:noProof/>
          <w:lang w:val="de-DE"/>
        </w:rPr>
        <w:tab/>
        <w:t xml:space="preserve">X. Zhang, J. Li, Y. Liu, B. Lu, S. Liang, J. Zhou, </w:t>
      </w:r>
      <w:r w:rsidRPr="003E0254">
        <w:rPr>
          <w:rFonts w:ascii="Aptos" w:hAnsi="Aptos" w:cs="Times New Roman"/>
          <w:i/>
          <w:iCs/>
          <w:noProof/>
          <w:lang w:val="de-DE"/>
        </w:rPr>
        <w:t>Nat. Commun. 2024 151</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15</w:t>
      </w:r>
      <w:r w:rsidRPr="003E0254">
        <w:rPr>
          <w:rFonts w:ascii="Aptos" w:hAnsi="Aptos" w:cs="Times New Roman"/>
          <w:noProof/>
          <w:lang w:val="de-DE"/>
        </w:rPr>
        <w:t>, 1.</w:t>
      </w:r>
    </w:p>
    <w:p w14:paraId="11CEE07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[73] </w:t>
      </w:r>
      <w:r w:rsidRPr="003E0254">
        <w:rPr>
          <w:rFonts w:ascii="Aptos" w:hAnsi="Aptos" w:cs="Times New Roman"/>
          <w:noProof/>
          <w:lang w:val="de-DE"/>
        </w:rPr>
        <w:tab/>
        <w:t xml:space="preserve">J. Wang, B. Zhang, Z. Cai, R. Zhan, W. Wang, L. Fu, M. Wan, R. Xiao, Y. Ou, L. Wang, J. Jiang, Z. W. Seh, H. Li, Y. Sun, </w:t>
      </w:r>
      <w:r w:rsidRPr="003E0254">
        <w:rPr>
          <w:rFonts w:ascii="Aptos" w:hAnsi="Aptos" w:cs="Times New Roman"/>
          <w:i/>
          <w:iCs/>
          <w:noProof/>
          <w:lang w:val="de-DE"/>
        </w:rPr>
        <w:t>Sci. Bull.</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67</w:t>
      </w:r>
      <w:r w:rsidRPr="003E0254">
        <w:rPr>
          <w:rFonts w:ascii="Aptos" w:hAnsi="Aptos" w:cs="Times New Roman"/>
          <w:noProof/>
          <w:lang w:val="de-DE"/>
        </w:rPr>
        <w:t>, 716.</w:t>
      </w:r>
    </w:p>
    <w:p w14:paraId="4885C5F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[74] </w:t>
      </w:r>
      <w:r w:rsidRPr="003E0254">
        <w:rPr>
          <w:rFonts w:ascii="Aptos" w:hAnsi="Aptos" w:cs="Times New Roman"/>
          <w:noProof/>
          <w:lang w:val="de-DE"/>
        </w:rPr>
        <w:tab/>
        <w:t xml:space="preserve">Z. Yang, C. Hu, Q. Zhang, T. Wu, C. Xie, H. Wang, Y. Tang, X. Ji, H. Wang, </w:t>
      </w:r>
      <w:r w:rsidRPr="003E0254">
        <w:rPr>
          <w:rFonts w:ascii="Aptos" w:hAnsi="Aptos" w:cs="Times New Roman"/>
          <w:i/>
          <w:iCs/>
          <w:noProof/>
          <w:lang w:val="de-DE"/>
        </w:rPr>
        <w:t>Angew. Chemie Int. Ed.</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62</w:t>
      </w:r>
      <w:r w:rsidRPr="003E0254">
        <w:rPr>
          <w:rFonts w:ascii="Aptos" w:hAnsi="Aptos" w:cs="Times New Roman"/>
          <w:noProof/>
          <w:lang w:val="de-DE"/>
        </w:rPr>
        <w:t>, e202308017.</w:t>
      </w:r>
    </w:p>
    <w:p w14:paraId="4F07756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[75] </w:t>
      </w:r>
      <w:r w:rsidRPr="003E0254">
        <w:rPr>
          <w:rFonts w:ascii="Aptos" w:hAnsi="Aptos" w:cs="Times New Roman"/>
          <w:noProof/>
          <w:lang w:val="de-DE"/>
        </w:rPr>
        <w:tab/>
        <w:t xml:space="preserve">R. Wang, M. Zhou, Y. Xiang, J. Yang, C. Xu, X. Li, </w:t>
      </w:r>
      <w:r w:rsidRPr="003E0254">
        <w:rPr>
          <w:rFonts w:ascii="Aptos" w:hAnsi="Aptos" w:cs="Times New Roman"/>
          <w:i/>
          <w:iCs/>
          <w:noProof/>
          <w:lang w:val="de-DE"/>
        </w:rPr>
        <w:t>J. Power Sources</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582</w:t>
      </w:r>
      <w:r w:rsidRPr="003E0254">
        <w:rPr>
          <w:rFonts w:ascii="Aptos" w:hAnsi="Aptos" w:cs="Times New Roman"/>
          <w:noProof/>
          <w:lang w:val="de-DE"/>
        </w:rPr>
        <w:t>, 233504.</w:t>
      </w:r>
    </w:p>
    <w:p w14:paraId="6C30F6B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[76] </w:t>
      </w:r>
      <w:r w:rsidRPr="003E0254">
        <w:rPr>
          <w:rFonts w:ascii="Aptos" w:hAnsi="Aptos" w:cs="Times New Roman"/>
          <w:noProof/>
          <w:lang w:val="de-DE"/>
        </w:rPr>
        <w:tab/>
        <w:t xml:space="preserve">G. Zhu, H. Zhang, J. Lu, Y. Hou, P. Liu, S. Dong, H. Pang, Y. Zhang, </w:t>
      </w:r>
      <w:r w:rsidRPr="003E0254">
        <w:rPr>
          <w:rFonts w:ascii="Aptos" w:hAnsi="Aptos" w:cs="Times New Roman"/>
          <w:i/>
          <w:iCs/>
          <w:noProof/>
          <w:lang w:val="de-DE"/>
        </w:rPr>
        <w:t xml:space="preserve">Adv. </w:t>
      </w:r>
      <w:r w:rsidRPr="003E0254">
        <w:rPr>
          <w:rFonts w:ascii="Aptos" w:hAnsi="Aptos" w:cs="Times New Roman"/>
          <w:i/>
          <w:iCs/>
          <w:noProof/>
        </w:rPr>
        <w:t>Funct. Mater.</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34</w:t>
      </w:r>
      <w:r w:rsidRPr="003E0254">
        <w:rPr>
          <w:rFonts w:ascii="Aptos" w:hAnsi="Aptos" w:cs="Times New Roman"/>
          <w:noProof/>
        </w:rPr>
        <w:t>, 2305550.</w:t>
      </w:r>
    </w:p>
    <w:p w14:paraId="2D75D10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[77] </w:t>
      </w:r>
      <w:r w:rsidRPr="003E0254">
        <w:rPr>
          <w:rFonts w:ascii="Aptos" w:hAnsi="Aptos" w:cs="Times New Roman"/>
          <w:noProof/>
        </w:rPr>
        <w:tab/>
        <w:t xml:space="preserve">Y. Liao, C. Yang, Q. Xu, W. Zhao, J. Zhao, K. Wang, H. C. Chen, </w:t>
      </w:r>
      <w:r w:rsidRPr="003E0254">
        <w:rPr>
          <w:rFonts w:ascii="Aptos" w:hAnsi="Aptos" w:cs="Times New Roman"/>
          <w:i/>
          <w:iCs/>
          <w:noProof/>
        </w:rPr>
        <w:t>Batteries</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267.</w:t>
      </w:r>
    </w:p>
    <w:p w14:paraId="1BE1C24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[78] </w:t>
      </w:r>
      <w:r w:rsidRPr="003E0254">
        <w:rPr>
          <w:rFonts w:ascii="Aptos" w:hAnsi="Aptos" w:cs="Times New Roman"/>
          <w:noProof/>
        </w:rPr>
        <w:tab/>
        <w:t xml:space="preserve">Y. Zhong, X. Xu, J. P. Veder, Z. Shao, </w:t>
      </w:r>
      <w:r w:rsidRPr="003E0254">
        <w:rPr>
          <w:rFonts w:ascii="Aptos" w:hAnsi="Aptos" w:cs="Times New Roman"/>
          <w:i/>
          <w:iCs/>
          <w:noProof/>
        </w:rPr>
        <w:t>iScience</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23</w:t>
      </w:r>
      <w:r w:rsidRPr="003E0254">
        <w:rPr>
          <w:rFonts w:ascii="Aptos" w:hAnsi="Aptos" w:cs="Times New Roman"/>
          <w:noProof/>
        </w:rPr>
        <w:t>, 100943.</w:t>
      </w:r>
    </w:p>
    <w:p w14:paraId="3EE60BF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[79] </w:t>
      </w:r>
      <w:r w:rsidRPr="003E0254">
        <w:rPr>
          <w:rFonts w:ascii="Aptos" w:hAnsi="Aptos" w:cs="Times New Roman"/>
          <w:noProof/>
          <w:lang w:val="de-DE"/>
        </w:rPr>
        <w:tab/>
        <w:t xml:space="preserve">Z. Zheng, G. Yang, J. Yao, J. Li, J. Zheng, Z. Wu, Y. Gan, C. Wang, L. Lv, H. Wan, C. Chen, H. Wang, L. Tao, J. Zhang, H. Wang, </w:t>
      </w:r>
      <w:r w:rsidRPr="003E0254">
        <w:rPr>
          <w:rFonts w:ascii="Aptos" w:hAnsi="Aptos" w:cs="Times New Roman"/>
          <w:i/>
          <w:iCs/>
          <w:noProof/>
          <w:lang w:val="de-DE"/>
        </w:rPr>
        <w:t>Appl. Surf. Sci.</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592</w:t>
      </w:r>
      <w:r w:rsidRPr="003E0254">
        <w:rPr>
          <w:rFonts w:ascii="Aptos" w:hAnsi="Aptos" w:cs="Times New Roman"/>
          <w:noProof/>
          <w:lang w:val="de-DE"/>
        </w:rPr>
        <w:t>, 153335.</w:t>
      </w:r>
    </w:p>
    <w:p w14:paraId="1A668A4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lastRenderedPageBreak/>
        <w:t xml:space="preserve">[80] </w:t>
      </w:r>
      <w:r w:rsidRPr="003E0254">
        <w:rPr>
          <w:rFonts w:ascii="Aptos" w:hAnsi="Aptos" w:cs="Times New Roman"/>
          <w:noProof/>
          <w:lang w:val="de-DE"/>
        </w:rPr>
        <w:tab/>
        <w:t xml:space="preserve">L. Zhang, L. Miao, B. Zhang, J. Wang, J. Liu, Q. Tan, H. Wan, J. Jiang, </w:t>
      </w:r>
      <w:r w:rsidRPr="003E0254">
        <w:rPr>
          <w:rFonts w:ascii="Aptos" w:hAnsi="Aptos" w:cs="Times New Roman"/>
          <w:i/>
          <w:iCs/>
          <w:noProof/>
          <w:lang w:val="de-DE"/>
        </w:rPr>
        <w:t>J. Mater. Chem. A</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1731.</w:t>
      </w:r>
    </w:p>
    <w:p w14:paraId="6AD2B2E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[81] </w:t>
      </w:r>
      <w:r w:rsidRPr="003E0254">
        <w:rPr>
          <w:rFonts w:ascii="Aptos" w:hAnsi="Aptos" w:cs="Times New Roman"/>
          <w:noProof/>
          <w:lang w:val="de-DE"/>
        </w:rPr>
        <w:tab/>
        <w:t xml:space="preserve">X. Liu, L. Ma, Y. Du, Q. Lu, A. Yang, X. Wang, </w:t>
      </w:r>
      <w:r w:rsidRPr="003E0254">
        <w:rPr>
          <w:rFonts w:ascii="Aptos" w:hAnsi="Aptos" w:cs="Times New Roman"/>
          <w:i/>
          <w:iCs/>
          <w:noProof/>
          <w:lang w:val="de-DE"/>
        </w:rPr>
        <w:t>Nanomater. 2021, Vol. 11, Page 1054</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1054.</w:t>
      </w:r>
    </w:p>
    <w:p w14:paraId="3027541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[82] </w:t>
      </w:r>
      <w:r w:rsidRPr="003E0254">
        <w:rPr>
          <w:rFonts w:ascii="Aptos" w:hAnsi="Aptos" w:cs="Times New Roman"/>
          <w:noProof/>
          <w:lang w:val="de-DE"/>
        </w:rPr>
        <w:tab/>
        <w:t xml:space="preserve">X. Zeng, J. Mao, J. Hao, J. Liu, S. Liu, Z. Wang, Y. Wang, S. Zhang, T. Zheng, J. Liu, P. Rao, Z. Guo, </w:t>
      </w:r>
      <w:r w:rsidRPr="003E0254">
        <w:rPr>
          <w:rFonts w:ascii="Aptos" w:hAnsi="Aptos" w:cs="Times New Roman"/>
          <w:i/>
          <w:iCs/>
          <w:noProof/>
          <w:lang w:val="de-DE"/>
        </w:rPr>
        <w:t>Adv. Mater.</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33</w:t>
      </w:r>
      <w:r w:rsidRPr="003E0254">
        <w:rPr>
          <w:rFonts w:ascii="Aptos" w:hAnsi="Aptos" w:cs="Times New Roman"/>
          <w:noProof/>
          <w:lang w:val="de-DE"/>
        </w:rPr>
        <w:t>, 2007416.</w:t>
      </w:r>
    </w:p>
    <w:p w14:paraId="6FD0D08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[83] </w:t>
      </w:r>
      <w:r w:rsidRPr="003E0254">
        <w:rPr>
          <w:rFonts w:ascii="Aptos" w:hAnsi="Aptos" w:cs="Times New Roman"/>
          <w:noProof/>
          <w:lang w:val="de-DE"/>
        </w:rPr>
        <w:tab/>
        <w:t xml:space="preserve">H. Pan, Y. Shao, P. Yan, Y. Cheng, K. S. Han, Z. Nie, C. Wang, J. Yang, X. Li, P. Bhattacharya, K. T. Mueller, J. Liu, </w:t>
      </w:r>
      <w:r w:rsidRPr="003E0254">
        <w:rPr>
          <w:rFonts w:ascii="Aptos" w:hAnsi="Aptos" w:cs="Times New Roman"/>
          <w:i/>
          <w:iCs/>
          <w:noProof/>
          <w:lang w:val="de-DE"/>
        </w:rPr>
        <w:t>Nat. Energy 2016 15</w:t>
      </w:r>
      <w:r w:rsidRPr="003E0254">
        <w:rPr>
          <w:rFonts w:ascii="Aptos" w:hAnsi="Aptos" w:cs="Times New Roman"/>
          <w:noProof/>
          <w:lang w:val="de-DE"/>
        </w:rPr>
        <w:t xml:space="preserve"> </w:t>
      </w:r>
      <w:r w:rsidRPr="003E0254">
        <w:rPr>
          <w:rFonts w:ascii="Aptos" w:hAnsi="Aptos" w:cs="Times New Roman"/>
          <w:b/>
          <w:bCs/>
          <w:noProof/>
          <w:lang w:val="de-DE"/>
        </w:rPr>
        <w:t>2016</w:t>
      </w:r>
      <w:r w:rsidRPr="003E0254">
        <w:rPr>
          <w:rFonts w:ascii="Aptos" w:hAnsi="Aptos" w:cs="Times New Roman"/>
          <w:noProof/>
          <w:lang w:val="de-DE"/>
        </w:rPr>
        <w:t xml:space="preserve">, </w:t>
      </w:r>
      <w:r w:rsidRPr="003E0254">
        <w:rPr>
          <w:rFonts w:ascii="Aptos" w:hAnsi="Aptos" w:cs="Times New Roman"/>
          <w:i/>
          <w:iCs/>
          <w:noProof/>
          <w:lang w:val="de-DE"/>
        </w:rPr>
        <w:t>1</w:t>
      </w:r>
      <w:r w:rsidRPr="003E0254">
        <w:rPr>
          <w:rFonts w:ascii="Aptos" w:hAnsi="Aptos" w:cs="Times New Roman"/>
          <w:noProof/>
          <w:lang w:val="de-DE"/>
        </w:rPr>
        <w:t>, 1.</w:t>
      </w:r>
    </w:p>
    <w:p w14:paraId="38DD191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[84] </w:t>
      </w:r>
      <w:r w:rsidRPr="003E0254">
        <w:rPr>
          <w:rFonts w:ascii="Aptos" w:hAnsi="Aptos" w:cs="Times New Roman"/>
          <w:noProof/>
          <w:lang w:val="de-DE"/>
        </w:rPr>
        <w:tab/>
        <w:t xml:space="preserve">S. Yang, H. Du, Y. Li, X. Wu, B. Xiao, Z. He, Q. Zhang, X. Wu, </w:t>
      </w:r>
      <w:r w:rsidRPr="003E0254">
        <w:rPr>
          <w:rFonts w:ascii="Aptos" w:hAnsi="Aptos" w:cs="Times New Roman"/>
          <w:i/>
          <w:iCs/>
          <w:noProof/>
          <w:lang w:val="de-DE"/>
        </w:rPr>
        <w:t>Green Energy Environ.</w:t>
      </w:r>
      <w:r w:rsidRPr="003E0254">
        <w:rPr>
          <w:rFonts w:ascii="Aptos" w:hAnsi="Aptos" w:cs="Times New Roman"/>
          <w:noProof/>
          <w:lang w:val="de-DE"/>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1531.</w:t>
      </w:r>
    </w:p>
    <w:p w14:paraId="15189B5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[85] </w:t>
      </w:r>
      <w:r w:rsidRPr="003E0254">
        <w:rPr>
          <w:rFonts w:ascii="Aptos" w:hAnsi="Aptos" w:cs="Times New Roman"/>
          <w:noProof/>
        </w:rPr>
        <w:tab/>
        <w:t xml:space="preserve">J. F. Parker, C. N. Chervin, I. R. Pala, M. Machler, M. F. Burz, J. W. Long, D. R. Rolison, </w:t>
      </w:r>
      <w:r w:rsidRPr="003E0254">
        <w:rPr>
          <w:rFonts w:ascii="Aptos" w:hAnsi="Aptos" w:cs="Times New Roman"/>
          <w:i/>
          <w:iCs/>
          <w:noProof/>
        </w:rPr>
        <w:t>Science (80-. ).</w:t>
      </w:r>
      <w:r w:rsidRPr="003E0254">
        <w:rPr>
          <w:rFonts w:ascii="Aptos" w:hAnsi="Aptos" w:cs="Times New Roman"/>
          <w:noProof/>
        </w:rPr>
        <w:t xml:space="preserve"> </w:t>
      </w:r>
      <w:r w:rsidRPr="003E0254">
        <w:rPr>
          <w:rFonts w:ascii="Aptos" w:hAnsi="Aptos" w:cs="Times New Roman"/>
          <w:b/>
          <w:bCs/>
          <w:noProof/>
        </w:rPr>
        <w:t>2017</w:t>
      </w:r>
      <w:r w:rsidRPr="003E0254">
        <w:rPr>
          <w:rFonts w:ascii="Aptos" w:hAnsi="Aptos" w:cs="Times New Roman"/>
          <w:noProof/>
        </w:rPr>
        <w:t xml:space="preserve">, </w:t>
      </w:r>
      <w:r w:rsidRPr="003E0254">
        <w:rPr>
          <w:rFonts w:ascii="Aptos" w:hAnsi="Aptos" w:cs="Times New Roman"/>
          <w:i/>
          <w:iCs/>
          <w:noProof/>
        </w:rPr>
        <w:t>356</w:t>
      </w:r>
      <w:r w:rsidRPr="003E0254">
        <w:rPr>
          <w:rFonts w:ascii="Aptos" w:hAnsi="Aptos" w:cs="Times New Roman"/>
          <w:noProof/>
        </w:rPr>
        <w:t>, 415.</w:t>
      </w:r>
    </w:p>
    <w:p w14:paraId="6C0C287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[86] </w:t>
      </w:r>
      <w:r w:rsidRPr="003E0254">
        <w:rPr>
          <w:rFonts w:ascii="Aptos" w:hAnsi="Aptos" w:cs="Times New Roman"/>
          <w:noProof/>
        </w:rPr>
        <w:tab/>
        <w:t xml:space="preserve">W. Wang, G. Huang, Y. Wang, Z. Cao, L. Cavallo, M. N. Hedhili, H. N. Alshareef, </w:t>
      </w:r>
      <w:r w:rsidRPr="003E0254">
        <w:rPr>
          <w:rFonts w:ascii="Aptos" w:hAnsi="Aptos" w:cs="Times New Roman"/>
          <w:i/>
          <w:iCs/>
          <w:noProof/>
        </w:rPr>
        <w:t xml:space="preserve">Adv. </w:t>
      </w:r>
      <w:r w:rsidRPr="003E0254">
        <w:rPr>
          <w:rFonts w:ascii="Aptos" w:hAnsi="Aptos" w:cs="Times New Roman"/>
          <w:i/>
          <w:iCs/>
          <w:noProof/>
          <w:lang w:val="de-DE"/>
        </w:rPr>
        <w:t>Energy Mater.</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12</w:t>
      </w:r>
      <w:r w:rsidRPr="003E0254">
        <w:rPr>
          <w:rFonts w:ascii="Aptos" w:hAnsi="Aptos" w:cs="Times New Roman"/>
          <w:noProof/>
          <w:lang w:val="de-DE"/>
        </w:rPr>
        <w:t>, 2102797.</w:t>
      </w:r>
    </w:p>
    <w:p w14:paraId="2979C24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[87] </w:t>
      </w:r>
      <w:r w:rsidRPr="003E0254">
        <w:rPr>
          <w:rFonts w:ascii="Aptos" w:hAnsi="Aptos" w:cs="Times New Roman"/>
          <w:noProof/>
          <w:lang w:val="de-DE"/>
        </w:rPr>
        <w:tab/>
        <w:t xml:space="preserve">Z. Wang, J. Huang, Z. Guo, X. Dong, Y. Liu, Y. Wang, Y. Xia, </w:t>
      </w:r>
      <w:r w:rsidRPr="003E0254">
        <w:rPr>
          <w:rFonts w:ascii="Aptos" w:hAnsi="Aptos" w:cs="Times New Roman"/>
          <w:i/>
          <w:iCs/>
          <w:noProof/>
          <w:lang w:val="de-DE"/>
        </w:rPr>
        <w:t>Joule</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3</w:t>
      </w:r>
      <w:r w:rsidRPr="003E0254">
        <w:rPr>
          <w:rFonts w:ascii="Aptos" w:hAnsi="Aptos" w:cs="Times New Roman"/>
          <w:noProof/>
          <w:lang w:val="de-DE"/>
        </w:rPr>
        <w:t>, 1289.</w:t>
      </w:r>
    </w:p>
    <w:p w14:paraId="3F1F4F0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[88] </w:t>
      </w:r>
      <w:r w:rsidRPr="003E0254">
        <w:rPr>
          <w:rFonts w:ascii="Aptos" w:hAnsi="Aptos" w:cs="Times New Roman"/>
          <w:noProof/>
          <w:lang w:val="de-DE"/>
        </w:rPr>
        <w:tab/>
        <w:t xml:space="preserve">G. Zhang, X. Zhang, H. Liu, J. Li, Y. Chen, H. Duan,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2003927.</w:t>
      </w:r>
    </w:p>
    <w:p w14:paraId="2F267CB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[89] </w:t>
      </w:r>
      <w:r w:rsidRPr="003E0254">
        <w:rPr>
          <w:rFonts w:ascii="Aptos" w:hAnsi="Aptos" w:cs="Times New Roman"/>
          <w:noProof/>
          <w:lang w:val="de-DE"/>
        </w:rPr>
        <w:tab/>
        <w:t xml:space="preserve">Y. Li, Z. Tan, Y. Liang, Y. Xiao, D. Cen, Y. Liu, Y. Liang, </w:t>
      </w:r>
      <w:r w:rsidRPr="003E0254">
        <w:rPr>
          <w:rFonts w:ascii="Aptos" w:hAnsi="Aptos" w:cs="Times New Roman"/>
          <w:i/>
          <w:iCs/>
          <w:noProof/>
          <w:lang w:val="de-DE"/>
        </w:rPr>
        <w:t>ACS Appl. Energy Mater.</w:t>
      </w:r>
      <w:r w:rsidRPr="003E0254">
        <w:rPr>
          <w:rFonts w:ascii="Aptos" w:hAnsi="Aptos" w:cs="Times New Roman"/>
          <w:noProof/>
          <w:lang w:val="de-DE"/>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4</w:t>
      </w:r>
      <w:r w:rsidRPr="003E0254">
        <w:rPr>
          <w:rFonts w:ascii="Aptos" w:hAnsi="Aptos" w:cs="Times New Roman"/>
          <w:noProof/>
        </w:rPr>
        <w:t>, 4482.</w:t>
      </w:r>
    </w:p>
    <w:p w14:paraId="728BE19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[90] </w:t>
      </w:r>
      <w:r w:rsidRPr="003E0254">
        <w:rPr>
          <w:rFonts w:ascii="Aptos" w:hAnsi="Aptos" w:cs="Times New Roman"/>
          <w:noProof/>
        </w:rPr>
        <w:tab/>
        <w:t xml:space="preserve">S. Shi, D. Zhou, Y. Jiang, F. Cheng, J. Sun, Q. Guo, Y. Luo, Y. Chen, W. Liu, </w:t>
      </w:r>
      <w:r w:rsidRPr="003E0254">
        <w:rPr>
          <w:rFonts w:ascii="Aptos" w:hAnsi="Aptos" w:cs="Times New Roman"/>
          <w:i/>
          <w:iCs/>
          <w:noProof/>
        </w:rPr>
        <w:t>Adv. Funct. Mater.</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34</w:t>
      </w:r>
      <w:r w:rsidRPr="003E0254">
        <w:rPr>
          <w:rFonts w:ascii="Aptos" w:hAnsi="Aptos" w:cs="Times New Roman"/>
          <w:noProof/>
        </w:rPr>
        <w:t>, 2312664.</w:t>
      </w:r>
    </w:p>
    <w:p w14:paraId="7B59EE3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[91] </w:t>
      </w:r>
      <w:r w:rsidRPr="003E0254">
        <w:rPr>
          <w:rFonts w:ascii="Aptos" w:hAnsi="Aptos" w:cs="Times New Roman"/>
          <w:noProof/>
        </w:rPr>
        <w:tab/>
        <w:t xml:space="preserve">N. Zhang, Y. Dong, M. Jia, X. Bian, Y. Wang, M. Qiu, J. Xu, Y. Liu, L. Jiao, F. Cheng, </w:t>
      </w:r>
      <w:r w:rsidRPr="003E0254">
        <w:rPr>
          <w:rFonts w:ascii="Aptos" w:hAnsi="Aptos" w:cs="Times New Roman"/>
          <w:i/>
          <w:iCs/>
          <w:noProof/>
        </w:rPr>
        <w:t>ACS Energy Lett.</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3</w:t>
      </w:r>
      <w:r w:rsidRPr="003E0254">
        <w:rPr>
          <w:rFonts w:ascii="Aptos" w:hAnsi="Aptos" w:cs="Times New Roman"/>
          <w:noProof/>
        </w:rPr>
        <w:t>, 1366.</w:t>
      </w:r>
    </w:p>
    <w:p w14:paraId="4413985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[92] </w:t>
      </w:r>
      <w:r w:rsidRPr="003E0254">
        <w:rPr>
          <w:rFonts w:ascii="Aptos" w:hAnsi="Aptos" w:cs="Times New Roman"/>
          <w:noProof/>
          <w:lang w:val="de-DE"/>
        </w:rPr>
        <w:tab/>
        <w:t xml:space="preserve">L. Chen, Y. Ruan, G. Zhang, Q. Wei, Y. Jiang, T. Xiong, P. He, W. Yang, M. Yan, Q. An, L. Mai, </w:t>
      </w:r>
      <w:r w:rsidRPr="003E0254">
        <w:rPr>
          <w:rFonts w:ascii="Aptos" w:hAnsi="Aptos" w:cs="Times New Roman"/>
          <w:i/>
          <w:iCs/>
          <w:noProof/>
          <w:lang w:val="de-DE"/>
        </w:rPr>
        <w:t xml:space="preserve">Chem. </w:t>
      </w:r>
      <w:r w:rsidRPr="003E0254">
        <w:rPr>
          <w:rFonts w:ascii="Aptos" w:hAnsi="Aptos" w:cs="Times New Roman"/>
          <w:i/>
          <w:iCs/>
          <w:noProof/>
        </w:rPr>
        <w:t>Mater.</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31</w:t>
      </w:r>
      <w:r w:rsidRPr="003E0254">
        <w:rPr>
          <w:rFonts w:ascii="Aptos" w:hAnsi="Aptos" w:cs="Times New Roman"/>
          <w:noProof/>
        </w:rPr>
        <w:t>, 699.</w:t>
      </w:r>
    </w:p>
    <w:p w14:paraId="3EC8AAB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[93] </w:t>
      </w:r>
      <w:r w:rsidRPr="003E0254">
        <w:rPr>
          <w:rFonts w:ascii="Aptos" w:hAnsi="Aptos" w:cs="Times New Roman"/>
          <w:noProof/>
        </w:rPr>
        <w:tab/>
        <w:t xml:space="preserve">H. Dong, R. Liu, X. Hu, F. Zhao, L. Kang, L. Liu, J. Li, Y. Tan, Y. Zhou, D. J. L. Brett, G. He, I. P. Parkin, </w:t>
      </w:r>
      <w:r w:rsidRPr="003E0254">
        <w:rPr>
          <w:rFonts w:ascii="Aptos" w:hAnsi="Aptos" w:cs="Times New Roman"/>
          <w:i/>
          <w:iCs/>
          <w:noProof/>
        </w:rPr>
        <w:t>Adv. Sci.</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10</w:t>
      </w:r>
      <w:r w:rsidRPr="003E0254">
        <w:rPr>
          <w:rFonts w:ascii="Aptos" w:hAnsi="Aptos" w:cs="Times New Roman"/>
          <w:noProof/>
        </w:rPr>
        <w:t>, 2205084.</w:t>
      </w:r>
    </w:p>
    <w:p w14:paraId="3349BED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[94] </w:t>
      </w:r>
      <w:r w:rsidRPr="003E0254">
        <w:rPr>
          <w:rFonts w:ascii="Aptos" w:hAnsi="Aptos" w:cs="Times New Roman"/>
          <w:noProof/>
        </w:rPr>
        <w:tab/>
        <w:t xml:space="preserve">Y. Huang, J. Liu, J. Zhang, S. Jin, Y. Jiang, S. Zhang, Z. Li, C. Zhi, G. Du, H. Zhou, </w:t>
      </w:r>
      <w:r w:rsidRPr="003E0254">
        <w:rPr>
          <w:rFonts w:ascii="Aptos" w:hAnsi="Aptos" w:cs="Times New Roman"/>
          <w:i/>
          <w:iCs/>
          <w:noProof/>
        </w:rPr>
        <w:t>RSC Adv.</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16313.</w:t>
      </w:r>
    </w:p>
    <w:p w14:paraId="2F2A225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[95] </w:t>
      </w:r>
      <w:r w:rsidRPr="003E0254">
        <w:rPr>
          <w:rFonts w:ascii="Aptos" w:hAnsi="Aptos" w:cs="Times New Roman"/>
          <w:noProof/>
        </w:rPr>
        <w:tab/>
        <w:t xml:space="preserve">Y. Chen, J. Zhao, Y. Wang, </w:t>
      </w:r>
      <w:r w:rsidRPr="003E0254">
        <w:rPr>
          <w:rFonts w:ascii="Aptos" w:hAnsi="Aptos" w:cs="Times New Roman"/>
          <w:i/>
          <w:iCs/>
          <w:noProof/>
        </w:rPr>
        <w:t>ACS Appl. Energy Mater.</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3</w:t>
      </w:r>
      <w:r w:rsidRPr="003E0254">
        <w:rPr>
          <w:rFonts w:ascii="Aptos" w:hAnsi="Aptos" w:cs="Times New Roman"/>
          <w:noProof/>
        </w:rPr>
        <w:t>, 9058.</w:t>
      </w:r>
    </w:p>
    <w:p w14:paraId="7E73D88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[96] </w:t>
      </w:r>
      <w:r w:rsidRPr="003E0254">
        <w:rPr>
          <w:rFonts w:ascii="Aptos" w:hAnsi="Aptos" w:cs="Times New Roman"/>
          <w:noProof/>
        </w:rPr>
        <w:tab/>
        <w:t xml:space="preserve">Y. Wang, Y. Chen, </w:t>
      </w:r>
      <w:r w:rsidRPr="003E0254">
        <w:rPr>
          <w:rFonts w:ascii="Aptos" w:hAnsi="Aptos" w:cs="Times New Roman"/>
          <w:i/>
          <w:iCs/>
          <w:noProof/>
        </w:rPr>
        <w:t xml:space="preserve">Electrochim. </w:t>
      </w:r>
      <w:r w:rsidRPr="003E0254">
        <w:rPr>
          <w:rFonts w:ascii="Aptos" w:hAnsi="Aptos" w:cs="Times New Roman"/>
          <w:i/>
          <w:iCs/>
          <w:noProof/>
          <w:lang w:val="de-DE"/>
        </w:rPr>
        <w:t>Acta</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395</w:t>
      </w:r>
      <w:r w:rsidRPr="003E0254">
        <w:rPr>
          <w:rFonts w:ascii="Aptos" w:hAnsi="Aptos" w:cs="Times New Roman"/>
          <w:noProof/>
          <w:lang w:val="de-DE"/>
        </w:rPr>
        <w:t>, 139178.</w:t>
      </w:r>
    </w:p>
    <w:p w14:paraId="3D461E4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[97] </w:t>
      </w:r>
      <w:r w:rsidRPr="003E0254">
        <w:rPr>
          <w:rFonts w:ascii="Aptos" w:hAnsi="Aptos" w:cs="Times New Roman"/>
          <w:noProof/>
          <w:lang w:val="de-DE"/>
        </w:rPr>
        <w:tab/>
        <w:t xml:space="preserve">L. Ma, S. Chen, H. Li, Z. Ruan, Z. Tang, Z. Liu, Z. Wang, Y. Huang, Z. Pei, J. A. Zapien, C. Zhi, </w:t>
      </w:r>
      <w:r w:rsidRPr="003E0254">
        <w:rPr>
          <w:rFonts w:ascii="Aptos" w:hAnsi="Aptos" w:cs="Times New Roman"/>
          <w:i/>
          <w:iCs/>
          <w:noProof/>
          <w:lang w:val="de-DE"/>
        </w:rPr>
        <w:t>Energy Environ. Sci.</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2521.</w:t>
      </w:r>
    </w:p>
    <w:p w14:paraId="4604CAB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[98] </w:t>
      </w:r>
      <w:r w:rsidRPr="003E0254">
        <w:rPr>
          <w:rFonts w:ascii="Aptos" w:hAnsi="Aptos" w:cs="Times New Roman"/>
          <w:noProof/>
          <w:lang w:val="de-DE"/>
        </w:rPr>
        <w:tab/>
        <w:t xml:space="preserve">W. Du, S. Huang, Y. Zhang, M. Ye, C. C. Li,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45</w:t>
      </w:r>
      <w:r w:rsidRPr="003E0254">
        <w:rPr>
          <w:rFonts w:ascii="Aptos" w:hAnsi="Aptos" w:cs="Times New Roman"/>
          <w:noProof/>
          <w:lang w:val="de-DE"/>
        </w:rPr>
        <w:t>, 465.</w:t>
      </w:r>
    </w:p>
    <w:p w14:paraId="40E25D9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[99] </w:t>
      </w:r>
      <w:r w:rsidRPr="003E0254">
        <w:rPr>
          <w:rFonts w:ascii="Aptos" w:hAnsi="Aptos" w:cs="Times New Roman"/>
          <w:noProof/>
          <w:lang w:val="de-DE"/>
        </w:rPr>
        <w:tab/>
        <w:t xml:space="preserve">M. Zhang, P. Yu, K. Xiong, Y. Wang, Y. Liu, Y. Liang, </w:t>
      </w:r>
      <w:r w:rsidRPr="003E0254">
        <w:rPr>
          <w:rFonts w:ascii="Aptos" w:hAnsi="Aptos" w:cs="Times New Roman"/>
          <w:i/>
          <w:iCs/>
          <w:noProof/>
          <w:lang w:val="de-DE"/>
        </w:rPr>
        <w:t>Adv. Mater.</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34</w:t>
      </w:r>
      <w:r w:rsidRPr="003E0254">
        <w:rPr>
          <w:rFonts w:ascii="Aptos" w:hAnsi="Aptos" w:cs="Times New Roman"/>
          <w:noProof/>
          <w:lang w:val="de-DE"/>
        </w:rPr>
        <w:t>, 2200860.</w:t>
      </w:r>
    </w:p>
    <w:p w14:paraId="472C8A9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[100] </w:t>
      </w:r>
      <w:r w:rsidRPr="003E0254">
        <w:rPr>
          <w:rFonts w:ascii="Aptos" w:hAnsi="Aptos" w:cs="Times New Roman"/>
          <w:noProof/>
          <w:lang w:val="de-DE"/>
        </w:rPr>
        <w:tab/>
        <w:t xml:space="preserve">X. Li, Q. Li, Y. Hou, Q. Yang, Z. Chen, Z. Huang, G. Liang, Y. Zhao, L. Ma, M. Li, Q. Huang, C. Zhi, </w:t>
      </w:r>
      <w:r w:rsidRPr="003E0254">
        <w:rPr>
          <w:rFonts w:ascii="Aptos" w:hAnsi="Aptos" w:cs="Times New Roman"/>
          <w:i/>
          <w:iCs/>
          <w:noProof/>
          <w:lang w:val="de-DE"/>
        </w:rPr>
        <w:t>ACS Nano</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15</w:t>
      </w:r>
      <w:r w:rsidRPr="003E0254">
        <w:rPr>
          <w:rFonts w:ascii="Aptos" w:hAnsi="Aptos" w:cs="Times New Roman"/>
          <w:noProof/>
          <w:lang w:val="de-DE"/>
        </w:rPr>
        <w:t>, 14631.</w:t>
      </w:r>
    </w:p>
    <w:p w14:paraId="12CED4C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[101] </w:t>
      </w:r>
      <w:r w:rsidRPr="003E0254">
        <w:rPr>
          <w:rFonts w:ascii="Aptos" w:hAnsi="Aptos" w:cs="Times New Roman"/>
          <w:noProof/>
          <w:lang w:val="de-DE"/>
        </w:rPr>
        <w:tab/>
        <w:t xml:space="preserve">K. Cai, S. hua Luo, J. Feng, J. Wang, Y. Zhan, Q. Wang, Y. Zhang, X. Liu, </w:t>
      </w:r>
      <w:r w:rsidRPr="003E0254">
        <w:rPr>
          <w:rFonts w:ascii="Aptos" w:hAnsi="Aptos" w:cs="Times New Roman"/>
          <w:i/>
          <w:iCs/>
          <w:noProof/>
          <w:lang w:val="de-DE"/>
        </w:rPr>
        <w:t>Chem. Rec.</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22</w:t>
      </w:r>
      <w:r w:rsidRPr="003E0254">
        <w:rPr>
          <w:rFonts w:ascii="Aptos" w:hAnsi="Aptos" w:cs="Times New Roman"/>
          <w:noProof/>
          <w:lang w:val="de-DE"/>
        </w:rPr>
        <w:t>, e202100169.</w:t>
      </w:r>
    </w:p>
    <w:p w14:paraId="23C56FB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lastRenderedPageBreak/>
        <w:t xml:space="preserve">[102] </w:t>
      </w:r>
      <w:r w:rsidRPr="003E0254">
        <w:rPr>
          <w:rFonts w:ascii="Aptos" w:hAnsi="Aptos" w:cs="Times New Roman"/>
          <w:noProof/>
          <w:lang w:val="de-DE"/>
        </w:rPr>
        <w:tab/>
        <w:t xml:space="preserve">K. Sun, J. Li, L. Li, D. Chao, </w:t>
      </w:r>
      <w:r w:rsidRPr="003E0254">
        <w:rPr>
          <w:rFonts w:ascii="Aptos" w:hAnsi="Aptos" w:cs="Times New Roman"/>
          <w:i/>
          <w:iCs/>
          <w:noProof/>
          <w:lang w:val="de-DE"/>
        </w:rPr>
        <w:t>Chem. – A Eur. J.</w:t>
      </w:r>
      <w:r w:rsidRPr="003E0254">
        <w:rPr>
          <w:rFonts w:ascii="Aptos" w:hAnsi="Aptos" w:cs="Times New Roman"/>
          <w:noProof/>
          <w:lang w:val="de-DE"/>
        </w:rPr>
        <w:t xml:space="preserve"> </w:t>
      </w:r>
      <w:r w:rsidRPr="003E0254">
        <w:rPr>
          <w:rFonts w:ascii="Aptos" w:hAnsi="Aptos" w:cs="Times New Roman"/>
          <w:b/>
          <w:bCs/>
          <w:noProof/>
          <w:lang w:val="de-DE"/>
        </w:rPr>
        <w:t>2025</w:t>
      </w:r>
      <w:r w:rsidRPr="003E0254">
        <w:rPr>
          <w:rFonts w:ascii="Aptos" w:hAnsi="Aptos" w:cs="Times New Roman"/>
          <w:noProof/>
          <w:lang w:val="de-DE"/>
        </w:rPr>
        <w:t xml:space="preserve">, </w:t>
      </w:r>
      <w:r w:rsidRPr="003E0254">
        <w:rPr>
          <w:rFonts w:ascii="Aptos" w:hAnsi="Aptos" w:cs="Times New Roman"/>
          <w:i/>
          <w:iCs/>
          <w:noProof/>
          <w:lang w:val="de-DE"/>
        </w:rPr>
        <w:t>31</w:t>
      </w:r>
      <w:r w:rsidRPr="003E0254">
        <w:rPr>
          <w:rFonts w:ascii="Aptos" w:hAnsi="Aptos" w:cs="Times New Roman"/>
          <w:noProof/>
          <w:lang w:val="de-DE"/>
        </w:rPr>
        <w:t>, e202402859.</w:t>
      </w:r>
    </w:p>
    <w:p w14:paraId="685AC93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[103] </w:t>
      </w:r>
      <w:r w:rsidRPr="003E0254">
        <w:rPr>
          <w:rFonts w:ascii="Aptos" w:hAnsi="Aptos" w:cs="Times New Roman"/>
          <w:noProof/>
          <w:lang w:val="de-DE"/>
        </w:rPr>
        <w:tab/>
        <w:t xml:space="preserve">H. Meng, Q. Ran, T. Y. Dai, H. Shi, S. P. Zeng, Y. F. Zhu, Z. Wen, W. Zhang, X. Y. Lang, W. T. Zheng, Q. Jiang, </w:t>
      </w:r>
      <w:r w:rsidRPr="003E0254">
        <w:rPr>
          <w:rFonts w:ascii="Aptos" w:hAnsi="Aptos" w:cs="Times New Roman"/>
          <w:i/>
          <w:iCs/>
          <w:noProof/>
          <w:lang w:val="de-DE"/>
        </w:rPr>
        <w:t>Nano-Micro Lett.</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14</w:t>
      </w:r>
      <w:r w:rsidRPr="003E0254">
        <w:rPr>
          <w:rFonts w:ascii="Aptos" w:hAnsi="Aptos" w:cs="Times New Roman"/>
          <w:noProof/>
          <w:lang w:val="de-DE"/>
        </w:rPr>
        <w:t>, 1.</w:t>
      </w:r>
    </w:p>
    <w:p w14:paraId="7DE7379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[104] </w:t>
      </w:r>
      <w:r w:rsidRPr="003E0254">
        <w:rPr>
          <w:rFonts w:ascii="Aptos" w:hAnsi="Aptos" w:cs="Times New Roman"/>
          <w:noProof/>
          <w:lang w:val="de-DE"/>
        </w:rPr>
        <w:tab/>
        <w:t xml:space="preserve">Y. Wang, Y. Chen, W. Liu, X. Ni, P. Qing, Q. Zhao, W. Wei, X. Ji, J. Ma, L. Chen, </w:t>
      </w:r>
      <w:r w:rsidRPr="003E0254">
        <w:rPr>
          <w:rFonts w:ascii="Aptos" w:hAnsi="Aptos" w:cs="Times New Roman"/>
          <w:i/>
          <w:iCs/>
          <w:noProof/>
          <w:lang w:val="de-DE"/>
        </w:rPr>
        <w:t xml:space="preserve">J. Mater. </w:t>
      </w:r>
      <w:r w:rsidRPr="003E0254">
        <w:rPr>
          <w:rFonts w:ascii="Aptos" w:hAnsi="Aptos" w:cs="Times New Roman"/>
          <w:i/>
          <w:iCs/>
          <w:noProof/>
        </w:rPr>
        <w:t>Chem. A</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8452.</w:t>
      </w:r>
    </w:p>
    <w:p w14:paraId="2A4CCDE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[105] </w:t>
      </w:r>
      <w:r w:rsidRPr="003E0254">
        <w:rPr>
          <w:rFonts w:ascii="Aptos" w:hAnsi="Aptos" w:cs="Times New Roman"/>
          <w:noProof/>
        </w:rPr>
        <w:tab/>
        <w:t xml:space="preserve">Y. Du, Y. Feng, R. Li, Z. Peng, X. Yao, S. Duan, S. Liu, S. C. Jun, J. Zhu, L. Dai, Q. Yang, L. Wang, Z. He, </w:t>
      </w:r>
      <w:r w:rsidRPr="003E0254">
        <w:rPr>
          <w:rFonts w:ascii="Aptos" w:hAnsi="Aptos" w:cs="Times New Roman"/>
          <w:i/>
          <w:iCs/>
          <w:noProof/>
        </w:rPr>
        <w:t>Small</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20</w:t>
      </w:r>
      <w:r w:rsidRPr="003E0254">
        <w:rPr>
          <w:rFonts w:ascii="Aptos" w:hAnsi="Aptos" w:cs="Times New Roman"/>
          <w:noProof/>
        </w:rPr>
        <w:t>, 2307848.</w:t>
      </w:r>
    </w:p>
    <w:p w14:paraId="5F83471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[106] </w:t>
      </w:r>
      <w:r w:rsidRPr="003E0254">
        <w:rPr>
          <w:rFonts w:ascii="Aptos" w:hAnsi="Aptos" w:cs="Times New Roman"/>
          <w:noProof/>
        </w:rPr>
        <w:tab/>
        <w:t xml:space="preserve">S. B. Wang, Q. Ran, R. Q. Yao, H. Shi, Z. Wen, M. Zhao, X. Y. Lang, Q. Jiang, </w:t>
      </w:r>
      <w:r w:rsidRPr="003E0254">
        <w:rPr>
          <w:rFonts w:ascii="Aptos" w:hAnsi="Aptos" w:cs="Times New Roman"/>
          <w:i/>
          <w:iCs/>
          <w:noProof/>
        </w:rPr>
        <w:t xml:space="preserve">Nat. </w:t>
      </w:r>
      <w:r w:rsidRPr="003E0254">
        <w:rPr>
          <w:rFonts w:ascii="Aptos" w:hAnsi="Aptos" w:cs="Times New Roman"/>
          <w:i/>
          <w:iCs/>
          <w:noProof/>
          <w:lang w:val="de-DE"/>
        </w:rPr>
        <w:t>Commun. 2020 111</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1.</w:t>
      </w:r>
    </w:p>
    <w:p w14:paraId="4A4C38F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[107] </w:t>
      </w:r>
      <w:r w:rsidRPr="003E0254">
        <w:rPr>
          <w:rFonts w:ascii="Aptos" w:hAnsi="Aptos" w:cs="Times New Roman"/>
          <w:noProof/>
          <w:lang w:val="de-DE"/>
        </w:rPr>
        <w:tab/>
        <w:t xml:space="preserve">L. Yan, X. Zeng, Z. Li, X. Meng, D. Wei, T. Liu, M. Ling, Z. Lin, C. Liang, </w:t>
      </w:r>
      <w:r w:rsidRPr="003E0254">
        <w:rPr>
          <w:rFonts w:ascii="Aptos" w:hAnsi="Aptos" w:cs="Times New Roman"/>
          <w:i/>
          <w:iCs/>
          <w:noProof/>
          <w:lang w:val="de-DE"/>
        </w:rPr>
        <w:t xml:space="preserve">Mater. </w:t>
      </w:r>
      <w:r w:rsidRPr="003E0254">
        <w:rPr>
          <w:rFonts w:ascii="Aptos" w:hAnsi="Aptos" w:cs="Times New Roman"/>
          <w:i/>
          <w:iCs/>
          <w:noProof/>
        </w:rPr>
        <w:t>Today Energy</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13</w:t>
      </w:r>
      <w:r w:rsidRPr="003E0254">
        <w:rPr>
          <w:rFonts w:ascii="Aptos" w:hAnsi="Aptos" w:cs="Times New Roman"/>
          <w:noProof/>
        </w:rPr>
        <w:t>, 323.</w:t>
      </w:r>
    </w:p>
    <w:p w14:paraId="693156B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[108] </w:t>
      </w:r>
      <w:r w:rsidRPr="003E0254">
        <w:rPr>
          <w:rFonts w:ascii="Aptos" w:hAnsi="Aptos" w:cs="Times New Roman"/>
          <w:noProof/>
        </w:rPr>
        <w:tab/>
        <w:t xml:space="preserve">M. S. Chae, J. W. Heo, S.-C. Lim, S.-T. Hong, </w:t>
      </w:r>
      <w:r w:rsidRPr="003E0254">
        <w:rPr>
          <w:rFonts w:ascii="Aptos" w:hAnsi="Aptos" w:cs="Times New Roman"/>
          <w:i/>
          <w:iCs/>
          <w:noProof/>
        </w:rPr>
        <w:t>Inorg. Chem.</w:t>
      </w:r>
      <w:r w:rsidRPr="003E0254">
        <w:rPr>
          <w:rFonts w:ascii="Aptos" w:hAnsi="Aptos" w:cs="Times New Roman"/>
          <w:noProof/>
        </w:rPr>
        <w:t xml:space="preserve"> </w:t>
      </w:r>
      <w:r w:rsidRPr="003E0254">
        <w:rPr>
          <w:rFonts w:ascii="Aptos" w:hAnsi="Aptos" w:cs="Times New Roman"/>
          <w:b/>
          <w:bCs/>
          <w:noProof/>
        </w:rPr>
        <w:t>2016</w:t>
      </w:r>
      <w:r w:rsidRPr="003E0254">
        <w:rPr>
          <w:rFonts w:ascii="Aptos" w:hAnsi="Aptos" w:cs="Times New Roman"/>
          <w:noProof/>
        </w:rPr>
        <w:t xml:space="preserve">, </w:t>
      </w:r>
      <w:r w:rsidRPr="003E0254">
        <w:rPr>
          <w:rFonts w:ascii="Aptos" w:hAnsi="Aptos" w:cs="Times New Roman"/>
          <w:i/>
          <w:iCs/>
          <w:noProof/>
        </w:rPr>
        <w:t>55</w:t>
      </w:r>
      <w:r w:rsidRPr="003E0254">
        <w:rPr>
          <w:rFonts w:ascii="Aptos" w:hAnsi="Aptos" w:cs="Times New Roman"/>
          <w:noProof/>
        </w:rPr>
        <w:t>, 3294.</w:t>
      </w:r>
    </w:p>
    <w:p w14:paraId="24D9345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[109] </w:t>
      </w:r>
      <w:r w:rsidRPr="003E0254">
        <w:rPr>
          <w:rFonts w:ascii="Aptos" w:hAnsi="Aptos" w:cs="Times New Roman"/>
          <w:noProof/>
        </w:rPr>
        <w:tab/>
        <w:t xml:space="preserve">Y. Cheng, L. Luo, L. Zhong, J. Chen, B. Li, W. Wang, S. X. Mao, C. Wang, V. L. Sprenkle, G. Li, J. Liu, </w:t>
      </w:r>
      <w:r w:rsidRPr="003E0254">
        <w:rPr>
          <w:rFonts w:ascii="Aptos" w:hAnsi="Aptos" w:cs="Times New Roman"/>
          <w:i/>
          <w:iCs/>
          <w:noProof/>
        </w:rPr>
        <w:t>ACS Appl. Mater. Interfaces</w:t>
      </w:r>
      <w:r w:rsidRPr="003E0254">
        <w:rPr>
          <w:rFonts w:ascii="Aptos" w:hAnsi="Aptos" w:cs="Times New Roman"/>
          <w:noProof/>
        </w:rPr>
        <w:t xml:space="preserve"> </w:t>
      </w:r>
      <w:r w:rsidRPr="003E0254">
        <w:rPr>
          <w:rFonts w:ascii="Aptos" w:hAnsi="Aptos" w:cs="Times New Roman"/>
          <w:b/>
          <w:bCs/>
          <w:noProof/>
        </w:rPr>
        <w:t>2016</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13673.</w:t>
      </w:r>
    </w:p>
    <w:p w14:paraId="3BB93FA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[110] </w:t>
      </w:r>
      <w:r w:rsidRPr="003E0254">
        <w:rPr>
          <w:rFonts w:ascii="Aptos" w:hAnsi="Aptos" w:cs="Times New Roman"/>
          <w:noProof/>
        </w:rPr>
        <w:tab/>
        <w:t xml:space="preserve">W. Li, K. Wang, S. Cheng, K. Jiang, </w:t>
      </w:r>
      <w:r w:rsidRPr="003E0254">
        <w:rPr>
          <w:rFonts w:ascii="Aptos" w:hAnsi="Aptos" w:cs="Times New Roman"/>
          <w:i/>
          <w:iCs/>
          <w:noProof/>
        </w:rPr>
        <w:t>Adv. Energy Mater.</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1.</w:t>
      </w:r>
    </w:p>
    <w:p w14:paraId="4CCC9C6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[111] </w:t>
      </w:r>
      <w:r w:rsidRPr="003E0254">
        <w:rPr>
          <w:rFonts w:ascii="Aptos" w:hAnsi="Aptos" w:cs="Times New Roman"/>
          <w:noProof/>
        </w:rPr>
        <w:tab/>
        <w:t xml:space="preserve">L. Huang, J. Li, X. Gao, J. Wang, H. Lv, H. Xie, Y. Liu, T. Gu, G. Wang,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591</w:t>
      </w:r>
      <w:r w:rsidRPr="003E0254">
        <w:rPr>
          <w:rFonts w:ascii="Aptos" w:hAnsi="Aptos" w:cs="Times New Roman"/>
          <w:noProof/>
        </w:rPr>
        <w:t>, 233896.</w:t>
      </w:r>
    </w:p>
    <w:p w14:paraId="6099CD8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[112] </w:t>
      </w:r>
      <w:r w:rsidRPr="003E0254">
        <w:rPr>
          <w:rFonts w:ascii="Aptos" w:hAnsi="Aptos" w:cs="Times New Roman"/>
          <w:noProof/>
        </w:rPr>
        <w:tab/>
        <w:t xml:space="preserve">D. Wang, X. Guo, Z. Chen, Y. Zhao, Q. Li, C. Zhi, </w:t>
      </w:r>
      <w:r w:rsidRPr="003E0254">
        <w:rPr>
          <w:rFonts w:ascii="Aptos" w:hAnsi="Aptos" w:cs="Times New Roman"/>
          <w:i/>
          <w:iCs/>
          <w:noProof/>
        </w:rPr>
        <w:t>ACS Appl. Mater. Interfaces</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14</w:t>
      </w:r>
      <w:r w:rsidRPr="003E0254">
        <w:rPr>
          <w:rFonts w:ascii="Aptos" w:hAnsi="Aptos" w:cs="Times New Roman"/>
          <w:noProof/>
        </w:rPr>
        <w:t>, 27287.</w:t>
      </w:r>
    </w:p>
    <w:p w14:paraId="076D816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[113] </w:t>
      </w:r>
      <w:r w:rsidRPr="003E0254">
        <w:rPr>
          <w:rFonts w:ascii="Aptos" w:hAnsi="Aptos" w:cs="Times New Roman"/>
          <w:noProof/>
        </w:rPr>
        <w:tab/>
        <w:t xml:space="preserve">N. Zhang, Y. Dong, Y. Wang, Y. Wang, J. Li, J. Xu, Y. Liu, L. Jiao, F. Cheng, </w:t>
      </w:r>
      <w:r w:rsidRPr="003E0254">
        <w:rPr>
          <w:rFonts w:ascii="Aptos" w:hAnsi="Aptos" w:cs="Times New Roman"/>
          <w:i/>
          <w:iCs/>
          <w:noProof/>
        </w:rPr>
        <w:t xml:space="preserve">ACS Appl. </w:t>
      </w:r>
      <w:r w:rsidRPr="003E0254">
        <w:rPr>
          <w:rFonts w:ascii="Aptos" w:hAnsi="Aptos" w:cs="Times New Roman"/>
          <w:i/>
          <w:iCs/>
          <w:noProof/>
          <w:lang w:val="de-DE"/>
        </w:rPr>
        <w:t>Mater. Interfaces</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32978.</w:t>
      </w:r>
    </w:p>
    <w:p w14:paraId="0F0A982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[114] </w:t>
      </w:r>
      <w:r w:rsidRPr="003E0254">
        <w:rPr>
          <w:rFonts w:ascii="Aptos" w:hAnsi="Aptos" w:cs="Times New Roman"/>
          <w:noProof/>
          <w:lang w:val="de-DE"/>
        </w:rPr>
        <w:tab/>
        <w:t xml:space="preserve">Y. Lv, Y. Xiao, L. Ma, C. Zhi, S. Chen, Y. Lv, Y. Xiao, S. Chen, L. Ma, C. Zhi, </w:t>
      </w:r>
      <w:r w:rsidRPr="003E0254">
        <w:rPr>
          <w:rFonts w:ascii="Aptos" w:hAnsi="Aptos" w:cs="Times New Roman"/>
          <w:i/>
          <w:iCs/>
          <w:noProof/>
          <w:lang w:val="de-DE"/>
        </w:rPr>
        <w:t xml:space="preserve">Adv. </w:t>
      </w:r>
      <w:r w:rsidRPr="003E0254">
        <w:rPr>
          <w:rFonts w:ascii="Aptos" w:hAnsi="Aptos" w:cs="Times New Roman"/>
          <w:i/>
          <w:iCs/>
          <w:noProof/>
        </w:rPr>
        <w:t>Mater.</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34</w:t>
      </w:r>
      <w:r w:rsidRPr="003E0254">
        <w:rPr>
          <w:rFonts w:ascii="Aptos" w:hAnsi="Aptos" w:cs="Times New Roman"/>
          <w:noProof/>
        </w:rPr>
        <w:t>, 2106409.</w:t>
      </w:r>
    </w:p>
    <w:p w14:paraId="247BBF1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[115] </w:t>
      </w:r>
      <w:r w:rsidRPr="003E0254">
        <w:rPr>
          <w:rFonts w:ascii="Aptos" w:hAnsi="Aptos" w:cs="Times New Roman"/>
          <w:noProof/>
        </w:rPr>
        <w:tab/>
        <w:t xml:space="preserve">S. D. Han, N. N. Rajput, X. Qu, B. Pan, M. He, M. S. Ferrandon, C. Liao, K. A. Persson, A. K. Burrell, </w:t>
      </w:r>
      <w:r w:rsidRPr="003E0254">
        <w:rPr>
          <w:rFonts w:ascii="Aptos" w:hAnsi="Aptos" w:cs="Times New Roman"/>
          <w:i/>
          <w:iCs/>
          <w:noProof/>
        </w:rPr>
        <w:t>ACS Appl. Mater. Interfaces</w:t>
      </w:r>
      <w:r w:rsidRPr="003E0254">
        <w:rPr>
          <w:rFonts w:ascii="Aptos" w:hAnsi="Aptos" w:cs="Times New Roman"/>
          <w:noProof/>
        </w:rPr>
        <w:t xml:space="preserve"> </w:t>
      </w:r>
      <w:r w:rsidRPr="003E0254">
        <w:rPr>
          <w:rFonts w:ascii="Aptos" w:hAnsi="Aptos" w:cs="Times New Roman"/>
          <w:b/>
          <w:bCs/>
          <w:noProof/>
        </w:rPr>
        <w:t>2016</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3021.</w:t>
      </w:r>
    </w:p>
    <w:p w14:paraId="3A5E0A8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[116] </w:t>
      </w:r>
      <w:r w:rsidRPr="003E0254">
        <w:rPr>
          <w:rFonts w:ascii="Aptos" w:hAnsi="Aptos" w:cs="Times New Roman"/>
          <w:noProof/>
        </w:rPr>
        <w:tab/>
        <w:t xml:space="preserve">W. Su, Z. Chen, X. Wang, P. Cui, M. Yao, H. Sun, H. Zhang, Y. Deng, X. Han, W. Hu, </w:t>
      </w:r>
      <w:r w:rsidRPr="003E0254">
        <w:rPr>
          <w:rFonts w:ascii="Aptos" w:hAnsi="Aptos" w:cs="Times New Roman"/>
          <w:i/>
          <w:iCs/>
          <w:noProof/>
        </w:rPr>
        <w:t>Chem. Eng. J.</w:t>
      </w:r>
      <w:r w:rsidRPr="003E0254">
        <w:rPr>
          <w:rFonts w:ascii="Aptos" w:hAnsi="Aptos" w:cs="Times New Roman"/>
          <w:noProof/>
        </w:rPr>
        <w:t xml:space="preserve"> </w:t>
      </w:r>
      <w:r w:rsidRPr="003E0254">
        <w:rPr>
          <w:rFonts w:ascii="Aptos" w:hAnsi="Aptos" w:cs="Times New Roman"/>
          <w:b/>
          <w:bCs/>
          <w:noProof/>
        </w:rPr>
        <w:t>2025</w:t>
      </w:r>
      <w:r w:rsidRPr="003E0254">
        <w:rPr>
          <w:rFonts w:ascii="Aptos" w:hAnsi="Aptos" w:cs="Times New Roman"/>
          <w:noProof/>
        </w:rPr>
        <w:t xml:space="preserve">, </w:t>
      </w:r>
      <w:r w:rsidRPr="003E0254">
        <w:rPr>
          <w:rFonts w:ascii="Aptos" w:hAnsi="Aptos" w:cs="Times New Roman"/>
          <w:i/>
          <w:iCs/>
          <w:noProof/>
        </w:rPr>
        <w:t>504</w:t>
      </w:r>
      <w:r w:rsidRPr="003E0254">
        <w:rPr>
          <w:rFonts w:ascii="Aptos" w:hAnsi="Aptos" w:cs="Times New Roman"/>
          <w:noProof/>
        </w:rPr>
        <w:t>, 158827.</w:t>
      </w:r>
    </w:p>
    <w:p w14:paraId="44C5BF1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[117] </w:t>
      </w:r>
      <w:r w:rsidRPr="003E0254">
        <w:rPr>
          <w:rFonts w:ascii="Aptos" w:hAnsi="Aptos" w:cs="Times New Roman"/>
          <w:noProof/>
        </w:rPr>
        <w:tab/>
        <w:t xml:space="preserve">X. Li, F. Ning, L. Luo, J. Wu, Y. Xiang, X. Wu, L. Xiong, X. Peng, </w:t>
      </w:r>
      <w:r w:rsidRPr="003E0254">
        <w:rPr>
          <w:rFonts w:ascii="Aptos" w:hAnsi="Aptos" w:cs="Times New Roman"/>
          <w:i/>
          <w:iCs/>
          <w:noProof/>
        </w:rPr>
        <w:t>RSC Adv.</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12</w:t>
      </w:r>
      <w:r w:rsidRPr="003E0254">
        <w:rPr>
          <w:rFonts w:ascii="Aptos" w:hAnsi="Aptos" w:cs="Times New Roman"/>
          <w:noProof/>
        </w:rPr>
        <w:t>, 8394.</w:t>
      </w:r>
    </w:p>
    <w:p w14:paraId="7140D97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[118] </w:t>
      </w:r>
      <w:r w:rsidRPr="003E0254">
        <w:rPr>
          <w:rFonts w:ascii="Aptos" w:hAnsi="Aptos" w:cs="Times New Roman"/>
          <w:noProof/>
          <w:lang w:val="de-DE"/>
        </w:rPr>
        <w:tab/>
        <w:t xml:space="preserve">X. Zhang, L. Su, F. Lu, Y. Tian, F. Xie, L. Liang, L. Zheng, X. Gao, </w:t>
      </w:r>
      <w:r w:rsidRPr="003E0254">
        <w:rPr>
          <w:rFonts w:ascii="Aptos" w:hAnsi="Aptos" w:cs="Times New Roman"/>
          <w:i/>
          <w:iCs/>
          <w:noProof/>
          <w:lang w:val="de-DE"/>
        </w:rPr>
        <w:t>Green Chem.</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25</w:t>
      </w:r>
      <w:r w:rsidRPr="003E0254">
        <w:rPr>
          <w:rFonts w:ascii="Aptos" w:hAnsi="Aptos" w:cs="Times New Roman"/>
          <w:noProof/>
          <w:lang w:val="de-DE"/>
        </w:rPr>
        <w:t>, 8759.</w:t>
      </w:r>
    </w:p>
    <w:p w14:paraId="5FE319E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[119] </w:t>
      </w:r>
      <w:r w:rsidRPr="003E0254">
        <w:rPr>
          <w:rFonts w:ascii="Aptos" w:hAnsi="Aptos" w:cs="Times New Roman"/>
          <w:noProof/>
          <w:lang w:val="de-DE"/>
        </w:rPr>
        <w:tab/>
        <w:t xml:space="preserve">S. Krämer, J. Hopster, A. Windmüller, R. A. Eichel, M. Grünebaum, T. Jüstel, M. Winter, K. Neuhaus, </w:t>
      </w:r>
      <w:r w:rsidRPr="003E0254">
        <w:rPr>
          <w:rFonts w:ascii="Aptos" w:hAnsi="Aptos" w:cs="Times New Roman"/>
          <w:i/>
          <w:iCs/>
          <w:noProof/>
          <w:lang w:val="de-DE"/>
        </w:rPr>
        <w:t>Energy Adv.</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3</w:t>
      </w:r>
      <w:r w:rsidRPr="003E0254">
        <w:rPr>
          <w:rFonts w:ascii="Aptos" w:hAnsi="Aptos" w:cs="Times New Roman"/>
          <w:noProof/>
          <w:lang w:val="de-DE"/>
        </w:rPr>
        <w:t>, 2175.</w:t>
      </w:r>
    </w:p>
    <w:p w14:paraId="26654F9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[120] </w:t>
      </w:r>
      <w:r w:rsidRPr="003E0254">
        <w:rPr>
          <w:rFonts w:ascii="Aptos" w:hAnsi="Aptos" w:cs="Times New Roman"/>
          <w:noProof/>
          <w:lang w:val="de-DE"/>
        </w:rPr>
        <w:tab/>
        <w:t xml:space="preserve">J. Zhi, S. Zhao, M. Zhou, R. Wang, F. Huang, </w:t>
      </w:r>
      <w:r w:rsidRPr="003E0254">
        <w:rPr>
          <w:rFonts w:ascii="Aptos" w:hAnsi="Aptos" w:cs="Times New Roman"/>
          <w:i/>
          <w:iCs/>
          <w:noProof/>
          <w:lang w:val="de-DE"/>
        </w:rPr>
        <w:t>Sci. Adv.</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9</w:t>
      </w:r>
      <w:r w:rsidRPr="003E0254">
        <w:rPr>
          <w:rFonts w:ascii="Aptos" w:hAnsi="Aptos" w:cs="Times New Roman"/>
          <w:noProof/>
          <w:lang w:val="de-DE"/>
        </w:rPr>
        <w:t>.</w:t>
      </w:r>
    </w:p>
    <w:p w14:paraId="17AC29A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[121] </w:t>
      </w:r>
      <w:r w:rsidRPr="003E0254">
        <w:rPr>
          <w:rFonts w:ascii="Aptos" w:hAnsi="Aptos" w:cs="Times New Roman"/>
          <w:noProof/>
          <w:lang w:val="de-DE"/>
        </w:rPr>
        <w:tab/>
        <w:t xml:space="preserve">L. Chang, J. Li, Q. Sun, X. Liu, X. Lu, H. Cheng, </w:t>
      </w:r>
      <w:r w:rsidRPr="003E0254">
        <w:rPr>
          <w:rFonts w:ascii="Aptos" w:hAnsi="Aptos" w:cs="Times New Roman"/>
          <w:i/>
          <w:iCs/>
          <w:noProof/>
          <w:lang w:val="de-DE"/>
        </w:rPr>
        <w:t>Small</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20</w:t>
      </w:r>
      <w:r w:rsidRPr="003E0254">
        <w:rPr>
          <w:rFonts w:ascii="Aptos" w:hAnsi="Aptos" w:cs="Times New Roman"/>
          <w:noProof/>
          <w:lang w:val="de-DE"/>
        </w:rPr>
        <w:t>, 2408124.</w:t>
      </w:r>
    </w:p>
    <w:p w14:paraId="42C7C46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[122] </w:t>
      </w:r>
      <w:r w:rsidRPr="003E0254">
        <w:rPr>
          <w:rFonts w:ascii="Aptos" w:hAnsi="Aptos" w:cs="Times New Roman"/>
          <w:noProof/>
          <w:lang w:val="de-DE"/>
        </w:rPr>
        <w:tab/>
        <w:t xml:space="preserve">C. Xie, Y. Li, Q. Wang, D. Sun, Y. Tang, H. Wang, </w:t>
      </w:r>
      <w:r w:rsidRPr="003E0254">
        <w:rPr>
          <w:rFonts w:ascii="Aptos" w:hAnsi="Aptos" w:cs="Times New Roman"/>
          <w:i/>
          <w:iCs/>
          <w:noProof/>
          <w:lang w:val="de-DE"/>
        </w:rPr>
        <w:t>Carbon Energy</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2</w:t>
      </w:r>
      <w:r w:rsidRPr="003E0254">
        <w:rPr>
          <w:rFonts w:ascii="Aptos" w:hAnsi="Aptos" w:cs="Times New Roman"/>
          <w:noProof/>
          <w:lang w:val="de-DE"/>
        </w:rPr>
        <w:t>, 540.</w:t>
      </w:r>
    </w:p>
    <w:p w14:paraId="04C6E5F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[123] </w:t>
      </w:r>
      <w:r w:rsidRPr="003E0254">
        <w:rPr>
          <w:rFonts w:ascii="Aptos" w:hAnsi="Aptos" w:cs="Times New Roman"/>
          <w:noProof/>
          <w:lang w:val="de-DE"/>
        </w:rPr>
        <w:tab/>
        <w:t xml:space="preserve">W. Nie, H. Cheng, Q. Sun, S. Liang, X. Lu, B. Lu, J. Zhou, </w:t>
      </w:r>
      <w:r w:rsidRPr="003E0254">
        <w:rPr>
          <w:rFonts w:ascii="Aptos" w:hAnsi="Aptos" w:cs="Times New Roman"/>
          <w:i/>
          <w:iCs/>
          <w:noProof/>
          <w:lang w:val="de-DE"/>
        </w:rPr>
        <w:t>Small Methods</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2201572.</w:t>
      </w:r>
    </w:p>
    <w:p w14:paraId="5D6FC9F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[124] </w:t>
      </w:r>
      <w:r w:rsidRPr="003E0254">
        <w:rPr>
          <w:rFonts w:ascii="Aptos" w:hAnsi="Aptos" w:cs="Times New Roman"/>
          <w:noProof/>
          <w:lang w:val="de-DE"/>
        </w:rPr>
        <w:tab/>
        <w:t xml:space="preserve">L. Li, Y. Zheng, J. Xu, B. Peng, G. Zhu, J. Wu, L. Ma, Z. Jin, </w:t>
      </w:r>
      <w:r w:rsidRPr="003E0254">
        <w:rPr>
          <w:rFonts w:ascii="Aptos" w:hAnsi="Aptos" w:cs="Times New Roman"/>
          <w:i/>
          <w:iCs/>
          <w:noProof/>
          <w:lang w:val="de-DE"/>
        </w:rPr>
        <w:t>ACS Energy Lett.</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9</w:t>
      </w:r>
      <w:r w:rsidRPr="003E0254">
        <w:rPr>
          <w:rFonts w:ascii="Aptos" w:hAnsi="Aptos" w:cs="Times New Roman"/>
          <w:noProof/>
          <w:lang w:val="de-DE"/>
        </w:rPr>
        <w:t>, 3269.</w:t>
      </w:r>
    </w:p>
    <w:p w14:paraId="24A478F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[125] </w:t>
      </w:r>
      <w:r w:rsidRPr="003E0254">
        <w:rPr>
          <w:rFonts w:ascii="Aptos" w:hAnsi="Aptos" w:cs="Times New Roman"/>
          <w:noProof/>
        </w:rPr>
        <w:tab/>
        <w:t xml:space="preserve">M. Zhou, S. Guo, J. Li, X. Luo, Z. Liu, T. Zhang, X. Cao, M. Long, B. Lu, A. Pan, G. Fang, J. Zhou, S. Liang, </w:t>
      </w:r>
      <w:r w:rsidRPr="003E0254">
        <w:rPr>
          <w:rFonts w:ascii="Aptos" w:hAnsi="Aptos" w:cs="Times New Roman"/>
          <w:i/>
          <w:iCs/>
          <w:noProof/>
        </w:rPr>
        <w:t>Adv. Mater.</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33</w:t>
      </w:r>
      <w:r w:rsidRPr="003E0254">
        <w:rPr>
          <w:rFonts w:ascii="Aptos" w:hAnsi="Aptos" w:cs="Times New Roman"/>
          <w:noProof/>
        </w:rPr>
        <w:t>, 2100187.</w:t>
      </w:r>
    </w:p>
    <w:p w14:paraId="54C0E92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[126] </w:t>
      </w:r>
      <w:r w:rsidRPr="003E0254">
        <w:rPr>
          <w:rFonts w:ascii="Aptos" w:hAnsi="Aptos" w:cs="Times New Roman"/>
          <w:noProof/>
        </w:rPr>
        <w:tab/>
        <w:t xml:space="preserve">N. Guo, W. Huo, X. Dong, Z. Sun, Y. Lu, X. Wu, L. Dai, L. Wang, H. Lin, H. Liu, H. Liang, Z. He, Q. Zhang, </w:t>
      </w:r>
      <w:r w:rsidRPr="003E0254">
        <w:rPr>
          <w:rFonts w:ascii="Aptos" w:hAnsi="Aptos" w:cs="Times New Roman"/>
          <w:i/>
          <w:iCs/>
          <w:noProof/>
        </w:rPr>
        <w:t>Small Methods</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6</w:t>
      </w:r>
      <w:r w:rsidRPr="003E0254">
        <w:rPr>
          <w:rFonts w:ascii="Aptos" w:hAnsi="Aptos" w:cs="Times New Roman"/>
          <w:noProof/>
        </w:rPr>
        <w:t>, 2200597.</w:t>
      </w:r>
    </w:p>
    <w:p w14:paraId="07BD661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[127] </w:t>
      </w:r>
      <w:r w:rsidRPr="003E0254">
        <w:rPr>
          <w:rFonts w:ascii="Aptos" w:hAnsi="Aptos" w:cs="Times New Roman"/>
          <w:noProof/>
        </w:rPr>
        <w:tab/>
        <w:t xml:space="preserve">J. Chen, Y. Wang, Z. Tian, J. Zhao, Y. Ma, H. N. Alshareef, </w:t>
      </w:r>
      <w:r w:rsidRPr="003E0254">
        <w:rPr>
          <w:rFonts w:ascii="Aptos" w:hAnsi="Aptos" w:cs="Times New Roman"/>
          <w:i/>
          <w:iCs/>
          <w:noProof/>
        </w:rPr>
        <w:t>InfoMat</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6</w:t>
      </w:r>
      <w:r w:rsidRPr="003E0254">
        <w:rPr>
          <w:rFonts w:ascii="Aptos" w:hAnsi="Aptos" w:cs="Times New Roman"/>
          <w:noProof/>
        </w:rPr>
        <w:t>.</w:t>
      </w:r>
    </w:p>
    <w:p w14:paraId="08017F6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[128] </w:t>
      </w:r>
      <w:r w:rsidRPr="003E0254">
        <w:rPr>
          <w:rFonts w:ascii="Aptos" w:hAnsi="Aptos" w:cs="Times New Roman"/>
          <w:noProof/>
        </w:rPr>
        <w:tab/>
        <w:t xml:space="preserve">B. He, Q. Zhang, Z. Pan, L. Li, C. Li, Y. Ling, Z. Wang, M. Chen, Z. Wang, Y. Yao, Q. Li, L. Sun, J. Wang, L. Wei, </w:t>
      </w:r>
      <w:r w:rsidRPr="003E0254">
        <w:rPr>
          <w:rFonts w:ascii="Aptos" w:hAnsi="Aptos" w:cs="Times New Roman"/>
          <w:i/>
          <w:iCs/>
          <w:noProof/>
        </w:rPr>
        <w:t xml:space="preserve">Chem. </w:t>
      </w:r>
      <w:r w:rsidRPr="003E0254">
        <w:rPr>
          <w:rFonts w:ascii="Aptos" w:hAnsi="Aptos" w:cs="Times New Roman"/>
          <w:i/>
          <w:iCs/>
          <w:noProof/>
          <w:lang w:val="de-DE"/>
        </w:rPr>
        <w:t>Rev.</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122</w:t>
      </w:r>
      <w:r w:rsidRPr="003E0254">
        <w:rPr>
          <w:rFonts w:ascii="Aptos" w:hAnsi="Aptos" w:cs="Times New Roman"/>
          <w:noProof/>
          <w:lang w:val="de-DE"/>
        </w:rPr>
        <w:t>, 10087.</w:t>
      </w:r>
    </w:p>
    <w:p w14:paraId="3C817B7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[129] </w:t>
      </w:r>
      <w:r w:rsidRPr="003E0254">
        <w:rPr>
          <w:rFonts w:ascii="Aptos" w:hAnsi="Aptos" w:cs="Times New Roman"/>
          <w:noProof/>
          <w:lang w:val="de-DE"/>
        </w:rPr>
        <w:tab/>
        <w:t xml:space="preserve">J. Huang, R. Feng, J. Wu, W. Lin, W. Du, C. C. Li,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lang w:val="de-DE"/>
        </w:rPr>
        <w:t>2025</w:t>
      </w:r>
      <w:r w:rsidRPr="003E0254">
        <w:rPr>
          <w:rFonts w:ascii="Aptos" w:hAnsi="Aptos" w:cs="Times New Roman"/>
          <w:noProof/>
          <w:lang w:val="de-DE"/>
        </w:rPr>
        <w:t xml:space="preserve">, </w:t>
      </w:r>
      <w:r w:rsidRPr="003E0254">
        <w:rPr>
          <w:rFonts w:ascii="Aptos" w:hAnsi="Aptos" w:cs="Times New Roman"/>
          <w:i/>
          <w:iCs/>
          <w:noProof/>
          <w:lang w:val="de-DE"/>
        </w:rPr>
        <w:t>74</w:t>
      </w:r>
      <w:r w:rsidRPr="003E0254">
        <w:rPr>
          <w:rFonts w:ascii="Aptos" w:hAnsi="Aptos" w:cs="Times New Roman"/>
          <w:noProof/>
          <w:lang w:val="de-DE"/>
        </w:rPr>
        <w:t>, 103934.</w:t>
      </w:r>
    </w:p>
    <w:p w14:paraId="4E6A776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[130] </w:t>
      </w:r>
      <w:r w:rsidRPr="003E0254">
        <w:rPr>
          <w:rFonts w:ascii="Aptos" w:hAnsi="Aptos" w:cs="Times New Roman"/>
          <w:noProof/>
          <w:lang w:val="de-DE"/>
        </w:rPr>
        <w:tab/>
        <w:t xml:space="preserve">B. Fu, G. Liu, Y. Zhang, Z. Liu, X. Xie, G. Fang, S. Liang, </w:t>
      </w:r>
      <w:r w:rsidRPr="003E0254">
        <w:rPr>
          <w:rFonts w:ascii="Aptos" w:hAnsi="Aptos" w:cs="Times New Roman"/>
          <w:i/>
          <w:iCs/>
          <w:noProof/>
          <w:lang w:val="de-DE"/>
        </w:rPr>
        <w:t>ACS Energy Lett.</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9</w:t>
      </w:r>
      <w:r w:rsidRPr="003E0254">
        <w:rPr>
          <w:rFonts w:ascii="Aptos" w:hAnsi="Aptos" w:cs="Times New Roman"/>
          <w:noProof/>
          <w:lang w:val="de-DE"/>
        </w:rPr>
        <w:t>, 3292.</w:t>
      </w:r>
    </w:p>
    <w:p w14:paraId="65733E7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[131] </w:t>
      </w:r>
      <w:r w:rsidRPr="003E0254">
        <w:rPr>
          <w:rFonts w:ascii="Aptos" w:hAnsi="Aptos" w:cs="Times New Roman"/>
          <w:noProof/>
          <w:lang w:val="de-DE"/>
        </w:rPr>
        <w:tab/>
        <w:t xml:space="preserve">R. Li, Y. Du, Y. Li, Z. He, L. Dai, L. Wang, X. Wu, J. Zhang, J. Yi, </w:t>
      </w:r>
      <w:r w:rsidRPr="003E0254">
        <w:rPr>
          <w:rFonts w:ascii="Aptos" w:hAnsi="Aptos" w:cs="Times New Roman"/>
          <w:i/>
          <w:iCs/>
          <w:noProof/>
          <w:lang w:val="de-DE"/>
        </w:rPr>
        <w:t>ACS Energy Lett.</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457.</w:t>
      </w:r>
    </w:p>
    <w:p w14:paraId="1131820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[132] </w:t>
      </w:r>
      <w:r w:rsidRPr="003E0254">
        <w:rPr>
          <w:rFonts w:ascii="Aptos" w:hAnsi="Aptos" w:cs="Times New Roman"/>
          <w:noProof/>
        </w:rPr>
        <w:tab/>
        <w:t xml:space="preserve">Y. Liao, C. Yang, J. Bai, L. Sun, L. Chen, </w:t>
      </w:r>
      <w:r w:rsidRPr="003E0254">
        <w:rPr>
          <w:rFonts w:ascii="Aptos" w:hAnsi="Aptos" w:cs="Times New Roman"/>
          <w:i/>
          <w:iCs/>
          <w:noProof/>
        </w:rPr>
        <w:t xml:space="preserve">ACS Sustain. </w:t>
      </w:r>
      <w:r w:rsidRPr="003E0254">
        <w:rPr>
          <w:rFonts w:ascii="Aptos" w:hAnsi="Aptos" w:cs="Times New Roman"/>
          <w:i/>
          <w:iCs/>
          <w:noProof/>
          <w:lang w:val="de-DE"/>
        </w:rPr>
        <w:t>Chem. Eng.</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12</w:t>
      </w:r>
      <w:r w:rsidRPr="003E0254">
        <w:rPr>
          <w:rFonts w:ascii="Aptos" w:hAnsi="Aptos" w:cs="Times New Roman"/>
          <w:noProof/>
          <w:lang w:val="de-DE"/>
        </w:rPr>
        <w:t>, 17044.</w:t>
      </w:r>
    </w:p>
    <w:p w14:paraId="3357067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[133] </w:t>
      </w:r>
      <w:r w:rsidRPr="003E0254">
        <w:rPr>
          <w:rFonts w:ascii="Aptos" w:hAnsi="Aptos" w:cs="Times New Roman"/>
          <w:noProof/>
          <w:lang w:val="de-DE"/>
        </w:rPr>
        <w:tab/>
        <w:t xml:space="preserve">J. Zhang, Q. Lei, Z. Ren, X. Zhu, J. Li, Z. Li, S. Liu, Y. Ding, Z. Jiang, J. Li, Y. Huang, X. Li, X. Zhou, Y. Wang, D. Zhu, M. Zeng, L. Fu, </w:t>
      </w:r>
      <w:r w:rsidRPr="003E0254">
        <w:rPr>
          <w:rFonts w:ascii="Aptos" w:hAnsi="Aptos" w:cs="Times New Roman"/>
          <w:i/>
          <w:iCs/>
          <w:noProof/>
          <w:lang w:val="de-DE"/>
        </w:rPr>
        <w:t>ACS Nano</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15</w:t>
      </w:r>
      <w:r w:rsidRPr="003E0254">
        <w:rPr>
          <w:rFonts w:ascii="Aptos" w:hAnsi="Aptos" w:cs="Times New Roman"/>
          <w:noProof/>
          <w:lang w:val="de-DE"/>
        </w:rPr>
        <w:t>, 17748.</w:t>
      </w:r>
    </w:p>
    <w:p w14:paraId="2CA0B41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[134] </w:t>
      </w:r>
      <w:r w:rsidRPr="003E0254">
        <w:rPr>
          <w:rFonts w:ascii="Aptos" w:hAnsi="Aptos" w:cs="Times New Roman"/>
          <w:noProof/>
          <w:lang w:val="de-DE"/>
        </w:rPr>
        <w:tab/>
        <w:t xml:space="preserve">P. Cai, K. Wang, J. Ning, X. He, M. Chen, Q. Li, H. Li, M. Zhou, W. Wang, K. Jiang,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12</w:t>
      </w:r>
      <w:r w:rsidRPr="003E0254">
        <w:rPr>
          <w:rFonts w:ascii="Aptos" w:hAnsi="Aptos" w:cs="Times New Roman"/>
          <w:noProof/>
          <w:lang w:val="de-DE"/>
        </w:rPr>
        <w:t>, 2202182.</w:t>
      </w:r>
    </w:p>
    <w:p w14:paraId="2C2A9A0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[135] </w:t>
      </w:r>
      <w:r w:rsidRPr="003E0254">
        <w:rPr>
          <w:rFonts w:ascii="Aptos" w:hAnsi="Aptos" w:cs="Times New Roman"/>
          <w:noProof/>
          <w:lang w:val="de-DE"/>
        </w:rPr>
        <w:tab/>
        <w:t xml:space="preserve">Y. Yang, J. Xiao, J. Cai, G. Wang, W. Du, Y. Zhang, X. Lu, C. Chao Li, Y. Yang, J. F. Xiao, W. C. Du, Y. F. Zhang, C. C. Li, J. Y. Cai, G. M. Wang, X. H. Lu, </w:t>
      </w:r>
      <w:r w:rsidRPr="003E0254">
        <w:rPr>
          <w:rFonts w:ascii="Aptos" w:hAnsi="Aptos" w:cs="Times New Roman"/>
          <w:i/>
          <w:iCs/>
          <w:noProof/>
          <w:lang w:val="de-DE"/>
        </w:rPr>
        <w:t>Adv. Funct. Mater.</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31</w:t>
      </w:r>
      <w:r w:rsidRPr="003E0254">
        <w:rPr>
          <w:rFonts w:ascii="Aptos" w:hAnsi="Aptos" w:cs="Times New Roman"/>
          <w:noProof/>
          <w:lang w:val="de-DE"/>
        </w:rPr>
        <w:t>, 2005092.</w:t>
      </w:r>
    </w:p>
    <w:p w14:paraId="79648C3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[136] </w:t>
      </w:r>
      <w:r w:rsidRPr="003E0254">
        <w:rPr>
          <w:rFonts w:ascii="Aptos" w:hAnsi="Aptos" w:cs="Times New Roman"/>
          <w:noProof/>
          <w:lang w:val="de-DE"/>
        </w:rPr>
        <w:tab/>
        <w:t xml:space="preserve">N. Liu, X. Wu, Y. Zhang, Y. Yin, C. Sun, Y. Mao, L. Fan, N. Zhang, N. Liu, X. Wu, Y. Zhang, Y. Yin, C. Sun, Y. Mao, L. Fan, N. Zhang, </w:t>
      </w:r>
      <w:r w:rsidRPr="003E0254">
        <w:rPr>
          <w:rFonts w:ascii="Aptos" w:hAnsi="Aptos" w:cs="Times New Roman"/>
          <w:i/>
          <w:iCs/>
          <w:noProof/>
          <w:lang w:val="de-DE"/>
        </w:rPr>
        <w:t>Adv. Sci.</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7</w:t>
      </w:r>
      <w:r w:rsidRPr="003E0254">
        <w:rPr>
          <w:rFonts w:ascii="Aptos" w:hAnsi="Aptos" w:cs="Times New Roman"/>
          <w:noProof/>
          <w:lang w:val="de-DE"/>
        </w:rPr>
        <w:t>, 2000146.</w:t>
      </w:r>
    </w:p>
    <w:p w14:paraId="2163C2E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[137] </w:t>
      </w:r>
      <w:r w:rsidRPr="003E0254">
        <w:rPr>
          <w:rFonts w:ascii="Aptos" w:hAnsi="Aptos" w:cs="Times New Roman"/>
          <w:noProof/>
        </w:rPr>
        <w:tab/>
        <w:t xml:space="preserve">Y. Yuan, R. Sharpe, K. He, C. Li, M. T. Saray, T. Liu, W. Yao, M. Cheng, H. Jin, S. Wang, K. Amine, R. Shahbazian-Yassar, M. S. Islam, J. Lu, </w:t>
      </w:r>
      <w:r w:rsidRPr="003E0254">
        <w:rPr>
          <w:rFonts w:ascii="Aptos" w:hAnsi="Aptos" w:cs="Times New Roman"/>
          <w:i/>
          <w:iCs/>
          <w:noProof/>
        </w:rPr>
        <w:t>Nat. Sustain.</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5</w:t>
      </w:r>
      <w:r w:rsidRPr="003E0254">
        <w:rPr>
          <w:rFonts w:ascii="Aptos" w:hAnsi="Aptos" w:cs="Times New Roman"/>
          <w:noProof/>
        </w:rPr>
        <w:t>, 890.</w:t>
      </w:r>
    </w:p>
    <w:p w14:paraId="0B38859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[138] </w:t>
      </w:r>
      <w:r w:rsidRPr="003E0254">
        <w:rPr>
          <w:rFonts w:ascii="Aptos" w:hAnsi="Aptos" w:cs="Times New Roman"/>
          <w:noProof/>
        </w:rPr>
        <w:tab/>
        <w:t xml:space="preserve">S. Li, C. Huang, L. Gao, Q. Shen, P. Li, X. Qu, L. Jiao, Y. Liu, S. Li, C. Huang, L. Gao, Q. Shen, P. Li, X. Qu, Y. Liu, L. Jiao, </w:t>
      </w:r>
      <w:r w:rsidRPr="003E0254">
        <w:rPr>
          <w:rFonts w:ascii="Aptos" w:hAnsi="Aptos" w:cs="Times New Roman"/>
          <w:i/>
          <w:iCs/>
          <w:noProof/>
        </w:rPr>
        <w:t>Angew. Chemie Int. Ed.</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61</w:t>
      </w:r>
      <w:r w:rsidRPr="003E0254">
        <w:rPr>
          <w:rFonts w:ascii="Aptos" w:hAnsi="Aptos" w:cs="Times New Roman"/>
          <w:noProof/>
        </w:rPr>
        <w:t>, e202211478.</w:t>
      </w:r>
    </w:p>
    <w:p w14:paraId="1268ABE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[139] </w:t>
      </w:r>
      <w:r w:rsidRPr="003E0254">
        <w:rPr>
          <w:rFonts w:ascii="Aptos" w:hAnsi="Aptos" w:cs="Times New Roman"/>
          <w:noProof/>
        </w:rPr>
        <w:tab/>
        <w:t xml:space="preserve">Z. Li, S. Ganapathy, Y. Xu, Z. Zhou, M. Sarilar, M. Wagemaker, Z. Li, S. Ganapathy, Y. Xu, Z. Zhou, M. Sarilar, M. Wagemaker, </w:t>
      </w:r>
      <w:r w:rsidRPr="003E0254">
        <w:rPr>
          <w:rFonts w:ascii="Aptos" w:hAnsi="Aptos" w:cs="Times New Roman"/>
          <w:i/>
          <w:iCs/>
          <w:noProof/>
        </w:rPr>
        <w:t>Adv. Energy Mater.</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1900237.</w:t>
      </w:r>
    </w:p>
    <w:p w14:paraId="54974E1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[140] </w:t>
      </w:r>
      <w:r w:rsidRPr="003E0254">
        <w:rPr>
          <w:rFonts w:ascii="Aptos" w:hAnsi="Aptos" w:cs="Times New Roman"/>
          <w:noProof/>
        </w:rPr>
        <w:tab/>
        <w:t xml:space="preserve">C. F. Bischoff, O. S. Fitz, J. Burns, M. Bauer, H. Gentischer, K. P. Birke, H.-M. Henning, D. Biro, </w:t>
      </w:r>
      <w:r w:rsidRPr="003E0254">
        <w:rPr>
          <w:rFonts w:ascii="Aptos" w:hAnsi="Aptos" w:cs="Times New Roman"/>
          <w:i/>
          <w:iCs/>
          <w:noProof/>
        </w:rPr>
        <w:t xml:space="preserve">J. Electrochem. </w:t>
      </w:r>
      <w:r w:rsidRPr="003E0254">
        <w:rPr>
          <w:rFonts w:ascii="Aptos" w:hAnsi="Aptos" w:cs="Times New Roman"/>
          <w:i/>
          <w:iCs/>
          <w:noProof/>
          <w:lang w:val="de-DE"/>
        </w:rPr>
        <w:t>Soc.</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167</w:t>
      </w:r>
      <w:r w:rsidRPr="003E0254">
        <w:rPr>
          <w:rFonts w:ascii="Aptos" w:hAnsi="Aptos" w:cs="Times New Roman"/>
          <w:noProof/>
          <w:lang w:val="de-DE"/>
        </w:rPr>
        <w:t>, 020545.</w:t>
      </w:r>
    </w:p>
    <w:p w14:paraId="4B9B1F9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[141] </w:t>
      </w:r>
      <w:r w:rsidRPr="003E0254">
        <w:rPr>
          <w:rFonts w:ascii="Aptos" w:hAnsi="Aptos" w:cs="Times New Roman"/>
          <w:noProof/>
          <w:lang w:val="de-DE"/>
        </w:rPr>
        <w:tab/>
        <w:t xml:space="preserve">Z. Shang, H. Zhang, M. Wang, Q. Chen, K. Lu, </w:t>
      </w:r>
      <w:r w:rsidRPr="003E0254">
        <w:rPr>
          <w:rFonts w:ascii="Aptos" w:hAnsi="Aptos" w:cs="Times New Roman"/>
          <w:i/>
          <w:iCs/>
          <w:noProof/>
          <w:lang w:val="de-DE"/>
        </w:rPr>
        <w:t>Nanoscale</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14</w:t>
      </w:r>
      <w:r w:rsidRPr="003E0254">
        <w:rPr>
          <w:rFonts w:ascii="Aptos" w:hAnsi="Aptos" w:cs="Times New Roman"/>
          <w:noProof/>
          <w:lang w:val="de-DE"/>
        </w:rPr>
        <w:t>, 6085.</w:t>
      </w:r>
    </w:p>
    <w:p w14:paraId="1917EB4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[142] </w:t>
      </w:r>
      <w:r w:rsidRPr="003E0254">
        <w:rPr>
          <w:rFonts w:ascii="Aptos" w:hAnsi="Aptos" w:cs="Times New Roman"/>
          <w:noProof/>
          <w:lang w:val="de-DE"/>
        </w:rPr>
        <w:tab/>
        <w:t xml:space="preserve">Y. Dai, J. Zhang, X. Yan, G. Zhao, M. Yang, J. Xiong, R. Li, N. Miao, H. Yu, M. Hu, J. Liu, J. Yang, </w:t>
      </w:r>
      <w:r w:rsidRPr="003E0254">
        <w:rPr>
          <w:rFonts w:ascii="Aptos" w:hAnsi="Aptos" w:cs="Times New Roman"/>
          <w:i/>
          <w:iCs/>
          <w:noProof/>
          <w:lang w:val="de-DE"/>
        </w:rPr>
        <w:t>Chem. Eng. J.</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471</w:t>
      </w:r>
      <w:r w:rsidRPr="003E0254">
        <w:rPr>
          <w:rFonts w:ascii="Aptos" w:hAnsi="Aptos" w:cs="Times New Roman"/>
          <w:noProof/>
          <w:lang w:val="de-DE"/>
        </w:rPr>
        <w:t>, 144158.</w:t>
      </w:r>
    </w:p>
    <w:p w14:paraId="45A8D8B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[143] </w:t>
      </w:r>
      <w:r w:rsidRPr="003E0254">
        <w:rPr>
          <w:rFonts w:ascii="Aptos" w:hAnsi="Aptos" w:cs="Times New Roman"/>
          <w:noProof/>
          <w:lang w:val="de-DE"/>
        </w:rPr>
        <w:tab/>
        <w:t xml:space="preserve">K. Kordesh, M. Weissenbacher, </w:t>
      </w:r>
      <w:r w:rsidRPr="003E0254">
        <w:rPr>
          <w:rFonts w:ascii="Aptos" w:hAnsi="Aptos" w:cs="Times New Roman"/>
          <w:i/>
          <w:iCs/>
          <w:noProof/>
          <w:lang w:val="de-DE"/>
        </w:rPr>
        <w:t>J. Power Sources</w:t>
      </w:r>
      <w:r w:rsidRPr="003E0254">
        <w:rPr>
          <w:rFonts w:ascii="Aptos" w:hAnsi="Aptos" w:cs="Times New Roman"/>
          <w:noProof/>
          <w:lang w:val="de-DE"/>
        </w:rPr>
        <w:t xml:space="preserve"> </w:t>
      </w:r>
      <w:r w:rsidRPr="003E0254">
        <w:rPr>
          <w:rFonts w:ascii="Aptos" w:hAnsi="Aptos" w:cs="Times New Roman"/>
          <w:b/>
          <w:bCs/>
          <w:noProof/>
          <w:lang w:val="de-DE"/>
        </w:rPr>
        <w:t>1994</w:t>
      </w:r>
      <w:r w:rsidRPr="003E0254">
        <w:rPr>
          <w:rFonts w:ascii="Aptos" w:hAnsi="Aptos" w:cs="Times New Roman"/>
          <w:noProof/>
          <w:lang w:val="de-DE"/>
        </w:rPr>
        <w:t xml:space="preserve">, </w:t>
      </w:r>
      <w:r w:rsidRPr="003E0254">
        <w:rPr>
          <w:rFonts w:ascii="Aptos" w:hAnsi="Aptos" w:cs="Times New Roman"/>
          <w:i/>
          <w:iCs/>
          <w:noProof/>
          <w:lang w:val="de-DE"/>
        </w:rPr>
        <w:t>51</w:t>
      </w:r>
      <w:r w:rsidRPr="003E0254">
        <w:rPr>
          <w:rFonts w:ascii="Aptos" w:hAnsi="Aptos" w:cs="Times New Roman"/>
          <w:noProof/>
          <w:lang w:val="de-DE"/>
        </w:rPr>
        <w:t>, 61.</w:t>
      </w:r>
    </w:p>
    <w:p w14:paraId="798E652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[144] </w:t>
      </w:r>
      <w:r w:rsidRPr="003E0254">
        <w:rPr>
          <w:rFonts w:ascii="Aptos" w:hAnsi="Aptos" w:cs="Times New Roman"/>
          <w:noProof/>
          <w:lang w:val="de-DE"/>
        </w:rPr>
        <w:tab/>
        <w:t xml:space="preserve">Y. Li, J. Zhao, Q. Hu, T. Hao, H. Cao, X. Huang, Y. Liu, Y. Zhang, D. Lin, Y. Tang, Y. Cai, </w:t>
      </w:r>
      <w:r w:rsidRPr="003E0254">
        <w:rPr>
          <w:rFonts w:ascii="Aptos" w:hAnsi="Aptos" w:cs="Times New Roman"/>
          <w:i/>
          <w:iCs/>
          <w:noProof/>
          <w:lang w:val="de-DE"/>
        </w:rPr>
        <w:t xml:space="preserve">Mater. </w:t>
      </w:r>
      <w:r w:rsidRPr="003E0254">
        <w:rPr>
          <w:rFonts w:ascii="Aptos" w:hAnsi="Aptos" w:cs="Times New Roman"/>
          <w:i/>
          <w:iCs/>
          <w:noProof/>
        </w:rPr>
        <w:t>Today Energy</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29</w:t>
      </w:r>
      <w:r w:rsidRPr="003E0254">
        <w:rPr>
          <w:rFonts w:ascii="Aptos" w:hAnsi="Aptos" w:cs="Times New Roman"/>
          <w:noProof/>
        </w:rPr>
        <w:t>, 101095.</w:t>
      </w:r>
    </w:p>
    <w:p w14:paraId="66CB7B5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[145] </w:t>
      </w:r>
      <w:r w:rsidRPr="003E0254">
        <w:rPr>
          <w:rFonts w:ascii="Aptos" w:hAnsi="Aptos" w:cs="Times New Roman"/>
          <w:noProof/>
        </w:rPr>
        <w:tab/>
        <w:t xml:space="preserve">Y. Zhang, Y. Zhang, Y. Feng, Y. Wang, L. Zhang, </w:t>
      </w:r>
      <w:r w:rsidRPr="003E0254">
        <w:rPr>
          <w:rFonts w:ascii="Aptos" w:hAnsi="Aptos" w:cs="Times New Roman"/>
          <w:i/>
          <w:iCs/>
          <w:noProof/>
        </w:rPr>
        <w:t>Int. J. Electrochem. Sci.</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18</w:t>
      </w:r>
      <w:r w:rsidRPr="003E0254">
        <w:rPr>
          <w:rFonts w:ascii="Aptos" w:hAnsi="Aptos" w:cs="Times New Roman"/>
          <w:noProof/>
        </w:rPr>
        <w:t>, 100268.</w:t>
      </w:r>
    </w:p>
    <w:p w14:paraId="27484B5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[146] </w:t>
      </w:r>
      <w:r w:rsidRPr="003E0254">
        <w:rPr>
          <w:rFonts w:ascii="Aptos" w:hAnsi="Aptos" w:cs="Times New Roman"/>
          <w:noProof/>
        </w:rPr>
        <w:tab/>
        <w:t xml:space="preserve">R. W. Evans, S. L. Vechy, A. C. Loyns, C. Oettel, A. S. Pensado, B. S. Leshtanski, In </w:t>
      </w:r>
      <w:r w:rsidRPr="003E0254">
        <w:rPr>
          <w:rFonts w:ascii="Aptos" w:hAnsi="Aptos" w:cs="Times New Roman"/>
          <w:i/>
          <w:iCs/>
          <w:noProof/>
        </w:rPr>
        <w:t xml:space="preserve">2015 IEEE </w:t>
      </w:r>
      <w:r w:rsidRPr="003E0254">
        <w:rPr>
          <w:rFonts w:ascii="Aptos" w:hAnsi="Aptos" w:cs="Times New Roman"/>
          <w:i/>
          <w:iCs/>
          <w:noProof/>
        </w:rPr>
        <w:lastRenderedPageBreak/>
        <w:t>International Telecommunications Energy Conference (INTELEC)</w:t>
      </w:r>
      <w:r w:rsidRPr="003E0254">
        <w:rPr>
          <w:rFonts w:ascii="Aptos" w:hAnsi="Aptos" w:cs="Times New Roman"/>
          <w:noProof/>
        </w:rPr>
        <w:t xml:space="preserve">, IEEE, </w:t>
      </w:r>
      <w:r w:rsidRPr="003E0254">
        <w:rPr>
          <w:rFonts w:ascii="Aptos" w:hAnsi="Aptos" w:cs="Times New Roman"/>
          <w:b/>
          <w:bCs/>
          <w:noProof/>
        </w:rPr>
        <w:t>2015</w:t>
      </w:r>
      <w:r w:rsidRPr="003E0254">
        <w:rPr>
          <w:rFonts w:ascii="Aptos" w:hAnsi="Aptos" w:cs="Times New Roman"/>
          <w:noProof/>
        </w:rPr>
        <w:t>, pp. 1–6.</w:t>
      </w:r>
    </w:p>
    <w:p w14:paraId="1B8031E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[147] </w:t>
      </w:r>
      <w:r w:rsidRPr="003E0254">
        <w:rPr>
          <w:rFonts w:ascii="Aptos" w:hAnsi="Aptos" w:cs="Times New Roman"/>
          <w:noProof/>
        </w:rPr>
        <w:tab/>
        <w:t xml:space="preserve">N. P. Yao, C. C. Christianson, R. C. Elliott, T. S. Lee, J. F. Miller, In </w:t>
      </w:r>
      <w:r w:rsidRPr="003E0254">
        <w:rPr>
          <w:rFonts w:ascii="Aptos" w:hAnsi="Aptos" w:cs="Times New Roman"/>
          <w:i/>
          <w:iCs/>
          <w:noProof/>
        </w:rPr>
        <w:t>Prepared for Third International Electric Vehicle Exposition and Conference</w:t>
      </w:r>
      <w:r w:rsidRPr="003E0254">
        <w:rPr>
          <w:rFonts w:ascii="Aptos" w:hAnsi="Aptos" w:cs="Times New Roman"/>
          <w:noProof/>
        </w:rPr>
        <w:t xml:space="preserve">, </w:t>
      </w:r>
      <w:r w:rsidRPr="003E0254">
        <w:rPr>
          <w:rFonts w:ascii="Aptos" w:hAnsi="Aptos" w:cs="Times New Roman"/>
          <w:b/>
          <w:bCs/>
          <w:noProof/>
        </w:rPr>
        <w:t>1980</w:t>
      </w:r>
      <w:r w:rsidRPr="003E0254">
        <w:rPr>
          <w:rFonts w:ascii="Aptos" w:hAnsi="Aptos" w:cs="Times New Roman"/>
          <w:noProof/>
        </w:rPr>
        <w:t>.</w:t>
      </w:r>
    </w:p>
    <w:p w14:paraId="20078C8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[148] </w:t>
      </w:r>
      <w:r w:rsidRPr="003E0254">
        <w:rPr>
          <w:rFonts w:ascii="Aptos" w:hAnsi="Aptos" w:cs="Times New Roman"/>
          <w:noProof/>
          <w:lang w:val="de-DE"/>
        </w:rPr>
        <w:tab/>
        <w:t xml:space="preserve">L. Meng, D. Lin, J. Wang, Y. Zeng, Y. Liu, X. Lu, </w:t>
      </w:r>
      <w:r w:rsidRPr="003E0254">
        <w:rPr>
          <w:rFonts w:ascii="Aptos" w:hAnsi="Aptos" w:cs="Times New Roman"/>
          <w:i/>
          <w:iCs/>
          <w:noProof/>
          <w:lang w:val="de-DE"/>
        </w:rPr>
        <w:t>ACS Appl. Mater. Interfaces</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14854.</w:t>
      </w:r>
    </w:p>
    <w:p w14:paraId="5CA75C4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[149] </w:t>
      </w:r>
      <w:r w:rsidRPr="003E0254">
        <w:rPr>
          <w:rFonts w:ascii="Aptos" w:hAnsi="Aptos" w:cs="Times New Roman"/>
          <w:noProof/>
          <w:lang w:val="de-DE"/>
        </w:rPr>
        <w:tab/>
        <w:t xml:space="preserve">C. Pan, R. Zhang, R. G. Nuzzo, A. A. Gewirth,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1800589.</w:t>
      </w:r>
    </w:p>
    <w:p w14:paraId="1B8B067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[150] </w:t>
      </w:r>
      <w:r w:rsidRPr="003E0254">
        <w:rPr>
          <w:rFonts w:ascii="Aptos" w:hAnsi="Aptos" w:cs="Times New Roman"/>
          <w:noProof/>
          <w:lang w:val="de-DE"/>
        </w:rPr>
        <w:tab/>
        <w:t xml:space="preserve">Y. Liu, C. Li, J. Xu, M. Ou, C. Fang, S. Sun, Y. Qiu, J. Peng, G. Lu, Q. Li, J. Han, Y. Huang, </w:t>
      </w:r>
      <w:r w:rsidRPr="003E0254">
        <w:rPr>
          <w:rFonts w:ascii="Aptos" w:hAnsi="Aptos" w:cs="Times New Roman"/>
          <w:i/>
          <w:iCs/>
          <w:noProof/>
          <w:lang w:val="de-DE"/>
        </w:rPr>
        <w:t>Nano Energy</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67</w:t>
      </w:r>
      <w:r w:rsidRPr="003E0254">
        <w:rPr>
          <w:rFonts w:ascii="Aptos" w:hAnsi="Aptos" w:cs="Times New Roman"/>
          <w:noProof/>
          <w:lang w:val="de-DE"/>
        </w:rPr>
        <w:t>, 104211.</w:t>
      </w:r>
    </w:p>
    <w:p w14:paraId="3F8345A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[151] </w:t>
      </w:r>
      <w:r w:rsidRPr="003E0254">
        <w:rPr>
          <w:rFonts w:ascii="Aptos" w:hAnsi="Aptos" w:cs="Times New Roman"/>
          <w:noProof/>
          <w:lang w:val="de-DE"/>
        </w:rPr>
        <w:tab/>
        <w:t xml:space="preserve">M. Winter, </w:t>
      </w:r>
      <w:r w:rsidRPr="003E0254">
        <w:rPr>
          <w:rFonts w:ascii="Aptos" w:hAnsi="Aptos" w:cs="Times New Roman"/>
          <w:i/>
          <w:iCs/>
          <w:noProof/>
          <w:lang w:val="de-DE"/>
        </w:rPr>
        <w:t>Zeitschrift fur Phys. Chemie</w:t>
      </w:r>
      <w:r w:rsidRPr="003E0254">
        <w:rPr>
          <w:rFonts w:ascii="Aptos" w:hAnsi="Aptos" w:cs="Times New Roman"/>
          <w:noProof/>
          <w:lang w:val="de-DE"/>
        </w:rPr>
        <w:t xml:space="preserve"> </w:t>
      </w:r>
      <w:r w:rsidRPr="003E0254">
        <w:rPr>
          <w:rFonts w:ascii="Aptos" w:hAnsi="Aptos" w:cs="Times New Roman"/>
          <w:b/>
          <w:bCs/>
          <w:noProof/>
          <w:lang w:val="de-DE"/>
        </w:rPr>
        <w:t>2009</w:t>
      </w:r>
      <w:r w:rsidRPr="003E0254">
        <w:rPr>
          <w:rFonts w:ascii="Aptos" w:hAnsi="Aptos" w:cs="Times New Roman"/>
          <w:noProof/>
          <w:lang w:val="de-DE"/>
        </w:rPr>
        <w:t xml:space="preserve">, </w:t>
      </w:r>
      <w:r w:rsidRPr="003E0254">
        <w:rPr>
          <w:rFonts w:ascii="Aptos" w:hAnsi="Aptos" w:cs="Times New Roman"/>
          <w:i/>
          <w:iCs/>
          <w:noProof/>
          <w:lang w:val="de-DE"/>
        </w:rPr>
        <w:t>223</w:t>
      </w:r>
      <w:r w:rsidRPr="003E0254">
        <w:rPr>
          <w:rFonts w:ascii="Aptos" w:hAnsi="Aptos" w:cs="Times New Roman"/>
          <w:noProof/>
          <w:lang w:val="de-DE"/>
        </w:rPr>
        <w:t>, 1395.</w:t>
      </w:r>
    </w:p>
    <w:p w14:paraId="2A13729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[152] </w:t>
      </w:r>
      <w:r w:rsidRPr="003E0254">
        <w:rPr>
          <w:rFonts w:ascii="Aptos" w:hAnsi="Aptos" w:cs="Times New Roman"/>
          <w:noProof/>
          <w:lang w:val="de-DE"/>
        </w:rPr>
        <w:tab/>
        <w:t xml:space="preserve">Y. Wang, Y. Fan, D. Liao, Y. Wu, Y. Yu, C. Hu,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51</w:t>
      </w:r>
      <w:r w:rsidRPr="003E0254">
        <w:rPr>
          <w:rFonts w:ascii="Aptos" w:hAnsi="Aptos" w:cs="Times New Roman"/>
          <w:noProof/>
        </w:rPr>
        <w:t>, 212.</w:t>
      </w:r>
    </w:p>
    <w:p w14:paraId="471F74F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[153] </w:t>
      </w:r>
      <w:r w:rsidRPr="003E0254">
        <w:rPr>
          <w:rFonts w:ascii="Aptos" w:hAnsi="Aptos" w:cs="Times New Roman"/>
          <w:noProof/>
        </w:rPr>
        <w:tab/>
        <w:t xml:space="preserve">K. Hurlbutt, S. Wheeler, I. Capone, M. Pasta, </w:t>
      </w:r>
      <w:r w:rsidRPr="003E0254">
        <w:rPr>
          <w:rFonts w:ascii="Aptos" w:hAnsi="Aptos" w:cs="Times New Roman"/>
          <w:i/>
          <w:iCs/>
          <w:noProof/>
        </w:rPr>
        <w:t>Joule</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2</w:t>
      </w:r>
      <w:r w:rsidRPr="003E0254">
        <w:rPr>
          <w:rFonts w:ascii="Aptos" w:hAnsi="Aptos" w:cs="Times New Roman"/>
          <w:noProof/>
        </w:rPr>
        <w:t>, 1950.</w:t>
      </w:r>
    </w:p>
    <w:p w14:paraId="1CD7732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[154] </w:t>
      </w:r>
      <w:r w:rsidRPr="003E0254">
        <w:rPr>
          <w:rFonts w:ascii="Aptos" w:hAnsi="Aptos" w:cs="Times New Roman"/>
          <w:noProof/>
        </w:rPr>
        <w:tab/>
        <w:t xml:space="preserve">Z. Li, T. Liu, R. Meng, L. Gao, Y. Zou, P. Peng, Y. Shao, X. Liang, </w:t>
      </w:r>
      <w:r w:rsidRPr="003E0254">
        <w:rPr>
          <w:rFonts w:ascii="Aptos" w:hAnsi="Aptos" w:cs="Times New Roman"/>
          <w:i/>
          <w:iCs/>
          <w:noProof/>
        </w:rPr>
        <w:t>Energy Environ. Mater.</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4</w:t>
      </w:r>
      <w:r w:rsidRPr="003E0254">
        <w:rPr>
          <w:rFonts w:ascii="Aptos" w:hAnsi="Aptos" w:cs="Times New Roman"/>
          <w:noProof/>
        </w:rPr>
        <w:t>, 111.</w:t>
      </w:r>
    </w:p>
    <w:p w14:paraId="1069CBA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[155] </w:t>
      </w:r>
      <w:r w:rsidRPr="003E0254">
        <w:rPr>
          <w:rFonts w:ascii="Aptos" w:hAnsi="Aptos" w:cs="Times New Roman"/>
          <w:noProof/>
        </w:rPr>
        <w:tab/>
        <w:t xml:space="preserve">M. Jayalakshmi, F. Scholz,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2000</w:t>
      </w:r>
      <w:r w:rsidRPr="003E0254">
        <w:rPr>
          <w:rFonts w:ascii="Aptos" w:hAnsi="Aptos" w:cs="Times New Roman"/>
          <w:noProof/>
        </w:rPr>
        <w:t xml:space="preserve">, </w:t>
      </w:r>
      <w:r w:rsidRPr="003E0254">
        <w:rPr>
          <w:rFonts w:ascii="Aptos" w:hAnsi="Aptos" w:cs="Times New Roman"/>
          <w:i/>
          <w:iCs/>
          <w:noProof/>
        </w:rPr>
        <w:t>91</w:t>
      </w:r>
      <w:r w:rsidRPr="003E0254">
        <w:rPr>
          <w:rFonts w:ascii="Aptos" w:hAnsi="Aptos" w:cs="Times New Roman"/>
          <w:noProof/>
        </w:rPr>
        <w:t>, 217.</w:t>
      </w:r>
    </w:p>
    <w:p w14:paraId="45B6A4C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[156] </w:t>
      </w:r>
      <w:r w:rsidRPr="003E0254">
        <w:rPr>
          <w:rFonts w:ascii="Aptos" w:hAnsi="Aptos" w:cs="Times New Roman"/>
          <w:noProof/>
        </w:rPr>
        <w:tab/>
        <w:t xml:space="preserve">Q. Yang, F. Mo, Z. Liu, L. Ma, X. Li, D. Fang, S. Chen, S. Zhang, C. Zhi, </w:t>
      </w:r>
      <w:r w:rsidRPr="003E0254">
        <w:rPr>
          <w:rFonts w:ascii="Aptos" w:hAnsi="Aptos" w:cs="Times New Roman"/>
          <w:i/>
          <w:iCs/>
          <w:noProof/>
        </w:rPr>
        <w:t xml:space="preserve">Adv. </w:t>
      </w:r>
      <w:r w:rsidRPr="003E0254">
        <w:rPr>
          <w:rFonts w:ascii="Aptos" w:hAnsi="Aptos" w:cs="Times New Roman"/>
          <w:i/>
          <w:iCs/>
          <w:noProof/>
          <w:lang w:val="de-DE"/>
        </w:rPr>
        <w:t>Mater.</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31</w:t>
      </w:r>
      <w:r w:rsidRPr="003E0254">
        <w:rPr>
          <w:rFonts w:ascii="Aptos" w:hAnsi="Aptos" w:cs="Times New Roman"/>
          <w:noProof/>
          <w:lang w:val="de-DE"/>
        </w:rPr>
        <w:t>, 1901521.</w:t>
      </w:r>
    </w:p>
    <w:p w14:paraId="0ADB46D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[157] </w:t>
      </w:r>
      <w:r w:rsidRPr="003E0254">
        <w:rPr>
          <w:rFonts w:ascii="Aptos" w:hAnsi="Aptos" w:cs="Times New Roman"/>
          <w:noProof/>
          <w:lang w:val="de-DE"/>
        </w:rPr>
        <w:tab/>
        <w:t xml:space="preserve">L. Zhang, L. Chen, X. Zhou, Z. Liu, </w:t>
      </w:r>
      <w:r w:rsidRPr="003E0254">
        <w:rPr>
          <w:rFonts w:ascii="Aptos" w:hAnsi="Aptos" w:cs="Times New Roman"/>
          <w:i/>
          <w:iCs/>
          <w:noProof/>
          <w:lang w:val="de-DE"/>
        </w:rPr>
        <w:t>Sci. Reports 2015 51</w:t>
      </w:r>
      <w:r w:rsidRPr="003E0254">
        <w:rPr>
          <w:rFonts w:ascii="Aptos" w:hAnsi="Aptos" w:cs="Times New Roman"/>
          <w:noProof/>
          <w:lang w:val="de-DE"/>
        </w:rPr>
        <w:t xml:space="preserve"> </w:t>
      </w:r>
      <w:r w:rsidRPr="003E0254">
        <w:rPr>
          <w:rFonts w:ascii="Aptos" w:hAnsi="Aptos" w:cs="Times New Roman"/>
          <w:b/>
          <w:bCs/>
          <w:noProof/>
          <w:lang w:val="de-DE"/>
        </w:rPr>
        <w:t>2015</w:t>
      </w:r>
      <w:r w:rsidRPr="003E0254">
        <w:rPr>
          <w:rFonts w:ascii="Aptos" w:hAnsi="Aptos" w:cs="Times New Roman"/>
          <w:noProof/>
          <w:lang w:val="de-DE"/>
        </w:rPr>
        <w:t xml:space="preserve">, </w:t>
      </w:r>
      <w:r w:rsidRPr="003E0254">
        <w:rPr>
          <w:rFonts w:ascii="Aptos" w:hAnsi="Aptos" w:cs="Times New Roman"/>
          <w:i/>
          <w:iCs/>
          <w:noProof/>
          <w:lang w:val="de-DE"/>
        </w:rPr>
        <w:t>5</w:t>
      </w:r>
      <w:r w:rsidRPr="003E0254">
        <w:rPr>
          <w:rFonts w:ascii="Aptos" w:hAnsi="Aptos" w:cs="Times New Roman"/>
          <w:noProof/>
          <w:lang w:val="de-DE"/>
        </w:rPr>
        <w:t>, 1.</w:t>
      </w:r>
    </w:p>
    <w:p w14:paraId="1939B84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[158] </w:t>
      </w:r>
      <w:r w:rsidRPr="003E0254">
        <w:rPr>
          <w:rFonts w:ascii="Aptos" w:hAnsi="Aptos" w:cs="Times New Roman"/>
          <w:noProof/>
          <w:lang w:val="de-DE"/>
        </w:rPr>
        <w:tab/>
        <w:t xml:space="preserve">Z. Pan, G. Ni, Y. Li, Y. Shi, F. Zhu, P. Cui, C. Zhou, </w:t>
      </w:r>
      <w:r w:rsidRPr="003E0254">
        <w:rPr>
          <w:rFonts w:ascii="Aptos" w:hAnsi="Aptos" w:cs="Times New Roman"/>
          <w:i/>
          <w:iCs/>
          <w:noProof/>
          <w:lang w:val="de-DE"/>
        </w:rPr>
        <w:t>ChemSusChem</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17</w:t>
      </w:r>
      <w:r w:rsidRPr="003E0254">
        <w:rPr>
          <w:rFonts w:ascii="Aptos" w:hAnsi="Aptos" w:cs="Times New Roman"/>
          <w:noProof/>
          <w:lang w:val="de-DE"/>
        </w:rPr>
        <w:t>, e202400713.</w:t>
      </w:r>
    </w:p>
    <w:p w14:paraId="565FD75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[159] </w:t>
      </w:r>
      <w:r w:rsidRPr="003E0254">
        <w:rPr>
          <w:rFonts w:ascii="Aptos" w:hAnsi="Aptos" w:cs="Times New Roman"/>
          <w:noProof/>
          <w:lang w:val="de-DE"/>
        </w:rPr>
        <w:tab/>
        <w:t xml:space="preserve">M. Amiri, D. Bélanger, </w:t>
      </w:r>
      <w:r w:rsidRPr="003E0254">
        <w:rPr>
          <w:rFonts w:ascii="Aptos" w:hAnsi="Aptos" w:cs="Times New Roman"/>
          <w:i/>
          <w:iCs/>
          <w:noProof/>
          <w:lang w:val="de-DE"/>
        </w:rPr>
        <w:t>ChemSusChem</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14</w:t>
      </w:r>
      <w:r w:rsidRPr="003E0254">
        <w:rPr>
          <w:rFonts w:ascii="Aptos" w:hAnsi="Aptos" w:cs="Times New Roman"/>
          <w:noProof/>
          <w:lang w:val="de-DE"/>
        </w:rPr>
        <w:t>, 2487.</w:t>
      </w:r>
    </w:p>
    <w:p w14:paraId="35D4B9A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[160] </w:t>
      </w:r>
      <w:r w:rsidRPr="003E0254">
        <w:rPr>
          <w:rFonts w:ascii="Aptos" w:hAnsi="Aptos" w:cs="Times New Roman"/>
          <w:noProof/>
          <w:lang w:val="de-DE"/>
        </w:rPr>
        <w:tab/>
        <w:t xml:space="preserve">Z. Wang, J. Diao, J. N. Burrow, K. K. Reimund, N. Katyal, G. Henkelman, C. B. Mullins, </w:t>
      </w:r>
      <w:r w:rsidRPr="003E0254">
        <w:rPr>
          <w:rFonts w:ascii="Aptos" w:hAnsi="Aptos" w:cs="Times New Roman"/>
          <w:i/>
          <w:iCs/>
          <w:noProof/>
          <w:lang w:val="de-DE"/>
        </w:rPr>
        <w:t>Adv. Funct. Mater.</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33</w:t>
      </w:r>
      <w:r w:rsidRPr="003E0254">
        <w:rPr>
          <w:rFonts w:ascii="Aptos" w:hAnsi="Aptos" w:cs="Times New Roman"/>
          <w:noProof/>
          <w:lang w:val="de-DE"/>
        </w:rPr>
        <w:t>, 2304791.</w:t>
      </w:r>
    </w:p>
    <w:p w14:paraId="3CE363C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[161] </w:t>
      </w:r>
      <w:r w:rsidRPr="003E0254">
        <w:rPr>
          <w:rFonts w:ascii="Aptos" w:hAnsi="Aptos" w:cs="Times New Roman"/>
          <w:noProof/>
          <w:lang w:val="de-DE"/>
        </w:rPr>
        <w:tab/>
        <w:t xml:space="preserve">A. Naveed, H. Yang, J. Yang, Y. Nuli, J. Wang, </w:t>
      </w:r>
      <w:r w:rsidRPr="003E0254">
        <w:rPr>
          <w:rFonts w:ascii="Aptos" w:hAnsi="Aptos" w:cs="Times New Roman"/>
          <w:i/>
          <w:iCs/>
          <w:noProof/>
          <w:lang w:val="de-DE"/>
        </w:rPr>
        <w:t>Angew. Chemie Int. Ed.</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58</w:t>
      </w:r>
      <w:r w:rsidRPr="003E0254">
        <w:rPr>
          <w:rFonts w:ascii="Aptos" w:hAnsi="Aptos" w:cs="Times New Roman"/>
          <w:noProof/>
          <w:lang w:val="de-DE"/>
        </w:rPr>
        <w:t>, 2760.</w:t>
      </w:r>
    </w:p>
    <w:p w14:paraId="7A78C6C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[162] </w:t>
      </w:r>
      <w:r w:rsidRPr="003E0254">
        <w:rPr>
          <w:rFonts w:ascii="Aptos" w:hAnsi="Aptos" w:cs="Times New Roman"/>
          <w:noProof/>
          <w:lang w:val="de-DE"/>
        </w:rPr>
        <w:tab/>
        <w:t xml:space="preserve">M. Wu, W. Su, X. Wang, Z. Liu, F. Zhang, Z. Luo, A. Yang, P. Yeleken, Z. Miao, Y. Huang, </w:t>
      </w:r>
      <w:r w:rsidRPr="003E0254">
        <w:rPr>
          <w:rFonts w:ascii="Aptos" w:hAnsi="Aptos" w:cs="Times New Roman"/>
          <w:i/>
          <w:iCs/>
          <w:noProof/>
          <w:lang w:val="de-DE"/>
        </w:rPr>
        <w:t>ACS Sustain. Chem. Eng.</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957.</w:t>
      </w:r>
    </w:p>
    <w:p w14:paraId="066DA9B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[163] </w:t>
      </w:r>
      <w:r w:rsidRPr="003E0254">
        <w:rPr>
          <w:rFonts w:ascii="Aptos" w:hAnsi="Aptos" w:cs="Times New Roman"/>
          <w:noProof/>
          <w:lang w:val="de-DE"/>
        </w:rPr>
        <w:tab/>
        <w:t xml:space="preserve">R. Chen, C. Zhang, J. Li, Z. Du, F. Guo, W. Zhang, Y. Dai, W. Zong, X. Gao, J. Zhu, Y. Zhao, X. Wang, G. He, </w:t>
      </w:r>
      <w:r w:rsidRPr="003E0254">
        <w:rPr>
          <w:rFonts w:ascii="Aptos" w:hAnsi="Aptos" w:cs="Times New Roman"/>
          <w:i/>
          <w:iCs/>
          <w:noProof/>
          <w:lang w:val="de-DE"/>
        </w:rPr>
        <w:t>Energy Environ. Sci.</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16</w:t>
      </w:r>
      <w:r w:rsidRPr="003E0254">
        <w:rPr>
          <w:rFonts w:ascii="Aptos" w:hAnsi="Aptos" w:cs="Times New Roman"/>
          <w:noProof/>
          <w:lang w:val="de-DE"/>
        </w:rPr>
        <w:t>, 2540.</w:t>
      </w:r>
    </w:p>
    <w:p w14:paraId="38139B2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[164] </w:t>
      </w:r>
      <w:r w:rsidRPr="003E0254">
        <w:rPr>
          <w:rFonts w:ascii="Aptos" w:hAnsi="Aptos" w:cs="Times New Roman"/>
          <w:noProof/>
          <w:lang w:val="de-DE"/>
        </w:rPr>
        <w:tab/>
        <w:t xml:space="preserve">K. Wu, J. Huang, J. Yi, X. Liu, Y. Liu, Y. Wang, J. Zhang, Y. Xia,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10</w:t>
      </w:r>
      <w:r w:rsidRPr="003E0254">
        <w:rPr>
          <w:rFonts w:ascii="Aptos" w:hAnsi="Aptos" w:cs="Times New Roman"/>
          <w:noProof/>
          <w:lang w:val="de-DE"/>
        </w:rPr>
        <w:t>, 1903977.</w:t>
      </w:r>
    </w:p>
    <w:p w14:paraId="6335102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[165] </w:t>
      </w:r>
      <w:r w:rsidRPr="003E0254">
        <w:rPr>
          <w:rFonts w:ascii="Aptos" w:hAnsi="Aptos" w:cs="Times New Roman"/>
          <w:noProof/>
          <w:lang w:val="de-DE"/>
        </w:rPr>
        <w:tab/>
        <w:t xml:space="preserve">M. A. Kamenskii, F. S. Volkov, S. N. Eliseeva, E. G. Tolstopyatova, V. V. Kondratiev, </w:t>
      </w:r>
      <w:r w:rsidRPr="003E0254">
        <w:rPr>
          <w:rFonts w:ascii="Aptos" w:hAnsi="Aptos" w:cs="Times New Roman"/>
          <w:i/>
          <w:iCs/>
          <w:noProof/>
          <w:lang w:val="de-DE"/>
        </w:rPr>
        <w:t>Energies 2023, Vol. 16, Page 3221</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16</w:t>
      </w:r>
      <w:r w:rsidRPr="003E0254">
        <w:rPr>
          <w:rFonts w:ascii="Aptos" w:hAnsi="Aptos" w:cs="Times New Roman"/>
          <w:noProof/>
          <w:lang w:val="de-DE"/>
        </w:rPr>
        <w:t>, 3221.</w:t>
      </w:r>
    </w:p>
    <w:p w14:paraId="05BA475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[166] </w:t>
      </w:r>
      <w:r w:rsidRPr="003E0254">
        <w:rPr>
          <w:rFonts w:ascii="Aptos" w:hAnsi="Aptos" w:cs="Times New Roman"/>
          <w:noProof/>
          <w:lang w:val="de-DE"/>
        </w:rPr>
        <w:tab/>
        <w:t xml:space="preserve">X. Li, D. Wang, F. Ran,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56</w:t>
      </w:r>
      <w:r w:rsidRPr="003E0254">
        <w:rPr>
          <w:rFonts w:ascii="Aptos" w:hAnsi="Aptos" w:cs="Times New Roman"/>
          <w:noProof/>
          <w:lang w:val="de-DE"/>
        </w:rPr>
        <w:t>, 351.</w:t>
      </w:r>
    </w:p>
    <w:p w14:paraId="5650C3C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[167] </w:t>
      </w:r>
      <w:r w:rsidRPr="003E0254">
        <w:rPr>
          <w:rFonts w:ascii="Aptos" w:hAnsi="Aptos" w:cs="Times New Roman"/>
          <w:noProof/>
          <w:lang w:val="de-DE"/>
        </w:rPr>
        <w:tab/>
        <w:t xml:space="preserve">R. Ma, Z. Xu, X. Wang, </w:t>
      </w:r>
      <w:r w:rsidRPr="003E0254">
        <w:rPr>
          <w:rFonts w:ascii="Aptos" w:hAnsi="Aptos" w:cs="Times New Roman"/>
          <w:i/>
          <w:iCs/>
          <w:noProof/>
          <w:lang w:val="de-DE"/>
        </w:rPr>
        <w:t>Energy Environ. Mater.</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6</w:t>
      </w:r>
      <w:r w:rsidRPr="003E0254">
        <w:rPr>
          <w:rFonts w:ascii="Aptos" w:hAnsi="Aptos" w:cs="Times New Roman"/>
          <w:noProof/>
          <w:lang w:val="de-DE"/>
        </w:rPr>
        <w:t>, e12464.</w:t>
      </w:r>
    </w:p>
    <w:p w14:paraId="73729E7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[168] </w:t>
      </w:r>
      <w:r w:rsidRPr="003E0254">
        <w:rPr>
          <w:rFonts w:ascii="Aptos" w:hAnsi="Aptos" w:cs="Times New Roman"/>
          <w:noProof/>
          <w:lang w:val="de-DE"/>
        </w:rPr>
        <w:tab/>
        <w:t xml:space="preserve">C. Gassner, </w:t>
      </w:r>
      <w:r w:rsidRPr="003E0254">
        <w:rPr>
          <w:rFonts w:ascii="Aptos" w:hAnsi="Aptos" w:cs="Times New Roman"/>
          <w:i/>
          <w:iCs/>
          <w:noProof/>
          <w:lang w:val="de-DE"/>
        </w:rPr>
        <w:t>Neuerung an galvanischen Elementen</w:t>
      </w:r>
      <w:r w:rsidRPr="003E0254">
        <w:rPr>
          <w:rFonts w:ascii="Aptos" w:hAnsi="Aptos" w:cs="Times New Roman"/>
          <w:noProof/>
          <w:lang w:val="de-DE"/>
        </w:rPr>
        <w:t xml:space="preserve">, Germany, </w:t>
      </w:r>
      <w:r w:rsidRPr="003E0254">
        <w:rPr>
          <w:rFonts w:ascii="Aptos" w:hAnsi="Aptos" w:cs="Times New Roman"/>
          <w:b/>
          <w:bCs/>
          <w:noProof/>
          <w:lang w:val="de-DE"/>
        </w:rPr>
        <w:t>1886</w:t>
      </w:r>
      <w:r w:rsidRPr="003E0254">
        <w:rPr>
          <w:rFonts w:ascii="Aptos" w:hAnsi="Aptos" w:cs="Times New Roman"/>
          <w:noProof/>
          <w:lang w:val="de-DE"/>
        </w:rPr>
        <w:t>.</w:t>
      </w:r>
    </w:p>
    <w:p w14:paraId="0F358BB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[169] </w:t>
      </w:r>
      <w:r w:rsidRPr="003E0254">
        <w:rPr>
          <w:rFonts w:ascii="Aptos" w:hAnsi="Aptos" w:cs="Times New Roman"/>
          <w:noProof/>
          <w:lang w:val="de-DE"/>
        </w:rPr>
        <w:tab/>
        <w:t xml:space="preserve">X. Han, R. Zhao, J. Yang, Y. Wang, A. Zhang, Z. Hu, M. Lv, C. Wu, Y. Bai, </w:t>
      </w:r>
      <w:r w:rsidRPr="003E0254">
        <w:rPr>
          <w:rFonts w:ascii="Aptos" w:hAnsi="Aptos" w:cs="Times New Roman"/>
          <w:i/>
          <w:iCs/>
          <w:noProof/>
          <w:lang w:val="de-DE"/>
        </w:rPr>
        <w:t>Energy Environ. Sci.</w:t>
      </w:r>
      <w:r w:rsidRPr="003E0254">
        <w:rPr>
          <w:rFonts w:ascii="Aptos" w:hAnsi="Aptos" w:cs="Times New Roman"/>
          <w:noProof/>
          <w:lang w:val="de-DE"/>
        </w:rPr>
        <w:t xml:space="preserve"> </w:t>
      </w:r>
      <w:r w:rsidRPr="003E0254">
        <w:rPr>
          <w:rFonts w:ascii="Aptos" w:hAnsi="Aptos" w:cs="Times New Roman"/>
          <w:b/>
          <w:bCs/>
          <w:noProof/>
          <w:lang w:val="de-DE"/>
        </w:rPr>
        <w:t>2025</w:t>
      </w:r>
      <w:r w:rsidRPr="003E0254">
        <w:rPr>
          <w:rFonts w:ascii="Aptos" w:hAnsi="Aptos" w:cs="Times New Roman"/>
          <w:noProof/>
          <w:lang w:val="de-DE"/>
        </w:rPr>
        <w:t xml:space="preserve">, </w:t>
      </w:r>
      <w:r w:rsidRPr="003E0254">
        <w:rPr>
          <w:rFonts w:ascii="Aptos" w:hAnsi="Aptos" w:cs="Times New Roman"/>
          <w:i/>
          <w:iCs/>
          <w:noProof/>
          <w:lang w:val="de-DE"/>
        </w:rPr>
        <w:t>18</w:t>
      </w:r>
      <w:r w:rsidRPr="003E0254">
        <w:rPr>
          <w:rFonts w:ascii="Aptos" w:hAnsi="Aptos" w:cs="Times New Roman"/>
          <w:noProof/>
          <w:lang w:val="de-DE"/>
        </w:rPr>
        <w:t>, 97.</w:t>
      </w:r>
    </w:p>
    <w:p w14:paraId="143E326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lastRenderedPageBreak/>
        <w:t xml:space="preserve">[170] </w:t>
      </w:r>
      <w:r w:rsidRPr="003E0254">
        <w:rPr>
          <w:rFonts w:ascii="Aptos" w:hAnsi="Aptos" w:cs="Times New Roman"/>
          <w:noProof/>
          <w:lang w:val="de-DE"/>
        </w:rPr>
        <w:tab/>
        <w:t xml:space="preserve">L. Wang, K. W. Huang, J. Chen, J. Zheng, </w:t>
      </w:r>
      <w:r w:rsidRPr="003E0254">
        <w:rPr>
          <w:rFonts w:ascii="Aptos" w:hAnsi="Aptos" w:cs="Times New Roman"/>
          <w:i/>
          <w:iCs/>
          <w:noProof/>
          <w:lang w:val="de-DE"/>
        </w:rPr>
        <w:t>Sci. Adv.</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5</w:t>
      </w:r>
      <w:r w:rsidRPr="003E0254">
        <w:rPr>
          <w:rFonts w:ascii="Aptos" w:hAnsi="Aptos" w:cs="Times New Roman"/>
          <w:noProof/>
          <w:lang w:val="de-DE"/>
        </w:rPr>
        <w:t>.</w:t>
      </w:r>
    </w:p>
    <w:p w14:paraId="3120F02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[171] </w:t>
      </w:r>
      <w:r w:rsidRPr="003E0254">
        <w:rPr>
          <w:rFonts w:ascii="Aptos" w:hAnsi="Aptos" w:cs="Times New Roman"/>
          <w:noProof/>
          <w:lang w:val="de-DE"/>
        </w:rPr>
        <w:tab/>
        <w:t xml:space="preserve">P. Hu, M. Yan, T. Zhu, X. Wang, X. Wei, J. Li, L. Zhou, Z. Li, L. Chen, L. Mai, </w:t>
      </w:r>
      <w:r w:rsidRPr="003E0254">
        <w:rPr>
          <w:rFonts w:ascii="Aptos" w:hAnsi="Aptos" w:cs="Times New Roman"/>
          <w:i/>
          <w:iCs/>
          <w:noProof/>
          <w:lang w:val="de-DE"/>
        </w:rPr>
        <w:t xml:space="preserve">ACS Appl. </w:t>
      </w:r>
      <w:r w:rsidRPr="003E0254">
        <w:rPr>
          <w:rFonts w:ascii="Aptos" w:hAnsi="Aptos" w:cs="Times New Roman"/>
          <w:i/>
          <w:iCs/>
          <w:noProof/>
        </w:rPr>
        <w:t>Mater. Interfaces</w:t>
      </w:r>
      <w:r w:rsidRPr="003E0254">
        <w:rPr>
          <w:rFonts w:ascii="Aptos" w:hAnsi="Aptos" w:cs="Times New Roman"/>
          <w:noProof/>
        </w:rPr>
        <w:t xml:space="preserve"> </w:t>
      </w:r>
      <w:r w:rsidRPr="003E0254">
        <w:rPr>
          <w:rFonts w:ascii="Aptos" w:hAnsi="Aptos" w:cs="Times New Roman"/>
          <w:b/>
          <w:bCs/>
          <w:noProof/>
        </w:rPr>
        <w:t>2017</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42717.</w:t>
      </w:r>
    </w:p>
    <w:p w14:paraId="57AA451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[172] </w:t>
      </w:r>
      <w:r w:rsidRPr="003E0254">
        <w:rPr>
          <w:rFonts w:ascii="Aptos" w:hAnsi="Aptos" w:cs="Times New Roman"/>
          <w:noProof/>
        </w:rPr>
        <w:tab/>
        <w:t xml:space="preserve">Https://www.enerpoly.com/technology, </w:t>
      </w:r>
      <w:r w:rsidRPr="003E0254">
        <w:rPr>
          <w:rFonts w:ascii="Aptos" w:hAnsi="Aptos" w:cs="Times New Roman"/>
          <w:i/>
          <w:iCs/>
          <w:noProof/>
        </w:rPr>
        <w:t>Enerpoly | Affordable, safe, and sustainable zinc-ion batteries</w:t>
      </w:r>
      <w:r w:rsidRPr="003E0254">
        <w:rPr>
          <w:rFonts w:ascii="Aptos" w:hAnsi="Aptos" w:cs="Times New Roman"/>
          <w:noProof/>
        </w:rPr>
        <w:t>.</w:t>
      </w:r>
    </w:p>
    <w:p w14:paraId="3A284D6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[173] </w:t>
      </w:r>
      <w:r w:rsidRPr="003E0254">
        <w:rPr>
          <w:rFonts w:ascii="Aptos" w:hAnsi="Aptos" w:cs="Times New Roman"/>
          <w:noProof/>
        </w:rPr>
        <w:tab/>
        <w:t xml:space="preserve">D. Linden, T. B. Reddy, </w:t>
      </w:r>
      <w:r w:rsidRPr="003E0254">
        <w:rPr>
          <w:rFonts w:ascii="Aptos" w:hAnsi="Aptos" w:cs="Times New Roman"/>
          <w:i/>
          <w:iCs/>
          <w:noProof/>
        </w:rPr>
        <w:t>Handbook of Batteries</w:t>
      </w:r>
      <w:r w:rsidRPr="003E0254">
        <w:rPr>
          <w:rFonts w:ascii="Aptos" w:hAnsi="Aptos" w:cs="Times New Roman"/>
          <w:noProof/>
        </w:rPr>
        <w:t xml:space="preserve">, Third Edit., McGraw-Hill, </w:t>
      </w:r>
      <w:r w:rsidRPr="003E0254">
        <w:rPr>
          <w:rFonts w:ascii="Aptos" w:hAnsi="Aptos" w:cs="Times New Roman"/>
          <w:b/>
          <w:bCs/>
          <w:noProof/>
        </w:rPr>
        <w:t>2002</w:t>
      </w:r>
      <w:r w:rsidRPr="003E0254">
        <w:rPr>
          <w:rFonts w:ascii="Aptos" w:hAnsi="Aptos" w:cs="Times New Roman"/>
          <w:noProof/>
        </w:rPr>
        <w:t>.</w:t>
      </w:r>
    </w:p>
    <w:p w14:paraId="372F4DE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[174] </w:t>
      </w:r>
      <w:r w:rsidRPr="003E0254">
        <w:rPr>
          <w:rFonts w:ascii="Aptos" w:hAnsi="Aptos" w:cs="Times New Roman"/>
          <w:noProof/>
        </w:rPr>
        <w:tab/>
        <w:t xml:space="preserve">Y. Zeng, D. Luan, X. W. (David) Lou, </w:t>
      </w:r>
      <w:r w:rsidRPr="003E0254">
        <w:rPr>
          <w:rFonts w:ascii="Aptos" w:hAnsi="Aptos" w:cs="Times New Roman"/>
          <w:i/>
          <w:iCs/>
          <w:noProof/>
        </w:rPr>
        <w:t>Chem</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1118.</w:t>
      </w:r>
    </w:p>
    <w:p w14:paraId="2CCC61B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[175] </w:t>
      </w:r>
      <w:r w:rsidRPr="003E0254">
        <w:rPr>
          <w:rFonts w:ascii="Aptos" w:hAnsi="Aptos" w:cs="Times New Roman"/>
          <w:noProof/>
          <w:lang w:val="de-DE"/>
        </w:rPr>
        <w:tab/>
        <w:t xml:space="preserve">S. Hosseini, S. Masoudi Soltani, Y. Y. Li, </w:t>
      </w:r>
      <w:r w:rsidRPr="003E0254">
        <w:rPr>
          <w:rFonts w:ascii="Aptos" w:hAnsi="Aptos" w:cs="Times New Roman"/>
          <w:i/>
          <w:iCs/>
          <w:noProof/>
          <w:lang w:val="de-DE"/>
        </w:rPr>
        <w:t>Chem. Eng. J.</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408</w:t>
      </w:r>
      <w:r w:rsidRPr="003E0254">
        <w:rPr>
          <w:rFonts w:ascii="Aptos" w:hAnsi="Aptos" w:cs="Times New Roman"/>
          <w:noProof/>
          <w:lang w:val="de-DE"/>
        </w:rPr>
        <w:t>, 127241.</w:t>
      </w:r>
    </w:p>
    <w:p w14:paraId="37CCCE2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[176] </w:t>
      </w:r>
      <w:r w:rsidRPr="003E0254">
        <w:rPr>
          <w:rFonts w:ascii="Aptos" w:hAnsi="Aptos" w:cs="Times New Roman"/>
          <w:noProof/>
        </w:rPr>
        <w:tab/>
        <w:t xml:space="preserve">J. Vatsalarani, S. Geetha, D. C. Trivedi, P. C. Warrier,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2006</w:t>
      </w:r>
      <w:r w:rsidRPr="003E0254">
        <w:rPr>
          <w:rFonts w:ascii="Aptos" w:hAnsi="Aptos" w:cs="Times New Roman"/>
          <w:noProof/>
        </w:rPr>
        <w:t xml:space="preserve">, </w:t>
      </w:r>
      <w:r w:rsidRPr="003E0254">
        <w:rPr>
          <w:rFonts w:ascii="Aptos" w:hAnsi="Aptos" w:cs="Times New Roman"/>
          <w:i/>
          <w:iCs/>
          <w:noProof/>
        </w:rPr>
        <w:t>158</w:t>
      </w:r>
      <w:r w:rsidRPr="003E0254">
        <w:rPr>
          <w:rFonts w:ascii="Aptos" w:hAnsi="Aptos" w:cs="Times New Roman"/>
          <w:noProof/>
        </w:rPr>
        <w:t>, 1484.</w:t>
      </w:r>
    </w:p>
    <w:p w14:paraId="470D2B2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[177] </w:t>
      </w:r>
      <w:r w:rsidRPr="003E0254">
        <w:rPr>
          <w:rFonts w:ascii="Aptos" w:hAnsi="Aptos" w:cs="Times New Roman"/>
          <w:noProof/>
        </w:rPr>
        <w:tab/>
        <w:t xml:space="preserve">A. Sumboja, X. Ge, G. Zheng, F. W. T. Goh, T. S. A. Hor, Y. Zong, Z. Liu,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2016</w:t>
      </w:r>
      <w:r w:rsidRPr="003E0254">
        <w:rPr>
          <w:rFonts w:ascii="Aptos" w:hAnsi="Aptos" w:cs="Times New Roman"/>
          <w:noProof/>
        </w:rPr>
        <w:t xml:space="preserve">, </w:t>
      </w:r>
      <w:r w:rsidRPr="003E0254">
        <w:rPr>
          <w:rFonts w:ascii="Aptos" w:hAnsi="Aptos" w:cs="Times New Roman"/>
          <w:i/>
          <w:iCs/>
          <w:noProof/>
        </w:rPr>
        <w:t>332</w:t>
      </w:r>
      <w:r w:rsidRPr="003E0254">
        <w:rPr>
          <w:rFonts w:ascii="Aptos" w:hAnsi="Aptos" w:cs="Times New Roman"/>
          <w:noProof/>
        </w:rPr>
        <w:t>, 330.</w:t>
      </w:r>
    </w:p>
    <w:p w14:paraId="5F3E06A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[178] </w:t>
      </w:r>
      <w:r w:rsidRPr="003E0254">
        <w:rPr>
          <w:rFonts w:ascii="Aptos" w:hAnsi="Aptos" w:cs="Times New Roman"/>
          <w:noProof/>
          <w:lang w:val="de-DE"/>
        </w:rPr>
        <w:tab/>
        <w:t xml:space="preserve">S. S. Montiel Guerrero, Y. E. Durmus, K. Dzieciol, S. Basak, H. Tempel, S. van Waasen, H. Kungl, R. A. Eichel, </w:t>
      </w:r>
      <w:r w:rsidRPr="003E0254">
        <w:rPr>
          <w:rFonts w:ascii="Aptos" w:hAnsi="Aptos" w:cs="Times New Roman"/>
          <w:i/>
          <w:iCs/>
          <w:noProof/>
          <w:lang w:val="de-DE"/>
        </w:rPr>
        <w:t xml:space="preserve">Batter. </w:t>
      </w:r>
      <w:r w:rsidRPr="003E0254">
        <w:rPr>
          <w:rFonts w:ascii="Aptos" w:hAnsi="Aptos" w:cs="Times New Roman"/>
          <w:i/>
          <w:iCs/>
          <w:noProof/>
        </w:rPr>
        <w:t>Supercaps</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4</w:t>
      </w:r>
      <w:r w:rsidRPr="003E0254">
        <w:rPr>
          <w:rFonts w:ascii="Aptos" w:hAnsi="Aptos" w:cs="Times New Roman"/>
          <w:noProof/>
        </w:rPr>
        <w:t>, 1830.</w:t>
      </w:r>
    </w:p>
    <w:p w14:paraId="699151E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[179] </w:t>
      </w:r>
      <w:r w:rsidRPr="003E0254">
        <w:rPr>
          <w:rFonts w:ascii="Aptos" w:hAnsi="Aptos" w:cs="Times New Roman"/>
          <w:noProof/>
        </w:rPr>
        <w:tab/>
        <w:t xml:space="preserve">Y. N. Jo, S. H. Kang, K. Prasanna, S. W. Eom, C. W. Lee, </w:t>
      </w:r>
      <w:r w:rsidRPr="003E0254">
        <w:rPr>
          <w:rFonts w:ascii="Aptos" w:hAnsi="Aptos" w:cs="Times New Roman"/>
          <w:i/>
          <w:iCs/>
          <w:noProof/>
        </w:rPr>
        <w:t xml:space="preserve">Appl. </w:t>
      </w:r>
      <w:r w:rsidRPr="003E0254">
        <w:rPr>
          <w:rFonts w:ascii="Aptos" w:hAnsi="Aptos" w:cs="Times New Roman"/>
          <w:i/>
          <w:iCs/>
          <w:noProof/>
          <w:lang w:val="de-DE"/>
        </w:rPr>
        <w:t>Surf. Sci.</w:t>
      </w:r>
      <w:r w:rsidRPr="003E0254">
        <w:rPr>
          <w:rFonts w:ascii="Aptos" w:hAnsi="Aptos" w:cs="Times New Roman"/>
          <w:noProof/>
          <w:lang w:val="de-DE"/>
        </w:rPr>
        <w:t xml:space="preserve"> </w:t>
      </w:r>
      <w:r w:rsidRPr="003E0254">
        <w:rPr>
          <w:rFonts w:ascii="Aptos" w:hAnsi="Aptos" w:cs="Times New Roman"/>
          <w:b/>
          <w:bCs/>
          <w:noProof/>
          <w:lang w:val="de-DE"/>
        </w:rPr>
        <w:t>2017</w:t>
      </w:r>
      <w:r w:rsidRPr="003E0254">
        <w:rPr>
          <w:rFonts w:ascii="Aptos" w:hAnsi="Aptos" w:cs="Times New Roman"/>
          <w:noProof/>
          <w:lang w:val="de-DE"/>
        </w:rPr>
        <w:t xml:space="preserve">, </w:t>
      </w:r>
      <w:r w:rsidRPr="003E0254">
        <w:rPr>
          <w:rFonts w:ascii="Aptos" w:hAnsi="Aptos" w:cs="Times New Roman"/>
          <w:i/>
          <w:iCs/>
          <w:noProof/>
          <w:lang w:val="de-DE"/>
        </w:rPr>
        <w:t>422</w:t>
      </w:r>
      <w:r w:rsidRPr="003E0254">
        <w:rPr>
          <w:rFonts w:ascii="Aptos" w:hAnsi="Aptos" w:cs="Times New Roman"/>
          <w:noProof/>
          <w:lang w:val="de-DE"/>
        </w:rPr>
        <w:t>, 406.</w:t>
      </w:r>
    </w:p>
    <w:p w14:paraId="0700486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[180] </w:t>
      </w:r>
      <w:r w:rsidRPr="003E0254">
        <w:rPr>
          <w:rFonts w:ascii="Aptos" w:hAnsi="Aptos" w:cs="Times New Roman"/>
          <w:noProof/>
          <w:lang w:val="de-DE"/>
        </w:rPr>
        <w:tab/>
        <w:t xml:space="preserve">H. Zhou, Q. Huang, M. Liang, D. Lv, M. Xu, H. Li, W. Li, </w:t>
      </w:r>
      <w:r w:rsidRPr="003E0254">
        <w:rPr>
          <w:rFonts w:ascii="Aptos" w:hAnsi="Aptos" w:cs="Times New Roman"/>
          <w:i/>
          <w:iCs/>
          <w:noProof/>
          <w:lang w:val="de-DE"/>
        </w:rPr>
        <w:t>Mater. Chem. Phys.</w:t>
      </w:r>
      <w:r w:rsidRPr="003E0254">
        <w:rPr>
          <w:rFonts w:ascii="Aptos" w:hAnsi="Aptos" w:cs="Times New Roman"/>
          <w:noProof/>
          <w:lang w:val="de-DE"/>
        </w:rPr>
        <w:t xml:space="preserve"> </w:t>
      </w:r>
      <w:r w:rsidRPr="003E0254">
        <w:rPr>
          <w:rFonts w:ascii="Aptos" w:hAnsi="Aptos" w:cs="Times New Roman"/>
          <w:b/>
          <w:bCs/>
          <w:noProof/>
          <w:lang w:val="de-DE"/>
        </w:rPr>
        <w:t>2011</w:t>
      </w:r>
      <w:r w:rsidRPr="003E0254">
        <w:rPr>
          <w:rFonts w:ascii="Aptos" w:hAnsi="Aptos" w:cs="Times New Roman"/>
          <w:noProof/>
          <w:lang w:val="de-DE"/>
        </w:rPr>
        <w:t xml:space="preserve">, </w:t>
      </w:r>
      <w:r w:rsidRPr="003E0254">
        <w:rPr>
          <w:rFonts w:ascii="Aptos" w:hAnsi="Aptos" w:cs="Times New Roman"/>
          <w:i/>
          <w:iCs/>
          <w:noProof/>
          <w:lang w:val="de-DE"/>
        </w:rPr>
        <w:t>128</w:t>
      </w:r>
      <w:r w:rsidRPr="003E0254">
        <w:rPr>
          <w:rFonts w:ascii="Aptos" w:hAnsi="Aptos" w:cs="Times New Roman"/>
          <w:noProof/>
          <w:lang w:val="de-DE"/>
        </w:rPr>
        <w:t>, 214.</w:t>
      </w:r>
    </w:p>
    <w:p w14:paraId="30E6CC2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[181] </w:t>
      </w:r>
      <w:r w:rsidRPr="003E0254">
        <w:rPr>
          <w:rFonts w:ascii="Aptos" w:hAnsi="Aptos" w:cs="Times New Roman"/>
          <w:noProof/>
          <w:lang w:val="de-DE"/>
        </w:rPr>
        <w:tab/>
        <w:t xml:space="preserve">Y. P. Deng, Y. Jiang, R. Liang, S. J. Zhang, D. Luo, Y. Hu, X. Wang, J. T. Li, A. Yu, Z. Chen, </w:t>
      </w:r>
      <w:r w:rsidRPr="003E0254">
        <w:rPr>
          <w:rFonts w:ascii="Aptos" w:hAnsi="Aptos" w:cs="Times New Roman"/>
          <w:i/>
          <w:iCs/>
          <w:noProof/>
          <w:lang w:val="de-DE"/>
        </w:rPr>
        <w:t>Nat. Commun. 2020 111</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11</w:t>
      </w:r>
      <w:r w:rsidRPr="003E0254">
        <w:rPr>
          <w:rFonts w:ascii="Aptos" w:hAnsi="Aptos" w:cs="Times New Roman"/>
          <w:noProof/>
          <w:lang w:val="de-DE"/>
        </w:rPr>
        <w:t>, 1.</w:t>
      </w:r>
    </w:p>
    <w:p w14:paraId="213285C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[182] </w:t>
      </w:r>
      <w:r w:rsidRPr="003E0254">
        <w:rPr>
          <w:rFonts w:ascii="Aptos" w:hAnsi="Aptos" w:cs="Times New Roman"/>
          <w:noProof/>
          <w:lang w:val="de-DE"/>
        </w:rPr>
        <w:tab/>
        <w:t xml:space="preserve">W. Niu, Z. Li, K. Marcus, L. Zhou, Y. Li, R. Ye, K. Liang, Y. Yang,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1701642.</w:t>
      </w:r>
    </w:p>
    <w:p w14:paraId="2A42F11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[183] </w:t>
      </w:r>
      <w:r w:rsidRPr="003E0254">
        <w:rPr>
          <w:rFonts w:ascii="Aptos" w:hAnsi="Aptos" w:cs="Times New Roman"/>
          <w:noProof/>
          <w:lang w:val="de-DE"/>
        </w:rPr>
        <w:tab/>
        <w:t xml:space="preserve">Z. Li, W. Niu, Z. Yang, N. Zaman, W. Samarakoon, M. Wang, A. Kara, M. Lucero, M. V. Vyas, H. Cao, H. Zhou, G. E. Sterbinsky, Z. Feng, Y. Du, Y. Yang, </w:t>
      </w:r>
      <w:r w:rsidRPr="003E0254">
        <w:rPr>
          <w:rFonts w:ascii="Aptos" w:hAnsi="Aptos" w:cs="Times New Roman"/>
          <w:i/>
          <w:iCs/>
          <w:noProof/>
          <w:lang w:val="de-DE"/>
        </w:rPr>
        <w:t xml:space="preserve">Energy Environ. </w:t>
      </w:r>
      <w:r w:rsidRPr="003E0254">
        <w:rPr>
          <w:rFonts w:ascii="Aptos" w:hAnsi="Aptos" w:cs="Times New Roman"/>
          <w:i/>
          <w:iCs/>
          <w:noProof/>
        </w:rPr>
        <w:t>Sci.</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13</w:t>
      </w:r>
      <w:r w:rsidRPr="003E0254">
        <w:rPr>
          <w:rFonts w:ascii="Aptos" w:hAnsi="Aptos" w:cs="Times New Roman"/>
          <w:noProof/>
        </w:rPr>
        <w:t>, 884.</w:t>
      </w:r>
    </w:p>
    <w:p w14:paraId="652707D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[184] </w:t>
      </w:r>
      <w:r w:rsidRPr="003E0254">
        <w:rPr>
          <w:rFonts w:ascii="Aptos" w:hAnsi="Aptos" w:cs="Times New Roman"/>
          <w:noProof/>
        </w:rPr>
        <w:tab/>
        <w:t xml:space="preserve">S. M. Lee, Y. J. Kim, S. W. Eom, N. S. Choi, K. W. Kim, S. B. Cho,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2013</w:t>
      </w:r>
      <w:r w:rsidRPr="003E0254">
        <w:rPr>
          <w:rFonts w:ascii="Aptos" w:hAnsi="Aptos" w:cs="Times New Roman"/>
          <w:noProof/>
        </w:rPr>
        <w:t xml:space="preserve">, </w:t>
      </w:r>
      <w:r w:rsidRPr="003E0254">
        <w:rPr>
          <w:rFonts w:ascii="Aptos" w:hAnsi="Aptos" w:cs="Times New Roman"/>
          <w:i/>
          <w:iCs/>
          <w:noProof/>
        </w:rPr>
        <w:t>227</w:t>
      </w:r>
      <w:r w:rsidRPr="003E0254">
        <w:rPr>
          <w:rFonts w:ascii="Aptos" w:hAnsi="Aptos" w:cs="Times New Roman"/>
          <w:noProof/>
        </w:rPr>
        <w:t>, 177.</w:t>
      </w:r>
    </w:p>
    <w:p w14:paraId="2564CE2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pl-PL"/>
        </w:rPr>
        <w:t xml:space="preserve">[185] </w:t>
      </w:r>
      <w:r w:rsidRPr="003E0254">
        <w:rPr>
          <w:rFonts w:ascii="Aptos" w:hAnsi="Aptos" w:cs="Times New Roman"/>
          <w:noProof/>
          <w:lang w:val="pl-PL"/>
        </w:rPr>
        <w:tab/>
        <w:t xml:space="preserve">E. O. Aremu, D. J. Park, K. S. Ryu, </w:t>
      </w:r>
      <w:r w:rsidRPr="003E0254">
        <w:rPr>
          <w:rFonts w:ascii="Aptos" w:hAnsi="Aptos" w:cs="Times New Roman"/>
          <w:i/>
          <w:iCs/>
          <w:noProof/>
          <w:lang w:val="pl-PL"/>
        </w:rPr>
        <w:t>Ionics (Kiel).</w:t>
      </w:r>
      <w:r w:rsidRPr="003E0254">
        <w:rPr>
          <w:rFonts w:ascii="Aptos" w:hAnsi="Aptos" w:cs="Times New Roman"/>
          <w:noProof/>
          <w:lang w:val="pl-PL"/>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25</w:t>
      </w:r>
      <w:r w:rsidRPr="003E0254">
        <w:rPr>
          <w:rFonts w:ascii="Aptos" w:hAnsi="Aptos" w:cs="Times New Roman"/>
          <w:noProof/>
          <w:lang w:val="de-DE"/>
        </w:rPr>
        <w:t>, 4197.</w:t>
      </w:r>
    </w:p>
    <w:p w14:paraId="27464C9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[186] </w:t>
      </w:r>
      <w:r w:rsidRPr="003E0254">
        <w:rPr>
          <w:rFonts w:ascii="Aptos" w:hAnsi="Aptos" w:cs="Times New Roman"/>
          <w:noProof/>
          <w:lang w:val="de-DE"/>
        </w:rPr>
        <w:tab/>
        <w:t xml:space="preserve">C. Zhang, J. M. Wang, L. Zhang, J. Q. Zhang, C. N. Cao, </w:t>
      </w:r>
      <w:r w:rsidRPr="003E0254">
        <w:rPr>
          <w:rFonts w:ascii="Aptos" w:hAnsi="Aptos" w:cs="Times New Roman"/>
          <w:i/>
          <w:iCs/>
          <w:noProof/>
          <w:lang w:val="de-DE"/>
        </w:rPr>
        <w:t xml:space="preserve">J. Appl. </w:t>
      </w:r>
      <w:r w:rsidRPr="003E0254">
        <w:rPr>
          <w:rFonts w:ascii="Aptos" w:hAnsi="Aptos" w:cs="Times New Roman"/>
          <w:i/>
          <w:iCs/>
          <w:noProof/>
        </w:rPr>
        <w:t>Electrochem.</w:t>
      </w:r>
      <w:r w:rsidRPr="003E0254">
        <w:rPr>
          <w:rFonts w:ascii="Aptos" w:hAnsi="Aptos" w:cs="Times New Roman"/>
          <w:noProof/>
        </w:rPr>
        <w:t xml:space="preserve"> </w:t>
      </w:r>
      <w:r w:rsidRPr="003E0254">
        <w:rPr>
          <w:rFonts w:ascii="Aptos" w:hAnsi="Aptos" w:cs="Times New Roman"/>
          <w:b/>
          <w:bCs/>
          <w:noProof/>
        </w:rPr>
        <w:t>2001</w:t>
      </w:r>
      <w:r w:rsidRPr="003E0254">
        <w:rPr>
          <w:rFonts w:ascii="Aptos" w:hAnsi="Aptos" w:cs="Times New Roman"/>
          <w:noProof/>
        </w:rPr>
        <w:t xml:space="preserve">, </w:t>
      </w:r>
      <w:r w:rsidRPr="003E0254">
        <w:rPr>
          <w:rFonts w:ascii="Aptos" w:hAnsi="Aptos" w:cs="Times New Roman"/>
          <w:i/>
          <w:iCs/>
          <w:noProof/>
        </w:rPr>
        <w:t>31</w:t>
      </w:r>
      <w:r w:rsidRPr="003E0254">
        <w:rPr>
          <w:rFonts w:ascii="Aptos" w:hAnsi="Aptos" w:cs="Times New Roman"/>
          <w:noProof/>
        </w:rPr>
        <w:t>, 1049.</w:t>
      </w:r>
    </w:p>
    <w:p w14:paraId="4EF6330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[187] </w:t>
      </w:r>
      <w:r w:rsidRPr="003E0254">
        <w:rPr>
          <w:rFonts w:ascii="Aptos" w:hAnsi="Aptos" w:cs="Times New Roman"/>
          <w:noProof/>
        </w:rPr>
        <w:tab/>
        <w:t xml:space="preserve">Z. Cui, G. Fu, Y. Li, J. B. Goodenough, </w:t>
      </w:r>
      <w:r w:rsidRPr="003E0254">
        <w:rPr>
          <w:rFonts w:ascii="Aptos" w:hAnsi="Aptos" w:cs="Times New Roman"/>
          <w:i/>
          <w:iCs/>
          <w:noProof/>
        </w:rPr>
        <w:t xml:space="preserve">Angew. </w:t>
      </w:r>
      <w:r w:rsidRPr="003E0254">
        <w:rPr>
          <w:rFonts w:ascii="Aptos" w:hAnsi="Aptos" w:cs="Times New Roman"/>
          <w:i/>
          <w:iCs/>
          <w:noProof/>
          <w:lang w:val="de-DE"/>
        </w:rPr>
        <w:t>Chemie Int. Ed.</w:t>
      </w:r>
      <w:r w:rsidRPr="003E0254">
        <w:rPr>
          <w:rFonts w:ascii="Aptos" w:hAnsi="Aptos" w:cs="Times New Roman"/>
          <w:noProof/>
          <w:lang w:val="de-DE"/>
        </w:rPr>
        <w:t xml:space="preserve"> </w:t>
      </w:r>
      <w:r w:rsidRPr="003E0254">
        <w:rPr>
          <w:rFonts w:ascii="Aptos" w:hAnsi="Aptos" w:cs="Times New Roman"/>
          <w:b/>
          <w:bCs/>
          <w:noProof/>
          <w:lang w:val="de-DE"/>
        </w:rPr>
        <w:t>2017</w:t>
      </w:r>
      <w:r w:rsidRPr="003E0254">
        <w:rPr>
          <w:rFonts w:ascii="Aptos" w:hAnsi="Aptos" w:cs="Times New Roman"/>
          <w:noProof/>
          <w:lang w:val="de-DE"/>
        </w:rPr>
        <w:t xml:space="preserve">, </w:t>
      </w:r>
      <w:r w:rsidRPr="003E0254">
        <w:rPr>
          <w:rFonts w:ascii="Aptos" w:hAnsi="Aptos" w:cs="Times New Roman"/>
          <w:i/>
          <w:iCs/>
          <w:noProof/>
          <w:lang w:val="de-DE"/>
        </w:rPr>
        <w:t>56</w:t>
      </w:r>
      <w:r w:rsidRPr="003E0254">
        <w:rPr>
          <w:rFonts w:ascii="Aptos" w:hAnsi="Aptos" w:cs="Times New Roman"/>
          <w:noProof/>
          <w:lang w:val="de-DE"/>
        </w:rPr>
        <w:t>, 9901.</w:t>
      </w:r>
    </w:p>
    <w:p w14:paraId="5611318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[188] </w:t>
      </w:r>
      <w:r w:rsidRPr="003E0254">
        <w:rPr>
          <w:rFonts w:ascii="Aptos" w:hAnsi="Aptos" w:cs="Times New Roman"/>
          <w:noProof/>
          <w:lang w:val="de-DE"/>
        </w:rPr>
        <w:tab/>
        <w:t xml:space="preserve">Q. Lu, X. Zou, Y. Bu, Y. Wang, Z. Shao,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lang w:val="de-DE"/>
        </w:rPr>
        <w:t>2024</w:t>
      </w:r>
      <w:r w:rsidRPr="003E0254">
        <w:rPr>
          <w:rFonts w:ascii="Aptos" w:hAnsi="Aptos" w:cs="Times New Roman"/>
          <w:noProof/>
          <w:lang w:val="de-DE"/>
        </w:rPr>
        <w:t xml:space="preserve">, </w:t>
      </w:r>
      <w:r w:rsidRPr="003E0254">
        <w:rPr>
          <w:rFonts w:ascii="Aptos" w:hAnsi="Aptos" w:cs="Times New Roman"/>
          <w:i/>
          <w:iCs/>
          <w:noProof/>
          <w:lang w:val="de-DE"/>
        </w:rPr>
        <w:t>68</w:t>
      </w:r>
      <w:r w:rsidRPr="003E0254">
        <w:rPr>
          <w:rFonts w:ascii="Aptos" w:hAnsi="Aptos" w:cs="Times New Roman"/>
          <w:noProof/>
          <w:lang w:val="de-DE"/>
        </w:rPr>
        <w:t>, 103341.</w:t>
      </w:r>
    </w:p>
    <w:p w14:paraId="6CA687B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[189] </w:t>
      </w:r>
      <w:r w:rsidRPr="003E0254">
        <w:rPr>
          <w:rFonts w:ascii="Aptos" w:hAnsi="Aptos" w:cs="Times New Roman"/>
          <w:noProof/>
          <w:lang w:val="de-DE"/>
        </w:rPr>
        <w:tab/>
        <w:t xml:space="preserve">D. Zhao, Y. Zhu, Q. Wu, W. Zhou, J. Dan, H. Zhu, W. Lei, L. J. Ma, L. Li, </w:t>
      </w:r>
      <w:r w:rsidRPr="003E0254">
        <w:rPr>
          <w:rFonts w:ascii="Aptos" w:hAnsi="Aptos" w:cs="Times New Roman"/>
          <w:i/>
          <w:iCs/>
          <w:noProof/>
          <w:lang w:val="de-DE"/>
        </w:rPr>
        <w:t>Chem. Eng. J.</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430</w:t>
      </w:r>
      <w:r w:rsidRPr="003E0254">
        <w:rPr>
          <w:rFonts w:ascii="Aptos" w:hAnsi="Aptos" w:cs="Times New Roman"/>
          <w:noProof/>
          <w:lang w:val="de-DE"/>
        </w:rPr>
        <w:t>, 132825.</w:t>
      </w:r>
    </w:p>
    <w:p w14:paraId="4BB0AE9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[190] </w:t>
      </w:r>
      <w:r w:rsidRPr="003E0254">
        <w:rPr>
          <w:rFonts w:ascii="Aptos" w:hAnsi="Aptos" w:cs="Times New Roman"/>
          <w:noProof/>
          <w:lang w:val="de-DE"/>
        </w:rPr>
        <w:tab/>
        <w:t xml:space="preserve">X. Wang, Z. Liao, Y. Fu, C. Neumann, A. Turchanin, G. Nam, E. Zschech, J. Cho, J. Zhang, X. Feng,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26</w:t>
      </w:r>
      <w:r w:rsidRPr="003E0254">
        <w:rPr>
          <w:rFonts w:ascii="Aptos" w:hAnsi="Aptos" w:cs="Times New Roman"/>
          <w:noProof/>
        </w:rPr>
        <w:t>, 157.</w:t>
      </w:r>
    </w:p>
    <w:p w14:paraId="5426216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[191] </w:t>
      </w:r>
      <w:r w:rsidRPr="003E0254">
        <w:rPr>
          <w:rFonts w:ascii="Aptos" w:hAnsi="Aptos" w:cs="Times New Roman"/>
          <w:noProof/>
        </w:rPr>
        <w:tab/>
        <w:t xml:space="preserve">G. Zhang, J. Xing, Y. Zhao, F. Yang, </w:t>
      </w:r>
      <w:r w:rsidRPr="003E0254">
        <w:rPr>
          <w:rFonts w:ascii="Aptos" w:hAnsi="Aptos" w:cs="Times New Roman"/>
          <w:i/>
          <w:iCs/>
          <w:noProof/>
        </w:rPr>
        <w:t>J. Colloid Interface Sci.</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590</w:t>
      </w:r>
      <w:r w:rsidRPr="003E0254">
        <w:rPr>
          <w:rFonts w:ascii="Aptos" w:hAnsi="Aptos" w:cs="Times New Roman"/>
          <w:noProof/>
        </w:rPr>
        <w:t>, 476.</w:t>
      </w:r>
    </w:p>
    <w:p w14:paraId="55DD659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[192] </w:t>
      </w:r>
      <w:r w:rsidRPr="003E0254">
        <w:rPr>
          <w:rFonts w:ascii="Aptos" w:hAnsi="Aptos" w:cs="Times New Roman"/>
          <w:noProof/>
        </w:rPr>
        <w:tab/>
        <w:t xml:space="preserve">R. Jain, T. C. Adler, F. R. McLarnon, E. J. Cairns, </w:t>
      </w:r>
      <w:r w:rsidRPr="003E0254">
        <w:rPr>
          <w:rFonts w:ascii="Aptos" w:hAnsi="Aptos" w:cs="Times New Roman"/>
          <w:i/>
          <w:iCs/>
          <w:noProof/>
        </w:rPr>
        <w:t>J. Appl. Electrochem.</w:t>
      </w:r>
      <w:r w:rsidRPr="003E0254">
        <w:rPr>
          <w:rFonts w:ascii="Aptos" w:hAnsi="Aptos" w:cs="Times New Roman"/>
          <w:noProof/>
        </w:rPr>
        <w:t xml:space="preserve"> </w:t>
      </w:r>
      <w:r w:rsidRPr="003E0254">
        <w:rPr>
          <w:rFonts w:ascii="Aptos" w:hAnsi="Aptos" w:cs="Times New Roman"/>
          <w:b/>
          <w:bCs/>
          <w:noProof/>
        </w:rPr>
        <w:t>1992</w:t>
      </w:r>
      <w:r w:rsidRPr="003E0254">
        <w:rPr>
          <w:rFonts w:ascii="Aptos" w:hAnsi="Aptos" w:cs="Times New Roman"/>
          <w:noProof/>
        </w:rPr>
        <w:t xml:space="preserve">, </w:t>
      </w:r>
      <w:r w:rsidRPr="003E0254">
        <w:rPr>
          <w:rFonts w:ascii="Aptos" w:hAnsi="Aptos" w:cs="Times New Roman"/>
          <w:i/>
          <w:iCs/>
          <w:noProof/>
        </w:rPr>
        <w:t>22</w:t>
      </w:r>
      <w:r w:rsidRPr="003E0254">
        <w:rPr>
          <w:rFonts w:ascii="Aptos" w:hAnsi="Aptos" w:cs="Times New Roman"/>
          <w:noProof/>
        </w:rPr>
        <w:t>, 1039.</w:t>
      </w:r>
    </w:p>
    <w:p w14:paraId="298FD3A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[193] </w:t>
      </w:r>
      <w:r w:rsidRPr="003E0254">
        <w:rPr>
          <w:rFonts w:ascii="Aptos" w:hAnsi="Aptos" w:cs="Times New Roman"/>
          <w:noProof/>
        </w:rPr>
        <w:tab/>
        <w:t xml:space="preserve">R. Shivkumar, G. Paruthimal Kalaignan, T. Vasudevan,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1995</w:t>
      </w:r>
      <w:r w:rsidRPr="003E0254">
        <w:rPr>
          <w:rFonts w:ascii="Aptos" w:hAnsi="Aptos" w:cs="Times New Roman"/>
          <w:noProof/>
        </w:rPr>
        <w:t xml:space="preserve">, </w:t>
      </w:r>
      <w:r w:rsidRPr="003E0254">
        <w:rPr>
          <w:rFonts w:ascii="Aptos" w:hAnsi="Aptos" w:cs="Times New Roman"/>
          <w:i/>
          <w:iCs/>
          <w:noProof/>
        </w:rPr>
        <w:t>55</w:t>
      </w:r>
      <w:r w:rsidRPr="003E0254">
        <w:rPr>
          <w:rFonts w:ascii="Aptos" w:hAnsi="Aptos" w:cs="Times New Roman"/>
          <w:noProof/>
        </w:rPr>
        <w:t>, 53.</w:t>
      </w:r>
    </w:p>
    <w:p w14:paraId="0DB8BB6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[194] </w:t>
      </w:r>
      <w:r w:rsidRPr="003E0254">
        <w:rPr>
          <w:rFonts w:ascii="Aptos" w:hAnsi="Aptos" w:cs="Times New Roman"/>
          <w:noProof/>
        </w:rPr>
        <w:tab/>
        <w:t xml:space="preserve">J. S. Ko, A. B. Geltmacher, B. J. Hopkins, D. R. Rolison, J. W. Long, J. F. Parker, </w:t>
      </w:r>
      <w:r w:rsidRPr="003E0254">
        <w:rPr>
          <w:rFonts w:ascii="Aptos" w:hAnsi="Aptos" w:cs="Times New Roman"/>
          <w:i/>
          <w:iCs/>
          <w:noProof/>
        </w:rPr>
        <w:t>ACS Appl. Energy Mater.</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2</w:t>
      </w:r>
      <w:r w:rsidRPr="003E0254">
        <w:rPr>
          <w:rFonts w:ascii="Aptos" w:hAnsi="Aptos" w:cs="Times New Roman"/>
          <w:noProof/>
        </w:rPr>
        <w:t>, 212.</w:t>
      </w:r>
    </w:p>
    <w:p w14:paraId="02F9A48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[195] </w:t>
      </w:r>
      <w:r w:rsidRPr="003E0254">
        <w:rPr>
          <w:rFonts w:ascii="Aptos" w:hAnsi="Aptos" w:cs="Times New Roman"/>
          <w:noProof/>
        </w:rPr>
        <w:tab/>
        <w:t xml:space="preserve">J. Zhang, X. L. Li, S. Fan, S. Huang, D. Yan, L. Liu, P. Valdivia y Alvarado, H. Y. Yang, </w:t>
      </w:r>
      <w:r w:rsidRPr="003E0254">
        <w:rPr>
          <w:rFonts w:ascii="Aptos" w:hAnsi="Aptos" w:cs="Times New Roman"/>
          <w:i/>
          <w:iCs/>
          <w:noProof/>
        </w:rPr>
        <w:t>Mater. Today Energy</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16</w:t>
      </w:r>
      <w:r w:rsidRPr="003E0254">
        <w:rPr>
          <w:rFonts w:ascii="Aptos" w:hAnsi="Aptos" w:cs="Times New Roman"/>
          <w:noProof/>
        </w:rPr>
        <w:t>, 100407.</w:t>
      </w:r>
    </w:p>
    <w:p w14:paraId="3E288CA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[196] </w:t>
      </w:r>
      <w:r w:rsidRPr="003E0254">
        <w:rPr>
          <w:rFonts w:ascii="Aptos" w:hAnsi="Aptos" w:cs="Times New Roman"/>
          <w:noProof/>
        </w:rPr>
        <w:tab/>
        <w:t xml:space="preserve">Z. Yan, E. Wang, L. Jiang, G. Sun, </w:t>
      </w:r>
      <w:r w:rsidRPr="003E0254">
        <w:rPr>
          <w:rFonts w:ascii="Aptos" w:hAnsi="Aptos" w:cs="Times New Roman"/>
          <w:i/>
          <w:iCs/>
          <w:noProof/>
        </w:rPr>
        <w:t>RSC Adv.</w:t>
      </w:r>
      <w:r w:rsidRPr="003E0254">
        <w:rPr>
          <w:rFonts w:ascii="Aptos" w:hAnsi="Aptos" w:cs="Times New Roman"/>
          <w:noProof/>
        </w:rPr>
        <w:t xml:space="preserve"> </w:t>
      </w:r>
      <w:r w:rsidRPr="003E0254">
        <w:rPr>
          <w:rFonts w:ascii="Aptos" w:hAnsi="Aptos" w:cs="Times New Roman"/>
          <w:b/>
          <w:bCs/>
          <w:noProof/>
        </w:rPr>
        <w:t>2015</w:t>
      </w:r>
      <w:r w:rsidRPr="003E0254">
        <w:rPr>
          <w:rFonts w:ascii="Aptos" w:hAnsi="Aptos" w:cs="Times New Roman"/>
          <w:noProof/>
        </w:rPr>
        <w:t xml:space="preserve">, </w:t>
      </w:r>
      <w:r w:rsidRPr="003E0254">
        <w:rPr>
          <w:rFonts w:ascii="Aptos" w:hAnsi="Aptos" w:cs="Times New Roman"/>
          <w:i/>
          <w:iCs/>
          <w:noProof/>
        </w:rPr>
        <w:t>5</w:t>
      </w:r>
      <w:r w:rsidRPr="003E0254">
        <w:rPr>
          <w:rFonts w:ascii="Aptos" w:hAnsi="Aptos" w:cs="Times New Roman"/>
          <w:noProof/>
        </w:rPr>
        <w:t>, 83781.</w:t>
      </w:r>
    </w:p>
    <w:p w14:paraId="34A9C24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[197] </w:t>
      </w:r>
      <w:r w:rsidRPr="003E0254">
        <w:rPr>
          <w:rFonts w:ascii="Aptos" w:hAnsi="Aptos" w:cs="Times New Roman"/>
          <w:noProof/>
        </w:rPr>
        <w:tab/>
        <w:t xml:space="preserve">X. Zhong, Y. Shao, B. Chen, C. Li, J. Sheng, X. Xiao, B. Xu, J. Li, H. M. Cheng, G. Zhou, </w:t>
      </w:r>
      <w:r w:rsidRPr="003E0254">
        <w:rPr>
          <w:rFonts w:ascii="Aptos" w:hAnsi="Aptos" w:cs="Times New Roman"/>
          <w:i/>
          <w:iCs/>
          <w:noProof/>
        </w:rPr>
        <w:t>Adv. Mater.</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35</w:t>
      </w:r>
      <w:r w:rsidRPr="003E0254">
        <w:rPr>
          <w:rFonts w:ascii="Aptos" w:hAnsi="Aptos" w:cs="Times New Roman"/>
          <w:noProof/>
        </w:rPr>
        <w:t>, 2301952.</w:t>
      </w:r>
    </w:p>
    <w:p w14:paraId="6F902C0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[198] </w:t>
      </w:r>
      <w:r w:rsidRPr="003E0254">
        <w:rPr>
          <w:rFonts w:ascii="Aptos" w:hAnsi="Aptos" w:cs="Times New Roman"/>
          <w:noProof/>
        </w:rPr>
        <w:tab/>
        <w:t xml:space="preserve">M. N. Masri, A. A. Mohamad, </w:t>
      </w:r>
      <w:r w:rsidRPr="003E0254">
        <w:rPr>
          <w:rFonts w:ascii="Aptos" w:hAnsi="Aptos" w:cs="Times New Roman"/>
          <w:i/>
          <w:iCs/>
          <w:noProof/>
        </w:rPr>
        <w:t>J. Electrochem. Soc.</w:t>
      </w:r>
      <w:r w:rsidRPr="003E0254">
        <w:rPr>
          <w:rFonts w:ascii="Aptos" w:hAnsi="Aptos" w:cs="Times New Roman"/>
          <w:noProof/>
        </w:rPr>
        <w:t xml:space="preserve"> </w:t>
      </w:r>
      <w:r w:rsidRPr="003E0254">
        <w:rPr>
          <w:rFonts w:ascii="Aptos" w:hAnsi="Aptos" w:cs="Times New Roman"/>
          <w:b/>
          <w:bCs/>
          <w:noProof/>
        </w:rPr>
        <w:t>2013</w:t>
      </w:r>
      <w:r w:rsidRPr="003E0254">
        <w:rPr>
          <w:rFonts w:ascii="Aptos" w:hAnsi="Aptos" w:cs="Times New Roman"/>
          <w:noProof/>
        </w:rPr>
        <w:t xml:space="preserve">, </w:t>
      </w:r>
      <w:r w:rsidRPr="003E0254">
        <w:rPr>
          <w:rFonts w:ascii="Aptos" w:hAnsi="Aptos" w:cs="Times New Roman"/>
          <w:i/>
          <w:iCs/>
          <w:noProof/>
        </w:rPr>
        <w:t>160</w:t>
      </w:r>
      <w:r w:rsidRPr="003E0254">
        <w:rPr>
          <w:rFonts w:ascii="Aptos" w:hAnsi="Aptos" w:cs="Times New Roman"/>
          <w:noProof/>
        </w:rPr>
        <w:t>, A715.</w:t>
      </w:r>
    </w:p>
    <w:p w14:paraId="08F63F3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[199] </w:t>
      </w:r>
      <w:r w:rsidRPr="003E0254">
        <w:rPr>
          <w:rFonts w:ascii="Aptos" w:hAnsi="Aptos" w:cs="Times New Roman"/>
          <w:noProof/>
        </w:rPr>
        <w:tab/>
        <w:t xml:space="preserve">S. Zeng, X. Tong, S. Zhou, B. Lv, J. Qiao, Y. Song, M. Chen, J. Di, Q. Li, S. Zeng, X. Tong, S. Zhou, B. Lv, J. Qiao, Y. Song, M. Chen, J. Di, Q. Li, </w:t>
      </w:r>
      <w:r w:rsidRPr="003E0254">
        <w:rPr>
          <w:rFonts w:ascii="Aptos" w:hAnsi="Aptos" w:cs="Times New Roman"/>
          <w:i/>
          <w:iCs/>
          <w:noProof/>
        </w:rPr>
        <w:t>Small</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14</w:t>
      </w:r>
      <w:r w:rsidRPr="003E0254">
        <w:rPr>
          <w:rFonts w:ascii="Aptos" w:hAnsi="Aptos" w:cs="Times New Roman"/>
          <w:noProof/>
        </w:rPr>
        <w:t>, 1803409.</w:t>
      </w:r>
    </w:p>
    <w:p w14:paraId="69E41B3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[200] </w:t>
      </w:r>
      <w:r w:rsidRPr="003E0254">
        <w:rPr>
          <w:rFonts w:ascii="Aptos" w:hAnsi="Aptos" w:cs="Times New Roman"/>
          <w:noProof/>
        </w:rPr>
        <w:tab/>
        <w:t xml:space="preserve">D. E. Turney, J. W. Gallaway, G. G. Yadav, R. Ramirez, M. Nyce, S. Banerjee, Y. C. K. Chen-Wiegart, J. Wang, M. J. D’Ambrose, S. Kolhekar, J. Huang, X. Wei, </w:t>
      </w:r>
      <w:r w:rsidRPr="003E0254">
        <w:rPr>
          <w:rFonts w:ascii="Aptos" w:hAnsi="Aptos" w:cs="Times New Roman"/>
          <w:i/>
          <w:iCs/>
          <w:noProof/>
        </w:rPr>
        <w:t>Chem. Mater.</w:t>
      </w:r>
      <w:r w:rsidRPr="003E0254">
        <w:rPr>
          <w:rFonts w:ascii="Aptos" w:hAnsi="Aptos" w:cs="Times New Roman"/>
          <w:noProof/>
        </w:rPr>
        <w:t xml:space="preserve"> </w:t>
      </w:r>
      <w:r w:rsidRPr="003E0254">
        <w:rPr>
          <w:rFonts w:ascii="Aptos" w:hAnsi="Aptos" w:cs="Times New Roman"/>
          <w:b/>
          <w:bCs/>
          <w:noProof/>
        </w:rPr>
        <w:t>2017</w:t>
      </w:r>
      <w:r w:rsidRPr="003E0254">
        <w:rPr>
          <w:rFonts w:ascii="Aptos" w:hAnsi="Aptos" w:cs="Times New Roman"/>
          <w:noProof/>
        </w:rPr>
        <w:t xml:space="preserve">, </w:t>
      </w:r>
      <w:r w:rsidRPr="003E0254">
        <w:rPr>
          <w:rFonts w:ascii="Aptos" w:hAnsi="Aptos" w:cs="Times New Roman"/>
          <w:i/>
          <w:iCs/>
          <w:noProof/>
        </w:rPr>
        <w:t>29</w:t>
      </w:r>
      <w:r w:rsidRPr="003E0254">
        <w:rPr>
          <w:rFonts w:ascii="Aptos" w:hAnsi="Aptos" w:cs="Times New Roman"/>
          <w:noProof/>
        </w:rPr>
        <w:t>, 4819.</w:t>
      </w:r>
    </w:p>
    <w:p w14:paraId="6EF3E41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[201] </w:t>
      </w:r>
      <w:r w:rsidRPr="003E0254">
        <w:rPr>
          <w:rFonts w:ascii="Aptos" w:hAnsi="Aptos" w:cs="Times New Roman"/>
          <w:noProof/>
        </w:rPr>
        <w:tab/>
        <w:t xml:space="preserve">L. Wang, Z. Yang, X. Chen, H. Qin, P. Yan,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396</w:t>
      </w:r>
      <w:r w:rsidRPr="003E0254">
        <w:rPr>
          <w:rFonts w:ascii="Aptos" w:hAnsi="Aptos" w:cs="Times New Roman"/>
          <w:noProof/>
        </w:rPr>
        <w:t>, 615.</w:t>
      </w:r>
    </w:p>
    <w:p w14:paraId="1D82368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[202] </w:t>
      </w:r>
      <w:r w:rsidRPr="003E0254">
        <w:rPr>
          <w:rFonts w:ascii="Aptos" w:hAnsi="Aptos" w:cs="Times New Roman"/>
          <w:noProof/>
        </w:rPr>
        <w:tab/>
        <w:t xml:space="preserve">J. Fu, J. Zhang, X. Song, H. Zarrin, X. Tian, J. Qiao, L. Rasen, K. Li, Z. Chen, </w:t>
      </w:r>
      <w:r w:rsidRPr="003E0254">
        <w:rPr>
          <w:rFonts w:ascii="Aptos" w:hAnsi="Aptos" w:cs="Times New Roman"/>
          <w:i/>
          <w:iCs/>
          <w:noProof/>
        </w:rPr>
        <w:t xml:space="preserve">Energy Environ. </w:t>
      </w:r>
      <w:r w:rsidRPr="003E0254">
        <w:rPr>
          <w:rFonts w:ascii="Aptos" w:hAnsi="Aptos" w:cs="Times New Roman"/>
          <w:i/>
          <w:iCs/>
          <w:noProof/>
          <w:lang w:val="de-DE"/>
        </w:rPr>
        <w:t>Sci.</w:t>
      </w:r>
      <w:r w:rsidRPr="003E0254">
        <w:rPr>
          <w:rFonts w:ascii="Aptos" w:hAnsi="Aptos" w:cs="Times New Roman"/>
          <w:noProof/>
          <w:lang w:val="de-DE"/>
        </w:rPr>
        <w:t xml:space="preserve"> </w:t>
      </w:r>
      <w:r w:rsidRPr="003E0254">
        <w:rPr>
          <w:rFonts w:ascii="Aptos" w:hAnsi="Aptos" w:cs="Times New Roman"/>
          <w:b/>
          <w:bCs/>
          <w:noProof/>
          <w:lang w:val="de-DE"/>
        </w:rPr>
        <w:t>2016</w:t>
      </w:r>
      <w:r w:rsidRPr="003E0254">
        <w:rPr>
          <w:rFonts w:ascii="Aptos" w:hAnsi="Aptos" w:cs="Times New Roman"/>
          <w:noProof/>
          <w:lang w:val="de-DE"/>
        </w:rPr>
        <w:t xml:space="preserve">, </w:t>
      </w:r>
      <w:r w:rsidRPr="003E0254">
        <w:rPr>
          <w:rFonts w:ascii="Aptos" w:hAnsi="Aptos" w:cs="Times New Roman"/>
          <w:i/>
          <w:iCs/>
          <w:noProof/>
          <w:lang w:val="de-DE"/>
        </w:rPr>
        <w:t>9</w:t>
      </w:r>
      <w:r w:rsidRPr="003E0254">
        <w:rPr>
          <w:rFonts w:ascii="Aptos" w:hAnsi="Aptos" w:cs="Times New Roman"/>
          <w:noProof/>
          <w:lang w:val="de-DE"/>
        </w:rPr>
        <w:t>, 663.</w:t>
      </w:r>
    </w:p>
    <w:p w14:paraId="2772896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[203] </w:t>
      </w:r>
      <w:r w:rsidRPr="003E0254">
        <w:rPr>
          <w:rFonts w:ascii="Aptos" w:hAnsi="Aptos" w:cs="Times New Roman"/>
          <w:noProof/>
          <w:lang w:val="de-DE"/>
        </w:rPr>
        <w:tab/>
        <w:t xml:space="preserve">T. Wang, Z. Kou, S. Mu, J. Liu, D. He, I. S. Amiinu, W. Meng, K. Zhou, Z. Luo, S. Chaemchuen, F. Verpoort, </w:t>
      </w:r>
      <w:r w:rsidRPr="003E0254">
        <w:rPr>
          <w:rFonts w:ascii="Aptos" w:hAnsi="Aptos" w:cs="Times New Roman"/>
          <w:i/>
          <w:iCs/>
          <w:noProof/>
          <w:lang w:val="de-DE"/>
        </w:rPr>
        <w:t xml:space="preserve">Adv. </w:t>
      </w:r>
      <w:r w:rsidRPr="003E0254">
        <w:rPr>
          <w:rFonts w:ascii="Aptos" w:hAnsi="Aptos" w:cs="Times New Roman"/>
          <w:i/>
          <w:iCs/>
          <w:noProof/>
        </w:rPr>
        <w:t>Funct. Mater.</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28</w:t>
      </w:r>
      <w:r w:rsidRPr="003E0254">
        <w:rPr>
          <w:rFonts w:ascii="Aptos" w:hAnsi="Aptos" w:cs="Times New Roman"/>
          <w:noProof/>
        </w:rPr>
        <w:t>, 1705048.</w:t>
      </w:r>
    </w:p>
    <w:p w14:paraId="700CE16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[204] </w:t>
      </w:r>
      <w:r w:rsidRPr="003E0254">
        <w:rPr>
          <w:rFonts w:ascii="Aptos" w:hAnsi="Aptos" w:cs="Times New Roman"/>
          <w:noProof/>
        </w:rPr>
        <w:tab/>
        <w:t xml:space="preserve">P. Cai, S. Ci, E. Zhang, P. Shao, C. Cao, Z. Wen, </w:t>
      </w:r>
      <w:r w:rsidRPr="003E0254">
        <w:rPr>
          <w:rFonts w:ascii="Aptos" w:hAnsi="Aptos" w:cs="Times New Roman"/>
          <w:i/>
          <w:iCs/>
          <w:noProof/>
        </w:rPr>
        <w:t>Electrochim. Acta</w:t>
      </w:r>
      <w:r w:rsidRPr="003E0254">
        <w:rPr>
          <w:rFonts w:ascii="Aptos" w:hAnsi="Aptos" w:cs="Times New Roman"/>
          <w:noProof/>
        </w:rPr>
        <w:t xml:space="preserve"> </w:t>
      </w:r>
      <w:r w:rsidRPr="003E0254">
        <w:rPr>
          <w:rFonts w:ascii="Aptos" w:hAnsi="Aptos" w:cs="Times New Roman"/>
          <w:b/>
          <w:bCs/>
          <w:noProof/>
        </w:rPr>
        <w:t>2016</w:t>
      </w:r>
      <w:r w:rsidRPr="003E0254">
        <w:rPr>
          <w:rFonts w:ascii="Aptos" w:hAnsi="Aptos" w:cs="Times New Roman"/>
          <w:noProof/>
        </w:rPr>
        <w:t xml:space="preserve">, </w:t>
      </w:r>
      <w:r w:rsidRPr="003E0254">
        <w:rPr>
          <w:rFonts w:ascii="Aptos" w:hAnsi="Aptos" w:cs="Times New Roman"/>
          <w:i/>
          <w:iCs/>
          <w:noProof/>
        </w:rPr>
        <w:t>220</w:t>
      </w:r>
      <w:r w:rsidRPr="003E0254">
        <w:rPr>
          <w:rFonts w:ascii="Aptos" w:hAnsi="Aptos" w:cs="Times New Roman"/>
          <w:noProof/>
        </w:rPr>
        <w:t>, 354.</w:t>
      </w:r>
    </w:p>
    <w:p w14:paraId="3930B2E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[205] </w:t>
      </w:r>
      <w:r w:rsidRPr="003E0254">
        <w:rPr>
          <w:rFonts w:ascii="Aptos" w:hAnsi="Aptos" w:cs="Times New Roman"/>
          <w:noProof/>
        </w:rPr>
        <w:tab/>
        <w:t xml:space="preserve">J. L. Zhu, Y. H. Zhou, C. Q. Gao,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1998</w:t>
      </w:r>
      <w:r w:rsidRPr="003E0254">
        <w:rPr>
          <w:rFonts w:ascii="Aptos" w:hAnsi="Aptos" w:cs="Times New Roman"/>
          <w:noProof/>
        </w:rPr>
        <w:t xml:space="preserve">, </w:t>
      </w:r>
      <w:r w:rsidRPr="003E0254">
        <w:rPr>
          <w:rFonts w:ascii="Aptos" w:hAnsi="Aptos" w:cs="Times New Roman"/>
          <w:i/>
          <w:iCs/>
          <w:noProof/>
        </w:rPr>
        <w:t>72</w:t>
      </w:r>
      <w:r w:rsidRPr="003E0254">
        <w:rPr>
          <w:rFonts w:ascii="Aptos" w:hAnsi="Aptos" w:cs="Times New Roman"/>
          <w:noProof/>
        </w:rPr>
        <w:t>, 231.</w:t>
      </w:r>
    </w:p>
    <w:p w14:paraId="1C4BB9C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[206] </w:t>
      </w:r>
      <w:r w:rsidRPr="003E0254">
        <w:rPr>
          <w:rFonts w:ascii="Aptos" w:hAnsi="Aptos" w:cs="Times New Roman"/>
          <w:noProof/>
        </w:rPr>
        <w:tab/>
        <w:t xml:space="preserve">Y. Ein-Eli, M. Auinat, D. Starosvetsky,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2003</w:t>
      </w:r>
      <w:r w:rsidRPr="003E0254">
        <w:rPr>
          <w:rFonts w:ascii="Aptos" w:hAnsi="Aptos" w:cs="Times New Roman"/>
          <w:noProof/>
        </w:rPr>
        <w:t xml:space="preserve">, </w:t>
      </w:r>
      <w:r w:rsidRPr="003E0254">
        <w:rPr>
          <w:rFonts w:ascii="Aptos" w:hAnsi="Aptos" w:cs="Times New Roman"/>
          <w:i/>
          <w:iCs/>
          <w:noProof/>
        </w:rPr>
        <w:t>114</w:t>
      </w:r>
      <w:r w:rsidRPr="003E0254">
        <w:rPr>
          <w:rFonts w:ascii="Aptos" w:hAnsi="Aptos" w:cs="Times New Roman"/>
          <w:noProof/>
        </w:rPr>
        <w:t>, 330.</w:t>
      </w:r>
    </w:p>
    <w:p w14:paraId="202214A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[207] </w:t>
      </w:r>
      <w:r w:rsidRPr="003E0254">
        <w:rPr>
          <w:rFonts w:ascii="Aptos" w:hAnsi="Aptos" w:cs="Times New Roman"/>
          <w:noProof/>
        </w:rPr>
        <w:tab/>
        <w:t xml:space="preserve">J. Yi, P. Liang, X. Liu, K. Wu, Y. Liu, Y. Wang, Y. Xia, J. Zhang, </w:t>
      </w:r>
      <w:r w:rsidRPr="003E0254">
        <w:rPr>
          <w:rFonts w:ascii="Aptos" w:hAnsi="Aptos" w:cs="Times New Roman"/>
          <w:i/>
          <w:iCs/>
          <w:noProof/>
        </w:rPr>
        <w:t>Energy Environ. Sci.</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11</w:t>
      </w:r>
      <w:r w:rsidRPr="003E0254">
        <w:rPr>
          <w:rFonts w:ascii="Aptos" w:hAnsi="Aptos" w:cs="Times New Roman"/>
          <w:noProof/>
        </w:rPr>
        <w:t>, 3075.</w:t>
      </w:r>
    </w:p>
    <w:p w14:paraId="567F27F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[208] </w:t>
      </w:r>
      <w:r w:rsidRPr="003E0254">
        <w:rPr>
          <w:rFonts w:ascii="Aptos" w:hAnsi="Aptos" w:cs="Times New Roman"/>
          <w:noProof/>
        </w:rPr>
        <w:tab/>
        <w:t xml:space="preserve">C. W. Lee, K. Sathiyanarayanan, S. W. Eom, M. S. Yun,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2006</w:t>
      </w:r>
      <w:r w:rsidRPr="003E0254">
        <w:rPr>
          <w:rFonts w:ascii="Aptos" w:hAnsi="Aptos" w:cs="Times New Roman"/>
          <w:noProof/>
        </w:rPr>
        <w:t xml:space="preserve">, </w:t>
      </w:r>
      <w:r w:rsidRPr="003E0254">
        <w:rPr>
          <w:rFonts w:ascii="Aptos" w:hAnsi="Aptos" w:cs="Times New Roman"/>
          <w:i/>
          <w:iCs/>
          <w:noProof/>
        </w:rPr>
        <w:t>160</w:t>
      </w:r>
      <w:r w:rsidRPr="003E0254">
        <w:rPr>
          <w:rFonts w:ascii="Aptos" w:hAnsi="Aptos" w:cs="Times New Roman"/>
          <w:noProof/>
        </w:rPr>
        <w:t>, 1436.</w:t>
      </w:r>
    </w:p>
    <w:p w14:paraId="672C9AF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[209] </w:t>
      </w:r>
      <w:r w:rsidRPr="003E0254">
        <w:rPr>
          <w:rFonts w:ascii="Aptos" w:hAnsi="Aptos" w:cs="Times New Roman"/>
          <w:noProof/>
        </w:rPr>
        <w:tab/>
        <w:t xml:space="preserve">L. Kang, M. Cui, F. Jiang, Y. Gao, H. Luo, J. Liu, W. Liang, C. Zhi, </w:t>
      </w:r>
      <w:r w:rsidRPr="003E0254">
        <w:rPr>
          <w:rFonts w:ascii="Aptos" w:hAnsi="Aptos" w:cs="Times New Roman"/>
          <w:i/>
          <w:iCs/>
          <w:noProof/>
        </w:rPr>
        <w:t>Adv. Energy Mater.</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1801090.</w:t>
      </w:r>
    </w:p>
    <w:p w14:paraId="354137E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[210] </w:t>
      </w:r>
      <w:r w:rsidRPr="003E0254">
        <w:rPr>
          <w:rFonts w:ascii="Aptos" w:hAnsi="Aptos" w:cs="Times New Roman"/>
          <w:noProof/>
        </w:rPr>
        <w:tab/>
        <w:t xml:space="preserve">X. Feng, Q. Jiao, W. Chen, Y. Dang, Z. Dai, S. L. Suib, J. Zhang, Y. Zhao, H. Li, C. Feng, </w:t>
      </w:r>
      <w:r w:rsidRPr="003E0254">
        <w:rPr>
          <w:rFonts w:ascii="Aptos" w:hAnsi="Aptos" w:cs="Times New Roman"/>
          <w:i/>
          <w:iCs/>
          <w:noProof/>
        </w:rPr>
        <w:t>Appl. Catal. B Environ.</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286</w:t>
      </w:r>
      <w:r w:rsidRPr="003E0254">
        <w:rPr>
          <w:rFonts w:ascii="Aptos" w:hAnsi="Aptos" w:cs="Times New Roman"/>
          <w:noProof/>
        </w:rPr>
        <w:t>, 119869.</w:t>
      </w:r>
    </w:p>
    <w:p w14:paraId="220AEB7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[211] </w:t>
      </w:r>
      <w:r w:rsidRPr="003E0254">
        <w:rPr>
          <w:rFonts w:ascii="Aptos" w:hAnsi="Aptos" w:cs="Times New Roman"/>
          <w:noProof/>
        </w:rPr>
        <w:tab/>
        <w:t xml:space="preserve">T. Liu, F. Yang, G. Cheng, W. Luo, T. Liu, F. Yang, G. Cheng, W. Luo, </w:t>
      </w:r>
      <w:r w:rsidRPr="003E0254">
        <w:rPr>
          <w:rFonts w:ascii="Aptos" w:hAnsi="Aptos" w:cs="Times New Roman"/>
          <w:i/>
          <w:iCs/>
          <w:noProof/>
        </w:rPr>
        <w:t>Small</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14</w:t>
      </w:r>
      <w:r w:rsidRPr="003E0254">
        <w:rPr>
          <w:rFonts w:ascii="Aptos" w:hAnsi="Aptos" w:cs="Times New Roman"/>
          <w:noProof/>
        </w:rPr>
        <w:t>, 1703748.</w:t>
      </w:r>
    </w:p>
    <w:p w14:paraId="17F81DC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[212] </w:t>
      </w:r>
      <w:r w:rsidRPr="003E0254">
        <w:rPr>
          <w:rFonts w:ascii="Aptos" w:hAnsi="Aptos" w:cs="Times New Roman"/>
          <w:noProof/>
          <w:lang w:val="de-DE"/>
        </w:rPr>
        <w:tab/>
        <w:t xml:space="preserve">L. Guo, J. Deng, G. Wang, Y. Hao, K. Bi, X. Wang, Y. Yang, </w:t>
      </w:r>
      <w:r w:rsidRPr="003E0254">
        <w:rPr>
          <w:rFonts w:ascii="Aptos" w:hAnsi="Aptos" w:cs="Times New Roman"/>
          <w:i/>
          <w:iCs/>
          <w:noProof/>
          <w:lang w:val="de-DE"/>
        </w:rPr>
        <w:t xml:space="preserve">Adv. </w:t>
      </w:r>
      <w:r w:rsidRPr="003E0254">
        <w:rPr>
          <w:rFonts w:ascii="Aptos" w:hAnsi="Aptos" w:cs="Times New Roman"/>
          <w:i/>
          <w:iCs/>
          <w:noProof/>
        </w:rPr>
        <w:t>Funct. Mater.</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28</w:t>
      </w:r>
      <w:r w:rsidRPr="003E0254">
        <w:rPr>
          <w:rFonts w:ascii="Aptos" w:hAnsi="Aptos" w:cs="Times New Roman"/>
          <w:noProof/>
        </w:rPr>
        <w:t>, 1804540.</w:t>
      </w:r>
    </w:p>
    <w:p w14:paraId="249C3F0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[213] </w:t>
      </w:r>
      <w:r w:rsidRPr="003E0254">
        <w:rPr>
          <w:rFonts w:ascii="Aptos" w:hAnsi="Aptos" w:cs="Times New Roman"/>
          <w:noProof/>
        </w:rPr>
        <w:tab/>
        <w:t xml:space="preserve">E. García-Gaitán, M. C. Morant-Miñana, D. Frattini, L. Maddalena, A. Fina, C. Gerbaldi, I. Cantero, N. Ortiz-Vitoriano, </w:t>
      </w:r>
      <w:r w:rsidRPr="003E0254">
        <w:rPr>
          <w:rFonts w:ascii="Aptos" w:hAnsi="Aptos" w:cs="Times New Roman"/>
          <w:i/>
          <w:iCs/>
          <w:noProof/>
        </w:rPr>
        <w:t>Chem. Eng. J.</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472</w:t>
      </w:r>
      <w:r w:rsidRPr="003E0254">
        <w:rPr>
          <w:rFonts w:ascii="Aptos" w:hAnsi="Aptos" w:cs="Times New Roman"/>
          <w:noProof/>
        </w:rPr>
        <w:t>, 144870.</w:t>
      </w:r>
    </w:p>
    <w:p w14:paraId="192BC00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[214] </w:t>
      </w:r>
      <w:r w:rsidRPr="003E0254">
        <w:rPr>
          <w:rFonts w:ascii="Aptos" w:hAnsi="Aptos" w:cs="Times New Roman"/>
          <w:noProof/>
        </w:rPr>
        <w:tab/>
        <w:t xml:space="preserve">N. Zhao, F. Wu, Y. Xing, W. Qu, N. Chen, Y. Shang, M. Yan, Y. Li, L. Li, R. Chen, </w:t>
      </w:r>
      <w:r w:rsidRPr="003E0254">
        <w:rPr>
          <w:rFonts w:ascii="Aptos" w:hAnsi="Aptos" w:cs="Times New Roman"/>
          <w:i/>
          <w:iCs/>
          <w:noProof/>
        </w:rPr>
        <w:t>ACS Appl. Mater. Interfaces</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11</w:t>
      </w:r>
      <w:r w:rsidRPr="003E0254">
        <w:rPr>
          <w:rFonts w:ascii="Aptos" w:hAnsi="Aptos" w:cs="Times New Roman"/>
          <w:noProof/>
        </w:rPr>
        <w:t>, 15537.</w:t>
      </w:r>
    </w:p>
    <w:p w14:paraId="3E735C8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[215] </w:t>
      </w:r>
      <w:r w:rsidRPr="003E0254">
        <w:rPr>
          <w:rFonts w:ascii="Aptos" w:hAnsi="Aptos" w:cs="Times New Roman"/>
          <w:noProof/>
        </w:rPr>
        <w:tab/>
        <w:t xml:space="preserve">Y. Zuo, K. Wang, M. Wei, S. Zhao, P. Zhang, P. Pei, </w:t>
      </w:r>
      <w:r w:rsidRPr="003E0254">
        <w:rPr>
          <w:rFonts w:ascii="Aptos" w:hAnsi="Aptos" w:cs="Times New Roman"/>
          <w:i/>
          <w:iCs/>
          <w:noProof/>
        </w:rPr>
        <w:t>Cell Reports Phys. Sci.</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3</w:t>
      </w:r>
      <w:r w:rsidRPr="003E0254">
        <w:rPr>
          <w:rFonts w:ascii="Aptos" w:hAnsi="Aptos" w:cs="Times New Roman"/>
          <w:noProof/>
        </w:rPr>
        <w:t>, 100687.</w:t>
      </w:r>
    </w:p>
    <w:p w14:paraId="6AB1B4E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[216] </w:t>
      </w:r>
      <w:r w:rsidRPr="003E0254">
        <w:rPr>
          <w:rFonts w:ascii="Aptos" w:hAnsi="Aptos" w:cs="Times New Roman"/>
          <w:noProof/>
        </w:rPr>
        <w:tab/>
        <w:t xml:space="preserve">D. Lee, H. W. Kim, J. M. Kim, K. H. Kim, S. Y. Lee, </w:t>
      </w:r>
      <w:r w:rsidRPr="003E0254">
        <w:rPr>
          <w:rFonts w:ascii="Aptos" w:hAnsi="Aptos" w:cs="Times New Roman"/>
          <w:i/>
          <w:iCs/>
          <w:noProof/>
        </w:rPr>
        <w:t>ACS Appl. Mater. Interfaces</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10</w:t>
      </w:r>
      <w:r w:rsidRPr="003E0254">
        <w:rPr>
          <w:rFonts w:ascii="Aptos" w:hAnsi="Aptos" w:cs="Times New Roman"/>
          <w:noProof/>
        </w:rPr>
        <w:t>, 22210.</w:t>
      </w:r>
    </w:p>
    <w:p w14:paraId="3E75160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[217] </w:t>
      </w:r>
      <w:r w:rsidRPr="003E0254">
        <w:rPr>
          <w:rFonts w:ascii="Aptos" w:hAnsi="Aptos" w:cs="Times New Roman"/>
          <w:noProof/>
        </w:rPr>
        <w:tab/>
        <w:t xml:space="preserve">F. W. Thomas Goh, Z. Liu, T. S. A. Hor, J. Zhang, X. Ge, Y. Zong, A. Yu, W. Khoo, </w:t>
      </w:r>
      <w:r w:rsidRPr="003E0254">
        <w:rPr>
          <w:rFonts w:ascii="Aptos" w:hAnsi="Aptos" w:cs="Times New Roman"/>
          <w:i/>
          <w:iCs/>
          <w:noProof/>
        </w:rPr>
        <w:t>J. Electrochem. Soc.</w:t>
      </w:r>
      <w:r w:rsidRPr="003E0254">
        <w:rPr>
          <w:rFonts w:ascii="Aptos" w:hAnsi="Aptos" w:cs="Times New Roman"/>
          <w:noProof/>
        </w:rPr>
        <w:t xml:space="preserve"> </w:t>
      </w:r>
      <w:r w:rsidRPr="003E0254">
        <w:rPr>
          <w:rFonts w:ascii="Aptos" w:hAnsi="Aptos" w:cs="Times New Roman"/>
          <w:b/>
          <w:bCs/>
          <w:noProof/>
        </w:rPr>
        <w:t>2014</w:t>
      </w:r>
      <w:r w:rsidRPr="003E0254">
        <w:rPr>
          <w:rFonts w:ascii="Aptos" w:hAnsi="Aptos" w:cs="Times New Roman"/>
          <w:noProof/>
        </w:rPr>
        <w:t xml:space="preserve">, </w:t>
      </w:r>
      <w:r w:rsidRPr="003E0254">
        <w:rPr>
          <w:rFonts w:ascii="Aptos" w:hAnsi="Aptos" w:cs="Times New Roman"/>
          <w:i/>
          <w:iCs/>
          <w:noProof/>
        </w:rPr>
        <w:t>161</w:t>
      </w:r>
      <w:r w:rsidRPr="003E0254">
        <w:rPr>
          <w:rFonts w:ascii="Aptos" w:hAnsi="Aptos" w:cs="Times New Roman"/>
          <w:noProof/>
        </w:rPr>
        <w:t>, A2080.</w:t>
      </w:r>
    </w:p>
    <w:p w14:paraId="2CDAA87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[218] </w:t>
      </w:r>
      <w:r w:rsidRPr="003E0254">
        <w:rPr>
          <w:rFonts w:ascii="Aptos" w:hAnsi="Aptos" w:cs="Times New Roman"/>
          <w:noProof/>
        </w:rPr>
        <w:tab/>
        <w:t xml:space="preserve">S. Clark, A. R. Mainar, E. Iruin, L. C. Colmenares, J. A. Blázquez, J. R. Tolchard, A. Latz, B. Horstmann, </w:t>
      </w:r>
      <w:r w:rsidRPr="003E0254">
        <w:rPr>
          <w:rFonts w:ascii="Aptos" w:hAnsi="Aptos" w:cs="Times New Roman"/>
          <w:i/>
          <w:iCs/>
          <w:noProof/>
        </w:rPr>
        <w:t xml:space="preserve">J. Mater. </w:t>
      </w:r>
      <w:r w:rsidRPr="003E0254">
        <w:rPr>
          <w:rFonts w:ascii="Aptos" w:hAnsi="Aptos" w:cs="Times New Roman"/>
          <w:i/>
          <w:iCs/>
          <w:noProof/>
          <w:lang w:val="de-DE"/>
        </w:rPr>
        <w:t>Chem. A</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7</w:t>
      </w:r>
      <w:r w:rsidRPr="003E0254">
        <w:rPr>
          <w:rFonts w:ascii="Aptos" w:hAnsi="Aptos" w:cs="Times New Roman"/>
          <w:noProof/>
          <w:lang w:val="de-DE"/>
        </w:rPr>
        <w:t>, 11387.</w:t>
      </w:r>
    </w:p>
    <w:p w14:paraId="5B7CBCB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[219] </w:t>
      </w:r>
      <w:r w:rsidRPr="003E0254">
        <w:rPr>
          <w:rFonts w:ascii="Aptos" w:hAnsi="Aptos" w:cs="Times New Roman"/>
          <w:noProof/>
          <w:lang w:val="de-DE"/>
        </w:rPr>
        <w:tab/>
        <w:t xml:space="preserve">C. Wang, J. Li, Z. Zhou, Y. Pan, Z. Yu, Z. Pei, S. Zhao, L. Wei, Y. Chen, </w:t>
      </w:r>
      <w:r w:rsidRPr="003E0254">
        <w:rPr>
          <w:rFonts w:ascii="Aptos" w:hAnsi="Aptos" w:cs="Times New Roman"/>
          <w:i/>
          <w:iCs/>
          <w:noProof/>
          <w:lang w:val="de-DE"/>
        </w:rPr>
        <w:t>EnergyChem</w:t>
      </w:r>
      <w:r w:rsidRPr="003E0254">
        <w:rPr>
          <w:rFonts w:ascii="Aptos" w:hAnsi="Aptos" w:cs="Times New Roman"/>
          <w:noProof/>
          <w:lang w:val="de-DE"/>
        </w:rPr>
        <w:t xml:space="preserve"> </w:t>
      </w:r>
      <w:r w:rsidRPr="003E0254">
        <w:rPr>
          <w:rFonts w:ascii="Aptos" w:hAnsi="Aptos" w:cs="Times New Roman"/>
          <w:b/>
          <w:bCs/>
          <w:noProof/>
          <w:lang w:val="de-DE"/>
        </w:rPr>
        <w:t>2021</w:t>
      </w:r>
      <w:r w:rsidRPr="003E0254">
        <w:rPr>
          <w:rFonts w:ascii="Aptos" w:hAnsi="Aptos" w:cs="Times New Roman"/>
          <w:noProof/>
          <w:lang w:val="de-DE"/>
        </w:rPr>
        <w:t xml:space="preserve">, </w:t>
      </w:r>
      <w:r w:rsidRPr="003E0254">
        <w:rPr>
          <w:rFonts w:ascii="Aptos" w:hAnsi="Aptos" w:cs="Times New Roman"/>
          <w:i/>
          <w:iCs/>
          <w:noProof/>
          <w:lang w:val="de-DE"/>
        </w:rPr>
        <w:t>3</w:t>
      </w:r>
      <w:r w:rsidRPr="003E0254">
        <w:rPr>
          <w:rFonts w:ascii="Aptos" w:hAnsi="Aptos" w:cs="Times New Roman"/>
          <w:noProof/>
          <w:lang w:val="de-DE"/>
        </w:rPr>
        <w:t>, 100055.</w:t>
      </w:r>
    </w:p>
    <w:p w14:paraId="5B614F4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[220] </w:t>
      </w:r>
      <w:r w:rsidRPr="003E0254">
        <w:rPr>
          <w:rFonts w:ascii="Aptos" w:hAnsi="Aptos" w:cs="Times New Roman"/>
          <w:noProof/>
          <w:lang w:val="de-DE"/>
        </w:rPr>
        <w:tab/>
        <w:t xml:space="preserve">Y. E. Durmus, S. S. Montiel Guerrero, H. Tempel, F. Hausen, H. Kungl, R.-A. Eichel, </w:t>
      </w:r>
      <w:r w:rsidRPr="003E0254">
        <w:rPr>
          <w:rFonts w:ascii="Aptos" w:hAnsi="Aptos" w:cs="Times New Roman"/>
          <w:i/>
          <w:iCs/>
          <w:noProof/>
          <w:lang w:val="de-DE"/>
        </w:rPr>
        <w:t xml:space="preserve">Front. </w:t>
      </w:r>
      <w:r w:rsidRPr="003E0254">
        <w:rPr>
          <w:rFonts w:ascii="Aptos" w:hAnsi="Aptos" w:cs="Times New Roman"/>
          <w:i/>
          <w:iCs/>
          <w:noProof/>
        </w:rPr>
        <w:t>Chem.</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7</w:t>
      </w:r>
      <w:r w:rsidRPr="003E0254">
        <w:rPr>
          <w:rFonts w:ascii="Aptos" w:hAnsi="Aptos" w:cs="Times New Roman"/>
          <w:noProof/>
        </w:rPr>
        <w:t>.</w:t>
      </w:r>
    </w:p>
    <w:p w14:paraId="3F2B9F4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[221] </w:t>
      </w:r>
      <w:r w:rsidRPr="003E0254">
        <w:rPr>
          <w:rFonts w:ascii="Aptos" w:hAnsi="Aptos" w:cs="Times New Roman"/>
          <w:noProof/>
        </w:rPr>
        <w:tab/>
        <w:t xml:space="preserve">S. Clark, A. R. Mainar, E. Iruin, L. C. Colmenares, J. A. Blázquez, J. R. Tolchard, Z. Jusys, B. Horstmann, </w:t>
      </w:r>
      <w:r w:rsidRPr="003E0254">
        <w:rPr>
          <w:rFonts w:ascii="Aptos" w:hAnsi="Aptos" w:cs="Times New Roman"/>
          <w:i/>
          <w:iCs/>
          <w:noProof/>
        </w:rPr>
        <w:t>Adv. Energy Mater.</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10</w:t>
      </w:r>
      <w:r w:rsidRPr="003E0254">
        <w:rPr>
          <w:rFonts w:ascii="Aptos" w:hAnsi="Aptos" w:cs="Times New Roman"/>
          <w:noProof/>
        </w:rPr>
        <w:t>, 1903470.</w:t>
      </w:r>
    </w:p>
    <w:p w14:paraId="078B298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[222] </w:t>
      </w:r>
      <w:r w:rsidRPr="003E0254">
        <w:rPr>
          <w:rFonts w:ascii="Aptos" w:hAnsi="Aptos" w:cs="Times New Roman"/>
          <w:noProof/>
        </w:rPr>
        <w:tab/>
        <w:t xml:space="preserve">A. R. Mainar, L. C. Colmenares, J. A. Blázquez, I. Urdampilleta, </w:t>
      </w:r>
      <w:r w:rsidRPr="003E0254">
        <w:rPr>
          <w:rFonts w:ascii="Aptos" w:hAnsi="Aptos" w:cs="Times New Roman"/>
          <w:i/>
          <w:iCs/>
          <w:noProof/>
        </w:rPr>
        <w:t>Int. J. Energy Res.</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42</w:t>
      </w:r>
      <w:r w:rsidRPr="003E0254">
        <w:rPr>
          <w:rFonts w:ascii="Aptos" w:hAnsi="Aptos" w:cs="Times New Roman"/>
          <w:noProof/>
        </w:rPr>
        <w:t>, 903.</w:t>
      </w:r>
    </w:p>
    <w:p w14:paraId="00C4469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[223] </w:t>
      </w:r>
      <w:r w:rsidRPr="003E0254">
        <w:rPr>
          <w:rFonts w:ascii="Aptos" w:hAnsi="Aptos" w:cs="Times New Roman"/>
          <w:noProof/>
          <w:lang w:val="de-DE"/>
        </w:rPr>
        <w:tab/>
        <w:t xml:space="preserve">W. Sun, F. Wang, B. Zhang, M. Zhang, V. Küpers, X. Ji, C. Theile, P. Bieker, K. Xu, C. Wang, M. Winter, </w:t>
      </w:r>
      <w:r w:rsidRPr="003E0254">
        <w:rPr>
          <w:rFonts w:ascii="Aptos" w:hAnsi="Aptos" w:cs="Times New Roman"/>
          <w:i/>
          <w:iCs/>
          <w:noProof/>
          <w:lang w:val="de-DE"/>
        </w:rPr>
        <w:t>Science (80-. ).</w:t>
      </w:r>
      <w:r w:rsidRPr="003E0254">
        <w:rPr>
          <w:rFonts w:ascii="Aptos" w:hAnsi="Aptos" w:cs="Times New Roman"/>
          <w:noProof/>
          <w:lang w:val="de-DE"/>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371</w:t>
      </w:r>
      <w:r w:rsidRPr="003E0254">
        <w:rPr>
          <w:rFonts w:ascii="Aptos" w:hAnsi="Aptos" w:cs="Times New Roman"/>
          <w:noProof/>
        </w:rPr>
        <w:t>, 46.</w:t>
      </w:r>
    </w:p>
    <w:p w14:paraId="04D47A4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[224] </w:t>
      </w:r>
      <w:r w:rsidRPr="003E0254">
        <w:rPr>
          <w:rFonts w:ascii="Aptos" w:hAnsi="Aptos" w:cs="Times New Roman"/>
          <w:noProof/>
        </w:rPr>
        <w:tab/>
        <w:t xml:space="preserve">A. A. Mohamad,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2006</w:t>
      </w:r>
      <w:r w:rsidRPr="003E0254">
        <w:rPr>
          <w:rFonts w:ascii="Aptos" w:hAnsi="Aptos" w:cs="Times New Roman"/>
          <w:noProof/>
        </w:rPr>
        <w:t xml:space="preserve">, </w:t>
      </w:r>
      <w:r w:rsidRPr="003E0254">
        <w:rPr>
          <w:rFonts w:ascii="Aptos" w:hAnsi="Aptos" w:cs="Times New Roman"/>
          <w:i/>
          <w:iCs/>
          <w:noProof/>
        </w:rPr>
        <w:t>159</w:t>
      </w:r>
      <w:r w:rsidRPr="003E0254">
        <w:rPr>
          <w:rFonts w:ascii="Aptos" w:hAnsi="Aptos" w:cs="Times New Roman"/>
          <w:noProof/>
        </w:rPr>
        <w:t>, 752.</w:t>
      </w:r>
    </w:p>
    <w:p w14:paraId="6662C4F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[225] </w:t>
      </w:r>
      <w:r w:rsidRPr="003E0254">
        <w:rPr>
          <w:rFonts w:ascii="Aptos" w:hAnsi="Aptos" w:cs="Times New Roman"/>
          <w:noProof/>
        </w:rPr>
        <w:tab/>
        <w:t xml:space="preserve">Y. Wei, Y. Shi, Y. Chen, C. Xiao, S. Ding, </w:t>
      </w:r>
      <w:r w:rsidRPr="003E0254">
        <w:rPr>
          <w:rFonts w:ascii="Aptos" w:hAnsi="Aptos" w:cs="Times New Roman"/>
          <w:i/>
          <w:iCs/>
          <w:noProof/>
        </w:rPr>
        <w:t>J. Mater. Chem. A</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4415.</w:t>
      </w:r>
    </w:p>
    <w:p w14:paraId="762B034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[226] </w:t>
      </w:r>
      <w:r w:rsidRPr="003E0254">
        <w:rPr>
          <w:rFonts w:ascii="Aptos" w:hAnsi="Aptos" w:cs="Times New Roman"/>
          <w:noProof/>
        </w:rPr>
        <w:tab/>
        <w:t xml:space="preserve">H. Miao, B. Chen, S. Li, X. Wu, Q. Wang, C. Zhang, Z. Sun, H. Li,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450</w:t>
      </w:r>
      <w:r w:rsidRPr="003E0254">
        <w:rPr>
          <w:rFonts w:ascii="Aptos" w:hAnsi="Aptos" w:cs="Times New Roman"/>
          <w:noProof/>
        </w:rPr>
        <w:t>, 227653.</w:t>
      </w:r>
    </w:p>
    <w:p w14:paraId="6B2A1A6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[227] </w:t>
      </w:r>
      <w:r w:rsidRPr="003E0254">
        <w:rPr>
          <w:rFonts w:ascii="Aptos" w:hAnsi="Aptos" w:cs="Times New Roman"/>
          <w:noProof/>
        </w:rPr>
        <w:tab/>
        <w:t xml:space="preserve">T. N. T. Tran, H. J. Chung, D. G. Ivey, </w:t>
      </w:r>
      <w:r w:rsidRPr="003E0254">
        <w:rPr>
          <w:rFonts w:ascii="Aptos" w:hAnsi="Aptos" w:cs="Times New Roman"/>
          <w:i/>
          <w:iCs/>
          <w:noProof/>
        </w:rPr>
        <w:t xml:space="preserve">Electrochim. </w:t>
      </w:r>
      <w:r w:rsidRPr="003E0254">
        <w:rPr>
          <w:rFonts w:ascii="Aptos" w:hAnsi="Aptos" w:cs="Times New Roman"/>
          <w:i/>
          <w:iCs/>
          <w:noProof/>
          <w:lang w:val="de-DE"/>
        </w:rPr>
        <w:t>Acta</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327</w:t>
      </w:r>
      <w:r w:rsidRPr="003E0254">
        <w:rPr>
          <w:rFonts w:ascii="Aptos" w:hAnsi="Aptos" w:cs="Times New Roman"/>
          <w:noProof/>
          <w:lang w:val="de-DE"/>
        </w:rPr>
        <w:t>, 135021.</w:t>
      </w:r>
    </w:p>
    <w:p w14:paraId="4942D5A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[228] </w:t>
      </w:r>
      <w:r w:rsidRPr="003E0254">
        <w:rPr>
          <w:rFonts w:ascii="Aptos" w:hAnsi="Aptos" w:cs="Times New Roman"/>
          <w:noProof/>
          <w:lang w:val="de-DE"/>
        </w:rPr>
        <w:tab/>
        <w:t xml:space="preserve">Y. Zuo, K. Wang, M. Wei, P. Zhang, S. Zhao, P. Pei, H. Wang, Z. Chen, N. Shang, </w:t>
      </w:r>
      <w:r w:rsidRPr="003E0254">
        <w:rPr>
          <w:rFonts w:ascii="Aptos" w:hAnsi="Aptos" w:cs="Times New Roman"/>
          <w:i/>
          <w:iCs/>
          <w:noProof/>
          <w:lang w:val="de-DE"/>
        </w:rPr>
        <w:t>Chem. Eng. J.</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452</w:t>
      </w:r>
      <w:r w:rsidRPr="003E0254">
        <w:rPr>
          <w:rFonts w:ascii="Aptos" w:hAnsi="Aptos" w:cs="Times New Roman"/>
          <w:noProof/>
          <w:lang w:val="de-DE"/>
        </w:rPr>
        <w:t>, 139301.</w:t>
      </w:r>
    </w:p>
    <w:p w14:paraId="240C30F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[229] </w:t>
      </w:r>
      <w:r w:rsidRPr="003E0254">
        <w:rPr>
          <w:rFonts w:ascii="Aptos" w:hAnsi="Aptos" w:cs="Times New Roman"/>
          <w:noProof/>
          <w:lang w:val="de-DE"/>
        </w:rPr>
        <w:tab/>
        <w:t xml:space="preserve">M. Bayer, G. M. Overhoff, A. L. Gui, M. Winter, P. Bieker, S. Schulze, </w:t>
      </w:r>
      <w:r w:rsidRPr="003E0254">
        <w:rPr>
          <w:rFonts w:ascii="Aptos" w:hAnsi="Aptos" w:cs="Times New Roman"/>
          <w:i/>
          <w:iCs/>
          <w:noProof/>
          <w:lang w:val="de-DE"/>
        </w:rPr>
        <w:t>J. Electrochem. Soc.</w:t>
      </w:r>
      <w:r w:rsidRPr="003E0254">
        <w:rPr>
          <w:rFonts w:ascii="Aptos" w:hAnsi="Aptos" w:cs="Times New Roman"/>
          <w:noProof/>
          <w:lang w:val="de-DE"/>
        </w:rPr>
        <w:t xml:space="preserve"> </w:t>
      </w:r>
      <w:r w:rsidRPr="003E0254">
        <w:rPr>
          <w:rFonts w:ascii="Aptos" w:hAnsi="Aptos" w:cs="Times New Roman"/>
          <w:b/>
          <w:bCs/>
          <w:noProof/>
          <w:lang w:val="de-DE"/>
        </w:rPr>
        <w:t>2019</w:t>
      </w:r>
      <w:r w:rsidRPr="003E0254">
        <w:rPr>
          <w:rFonts w:ascii="Aptos" w:hAnsi="Aptos" w:cs="Times New Roman"/>
          <w:noProof/>
          <w:lang w:val="de-DE"/>
        </w:rPr>
        <w:t xml:space="preserve">, </w:t>
      </w:r>
      <w:r w:rsidRPr="003E0254">
        <w:rPr>
          <w:rFonts w:ascii="Aptos" w:hAnsi="Aptos" w:cs="Times New Roman"/>
          <w:i/>
          <w:iCs/>
          <w:noProof/>
          <w:lang w:val="de-DE"/>
        </w:rPr>
        <w:t>166</w:t>
      </w:r>
      <w:r w:rsidRPr="003E0254">
        <w:rPr>
          <w:rFonts w:ascii="Aptos" w:hAnsi="Aptos" w:cs="Times New Roman"/>
          <w:noProof/>
          <w:lang w:val="de-DE"/>
        </w:rPr>
        <w:t>, A909.</w:t>
      </w:r>
    </w:p>
    <w:p w14:paraId="02BFCC9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[230] </w:t>
      </w:r>
      <w:r w:rsidRPr="003E0254">
        <w:rPr>
          <w:rFonts w:ascii="Aptos" w:hAnsi="Aptos" w:cs="Times New Roman"/>
          <w:noProof/>
          <w:lang w:val="de-DE"/>
        </w:rPr>
        <w:tab/>
        <w:t xml:space="preserve">M. Galiński, A. Lewandowski, I. Stepniak, </w:t>
      </w:r>
      <w:r w:rsidRPr="003E0254">
        <w:rPr>
          <w:rFonts w:ascii="Aptos" w:hAnsi="Aptos" w:cs="Times New Roman"/>
          <w:i/>
          <w:iCs/>
          <w:noProof/>
          <w:lang w:val="de-DE"/>
        </w:rPr>
        <w:t xml:space="preserve">Electrochim. </w:t>
      </w:r>
      <w:r w:rsidRPr="003E0254">
        <w:rPr>
          <w:rFonts w:ascii="Aptos" w:hAnsi="Aptos" w:cs="Times New Roman"/>
          <w:i/>
          <w:iCs/>
          <w:noProof/>
        </w:rPr>
        <w:t>Acta</w:t>
      </w:r>
      <w:r w:rsidRPr="003E0254">
        <w:rPr>
          <w:rFonts w:ascii="Aptos" w:hAnsi="Aptos" w:cs="Times New Roman"/>
          <w:noProof/>
        </w:rPr>
        <w:t xml:space="preserve"> </w:t>
      </w:r>
      <w:r w:rsidRPr="003E0254">
        <w:rPr>
          <w:rFonts w:ascii="Aptos" w:hAnsi="Aptos" w:cs="Times New Roman"/>
          <w:b/>
          <w:bCs/>
          <w:noProof/>
        </w:rPr>
        <w:t>2006</w:t>
      </w:r>
      <w:r w:rsidRPr="003E0254">
        <w:rPr>
          <w:rFonts w:ascii="Aptos" w:hAnsi="Aptos" w:cs="Times New Roman"/>
          <w:noProof/>
        </w:rPr>
        <w:t xml:space="preserve">, </w:t>
      </w:r>
      <w:r w:rsidRPr="003E0254">
        <w:rPr>
          <w:rFonts w:ascii="Aptos" w:hAnsi="Aptos" w:cs="Times New Roman"/>
          <w:i/>
          <w:iCs/>
          <w:noProof/>
        </w:rPr>
        <w:t>51</w:t>
      </w:r>
      <w:r w:rsidRPr="003E0254">
        <w:rPr>
          <w:rFonts w:ascii="Aptos" w:hAnsi="Aptos" w:cs="Times New Roman"/>
          <w:noProof/>
        </w:rPr>
        <w:t>, 5567.</w:t>
      </w:r>
    </w:p>
    <w:p w14:paraId="1317F08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[231] </w:t>
      </w:r>
      <w:r w:rsidRPr="003E0254">
        <w:rPr>
          <w:rFonts w:ascii="Aptos" w:hAnsi="Aptos" w:cs="Times New Roman"/>
          <w:noProof/>
        </w:rPr>
        <w:tab/>
        <w:t xml:space="preserve">T. J. Simons, A. A. J. Torriero, P. C. Howlett, D. R. MacFarlane, M. Forsyth, </w:t>
      </w:r>
      <w:r w:rsidRPr="003E0254">
        <w:rPr>
          <w:rFonts w:ascii="Aptos" w:hAnsi="Aptos" w:cs="Times New Roman"/>
          <w:i/>
          <w:iCs/>
          <w:noProof/>
        </w:rPr>
        <w:t>Electrochem. commun.</w:t>
      </w:r>
      <w:r w:rsidRPr="003E0254">
        <w:rPr>
          <w:rFonts w:ascii="Aptos" w:hAnsi="Aptos" w:cs="Times New Roman"/>
          <w:noProof/>
        </w:rPr>
        <w:t xml:space="preserve"> </w:t>
      </w:r>
      <w:r w:rsidRPr="003E0254">
        <w:rPr>
          <w:rFonts w:ascii="Aptos" w:hAnsi="Aptos" w:cs="Times New Roman"/>
          <w:b/>
          <w:bCs/>
          <w:noProof/>
        </w:rPr>
        <w:t>2012</w:t>
      </w:r>
      <w:r w:rsidRPr="003E0254">
        <w:rPr>
          <w:rFonts w:ascii="Aptos" w:hAnsi="Aptos" w:cs="Times New Roman"/>
          <w:noProof/>
        </w:rPr>
        <w:t xml:space="preserve">, </w:t>
      </w:r>
      <w:r w:rsidRPr="003E0254">
        <w:rPr>
          <w:rFonts w:ascii="Aptos" w:hAnsi="Aptos" w:cs="Times New Roman"/>
          <w:i/>
          <w:iCs/>
          <w:noProof/>
        </w:rPr>
        <w:t>18</w:t>
      </w:r>
      <w:r w:rsidRPr="003E0254">
        <w:rPr>
          <w:rFonts w:ascii="Aptos" w:hAnsi="Aptos" w:cs="Times New Roman"/>
          <w:noProof/>
        </w:rPr>
        <w:t>, 119.</w:t>
      </w:r>
    </w:p>
    <w:p w14:paraId="18725B3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[232] </w:t>
      </w:r>
      <w:r w:rsidRPr="003E0254">
        <w:rPr>
          <w:rFonts w:ascii="Aptos" w:hAnsi="Aptos" w:cs="Times New Roman"/>
          <w:noProof/>
        </w:rPr>
        <w:tab/>
        <w:t xml:space="preserve">M. Xu, D. G. Ivey, Z. Xie, W. Qu, </w:t>
      </w:r>
      <w:r w:rsidRPr="003E0254">
        <w:rPr>
          <w:rFonts w:ascii="Aptos" w:hAnsi="Aptos" w:cs="Times New Roman"/>
          <w:i/>
          <w:iCs/>
          <w:noProof/>
        </w:rPr>
        <w:t>Electrochim. Acta</w:t>
      </w:r>
      <w:r w:rsidRPr="003E0254">
        <w:rPr>
          <w:rFonts w:ascii="Aptos" w:hAnsi="Aptos" w:cs="Times New Roman"/>
          <w:noProof/>
        </w:rPr>
        <w:t xml:space="preserve"> </w:t>
      </w:r>
      <w:r w:rsidRPr="003E0254">
        <w:rPr>
          <w:rFonts w:ascii="Aptos" w:hAnsi="Aptos" w:cs="Times New Roman"/>
          <w:b/>
          <w:bCs/>
          <w:noProof/>
        </w:rPr>
        <w:t>2013</w:t>
      </w:r>
      <w:r w:rsidRPr="003E0254">
        <w:rPr>
          <w:rFonts w:ascii="Aptos" w:hAnsi="Aptos" w:cs="Times New Roman"/>
          <w:noProof/>
        </w:rPr>
        <w:t xml:space="preserve">, </w:t>
      </w:r>
      <w:r w:rsidRPr="003E0254">
        <w:rPr>
          <w:rFonts w:ascii="Aptos" w:hAnsi="Aptos" w:cs="Times New Roman"/>
          <w:i/>
          <w:iCs/>
          <w:noProof/>
        </w:rPr>
        <w:t>89</w:t>
      </w:r>
      <w:r w:rsidRPr="003E0254">
        <w:rPr>
          <w:rFonts w:ascii="Aptos" w:hAnsi="Aptos" w:cs="Times New Roman"/>
          <w:noProof/>
        </w:rPr>
        <w:t>, 756.</w:t>
      </w:r>
    </w:p>
    <w:p w14:paraId="7620EE2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[233] </w:t>
      </w:r>
      <w:r w:rsidRPr="003E0254">
        <w:rPr>
          <w:rFonts w:ascii="Aptos" w:hAnsi="Aptos" w:cs="Times New Roman"/>
          <w:noProof/>
        </w:rPr>
        <w:tab/>
        <w:t xml:space="preserve">T. I. Devyatkina, Y. L. Gun’ko, M. G. Mikhalenko, </w:t>
      </w:r>
      <w:r w:rsidRPr="003E0254">
        <w:rPr>
          <w:rFonts w:ascii="Aptos" w:hAnsi="Aptos" w:cs="Times New Roman"/>
          <w:i/>
          <w:iCs/>
          <w:noProof/>
        </w:rPr>
        <w:t xml:space="preserve">Russ. J. Appl. </w:t>
      </w:r>
      <w:r w:rsidRPr="003E0254">
        <w:rPr>
          <w:rFonts w:ascii="Aptos" w:hAnsi="Aptos" w:cs="Times New Roman"/>
          <w:i/>
          <w:iCs/>
          <w:noProof/>
          <w:lang w:val="de-DE"/>
        </w:rPr>
        <w:t>Chem.</w:t>
      </w:r>
      <w:r w:rsidRPr="003E0254">
        <w:rPr>
          <w:rFonts w:ascii="Aptos" w:hAnsi="Aptos" w:cs="Times New Roman"/>
          <w:noProof/>
          <w:lang w:val="de-DE"/>
        </w:rPr>
        <w:t xml:space="preserve"> </w:t>
      </w:r>
      <w:r w:rsidRPr="003E0254">
        <w:rPr>
          <w:rFonts w:ascii="Aptos" w:hAnsi="Aptos" w:cs="Times New Roman"/>
          <w:b/>
          <w:bCs/>
          <w:noProof/>
          <w:lang w:val="de-DE"/>
        </w:rPr>
        <w:t>2001</w:t>
      </w:r>
      <w:r w:rsidRPr="003E0254">
        <w:rPr>
          <w:rFonts w:ascii="Aptos" w:hAnsi="Aptos" w:cs="Times New Roman"/>
          <w:noProof/>
          <w:lang w:val="de-DE"/>
        </w:rPr>
        <w:t xml:space="preserve">, </w:t>
      </w:r>
      <w:r w:rsidRPr="003E0254">
        <w:rPr>
          <w:rFonts w:ascii="Aptos" w:hAnsi="Aptos" w:cs="Times New Roman"/>
          <w:i/>
          <w:iCs/>
          <w:noProof/>
          <w:lang w:val="de-DE"/>
        </w:rPr>
        <w:t>74</w:t>
      </w:r>
      <w:r w:rsidRPr="003E0254">
        <w:rPr>
          <w:rFonts w:ascii="Aptos" w:hAnsi="Aptos" w:cs="Times New Roman"/>
          <w:noProof/>
          <w:lang w:val="de-DE"/>
        </w:rPr>
        <w:t>, 1122.</w:t>
      </w:r>
    </w:p>
    <w:p w14:paraId="685CD3A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[234] </w:t>
      </w:r>
      <w:r w:rsidRPr="003E0254">
        <w:rPr>
          <w:rFonts w:ascii="Aptos" w:hAnsi="Aptos" w:cs="Times New Roman"/>
          <w:noProof/>
          <w:lang w:val="de-DE"/>
        </w:rPr>
        <w:tab/>
        <w:t xml:space="preserve">K. Dzięcioł, Y. E. Durmus, H. Tempel, H. Kungl, A. Bauer, R. A. Eichel, </w:t>
      </w:r>
      <w:r w:rsidRPr="003E0254">
        <w:rPr>
          <w:rFonts w:ascii="Aptos" w:hAnsi="Aptos" w:cs="Times New Roman"/>
          <w:i/>
          <w:iCs/>
          <w:noProof/>
          <w:lang w:val="de-DE"/>
        </w:rPr>
        <w:t>iScience</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26</w:t>
      </w:r>
      <w:r w:rsidRPr="003E0254">
        <w:rPr>
          <w:rFonts w:ascii="Aptos" w:hAnsi="Aptos" w:cs="Times New Roman"/>
          <w:noProof/>
          <w:lang w:val="de-DE"/>
        </w:rPr>
        <w:t>, 107097.</w:t>
      </w:r>
    </w:p>
    <w:p w14:paraId="4C2FF81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[235] </w:t>
      </w:r>
      <w:r w:rsidRPr="003E0254">
        <w:rPr>
          <w:rFonts w:ascii="Aptos" w:hAnsi="Aptos" w:cs="Times New Roman"/>
          <w:noProof/>
          <w:lang w:val="de-DE"/>
        </w:rPr>
        <w:tab/>
        <w:t xml:space="preserve">K. Harting, U. Kunz, T. Turek, </w:t>
      </w:r>
      <w:r w:rsidRPr="003E0254">
        <w:rPr>
          <w:rFonts w:ascii="Aptos" w:hAnsi="Aptos" w:cs="Times New Roman"/>
          <w:i/>
          <w:iCs/>
          <w:noProof/>
          <w:lang w:val="de-DE"/>
        </w:rPr>
        <w:t>Zeitschrift fur Phys. Chemie</w:t>
      </w:r>
      <w:r w:rsidRPr="003E0254">
        <w:rPr>
          <w:rFonts w:ascii="Aptos" w:hAnsi="Aptos" w:cs="Times New Roman"/>
          <w:noProof/>
          <w:lang w:val="de-DE"/>
        </w:rPr>
        <w:t xml:space="preserve"> </w:t>
      </w:r>
      <w:r w:rsidRPr="003E0254">
        <w:rPr>
          <w:rFonts w:ascii="Aptos" w:hAnsi="Aptos" w:cs="Times New Roman"/>
          <w:b/>
          <w:bCs/>
          <w:noProof/>
          <w:lang w:val="de-DE"/>
        </w:rPr>
        <w:t>2012</w:t>
      </w:r>
      <w:r w:rsidRPr="003E0254">
        <w:rPr>
          <w:rFonts w:ascii="Aptos" w:hAnsi="Aptos" w:cs="Times New Roman"/>
          <w:noProof/>
          <w:lang w:val="de-DE"/>
        </w:rPr>
        <w:t xml:space="preserve">, </w:t>
      </w:r>
      <w:r w:rsidRPr="003E0254">
        <w:rPr>
          <w:rFonts w:ascii="Aptos" w:hAnsi="Aptos" w:cs="Times New Roman"/>
          <w:i/>
          <w:iCs/>
          <w:noProof/>
          <w:lang w:val="de-DE"/>
        </w:rPr>
        <w:t>226</w:t>
      </w:r>
      <w:r w:rsidRPr="003E0254">
        <w:rPr>
          <w:rFonts w:ascii="Aptos" w:hAnsi="Aptos" w:cs="Times New Roman"/>
          <w:noProof/>
          <w:lang w:val="de-DE"/>
        </w:rPr>
        <w:t>, 151.</w:t>
      </w:r>
    </w:p>
    <w:p w14:paraId="674D8F6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[236] </w:t>
      </w:r>
      <w:r w:rsidRPr="003E0254">
        <w:rPr>
          <w:rFonts w:ascii="Aptos" w:hAnsi="Aptos" w:cs="Times New Roman"/>
          <w:noProof/>
          <w:lang w:val="de-DE"/>
        </w:rPr>
        <w:tab/>
        <w:t xml:space="preserve">R. Cao, J. S. Lee, M. Liu, J. Cho,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2012</w:t>
      </w:r>
      <w:r w:rsidRPr="003E0254">
        <w:rPr>
          <w:rFonts w:ascii="Aptos" w:hAnsi="Aptos" w:cs="Times New Roman"/>
          <w:noProof/>
          <w:lang w:val="de-DE"/>
        </w:rPr>
        <w:t xml:space="preserve">, </w:t>
      </w:r>
      <w:r w:rsidRPr="003E0254">
        <w:rPr>
          <w:rFonts w:ascii="Aptos" w:hAnsi="Aptos" w:cs="Times New Roman"/>
          <w:i/>
          <w:iCs/>
          <w:noProof/>
          <w:lang w:val="de-DE"/>
        </w:rPr>
        <w:t>2</w:t>
      </w:r>
      <w:r w:rsidRPr="003E0254">
        <w:rPr>
          <w:rFonts w:ascii="Aptos" w:hAnsi="Aptos" w:cs="Times New Roman"/>
          <w:noProof/>
          <w:lang w:val="de-DE"/>
        </w:rPr>
        <w:t>, 816.</w:t>
      </w:r>
    </w:p>
    <w:p w14:paraId="2584393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[237] </w:t>
      </w:r>
      <w:r w:rsidRPr="003E0254">
        <w:rPr>
          <w:rFonts w:ascii="Aptos" w:hAnsi="Aptos" w:cs="Times New Roman"/>
          <w:noProof/>
          <w:lang w:val="de-DE"/>
        </w:rPr>
        <w:tab/>
        <w:t xml:space="preserve">N. H. H. Phuc, T. Anh Tu, L. Cam Loc, C. Xuan Viet, P. Thi Thuy Phuong, N. Tri, L. Van Thang, </w:t>
      </w:r>
      <w:r w:rsidRPr="003E0254">
        <w:rPr>
          <w:rFonts w:ascii="Aptos" w:hAnsi="Aptos" w:cs="Times New Roman"/>
          <w:i/>
          <w:iCs/>
          <w:noProof/>
          <w:lang w:val="de-DE"/>
        </w:rPr>
        <w:t>Nanoenergy Adv.</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3</w:t>
      </w:r>
      <w:r w:rsidRPr="003E0254">
        <w:rPr>
          <w:rFonts w:ascii="Aptos" w:hAnsi="Aptos" w:cs="Times New Roman"/>
          <w:noProof/>
          <w:lang w:val="de-DE"/>
        </w:rPr>
        <w:t>, 13.</w:t>
      </w:r>
    </w:p>
    <w:p w14:paraId="5C93CD0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pl-PL"/>
        </w:rPr>
        <w:t xml:space="preserve">[238] </w:t>
      </w:r>
      <w:r w:rsidRPr="003E0254">
        <w:rPr>
          <w:rFonts w:ascii="Aptos" w:hAnsi="Aptos" w:cs="Times New Roman"/>
          <w:noProof/>
          <w:lang w:val="pl-PL"/>
        </w:rPr>
        <w:tab/>
        <w:t xml:space="preserve">S. G. Ji, H. Kim, W. H. Lee, H. S. Oh, C. H. Choi, </w:t>
      </w:r>
      <w:r w:rsidRPr="003E0254">
        <w:rPr>
          <w:rFonts w:ascii="Aptos" w:hAnsi="Aptos" w:cs="Times New Roman"/>
          <w:i/>
          <w:iCs/>
          <w:noProof/>
          <w:lang w:val="pl-PL"/>
        </w:rPr>
        <w:t xml:space="preserve">J. Mater. </w:t>
      </w:r>
      <w:r w:rsidRPr="003E0254">
        <w:rPr>
          <w:rFonts w:ascii="Aptos" w:hAnsi="Aptos" w:cs="Times New Roman"/>
          <w:i/>
          <w:iCs/>
          <w:noProof/>
        </w:rPr>
        <w:t>Chem. A</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19834.</w:t>
      </w:r>
    </w:p>
    <w:p w14:paraId="2D2E059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[239] </w:t>
      </w:r>
      <w:r w:rsidRPr="003E0254">
        <w:rPr>
          <w:rFonts w:ascii="Aptos" w:hAnsi="Aptos" w:cs="Times New Roman"/>
          <w:noProof/>
        </w:rPr>
        <w:tab/>
        <w:t xml:space="preserve">M. Chatenet, L. Genies-Bultel, M. Aurousseau, R. Durand, F. Andolfatto, </w:t>
      </w:r>
      <w:r w:rsidRPr="003E0254">
        <w:rPr>
          <w:rFonts w:ascii="Aptos" w:hAnsi="Aptos" w:cs="Times New Roman"/>
          <w:i/>
          <w:iCs/>
          <w:noProof/>
        </w:rPr>
        <w:t>J. Appl. Electrochem.</w:t>
      </w:r>
      <w:r w:rsidRPr="003E0254">
        <w:rPr>
          <w:rFonts w:ascii="Aptos" w:hAnsi="Aptos" w:cs="Times New Roman"/>
          <w:noProof/>
        </w:rPr>
        <w:t xml:space="preserve"> </w:t>
      </w:r>
      <w:r w:rsidRPr="003E0254">
        <w:rPr>
          <w:rFonts w:ascii="Aptos" w:hAnsi="Aptos" w:cs="Times New Roman"/>
          <w:b/>
          <w:bCs/>
          <w:noProof/>
        </w:rPr>
        <w:t>2002</w:t>
      </w:r>
      <w:r w:rsidRPr="003E0254">
        <w:rPr>
          <w:rFonts w:ascii="Aptos" w:hAnsi="Aptos" w:cs="Times New Roman"/>
          <w:noProof/>
        </w:rPr>
        <w:t xml:space="preserve">, </w:t>
      </w:r>
      <w:r w:rsidRPr="003E0254">
        <w:rPr>
          <w:rFonts w:ascii="Aptos" w:hAnsi="Aptos" w:cs="Times New Roman"/>
          <w:i/>
          <w:iCs/>
          <w:noProof/>
        </w:rPr>
        <w:t>32</w:t>
      </w:r>
      <w:r w:rsidRPr="003E0254">
        <w:rPr>
          <w:rFonts w:ascii="Aptos" w:hAnsi="Aptos" w:cs="Times New Roman"/>
          <w:noProof/>
        </w:rPr>
        <w:t>, 1131.</w:t>
      </w:r>
    </w:p>
    <w:p w14:paraId="5998A56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[240] </w:t>
      </w:r>
      <w:r w:rsidRPr="003E0254">
        <w:rPr>
          <w:rFonts w:ascii="Aptos" w:hAnsi="Aptos" w:cs="Times New Roman"/>
          <w:noProof/>
        </w:rPr>
        <w:tab/>
        <w:t xml:space="preserve">H. Erikson, A. Sarapuu, K. Tammeveski, </w:t>
      </w:r>
      <w:r w:rsidRPr="003E0254">
        <w:rPr>
          <w:rFonts w:ascii="Aptos" w:hAnsi="Aptos" w:cs="Times New Roman"/>
          <w:i/>
          <w:iCs/>
          <w:noProof/>
        </w:rPr>
        <w:t>ChemElectroChem</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6</w:t>
      </w:r>
      <w:r w:rsidRPr="003E0254">
        <w:rPr>
          <w:rFonts w:ascii="Aptos" w:hAnsi="Aptos" w:cs="Times New Roman"/>
          <w:noProof/>
        </w:rPr>
        <w:t>, 73.</w:t>
      </w:r>
    </w:p>
    <w:p w14:paraId="500F3C4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[241] </w:t>
      </w:r>
      <w:r w:rsidRPr="003E0254">
        <w:rPr>
          <w:rFonts w:ascii="Aptos" w:hAnsi="Aptos" w:cs="Times New Roman"/>
          <w:noProof/>
        </w:rPr>
        <w:tab/>
        <w:t xml:space="preserve">Q. Chang, X. Fu, J. Gao, Z. Zhang, Y. Wang, C. Huang, Y. Li, </w:t>
      </w:r>
      <w:r w:rsidRPr="003E0254">
        <w:rPr>
          <w:rFonts w:ascii="Aptos" w:hAnsi="Aptos" w:cs="Times New Roman"/>
          <w:i/>
          <w:iCs/>
          <w:noProof/>
        </w:rPr>
        <w:t>CCS Chem.</w:t>
      </w:r>
      <w:r w:rsidRPr="003E0254">
        <w:rPr>
          <w:rFonts w:ascii="Aptos" w:hAnsi="Aptos" w:cs="Times New Roman"/>
          <w:noProof/>
        </w:rPr>
        <w:t xml:space="preserve"> </w:t>
      </w:r>
      <w:r w:rsidRPr="003E0254">
        <w:rPr>
          <w:rFonts w:ascii="Aptos" w:hAnsi="Aptos" w:cs="Times New Roman"/>
          <w:b/>
          <w:bCs/>
          <w:noProof/>
        </w:rPr>
        <w:t>2025</w:t>
      </w:r>
      <w:r w:rsidRPr="003E0254">
        <w:rPr>
          <w:rFonts w:ascii="Aptos" w:hAnsi="Aptos" w:cs="Times New Roman"/>
          <w:noProof/>
        </w:rPr>
        <w:t xml:space="preserve">, </w:t>
      </w:r>
      <w:r w:rsidRPr="003E0254">
        <w:rPr>
          <w:rFonts w:ascii="Aptos" w:hAnsi="Aptos" w:cs="Times New Roman"/>
          <w:i/>
          <w:iCs/>
          <w:noProof/>
        </w:rPr>
        <w:t>7</w:t>
      </w:r>
      <w:r w:rsidRPr="003E0254">
        <w:rPr>
          <w:rFonts w:ascii="Aptos" w:hAnsi="Aptos" w:cs="Times New Roman"/>
          <w:noProof/>
        </w:rPr>
        <w:t>, 1.</w:t>
      </w:r>
    </w:p>
    <w:p w14:paraId="73898A3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[242] </w:t>
      </w:r>
      <w:r w:rsidRPr="003E0254">
        <w:rPr>
          <w:rFonts w:ascii="Aptos" w:hAnsi="Aptos" w:cs="Times New Roman"/>
          <w:noProof/>
        </w:rPr>
        <w:tab/>
        <w:t xml:space="preserve">H. S. Park, E. Seo, J. Yang, Y. Lee, B. S. Kim, H. K. Song, </w:t>
      </w:r>
      <w:r w:rsidRPr="003E0254">
        <w:rPr>
          <w:rFonts w:ascii="Aptos" w:hAnsi="Aptos" w:cs="Times New Roman"/>
          <w:i/>
          <w:iCs/>
          <w:noProof/>
        </w:rPr>
        <w:t>Sci. Reports 2017 71</w:t>
      </w:r>
      <w:r w:rsidRPr="003E0254">
        <w:rPr>
          <w:rFonts w:ascii="Aptos" w:hAnsi="Aptos" w:cs="Times New Roman"/>
          <w:noProof/>
        </w:rPr>
        <w:t xml:space="preserve"> </w:t>
      </w:r>
      <w:r w:rsidRPr="003E0254">
        <w:rPr>
          <w:rFonts w:ascii="Aptos" w:hAnsi="Aptos" w:cs="Times New Roman"/>
          <w:b/>
          <w:bCs/>
          <w:noProof/>
        </w:rPr>
        <w:t>2017</w:t>
      </w:r>
      <w:r w:rsidRPr="003E0254">
        <w:rPr>
          <w:rFonts w:ascii="Aptos" w:hAnsi="Aptos" w:cs="Times New Roman"/>
          <w:noProof/>
        </w:rPr>
        <w:t xml:space="preserve">, </w:t>
      </w:r>
      <w:r w:rsidRPr="003E0254">
        <w:rPr>
          <w:rFonts w:ascii="Aptos" w:hAnsi="Aptos" w:cs="Times New Roman"/>
          <w:i/>
          <w:iCs/>
          <w:noProof/>
        </w:rPr>
        <w:t>7</w:t>
      </w:r>
      <w:r w:rsidRPr="003E0254">
        <w:rPr>
          <w:rFonts w:ascii="Aptos" w:hAnsi="Aptos" w:cs="Times New Roman"/>
          <w:noProof/>
        </w:rPr>
        <w:t>, 1.</w:t>
      </w:r>
    </w:p>
    <w:p w14:paraId="7E89942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[243] </w:t>
      </w:r>
      <w:r w:rsidRPr="003E0254">
        <w:rPr>
          <w:rFonts w:ascii="Aptos" w:hAnsi="Aptos" w:cs="Times New Roman"/>
          <w:noProof/>
        </w:rPr>
        <w:tab/>
        <w:t xml:space="preserve">T. H. You, C. C. Hu, </w:t>
      </w:r>
      <w:r w:rsidRPr="003E0254">
        <w:rPr>
          <w:rFonts w:ascii="Aptos" w:hAnsi="Aptos" w:cs="Times New Roman"/>
          <w:i/>
          <w:iCs/>
          <w:noProof/>
        </w:rPr>
        <w:t xml:space="preserve">ACS Appl. </w:t>
      </w:r>
      <w:r w:rsidRPr="003E0254">
        <w:rPr>
          <w:rFonts w:ascii="Aptos" w:hAnsi="Aptos" w:cs="Times New Roman"/>
          <w:i/>
          <w:iCs/>
          <w:noProof/>
          <w:lang w:val="de-DE"/>
        </w:rPr>
        <w:t>Mater. Interfaces</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10</w:t>
      </w:r>
      <w:r w:rsidRPr="003E0254">
        <w:rPr>
          <w:rFonts w:ascii="Aptos" w:hAnsi="Aptos" w:cs="Times New Roman"/>
          <w:noProof/>
          <w:lang w:val="de-DE"/>
        </w:rPr>
        <w:t>, 10064.</w:t>
      </w:r>
    </w:p>
    <w:p w14:paraId="7F04E94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[244] </w:t>
      </w:r>
      <w:r w:rsidRPr="003E0254">
        <w:rPr>
          <w:rFonts w:ascii="Aptos" w:hAnsi="Aptos" w:cs="Times New Roman"/>
          <w:noProof/>
          <w:lang w:val="de-DE"/>
        </w:rPr>
        <w:tab/>
        <w:t xml:space="preserve">Y. Zhan, M. Lu, S. Yang, C. Xu, Z. Liu, J. Y. Lee, </w:t>
      </w:r>
      <w:r w:rsidRPr="003E0254">
        <w:rPr>
          <w:rFonts w:ascii="Aptos" w:hAnsi="Aptos" w:cs="Times New Roman"/>
          <w:i/>
          <w:iCs/>
          <w:noProof/>
          <w:lang w:val="de-DE"/>
        </w:rPr>
        <w:t>ChemCatChem</w:t>
      </w:r>
      <w:r w:rsidRPr="003E0254">
        <w:rPr>
          <w:rFonts w:ascii="Aptos" w:hAnsi="Aptos" w:cs="Times New Roman"/>
          <w:noProof/>
          <w:lang w:val="de-DE"/>
        </w:rPr>
        <w:t xml:space="preserve"> </w:t>
      </w:r>
      <w:r w:rsidRPr="003E0254">
        <w:rPr>
          <w:rFonts w:ascii="Aptos" w:hAnsi="Aptos" w:cs="Times New Roman"/>
          <w:b/>
          <w:bCs/>
          <w:noProof/>
          <w:lang w:val="de-DE"/>
        </w:rPr>
        <w:t>2016</w:t>
      </w:r>
      <w:r w:rsidRPr="003E0254">
        <w:rPr>
          <w:rFonts w:ascii="Aptos" w:hAnsi="Aptos" w:cs="Times New Roman"/>
          <w:noProof/>
          <w:lang w:val="de-DE"/>
        </w:rPr>
        <w:t xml:space="preserve">, </w:t>
      </w:r>
      <w:r w:rsidRPr="003E0254">
        <w:rPr>
          <w:rFonts w:ascii="Aptos" w:hAnsi="Aptos" w:cs="Times New Roman"/>
          <w:i/>
          <w:iCs/>
          <w:noProof/>
          <w:lang w:val="de-DE"/>
        </w:rPr>
        <w:t>8</w:t>
      </w:r>
      <w:r w:rsidRPr="003E0254">
        <w:rPr>
          <w:rFonts w:ascii="Aptos" w:hAnsi="Aptos" w:cs="Times New Roman"/>
          <w:noProof/>
          <w:lang w:val="de-DE"/>
        </w:rPr>
        <w:t>, 372.</w:t>
      </w:r>
    </w:p>
    <w:p w14:paraId="7A76AF5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[245] </w:t>
      </w:r>
      <w:r w:rsidRPr="003E0254">
        <w:rPr>
          <w:rFonts w:ascii="Aptos" w:hAnsi="Aptos" w:cs="Times New Roman"/>
          <w:noProof/>
          <w:lang w:val="de-DE"/>
        </w:rPr>
        <w:tab/>
        <w:t xml:space="preserve">H. Weinrich, Y. E. Durmus, H. Tempel, H. Kungl, R.-A. Eichel, </w:t>
      </w:r>
      <w:r w:rsidRPr="003E0254">
        <w:rPr>
          <w:rFonts w:ascii="Aptos" w:hAnsi="Aptos" w:cs="Times New Roman"/>
          <w:i/>
          <w:iCs/>
          <w:noProof/>
          <w:lang w:val="de-DE"/>
        </w:rPr>
        <w:t>Materials (Basel).</w:t>
      </w:r>
      <w:r w:rsidRPr="003E0254">
        <w:rPr>
          <w:rFonts w:ascii="Aptos" w:hAnsi="Aptos" w:cs="Times New Roman"/>
          <w:noProof/>
          <w:lang w:val="de-DE"/>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12</w:t>
      </w:r>
      <w:r w:rsidRPr="003E0254">
        <w:rPr>
          <w:rFonts w:ascii="Aptos" w:hAnsi="Aptos" w:cs="Times New Roman"/>
          <w:noProof/>
        </w:rPr>
        <w:t>.</w:t>
      </w:r>
    </w:p>
    <w:p w14:paraId="3631BFB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[246] </w:t>
      </w:r>
      <w:r w:rsidRPr="003E0254">
        <w:rPr>
          <w:rFonts w:ascii="Aptos" w:hAnsi="Aptos" w:cs="Times New Roman"/>
          <w:noProof/>
        </w:rPr>
        <w:tab/>
        <w:t xml:space="preserve">D. Stock, S. Dongmo, J. Janek, D. Schröder, </w:t>
      </w:r>
      <w:r w:rsidRPr="003E0254">
        <w:rPr>
          <w:rFonts w:ascii="Aptos" w:hAnsi="Aptos" w:cs="Times New Roman"/>
          <w:i/>
          <w:iCs/>
          <w:noProof/>
        </w:rPr>
        <w:t>ACS Energy Lett.</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4</w:t>
      </w:r>
      <w:r w:rsidRPr="003E0254">
        <w:rPr>
          <w:rFonts w:ascii="Aptos" w:hAnsi="Aptos" w:cs="Times New Roman"/>
          <w:noProof/>
        </w:rPr>
        <w:t>, 1287.</w:t>
      </w:r>
    </w:p>
    <w:p w14:paraId="2D9506A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[247] </w:t>
      </w:r>
      <w:r w:rsidRPr="003E0254">
        <w:rPr>
          <w:rFonts w:ascii="Aptos" w:hAnsi="Aptos" w:cs="Times New Roman"/>
          <w:noProof/>
        </w:rPr>
        <w:tab/>
        <w:t xml:space="preserve">B. J. Hopkins, C. N. Chervin, J. W. Long, D. R. Rolison, J. F. Parker, </w:t>
      </w:r>
      <w:r w:rsidRPr="003E0254">
        <w:rPr>
          <w:rFonts w:ascii="Aptos" w:hAnsi="Aptos" w:cs="Times New Roman"/>
          <w:i/>
          <w:iCs/>
          <w:noProof/>
        </w:rPr>
        <w:t>ACS Energy Lett.</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5</w:t>
      </w:r>
      <w:r w:rsidRPr="003E0254">
        <w:rPr>
          <w:rFonts w:ascii="Aptos" w:hAnsi="Aptos" w:cs="Times New Roman"/>
          <w:noProof/>
        </w:rPr>
        <w:t>, 3405.</w:t>
      </w:r>
    </w:p>
    <w:p w14:paraId="492E1F5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[248] </w:t>
      </w:r>
      <w:r w:rsidRPr="003E0254">
        <w:rPr>
          <w:rFonts w:ascii="Aptos" w:hAnsi="Aptos" w:cs="Times New Roman"/>
          <w:noProof/>
        </w:rPr>
        <w:tab/>
        <w:t xml:space="preserve">X. Zou, Q. Lu, M. Tang, J. Wu, K. Zhang, W. Li, Y. Hu, X. Xu, X. Zhang, Z. Shao, L. An, </w:t>
      </w:r>
      <w:r w:rsidRPr="003E0254">
        <w:rPr>
          <w:rFonts w:ascii="Aptos" w:hAnsi="Aptos" w:cs="Times New Roman"/>
          <w:i/>
          <w:iCs/>
          <w:noProof/>
        </w:rPr>
        <w:t>Nano-Micro Lett.</w:t>
      </w:r>
      <w:r w:rsidRPr="003E0254">
        <w:rPr>
          <w:rFonts w:ascii="Aptos" w:hAnsi="Aptos" w:cs="Times New Roman"/>
          <w:noProof/>
        </w:rPr>
        <w:t xml:space="preserve"> </w:t>
      </w:r>
      <w:r w:rsidRPr="003E0254">
        <w:rPr>
          <w:rFonts w:ascii="Aptos" w:hAnsi="Aptos" w:cs="Times New Roman"/>
          <w:b/>
          <w:bCs/>
          <w:noProof/>
        </w:rPr>
        <w:t>2025</w:t>
      </w:r>
      <w:r w:rsidRPr="003E0254">
        <w:rPr>
          <w:rFonts w:ascii="Aptos" w:hAnsi="Aptos" w:cs="Times New Roman"/>
          <w:noProof/>
        </w:rPr>
        <w:t xml:space="preserve">, </w:t>
      </w:r>
      <w:r w:rsidRPr="003E0254">
        <w:rPr>
          <w:rFonts w:ascii="Aptos" w:hAnsi="Aptos" w:cs="Times New Roman"/>
          <w:i/>
          <w:iCs/>
          <w:noProof/>
        </w:rPr>
        <w:t>17</w:t>
      </w:r>
      <w:r w:rsidRPr="003E0254">
        <w:rPr>
          <w:rFonts w:ascii="Aptos" w:hAnsi="Aptos" w:cs="Times New Roman"/>
          <w:noProof/>
        </w:rPr>
        <w:t>, 1.</w:t>
      </w:r>
    </w:p>
    <w:p w14:paraId="09746C0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[249] </w:t>
      </w:r>
      <w:r w:rsidRPr="003E0254">
        <w:rPr>
          <w:rFonts w:ascii="Aptos" w:hAnsi="Aptos" w:cs="Times New Roman"/>
          <w:noProof/>
        </w:rPr>
        <w:tab/>
        <w:t xml:space="preserve">X. Wei, D. Desai, G. G. Yadav, D. E. Turney, A. Couzis, S. Banerjee, </w:t>
      </w:r>
      <w:r w:rsidRPr="003E0254">
        <w:rPr>
          <w:rFonts w:ascii="Aptos" w:hAnsi="Aptos" w:cs="Times New Roman"/>
          <w:i/>
          <w:iCs/>
          <w:noProof/>
        </w:rPr>
        <w:t xml:space="preserve">Electrochim. </w:t>
      </w:r>
      <w:r w:rsidRPr="003E0254">
        <w:rPr>
          <w:rFonts w:ascii="Aptos" w:hAnsi="Aptos" w:cs="Times New Roman"/>
          <w:i/>
          <w:iCs/>
          <w:noProof/>
          <w:lang w:val="de-DE"/>
        </w:rPr>
        <w:t>Acta</w:t>
      </w:r>
      <w:r w:rsidRPr="003E0254">
        <w:rPr>
          <w:rFonts w:ascii="Aptos" w:hAnsi="Aptos" w:cs="Times New Roman"/>
          <w:noProof/>
          <w:lang w:val="de-DE"/>
        </w:rPr>
        <w:t xml:space="preserve"> </w:t>
      </w:r>
      <w:r w:rsidRPr="003E0254">
        <w:rPr>
          <w:rFonts w:ascii="Aptos" w:hAnsi="Aptos" w:cs="Times New Roman"/>
          <w:b/>
          <w:bCs/>
          <w:noProof/>
          <w:lang w:val="de-DE"/>
        </w:rPr>
        <w:t>2016</w:t>
      </w:r>
      <w:r w:rsidRPr="003E0254">
        <w:rPr>
          <w:rFonts w:ascii="Aptos" w:hAnsi="Aptos" w:cs="Times New Roman"/>
          <w:noProof/>
          <w:lang w:val="de-DE"/>
        </w:rPr>
        <w:t xml:space="preserve">, </w:t>
      </w:r>
      <w:r w:rsidRPr="003E0254">
        <w:rPr>
          <w:rFonts w:ascii="Aptos" w:hAnsi="Aptos" w:cs="Times New Roman"/>
          <w:i/>
          <w:iCs/>
          <w:noProof/>
          <w:lang w:val="de-DE"/>
        </w:rPr>
        <w:t>212</w:t>
      </w:r>
      <w:r w:rsidRPr="003E0254">
        <w:rPr>
          <w:rFonts w:ascii="Aptos" w:hAnsi="Aptos" w:cs="Times New Roman"/>
          <w:noProof/>
          <w:lang w:val="de-DE"/>
        </w:rPr>
        <w:t>, 603.</w:t>
      </w:r>
    </w:p>
    <w:p w14:paraId="5260F6D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[250] </w:t>
      </w:r>
      <w:r w:rsidRPr="003E0254">
        <w:rPr>
          <w:rFonts w:ascii="Aptos" w:hAnsi="Aptos" w:cs="Times New Roman"/>
          <w:noProof/>
          <w:lang w:val="de-DE"/>
        </w:rPr>
        <w:tab/>
        <w:t xml:space="preserve">Y. E. Durmus, H. Zhang, F. Baakes, G. Desmaizieres, H. Hayun, L. Yang, M. Kolek, V. Küpers, J. Janek, D. Mandler, S. Passerini, Y. Ein-Eli, </w:t>
      </w:r>
      <w:r w:rsidRPr="003E0254">
        <w:rPr>
          <w:rFonts w:ascii="Aptos" w:hAnsi="Aptos" w:cs="Times New Roman"/>
          <w:i/>
          <w:iCs/>
          <w:noProof/>
          <w:lang w:val="de-DE"/>
        </w:rPr>
        <w:t>Adv. Energy Mater.</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10</w:t>
      </w:r>
      <w:r w:rsidRPr="003E0254">
        <w:rPr>
          <w:rFonts w:ascii="Aptos" w:hAnsi="Aptos" w:cs="Times New Roman"/>
          <w:noProof/>
          <w:lang w:val="de-DE"/>
        </w:rPr>
        <w:t>, 2000089.</w:t>
      </w:r>
    </w:p>
    <w:p w14:paraId="6CEAC66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[251] </w:t>
      </w:r>
      <w:r w:rsidRPr="003E0254">
        <w:rPr>
          <w:rFonts w:ascii="Aptos" w:hAnsi="Aptos" w:cs="Times New Roman"/>
          <w:noProof/>
          <w:lang w:val="de-DE"/>
        </w:rPr>
        <w:tab/>
        <w:t xml:space="preserve">L. Kortekaas, S. Fricke, A. Korshunov, I. Cekic-Laskovic, M. Winter, M. Grünebaum, </w:t>
      </w:r>
      <w:r w:rsidRPr="003E0254">
        <w:rPr>
          <w:rFonts w:ascii="Aptos" w:hAnsi="Aptos" w:cs="Times New Roman"/>
          <w:i/>
          <w:iCs/>
          <w:noProof/>
          <w:lang w:val="de-DE"/>
        </w:rPr>
        <w:t>Batter. 2023, Vol. 9, Page 4</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9</w:t>
      </w:r>
      <w:r w:rsidRPr="003E0254">
        <w:rPr>
          <w:rFonts w:ascii="Aptos" w:hAnsi="Aptos" w:cs="Times New Roman"/>
          <w:noProof/>
          <w:lang w:val="de-DE"/>
        </w:rPr>
        <w:t>, 4.</w:t>
      </w:r>
    </w:p>
    <w:p w14:paraId="05CA935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[252] </w:t>
      </w:r>
      <w:r w:rsidRPr="003E0254">
        <w:rPr>
          <w:rFonts w:ascii="Aptos" w:hAnsi="Aptos" w:cs="Times New Roman"/>
          <w:noProof/>
          <w:lang w:val="de-DE"/>
        </w:rPr>
        <w:tab/>
        <w:t xml:space="preserve">Y. V. Tolmachev, </w:t>
      </w:r>
      <w:r w:rsidRPr="003E0254">
        <w:rPr>
          <w:rFonts w:ascii="Aptos" w:hAnsi="Aptos" w:cs="Times New Roman"/>
          <w:i/>
          <w:iCs/>
          <w:noProof/>
          <w:lang w:val="de-DE"/>
        </w:rPr>
        <w:t>J. Electrochem. Soc.</w:t>
      </w:r>
      <w:r w:rsidRPr="003E0254">
        <w:rPr>
          <w:rFonts w:ascii="Aptos" w:hAnsi="Aptos" w:cs="Times New Roman"/>
          <w:noProof/>
          <w:lang w:val="de-DE"/>
        </w:rPr>
        <w:t xml:space="preserve"> </w:t>
      </w:r>
      <w:r w:rsidRPr="003E0254">
        <w:rPr>
          <w:rFonts w:ascii="Aptos" w:hAnsi="Aptos" w:cs="Times New Roman"/>
          <w:b/>
          <w:bCs/>
          <w:noProof/>
          <w:lang w:val="de-DE"/>
        </w:rPr>
        <w:t>2023</w:t>
      </w:r>
      <w:r w:rsidRPr="003E0254">
        <w:rPr>
          <w:rFonts w:ascii="Aptos" w:hAnsi="Aptos" w:cs="Times New Roman"/>
          <w:noProof/>
          <w:lang w:val="de-DE"/>
        </w:rPr>
        <w:t xml:space="preserve">, </w:t>
      </w:r>
      <w:r w:rsidRPr="003E0254">
        <w:rPr>
          <w:rFonts w:ascii="Aptos" w:hAnsi="Aptos" w:cs="Times New Roman"/>
          <w:i/>
          <w:iCs/>
          <w:noProof/>
          <w:lang w:val="de-DE"/>
        </w:rPr>
        <w:t>170</w:t>
      </w:r>
      <w:r w:rsidRPr="003E0254">
        <w:rPr>
          <w:rFonts w:ascii="Aptos" w:hAnsi="Aptos" w:cs="Times New Roman"/>
          <w:noProof/>
          <w:lang w:val="de-DE"/>
        </w:rPr>
        <w:t>, 030505.</w:t>
      </w:r>
    </w:p>
    <w:p w14:paraId="478371B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[253] </w:t>
      </w:r>
      <w:r w:rsidRPr="003E0254">
        <w:rPr>
          <w:rFonts w:ascii="Aptos" w:hAnsi="Aptos" w:cs="Times New Roman"/>
          <w:noProof/>
          <w:lang w:val="de-DE"/>
        </w:rPr>
        <w:tab/>
        <w:t xml:space="preserve">M. Wu, T. Zhao, R. Zhang, H. Jiang, L. Wei, </w:t>
      </w:r>
      <w:r w:rsidRPr="003E0254">
        <w:rPr>
          <w:rFonts w:ascii="Aptos" w:hAnsi="Aptos" w:cs="Times New Roman"/>
          <w:i/>
          <w:iCs/>
          <w:noProof/>
          <w:lang w:val="de-DE"/>
        </w:rPr>
        <w:t>Energy Technol.</w:t>
      </w:r>
      <w:r w:rsidRPr="003E0254">
        <w:rPr>
          <w:rFonts w:ascii="Aptos" w:hAnsi="Aptos" w:cs="Times New Roman"/>
          <w:noProof/>
          <w:lang w:val="de-DE"/>
        </w:rPr>
        <w:t xml:space="preserve"> </w:t>
      </w:r>
      <w:r w:rsidRPr="003E0254">
        <w:rPr>
          <w:rFonts w:ascii="Aptos" w:hAnsi="Aptos" w:cs="Times New Roman"/>
          <w:b/>
          <w:bCs/>
          <w:noProof/>
          <w:lang w:val="de-DE"/>
        </w:rPr>
        <w:t>2018</w:t>
      </w:r>
      <w:r w:rsidRPr="003E0254">
        <w:rPr>
          <w:rFonts w:ascii="Aptos" w:hAnsi="Aptos" w:cs="Times New Roman"/>
          <w:noProof/>
          <w:lang w:val="de-DE"/>
        </w:rPr>
        <w:t xml:space="preserve">, </w:t>
      </w:r>
      <w:r w:rsidRPr="003E0254">
        <w:rPr>
          <w:rFonts w:ascii="Aptos" w:hAnsi="Aptos" w:cs="Times New Roman"/>
          <w:i/>
          <w:iCs/>
          <w:noProof/>
          <w:lang w:val="de-DE"/>
        </w:rPr>
        <w:t>6</w:t>
      </w:r>
      <w:r w:rsidRPr="003E0254">
        <w:rPr>
          <w:rFonts w:ascii="Aptos" w:hAnsi="Aptos" w:cs="Times New Roman"/>
          <w:noProof/>
          <w:lang w:val="de-DE"/>
        </w:rPr>
        <w:t>, 333.</w:t>
      </w:r>
    </w:p>
    <w:p w14:paraId="18AE055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[254] </w:t>
      </w:r>
      <w:r w:rsidRPr="003E0254">
        <w:rPr>
          <w:rFonts w:ascii="Aptos" w:hAnsi="Aptos" w:cs="Times New Roman"/>
          <w:noProof/>
          <w:lang w:val="de-DE"/>
        </w:rPr>
        <w:tab/>
        <w:t xml:space="preserve">D. Lin, Y. Li, </w:t>
      </w:r>
      <w:r w:rsidRPr="003E0254">
        <w:rPr>
          <w:rFonts w:ascii="Aptos" w:hAnsi="Aptos" w:cs="Times New Roman"/>
          <w:i/>
          <w:iCs/>
          <w:noProof/>
          <w:lang w:val="de-DE"/>
        </w:rPr>
        <w:t>Adv. Mater.</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34</w:t>
      </w:r>
      <w:r w:rsidRPr="003E0254">
        <w:rPr>
          <w:rFonts w:ascii="Aptos" w:hAnsi="Aptos" w:cs="Times New Roman"/>
          <w:noProof/>
          <w:lang w:val="de-DE"/>
        </w:rPr>
        <w:t>, 2108856.</w:t>
      </w:r>
    </w:p>
    <w:p w14:paraId="670EE91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[255] </w:t>
      </w:r>
      <w:r w:rsidRPr="003E0254">
        <w:rPr>
          <w:rFonts w:ascii="Aptos" w:hAnsi="Aptos" w:cs="Times New Roman"/>
          <w:noProof/>
          <w:lang w:val="de-DE"/>
        </w:rPr>
        <w:tab/>
        <w:t>F. C. Walsh, C. Ponce de Léon, L. Berlouis, G. Nikiforidis, L. F. Arenas</w:t>
      </w:r>
      <w:r w:rsidRPr="003E0254">
        <w:rPr>
          <w:rFonts w:ascii="Cambria Math" w:hAnsi="Cambria Math" w:cs="Cambria Math"/>
          <w:noProof/>
          <w:lang w:val="de-DE"/>
        </w:rPr>
        <w:t>‐</w:t>
      </w:r>
      <w:r w:rsidRPr="003E0254">
        <w:rPr>
          <w:rFonts w:ascii="Aptos" w:hAnsi="Aptos" w:cs="Times New Roman"/>
          <w:noProof/>
          <w:lang w:val="de-DE"/>
        </w:rPr>
        <w:t xml:space="preserve">Martínez, D. Hodgson, D. Hall, </w:t>
      </w:r>
      <w:r w:rsidRPr="003E0254">
        <w:rPr>
          <w:rFonts w:ascii="Aptos" w:hAnsi="Aptos" w:cs="Times New Roman"/>
          <w:i/>
          <w:iCs/>
          <w:noProof/>
          <w:lang w:val="de-DE"/>
        </w:rPr>
        <w:t>Chempluschem</w:t>
      </w:r>
      <w:r w:rsidRPr="003E0254">
        <w:rPr>
          <w:rFonts w:ascii="Aptos" w:hAnsi="Aptos" w:cs="Times New Roman"/>
          <w:noProof/>
          <w:lang w:val="de-DE"/>
        </w:rPr>
        <w:t xml:space="preserve"> </w:t>
      </w:r>
      <w:r w:rsidRPr="003E0254">
        <w:rPr>
          <w:rFonts w:ascii="Aptos" w:hAnsi="Aptos" w:cs="Times New Roman"/>
          <w:b/>
          <w:bCs/>
          <w:noProof/>
          <w:lang w:val="de-DE"/>
        </w:rPr>
        <w:t>2015</w:t>
      </w:r>
      <w:r w:rsidRPr="003E0254">
        <w:rPr>
          <w:rFonts w:ascii="Aptos" w:hAnsi="Aptos" w:cs="Times New Roman"/>
          <w:noProof/>
          <w:lang w:val="de-DE"/>
        </w:rPr>
        <w:t xml:space="preserve">, </w:t>
      </w:r>
      <w:r w:rsidRPr="003E0254">
        <w:rPr>
          <w:rFonts w:ascii="Aptos" w:hAnsi="Aptos" w:cs="Times New Roman"/>
          <w:i/>
          <w:iCs/>
          <w:noProof/>
          <w:lang w:val="de-DE"/>
        </w:rPr>
        <w:t>80</w:t>
      </w:r>
      <w:r w:rsidRPr="003E0254">
        <w:rPr>
          <w:rFonts w:ascii="Aptos" w:hAnsi="Aptos" w:cs="Times New Roman"/>
          <w:noProof/>
          <w:lang w:val="de-DE"/>
        </w:rPr>
        <w:t>, 288.</w:t>
      </w:r>
    </w:p>
    <w:p w14:paraId="4210EA1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[256] </w:t>
      </w:r>
      <w:r w:rsidRPr="003E0254">
        <w:rPr>
          <w:rFonts w:ascii="Aptos" w:hAnsi="Aptos" w:cs="Times New Roman"/>
          <w:noProof/>
        </w:rPr>
        <w:tab/>
        <w:t xml:space="preserve">S. Gu, K. Gong, E. Z. Yan, Y. Yan, </w:t>
      </w:r>
      <w:r w:rsidRPr="003E0254">
        <w:rPr>
          <w:rFonts w:ascii="Aptos" w:hAnsi="Aptos" w:cs="Times New Roman"/>
          <w:i/>
          <w:iCs/>
          <w:noProof/>
        </w:rPr>
        <w:t xml:space="preserve">Energy Environ. </w:t>
      </w:r>
      <w:r w:rsidRPr="003E0254">
        <w:rPr>
          <w:rFonts w:ascii="Aptos" w:hAnsi="Aptos" w:cs="Times New Roman"/>
          <w:i/>
          <w:iCs/>
          <w:noProof/>
          <w:lang w:val="de-DE"/>
        </w:rPr>
        <w:t>Sci.</w:t>
      </w:r>
      <w:r w:rsidRPr="003E0254">
        <w:rPr>
          <w:rFonts w:ascii="Aptos" w:hAnsi="Aptos" w:cs="Times New Roman"/>
          <w:noProof/>
          <w:lang w:val="de-DE"/>
        </w:rPr>
        <w:t xml:space="preserve"> </w:t>
      </w:r>
      <w:r w:rsidRPr="003E0254">
        <w:rPr>
          <w:rFonts w:ascii="Aptos" w:hAnsi="Aptos" w:cs="Times New Roman"/>
          <w:b/>
          <w:bCs/>
          <w:noProof/>
          <w:lang w:val="de-DE"/>
        </w:rPr>
        <w:t>2014</w:t>
      </w:r>
      <w:r w:rsidRPr="003E0254">
        <w:rPr>
          <w:rFonts w:ascii="Aptos" w:hAnsi="Aptos" w:cs="Times New Roman"/>
          <w:noProof/>
          <w:lang w:val="de-DE"/>
        </w:rPr>
        <w:t xml:space="preserve">, </w:t>
      </w:r>
      <w:r w:rsidRPr="003E0254">
        <w:rPr>
          <w:rFonts w:ascii="Aptos" w:hAnsi="Aptos" w:cs="Times New Roman"/>
          <w:i/>
          <w:iCs/>
          <w:noProof/>
          <w:lang w:val="de-DE"/>
        </w:rPr>
        <w:t>7</w:t>
      </w:r>
      <w:r w:rsidRPr="003E0254">
        <w:rPr>
          <w:rFonts w:ascii="Aptos" w:hAnsi="Aptos" w:cs="Times New Roman"/>
          <w:noProof/>
          <w:lang w:val="de-DE"/>
        </w:rPr>
        <w:t>, 2986.</w:t>
      </w:r>
    </w:p>
    <w:p w14:paraId="1DF0C92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[257] </w:t>
      </w:r>
      <w:r w:rsidRPr="003E0254">
        <w:rPr>
          <w:rFonts w:ascii="Aptos" w:hAnsi="Aptos" w:cs="Times New Roman"/>
          <w:noProof/>
          <w:lang w:val="de-DE"/>
        </w:rPr>
        <w:tab/>
        <w:t xml:space="preserve">X. Wei, W. Xu, J. Huang, L. Zhang, E. Walter, C. Lawrence, M. Vijayakumar, W. A. Henderson, T. Liu, L. Cosimbescu, B. Li, V. Sprenkle, W. Wang, </w:t>
      </w:r>
      <w:r w:rsidRPr="003E0254">
        <w:rPr>
          <w:rFonts w:ascii="Aptos" w:hAnsi="Aptos" w:cs="Times New Roman"/>
          <w:i/>
          <w:iCs/>
          <w:noProof/>
          <w:lang w:val="de-DE"/>
        </w:rPr>
        <w:t>Angew. Chemie Int. Ed.</w:t>
      </w:r>
      <w:r w:rsidRPr="003E0254">
        <w:rPr>
          <w:rFonts w:ascii="Aptos" w:hAnsi="Aptos" w:cs="Times New Roman"/>
          <w:noProof/>
          <w:lang w:val="de-DE"/>
        </w:rPr>
        <w:t xml:space="preserve"> </w:t>
      </w:r>
      <w:r w:rsidRPr="003E0254">
        <w:rPr>
          <w:rFonts w:ascii="Aptos" w:hAnsi="Aptos" w:cs="Times New Roman"/>
          <w:b/>
          <w:bCs/>
          <w:noProof/>
          <w:lang w:val="de-DE"/>
        </w:rPr>
        <w:t>2015</w:t>
      </w:r>
      <w:r w:rsidRPr="003E0254">
        <w:rPr>
          <w:rFonts w:ascii="Aptos" w:hAnsi="Aptos" w:cs="Times New Roman"/>
          <w:noProof/>
          <w:lang w:val="de-DE"/>
        </w:rPr>
        <w:t xml:space="preserve">, </w:t>
      </w:r>
      <w:r w:rsidRPr="003E0254">
        <w:rPr>
          <w:rFonts w:ascii="Aptos" w:hAnsi="Aptos" w:cs="Times New Roman"/>
          <w:i/>
          <w:iCs/>
          <w:noProof/>
          <w:lang w:val="de-DE"/>
        </w:rPr>
        <w:t>54</w:t>
      </w:r>
      <w:r w:rsidRPr="003E0254">
        <w:rPr>
          <w:rFonts w:ascii="Aptos" w:hAnsi="Aptos" w:cs="Times New Roman"/>
          <w:noProof/>
          <w:lang w:val="de-DE"/>
        </w:rPr>
        <w:t>, 8684.</w:t>
      </w:r>
    </w:p>
    <w:p w14:paraId="39608B8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[258] </w:t>
      </w:r>
      <w:r w:rsidRPr="003E0254">
        <w:rPr>
          <w:rFonts w:ascii="Aptos" w:hAnsi="Aptos" w:cs="Times New Roman"/>
          <w:noProof/>
          <w:lang w:val="de-DE"/>
        </w:rPr>
        <w:tab/>
        <w:t xml:space="preserve">S. Ahn, A. Yun, D. Ko, V. Singh, J. M. Joo, H. R. Byon, </w:t>
      </w:r>
      <w:r w:rsidRPr="003E0254">
        <w:rPr>
          <w:rFonts w:ascii="Aptos" w:hAnsi="Aptos" w:cs="Times New Roman"/>
          <w:i/>
          <w:iCs/>
          <w:noProof/>
          <w:lang w:val="de-DE"/>
        </w:rPr>
        <w:t>Chem. Soc. Rev.</w:t>
      </w:r>
      <w:r w:rsidRPr="003E0254">
        <w:rPr>
          <w:rFonts w:ascii="Aptos" w:hAnsi="Aptos" w:cs="Times New Roman"/>
          <w:noProof/>
          <w:lang w:val="de-DE"/>
        </w:rPr>
        <w:t xml:space="preserve"> </w:t>
      </w:r>
      <w:r w:rsidRPr="003E0254">
        <w:rPr>
          <w:rFonts w:ascii="Aptos" w:hAnsi="Aptos" w:cs="Times New Roman"/>
          <w:b/>
          <w:bCs/>
          <w:noProof/>
          <w:lang w:val="de-DE"/>
        </w:rPr>
        <w:t>2025</w:t>
      </w:r>
      <w:r w:rsidRPr="003E0254">
        <w:rPr>
          <w:rFonts w:ascii="Aptos" w:hAnsi="Aptos" w:cs="Times New Roman"/>
          <w:noProof/>
          <w:lang w:val="de-DE"/>
        </w:rPr>
        <w:t xml:space="preserve">, </w:t>
      </w:r>
      <w:r w:rsidRPr="003E0254">
        <w:rPr>
          <w:rFonts w:ascii="Aptos" w:hAnsi="Aptos" w:cs="Times New Roman"/>
          <w:i/>
          <w:iCs/>
          <w:noProof/>
          <w:lang w:val="de-DE"/>
        </w:rPr>
        <w:t>54</w:t>
      </w:r>
      <w:r w:rsidRPr="003E0254">
        <w:rPr>
          <w:rFonts w:ascii="Aptos" w:hAnsi="Aptos" w:cs="Times New Roman"/>
          <w:noProof/>
          <w:lang w:val="de-DE"/>
        </w:rPr>
        <w:t>, 742.</w:t>
      </w:r>
    </w:p>
    <w:p w14:paraId="47D53E5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[259] </w:t>
      </w:r>
      <w:r w:rsidRPr="003E0254">
        <w:rPr>
          <w:rFonts w:ascii="Aptos" w:hAnsi="Aptos" w:cs="Times New Roman"/>
          <w:noProof/>
        </w:rPr>
        <w:tab/>
        <w:t xml:space="preserve">M. Al Raihan, C. A. Dyker, </w:t>
      </w:r>
      <w:r w:rsidRPr="003E0254">
        <w:rPr>
          <w:rFonts w:ascii="Aptos" w:hAnsi="Aptos" w:cs="Times New Roman"/>
          <w:i/>
          <w:iCs/>
          <w:noProof/>
        </w:rPr>
        <w:t>J. Energy Chem.</w:t>
      </w:r>
      <w:r w:rsidRPr="003E0254">
        <w:rPr>
          <w:rFonts w:ascii="Aptos" w:hAnsi="Aptos" w:cs="Times New Roman"/>
          <w:noProof/>
        </w:rPr>
        <w:t xml:space="preserve"> </w:t>
      </w:r>
      <w:r w:rsidRPr="003E0254">
        <w:rPr>
          <w:rFonts w:ascii="Aptos" w:hAnsi="Aptos" w:cs="Times New Roman"/>
          <w:b/>
          <w:bCs/>
          <w:noProof/>
        </w:rPr>
        <w:t>2025</w:t>
      </w:r>
      <w:r w:rsidRPr="003E0254">
        <w:rPr>
          <w:rFonts w:ascii="Aptos" w:hAnsi="Aptos" w:cs="Times New Roman"/>
          <w:noProof/>
        </w:rPr>
        <w:t xml:space="preserve">, </w:t>
      </w:r>
      <w:r w:rsidRPr="003E0254">
        <w:rPr>
          <w:rFonts w:ascii="Aptos" w:hAnsi="Aptos" w:cs="Times New Roman"/>
          <w:i/>
          <w:iCs/>
          <w:noProof/>
        </w:rPr>
        <w:t>100</w:t>
      </w:r>
      <w:r w:rsidRPr="003E0254">
        <w:rPr>
          <w:rFonts w:ascii="Aptos" w:hAnsi="Aptos" w:cs="Times New Roman"/>
          <w:noProof/>
        </w:rPr>
        <w:t>, 125.</w:t>
      </w:r>
    </w:p>
    <w:p w14:paraId="5AC46A7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pl-PL"/>
        </w:rPr>
        <w:t xml:space="preserve">[260] </w:t>
      </w:r>
      <w:r w:rsidRPr="003E0254">
        <w:rPr>
          <w:rFonts w:ascii="Aptos" w:hAnsi="Aptos" w:cs="Times New Roman"/>
          <w:noProof/>
          <w:lang w:val="pl-PL"/>
        </w:rPr>
        <w:tab/>
        <w:t xml:space="preserve">J. Kim, Y. Kim, J. Yoo, G. Kwon, Y. Ko, K. Kang, </w:t>
      </w:r>
      <w:r w:rsidRPr="003E0254">
        <w:rPr>
          <w:rFonts w:ascii="Aptos" w:hAnsi="Aptos" w:cs="Times New Roman"/>
          <w:i/>
          <w:iCs/>
          <w:noProof/>
          <w:lang w:val="pl-PL"/>
        </w:rPr>
        <w:t xml:space="preserve">Nat. </w:t>
      </w:r>
      <w:r w:rsidRPr="003E0254">
        <w:rPr>
          <w:rFonts w:ascii="Aptos" w:hAnsi="Aptos" w:cs="Times New Roman"/>
          <w:i/>
          <w:iCs/>
          <w:noProof/>
        </w:rPr>
        <w:t>Rev. Mater. 2022 81</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54.</w:t>
      </w:r>
    </w:p>
    <w:p w14:paraId="3C35242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[261] </w:t>
      </w:r>
      <w:r w:rsidRPr="003E0254">
        <w:rPr>
          <w:rFonts w:ascii="Aptos" w:hAnsi="Aptos" w:cs="Times New Roman"/>
          <w:noProof/>
        </w:rPr>
        <w:tab/>
        <w:t xml:space="preserve">S. Ito, M. Sugimasa, Y. Toshimitsu, A. Orita, M. Kitagawa, M. Sakai, </w:t>
      </w:r>
      <w:r w:rsidRPr="003E0254">
        <w:rPr>
          <w:rFonts w:ascii="Aptos" w:hAnsi="Aptos" w:cs="Times New Roman"/>
          <w:i/>
          <w:iCs/>
          <w:noProof/>
        </w:rPr>
        <w:t>Electrochim. Acta</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319</w:t>
      </w:r>
      <w:r w:rsidRPr="003E0254">
        <w:rPr>
          <w:rFonts w:ascii="Aptos" w:hAnsi="Aptos" w:cs="Times New Roman"/>
          <w:noProof/>
        </w:rPr>
        <w:t>, 164.</w:t>
      </w:r>
    </w:p>
    <w:p w14:paraId="5DB9E77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[262] </w:t>
      </w:r>
      <w:r w:rsidRPr="003E0254">
        <w:rPr>
          <w:rFonts w:ascii="Aptos" w:hAnsi="Aptos" w:cs="Times New Roman"/>
          <w:noProof/>
        </w:rPr>
        <w:tab/>
        <w:t xml:space="preserve">F. Mushtaq, Y. Xiang, M. Fahim, X. Xie, H. Zhao, W. A. Daoud, </w:t>
      </w:r>
      <w:r w:rsidRPr="003E0254">
        <w:rPr>
          <w:rFonts w:ascii="Aptos" w:hAnsi="Aptos" w:cs="Times New Roman"/>
          <w:i/>
          <w:iCs/>
          <w:noProof/>
        </w:rPr>
        <w:t>Energy Storage Mater.</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73</w:t>
      </w:r>
      <w:r w:rsidRPr="003E0254">
        <w:rPr>
          <w:rFonts w:ascii="Aptos" w:hAnsi="Aptos" w:cs="Times New Roman"/>
          <w:noProof/>
        </w:rPr>
        <w:t>, 103864.</w:t>
      </w:r>
    </w:p>
    <w:p w14:paraId="3FF138D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[263] </w:t>
      </w:r>
      <w:r w:rsidRPr="003E0254">
        <w:rPr>
          <w:rFonts w:ascii="Aptos" w:hAnsi="Aptos" w:cs="Times New Roman"/>
          <w:noProof/>
        </w:rPr>
        <w:tab/>
        <w:t xml:space="preserve">G. Wang, H. Zou, Z. Xu, A. Tang, F. Zhong, X. Zhu, C. Qin, M. Ding, W. You, C. Jia, </w:t>
      </w:r>
      <w:r w:rsidRPr="003E0254">
        <w:rPr>
          <w:rFonts w:ascii="Aptos" w:hAnsi="Aptos" w:cs="Times New Roman"/>
          <w:i/>
          <w:iCs/>
          <w:noProof/>
        </w:rPr>
        <w:t>Mater. Today Energy</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28</w:t>
      </w:r>
      <w:r w:rsidRPr="003E0254">
        <w:rPr>
          <w:rFonts w:ascii="Aptos" w:hAnsi="Aptos" w:cs="Times New Roman"/>
          <w:noProof/>
        </w:rPr>
        <w:t>, 101061.</w:t>
      </w:r>
    </w:p>
    <w:p w14:paraId="241D5E1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[264] </w:t>
      </w:r>
      <w:r w:rsidRPr="003E0254">
        <w:rPr>
          <w:rFonts w:ascii="Aptos" w:hAnsi="Aptos" w:cs="Times New Roman"/>
          <w:noProof/>
        </w:rPr>
        <w:tab/>
        <w:t xml:space="preserve">M. C. Wu, T. S. Zhao, L. Wei, H. R. Jiang, R. H. Zhang,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384</w:t>
      </w:r>
      <w:r w:rsidRPr="003E0254">
        <w:rPr>
          <w:rFonts w:ascii="Aptos" w:hAnsi="Aptos" w:cs="Times New Roman"/>
          <w:noProof/>
        </w:rPr>
        <w:t>, 232.</w:t>
      </w:r>
    </w:p>
    <w:p w14:paraId="15AEE8E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[265] </w:t>
      </w:r>
      <w:r w:rsidRPr="003E0254">
        <w:rPr>
          <w:rFonts w:ascii="Aptos" w:hAnsi="Aptos" w:cs="Times New Roman"/>
          <w:noProof/>
        </w:rPr>
        <w:tab/>
        <w:t xml:space="preserve">H. Zhang, S. Huang, M. Salla, J. Zhuang, M. Gao, D. G. Lek, H. Ye, Q. Wang, </w:t>
      </w:r>
      <w:r w:rsidRPr="003E0254">
        <w:rPr>
          <w:rFonts w:ascii="Aptos" w:hAnsi="Aptos" w:cs="Times New Roman"/>
          <w:i/>
          <w:iCs/>
          <w:noProof/>
        </w:rPr>
        <w:t>ACS Energy Lett.</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7</w:t>
      </w:r>
      <w:r w:rsidRPr="003E0254">
        <w:rPr>
          <w:rFonts w:ascii="Aptos" w:hAnsi="Aptos" w:cs="Times New Roman"/>
          <w:noProof/>
        </w:rPr>
        <w:t>, 2565.</w:t>
      </w:r>
    </w:p>
    <w:p w14:paraId="722AA6C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[266] </w:t>
      </w:r>
      <w:r w:rsidRPr="003E0254">
        <w:rPr>
          <w:rFonts w:ascii="Aptos" w:hAnsi="Aptos" w:cs="Times New Roman"/>
          <w:noProof/>
        </w:rPr>
        <w:tab/>
        <w:t xml:space="preserve">R. Thamizhselvan, R. Naresh, M. Ulaganathan, V. G. Pol, P. Ragupathy, </w:t>
      </w:r>
      <w:r w:rsidRPr="003E0254">
        <w:rPr>
          <w:rFonts w:ascii="Aptos" w:hAnsi="Aptos" w:cs="Times New Roman"/>
          <w:i/>
          <w:iCs/>
          <w:noProof/>
        </w:rPr>
        <w:t>Electrochim. Acta</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441</w:t>
      </w:r>
      <w:r w:rsidRPr="003E0254">
        <w:rPr>
          <w:rFonts w:ascii="Aptos" w:hAnsi="Aptos" w:cs="Times New Roman"/>
          <w:noProof/>
        </w:rPr>
        <w:t>, 141799.</w:t>
      </w:r>
    </w:p>
    <w:p w14:paraId="694C586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[267] </w:t>
      </w:r>
      <w:r w:rsidRPr="003E0254">
        <w:rPr>
          <w:rFonts w:ascii="Aptos" w:hAnsi="Aptos" w:cs="Times New Roman"/>
          <w:noProof/>
        </w:rPr>
        <w:tab/>
        <w:t xml:space="preserve">Y. Cheng, N. Zhang, Q. Wang, Y. Guo, S. Tao, Z. Liao, P. Jiang, Z. Xiang, </w:t>
      </w:r>
      <w:r w:rsidRPr="003E0254">
        <w:rPr>
          <w:rFonts w:ascii="Aptos" w:hAnsi="Aptos" w:cs="Times New Roman"/>
          <w:i/>
          <w:iCs/>
          <w:noProof/>
        </w:rPr>
        <w:t>Nano Energy</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63</w:t>
      </w:r>
      <w:r w:rsidRPr="003E0254">
        <w:rPr>
          <w:rFonts w:ascii="Aptos" w:hAnsi="Aptos" w:cs="Times New Roman"/>
          <w:noProof/>
        </w:rPr>
        <w:t>, 103822.</w:t>
      </w:r>
    </w:p>
    <w:p w14:paraId="30E9932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[268] </w:t>
      </w:r>
      <w:r w:rsidRPr="003E0254">
        <w:rPr>
          <w:rFonts w:ascii="Aptos" w:hAnsi="Aptos" w:cs="Times New Roman"/>
          <w:noProof/>
        </w:rPr>
        <w:tab/>
        <w:t xml:space="preserve">M. Park, E. S. Beh, E. M. Fell, Y. Jing, E. F. Kerr, D. De Porcellinis, M. Goulet, J. Ryu, A. A. Wong, R. G. Gordon, J. Cho, M. J. Aziz, </w:t>
      </w:r>
      <w:r w:rsidRPr="003E0254">
        <w:rPr>
          <w:rFonts w:ascii="Aptos" w:hAnsi="Aptos" w:cs="Times New Roman"/>
          <w:i/>
          <w:iCs/>
          <w:noProof/>
        </w:rPr>
        <w:t>Adv. Energy Mater.</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9</w:t>
      </w:r>
      <w:r w:rsidRPr="003E0254">
        <w:rPr>
          <w:rFonts w:ascii="Aptos" w:hAnsi="Aptos" w:cs="Times New Roman"/>
          <w:noProof/>
        </w:rPr>
        <w:t>, 1900694.</w:t>
      </w:r>
    </w:p>
    <w:p w14:paraId="0BC04B6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[269] </w:t>
      </w:r>
      <w:r w:rsidRPr="003E0254">
        <w:rPr>
          <w:rFonts w:ascii="Aptos" w:hAnsi="Aptos" w:cs="Times New Roman"/>
          <w:noProof/>
        </w:rPr>
        <w:tab/>
        <w:t xml:space="preserve">J. Clayden, N. Greeves, S. Warren, </w:t>
      </w:r>
      <w:r w:rsidRPr="003E0254">
        <w:rPr>
          <w:rFonts w:ascii="Aptos" w:hAnsi="Aptos" w:cs="Times New Roman"/>
          <w:i/>
          <w:iCs/>
          <w:noProof/>
        </w:rPr>
        <w:t>Organic Chemistry</w:t>
      </w:r>
      <w:r w:rsidRPr="003E0254">
        <w:rPr>
          <w:rFonts w:ascii="Aptos" w:hAnsi="Aptos" w:cs="Times New Roman"/>
          <w:noProof/>
        </w:rPr>
        <w:t xml:space="preserve">, Oxford University Press, </w:t>
      </w:r>
      <w:r w:rsidRPr="003E0254">
        <w:rPr>
          <w:rFonts w:ascii="Aptos" w:hAnsi="Aptos" w:cs="Times New Roman"/>
          <w:b/>
          <w:bCs/>
          <w:noProof/>
        </w:rPr>
        <w:t>2001</w:t>
      </w:r>
      <w:r w:rsidRPr="003E0254">
        <w:rPr>
          <w:rFonts w:ascii="Aptos" w:hAnsi="Aptos" w:cs="Times New Roman"/>
          <w:noProof/>
        </w:rPr>
        <w:t>.</w:t>
      </w:r>
    </w:p>
    <w:p w14:paraId="6B19029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[270] </w:t>
      </w:r>
      <w:r w:rsidRPr="003E0254">
        <w:rPr>
          <w:rFonts w:ascii="Aptos" w:hAnsi="Aptos" w:cs="Times New Roman"/>
          <w:noProof/>
        </w:rPr>
        <w:tab/>
        <w:t xml:space="preserve">R. G. Pearson, </w:t>
      </w:r>
      <w:r w:rsidRPr="003E0254">
        <w:rPr>
          <w:rFonts w:ascii="Aptos" w:hAnsi="Aptos" w:cs="Times New Roman"/>
          <w:i/>
          <w:iCs/>
          <w:noProof/>
        </w:rPr>
        <w:t>J. Am. Chem. Soc.</w:t>
      </w:r>
      <w:r w:rsidRPr="003E0254">
        <w:rPr>
          <w:rFonts w:ascii="Aptos" w:hAnsi="Aptos" w:cs="Times New Roman"/>
          <w:noProof/>
        </w:rPr>
        <w:t xml:space="preserve"> </w:t>
      </w:r>
      <w:r w:rsidRPr="003E0254">
        <w:rPr>
          <w:rFonts w:ascii="Aptos" w:hAnsi="Aptos" w:cs="Times New Roman"/>
          <w:b/>
          <w:bCs/>
          <w:noProof/>
        </w:rPr>
        <w:t>1963</w:t>
      </w:r>
      <w:r w:rsidRPr="003E0254">
        <w:rPr>
          <w:rFonts w:ascii="Aptos" w:hAnsi="Aptos" w:cs="Times New Roman"/>
          <w:noProof/>
        </w:rPr>
        <w:t xml:space="preserve">, </w:t>
      </w:r>
      <w:r w:rsidRPr="003E0254">
        <w:rPr>
          <w:rFonts w:ascii="Aptos" w:hAnsi="Aptos" w:cs="Times New Roman"/>
          <w:i/>
          <w:iCs/>
          <w:noProof/>
        </w:rPr>
        <w:t>85</w:t>
      </w:r>
      <w:r w:rsidRPr="003E0254">
        <w:rPr>
          <w:rFonts w:ascii="Aptos" w:hAnsi="Aptos" w:cs="Times New Roman"/>
          <w:noProof/>
        </w:rPr>
        <w:t>, 3533.</w:t>
      </w:r>
    </w:p>
    <w:p w14:paraId="3985045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[271] </w:t>
      </w:r>
      <w:r w:rsidRPr="003E0254">
        <w:rPr>
          <w:rFonts w:ascii="Aptos" w:hAnsi="Aptos" w:cs="Times New Roman"/>
          <w:noProof/>
        </w:rPr>
        <w:tab/>
        <w:t xml:space="preserve">D. Chao, C. Ye, F. Xie, W. Zhou, Q. Zhang, Q. Gu, K. Davey, L. Gu, S.-Z. Qiao, D. Chao, C. Ye, F. Xie, W. Zhou, K. Davey, S. Qiao, Q. Zhang, L. Gu, Q. Gu, </w:t>
      </w:r>
      <w:r w:rsidRPr="003E0254">
        <w:rPr>
          <w:rFonts w:ascii="Aptos" w:hAnsi="Aptos" w:cs="Times New Roman"/>
          <w:i/>
          <w:iCs/>
          <w:noProof/>
        </w:rPr>
        <w:t xml:space="preserve">Adv. </w:t>
      </w:r>
      <w:r w:rsidRPr="003E0254">
        <w:rPr>
          <w:rFonts w:ascii="Aptos" w:hAnsi="Aptos" w:cs="Times New Roman"/>
          <w:i/>
          <w:iCs/>
          <w:noProof/>
          <w:lang w:val="de-DE"/>
        </w:rPr>
        <w:t>Mater.</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32</w:t>
      </w:r>
      <w:r w:rsidRPr="003E0254">
        <w:rPr>
          <w:rFonts w:ascii="Aptos" w:hAnsi="Aptos" w:cs="Times New Roman"/>
          <w:noProof/>
          <w:lang w:val="de-DE"/>
        </w:rPr>
        <w:t>, 2001894.</w:t>
      </w:r>
    </w:p>
    <w:p w14:paraId="3F0555E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[272] </w:t>
      </w:r>
      <w:r w:rsidRPr="003E0254">
        <w:rPr>
          <w:rFonts w:ascii="Aptos" w:hAnsi="Aptos" w:cs="Times New Roman"/>
          <w:noProof/>
          <w:lang w:val="de-DE"/>
        </w:rPr>
        <w:tab/>
        <w:t xml:space="preserve">C. Xie, Y. Duan, W. Xu, H. Zhang, X. Li, </w:t>
      </w:r>
      <w:r w:rsidRPr="003E0254">
        <w:rPr>
          <w:rFonts w:ascii="Aptos" w:hAnsi="Aptos" w:cs="Times New Roman"/>
          <w:i/>
          <w:iCs/>
          <w:noProof/>
          <w:lang w:val="de-DE"/>
        </w:rPr>
        <w:t>Angew. Chemie Int. Ed.</w:t>
      </w:r>
      <w:r w:rsidRPr="003E0254">
        <w:rPr>
          <w:rFonts w:ascii="Aptos" w:hAnsi="Aptos" w:cs="Times New Roman"/>
          <w:noProof/>
          <w:lang w:val="de-DE"/>
        </w:rPr>
        <w:t xml:space="preserve"> </w:t>
      </w:r>
      <w:r w:rsidRPr="003E0254">
        <w:rPr>
          <w:rFonts w:ascii="Aptos" w:hAnsi="Aptos" w:cs="Times New Roman"/>
          <w:b/>
          <w:bCs/>
          <w:noProof/>
          <w:lang w:val="de-DE"/>
        </w:rPr>
        <w:t>2017</w:t>
      </w:r>
      <w:r w:rsidRPr="003E0254">
        <w:rPr>
          <w:rFonts w:ascii="Aptos" w:hAnsi="Aptos" w:cs="Times New Roman"/>
          <w:noProof/>
          <w:lang w:val="de-DE"/>
        </w:rPr>
        <w:t xml:space="preserve">, </w:t>
      </w:r>
      <w:r w:rsidRPr="003E0254">
        <w:rPr>
          <w:rFonts w:ascii="Aptos" w:hAnsi="Aptos" w:cs="Times New Roman"/>
          <w:i/>
          <w:iCs/>
          <w:noProof/>
          <w:lang w:val="de-DE"/>
        </w:rPr>
        <w:t>56</w:t>
      </w:r>
      <w:r w:rsidRPr="003E0254">
        <w:rPr>
          <w:rFonts w:ascii="Aptos" w:hAnsi="Aptos" w:cs="Times New Roman"/>
          <w:noProof/>
          <w:lang w:val="de-DE"/>
        </w:rPr>
        <w:t>, 14953.</w:t>
      </w:r>
    </w:p>
    <w:p w14:paraId="4ABD4AE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[273] </w:t>
      </w:r>
      <w:r w:rsidRPr="003E0254">
        <w:rPr>
          <w:rFonts w:ascii="Aptos" w:hAnsi="Aptos" w:cs="Times New Roman"/>
          <w:noProof/>
          <w:lang w:val="de-DE"/>
        </w:rPr>
        <w:tab/>
        <w:t xml:space="preserve">M. Mousavi, G. Jiang, J. Zhang, A. G. Kashkooli, H. Dou, C. J. Silva, Z. P. Cano, Y. Niu, A. Yu, Z. Chen, </w:t>
      </w:r>
      <w:r w:rsidRPr="003E0254">
        <w:rPr>
          <w:rFonts w:ascii="Aptos" w:hAnsi="Aptos" w:cs="Times New Roman"/>
          <w:i/>
          <w:iCs/>
          <w:noProof/>
          <w:lang w:val="de-DE"/>
        </w:rPr>
        <w:t>Energy Storage Mater.</w:t>
      </w:r>
      <w:r w:rsidRPr="003E0254">
        <w:rPr>
          <w:rFonts w:ascii="Aptos" w:hAnsi="Aptos" w:cs="Times New Roman"/>
          <w:noProof/>
          <w:lang w:val="de-DE"/>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32</w:t>
      </w:r>
      <w:r w:rsidRPr="003E0254">
        <w:rPr>
          <w:rFonts w:ascii="Aptos" w:hAnsi="Aptos" w:cs="Times New Roman"/>
          <w:noProof/>
        </w:rPr>
        <w:t>, 465.</w:t>
      </w:r>
    </w:p>
    <w:p w14:paraId="5AEF141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[274] </w:t>
      </w:r>
      <w:r w:rsidRPr="003E0254">
        <w:rPr>
          <w:rFonts w:ascii="Aptos" w:hAnsi="Aptos" w:cs="Times New Roman"/>
          <w:noProof/>
        </w:rPr>
        <w:tab/>
        <w:t xml:space="preserve">M. Mousavi, H. Dou, H. Fathiannasab, C. J. Silva, A. Yu, Z. Chen, </w:t>
      </w:r>
      <w:r w:rsidRPr="003E0254">
        <w:rPr>
          <w:rFonts w:ascii="Aptos" w:hAnsi="Aptos" w:cs="Times New Roman"/>
          <w:i/>
          <w:iCs/>
          <w:noProof/>
        </w:rPr>
        <w:t>Chem. Eng. J.</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412</w:t>
      </w:r>
      <w:r w:rsidRPr="003E0254">
        <w:rPr>
          <w:rFonts w:ascii="Aptos" w:hAnsi="Aptos" w:cs="Times New Roman"/>
          <w:noProof/>
        </w:rPr>
        <w:t>, 128499.</w:t>
      </w:r>
    </w:p>
    <w:p w14:paraId="20E1F16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[275] </w:t>
      </w:r>
      <w:r w:rsidRPr="003E0254">
        <w:rPr>
          <w:rFonts w:ascii="Aptos" w:hAnsi="Aptos" w:cs="Times New Roman"/>
          <w:noProof/>
        </w:rPr>
        <w:tab/>
        <w:t xml:space="preserve">K. Shin, J. H. Lee, J. Heo, H. T. Kim, </w:t>
      </w:r>
      <w:r w:rsidRPr="003E0254">
        <w:rPr>
          <w:rFonts w:ascii="Aptos" w:hAnsi="Aptos" w:cs="Times New Roman"/>
          <w:i/>
          <w:iCs/>
          <w:noProof/>
        </w:rPr>
        <w:t>Curr. Opin. Electrochem.</w:t>
      </w:r>
      <w:r w:rsidRPr="003E0254">
        <w:rPr>
          <w:rFonts w:ascii="Aptos" w:hAnsi="Aptos" w:cs="Times New Roman"/>
          <w:noProof/>
        </w:rPr>
        <w:t xml:space="preserve"> </w:t>
      </w:r>
      <w:r w:rsidRPr="003E0254">
        <w:rPr>
          <w:rFonts w:ascii="Aptos" w:hAnsi="Aptos" w:cs="Times New Roman"/>
          <w:b/>
          <w:bCs/>
          <w:noProof/>
        </w:rPr>
        <w:t>2022</w:t>
      </w:r>
      <w:r w:rsidRPr="003E0254">
        <w:rPr>
          <w:rFonts w:ascii="Aptos" w:hAnsi="Aptos" w:cs="Times New Roman"/>
          <w:noProof/>
        </w:rPr>
        <w:t xml:space="preserve">, </w:t>
      </w:r>
      <w:r w:rsidRPr="003E0254">
        <w:rPr>
          <w:rFonts w:ascii="Aptos" w:hAnsi="Aptos" w:cs="Times New Roman"/>
          <w:i/>
          <w:iCs/>
          <w:noProof/>
        </w:rPr>
        <w:t>32</w:t>
      </w:r>
      <w:r w:rsidRPr="003E0254">
        <w:rPr>
          <w:rFonts w:ascii="Aptos" w:hAnsi="Aptos" w:cs="Times New Roman"/>
          <w:noProof/>
        </w:rPr>
        <w:t>, 100898.</w:t>
      </w:r>
    </w:p>
    <w:p w14:paraId="16F791E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[276] </w:t>
      </w:r>
      <w:r w:rsidRPr="003E0254">
        <w:rPr>
          <w:rFonts w:ascii="Aptos" w:hAnsi="Aptos" w:cs="Times New Roman"/>
          <w:noProof/>
        </w:rPr>
        <w:tab/>
        <w:t xml:space="preserve">A. Mahmood, Z. Zheng, Y. Chen, </w:t>
      </w:r>
      <w:r w:rsidRPr="003E0254">
        <w:rPr>
          <w:rFonts w:ascii="Aptos" w:hAnsi="Aptos" w:cs="Times New Roman"/>
          <w:i/>
          <w:iCs/>
          <w:noProof/>
        </w:rPr>
        <w:t>Adv. Sci.</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11</w:t>
      </w:r>
      <w:r w:rsidRPr="003E0254">
        <w:rPr>
          <w:rFonts w:ascii="Aptos" w:hAnsi="Aptos" w:cs="Times New Roman"/>
          <w:noProof/>
        </w:rPr>
        <w:t>, 2305561.</w:t>
      </w:r>
    </w:p>
    <w:p w14:paraId="32A42FD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[277] </w:t>
      </w:r>
      <w:r w:rsidRPr="003E0254">
        <w:rPr>
          <w:rFonts w:ascii="Aptos" w:hAnsi="Aptos" w:cs="Times New Roman"/>
          <w:noProof/>
          <w:lang w:val="de-DE"/>
        </w:rPr>
        <w:tab/>
        <w:t xml:space="preserve">J. Winsberg, T. Janoschka, S. Morgenstern, T. Hagemann, S. Muench, G. Hauffman, J. Gohy, M. D. Hager, U. S. Schubert, </w:t>
      </w:r>
      <w:r w:rsidRPr="003E0254">
        <w:rPr>
          <w:rFonts w:ascii="Aptos" w:hAnsi="Aptos" w:cs="Times New Roman"/>
          <w:i/>
          <w:iCs/>
          <w:noProof/>
          <w:lang w:val="de-DE"/>
        </w:rPr>
        <w:t>Adv. Mater.</w:t>
      </w:r>
      <w:r w:rsidRPr="003E0254">
        <w:rPr>
          <w:rFonts w:ascii="Aptos" w:hAnsi="Aptos" w:cs="Times New Roman"/>
          <w:noProof/>
          <w:lang w:val="de-DE"/>
        </w:rPr>
        <w:t xml:space="preserve"> </w:t>
      </w:r>
      <w:r w:rsidRPr="003E0254">
        <w:rPr>
          <w:rFonts w:ascii="Aptos" w:hAnsi="Aptos" w:cs="Times New Roman"/>
          <w:b/>
          <w:bCs/>
          <w:noProof/>
          <w:lang w:val="de-DE"/>
        </w:rPr>
        <w:t>2016</w:t>
      </w:r>
      <w:r w:rsidRPr="003E0254">
        <w:rPr>
          <w:rFonts w:ascii="Aptos" w:hAnsi="Aptos" w:cs="Times New Roman"/>
          <w:noProof/>
          <w:lang w:val="de-DE"/>
        </w:rPr>
        <w:t xml:space="preserve">, </w:t>
      </w:r>
      <w:r w:rsidRPr="003E0254">
        <w:rPr>
          <w:rFonts w:ascii="Aptos" w:hAnsi="Aptos" w:cs="Times New Roman"/>
          <w:i/>
          <w:iCs/>
          <w:noProof/>
          <w:lang w:val="de-DE"/>
        </w:rPr>
        <w:t>28</w:t>
      </w:r>
      <w:r w:rsidRPr="003E0254">
        <w:rPr>
          <w:rFonts w:ascii="Aptos" w:hAnsi="Aptos" w:cs="Times New Roman"/>
          <w:noProof/>
          <w:lang w:val="de-DE"/>
        </w:rPr>
        <w:t>, 2238.</w:t>
      </w:r>
    </w:p>
    <w:p w14:paraId="5FCB3EE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[278] </w:t>
      </w:r>
      <w:r w:rsidRPr="003E0254">
        <w:rPr>
          <w:rFonts w:ascii="Aptos" w:hAnsi="Aptos" w:cs="Times New Roman"/>
          <w:noProof/>
          <w:lang w:val="de-DE"/>
        </w:rPr>
        <w:tab/>
        <w:t xml:space="preserve">J. Luo, B. Hu, M. Hu, W. Wu, T. L. Liu, </w:t>
      </w:r>
      <w:r w:rsidRPr="003E0254">
        <w:rPr>
          <w:rFonts w:ascii="Aptos" w:hAnsi="Aptos" w:cs="Times New Roman"/>
          <w:i/>
          <w:iCs/>
          <w:noProof/>
          <w:lang w:val="de-DE"/>
        </w:rPr>
        <w:t>Angew. Chemie</w:t>
      </w:r>
      <w:r w:rsidRPr="003E0254">
        <w:rPr>
          <w:rFonts w:ascii="Aptos" w:hAnsi="Aptos" w:cs="Times New Roman"/>
          <w:noProof/>
          <w:lang w:val="de-DE"/>
        </w:rPr>
        <w:t xml:space="preserve"> </w:t>
      </w:r>
      <w:r w:rsidRPr="003E0254">
        <w:rPr>
          <w:rFonts w:ascii="Aptos" w:hAnsi="Aptos" w:cs="Times New Roman"/>
          <w:b/>
          <w:bCs/>
          <w:noProof/>
          <w:lang w:val="de-DE"/>
        </w:rPr>
        <w:t>2022</w:t>
      </w:r>
      <w:r w:rsidRPr="003E0254">
        <w:rPr>
          <w:rFonts w:ascii="Aptos" w:hAnsi="Aptos" w:cs="Times New Roman"/>
          <w:noProof/>
          <w:lang w:val="de-DE"/>
        </w:rPr>
        <w:t xml:space="preserve">, </w:t>
      </w:r>
      <w:r w:rsidRPr="003E0254">
        <w:rPr>
          <w:rFonts w:ascii="Aptos" w:hAnsi="Aptos" w:cs="Times New Roman"/>
          <w:i/>
          <w:iCs/>
          <w:noProof/>
          <w:lang w:val="de-DE"/>
        </w:rPr>
        <w:t>134</w:t>
      </w:r>
      <w:r w:rsidRPr="003E0254">
        <w:rPr>
          <w:rFonts w:ascii="Aptos" w:hAnsi="Aptos" w:cs="Times New Roman"/>
          <w:noProof/>
          <w:lang w:val="de-DE"/>
        </w:rPr>
        <w:t>, e202204030.</w:t>
      </w:r>
    </w:p>
    <w:p w14:paraId="1339769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lang w:val="de-DE"/>
        </w:rPr>
        <w:t xml:space="preserve">[279] </w:t>
      </w:r>
      <w:r w:rsidRPr="003E0254">
        <w:rPr>
          <w:rFonts w:ascii="Aptos" w:hAnsi="Aptos" w:cs="Times New Roman"/>
          <w:noProof/>
          <w:lang w:val="de-DE"/>
        </w:rPr>
        <w:tab/>
        <w:t xml:space="preserve">Z. Xie, Q. Su, A. Shi, B. Yang, B. Liu, J. Chen, X. Zhou, D. Cai, L. Yang, </w:t>
      </w:r>
      <w:r w:rsidRPr="003E0254">
        <w:rPr>
          <w:rFonts w:ascii="Aptos" w:hAnsi="Aptos" w:cs="Times New Roman"/>
          <w:i/>
          <w:iCs/>
          <w:noProof/>
          <w:lang w:val="de-DE"/>
        </w:rPr>
        <w:t>J. Energy Chem.</w:t>
      </w:r>
      <w:r w:rsidRPr="003E0254">
        <w:rPr>
          <w:rFonts w:ascii="Aptos" w:hAnsi="Aptos" w:cs="Times New Roman"/>
          <w:noProof/>
          <w:lang w:val="de-DE"/>
        </w:rPr>
        <w:t xml:space="preserve"> </w:t>
      </w:r>
      <w:r w:rsidRPr="003E0254">
        <w:rPr>
          <w:rFonts w:ascii="Aptos" w:hAnsi="Aptos" w:cs="Times New Roman"/>
          <w:b/>
          <w:bCs/>
          <w:noProof/>
          <w:lang w:val="de-DE"/>
        </w:rPr>
        <w:t>2016</w:t>
      </w:r>
      <w:r w:rsidRPr="003E0254">
        <w:rPr>
          <w:rFonts w:ascii="Aptos" w:hAnsi="Aptos" w:cs="Times New Roman"/>
          <w:noProof/>
          <w:lang w:val="de-DE"/>
        </w:rPr>
        <w:t xml:space="preserve">, </w:t>
      </w:r>
      <w:r w:rsidRPr="003E0254">
        <w:rPr>
          <w:rFonts w:ascii="Aptos" w:hAnsi="Aptos" w:cs="Times New Roman"/>
          <w:i/>
          <w:iCs/>
          <w:noProof/>
          <w:lang w:val="de-DE"/>
        </w:rPr>
        <w:t>25</w:t>
      </w:r>
      <w:r w:rsidRPr="003E0254">
        <w:rPr>
          <w:rFonts w:ascii="Aptos" w:hAnsi="Aptos" w:cs="Times New Roman"/>
          <w:noProof/>
          <w:lang w:val="de-DE"/>
        </w:rPr>
        <w:t>, 495.</w:t>
      </w:r>
    </w:p>
    <w:p w14:paraId="1E885C8C"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[280] </w:t>
      </w:r>
      <w:r w:rsidRPr="003E0254">
        <w:rPr>
          <w:rFonts w:ascii="Aptos" w:hAnsi="Aptos" w:cs="Times New Roman"/>
          <w:noProof/>
        </w:rPr>
        <w:tab/>
        <w:t xml:space="preserve">P. K. Leung, Q. Xu, T. S. Zhao, </w:t>
      </w:r>
      <w:r w:rsidRPr="003E0254">
        <w:rPr>
          <w:rFonts w:ascii="Aptos" w:hAnsi="Aptos" w:cs="Times New Roman"/>
          <w:i/>
          <w:iCs/>
          <w:noProof/>
        </w:rPr>
        <w:t>Electrochim. Acta</w:t>
      </w:r>
      <w:r w:rsidRPr="003E0254">
        <w:rPr>
          <w:rFonts w:ascii="Aptos" w:hAnsi="Aptos" w:cs="Times New Roman"/>
          <w:noProof/>
        </w:rPr>
        <w:t xml:space="preserve"> </w:t>
      </w:r>
      <w:r w:rsidRPr="003E0254">
        <w:rPr>
          <w:rFonts w:ascii="Aptos" w:hAnsi="Aptos" w:cs="Times New Roman"/>
          <w:b/>
          <w:bCs/>
          <w:noProof/>
        </w:rPr>
        <w:t>2012</w:t>
      </w:r>
      <w:r w:rsidRPr="003E0254">
        <w:rPr>
          <w:rFonts w:ascii="Aptos" w:hAnsi="Aptos" w:cs="Times New Roman"/>
          <w:noProof/>
        </w:rPr>
        <w:t xml:space="preserve">, </w:t>
      </w:r>
      <w:r w:rsidRPr="003E0254">
        <w:rPr>
          <w:rFonts w:ascii="Aptos" w:hAnsi="Aptos" w:cs="Times New Roman"/>
          <w:i/>
          <w:iCs/>
          <w:noProof/>
        </w:rPr>
        <w:t>79</w:t>
      </w:r>
      <w:r w:rsidRPr="003E0254">
        <w:rPr>
          <w:rFonts w:ascii="Aptos" w:hAnsi="Aptos" w:cs="Times New Roman"/>
          <w:noProof/>
        </w:rPr>
        <w:t>, 117.</w:t>
      </w:r>
    </w:p>
    <w:p w14:paraId="705335D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[281] </w:t>
      </w:r>
      <w:r w:rsidRPr="003E0254">
        <w:rPr>
          <w:rFonts w:ascii="Aptos" w:hAnsi="Aptos" w:cs="Times New Roman"/>
          <w:noProof/>
        </w:rPr>
        <w:tab/>
        <w:t xml:space="preserve">A. Orita, M. G. Verde, M. Sakai, Y. S. Meng,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2016</w:t>
      </w:r>
      <w:r w:rsidRPr="003E0254">
        <w:rPr>
          <w:rFonts w:ascii="Aptos" w:hAnsi="Aptos" w:cs="Times New Roman"/>
          <w:noProof/>
        </w:rPr>
        <w:t xml:space="preserve">, </w:t>
      </w:r>
      <w:r w:rsidRPr="003E0254">
        <w:rPr>
          <w:rFonts w:ascii="Aptos" w:hAnsi="Aptos" w:cs="Times New Roman"/>
          <w:i/>
          <w:iCs/>
          <w:noProof/>
        </w:rPr>
        <w:t>321</w:t>
      </w:r>
      <w:r w:rsidRPr="003E0254">
        <w:rPr>
          <w:rFonts w:ascii="Aptos" w:hAnsi="Aptos" w:cs="Times New Roman"/>
          <w:noProof/>
        </w:rPr>
        <w:t>, 126.</w:t>
      </w:r>
    </w:p>
    <w:p w14:paraId="4345177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[282] </w:t>
      </w:r>
      <w:r w:rsidRPr="003E0254">
        <w:rPr>
          <w:rFonts w:ascii="Aptos" w:hAnsi="Aptos" w:cs="Times New Roman"/>
          <w:noProof/>
        </w:rPr>
        <w:tab/>
        <w:t xml:space="preserve">M. Shoaib, P. Vallayil, N. Jaiswal, P. Iyapazham Vaigunda Suba, S. Sankararaman, K. Ramanujam, V. Thangadurai, </w:t>
      </w:r>
      <w:r w:rsidRPr="003E0254">
        <w:rPr>
          <w:rFonts w:ascii="Aptos" w:hAnsi="Aptos" w:cs="Times New Roman"/>
          <w:i/>
          <w:iCs/>
          <w:noProof/>
        </w:rPr>
        <w:t>Adv. Energy Mater.</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14</w:t>
      </w:r>
      <w:r w:rsidRPr="003E0254">
        <w:rPr>
          <w:rFonts w:ascii="Aptos" w:hAnsi="Aptos" w:cs="Times New Roman"/>
          <w:noProof/>
        </w:rPr>
        <w:t>, 2400721.</w:t>
      </w:r>
    </w:p>
    <w:p w14:paraId="4CA1865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[283] </w:t>
      </w:r>
      <w:r w:rsidRPr="003E0254">
        <w:rPr>
          <w:rFonts w:ascii="Aptos" w:hAnsi="Aptos" w:cs="Times New Roman"/>
          <w:noProof/>
        </w:rPr>
        <w:tab/>
        <w:t xml:space="preserve">Z. Yuan, X. Li, </w:t>
      </w:r>
      <w:r w:rsidRPr="003E0254">
        <w:rPr>
          <w:rFonts w:ascii="Aptos" w:hAnsi="Aptos" w:cs="Times New Roman"/>
          <w:i/>
          <w:iCs/>
          <w:noProof/>
        </w:rPr>
        <w:t>Sci. China Chem.</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67</w:t>
      </w:r>
      <w:r w:rsidRPr="003E0254">
        <w:rPr>
          <w:rFonts w:ascii="Aptos" w:hAnsi="Aptos" w:cs="Times New Roman"/>
          <w:noProof/>
        </w:rPr>
        <w:t>, 260.</w:t>
      </w:r>
    </w:p>
    <w:p w14:paraId="6BABC99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[284] </w:t>
      </w:r>
      <w:r w:rsidRPr="003E0254">
        <w:rPr>
          <w:rFonts w:ascii="Aptos" w:hAnsi="Aptos" w:cs="Times New Roman"/>
          <w:noProof/>
        </w:rPr>
        <w:tab/>
        <w:t xml:space="preserve">A. Joseph, S. Mathew, </w:t>
      </w:r>
      <w:r w:rsidRPr="003E0254">
        <w:rPr>
          <w:rFonts w:ascii="Aptos" w:hAnsi="Aptos" w:cs="Times New Roman"/>
          <w:i/>
          <w:iCs/>
          <w:noProof/>
        </w:rPr>
        <w:t>Handb. Energy Mater.</w:t>
      </w:r>
      <w:r w:rsidRPr="003E0254">
        <w:rPr>
          <w:rFonts w:ascii="Aptos" w:hAnsi="Aptos" w:cs="Times New Roman"/>
          <w:noProof/>
        </w:rPr>
        <w:t xml:space="preserve"> </w:t>
      </w:r>
      <w:r w:rsidRPr="003E0254">
        <w:rPr>
          <w:rFonts w:ascii="Aptos" w:hAnsi="Aptos" w:cs="Times New Roman"/>
          <w:b/>
          <w:bCs/>
          <w:noProof/>
        </w:rPr>
        <w:t>2025</w:t>
      </w:r>
      <w:r w:rsidRPr="003E0254">
        <w:rPr>
          <w:rFonts w:ascii="Aptos" w:hAnsi="Aptos" w:cs="Times New Roman"/>
          <w:noProof/>
        </w:rPr>
        <w:t>, 1.</w:t>
      </w:r>
    </w:p>
    <w:p w14:paraId="3860933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[285] </w:t>
      </w:r>
      <w:r w:rsidRPr="003E0254">
        <w:rPr>
          <w:rFonts w:ascii="Aptos" w:hAnsi="Aptos" w:cs="Times New Roman"/>
          <w:noProof/>
        </w:rPr>
        <w:tab/>
        <w:t xml:space="preserve">S. Mitra,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1982</w:t>
      </w:r>
      <w:r w:rsidRPr="003E0254">
        <w:rPr>
          <w:rFonts w:ascii="Aptos" w:hAnsi="Aptos" w:cs="Times New Roman"/>
          <w:noProof/>
        </w:rPr>
        <w:t xml:space="preserve">, </w:t>
      </w:r>
      <w:r w:rsidRPr="003E0254">
        <w:rPr>
          <w:rFonts w:ascii="Aptos" w:hAnsi="Aptos" w:cs="Times New Roman"/>
          <w:i/>
          <w:iCs/>
          <w:noProof/>
        </w:rPr>
        <w:t>8</w:t>
      </w:r>
      <w:r w:rsidRPr="003E0254">
        <w:rPr>
          <w:rFonts w:ascii="Aptos" w:hAnsi="Aptos" w:cs="Times New Roman"/>
          <w:noProof/>
        </w:rPr>
        <w:t>, 359.</w:t>
      </w:r>
    </w:p>
    <w:p w14:paraId="6BFCB990"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[286] </w:t>
      </w:r>
      <w:r w:rsidRPr="003E0254">
        <w:rPr>
          <w:rFonts w:ascii="Aptos" w:hAnsi="Aptos" w:cs="Times New Roman"/>
          <w:noProof/>
        </w:rPr>
        <w:tab/>
        <w:t xml:space="preserve">D. Fan, J. Gong, S. Deng, H. Yan, Q. Zhu, H. Jiang, </w:t>
      </w:r>
      <w:r w:rsidRPr="003E0254">
        <w:rPr>
          <w:rFonts w:ascii="Aptos" w:hAnsi="Aptos" w:cs="Times New Roman"/>
          <w:i/>
          <w:iCs/>
          <w:noProof/>
        </w:rPr>
        <w:t>J. Energy Storage</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92</w:t>
      </w:r>
      <w:r w:rsidRPr="003E0254">
        <w:rPr>
          <w:rFonts w:ascii="Aptos" w:hAnsi="Aptos" w:cs="Times New Roman"/>
          <w:noProof/>
        </w:rPr>
        <w:t>, 112215.</w:t>
      </w:r>
    </w:p>
    <w:p w14:paraId="5967AA91"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[287] </w:t>
      </w:r>
      <w:r w:rsidRPr="003E0254">
        <w:rPr>
          <w:rFonts w:ascii="Aptos" w:hAnsi="Aptos" w:cs="Times New Roman"/>
          <w:noProof/>
        </w:rPr>
        <w:tab/>
        <w:t xml:space="preserve">S. Wang, T. Li, C. Yuan, J. Zhu, P. Li, S. Zhang, Z. Wei, Y. Wang, X. Li, C. Zhi, </w:t>
      </w:r>
      <w:r w:rsidRPr="003E0254">
        <w:rPr>
          <w:rFonts w:ascii="Aptos" w:hAnsi="Aptos" w:cs="Times New Roman"/>
          <w:i/>
          <w:iCs/>
          <w:noProof/>
        </w:rPr>
        <w:t>Energy Environ. Sci.</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17</w:t>
      </w:r>
      <w:r w:rsidRPr="003E0254">
        <w:rPr>
          <w:rFonts w:ascii="Aptos" w:hAnsi="Aptos" w:cs="Times New Roman"/>
          <w:noProof/>
        </w:rPr>
        <w:t>, 7155.</w:t>
      </w:r>
    </w:p>
    <w:p w14:paraId="7907742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[288] </w:t>
      </w:r>
      <w:r w:rsidRPr="003E0254">
        <w:rPr>
          <w:rFonts w:ascii="Aptos" w:hAnsi="Aptos" w:cs="Times New Roman"/>
          <w:noProof/>
        </w:rPr>
        <w:tab/>
        <w:t xml:space="preserve">P. Leung, A. A. Shah, L. Sanz, C. Flox, J. R. Morante, Q. Xu, M. R. Mohamed, C. Ponce de León, F. C. Walsh,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2017</w:t>
      </w:r>
      <w:r w:rsidRPr="003E0254">
        <w:rPr>
          <w:rFonts w:ascii="Aptos" w:hAnsi="Aptos" w:cs="Times New Roman"/>
          <w:noProof/>
        </w:rPr>
        <w:t xml:space="preserve">, </w:t>
      </w:r>
      <w:r w:rsidRPr="003E0254">
        <w:rPr>
          <w:rFonts w:ascii="Aptos" w:hAnsi="Aptos" w:cs="Times New Roman"/>
          <w:i/>
          <w:iCs/>
          <w:noProof/>
        </w:rPr>
        <w:t>360</w:t>
      </w:r>
      <w:r w:rsidRPr="003E0254">
        <w:rPr>
          <w:rFonts w:ascii="Aptos" w:hAnsi="Aptos" w:cs="Times New Roman"/>
          <w:noProof/>
        </w:rPr>
        <w:t>, 243.</w:t>
      </w:r>
    </w:p>
    <w:p w14:paraId="2E01246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[289] </w:t>
      </w:r>
      <w:r w:rsidRPr="003E0254">
        <w:rPr>
          <w:rFonts w:ascii="Aptos" w:hAnsi="Aptos" w:cs="Times New Roman"/>
          <w:noProof/>
        </w:rPr>
        <w:tab/>
        <w:t xml:space="preserve">D. Cremoncini, G. Di Lorenzo, G. F. Frate, A. Bischi, A. Baccioli, L. Ferrari, </w:t>
      </w:r>
      <w:r w:rsidRPr="003E0254">
        <w:rPr>
          <w:rFonts w:ascii="Aptos" w:hAnsi="Aptos" w:cs="Times New Roman"/>
          <w:i/>
          <w:iCs/>
          <w:noProof/>
        </w:rPr>
        <w:t>Appl. Energy</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xml:space="preserve">, </w:t>
      </w:r>
      <w:r w:rsidRPr="003E0254">
        <w:rPr>
          <w:rFonts w:ascii="Aptos" w:hAnsi="Aptos" w:cs="Times New Roman"/>
          <w:i/>
          <w:iCs/>
          <w:noProof/>
        </w:rPr>
        <w:t>360</w:t>
      </w:r>
      <w:r w:rsidRPr="003E0254">
        <w:rPr>
          <w:rFonts w:ascii="Aptos" w:hAnsi="Aptos" w:cs="Times New Roman"/>
          <w:noProof/>
        </w:rPr>
        <w:t>, 122738.</w:t>
      </w:r>
    </w:p>
    <w:p w14:paraId="7CDEBB5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[290] </w:t>
      </w:r>
      <w:r w:rsidRPr="003E0254">
        <w:rPr>
          <w:rFonts w:ascii="Aptos" w:hAnsi="Aptos" w:cs="Times New Roman"/>
          <w:noProof/>
        </w:rPr>
        <w:tab/>
        <w:t xml:space="preserve">D. Emmel, S. Kunz, N. Blume, Y. Kwon, T. Turek, C. Minke, D. Schröder, </w:t>
      </w:r>
      <w:r w:rsidRPr="003E0254">
        <w:rPr>
          <w:rFonts w:ascii="Aptos" w:hAnsi="Aptos" w:cs="Times New Roman"/>
          <w:i/>
          <w:iCs/>
          <w:noProof/>
        </w:rPr>
        <w:t>Nat. Commun. 2023 141</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14</w:t>
      </w:r>
      <w:r w:rsidRPr="003E0254">
        <w:rPr>
          <w:rFonts w:ascii="Aptos" w:hAnsi="Aptos" w:cs="Times New Roman"/>
          <w:noProof/>
        </w:rPr>
        <w:t>, 1.</w:t>
      </w:r>
    </w:p>
    <w:p w14:paraId="07C6DC3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[291] </w:t>
      </w:r>
      <w:r w:rsidRPr="003E0254">
        <w:rPr>
          <w:rFonts w:ascii="Aptos" w:hAnsi="Aptos" w:cs="Times New Roman"/>
          <w:noProof/>
        </w:rPr>
        <w:tab/>
        <w:t xml:space="preserve">L. Rostek, E. Pirard, A. Loibl, </w:t>
      </w:r>
      <w:r w:rsidRPr="003E0254">
        <w:rPr>
          <w:rFonts w:ascii="Aptos" w:hAnsi="Aptos" w:cs="Times New Roman"/>
          <w:i/>
          <w:iCs/>
          <w:noProof/>
        </w:rPr>
        <w:t>Resour. Conserv. Recycl. Adv.</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19</w:t>
      </w:r>
      <w:r w:rsidRPr="003E0254">
        <w:rPr>
          <w:rFonts w:ascii="Aptos" w:hAnsi="Aptos" w:cs="Times New Roman"/>
          <w:noProof/>
        </w:rPr>
        <w:t>, 200166.</w:t>
      </w:r>
    </w:p>
    <w:p w14:paraId="72FB0684"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[292] </w:t>
      </w:r>
      <w:r w:rsidRPr="003E0254">
        <w:rPr>
          <w:rFonts w:ascii="Aptos" w:hAnsi="Aptos" w:cs="Times New Roman"/>
          <w:noProof/>
        </w:rPr>
        <w:tab/>
        <w:t xml:space="preserve">Dr. Josef Daniel- Ivad, </w:t>
      </w:r>
      <w:r w:rsidRPr="003E0254">
        <w:rPr>
          <w:rFonts w:ascii="Aptos" w:hAnsi="Aptos" w:cs="Times New Roman"/>
          <w:i/>
          <w:iCs/>
          <w:noProof/>
        </w:rPr>
        <w:t>Think Zinc! The Zinc Battery Initiative</w:t>
      </w:r>
      <w:r w:rsidRPr="003E0254">
        <w:rPr>
          <w:rFonts w:ascii="Aptos" w:hAnsi="Aptos" w:cs="Times New Roman"/>
          <w:noProof/>
        </w:rPr>
        <w:t xml:space="preserve">, Orlando, FL, </w:t>
      </w:r>
      <w:r w:rsidRPr="003E0254">
        <w:rPr>
          <w:rFonts w:ascii="Aptos" w:hAnsi="Aptos" w:cs="Times New Roman"/>
          <w:b/>
          <w:bCs/>
          <w:noProof/>
        </w:rPr>
        <w:t>2025</w:t>
      </w:r>
      <w:r w:rsidRPr="003E0254">
        <w:rPr>
          <w:rFonts w:ascii="Aptos" w:hAnsi="Aptos" w:cs="Times New Roman"/>
          <w:noProof/>
        </w:rPr>
        <w:t>.</w:t>
      </w:r>
    </w:p>
    <w:p w14:paraId="2335DC4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[293] </w:t>
      </w:r>
      <w:r w:rsidRPr="003E0254">
        <w:rPr>
          <w:rFonts w:ascii="Aptos" w:hAnsi="Aptos" w:cs="Times New Roman"/>
          <w:noProof/>
        </w:rPr>
        <w:tab/>
        <w:t xml:space="preserve">U. S. G. Survey, </w:t>
      </w:r>
      <w:r w:rsidRPr="003E0254">
        <w:rPr>
          <w:rFonts w:ascii="Aptos" w:hAnsi="Aptos" w:cs="Times New Roman"/>
          <w:i/>
          <w:iCs/>
          <w:noProof/>
        </w:rPr>
        <w:t>Miner. Commod. Summ.</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w:t>
      </w:r>
    </w:p>
    <w:p w14:paraId="64517AF8"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[294] </w:t>
      </w:r>
      <w:r w:rsidRPr="003E0254">
        <w:rPr>
          <w:rFonts w:ascii="Aptos" w:hAnsi="Aptos" w:cs="Times New Roman"/>
          <w:noProof/>
        </w:rPr>
        <w:tab/>
        <w:t>Lithium price volatility: where next for the market? - Oxford Institute for Energy Studies, .</w:t>
      </w:r>
    </w:p>
    <w:p w14:paraId="24E765B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[295] </w:t>
      </w:r>
      <w:r w:rsidRPr="003E0254">
        <w:rPr>
          <w:rFonts w:ascii="Aptos" w:hAnsi="Aptos" w:cs="Times New Roman"/>
          <w:noProof/>
        </w:rPr>
        <w:tab/>
        <w:t>Global energy storage market size by region 2031 | Statista, .</w:t>
      </w:r>
    </w:p>
    <w:p w14:paraId="5C37083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[296] </w:t>
      </w:r>
      <w:r w:rsidRPr="003E0254">
        <w:rPr>
          <w:rFonts w:ascii="Aptos" w:hAnsi="Aptos" w:cs="Times New Roman"/>
          <w:noProof/>
          <w:lang w:val="de-DE"/>
        </w:rPr>
        <w:tab/>
        <w:t xml:space="preserve">B. Tepe, N. Collath, H. Hesse, M. Rosenthal, U. Windelen, </w:t>
      </w:r>
      <w:r w:rsidRPr="003E0254">
        <w:rPr>
          <w:rFonts w:ascii="Aptos" w:hAnsi="Aptos" w:cs="Times New Roman"/>
          <w:i/>
          <w:iCs/>
          <w:noProof/>
          <w:lang w:val="de-DE"/>
        </w:rPr>
        <w:t xml:space="preserve">Energiewirtschaftliche Tagesfragen 71. </w:t>
      </w:r>
      <w:r w:rsidRPr="003E0254">
        <w:rPr>
          <w:rFonts w:ascii="Aptos" w:hAnsi="Aptos" w:cs="Times New Roman"/>
          <w:i/>
          <w:iCs/>
          <w:noProof/>
        </w:rPr>
        <w:t>Jg.</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3.</w:t>
      </w:r>
    </w:p>
    <w:p w14:paraId="4642BF75"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[297] </w:t>
      </w:r>
      <w:r w:rsidRPr="003E0254">
        <w:rPr>
          <w:rFonts w:ascii="Aptos" w:hAnsi="Aptos" w:cs="Times New Roman"/>
          <w:noProof/>
        </w:rPr>
        <w:tab/>
        <w:t xml:space="preserve">BATT4EU SRIA European Partnership - Strategic Research &amp; Innovation Agenda - February, </w:t>
      </w:r>
      <w:r w:rsidRPr="003E0254">
        <w:rPr>
          <w:rFonts w:ascii="Aptos" w:hAnsi="Aptos" w:cs="Times New Roman"/>
          <w:b/>
          <w:bCs/>
          <w:noProof/>
        </w:rPr>
        <w:t>2024</w:t>
      </w:r>
      <w:r w:rsidRPr="003E0254">
        <w:rPr>
          <w:rFonts w:ascii="Aptos" w:hAnsi="Aptos" w:cs="Times New Roman"/>
          <w:noProof/>
        </w:rPr>
        <w:t>.</w:t>
      </w:r>
    </w:p>
    <w:p w14:paraId="09B7BC0E"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[298] </w:t>
      </w:r>
      <w:r w:rsidRPr="003E0254">
        <w:rPr>
          <w:rFonts w:ascii="Aptos" w:hAnsi="Aptos" w:cs="Times New Roman"/>
          <w:noProof/>
          <w:lang w:val="de-DE"/>
        </w:rPr>
        <w:tab/>
        <w:t xml:space="preserve">R. Petri, T. Giebel, B. Zhang, J. H. Schünemann, C. Herrmann, </w:t>
      </w:r>
      <w:r w:rsidRPr="003E0254">
        <w:rPr>
          <w:rFonts w:ascii="Aptos" w:hAnsi="Aptos" w:cs="Times New Roman"/>
          <w:i/>
          <w:iCs/>
          <w:noProof/>
          <w:lang w:val="de-DE"/>
        </w:rPr>
        <w:t xml:space="preserve">Int. J. Precis. </w:t>
      </w:r>
      <w:r w:rsidRPr="003E0254">
        <w:rPr>
          <w:rFonts w:ascii="Aptos" w:hAnsi="Aptos" w:cs="Times New Roman"/>
          <w:i/>
          <w:iCs/>
          <w:noProof/>
        </w:rPr>
        <w:t>Eng. Manuf. - Green Technol.</w:t>
      </w:r>
      <w:r w:rsidRPr="003E0254">
        <w:rPr>
          <w:rFonts w:ascii="Aptos" w:hAnsi="Aptos" w:cs="Times New Roman"/>
          <w:noProof/>
        </w:rPr>
        <w:t xml:space="preserve"> </w:t>
      </w:r>
      <w:r w:rsidRPr="003E0254">
        <w:rPr>
          <w:rFonts w:ascii="Aptos" w:hAnsi="Aptos" w:cs="Times New Roman"/>
          <w:b/>
          <w:bCs/>
          <w:noProof/>
        </w:rPr>
        <w:t>2015</w:t>
      </w:r>
      <w:r w:rsidRPr="003E0254">
        <w:rPr>
          <w:rFonts w:ascii="Aptos" w:hAnsi="Aptos" w:cs="Times New Roman"/>
          <w:noProof/>
        </w:rPr>
        <w:t xml:space="preserve">, </w:t>
      </w:r>
      <w:r w:rsidRPr="003E0254">
        <w:rPr>
          <w:rFonts w:ascii="Aptos" w:hAnsi="Aptos" w:cs="Times New Roman"/>
          <w:i/>
          <w:iCs/>
          <w:noProof/>
        </w:rPr>
        <w:t>2</w:t>
      </w:r>
      <w:r w:rsidRPr="003E0254">
        <w:rPr>
          <w:rFonts w:ascii="Aptos" w:hAnsi="Aptos" w:cs="Times New Roman"/>
          <w:noProof/>
        </w:rPr>
        <w:t>, 263.</w:t>
      </w:r>
    </w:p>
    <w:p w14:paraId="68B622A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[299] </w:t>
      </w:r>
      <w:r w:rsidRPr="003E0254">
        <w:rPr>
          <w:rFonts w:ascii="Aptos" w:hAnsi="Aptos" w:cs="Times New Roman"/>
          <w:noProof/>
        </w:rPr>
        <w:tab/>
        <w:t xml:space="preserve">M. Wentker, M. Greenwood, J. Leker, </w:t>
      </w:r>
      <w:r w:rsidRPr="003E0254">
        <w:rPr>
          <w:rFonts w:ascii="Aptos" w:hAnsi="Aptos" w:cs="Times New Roman"/>
          <w:i/>
          <w:iCs/>
          <w:noProof/>
        </w:rPr>
        <w:t>Energies 2019, Vol. 12, Page 504</w:t>
      </w:r>
      <w:r w:rsidRPr="003E0254">
        <w:rPr>
          <w:rFonts w:ascii="Aptos" w:hAnsi="Aptos" w:cs="Times New Roman"/>
          <w:noProof/>
        </w:rPr>
        <w:t xml:space="preserve"> </w:t>
      </w:r>
      <w:r w:rsidRPr="003E0254">
        <w:rPr>
          <w:rFonts w:ascii="Aptos" w:hAnsi="Aptos" w:cs="Times New Roman"/>
          <w:b/>
          <w:bCs/>
          <w:noProof/>
        </w:rPr>
        <w:t>2019</w:t>
      </w:r>
      <w:r w:rsidRPr="003E0254">
        <w:rPr>
          <w:rFonts w:ascii="Aptos" w:hAnsi="Aptos" w:cs="Times New Roman"/>
          <w:noProof/>
        </w:rPr>
        <w:t xml:space="preserve">, </w:t>
      </w:r>
      <w:r w:rsidRPr="003E0254">
        <w:rPr>
          <w:rFonts w:ascii="Aptos" w:hAnsi="Aptos" w:cs="Times New Roman"/>
          <w:i/>
          <w:iCs/>
          <w:noProof/>
        </w:rPr>
        <w:t>12</w:t>
      </w:r>
      <w:r w:rsidRPr="003E0254">
        <w:rPr>
          <w:rFonts w:ascii="Aptos" w:hAnsi="Aptos" w:cs="Times New Roman"/>
          <w:noProof/>
        </w:rPr>
        <w:t>, 504.</w:t>
      </w:r>
    </w:p>
    <w:p w14:paraId="2E5D2C8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[300] </w:t>
      </w:r>
      <w:r w:rsidRPr="003E0254">
        <w:rPr>
          <w:rFonts w:ascii="Aptos" w:hAnsi="Aptos" w:cs="Times New Roman"/>
          <w:noProof/>
        </w:rPr>
        <w:tab/>
        <w:t xml:space="preserve">G. Patry, A. Romagny, S. Martinet, D. Froelich, </w:t>
      </w:r>
      <w:r w:rsidRPr="003E0254">
        <w:rPr>
          <w:rFonts w:ascii="Aptos" w:hAnsi="Aptos" w:cs="Times New Roman"/>
          <w:i/>
          <w:iCs/>
          <w:noProof/>
        </w:rPr>
        <w:t>Energy Sci. Eng.</w:t>
      </w:r>
      <w:r w:rsidRPr="003E0254">
        <w:rPr>
          <w:rFonts w:ascii="Aptos" w:hAnsi="Aptos" w:cs="Times New Roman"/>
          <w:noProof/>
        </w:rPr>
        <w:t xml:space="preserve"> </w:t>
      </w:r>
      <w:r w:rsidRPr="003E0254">
        <w:rPr>
          <w:rFonts w:ascii="Aptos" w:hAnsi="Aptos" w:cs="Times New Roman"/>
          <w:b/>
          <w:bCs/>
          <w:noProof/>
        </w:rPr>
        <w:t>2015</w:t>
      </w:r>
      <w:r w:rsidRPr="003E0254">
        <w:rPr>
          <w:rFonts w:ascii="Aptos" w:hAnsi="Aptos" w:cs="Times New Roman"/>
          <w:noProof/>
        </w:rPr>
        <w:t xml:space="preserve">, </w:t>
      </w:r>
      <w:r w:rsidRPr="003E0254">
        <w:rPr>
          <w:rFonts w:ascii="Aptos" w:hAnsi="Aptos" w:cs="Times New Roman"/>
          <w:i/>
          <w:iCs/>
          <w:noProof/>
        </w:rPr>
        <w:t>3</w:t>
      </w:r>
      <w:r w:rsidRPr="003E0254">
        <w:rPr>
          <w:rFonts w:ascii="Aptos" w:hAnsi="Aptos" w:cs="Times New Roman"/>
          <w:noProof/>
        </w:rPr>
        <w:t>, 71.</w:t>
      </w:r>
    </w:p>
    <w:p w14:paraId="4781FD2D"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[301] </w:t>
      </w:r>
      <w:r w:rsidRPr="003E0254">
        <w:rPr>
          <w:rFonts w:ascii="Aptos" w:hAnsi="Aptos" w:cs="Times New Roman"/>
          <w:noProof/>
          <w:lang w:val="de-DE"/>
        </w:rPr>
        <w:tab/>
        <w:t xml:space="preserve">E. J. Berg, C. Villevieille, D. Streich, S. Trabesinger, P. Novák, </w:t>
      </w:r>
      <w:r w:rsidRPr="003E0254">
        <w:rPr>
          <w:rFonts w:ascii="Aptos" w:hAnsi="Aptos" w:cs="Times New Roman"/>
          <w:i/>
          <w:iCs/>
          <w:noProof/>
          <w:lang w:val="de-DE"/>
        </w:rPr>
        <w:t xml:space="preserve">J. Electrochem. </w:t>
      </w:r>
      <w:r w:rsidRPr="003E0254">
        <w:rPr>
          <w:rFonts w:ascii="Aptos" w:hAnsi="Aptos" w:cs="Times New Roman"/>
          <w:i/>
          <w:iCs/>
          <w:noProof/>
        </w:rPr>
        <w:t>Soc.</w:t>
      </w:r>
      <w:r w:rsidRPr="003E0254">
        <w:rPr>
          <w:rFonts w:ascii="Aptos" w:hAnsi="Aptos" w:cs="Times New Roman"/>
          <w:noProof/>
        </w:rPr>
        <w:t xml:space="preserve"> </w:t>
      </w:r>
      <w:r w:rsidRPr="003E0254">
        <w:rPr>
          <w:rFonts w:ascii="Aptos" w:hAnsi="Aptos" w:cs="Times New Roman"/>
          <w:b/>
          <w:bCs/>
          <w:noProof/>
        </w:rPr>
        <w:t>2015</w:t>
      </w:r>
      <w:r w:rsidRPr="003E0254">
        <w:rPr>
          <w:rFonts w:ascii="Aptos" w:hAnsi="Aptos" w:cs="Times New Roman"/>
          <w:noProof/>
        </w:rPr>
        <w:t xml:space="preserve">, </w:t>
      </w:r>
      <w:r w:rsidRPr="003E0254">
        <w:rPr>
          <w:rFonts w:ascii="Aptos" w:hAnsi="Aptos" w:cs="Times New Roman"/>
          <w:i/>
          <w:iCs/>
          <w:noProof/>
        </w:rPr>
        <w:t>162</w:t>
      </w:r>
      <w:r w:rsidRPr="003E0254">
        <w:rPr>
          <w:rFonts w:ascii="Aptos" w:hAnsi="Aptos" w:cs="Times New Roman"/>
          <w:noProof/>
        </w:rPr>
        <w:t>, A2468.</w:t>
      </w:r>
    </w:p>
    <w:p w14:paraId="60DA81C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[302] </w:t>
      </w:r>
      <w:r w:rsidRPr="003E0254">
        <w:rPr>
          <w:rFonts w:ascii="Aptos" w:hAnsi="Aptos" w:cs="Times New Roman"/>
          <w:noProof/>
        </w:rPr>
        <w:tab/>
        <w:t xml:space="preserve">P. Gu, M. Zheng, Q. Zhao, X. Xiao, H. Xue, H. Pang, </w:t>
      </w:r>
      <w:r w:rsidRPr="003E0254">
        <w:rPr>
          <w:rFonts w:ascii="Aptos" w:hAnsi="Aptos" w:cs="Times New Roman"/>
          <w:i/>
          <w:iCs/>
          <w:noProof/>
        </w:rPr>
        <w:t>J. Mater. Chem. A</w:t>
      </w:r>
      <w:r w:rsidRPr="003E0254">
        <w:rPr>
          <w:rFonts w:ascii="Aptos" w:hAnsi="Aptos" w:cs="Times New Roman"/>
          <w:noProof/>
        </w:rPr>
        <w:t xml:space="preserve"> </w:t>
      </w:r>
      <w:r w:rsidRPr="003E0254">
        <w:rPr>
          <w:rFonts w:ascii="Aptos" w:hAnsi="Aptos" w:cs="Times New Roman"/>
          <w:b/>
          <w:bCs/>
          <w:noProof/>
        </w:rPr>
        <w:t>2017</w:t>
      </w:r>
      <w:r w:rsidRPr="003E0254">
        <w:rPr>
          <w:rFonts w:ascii="Aptos" w:hAnsi="Aptos" w:cs="Times New Roman"/>
          <w:noProof/>
        </w:rPr>
        <w:t xml:space="preserve">, </w:t>
      </w:r>
      <w:r w:rsidRPr="003E0254">
        <w:rPr>
          <w:rFonts w:ascii="Aptos" w:hAnsi="Aptos" w:cs="Times New Roman"/>
          <w:i/>
          <w:iCs/>
          <w:noProof/>
        </w:rPr>
        <w:t>5</w:t>
      </w:r>
      <w:r w:rsidRPr="003E0254">
        <w:rPr>
          <w:rFonts w:ascii="Aptos" w:hAnsi="Aptos" w:cs="Times New Roman"/>
          <w:noProof/>
        </w:rPr>
        <w:t>, 7651.</w:t>
      </w:r>
    </w:p>
    <w:p w14:paraId="39B1DF1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[303] </w:t>
      </w:r>
      <w:r w:rsidRPr="003E0254">
        <w:rPr>
          <w:rFonts w:ascii="Aptos" w:hAnsi="Aptos" w:cs="Times New Roman"/>
          <w:noProof/>
        </w:rPr>
        <w:tab/>
        <w:t xml:space="preserve">R.-B. Huang, M.-Y. Wang, J.-F. Xiong, H. Zhang, J.-H. Tian, J.-F. Li, </w:t>
      </w:r>
      <w:r w:rsidRPr="003E0254">
        <w:rPr>
          <w:rFonts w:ascii="Aptos" w:hAnsi="Aptos" w:cs="Times New Roman"/>
          <w:i/>
          <w:iCs/>
          <w:noProof/>
        </w:rPr>
        <w:t>eScience</w:t>
      </w:r>
      <w:r w:rsidRPr="003E0254">
        <w:rPr>
          <w:rFonts w:ascii="Aptos" w:hAnsi="Aptos" w:cs="Times New Roman"/>
          <w:noProof/>
        </w:rPr>
        <w:t xml:space="preserve"> </w:t>
      </w:r>
      <w:r w:rsidRPr="003E0254">
        <w:rPr>
          <w:rFonts w:ascii="Aptos" w:hAnsi="Aptos" w:cs="Times New Roman"/>
          <w:b/>
          <w:bCs/>
          <w:noProof/>
        </w:rPr>
        <w:t>2024</w:t>
      </w:r>
      <w:r w:rsidRPr="003E0254">
        <w:rPr>
          <w:rFonts w:ascii="Aptos" w:hAnsi="Aptos" w:cs="Times New Roman"/>
          <w:noProof/>
        </w:rPr>
        <w:t>, 100309.</w:t>
      </w:r>
    </w:p>
    <w:p w14:paraId="77C7BAA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[304] </w:t>
      </w:r>
      <w:r w:rsidRPr="003E0254">
        <w:rPr>
          <w:rFonts w:ascii="Aptos" w:hAnsi="Aptos" w:cs="Times New Roman"/>
          <w:noProof/>
          <w:lang w:val="de-DE"/>
        </w:rPr>
        <w:tab/>
        <w:t xml:space="preserve">F. Duffner, L. Mauler, M. Wentker, J. Leker, M. Winter, </w:t>
      </w:r>
      <w:r w:rsidRPr="003E0254">
        <w:rPr>
          <w:rFonts w:ascii="Aptos" w:hAnsi="Aptos" w:cs="Times New Roman"/>
          <w:i/>
          <w:iCs/>
          <w:noProof/>
          <w:lang w:val="de-DE"/>
        </w:rPr>
        <w:t xml:space="preserve">Int. J. Prod. </w:t>
      </w:r>
      <w:r w:rsidRPr="003E0254">
        <w:rPr>
          <w:rFonts w:ascii="Aptos" w:hAnsi="Aptos" w:cs="Times New Roman"/>
          <w:i/>
          <w:iCs/>
          <w:noProof/>
        </w:rPr>
        <w:t>Econ.</w:t>
      </w:r>
      <w:r w:rsidRPr="003E0254">
        <w:rPr>
          <w:rFonts w:ascii="Aptos" w:hAnsi="Aptos" w:cs="Times New Roman"/>
          <w:noProof/>
        </w:rPr>
        <w:t xml:space="preserve"> </w:t>
      </w:r>
      <w:r w:rsidRPr="003E0254">
        <w:rPr>
          <w:rFonts w:ascii="Aptos" w:hAnsi="Aptos" w:cs="Times New Roman"/>
          <w:b/>
          <w:bCs/>
          <w:noProof/>
        </w:rPr>
        <w:t>2021</w:t>
      </w:r>
      <w:r w:rsidRPr="003E0254">
        <w:rPr>
          <w:rFonts w:ascii="Aptos" w:hAnsi="Aptos" w:cs="Times New Roman"/>
          <w:noProof/>
        </w:rPr>
        <w:t xml:space="preserve">, </w:t>
      </w:r>
      <w:r w:rsidRPr="003E0254">
        <w:rPr>
          <w:rFonts w:ascii="Aptos" w:hAnsi="Aptos" w:cs="Times New Roman"/>
          <w:i/>
          <w:iCs/>
          <w:noProof/>
        </w:rPr>
        <w:t>232</w:t>
      </w:r>
      <w:r w:rsidRPr="003E0254">
        <w:rPr>
          <w:rFonts w:ascii="Aptos" w:hAnsi="Aptos" w:cs="Times New Roman"/>
          <w:noProof/>
        </w:rPr>
        <w:t>, 107982.</w:t>
      </w:r>
    </w:p>
    <w:p w14:paraId="4451C329"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[305] </w:t>
      </w:r>
      <w:r w:rsidRPr="003E0254">
        <w:rPr>
          <w:rFonts w:ascii="Aptos" w:hAnsi="Aptos" w:cs="Times New Roman"/>
          <w:noProof/>
        </w:rPr>
        <w:tab/>
        <w:t xml:space="preserve">R. Armstrong, </w:t>
      </w:r>
      <w:r w:rsidRPr="003E0254">
        <w:rPr>
          <w:rFonts w:ascii="Aptos" w:hAnsi="Aptos" w:cs="Times New Roman"/>
          <w:i/>
          <w:iCs/>
          <w:noProof/>
        </w:rPr>
        <w:t>The Future of Energy Storage An Interdisciplinary MIT Study</w:t>
      </w:r>
      <w:r w:rsidRPr="003E0254">
        <w:rPr>
          <w:rFonts w:ascii="Aptos" w:hAnsi="Aptos" w:cs="Times New Roman"/>
          <w:noProof/>
        </w:rPr>
        <w:t>.</w:t>
      </w:r>
    </w:p>
    <w:p w14:paraId="0FB8D1D7"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[306] </w:t>
      </w:r>
      <w:r w:rsidRPr="003E0254">
        <w:rPr>
          <w:rFonts w:ascii="Aptos" w:hAnsi="Aptos" w:cs="Times New Roman"/>
          <w:noProof/>
        </w:rPr>
        <w:tab/>
        <w:t xml:space="preserve">G. Toussaint, P. Stevens, L. Akrour, R. Rouget, F. Fourgeot, </w:t>
      </w:r>
      <w:r w:rsidRPr="003E0254">
        <w:rPr>
          <w:rFonts w:ascii="Aptos" w:hAnsi="Aptos" w:cs="Times New Roman"/>
          <w:i/>
          <w:iCs/>
          <w:noProof/>
        </w:rPr>
        <w:t>ECS Trans.</w:t>
      </w:r>
      <w:r w:rsidRPr="003E0254">
        <w:rPr>
          <w:rFonts w:ascii="Aptos" w:hAnsi="Aptos" w:cs="Times New Roman"/>
          <w:noProof/>
        </w:rPr>
        <w:t xml:space="preserve"> </w:t>
      </w:r>
      <w:r w:rsidRPr="003E0254">
        <w:rPr>
          <w:rFonts w:ascii="Aptos" w:hAnsi="Aptos" w:cs="Times New Roman"/>
          <w:b/>
          <w:bCs/>
          <w:noProof/>
        </w:rPr>
        <w:t>2010</w:t>
      </w:r>
      <w:r w:rsidRPr="003E0254">
        <w:rPr>
          <w:rFonts w:ascii="Aptos" w:hAnsi="Aptos" w:cs="Times New Roman"/>
          <w:noProof/>
        </w:rPr>
        <w:t xml:space="preserve">, </w:t>
      </w:r>
      <w:r w:rsidRPr="003E0254">
        <w:rPr>
          <w:rFonts w:ascii="Aptos" w:hAnsi="Aptos" w:cs="Times New Roman"/>
          <w:i/>
          <w:iCs/>
          <w:noProof/>
        </w:rPr>
        <w:t>28</w:t>
      </w:r>
      <w:r w:rsidRPr="003E0254">
        <w:rPr>
          <w:rFonts w:ascii="Aptos" w:hAnsi="Aptos" w:cs="Times New Roman"/>
          <w:noProof/>
        </w:rPr>
        <w:t>, 25.</w:t>
      </w:r>
    </w:p>
    <w:p w14:paraId="4056E5B2"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[307] </w:t>
      </w:r>
      <w:r w:rsidRPr="003E0254">
        <w:rPr>
          <w:rFonts w:ascii="Aptos" w:hAnsi="Aptos" w:cs="Times New Roman"/>
          <w:noProof/>
        </w:rPr>
        <w:tab/>
        <w:t xml:space="preserve">H. He, S. Tian, B. Tarroja, O. A. Ogunseitan, S. Samuelsen, J. M. Schoenung, </w:t>
      </w:r>
      <w:r w:rsidRPr="003E0254">
        <w:rPr>
          <w:rFonts w:ascii="Aptos" w:hAnsi="Aptos" w:cs="Times New Roman"/>
          <w:i/>
          <w:iCs/>
          <w:noProof/>
        </w:rPr>
        <w:t>J. Clean. Prod.</w:t>
      </w:r>
      <w:r w:rsidRPr="003E0254">
        <w:rPr>
          <w:rFonts w:ascii="Aptos" w:hAnsi="Aptos" w:cs="Times New Roman"/>
          <w:noProof/>
        </w:rPr>
        <w:t xml:space="preserve"> </w:t>
      </w:r>
      <w:r w:rsidRPr="003E0254">
        <w:rPr>
          <w:rFonts w:ascii="Aptos" w:hAnsi="Aptos" w:cs="Times New Roman"/>
          <w:b/>
          <w:bCs/>
          <w:noProof/>
        </w:rPr>
        <w:t>2020</w:t>
      </w:r>
      <w:r w:rsidRPr="003E0254">
        <w:rPr>
          <w:rFonts w:ascii="Aptos" w:hAnsi="Aptos" w:cs="Times New Roman"/>
          <w:noProof/>
        </w:rPr>
        <w:t xml:space="preserve">, </w:t>
      </w:r>
      <w:r w:rsidRPr="003E0254">
        <w:rPr>
          <w:rFonts w:ascii="Aptos" w:hAnsi="Aptos" w:cs="Times New Roman"/>
          <w:i/>
          <w:iCs/>
          <w:noProof/>
        </w:rPr>
        <w:t>269</w:t>
      </w:r>
      <w:r w:rsidRPr="003E0254">
        <w:rPr>
          <w:rFonts w:ascii="Aptos" w:hAnsi="Aptos" w:cs="Times New Roman"/>
          <w:noProof/>
        </w:rPr>
        <w:t>, 121740.</w:t>
      </w:r>
    </w:p>
    <w:p w14:paraId="60B6A72B"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[308] </w:t>
      </w:r>
      <w:r w:rsidRPr="003E0254">
        <w:rPr>
          <w:rFonts w:ascii="Aptos" w:hAnsi="Aptos" w:cs="Times New Roman"/>
          <w:noProof/>
        </w:rPr>
        <w:tab/>
        <w:t xml:space="preserve">L. Rostek, Modelling the global zinc cycle with dynamic material flow analysis , TU Clausthal, </w:t>
      </w:r>
      <w:r w:rsidRPr="003E0254">
        <w:rPr>
          <w:rFonts w:ascii="Aptos" w:hAnsi="Aptos" w:cs="Times New Roman"/>
          <w:b/>
          <w:bCs/>
          <w:noProof/>
        </w:rPr>
        <w:t>2024</w:t>
      </w:r>
      <w:r w:rsidRPr="003E0254">
        <w:rPr>
          <w:rFonts w:ascii="Aptos" w:hAnsi="Aptos" w:cs="Times New Roman"/>
          <w:noProof/>
        </w:rPr>
        <w:t>.</w:t>
      </w:r>
    </w:p>
    <w:p w14:paraId="5A37FDB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[309] </w:t>
      </w:r>
      <w:r w:rsidRPr="003E0254">
        <w:rPr>
          <w:rFonts w:ascii="Aptos" w:hAnsi="Aptos" w:cs="Times New Roman"/>
          <w:noProof/>
        </w:rPr>
        <w:tab/>
        <w:t xml:space="preserve">E. Van Genderen, M. Wildnauer, N. Santero, N. Sidi, </w:t>
      </w:r>
      <w:r w:rsidRPr="003E0254">
        <w:rPr>
          <w:rFonts w:ascii="Aptos" w:hAnsi="Aptos" w:cs="Times New Roman"/>
          <w:i/>
          <w:iCs/>
          <w:noProof/>
        </w:rPr>
        <w:t>Int. J. Life Cycle Assess.</w:t>
      </w:r>
      <w:r w:rsidRPr="003E0254">
        <w:rPr>
          <w:rFonts w:ascii="Aptos" w:hAnsi="Aptos" w:cs="Times New Roman"/>
          <w:noProof/>
        </w:rPr>
        <w:t xml:space="preserve"> </w:t>
      </w:r>
      <w:r w:rsidRPr="003E0254">
        <w:rPr>
          <w:rFonts w:ascii="Aptos" w:hAnsi="Aptos" w:cs="Times New Roman"/>
          <w:b/>
          <w:bCs/>
          <w:noProof/>
        </w:rPr>
        <w:t>2016</w:t>
      </w:r>
      <w:r w:rsidRPr="003E0254">
        <w:rPr>
          <w:rFonts w:ascii="Aptos" w:hAnsi="Aptos" w:cs="Times New Roman"/>
          <w:noProof/>
        </w:rPr>
        <w:t xml:space="preserve">, </w:t>
      </w:r>
      <w:r w:rsidRPr="003E0254">
        <w:rPr>
          <w:rFonts w:ascii="Aptos" w:hAnsi="Aptos" w:cs="Times New Roman"/>
          <w:i/>
          <w:iCs/>
          <w:noProof/>
        </w:rPr>
        <w:t>21</w:t>
      </w:r>
      <w:r w:rsidRPr="003E0254">
        <w:rPr>
          <w:rFonts w:ascii="Aptos" w:hAnsi="Aptos" w:cs="Times New Roman"/>
          <w:noProof/>
        </w:rPr>
        <w:t>, 1580.</w:t>
      </w:r>
    </w:p>
    <w:p w14:paraId="310DB1FF"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t xml:space="preserve">[310] </w:t>
      </w:r>
      <w:r w:rsidRPr="003E0254">
        <w:rPr>
          <w:rFonts w:ascii="Aptos" w:hAnsi="Aptos" w:cs="Times New Roman"/>
          <w:noProof/>
        </w:rPr>
        <w:tab/>
        <w:t xml:space="preserve">F. Ferella, I. De Michelis, F. Vegliò, </w:t>
      </w:r>
      <w:r w:rsidRPr="003E0254">
        <w:rPr>
          <w:rFonts w:ascii="Aptos" w:hAnsi="Aptos" w:cs="Times New Roman"/>
          <w:i/>
          <w:iCs/>
          <w:noProof/>
        </w:rPr>
        <w:t>J. Power Sources</w:t>
      </w:r>
      <w:r w:rsidRPr="003E0254">
        <w:rPr>
          <w:rFonts w:ascii="Aptos" w:hAnsi="Aptos" w:cs="Times New Roman"/>
          <w:noProof/>
        </w:rPr>
        <w:t xml:space="preserve"> </w:t>
      </w:r>
      <w:r w:rsidRPr="003E0254">
        <w:rPr>
          <w:rFonts w:ascii="Aptos" w:hAnsi="Aptos" w:cs="Times New Roman"/>
          <w:b/>
          <w:bCs/>
          <w:noProof/>
        </w:rPr>
        <w:t>2008</w:t>
      </w:r>
      <w:r w:rsidRPr="003E0254">
        <w:rPr>
          <w:rFonts w:ascii="Aptos" w:hAnsi="Aptos" w:cs="Times New Roman"/>
          <w:noProof/>
        </w:rPr>
        <w:t xml:space="preserve">, </w:t>
      </w:r>
      <w:r w:rsidRPr="003E0254">
        <w:rPr>
          <w:rFonts w:ascii="Aptos" w:hAnsi="Aptos" w:cs="Times New Roman"/>
          <w:i/>
          <w:iCs/>
          <w:noProof/>
        </w:rPr>
        <w:t>183</w:t>
      </w:r>
      <w:r w:rsidRPr="003E0254">
        <w:rPr>
          <w:rFonts w:ascii="Aptos" w:hAnsi="Aptos" w:cs="Times New Roman"/>
          <w:noProof/>
        </w:rPr>
        <w:t>, 805.</w:t>
      </w:r>
    </w:p>
    <w:p w14:paraId="75724CEA"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lang w:val="de-DE"/>
        </w:rPr>
      </w:pPr>
      <w:r w:rsidRPr="003E0254">
        <w:rPr>
          <w:rFonts w:ascii="Aptos" w:hAnsi="Aptos" w:cs="Times New Roman"/>
          <w:noProof/>
        </w:rPr>
        <w:t xml:space="preserve">[311] </w:t>
      </w:r>
      <w:r w:rsidRPr="003E0254">
        <w:rPr>
          <w:rFonts w:ascii="Aptos" w:hAnsi="Aptos" w:cs="Times New Roman"/>
          <w:noProof/>
        </w:rPr>
        <w:tab/>
        <w:t xml:space="preserve">X. Y. Lou, Z. G. Ji, Z. Xu, A. P. Bai, M. Resina-Gallego, </w:t>
      </w:r>
      <w:r w:rsidRPr="003E0254">
        <w:rPr>
          <w:rFonts w:ascii="Aptos" w:hAnsi="Aptos" w:cs="Times New Roman"/>
          <w:i/>
          <w:iCs/>
          <w:noProof/>
        </w:rPr>
        <w:t xml:space="preserve">Membr. </w:t>
      </w:r>
      <w:r w:rsidRPr="003E0254">
        <w:rPr>
          <w:rFonts w:ascii="Aptos" w:hAnsi="Aptos" w:cs="Times New Roman"/>
          <w:i/>
          <w:iCs/>
          <w:noProof/>
          <w:lang w:val="de-DE"/>
        </w:rPr>
        <w:t>2020, Vol. 10, Page 19</w:t>
      </w:r>
      <w:r w:rsidRPr="003E0254">
        <w:rPr>
          <w:rFonts w:ascii="Aptos" w:hAnsi="Aptos" w:cs="Times New Roman"/>
          <w:noProof/>
          <w:lang w:val="de-DE"/>
        </w:rPr>
        <w:t xml:space="preserve"> </w:t>
      </w:r>
      <w:r w:rsidRPr="003E0254">
        <w:rPr>
          <w:rFonts w:ascii="Aptos" w:hAnsi="Aptos" w:cs="Times New Roman"/>
          <w:b/>
          <w:bCs/>
          <w:noProof/>
          <w:lang w:val="de-DE"/>
        </w:rPr>
        <w:t>2020</w:t>
      </w:r>
      <w:r w:rsidRPr="003E0254">
        <w:rPr>
          <w:rFonts w:ascii="Aptos" w:hAnsi="Aptos" w:cs="Times New Roman"/>
          <w:noProof/>
          <w:lang w:val="de-DE"/>
        </w:rPr>
        <w:t xml:space="preserve">, </w:t>
      </w:r>
      <w:r w:rsidRPr="003E0254">
        <w:rPr>
          <w:rFonts w:ascii="Aptos" w:hAnsi="Aptos" w:cs="Times New Roman"/>
          <w:i/>
          <w:iCs/>
          <w:noProof/>
          <w:lang w:val="de-DE"/>
        </w:rPr>
        <w:t>10</w:t>
      </w:r>
      <w:r w:rsidRPr="003E0254">
        <w:rPr>
          <w:rFonts w:ascii="Aptos" w:hAnsi="Aptos" w:cs="Times New Roman"/>
          <w:noProof/>
          <w:lang w:val="de-DE"/>
        </w:rPr>
        <w:t>, 19.</w:t>
      </w:r>
    </w:p>
    <w:p w14:paraId="3CFD9F93"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lang w:val="de-DE"/>
        </w:rPr>
        <w:t xml:space="preserve">[312] </w:t>
      </w:r>
      <w:r w:rsidRPr="003E0254">
        <w:rPr>
          <w:rFonts w:ascii="Aptos" w:hAnsi="Aptos" w:cs="Times New Roman"/>
          <w:noProof/>
          <w:lang w:val="de-DE"/>
        </w:rPr>
        <w:tab/>
        <w:t xml:space="preserve">S. Weber, J. F. Peters, M. Baumann, M. Weil, </w:t>
      </w:r>
      <w:r w:rsidRPr="003E0254">
        <w:rPr>
          <w:rFonts w:ascii="Aptos" w:hAnsi="Aptos" w:cs="Times New Roman"/>
          <w:i/>
          <w:iCs/>
          <w:noProof/>
          <w:lang w:val="de-DE"/>
        </w:rPr>
        <w:t xml:space="preserve">Environ. </w:t>
      </w:r>
      <w:r w:rsidRPr="003E0254">
        <w:rPr>
          <w:rFonts w:ascii="Aptos" w:hAnsi="Aptos" w:cs="Times New Roman"/>
          <w:i/>
          <w:iCs/>
          <w:noProof/>
        </w:rPr>
        <w:t>Sci. Technol.</w:t>
      </w:r>
      <w:r w:rsidRPr="003E0254">
        <w:rPr>
          <w:rFonts w:ascii="Aptos" w:hAnsi="Aptos" w:cs="Times New Roman"/>
          <w:noProof/>
        </w:rPr>
        <w:t xml:space="preserve"> </w:t>
      </w:r>
      <w:r w:rsidRPr="003E0254">
        <w:rPr>
          <w:rFonts w:ascii="Aptos" w:hAnsi="Aptos" w:cs="Times New Roman"/>
          <w:b/>
          <w:bCs/>
          <w:noProof/>
        </w:rPr>
        <w:t>2018</w:t>
      </w:r>
      <w:r w:rsidRPr="003E0254">
        <w:rPr>
          <w:rFonts w:ascii="Aptos" w:hAnsi="Aptos" w:cs="Times New Roman"/>
          <w:noProof/>
        </w:rPr>
        <w:t xml:space="preserve">, </w:t>
      </w:r>
      <w:r w:rsidRPr="003E0254">
        <w:rPr>
          <w:rFonts w:ascii="Aptos" w:hAnsi="Aptos" w:cs="Times New Roman"/>
          <w:i/>
          <w:iCs/>
          <w:noProof/>
        </w:rPr>
        <w:t>52</w:t>
      </w:r>
      <w:r w:rsidRPr="003E0254">
        <w:rPr>
          <w:rFonts w:ascii="Aptos" w:hAnsi="Aptos" w:cs="Times New Roman"/>
          <w:noProof/>
        </w:rPr>
        <w:t>, 10864.</w:t>
      </w:r>
    </w:p>
    <w:p w14:paraId="68DF99E6" w14:textId="77777777" w:rsidR="00500B8D" w:rsidRPr="003E0254" w:rsidRDefault="00500B8D" w:rsidP="00500B8D">
      <w:pPr>
        <w:widowControl w:val="0"/>
        <w:autoSpaceDE w:val="0"/>
        <w:autoSpaceDN w:val="0"/>
        <w:adjustRightInd w:val="0"/>
        <w:spacing w:line="240" w:lineRule="auto"/>
        <w:ind w:left="640" w:hanging="640"/>
        <w:rPr>
          <w:rFonts w:ascii="Aptos" w:hAnsi="Aptos" w:cs="Times New Roman"/>
          <w:noProof/>
        </w:rPr>
      </w:pPr>
      <w:r w:rsidRPr="003E0254">
        <w:rPr>
          <w:rFonts w:ascii="Aptos" w:hAnsi="Aptos" w:cs="Times New Roman"/>
          <w:noProof/>
        </w:rPr>
        <w:lastRenderedPageBreak/>
        <w:t xml:space="preserve">[313] </w:t>
      </w:r>
      <w:r w:rsidRPr="003E0254">
        <w:rPr>
          <w:rFonts w:ascii="Aptos" w:hAnsi="Aptos" w:cs="Times New Roman"/>
          <w:noProof/>
        </w:rPr>
        <w:tab/>
        <w:t xml:space="preserve">D. Spahrbier, In </w:t>
      </w:r>
      <w:r w:rsidRPr="003E0254">
        <w:rPr>
          <w:rFonts w:ascii="Aptos" w:hAnsi="Aptos" w:cs="Times New Roman"/>
          <w:i/>
          <w:iCs/>
          <w:noProof/>
        </w:rPr>
        <w:t>Ullmann’s Encyclopedia of Industrial Chemistry</w:t>
      </w:r>
      <w:r w:rsidRPr="003E0254">
        <w:rPr>
          <w:rFonts w:ascii="Aptos" w:hAnsi="Aptos" w:cs="Times New Roman"/>
          <w:noProof/>
        </w:rPr>
        <w:t xml:space="preserve">, John Wiley &amp; Sons, Ltd, </w:t>
      </w:r>
      <w:r w:rsidRPr="003E0254">
        <w:rPr>
          <w:rFonts w:ascii="Aptos" w:hAnsi="Aptos" w:cs="Times New Roman"/>
          <w:b/>
          <w:bCs/>
          <w:noProof/>
        </w:rPr>
        <w:t>2014</w:t>
      </w:r>
      <w:r w:rsidRPr="003E0254">
        <w:rPr>
          <w:rFonts w:ascii="Aptos" w:hAnsi="Aptos" w:cs="Times New Roman"/>
          <w:noProof/>
        </w:rPr>
        <w:t>, pp. 1–53.</w:t>
      </w:r>
    </w:p>
    <w:p w14:paraId="6520020A" w14:textId="77777777" w:rsidR="00500B8D" w:rsidRPr="003E0254" w:rsidRDefault="00500B8D" w:rsidP="00500B8D">
      <w:pPr>
        <w:widowControl w:val="0"/>
        <w:autoSpaceDE w:val="0"/>
        <w:autoSpaceDN w:val="0"/>
        <w:adjustRightInd w:val="0"/>
        <w:spacing w:line="240" w:lineRule="auto"/>
        <w:ind w:left="640" w:hanging="640"/>
        <w:rPr>
          <w:rFonts w:ascii="Aptos" w:hAnsi="Aptos"/>
          <w:noProof/>
        </w:rPr>
      </w:pPr>
      <w:r w:rsidRPr="003E0254">
        <w:rPr>
          <w:rFonts w:ascii="Aptos" w:hAnsi="Aptos" w:cs="Times New Roman"/>
          <w:noProof/>
        </w:rPr>
        <w:t xml:space="preserve">[314] </w:t>
      </w:r>
      <w:r w:rsidRPr="003E0254">
        <w:rPr>
          <w:rFonts w:ascii="Aptos" w:hAnsi="Aptos" w:cs="Times New Roman"/>
          <w:noProof/>
        </w:rPr>
        <w:tab/>
        <w:t xml:space="preserve">D. Reber, S. R. Jarvis, M. P. Marshak, </w:t>
      </w:r>
      <w:r w:rsidRPr="003E0254">
        <w:rPr>
          <w:rFonts w:ascii="Aptos" w:hAnsi="Aptos" w:cs="Times New Roman"/>
          <w:i/>
          <w:iCs/>
          <w:noProof/>
        </w:rPr>
        <w:t>Energy Adv.</w:t>
      </w:r>
      <w:r w:rsidRPr="003E0254">
        <w:rPr>
          <w:rFonts w:ascii="Aptos" w:hAnsi="Aptos" w:cs="Times New Roman"/>
          <w:noProof/>
        </w:rPr>
        <w:t xml:space="preserve"> </w:t>
      </w:r>
      <w:r w:rsidRPr="003E0254">
        <w:rPr>
          <w:rFonts w:ascii="Aptos" w:hAnsi="Aptos" w:cs="Times New Roman"/>
          <w:b/>
          <w:bCs/>
          <w:noProof/>
        </w:rPr>
        <w:t>2023</w:t>
      </w:r>
      <w:r w:rsidRPr="003E0254">
        <w:rPr>
          <w:rFonts w:ascii="Aptos" w:hAnsi="Aptos" w:cs="Times New Roman"/>
          <w:noProof/>
        </w:rPr>
        <w:t xml:space="preserve">, </w:t>
      </w:r>
      <w:r w:rsidRPr="003E0254">
        <w:rPr>
          <w:rFonts w:ascii="Aptos" w:hAnsi="Aptos" w:cs="Times New Roman"/>
          <w:i/>
          <w:iCs/>
          <w:noProof/>
        </w:rPr>
        <w:t>2</w:t>
      </w:r>
      <w:r w:rsidRPr="003E0254">
        <w:rPr>
          <w:rFonts w:ascii="Aptos" w:hAnsi="Aptos" w:cs="Times New Roman"/>
          <w:noProof/>
        </w:rPr>
        <w:t>, 1357.</w:t>
      </w:r>
    </w:p>
    <w:p w14:paraId="055AA2B9" w14:textId="677D3BF3" w:rsidR="00E526CE" w:rsidRPr="002951D0" w:rsidRDefault="00E526CE">
      <w:pPr>
        <w:pBdr>
          <w:top w:val="none" w:sz="4" w:space="0" w:color="000000"/>
          <w:left w:val="none" w:sz="4" w:space="0" w:color="000000"/>
          <w:bottom w:val="none" w:sz="4" w:space="0" w:color="000000"/>
          <w:right w:val="none" w:sz="4" w:space="0" w:color="000000"/>
        </w:pBdr>
        <w:jc w:val="both"/>
      </w:pPr>
      <w:r w:rsidRPr="003E0254">
        <w:fldChar w:fldCharType="end"/>
      </w:r>
      <w:bookmarkStart w:id="14" w:name="_GoBack"/>
      <w:bookmarkEnd w:id="14"/>
    </w:p>
    <w:sectPr w:rsidR="00E526CE" w:rsidRPr="002951D0">
      <w:pgSz w:w="12240" w:h="15840"/>
      <w:pgMar w:top="1440" w:right="1440" w:bottom="1440" w:left="1440" w:header="720" w:footer="720" w:gutter="0"/>
      <w:cols w:space="720"/>
    </w:sectPr>
  </w:body>
</w:document>
</file>

<file path=word/commentsDocument.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date="2025-02-28T11:43:00Z">
    <w:p w14:paraId="00000001" w14:textId="00000001">
      <w:pPr>
        <w:spacing w:line="240" w:after="0" w:lineRule="auto" w:before="0"/>
        <w:ind w:firstLine="0" w:left="0" w:right="0"/>
        <w:jc w:val="left"/>
      </w:pPr>
      <w:r>
        <w:rPr>
          <w:rFonts w:eastAsia="Arial" w:ascii="Arial" w:hAnsi="Arial" w:cs="Arial"/>
          <w:sz w:val="22"/>
        </w:rPr>
        <w:t xml:space="preserve">https://doi.org/10.1016/j.joule.2023.06.007</w:t>
      </w:r>
    </w:p>
  </w:comment>
  <w:comment w:id="1" w:date="2025-02-28T11:30:00Z">
    <w:p w14:paraId="00000002" w14:textId="00000002">
      <w:pPr>
        <w:spacing w:line="240" w:after="0" w:lineRule="auto" w:before="0"/>
        <w:ind w:firstLine="0" w:left="0" w:right="0"/>
        <w:jc w:val="left"/>
      </w:pPr>
      <w:r>
        <w:rPr>
          <w:rFonts w:eastAsia="Arial" w:ascii="Arial" w:hAnsi="Arial" w:cs="Arial"/>
          <w:sz w:val="22"/>
        </w:rPr>
        <w:t xml:space="preserve">https://doi.org/10.1016/j.electacta.2022.141460</w:t>
      </w:r>
    </w:p>
  </w:comment>
  <w:comment w:id="2" w:date="2025-02-28T11:30:00Z">
    <w:p w14:paraId="00000003" w14:textId="00000003">
      <w:pPr>
        <w:spacing w:line="240" w:after="0" w:lineRule="auto" w:before="0"/>
        <w:ind w:firstLine="0" w:left="0" w:right="0"/>
        <w:jc w:val="left"/>
      </w:pPr>
      <w:r>
        <w:rPr>
          <w:rFonts w:eastAsia="Arial" w:ascii="Arial" w:hAnsi="Arial" w:cs="Arial"/>
          <w:sz w:val="22"/>
        </w:rPr>
        <w:t xml:space="preserve">https://doi.org/10.1016/j.est.2021.103327</w:t>
      </w:r>
    </w:p>
  </w:comment>
  <w:comment w:id="3" w:date="2025-02-28T11:30:00Z">
    <w:p w14:paraId="00000004" w14:textId="00000004">
      <w:pPr>
        <w:spacing w:line="240" w:after="0" w:lineRule="auto" w:before="0"/>
        <w:ind w:firstLine="0" w:left="0" w:right="0"/>
        <w:jc w:val="left"/>
      </w:pPr>
      <w:r>
        <w:rPr>
          <w:rFonts w:eastAsia="Arial" w:ascii="Arial" w:hAnsi="Arial" w:cs="Arial"/>
          <w:sz w:val="22"/>
        </w:rPr>
        <w:t xml:space="preserve">https://doi.org/10.1039/C5EE02315G</w:t>
      </w:r>
    </w:p>
  </w:comment>
  <w:comment w:id="4" w:author="Peter Bieker" w:date="2025-02-17T12:29:00Z" w:initials="PB">
    <w:p w14:paraId="00000005" w14:textId="00000005">
      <w:pPr>
        <w:spacing w:line="240" w:after="0" w:lineRule="auto" w:before="0"/>
        <w:ind w:firstLine="0" w:left="0" w:right="0"/>
        <w:jc w:val="left"/>
      </w:pPr>
      <w:r>
        <w:rPr>
          <w:rFonts w:eastAsia="Arial" w:ascii="Arial" w:hAnsi="Arial" w:cs="Arial"/>
          <w:sz w:val="22"/>
        </w:rPr>
        <w:t xml:space="preserve">D. Linden, Handbook of Batteries 4th Edition, McGraw-Hill, New York, 2011</w:t>
      </w:r>
    </w:p>
  </w:comment>
  <w:comment w:id="5" w:author="Peter Bieker" w:date="2024-09-25T12:37:00Z" w:initials="PB">
    <w:p w14:paraId="00000006" w14:textId="00000006">
      <w:pPr>
        <w:spacing w:line="240" w:after="0" w:lineRule="auto" w:before="0"/>
        <w:ind w:firstLine="0" w:left="0" w:right="0"/>
        <w:jc w:val="left"/>
      </w:pPr>
      <w:r>
        <w:rPr>
          <w:rFonts w:eastAsia="Arial" w:ascii="Arial" w:hAnsi="Arial" w:cs="Arial"/>
          <w:sz w:val="22"/>
        </w:rPr>
        <w:t xml:space="preserve"> https://doi.org/10.1002/andp.18010091102</w:t>
      </w:r>
    </w:p>
  </w:comment>
  <w:comment w:id="6" w:author="Peter Bieker" w:date="2025-02-23T16:43:00Z" w:initials="PB">
    <w:p w14:paraId="00000007" w14:textId="00000007">
      <w:pPr>
        <w:spacing w:line="240" w:after="0" w:lineRule="auto" w:before="0"/>
        <w:ind w:firstLine="0" w:left="0" w:right="0"/>
        <w:jc w:val="left"/>
      </w:pPr>
      <w:r>
        <w:rPr>
          <w:rFonts w:eastAsia="Arial" w:ascii="Arial" w:hAnsi="Arial" w:cs="Arial"/>
          <w:sz w:val="22"/>
        </w:rPr>
        <w:t xml:space="preserve">Wird noch angepasst</w:t>
      </w:r>
    </w:p>
  </w:comment>
  <w:comment w:id="7" w:author="Peter Bieker" w:date="2024-09-25T11:21:00Z" w:initials="PB">
    <w:p w14:paraId="00000008" w14:textId="00000008">
      <w:pPr>
        <w:spacing w:line="240" w:after="0" w:lineRule="auto" w:before="0"/>
        <w:ind w:firstLine="0" w:left="0" w:right="0"/>
        <w:jc w:val="left"/>
      </w:pPr>
      <w:r>
        <w:rPr>
          <w:rFonts w:eastAsia="Arial" w:ascii="Arial" w:hAnsi="Arial" w:cs="Arial"/>
          <w:sz w:val="22"/>
        </w:rPr>
        <w:t xml:space="preserve">Decker, Franco. "Volta and the pile." Electrochemistry Encyclopedia (2005).</w:t>
      </w:r>
    </w:p>
  </w:comment>
  <w:comment w:id="8" w:author="Peter Bieker" w:date="2025-02-17T12:37:00Z" w:initials="PB">
    <w:p w14:paraId="00000009" w14:textId="00000009">
      <w:pPr>
        <w:spacing w:line="240" w:after="0" w:lineRule="auto" w:before="0"/>
        <w:ind w:firstLine="0" w:left="0" w:right="0"/>
        <w:jc w:val="left"/>
      </w:pPr>
      <w:r>
        <w:rPr>
          <w:rFonts w:eastAsia="Arial" w:ascii="Arial" w:hAnsi="Arial" w:cs="Arial"/>
          <w:sz w:val="22"/>
        </w:rPr>
        <w:t xml:space="preserve">K. Mizushima, P. C. Jones, P. J. Wiseman and J. B. Goodenough, Mater. Res. Bull., 1980, 15, 783-789.</w:t>
      </w:r>
    </w:p>
  </w:comment>
  <w:comment w:id="9" w:date="2025-02-27T16:35:00Z">
    <w:p w14:paraId="0000000A" w14:textId="0000000A">
      <w:pPr>
        <w:spacing w:line="240" w:after="0" w:lineRule="auto" w:before="0"/>
        <w:ind w:firstLine="0" w:left="0" w:right="0"/>
        <w:jc w:val="left"/>
      </w:pPr>
      <w:r>
        <w:rPr>
          <w:rFonts w:eastAsia="Arial" w:ascii="Arial" w:hAnsi="Arial" w:cs="Arial"/>
          <w:sz w:val="22"/>
        </w:rPr>
        <w:t xml:space="preserve">Kebedeet al (2022) https://doi.org/10.1016/j.rser.2022.112213</w:t>
      </w:r>
    </w:p>
  </w:comment>
  <w:comment w:id="10" w:date="2025-02-27T14:36:00Z">
    <w:p w14:paraId="0000000B" w14:textId="0000000B">
      <w:pPr>
        <w:spacing w:line="240" w:after="0" w:lineRule="auto" w:before="0"/>
        <w:ind w:firstLine="0" w:left="0" w:right="0"/>
        <w:jc w:val="left"/>
      </w:pPr>
      <w:r>
        <w:rPr>
          <w:rFonts w:eastAsia="Arial" w:ascii="Arial" w:hAnsi="Arial" w:cs="Arial"/>
          <w:sz w:val="22"/>
        </w:rPr>
        <w:t xml:space="preserve">Kebedeet al (2022) https://doi.org/10.1016/j.rser.2022.112213</w:t>
      </w:r>
    </w:p>
  </w:comment>
  <w:comment w:id="11" w:date="2025-02-27T15:19:00Z">
    <w:p w14:paraId="0000000C" w14:textId="0000000C">
      <w:pPr>
        <w:spacing w:line="240" w:after="0" w:lineRule="auto" w:before="0"/>
        <w:ind w:firstLine="0" w:left="0" w:right="0"/>
        <w:jc w:val="left"/>
      </w:pPr>
      <w:r>
        <w:rPr>
          <w:rFonts w:eastAsia="Arial" w:ascii="Arial" w:hAnsi="Arial" w:cs="Arial"/>
          <w:sz w:val="22"/>
        </w:rPr>
        <w:t xml:space="preserve">Kebedeet al (2022) https://doi.org/10.1016/j.rser.2022.112213</w:t>
      </w:r>
    </w:p>
  </w:comment>
  <w:comment w:id="12" w:date="2025-02-28T11:51:00Z">
    <w:p w14:paraId="0000000D" w14:textId="0000000D">
      <w:pPr>
        <w:spacing w:line="240" w:after="0" w:lineRule="auto" w:before="0"/>
        <w:ind w:firstLine="0" w:left="0" w:right="0"/>
        <w:jc w:val="left"/>
      </w:pPr>
      <w:r>
        <w:rPr>
          <w:rFonts w:eastAsia="Arial" w:ascii="Arial" w:hAnsi="Arial" w:cs="Arial"/>
          <w:sz w:val="22"/>
        </w:rPr>
        <w:t xml:space="preserve">Kebedeet al (2022) https://doi.org/10.1016/j.rser.2022.112213</w:t>
      </w:r>
    </w:p>
  </w:comment>
  <w:comment w:id="13" w:date="2025-02-28T11:30:00Z">
    <w:p w14:paraId="0000000E" w14:textId="0000000E">
      <w:pPr>
        <w:spacing w:line="240" w:after="0" w:lineRule="auto" w:before="0"/>
        <w:ind w:firstLine="0" w:left="0" w:right="0"/>
        <w:jc w:val="left"/>
      </w:pPr>
      <w:r>
        <w:rPr>
          <w:rFonts w:eastAsia="Arial" w:ascii="Arial" w:hAnsi="Arial" w:cs="Arial"/>
          <w:sz w:val="22"/>
        </w:rPr>
        <w:t xml:space="preserve">https://doi.org/10.1039/C5EE02315G</w:t>
      </w:r>
    </w:p>
  </w:comment>
  <w:comment w:id="14" w:date="2025-02-28T11:30:00Z">
    <w:p w14:paraId="0000000F" w14:textId="0000000F">
      <w:pPr>
        <w:spacing w:line="240" w:after="0" w:lineRule="auto" w:before="0"/>
        <w:ind w:firstLine="0" w:left="0" w:right="0"/>
        <w:jc w:val="left"/>
      </w:pPr>
      <w:r>
        <w:rPr>
          <w:rFonts w:eastAsia="Arial" w:ascii="Arial" w:hAnsi="Arial" w:cs="Arial"/>
          <w:sz w:val="22"/>
        </w:rPr>
        <w:t xml:space="preserve">https://doi.org/10.1016/j.est.2021.103327</w:t>
      </w:r>
    </w:p>
  </w:comment>
  <w:comment w:id="15" w:date="2025-02-28T11:30:00Z">
    <w:p w14:paraId="00000010" w14:textId="00000010">
      <w:pPr>
        <w:spacing w:line="240" w:after="0" w:lineRule="auto" w:before="0"/>
        <w:ind w:firstLine="0" w:left="0" w:right="0"/>
        <w:jc w:val="left"/>
      </w:pPr>
      <w:r>
        <w:rPr>
          <w:rFonts w:eastAsia="Arial" w:ascii="Arial" w:hAnsi="Arial" w:cs="Arial"/>
          <w:sz w:val="22"/>
        </w:rPr>
        <w:t xml:space="preserve">https://doi.org/10.1016/j.electacta.2022.141460</w:t>
      </w:r>
    </w:p>
  </w:comment>
  <w:comment w:id="16" w:date="2025-02-28T11:43:00Z">
    <w:p w14:paraId="00000011" w14:textId="00000011">
      <w:pPr>
        <w:spacing w:line="240" w:after="0" w:lineRule="auto" w:before="0"/>
        <w:ind w:firstLine="0" w:left="0" w:right="0"/>
        <w:jc w:val="left"/>
      </w:pPr>
      <w:r>
        <w:rPr>
          <w:rFonts w:eastAsia="Arial" w:ascii="Arial" w:hAnsi="Arial" w:cs="Arial"/>
          <w:sz w:val="22"/>
        </w:rPr>
        <w:t xml:space="preserve">https://doi.org/10.1016/j.joule.2023.06.007</w:t>
      </w:r>
    </w:p>
  </w:comment>
</w:comments>
</file>

<file path=word/commentsExtendedDocument.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5" w15:done="0"/>
  <w15:commentEx w15:paraId="00000006" w15:done="0"/>
  <w15:commentEx w15:paraId="00000007" w15:done="0"/>
  <w15:commentEx w15:paraId="00000008" w15:done="0"/>
  <w15:commentEx w15:paraId="00000009" w15:done="0"/>
  <w15:commentEx w15:paraId="0000000A" w15:done="0"/>
  <w15:commentEx w15:paraId="0000000B" w15:done="0"/>
  <w15:commentEx w15:paraId="0000000C" w15:done="0"/>
  <w15:commentEx w15:paraId="0000000D" w15:done="0"/>
  <w15:commentEx w15:paraId="0000000E" w15:done="0"/>
  <w15:commentEx w15:paraId="0000000F" w15:done="0"/>
  <w15:commentEx w15:paraId="00000010" w15:done="0"/>
  <w15:commentEx w15:paraId="00000011" w15:done="0"/>
</w15:commentsEx>
</file>

<file path=word/commentsExtensibleDocument.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77A54642" w16cex:dateUtc="2025-02-17T18:29:00Z"/>
  <w16cex:commentExtensible w16cex:durableId="34AA8357" w16cex:dateUtc="2024-09-25T03:37:00Z"/>
  <w16cex:commentExtensible w16cex:durableId="18A4B33E" w16cex:dateUtc="2025-02-23T22:43:00Z"/>
  <w16cex:commentExtensible w16cex:durableId="4AC356D0" w16cex:dateUtc="2024-09-25T02:21:00Z"/>
  <w16cex:commentExtensible w16cex:durableId="5CCBB6CF" w16cex:dateUtc="2025-02-17T18:37:00Z"/>
</w16cex:commentsExtensible>
</file>

<file path=word/commentsIdsDocument.xml><?xml version="1.0" encoding="utf-8"?>
<w16cid:commentsIds xmlns:mc="http://schemas.openxmlformats.org/markup-compatibility/2006" xmlns:w16cid="http://schemas.microsoft.com/office/word/2016/wordml/cid" mc:Ignorable="w16cid">
  <w16cid:commentId w16cid:paraId="00000001" w16cid:durableId="41059AA4"/>
  <w16cid:commentId w16cid:paraId="00000002" w16cid:durableId="37E30AF1"/>
  <w16cid:commentId w16cid:paraId="00000003" w16cid:durableId="24A6B384"/>
  <w16cid:commentId w16cid:paraId="00000004" w16cid:durableId="6BC0442A"/>
  <w16cid:commentId w16cid:paraId="00000005" w16cid:durableId="77A54642"/>
  <w16cid:commentId w16cid:paraId="00000006" w16cid:durableId="34AA8357"/>
  <w16cid:commentId w16cid:paraId="00000007" w16cid:durableId="18A4B33E"/>
  <w16cid:commentId w16cid:paraId="00000008" w16cid:durableId="4AC356D0"/>
  <w16cid:commentId w16cid:paraId="00000009" w16cid:durableId="5CCBB6CF"/>
  <w16cid:commentId w16cid:paraId="0000000A" w16cid:durableId="2FF7EDFF"/>
  <w16cid:commentId w16cid:paraId="0000000B" w16cid:durableId="51F45426"/>
  <w16cid:commentId w16cid:paraId="0000000C" w16cid:durableId="156E3CD6"/>
  <w16cid:commentId w16cid:paraId="0000000D" w16cid:durableId="02360B05"/>
  <w16cid:commentId w16cid:paraId="0000000E" w16cid:durableId="3F2E761A"/>
  <w16cid:commentId w16cid:paraId="0000000F" w16cid:durableId="05338D70"/>
  <w16cid:commentId w16cid:paraId="00000010" w16cid:durableId="33E76713"/>
  <w16cid:commentId w16cid:paraId="00000011" w16cid:durableId="3C54F3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AA6C8" w14:textId="77777777" w:rsidR="0054077B" w:rsidRDefault="0054077B">
      <w:pPr>
        <w:spacing w:after="0" w:line="240" w:lineRule="auto"/>
      </w:pPr>
      <w:r>
        <w:separator/>
      </w:r>
    </w:p>
  </w:endnote>
  <w:endnote w:type="continuationSeparator" w:id="0">
    <w:p w14:paraId="33626109" w14:textId="77777777" w:rsidR="0054077B" w:rsidRDefault="005407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010477"/>
      <w:docPartObj>
        <w:docPartGallery w:val="Page Numbers (Bottom of Page)"/>
        <w:docPartUnique/>
      </w:docPartObj>
    </w:sdtPr>
    <w:sdtEndPr>
      <w:rPr>
        <w:noProof/>
      </w:rPr>
    </w:sdtEndPr>
    <w:sdtContent>
      <w:p w14:paraId="0529F3F2" w14:textId="5D493E5A" w:rsidR="00B32B13" w:rsidRDefault="00B32B13">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215DF302" w14:textId="77777777" w:rsidR="00B32B13" w:rsidRDefault="00B32B1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708BF9" w14:textId="77777777" w:rsidR="0054077B" w:rsidRDefault="0054077B">
      <w:pPr>
        <w:spacing w:after="0" w:line="240" w:lineRule="auto"/>
      </w:pPr>
      <w:r>
        <w:separator/>
      </w:r>
    </w:p>
  </w:footnote>
  <w:footnote w:type="continuationSeparator" w:id="0">
    <w:p w14:paraId="2FB25B01" w14:textId="77777777" w:rsidR="0054077B" w:rsidRDefault="005407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26401"/>
    <w:multiLevelType w:val="hybridMultilevel"/>
    <w:tmpl w:val="EBF49124"/>
    <w:lvl w:ilvl="0" w:tplc="7D4C5BBE">
      <w:start w:val="1"/>
      <w:numFmt w:val="decimal"/>
      <w:lvlText w:val="%1."/>
      <w:lvlJc w:val="left"/>
      <w:pPr>
        <w:tabs>
          <w:tab w:val="num" w:pos="993"/>
        </w:tabs>
        <w:ind w:left="993" w:hanging="567"/>
      </w:pPr>
      <w:rPr>
        <w:rFonts w:ascii="Times New Roman" w:hAnsi="Times New Roman" w:cs="Times New Roman" w:hint="default"/>
        <w:b w:val="0"/>
        <w:i w:val="0"/>
        <w:color w:val="auto"/>
        <w:sz w:val="24"/>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10A00D5F"/>
    <w:multiLevelType w:val="multilevel"/>
    <w:tmpl w:val="3328DF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9B16F8"/>
    <w:multiLevelType w:val="multilevel"/>
    <w:tmpl w:val="B778E8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7D028D0"/>
    <w:multiLevelType w:val="multilevel"/>
    <w:tmpl w:val="D746287E"/>
    <w:lvl w:ilvl="0">
      <w:start w:val="2"/>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D951DB3"/>
    <w:multiLevelType w:val="multilevel"/>
    <w:tmpl w:val="28E8B0E2"/>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5" w15:restartNumberingAfterBreak="0">
    <w:nsid w:val="1ED57705"/>
    <w:multiLevelType w:val="multilevel"/>
    <w:tmpl w:val="84B475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472644D"/>
    <w:multiLevelType w:val="multilevel"/>
    <w:tmpl w:val="6E5C2B9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6B074A2"/>
    <w:multiLevelType w:val="multilevel"/>
    <w:tmpl w:val="9AF6466E"/>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6FC4ECF"/>
    <w:multiLevelType w:val="multilevel"/>
    <w:tmpl w:val="2D0220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9AD7D76"/>
    <w:multiLevelType w:val="multilevel"/>
    <w:tmpl w:val="C88E62D2"/>
    <w:lvl w:ilvl="0">
      <w:start w:val="1"/>
      <w:numFmt w:val="decimal"/>
      <w:lvlText w:val="%1."/>
      <w:lvlJc w:val="right"/>
      <w:pPr>
        <w:ind w:left="709" w:hanging="360"/>
      </w:pPr>
      <w:rPr>
        <w:rFonts w:ascii="Arial" w:eastAsia="Arial" w:hAnsi="Arial" w:cs="Arial"/>
        <w:color w:val="D1D5DB"/>
        <w:sz w:val="24"/>
      </w:rPr>
    </w:lvl>
    <w:lvl w:ilvl="1">
      <w:start w:val="1"/>
      <w:numFmt w:val="decimal"/>
      <w:lvlText w:val="%2."/>
      <w:lvlJc w:val="right"/>
      <w:pPr>
        <w:ind w:left="1429" w:hanging="360"/>
      </w:pPr>
    </w:lvl>
    <w:lvl w:ilvl="2">
      <w:start w:val="1"/>
      <w:numFmt w:val="decimal"/>
      <w:lvlText w:val="%3."/>
      <w:lvlJc w:val="right"/>
      <w:pPr>
        <w:ind w:left="2149" w:hanging="180"/>
      </w:pPr>
    </w:lvl>
    <w:lvl w:ilvl="3">
      <w:start w:val="1"/>
      <w:numFmt w:val="decimal"/>
      <w:lvlText w:val="%4."/>
      <w:lvlJc w:val="right"/>
      <w:pPr>
        <w:ind w:left="2869" w:hanging="360"/>
      </w:pPr>
    </w:lvl>
    <w:lvl w:ilvl="4">
      <w:start w:val="1"/>
      <w:numFmt w:val="decimal"/>
      <w:lvlText w:val="%5."/>
      <w:lvlJc w:val="right"/>
      <w:pPr>
        <w:ind w:left="3589" w:hanging="360"/>
      </w:pPr>
    </w:lvl>
    <w:lvl w:ilvl="5">
      <w:start w:val="1"/>
      <w:numFmt w:val="decimal"/>
      <w:lvlText w:val="%6."/>
      <w:lvlJc w:val="right"/>
      <w:pPr>
        <w:ind w:left="4309" w:hanging="180"/>
      </w:pPr>
    </w:lvl>
    <w:lvl w:ilvl="6">
      <w:start w:val="1"/>
      <w:numFmt w:val="decimal"/>
      <w:lvlText w:val="%7."/>
      <w:lvlJc w:val="right"/>
      <w:pPr>
        <w:ind w:left="5029" w:hanging="360"/>
      </w:pPr>
    </w:lvl>
    <w:lvl w:ilvl="7">
      <w:start w:val="1"/>
      <w:numFmt w:val="decimal"/>
      <w:lvlText w:val="%8."/>
      <w:lvlJc w:val="right"/>
      <w:pPr>
        <w:ind w:left="5749" w:hanging="360"/>
      </w:pPr>
    </w:lvl>
    <w:lvl w:ilvl="8">
      <w:start w:val="1"/>
      <w:numFmt w:val="decimal"/>
      <w:lvlText w:val="%9."/>
      <w:lvlJc w:val="right"/>
      <w:pPr>
        <w:ind w:left="6469" w:hanging="180"/>
      </w:pPr>
    </w:lvl>
  </w:abstractNum>
  <w:abstractNum w:abstractNumId="10" w15:restartNumberingAfterBreak="0">
    <w:nsid w:val="2A6403D1"/>
    <w:multiLevelType w:val="multilevel"/>
    <w:tmpl w:val="2FC63874"/>
    <w:lvl w:ilvl="0">
      <w:start w:val="1"/>
      <w:numFmt w:val="bullet"/>
      <w:lvlText w:val=""/>
      <w:lvlJc w:val="left"/>
      <w:pPr>
        <w:ind w:left="709" w:hanging="360"/>
      </w:pPr>
      <w:rPr>
        <w:rFonts w:ascii="Symbol" w:hAnsi="Symbol" w:hint="default"/>
      </w:rPr>
    </w:lvl>
    <w:lvl w:ilvl="1">
      <w:start w:val="1"/>
      <w:numFmt w:val="bullet"/>
      <w:lvlText w:val="o"/>
      <w:lvlJc w:val="left"/>
      <w:pPr>
        <w:ind w:left="1429" w:hanging="360"/>
      </w:pPr>
      <w:rPr>
        <w:rFonts w:ascii="Courier New" w:hAnsi="Courier New" w:cs="Courier New" w:hint="default"/>
      </w:rPr>
    </w:lvl>
    <w:lvl w:ilvl="2">
      <w:start w:val="1"/>
      <w:numFmt w:val="bullet"/>
      <w:lvlText w:val=""/>
      <w:lvlJc w:val="left"/>
      <w:pPr>
        <w:ind w:left="2149" w:hanging="360"/>
      </w:pPr>
      <w:rPr>
        <w:rFonts w:ascii="Wingdings" w:hAnsi="Wingdings" w:hint="default"/>
      </w:rPr>
    </w:lvl>
    <w:lvl w:ilvl="3">
      <w:start w:val="1"/>
      <w:numFmt w:val="bullet"/>
      <w:lvlText w:val=""/>
      <w:lvlJc w:val="left"/>
      <w:pPr>
        <w:ind w:left="2869" w:hanging="360"/>
      </w:pPr>
      <w:rPr>
        <w:rFonts w:ascii="Symbol" w:hAnsi="Symbol" w:hint="default"/>
      </w:rPr>
    </w:lvl>
    <w:lvl w:ilvl="4">
      <w:start w:val="1"/>
      <w:numFmt w:val="bullet"/>
      <w:lvlText w:val="o"/>
      <w:lvlJc w:val="left"/>
      <w:pPr>
        <w:ind w:left="3589" w:hanging="360"/>
      </w:pPr>
      <w:rPr>
        <w:rFonts w:ascii="Courier New" w:hAnsi="Courier New" w:cs="Courier New" w:hint="default"/>
      </w:rPr>
    </w:lvl>
    <w:lvl w:ilvl="5">
      <w:start w:val="1"/>
      <w:numFmt w:val="bullet"/>
      <w:lvlText w:val=""/>
      <w:lvlJc w:val="left"/>
      <w:pPr>
        <w:ind w:left="4309" w:hanging="360"/>
      </w:pPr>
      <w:rPr>
        <w:rFonts w:ascii="Wingdings" w:hAnsi="Wingdings" w:hint="default"/>
      </w:rPr>
    </w:lvl>
    <w:lvl w:ilvl="6">
      <w:start w:val="1"/>
      <w:numFmt w:val="bullet"/>
      <w:lvlText w:val=""/>
      <w:lvlJc w:val="left"/>
      <w:pPr>
        <w:ind w:left="5029" w:hanging="360"/>
      </w:pPr>
      <w:rPr>
        <w:rFonts w:ascii="Symbol" w:hAnsi="Symbol" w:hint="default"/>
      </w:rPr>
    </w:lvl>
    <w:lvl w:ilvl="7">
      <w:start w:val="1"/>
      <w:numFmt w:val="bullet"/>
      <w:lvlText w:val="o"/>
      <w:lvlJc w:val="left"/>
      <w:pPr>
        <w:ind w:left="5749" w:hanging="360"/>
      </w:pPr>
      <w:rPr>
        <w:rFonts w:ascii="Courier New" w:hAnsi="Courier New" w:cs="Courier New" w:hint="default"/>
      </w:rPr>
    </w:lvl>
    <w:lvl w:ilvl="8">
      <w:start w:val="1"/>
      <w:numFmt w:val="bullet"/>
      <w:lvlText w:val=""/>
      <w:lvlJc w:val="left"/>
      <w:pPr>
        <w:ind w:left="6469" w:hanging="360"/>
      </w:pPr>
      <w:rPr>
        <w:rFonts w:ascii="Wingdings" w:hAnsi="Wingdings" w:hint="default"/>
      </w:rPr>
    </w:lvl>
  </w:abstractNum>
  <w:abstractNum w:abstractNumId="11" w15:restartNumberingAfterBreak="0">
    <w:nsid w:val="345905BF"/>
    <w:multiLevelType w:val="multilevel"/>
    <w:tmpl w:val="3DF09E18"/>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12" w15:restartNumberingAfterBreak="0">
    <w:nsid w:val="35472D4A"/>
    <w:multiLevelType w:val="multilevel"/>
    <w:tmpl w:val="7C2E66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6E071CF"/>
    <w:multiLevelType w:val="multilevel"/>
    <w:tmpl w:val="C58AEF9A"/>
    <w:lvl w:ilvl="0">
      <w:numFmt w:val="bullet"/>
      <w:lvlText w:val=""/>
      <w:lvlJc w:val="left"/>
      <w:pPr>
        <w:ind w:left="720" w:hanging="360"/>
      </w:pPr>
      <w:rPr>
        <w:rFonts w:ascii="Wingdings" w:eastAsiaTheme="minorHAnsi" w:hAnsi="Wingdings"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2810E6"/>
    <w:multiLevelType w:val="multilevel"/>
    <w:tmpl w:val="F990A95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38A26CCE"/>
    <w:multiLevelType w:val="multilevel"/>
    <w:tmpl w:val="D5583D70"/>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16" w15:restartNumberingAfterBreak="0">
    <w:nsid w:val="49B90646"/>
    <w:multiLevelType w:val="multilevel"/>
    <w:tmpl w:val="ACF6D4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C4253DA"/>
    <w:multiLevelType w:val="multilevel"/>
    <w:tmpl w:val="4B86B162"/>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18" w15:restartNumberingAfterBreak="0">
    <w:nsid w:val="52555D82"/>
    <w:multiLevelType w:val="hybridMultilevel"/>
    <w:tmpl w:val="0CC07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7302B"/>
    <w:multiLevelType w:val="multilevel"/>
    <w:tmpl w:val="6248E4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7E65066"/>
    <w:multiLevelType w:val="multilevel"/>
    <w:tmpl w:val="20108232"/>
    <w:lvl w:ilvl="0">
      <w:start w:val="1"/>
      <w:numFmt w:val="bullet"/>
      <w:lvlText w:val=""/>
      <w:lvlJc w:val="left"/>
      <w:pPr>
        <w:ind w:left="720" w:hanging="360"/>
      </w:pPr>
      <w:rPr>
        <w:rFonts w:ascii="Symbol" w:eastAsia="Symbol" w:hAnsi="Symbol" w:cs="Symbol" w:hint="default"/>
      </w:rPr>
    </w:lvl>
    <w:lvl w:ilvl="1">
      <w:start w:val="1"/>
      <w:numFmt w:val="bullet"/>
      <w:lvlText w:val="o"/>
      <w:lvlJc w:val="left"/>
      <w:pPr>
        <w:ind w:left="1440" w:hanging="360"/>
      </w:pPr>
      <w:rPr>
        <w:rFonts w:ascii="Courier New" w:eastAsia="Courier New" w:hAnsi="Courier New" w:cs="Courier New" w:hint="default"/>
      </w:rPr>
    </w:lvl>
    <w:lvl w:ilvl="2">
      <w:start w:val="1"/>
      <w:numFmt w:val="bullet"/>
      <w:lvlText w:val=""/>
      <w:lvlJc w:val="left"/>
      <w:pPr>
        <w:ind w:left="2160" w:hanging="360"/>
      </w:pPr>
      <w:rPr>
        <w:rFonts w:ascii="Wingdings" w:eastAsia="Wingdings" w:hAnsi="Wingdings" w:cs="Wingdings" w:hint="default"/>
      </w:rPr>
    </w:lvl>
    <w:lvl w:ilvl="3">
      <w:start w:val="1"/>
      <w:numFmt w:val="bullet"/>
      <w:lvlText w:val=""/>
      <w:lvlJc w:val="left"/>
      <w:pPr>
        <w:ind w:left="2880" w:hanging="360"/>
      </w:pPr>
      <w:rPr>
        <w:rFonts w:ascii="Symbol" w:eastAsia="Symbol" w:hAnsi="Symbol" w:cs="Symbol"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Wingdings" w:eastAsia="Wingdings" w:hAnsi="Wingdings" w:cs="Wingdings" w:hint="default"/>
      </w:rPr>
    </w:lvl>
    <w:lvl w:ilvl="6">
      <w:start w:val="1"/>
      <w:numFmt w:val="bullet"/>
      <w:lvlText w:val=""/>
      <w:lvlJc w:val="left"/>
      <w:pPr>
        <w:ind w:left="5040" w:hanging="360"/>
      </w:pPr>
      <w:rPr>
        <w:rFonts w:ascii="Symbol" w:eastAsia="Symbol" w:hAnsi="Symbol" w:cs="Symbol"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Wingdings" w:eastAsia="Wingdings" w:hAnsi="Wingdings" w:cs="Wingdings" w:hint="default"/>
      </w:rPr>
    </w:lvl>
  </w:abstractNum>
  <w:abstractNum w:abstractNumId="21" w15:restartNumberingAfterBreak="0">
    <w:nsid w:val="5D5B2D02"/>
    <w:multiLevelType w:val="hybridMultilevel"/>
    <w:tmpl w:val="D4C63D0A"/>
    <w:lvl w:ilvl="0" w:tplc="29CCC17E">
      <w:start w:val="1"/>
      <w:numFmt w:val="decimal"/>
      <w:lvlText w:val="%1)"/>
      <w:lvlJc w:val="left"/>
      <w:pPr>
        <w:ind w:left="1020" w:hanging="360"/>
      </w:pPr>
    </w:lvl>
    <w:lvl w:ilvl="1" w:tplc="8E84006A">
      <w:start w:val="1"/>
      <w:numFmt w:val="decimal"/>
      <w:lvlText w:val="%2)"/>
      <w:lvlJc w:val="left"/>
      <w:pPr>
        <w:ind w:left="1020" w:hanging="360"/>
      </w:pPr>
    </w:lvl>
    <w:lvl w:ilvl="2" w:tplc="2A40553C">
      <w:start w:val="1"/>
      <w:numFmt w:val="decimal"/>
      <w:lvlText w:val="%3)"/>
      <w:lvlJc w:val="left"/>
      <w:pPr>
        <w:ind w:left="1020" w:hanging="360"/>
      </w:pPr>
    </w:lvl>
    <w:lvl w:ilvl="3" w:tplc="4456F95A">
      <w:start w:val="1"/>
      <w:numFmt w:val="decimal"/>
      <w:lvlText w:val="%4)"/>
      <w:lvlJc w:val="left"/>
      <w:pPr>
        <w:ind w:left="1020" w:hanging="360"/>
      </w:pPr>
    </w:lvl>
    <w:lvl w:ilvl="4" w:tplc="8A6AACBC">
      <w:start w:val="1"/>
      <w:numFmt w:val="decimal"/>
      <w:lvlText w:val="%5)"/>
      <w:lvlJc w:val="left"/>
      <w:pPr>
        <w:ind w:left="1020" w:hanging="360"/>
      </w:pPr>
    </w:lvl>
    <w:lvl w:ilvl="5" w:tplc="55D66902">
      <w:start w:val="1"/>
      <w:numFmt w:val="decimal"/>
      <w:lvlText w:val="%6)"/>
      <w:lvlJc w:val="left"/>
      <w:pPr>
        <w:ind w:left="1020" w:hanging="360"/>
      </w:pPr>
    </w:lvl>
    <w:lvl w:ilvl="6" w:tplc="F6B0531C">
      <w:start w:val="1"/>
      <w:numFmt w:val="decimal"/>
      <w:lvlText w:val="%7)"/>
      <w:lvlJc w:val="left"/>
      <w:pPr>
        <w:ind w:left="1020" w:hanging="360"/>
      </w:pPr>
    </w:lvl>
    <w:lvl w:ilvl="7" w:tplc="D480C244">
      <w:start w:val="1"/>
      <w:numFmt w:val="decimal"/>
      <w:lvlText w:val="%8)"/>
      <w:lvlJc w:val="left"/>
      <w:pPr>
        <w:ind w:left="1020" w:hanging="360"/>
      </w:pPr>
    </w:lvl>
    <w:lvl w:ilvl="8" w:tplc="1E46DB42">
      <w:start w:val="1"/>
      <w:numFmt w:val="decimal"/>
      <w:lvlText w:val="%9)"/>
      <w:lvlJc w:val="left"/>
      <w:pPr>
        <w:ind w:left="1020" w:hanging="360"/>
      </w:pPr>
    </w:lvl>
  </w:abstractNum>
  <w:abstractNum w:abstractNumId="22" w15:restartNumberingAfterBreak="0">
    <w:nsid w:val="61C3378C"/>
    <w:multiLevelType w:val="multilevel"/>
    <w:tmpl w:val="6782838C"/>
    <w:lvl w:ilvl="0">
      <w:start w:val="1"/>
      <w:numFmt w:val="bullet"/>
      <w:lvlText w:val="·"/>
      <w:lvlJc w:val="left"/>
      <w:pPr>
        <w:ind w:left="709" w:hanging="360"/>
      </w:pPr>
      <w:rPr>
        <w:rFonts w:ascii="Symbol" w:eastAsia="Symbol" w:hAnsi="Symbol" w:cs="Symbol" w:hint="default"/>
      </w:rPr>
    </w:lvl>
    <w:lvl w:ilvl="1">
      <w:start w:val="1"/>
      <w:numFmt w:val="bullet"/>
      <w:lvlText w:val="o"/>
      <w:lvlJc w:val="left"/>
      <w:pPr>
        <w:ind w:left="1429" w:hanging="360"/>
      </w:pPr>
      <w:rPr>
        <w:rFonts w:ascii="Courier New" w:eastAsia="Courier New" w:hAnsi="Courier New" w:cs="Courier New" w:hint="default"/>
      </w:rPr>
    </w:lvl>
    <w:lvl w:ilvl="2">
      <w:start w:val="1"/>
      <w:numFmt w:val="bullet"/>
      <w:lvlText w:val="§"/>
      <w:lvlJc w:val="left"/>
      <w:pPr>
        <w:ind w:left="2149" w:hanging="360"/>
      </w:pPr>
      <w:rPr>
        <w:rFonts w:ascii="Wingdings" w:eastAsia="Wingdings" w:hAnsi="Wingdings" w:cs="Wingdings"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o"/>
      <w:lvlJc w:val="left"/>
      <w:pPr>
        <w:ind w:left="3589" w:hanging="360"/>
      </w:pPr>
      <w:rPr>
        <w:rFonts w:ascii="Courier New" w:eastAsia="Courier New" w:hAnsi="Courier New" w:cs="Courier New" w:hint="default"/>
      </w:rPr>
    </w:lvl>
    <w:lvl w:ilvl="5">
      <w:start w:val="1"/>
      <w:numFmt w:val="bullet"/>
      <w:lvlText w:val="§"/>
      <w:lvlJc w:val="left"/>
      <w:pPr>
        <w:ind w:left="4309" w:hanging="360"/>
      </w:pPr>
      <w:rPr>
        <w:rFonts w:ascii="Wingdings" w:eastAsia="Wingdings" w:hAnsi="Wingdings" w:cs="Wingdings"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o"/>
      <w:lvlJc w:val="left"/>
      <w:pPr>
        <w:ind w:left="5749" w:hanging="360"/>
      </w:pPr>
      <w:rPr>
        <w:rFonts w:ascii="Courier New" w:eastAsia="Courier New" w:hAnsi="Courier New" w:cs="Courier New" w:hint="default"/>
      </w:rPr>
    </w:lvl>
    <w:lvl w:ilvl="8">
      <w:start w:val="1"/>
      <w:numFmt w:val="bullet"/>
      <w:lvlText w:val="§"/>
      <w:lvlJc w:val="left"/>
      <w:pPr>
        <w:ind w:left="6469" w:hanging="360"/>
      </w:pPr>
      <w:rPr>
        <w:rFonts w:ascii="Wingdings" w:eastAsia="Wingdings" w:hAnsi="Wingdings" w:cs="Wingdings" w:hint="default"/>
      </w:rPr>
    </w:lvl>
  </w:abstractNum>
  <w:abstractNum w:abstractNumId="23" w15:restartNumberingAfterBreak="0">
    <w:nsid w:val="6C942784"/>
    <w:multiLevelType w:val="multilevel"/>
    <w:tmpl w:val="7A22FEC0"/>
    <w:lvl w:ilvl="0">
      <w:start w:val="1"/>
      <w:numFmt w:val="bullet"/>
      <w:lvlText w:val="-"/>
      <w:lvlJc w:val="left"/>
      <w:pPr>
        <w:ind w:left="720" w:hanging="360"/>
      </w:pPr>
      <w:rPr>
        <w:rFonts w:ascii="Calibri" w:eastAsiaTheme="minorHAns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F8937D1"/>
    <w:multiLevelType w:val="multilevel"/>
    <w:tmpl w:val="20B8B4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4547CA5"/>
    <w:multiLevelType w:val="multilevel"/>
    <w:tmpl w:val="1122C648"/>
    <w:lvl w:ilvl="0">
      <w:start w:val="1"/>
      <w:numFmt w:val="bullet"/>
      <w:lvlText w:val="·"/>
      <w:lvlJc w:val="left"/>
      <w:pPr>
        <w:ind w:left="709" w:hanging="360"/>
      </w:pPr>
      <w:rPr>
        <w:rFonts w:ascii="Symbol" w:eastAsia="Symbol" w:hAnsi="Symbol" w:cs="Symbol" w:hint="default"/>
      </w:rPr>
    </w:lvl>
    <w:lvl w:ilvl="1">
      <w:start w:val="1"/>
      <w:numFmt w:val="bullet"/>
      <w:lvlText w:val="·"/>
      <w:lvlJc w:val="left"/>
      <w:pPr>
        <w:ind w:left="1429" w:hanging="360"/>
      </w:pPr>
      <w:rPr>
        <w:rFonts w:ascii="Symbol" w:eastAsia="Symbol" w:hAnsi="Symbol" w:cs="Symbol" w:hint="default"/>
      </w:rPr>
    </w:lvl>
    <w:lvl w:ilvl="2">
      <w:start w:val="1"/>
      <w:numFmt w:val="bullet"/>
      <w:lvlText w:val="·"/>
      <w:lvlJc w:val="left"/>
      <w:pPr>
        <w:ind w:left="2149" w:hanging="360"/>
      </w:pPr>
      <w:rPr>
        <w:rFonts w:ascii="Symbol" w:eastAsia="Symbol" w:hAnsi="Symbol" w:cs="Symbol" w:hint="default"/>
      </w:rPr>
    </w:lvl>
    <w:lvl w:ilvl="3">
      <w:start w:val="1"/>
      <w:numFmt w:val="bullet"/>
      <w:lvlText w:val="·"/>
      <w:lvlJc w:val="left"/>
      <w:pPr>
        <w:ind w:left="2869" w:hanging="360"/>
      </w:pPr>
      <w:rPr>
        <w:rFonts w:ascii="Symbol" w:eastAsia="Symbol" w:hAnsi="Symbol" w:cs="Symbol" w:hint="default"/>
      </w:rPr>
    </w:lvl>
    <w:lvl w:ilvl="4">
      <w:start w:val="1"/>
      <w:numFmt w:val="bullet"/>
      <w:lvlText w:val="·"/>
      <w:lvlJc w:val="left"/>
      <w:pPr>
        <w:ind w:left="3589" w:hanging="360"/>
      </w:pPr>
      <w:rPr>
        <w:rFonts w:ascii="Symbol" w:eastAsia="Symbol" w:hAnsi="Symbol" w:cs="Symbol" w:hint="default"/>
      </w:rPr>
    </w:lvl>
    <w:lvl w:ilvl="5">
      <w:start w:val="1"/>
      <w:numFmt w:val="bullet"/>
      <w:lvlText w:val="·"/>
      <w:lvlJc w:val="left"/>
      <w:pPr>
        <w:ind w:left="4309" w:hanging="360"/>
      </w:pPr>
      <w:rPr>
        <w:rFonts w:ascii="Symbol" w:eastAsia="Symbol" w:hAnsi="Symbol" w:cs="Symbol" w:hint="default"/>
      </w:rPr>
    </w:lvl>
    <w:lvl w:ilvl="6">
      <w:start w:val="1"/>
      <w:numFmt w:val="bullet"/>
      <w:lvlText w:val="·"/>
      <w:lvlJc w:val="left"/>
      <w:pPr>
        <w:ind w:left="5029" w:hanging="360"/>
      </w:pPr>
      <w:rPr>
        <w:rFonts w:ascii="Symbol" w:eastAsia="Symbol" w:hAnsi="Symbol" w:cs="Symbol" w:hint="default"/>
      </w:rPr>
    </w:lvl>
    <w:lvl w:ilvl="7">
      <w:start w:val="1"/>
      <w:numFmt w:val="bullet"/>
      <w:lvlText w:val="·"/>
      <w:lvlJc w:val="left"/>
      <w:pPr>
        <w:ind w:left="5749" w:hanging="360"/>
      </w:pPr>
      <w:rPr>
        <w:rFonts w:ascii="Symbol" w:eastAsia="Symbol" w:hAnsi="Symbol" w:cs="Symbol" w:hint="default"/>
      </w:rPr>
    </w:lvl>
    <w:lvl w:ilvl="8">
      <w:start w:val="1"/>
      <w:numFmt w:val="bullet"/>
      <w:lvlText w:val="·"/>
      <w:lvlJc w:val="left"/>
      <w:pPr>
        <w:ind w:left="6469" w:hanging="360"/>
      </w:pPr>
      <w:rPr>
        <w:rFonts w:ascii="Symbol" w:eastAsia="Symbol" w:hAnsi="Symbol" w:cs="Symbol" w:hint="default"/>
      </w:rPr>
    </w:lvl>
  </w:abstractNum>
  <w:abstractNum w:abstractNumId="26" w15:restartNumberingAfterBreak="0">
    <w:nsid w:val="76F144A5"/>
    <w:multiLevelType w:val="hybridMultilevel"/>
    <w:tmpl w:val="EBF49124"/>
    <w:lvl w:ilvl="0" w:tplc="7D4C5BBE">
      <w:start w:val="1"/>
      <w:numFmt w:val="decimal"/>
      <w:lvlText w:val="%1."/>
      <w:lvlJc w:val="left"/>
      <w:pPr>
        <w:tabs>
          <w:tab w:val="num" w:pos="993"/>
        </w:tabs>
        <w:ind w:left="993" w:hanging="567"/>
      </w:pPr>
      <w:rPr>
        <w:rFonts w:ascii="Times New Roman" w:hAnsi="Times New Roman" w:cs="Times New Roman" w:hint="default"/>
        <w:b w:val="0"/>
        <w:i w:val="0"/>
        <w:color w:val="auto"/>
        <w:sz w:val="24"/>
        <w:szCs w:val="2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8"/>
  </w:num>
  <w:num w:numId="2">
    <w:abstractNumId w:val="7"/>
  </w:num>
  <w:num w:numId="3">
    <w:abstractNumId w:val="23"/>
  </w:num>
  <w:num w:numId="4">
    <w:abstractNumId w:val="13"/>
  </w:num>
  <w:num w:numId="5">
    <w:abstractNumId w:val="6"/>
  </w:num>
  <w:num w:numId="6">
    <w:abstractNumId w:val="14"/>
  </w:num>
  <w:num w:numId="7">
    <w:abstractNumId w:val="3"/>
  </w:num>
  <w:num w:numId="8">
    <w:abstractNumId w:val="5"/>
  </w:num>
  <w:num w:numId="9">
    <w:abstractNumId w:val="19"/>
  </w:num>
  <w:num w:numId="10">
    <w:abstractNumId w:val="16"/>
  </w:num>
  <w:num w:numId="11">
    <w:abstractNumId w:val="2"/>
  </w:num>
  <w:num w:numId="12">
    <w:abstractNumId w:val="1"/>
  </w:num>
  <w:num w:numId="13">
    <w:abstractNumId w:val="12"/>
  </w:num>
  <w:num w:numId="14">
    <w:abstractNumId w:val="10"/>
  </w:num>
  <w:num w:numId="15">
    <w:abstractNumId w:val="22"/>
  </w:num>
  <w:num w:numId="16">
    <w:abstractNumId w:val="9"/>
  </w:num>
  <w:num w:numId="17">
    <w:abstractNumId w:val="15"/>
  </w:num>
  <w:num w:numId="18">
    <w:abstractNumId w:val="20"/>
  </w:num>
  <w:num w:numId="19">
    <w:abstractNumId w:val="11"/>
  </w:num>
  <w:num w:numId="20">
    <w:abstractNumId w:val="17"/>
  </w:num>
  <w:num w:numId="21">
    <w:abstractNumId w:val="25"/>
  </w:num>
  <w:num w:numId="22">
    <w:abstractNumId w:val="4"/>
  </w:num>
  <w:num w:numId="23">
    <w:abstractNumId w:val="24"/>
  </w:num>
  <w:num w:numId="24">
    <w:abstractNumId w:val="21"/>
  </w:num>
  <w:num w:numId="25">
    <w:abstractNumId w:val="26"/>
  </w:num>
  <w:num w:numId="26">
    <w:abstractNumId w:val="0"/>
  </w:num>
  <w:num w:numId="27">
    <w:abstractNumId w:val="18"/>
  </w:num>
</w:numbering>
</file>

<file path=word/peopleDocument.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eter Bieker">
    <w15:presenceInfo w15:providerId="Windows Live" w15:userId="b7e0de904ec0af0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3C39"/>
    <w:rsid w:val="00000731"/>
    <w:rsid w:val="000008D7"/>
    <w:rsid w:val="00004784"/>
    <w:rsid w:val="000048B5"/>
    <w:rsid w:val="00004B62"/>
    <w:rsid w:val="00006BCD"/>
    <w:rsid w:val="0001162E"/>
    <w:rsid w:val="000126CB"/>
    <w:rsid w:val="000136C3"/>
    <w:rsid w:val="000150F6"/>
    <w:rsid w:val="00015E6C"/>
    <w:rsid w:val="00017023"/>
    <w:rsid w:val="00017A1F"/>
    <w:rsid w:val="00023042"/>
    <w:rsid w:val="00023D24"/>
    <w:rsid w:val="00026265"/>
    <w:rsid w:val="000319BF"/>
    <w:rsid w:val="0003664C"/>
    <w:rsid w:val="0004055E"/>
    <w:rsid w:val="00041DFD"/>
    <w:rsid w:val="00043727"/>
    <w:rsid w:val="0004431A"/>
    <w:rsid w:val="000501B3"/>
    <w:rsid w:val="0005037E"/>
    <w:rsid w:val="000520A5"/>
    <w:rsid w:val="000524B7"/>
    <w:rsid w:val="000526A3"/>
    <w:rsid w:val="00052B0D"/>
    <w:rsid w:val="00053804"/>
    <w:rsid w:val="000602BF"/>
    <w:rsid w:val="00064056"/>
    <w:rsid w:val="00064C5A"/>
    <w:rsid w:val="00065F65"/>
    <w:rsid w:val="000674B4"/>
    <w:rsid w:val="000707F7"/>
    <w:rsid w:val="000738AB"/>
    <w:rsid w:val="00075253"/>
    <w:rsid w:val="0007714B"/>
    <w:rsid w:val="00081005"/>
    <w:rsid w:val="00081DC6"/>
    <w:rsid w:val="0008541A"/>
    <w:rsid w:val="0009274D"/>
    <w:rsid w:val="00097781"/>
    <w:rsid w:val="00097AE6"/>
    <w:rsid w:val="000A1500"/>
    <w:rsid w:val="000A1ABE"/>
    <w:rsid w:val="000A2362"/>
    <w:rsid w:val="000A3640"/>
    <w:rsid w:val="000A6015"/>
    <w:rsid w:val="000B52EB"/>
    <w:rsid w:val="000B5B29"/>
    <w:rsid w:val="000C05DF"/>
    <w:rsid w:val="000C07EB"/>
    <w:rsid w:val="000C105A"/>
    <w:rsid w:val="000C5656"/>
    <w:rsid w:val="000C675E"/>
    <w:rsid w:val="000C6D18"/>
    <w:rsid w:val="000D0BA2"/>
    <w:rsid w:val="000D43C6"/>
    <w:rsid w:val="000D612D"/>
    <w:rsid w:val="000E3AB3"/>
    <w:rsid w:val="000E7AE5"/>
    <w:rsid w:val="000E7FDB"/>
    <w:rsid w:val="000F0B1D"/>
    <w:rsid w:val="000F1281"/>
    <w:rsid w:val="000F1A33"/>
    <w:rsid w:val="000F2603"/>
    <w:rsid w:val="000F28DF"/>
    <w:rsid w:val="000F4014"/>
    <w:rsid w:val="000F4472"/>
    <w:rsid w:val="000F4C7E"/>
    <w:rsid w:val="000F6EC5"/>
    <w:rsid w:val="0010174A"/>
    <w:rsid w:val="001058AB"/>
    <w:rsid w:val="00105F34"/>
    <w:rsid w:val="00106103"/>
    <w:rsid w:val="0010696D"/>
    <w:rsid w:val="00107588"/>
    <w:rsid w:val="0011019C"/>
    <w:rsid w:val="00110D87"/>
    <w:rsid w:val="0011201F"/>
    <w:rsid w:val="00112096"/>
    <w:rsid w:val="00112B34"/>
    <w:rsid w:val="00115BD7"/>
    <w:rsid w:val="001172ED"/>
    <w:rsid w:val="00117CAD"/>
    <w:rsid w:val="00117E98"/>
    <w:rsid w:val="00121AF0"/>
    <w:rsid w:val="0012244F"/>
    <w:rsid w:val="00133EF3"/>
    <w:rsid w:val="0013615D"/>
    <w:rsid w:val="001410AD"/>
    <w:rsid w:val="00143195"/>
    <w:rsid w:val="0014776A"/>
    <w:rsid w:val="00147BDE"/>
    <w:rsid w:val="001503A3"/>
    <w:rsid w:val="001509AB"/>
    <w:rsid w:val="00160F8F"/>
    <w:rsid w:val="00162AD7"/>
    <w:rsid w:val="0016358B"/>
    <w:rsid w:val="001641ED"/>
    <w:rsid w:val="00167B02"/>
    <w:rsid w:val="0017026C"/>
    <w:rsid w:val="001722D9"/>
    <w:rsid w:val="00174879"/>
    <w:rsid w:val="00174A1D"/>
    <w:rsid w:val="00177512"/>
    <w:rsid w:val="001861E6"/>
    <w:rsid w:val="00190585"/>
    <w:rsid w:val="001924AC"/>
    <w:rsid w:val="00192A90"/>
    <w:rsid w:val="0019603D"/>
    <w:rsid w:val="0019792E"/>
    <w:rsid w:val="001A0570"/>
    <w:rsid w:val="001A4239"/>
    <w:rsid w:val="001A662E"/>
    <w:rsid w:val="001A75F6"/>
    <w:rsid w:val="001B023E"/>
    <w:rsid w:val="001B2580"/>
    <w:rsid w:val="001B73E7"/>
    <w:rsid w:val="001B7891"/>
    <w:rsid w:val="001C320F"/>
    <w:rsid w:val="001C53C7"/>
    <w:rsid w:val="001D066B"/>
    <w:rsid w:val="001D1175"/>
    <w:rsid w:val="001D3ECE"/>
    <w:rsid w:val="001D4040"/>
    <w:rsid w:val="001D44FF"/>
    <w:rsid w:val="001D76BB"/>
    <w:rsid w:val="001E3FF3"/>
    <w:rsid w:val="001E5408"/>
    <w:rsid w:val="001E54F1"/>
    <w:rsid w:val="001E5B91"/>
    <w:rsid w:val="001E6123"/>
    <w:rsid w:val="001F1948"/>
    <w:rsid w:val="001F46EC"/>
    <w:rsid w:val="001F4FDA"/>
    <w:rsid w:val="001F5E64"/>
    <w:rsid w:val="001F7477"/>
    <w:rsid w:val="002023C3"/>
    <w:rsid w:val="00205E18"/>
    <w:rsid w:val="002125F8"/>
    <w:rsid w:val="00213264"/>
    <w:rsid w:val="00213614"/>
    <w:rsid w:val="00215766"/>
    <w:rsid w:val="00216AD2"/>
    <w:rsid w:val="00226E53"/>
    <w:rsid w:val="00230949"/>
    <w:rsid w:val="002347B4"/>
    <w:rsid w:val="00235A7B"/>
    <w:rsid w:val="002377E7"/>
    <w:rsid w:val="002428CD"/>
    <w:rsid w:val="00242C03"/>
    <w:rsid w:val="00244A65"/>
    <w:rsid w:val="00245977"/>
    <w:rsid w:val="00250588"/>
    <w:rsid w:val="00251B2D"/>
    <w:rsid w:val="00252B85"/>
    <w:rsid w:val="00254595"/>
    <w:rsid w:val="0025713A"/>
    <w:rsid w:val="00265735"/>
    <w:rsid w:val="00265FA9"/>
    <w:rsid w:val="00267DB6"/>
    <w:rsid w:val="002772C3"/>
    <w:rsid w:val="00283A9B"/>
    <w:rsid w:val="002848DF"/>
    <w:rsid w:val="00285291"/>
    <w:rsid w:val="00287F79"/>
    <w:rsid w:val="00293183"/>
    <w:rsid w:val="002951D0"/>
    <w:rsid w:val="00296204"/>
    <w:rsid w:val="00296C37"/>
    <w:rsid w:val="00296E07"/>
    <w:rsid w:val="002A110A"/>
    <w:rsid w:val="002A1937"/>
    <w:rsid w:val="002A1A25"/>
    <w:rsid w:val="002A63D0"/>
    <w:rsid w:val="002A790D"/>
    <w:rsid w:val="002B05CA"/>
    <w:rsid w:val="002B19D6"/>
    <w:rsid w:val="002B1F73"/>
    <w:rsid w:val="002B672F"/>
    <w:rsid w:val="002C3F04"/>
    <w:rsid w:val="002C568A"/>
    <w:rsid w:val="002C5F3E"/>
    <w:rsid w:val="002C6B26"/>
    <w:rsid w:val="002D04EA"/>
    <w:rsid w:val="002D1321"/>
    <w:rsid w:val="002D3412"/>
    <w:rsid w:val="002D3891"/>
    <w:rsid w:val="002D427E"/>
    <w:rsid w:val="002D6C67"/>
    <w:rsid w:val="002E32C0"/>
    <w:rsid w:val="002E3BC7"/>
    <w:rsid w:val="002F149E"/>
    <w:rsid w:val="002F2779"/>
    <w:rsid w:val="002F60B7"/>
    <w:rsid w:val="002F6D4C"/>
    <w:rsid w:val="00303468"/>
    <w:rsid w:val="003034F6"/>
    <w:rsid w:val="003038F1"/>
    <w:rsid w:val="00310DA1"/>
    <w:rsid w:val="00317D2F"/>
    <w:rsid w:val="00322F6D"/>
    <w:rsid w:val="00324825"/>
    <w:rsid w:val="0032663E"/>
    <w:rsid w:val="003319BE"/>
    <w:rsid w:val="003322A0"/>
    <w:rsid w:val="00333F04"/>
    <w:rsid w:val="00335D7C"/>
    <w:rsid w:val="00337382"/>
    <w:rsid w:val="003422FA"/>
    <w:rsid w:val="003452EC"/>
    <w:rsid w:val="00347381"/>
    <w:rsid w:val="00351058"/>
    <w:rsid w:val="00351565"/>
    <w:rsid w:val="00357EF1"/>
    <w:rsid w:val="00360123"/>
    <w:rsid w:val="00361752"/>
    <w:rsid w:val="003629A3"/>
    <w:rsid w:val="00363AEB"/>
    <w:rsid w:val="00366FB8"/>
    <w:rsid w:val="003718DD"/>
    <w:rsid w:val="00371BB3"/>
    <w:rsid w:val="00375061"/>
    <w:rsid w:val="003777DD"/>
    <w:rsid w:val="0038049A"/>
    <w:rsid w:val="003809BA"/>
    <w:rsid w:val="00381B49"/>
    <w:rsid w:val="00382589"/>
    <w:rsid w:val="003842A5"/>
    <w:rsid w:val="00384CC6"/>
    <w:rsid w:val="00386874"/>
    <w:rsid w:val="00386AF0"/>
    <w:rsid w:val="0039063F"/>
    <w:rsid w:val="00391B14"/>
    <w:rsid w:val="00392CA5"/>
    <w:rsid w:val="00393A3C"/>
    <w:rsid w:val="003A1C21"/>
    <w:rsid w:val="003A467B"/>
    <w:rsid w:val="003A6F83"/>
    <w:rsid w:val="003A767F"/>
    <w:rsid w:val="003B1355"/>
    <w:rsid w:val="003B3D03"/>
    <w:rsid w:val="003B7724"/>
    <w:rsid w:val="003C0304"/>
    <w:rsid w:val="003C03B5"/>
    <w:rsid w:val="003C13B3"/>
    <w:rsid w:val="003C2586"/>
    <w:rsid w:val="003C767E"/>
    <w:rsid w:val="003D3283"/>
    <w:rsid w:val="003E0254"/>
    <w:rsid w:val="003E4F58"/>
    <w:rsid w:val="003E5A6E"/>
    <w:rsid w:val="003E79F6"/>
    <w:rsid w:val="003F211C"/>
    <w:rsid w:val="003F7A87"/>
    <w:rsid w:val="00404466"/>
    <w:rsid w:val="004052D0"/>
    <w:rsid w:val="00406612"/>
    <w:rsid w:val="00413B0B"/>
    <w:rsid w:val="00414CFA"/>
    <w:rsid w:val="004178FF"/>
    <w:rsid w:val="00436606"/>
    <w:rsid w:val="0043771A"/>
    <w:rsid w:val="004403F1"/>
    <w:rsid w:val="004413DE"/>
    <w:rsid w:val="004430A3"/>
    <w:rsid w:val="00444625"/>
    <w:rsid w:val="00446031"/>
    <w:rsid w:val="00447126"/>
    <w:rsid w:val="00450BB6"/>
    <w:rsid w:val="00451A03"/>
    <w:rsid w:val="00453A2E"/>
    <w:rsid w:val="00453B9D"/>
    <w:rsid w:val="00453BB2"/>
    <w:rsid w:val="00460EF2"/>
    <w:rsid w:val="00462E0C"/>
    <w:rsid w:val="004635B2"/>
    <w:rsid w:val="004648B5"/>
    <w:rsid w:val="004657DE"/>
    <w:rsid w:val="00466E09"/>
    <w:rsid w:val="00473C83"/>
    <w:rsid w:val="00476036"/>
    <w:rsid w:val="00476566"/>
    <w:rsid w:val="0047686E"/>
    <w:rsid w:val="0048015F"/>
    <w:rsid w:val="00481F8C"/>
    <w:rsid w:val="00484FBB"/>
    <w:rsid w:val="00484FCA"/>
    <w:rsid w:val="00486A88"/>
    <w:rsid w:val="0048790E"/>
    <w:rsid w:val="0048791C"/>
    <w:rsid w:val="00493069"/>
    <w:rsid w:val="004940EA"/>
    <w:rsid w:val="004A1382"/>
    <w:rsid w:val="004A1C73"/>
    <w:rsid w:val="004A779E"/>
    <w:rsid w:val="004A7F64"/>
    <w:rsid w:val="004B1088"/>
    <w:rsid w:val="004B35A4"/>
    <w:rsid w:val="004B405A"/>
    <w:rsid w:val="004B5EA1"/>
    <w:rsid w:val="004B650E"/>
    <w:rsid w:val="004C0A4A"/>
    <w:rsid w:val="004C422F"/>
    <w:rsid w:val="004C7001"/>
    <w:rsid w:val="004D1780"/>
    <w:rsid w:val="004D190D"/>
    <w:rsid w:val="004D2C18"/>
    <w:rsid w:val="004D4603"/>
    <w:rsid w:val="004D77F5"/>
    <w:rsid w:val="004D7E8F"/>
    <w:rsid w:val="004E05BD"/>
    <w:rsid w:val="004E1C94"/>
    <w:rsid w:val="004E58F2"/>
    <w:rsid w:val="004E5C9F"/>
    <w:rsid w:val="004F13C4"/>
    <w:rsid w:val="004F2544"/>
    <w:rsid w:val="004F2D1D"/>
    <w:rsid w:val="004F3102"/>
    <w:rsid w:val="004F5C3F"/>
    <w:rsid w:val="004F65D9"/>
    <w:rsid w:val="004F7765"/>
    <w:rsid w:val="00500915"/>
    <w:rsid w:val="00500B8D"/>
    <w:rsid w:val="00501EB4"/>
    <w:rsid w:val="00507009"/>
    <w:rsid w:val="005105BF"/>
    <w:rsid w:val="0051078A"/>
    <w:rsid w:val="005125F3"/>
    <w:rsid w:val="0051270F"/>
    <w:rsid w:val="00512D7E"/>
    <w:rsid w:val="00514F15"/>
    <w:rsid w:val="00517BAB"/>
    <w:rsid w:val="00522C96"/>
    <w:rsid w:val="00525A7F"/>
    <w:rsid w:val="00526DDF"/>
    <w:rsid w:val="0052701B"/>
    <w:rsid w:val="005336DA"/>
    <w:rsid w:val="00534DC9"/>
    <w:rsid w:val="00534E83"/>
    <w:rsid w:val="0054077B"/>
    <w:rsid w:val="00542588"/>
    <w:rsid w:val="00544F24"/>
    <w:rsid w:val="00546917"/>
    <w:rsid w:val="00546AB0"/>
    <w:rsid w:val="00551CE8"/>
    <w:rsid w:val="00552F80"/>
    <w:rsid w:val="005548ED"/>
    <w:rsid w:val="0055737E"/>
    <w:rsid w:val="0055772F"/>
    <w:rsid w:val="005608A8"/>
    <w:rsid w:val="005614EB"/>
    <w:rsid w:val="005627A0"/>
    <w:rsid w:val="00562882"/>
    <w:rsid w:val="0056296F"/>
    <w:rsid w:val="00562BF7"/>
    <w:rsid w:val="00563DAD"/>
    <w:rsid w:val="00565A8F"/>
    <w:rsid w:val="005666B1"/>
    <w:rsid w:val="00566E9B"/>
    <w:rsid w:val="005674DC"/>
    <w:rsid w:val="0057047C"/>
    <w:rsid w:val="00572B3F"/>
    <w:rsid w:val="00572F53"/>
    <w:rsid w:val="005747E4"/>
    <w:rsid w:val="00575165"/>
    <w:rsid w:val="00575F06"/>
    <w:rsid w:val="00584FE0"/>
    <w:rsid w:val="005871A8"/>
    <w:rsid w:val="005878D8"/>
    <w:rsid w:val="00587F04"/>
    <w:rsid w:val="00592DEE"/>
    <w:rsid w:val="00592EDB"/>
    <w:rsid w:val="00595BCF"/>
    <w:rsid w:val="00595C50"/>
    <w:rsid w:val="005A23F2"/>
    <w:rsid w:val="005A284F"/>
    <w:rsid w:val="005B07B7"/>
    <w:rsid w:val="005B1B4B"/>
    <w:rsid w:val="005B2898"/>
    <w:rsid w:val="005B3FF6"/>
    <w:rsid w:val="005B740D"/>
    <w:rsid w:val="005C57F4"/>
    <w:rsid w:val="005C5C3D"/>
    <w:rsid w:val="005D0A54"/>
    <w:rsid w:val="005D1206"/>
    <w:rsid w:val="005D7D29"/>
    <w:rsid w:val="005E3D90"/>
    <w:rsid w:val="005E7B79"/>
    <w:rsid w:val="005F1004"/>
    <w:rsid w:val="005F43DC"/>
    <w:rsid w:val="0060471C"/>
    <w:rsid w:val="0061012F"/>
    <w:rsid w:val="006104C1"/>
    <w:rsid w:val="006111A8"/>
    <w:rsid w:val="0061152D"/>
    <w:rsid w:val="00612E0F"/>
    <w:rsid w:val="00616EC5"/>
    <w:rsid w:val="0062091A"/>
    <w:rsid w:val="00620A3E"/>
    <w:rsid w:val="00620D1F"/>
    <w:rsid w:val="00620F77"/>
    <w:rsid w:val="0062410A"/>
    <w:rsid w:val="00625D7A"/>
    <w:rsid w:val="00632E78"/>
    <w:rsid w:val="006332DF"/>
    <w:rsid w:val="00642508"/>
    <w:rsid w:val="00642B2D"/>
    <w:rsid w:val="00644C99"/>
    <w:rsid w:val="006462F5"/>
    <w:rsid w:val="0064640D"/>
    <w:rsid w:val="006515E9"/>
    <w:rsid w:val="006572BD"/>
    <w:rsid w:val="0066366F"/>
    <w:rsid w:val="00664DF4"/>
    <w:rsid w:val="00672241"/>
    <w:rsid w:val="00680EBD"/>
    <w:rsid w:val="00682078"/>
    <w:rsid w:val="00682156"/>
    <w:rsid w:val="006824A2"/>
    <w:rsid w:val="00683A76"/>
    <w:rsid w:val="0068651C"/>
    <w:rsid w:val="006867EA"/>
    <w:rsid w:val="00687EEE"/>
    <w:rsid w:val="00692B22"/>
    <w:rsid w:val="00692E5D"/>
    <w:rsid w:val="00693EA3"/>
    <w:rsid w:val="006941D4"/>
    <w:rsid w:val="00697715"/>
    <w:rsid w:val="006A3621"/>
    <w:rsid w:val="006A5AFF"/>
    <w:rsid w:val="006B216A"/>
    <w:rsid w:val="006B3713"/>
    <w:rsid w:val="006D0154"/>
    <w:rsid w:val="006D5CBC"/>
    <w:rsid w:val="006D5D40"/>
    <w:rsid w:val="006E52DA"/>
    <w:rsid w:val="006F09FD"/>
    <w:rsid w:val="006F0A2E"/>
    <w:rsid w:val="006F0DD2"/>
    <w:rsid w:val="006F1153"/>
    <w:rsid w:val="006F2084"/>
    <w:rsid w:val="006F3008"/>
    <w:rsid w:val="006F4BFA"/>
    <w:rsid w:val="007011A4"/>
    <w:rsid w:val="00701FBF"/>
    <w:rsid w:val="007021D2"/>
    <w:rsid w:val="00703A5E"/>
    <w:rsid w:val="00704102"/>
    <w:rsid w:val="007043D0"/>
    <w:rsid w:val="00704816"/>
    <w:rsid w:val="00706442"/>
    <w:rsid w:val="00706A96"/>
    <w:rsid w:val="007137A4"/>
    <w:rsid w:val="00714CB4"/>
    <w:rsid w:val="00714E59"/>
    <w:rsid w:val="007169F1"/>
    <w:rsid w:val="00725B30"/>
    <w:rsid w:val="0072636E"/>
    <w:rsid w:val="00726575"/>
    <w:rsid w:val="00731C6E"/>
    <w:rsid w:val="00732D65"/>
    <w:rsid w:val="00733BD3"/>
    <w:rsid w:val="00736F33"/>
    <w:rsid w:val="00737935"/>
    <w:rsid w:val="00741069"/>
    <w:rsid w:val="007414DA"/>
    <w:rsid w:val="00745D47"/>
    <w:rsid w:val="00755604"/>
    <w:rsid w:val="00755978"/>
    <w:rsid w:val="0075629A"/>
    <w:rsid w:val="00756D5B"/>
    <w:rsid w:val="007604B7"/>
    <w:rsid w:val="007654B4"/>
    <w:rsid w:val="00765EA1"/>
    <w:rsid w:val="00777163"/>
    <w:rsid w:val="00782FD1"/>
    <w:rsid w:val="00792B29"/>
    <w:rsid w:val="007952E0"/>
    <w:rsid w:val="00795AFE"/>
    <w:rsid w:val="007A2130"/>
    <w:rsid w:val="007A54D8"/>
    <w:rsid w:val="007A6CF6"/>
    <w:rsid w:val="007A7440"/>
    <w:rsid w:val="007A7C97"/>
    <w:rsid w:val="007B26C7"/>
    <w:rsid w:val="007B3823"/>
    <w:rsid w:val="007B3B79"/>
    <w:rsid w:val="007B617B"/>
    <w:rsid w:val="007B765B"/>
    <w:rsid w:val="007C33A4"/>
    <w:rsid w:val="007C39F6"/>
    <w:rsid w:val="007C4939"/>
    <w:rsid w:val="007C6054"/>
    <w:rsid w:val="007D0F5A"/>
    <w:rsid w:val="007D31BE"/>
    <w:rsid w:val="007D46AB"/>
    <w:rsid w:val="007D529D"/>
    <w:rsid w:val="007D57E2"/>
    <w:rsid w:val="007D6893"/>
    <w:rsid w:val="007D6DFE"/>
    <w:rsid w:val="007E0EC0"/>
    <w:rsid w:val="007E3116"/>
    <w:rsid w:val="007E7DF4"/>
    <w:rsid w:val="007F05D4"/>
    <w:rsid w:val="007F26F6"/>
    <w:rsid w:val="007F4CFF"/>
    <w:rsid w:val="007F58E8"/>
    <w:rsid w:val="007F6235"/>
    <w:rsid w:val="00802DB2"/>
    <w:rsid w:val="00806B3F"/>
    <w:rsid w:val="00807969"/>
    <w:rsid w:val="00811E75"/>
    <w:rsid w:val="0081432C"/>
    <w:rsid w:val="00820A49"/>
    <w:rsid w:val="008233DF"/>
    <w:rsid w:val="00824FDA"/>
    <w:rsid w:val="0082630F"/>
    <w:rsid w:val="00833211"/>
    <w:rsid w:val="00833A4F"/>
    <w:rsid w:val="008353F9"/>
    <w:rsid w:val="00835C9A"/>
    <w:rsid w:val="00837A1F"/>
    <w:rsid w:val="0084194F"/>
    <w:rsid w:val="00841F24"/>
    <w:rsid w:val="00844266"/>
    <w:rsid w:val="008462C9"/>
    <w:rsid w:val="008532F8"/>
    <w:rsid w:val="00853505"/>
    <w:rsid w:val="00857576"/>
    <w:rsid w:val="008613D2"/>
    <w:rsid w:val="008667CA"/>
    <w:rsid w:val="00866A39"/>
    <w:rsid w:val="008748C9"/>
    <w:rsid w:val="00877A4F"/>
    <w:rsid w:val="00880850"/>
    <w:rsid w:val="00884D88"/>
    <w:rsid w:val="00885400"/>
    <w:rsid w:val="00887F1C"/>
    <w:rsid w:val="008902B0"/>
    <w:rsid w:val="0089107B"/>
    <w:rsid w:val="00895388"/>
    <w:rsid w:val="00897C8E"/>
    <w:rsid w:val="008A1258"/>
    <w:rsid w:val="008A29B0"/>
    <w:rsid w:val="008A2D79"/>
    <w:rsid w:val="008B36F6"/>
    <w:rsid w:val="008B5022"/>
    <w:rsid w:val="008B6468"/>
    <w:rsid w:val="008B6F61"/>
    <w:rsid w:val="008B7192"/>
    <w:rsid w:val="008B7DDD"/>
    <w:rsid w:val="008C3547"/>
    <w:rsid w:val="008C3EC8"/>
    <w:rsid w:val="008C425A"/>
    <w:rsid w:val="008C654B"/>
    <w:rsid w:val="008D2D1A"/>
    <w:rsid w:val="008D3CA9"/>
    <w:rsid w:val="008D3F9F"/>
    <w:rsid w:val="008D4E6D"/>
    <w:rsid w:val="008D74E6"/>
    <w:rsid w:val="008E464F"/>
    <w:rsid w:val="008E5138"/>
    <w:rsid w:val="008F0F44"/>
    <w:rsid w:val="008F3E46"/>
    <w:rsid w:val="008F4275"/>
    <w:rsid w:val="008F5704"/>
    <w:rsid w:val="008F6E40"/>
    <w:rsid w:val="00900304"/>
    <w:rsid w:val="009025EB"/>
    <w:rsid w:val="00902AA3"/>
    <w:rsid w:val="0090415E"/>
    <w:rsid w:val="00905ABF"/>
    <w:rsid w:val="00906742"/>
    <w:rsid w:val="00911CD2"/>
    <w:rsid w:val="00916FED"/>
    <w:rsid w:val="00917951"/>
    <w:rsid w:val="00923736"/>
    <w:rsid w:val="00927F46"/>
    <w:rsid w:val="00931A50"/>
    <w:rsid w:val="0093206C"/>
    <w:rsid w:val="0093215C"/>
    <w:rsid w:val="0093566A"/>
    <w:rsid w:val="009401EC"/>
    <w:rsid w:val="00940EA7"/>
    <w:rsid w:val="00941A86"/>
    <w:rsid w:val="00944B19"/>
    <w:rsid w:val="00945360"/>
    <w:rsid w:val="00950664"/>
    <w:rsid w:val="00952C96"/>
    <w:rsid w:val="00953694"/>
    <w:rsid w:val="00957B84"/>
    <w:rsid w:val="00960510"/>
    <w:rsid w:val="009607BB"/>
    <w:rsid w:val="009638BE"/>
    <w:rsid w:val="00966B18"/>
    <w:rsid w:val="00971512"/>
    <w:rsid w:val="0097260B"/>
    <w:rsid w:val="009755F7"/>
    <w:rsid w:val="00975B42"/>
    <w:rsid w:val="0097670C"/>
    <w:rsid w:val="00977AD1"/>
    <w:rsid w:val="00980CCE"/>
    <w:rsid w:val="009840C0"/>
    <w:rsid w:val="0098428E"/>
    <w:rsid w:val="009857EF"/>
    <w:rsid w:val="0099018D"/>
    <w:rsid w:val="009919E3"/>
    <w:rsid w:val="00991C96"/>
    <w:rsid w:val="00991EE2"/>
    <w:rsid w:val="00993C8D"/>
    <w:rsid w:val="009955F8"/>
    <w:rsid w:val="00996CC5"/>
    <w:rsid w:val="00997FA6"/>
    <w:rsid w:val="009A49FC"/>
    <w:rsid w:val="009A54F9"/>
    <w:rsid w:val="009A6775"/>
    <w:rsid w:val="009B03FE"/>
    <w:rsid w:val="009B058E"/>
    <w:rsid w:val="009B1529"/>
    <w:rsid w:val="009B54EC"/>
    <w:rsid w:val="009B76FC"/>
    <w:rsid w:val="009C0612"/>
    <w:rsid w:val="009C1FF6"/>
    <w:rsid w:val="009C2392"/>
    <w:rsid w:val="009C2CB6"/>
    <w:rsid w:val="009C2FF3"/>
    <w:rsid w:val="009C49E3"/>
    <w:rsid w:val="009D1949"/>
    <w:rsid w:val="009D3E10"/>
    <w:rsid w:val="009D49CF"/>
    <w:rsid w:val="009D63DD"/>
    <w:rsid w:val="009D7A01"/>
    <w:rsid w:val="009E02DF"/>
    <w:rsid w:val="009E0DAB"/>
    <w:rsid w:val="009E6967"/>
    <w:rsid w:val="009F2AD7"/>
    <w:rsid w:val="009F4519"/>
    <w:rsid w:val="009F4F59"/>
    <w:rsid w:val="00A047EB"/>
    <w:rsid w:val="00A06EFD"/>
    <w:rsid w:val="00A149FD"/>
    <w:rsid w:val="00A152F1"/>
    <w:rsid w:val="00A1769D"/>
    <w:rsid w:val="00A243FB"/>
    <w:rsid w:val="00A24ABB"/>
    <w:rsid w:val="00A259FA"/>
    <w:rsid w:val="00A439A1"/>
    <w:rsid w:val="00A43FE0"/>
    <w:rsid w:val="00A44E78"/>
    <w:rsid w:val="00A47904"/>
    <w:rsid w:val="00A5083B"/>
    <w:rsid w:val="00A52CC9"/>
    <w:rsid w:val="00A560A0"/>
    <w:rsid w:val="00A56666"/>
    <w:rsid w:val="00A573DC"/>
    <w:rsid w:val="00A601FB"/>
    <w:rsid w:val="00A60A91"/>
    <w:rsid w:val="00A61713"/>
    <w:rsid w:val="00A64D12"/>
    <w:rsid w:val="00A6509C"/>
    <w:rsid w:val="00A65475"/>
    <w:rsid w:val="00A65BEA"/>
    <w:rsid w:val="00A6715D"/>
    <w:rsid w:val="00A75A00"/>
    <w:rsid w:val="00A75F3D"/>
    <w:rsid w:val="00A76925"/>
    <w:rsid w:val="00A824A0"/>
    <w:rsid w:val="00A87567"/>
    <w:rsid w:val="00A87635"/>
    <w:rsid w:val="00A91967"/>
    <w:rsid w:val="00A94915"/>
    <w:rsid w:val="00A95379"/>
    <w:rsid w:val="00A95F89"/>
    <w:rsid w:val="00A969AB"/>
    <w:rsid w:val="00A96BCD"/>
    <w:rsid w:val="00A97A8B"/>
    <w:rsid w:val="00AA17FD"/>
    <w:rsid w:val="00AA2507"/>
    <w:rsid w:val="00AA32B6"/>
    <w:rsid w:val="00AA5921"/>
    <w:rsid w:val="00AA7630"/>
    <w:rsid w:val="00AB02EA"/>
    <w:rsid w:val="00AB0A05"/>
    <w:rsid w:val="00AB5FAF"/>
    <w:rsid w:val="00AB637F"/>
    <w:rsid w:val="00AC32D3"/>
    <w:rsid w:val="00AC3A3E"/>
    <w:rsid w:val="00AC454A"/>
    <w:rsid w:val="00AC7057"/>
    <w:rsid w:val="00AD1450"/>
    <w:rsid w:val="00AD3F21"/>
    <w:rsid w:val="00AD5D3D"/>
    <w:rsid w:val="00AE0A6B"/>
    <w:rsid w:val="00AE1531"/>
    <w:rsid w:val="00AE6D27"/>
    <w:rsid w:val="00AE71E5"/>
    <w:rsid w:val="00AF031A"/>
    <w:rsid w:val="00AF3E24"/>
    <w:rsid w:val="00B006C0"/>
    <w:rsid w:val="00B00D4F"/>
    <w:rsid w:val="00B04628"/>
    <w:rsid w:val="00B0653E"/>
    <w:rsid w:val="00B11949"/>
    <w:rsid w:val="00B13673"/>
    <w:rsid w:val="00B1579A"/>
    <w:rsid w:val="00B1714C"/>
    <w:rsid w:val="00B247E0"/>
    <w:rsid w:val="00B300CF"/>
    <w:rsid w:val="00B30F6B"/>
    <w:rsid w:val="00B32B13"/>
    <w:rsid w:val="00B37524"/>
    <w:rsid w:val="00B411DE"/>
    <w:rsid w:val="00B466D9"/>
    <w:rsid w:val="00B51C0E"/>
    <w:rsid w:val="00B53C39"/>
    <w:rsid w:val="00B53D5C"/>
    <w:rsid w:val="00B60023"/>
    <w:rsid w:val="00B61D72"/>
    <w:rsid w:val="00B62B3D"/>
    <w:rsid w:val="00B66FEE"/>
    <w:rsid w:val="00B71740"/>
    <w:rsid w:val="00B728BC"/>
    <w:rsid w:val="00B738BC"/>
    <w:rsid w:val="00B75FB5"/>
    <w:rsid w:val="00B767A8"/>
    <w:rsid w:val="00B76876"/>
    <w:rsid w:val="00B81C8E"/>
    <w:rsid w:val="00B82BE5"/>
    <w:rsid w:val="00B85431"/>
    <w:rsid w:val="00B87DA8"/>
    <w:rsid w:val="00B93FEE"/>
    <w:rsid w:val="00B9497D"/>
    <w:rsid w:val="00B94B12"/>
    <w:rsid w:val="00B96717"/>
    <w:rsid w:val="00BA04BF"/>
    <w:rsid w:val="00BA094D"/>
    <w:rsid w:val="00BA27C0"/>
    <w:rsid w:val="00BA48AB"/>
    <w:rsid w:val="00BA672E"/>
    <w:rsid w:val="00BA7390"/>
    <w:rsid w:val="00BB0BE7"/>
    <w:rsid w:val="00BB1183"/>
    <w:rsid w:val="00BB2039"/>
    <w:rsid w:val="00BB5037"/>
    <w:rsid w:val="00BB687F"/>
    <w:rsid w:val="00BB6EB6"/>
    <w:rsid w:val="00BB705C"/>
    <w:rsid w:val="00BC04D3"/>
    <w:rsid w:val="00BC083A"/>
    <w:rsid w:val="00BC24CE"/>
    <w:rsid w:val="00BC3AA6"/>
    <w:rsid w:val="00BC3B09"/>
    <w:rsid w:val="00BC65F2"/>
    <w:rsid w:val="00BD0BAE"/>
    <w:rsid w:val="00BD5614"/>
    <w:rsid w:val="00BE36A3"/>
    <w:rsid w:val="00BE66EF"/>
    <w:rsid w:val="00BE7C8A"/>
    <w:rsid w:val="00BE7DC8"/>
    <w:rsid w:val="00BF57A0"/>
    <w:rsid w:val="00C00C7B"/>
    <w:rsid w:val="00C02C06"/>
    <w:rsid w:val="00C14215"/>
    <w:rsid w:val="00C14B7C"/>
    <w:rsid w:val="00C21661"/>
    <w:rsid w:val="00C26F5C"/>
    <w:rsid w:val="00C2788D"/>
    <w:rsid w:val="00C3254A"/>
    <w:rsid w:val="00C341E8"/>
    <w:rsid w:val="00C40C4E"/>
    <w:rsid w:val="00C41FD4"/>
    <w:rsid w:val="00C4202C"/>
    <w:rsid w:val="00C52427"/>
    <w:rsid w:val="00C54F0E"/>
    <w:rsid w:val="00C555B1"/>
    <w:rsid w:val="00C5589B"/>
    <w:rsid w:val="00C571D7"/>
    <w:rsid w:val="00C60055"/>
    <w:rsid w:val="00C60E6A"/>
    <w:rsid w:val="00C613A0"/>
    <w:rsid w:val="00C6281A"/>
    <w:rsid w:val="00C653CE"/>
    <w:rsid w:val="00C67B10"/>
    <w:rsid w:val="00C715FE"/>
    <w:rsid w:val="00C743D9"/>
    <w:rsid w:val="00C74896"/>
    <w:rsid w:val="00C75CFD"/>
    <w:rsid w:val="00C760D8"/>
    <w:rsid w:val="00C76833"/>
    <w:rsid w:val="00C8108D"/>
    <w:rsid w:val="00C82E77"/>
    <w:rsid w:val="00C833BB"/>
    <w:rsid w:val="00C8387A"/>
    <w:rsid w:val="00C90033"/>
    <w:rsid w:val="00C90F4C"/>
    <w:rsid w:val="00C91568"/>
    <w:rsid w:val="00C92B78"/>
    <w:rsid w:val="00C9329B"/>
    <w:rsid w:val="00C94A5E"/>
    <w:rsid w:val="00C95A14"/>
    <w:rsid w:val="00C96FE4"/>
    <w:rsid w:val="00CA3E59"/>
    <w:rsid w:val="00CA5113"/>
    <w:rsid w:val="00CB0B23"/>
    <w:rsid w:val="00CB18B5"/>
    <w:rsid w:val="00CB487B"/>
    <w:rsid w:val="00CC4E7D"/>
    <w:rsid w:val="00CC6377"/>
    <w:rsid w:val="00CC74D8"/>
    <w:rsid w:val="00CC790A"/>
    <w:rsid w:val="00CD20FE"/>
    <w:rsid w:val="00CD38E1"/>
    <w:rsid w:val="00CD3982"/>
    <w:rsid w:val="00CD6539"/>
    <w:rsid w:val="00CD77B2"/>
    <w:rsid w:val="00CE15A6"/>
    <w:rsid w:val="00CE3132"/>
    <w:rsid w:val="00CE3360"/>
    <w:rsid w:val="00CE3942"/>
    <w:rsid w:val="00CF26D4"/>
    <w:rsid w:val="00CF71DC"/>
    <w:rsid w:val="00D03513"/>
    <w:rsid w:val="00D0448F"/>
    <w:rsid w:val="00D0617D"/>
    <w:rsid w:val="00D10188"/>
    <w:rsid w:val="00D10DBE"/>
    <w:rsid w:val="00D10DC2"/>
    <w:rsid w:val="00D137F9"/>
    <w:rsid w:val="00D14720"/>
    <w:rsid w:val="00D201A6"/>
    <w:rsid w:val="00D20325"/>
    <w:rsid w:val="00D23CFA"/>
    <w:rsid w:val="00D249CD"/>
    <w:rsid w:val="00D254D3"/>
    <w:rsid w:val="00D30484"/>
    <w:rsid w:val="00D30F83"/>
    <w:rsid w:val="00D3394D"/>
    <w:rsid w:val="00D339F6"/>
    <w:rsid w:val="00D3534B"/>
    <w:rsid w:val="00D517C4"/>
    <w:rsid w:val="00D534AD"/>
    <w:rsid w:val="00D53616"/>
    <w:rsid w:val="00D55E2A"/>
    <w:rsid w:val="00D55E61"/>
    <w:rsid w:val="00D62DC7"/>
    <w:rsid w:val="00D63408"/>
    <w:rsid w:val="00D63681"/>
    <w:rsid w:val="00D65D28"/>
    <w:rsid w:val="00D66A14"/>
    <w:rsid w:val="00D72F30"/>
    <w:rsid w:val="00D73229"/>
    <w:rsid w:val="00D74440"/>
    <w:rsid w:val="00D746FA"/>
    <w:rsid w:val="00D754EC"/>
    <w:rsid w:val="00D75525"/>
    <w:rsid w:val="00D7582C"/>
    <w:rsid w:val="00D77F0E"/>
    <w:rsid w:val="00D85699"/>
    <w:rsid w:val="00D86731"/>
    <w:rsid w:val="00D910A8"/>
    <w:rsid w:val="00D921E0"/>
    <w:rsid w:val="00DA1ED7"/>
    <w:rsid w:val="00DA2B64"/>
    <w:rsid w:val="00DA35C9"/>
    <w:rsid w:val="00DA47ED"/>
    <w:rsid w:val="00DA778D"/>
    <w:rsid w:val="00DB1A18"/>
    <w:rsid w:val="00DB5A7E"/>
    <w:rsid w:val="00DC050E"/>
    <w:rsid w:val="00DC20B8"/>
    <w:rsid w:val="00DC3D84"/>
    <w:rsid w:val="00DC652A"/>
    <w:rsid w:val="00DC6B7D"/>
    <w:rsid w:val="00DD0127"/>
    <w:rsid w:val="00DD12FA"/>
    <w:rsid w:val="00DE06D3"/>
    <w:rsid w:val="00DE1C12"/>
    <w:rsid w:val="00DE1D77"/>
    <w:rsid w:val="00DE44F1"/>
    <w:rsid w:val="00DE5839"/>
    <w:rsid w:val="00DE6218"/>
    <w:rsid w:val="00DF19E6"/>
    <w:rsid w:val="00DF2831"/>
    <w:rsid w:val="00DF4C20"/>
    <w:rsid w:val="00DF5C81"/>
    <w:rsid w:val="00DF7C26"/>
    <w:rsid w:val="00E02922"/>
    <w:rsid w:val="00E03EA3"/>
    <w:rsid w:val="00E07488"/>
    <w:rsid w:val="00E07B93"/>
    <w:rsid w:val="00E10CF3"/>
    <w:rsid w:val="00E11C7A"/>
    <w:rsid w:val="00E12411"/>
    <w:rsid w:val="00E16C37"/>
    <w:rsid w:val="00E17471"/>
    <w:rsid w:val="00E2014F"/>
    <w:rsid w:val="00E20A56"/>
    <w:rsid w:val="00E25337"/>
    <w:rsid w:val="00E27323"/>
    <w:rsid w:val="00E30036"/>
    <w:rsid w:val="00E34BFC"/>
    <w:rsid w:val="00E35302"/>
    <w:rsid w:val="00E356CC"/>
    <w:rsid w:val="00E36818"/>
    <w:rsid w:val="00E369AB"/>
    <w:rsid w:val="00E40EFC"/>
    <w:rsid w:val="00E4304B"/>
    <w:rsid w:val="00E44B98"/>
    <w:rsid w:val="00E44E67"/>
    <w:rsid w:val="00E526CE"/>
    <w:rsid w:val="00E53D81"/>
    <w:rsid w:val="00E53EBD"/>
    <w:rsid w:val="00E54C08"/>
    <w:rsid w:val="00E57C5A"/>
    <w:rsid w:val="00E61E16"/>
    <w:rsid w:val="00E6221D"/>
    <w:rsid w:val="00E654F0"/>
    <w:rsid w:val="00E65688"/>
    <w:rsid w:val="00E6625C"/>
    <w:rsid w:val="00E720C8"/>
    <w:rsid w:val="00E73CFF"/>
    <w:rsid w:val="00E75BC3"/>
    <w:rsid w:val="00E8221D"/>
    <w:rsid w:val="00E8375B"/>
    <w:rsid w:val="00EA0685"/>
    <w:rsid w:val="00EA08A8"/>
    <w:rsid w:val="00EA1F75"/>
    <w:rsid w:val="00EA23C7"/>
    <w:rsid w:val="00EA3DBF"/>
    <w:rsid w:val="00EA3E3D"/>
    <w:rsid w:val="00EB04CE"/>
    <w:rsid w:val="00EB2961"/>
    <w:rsid w:val="00EB3B73"/>
    <w:rsid w:val="00EB5969"/>
    <w:rsid w:val="00EB6F14"/>
    <w:rsid w:val="00EC14AC"/>
    <w:rsid w:val="00EC3881"/>
    <w:rsid w:val="00EC3D7A"/>
    <w:rsid w:val="00EC4E7A"/>
    <w:rsid w:val="00EC56B0"/>
    <w:rsid w:val="00EC6D28"/>
    <w:rsid w:val="00ED3314"/>
    <w:rsid w:val="00ED33E4"/>
    <w:rsid w:val="00ED3592"/>
    <w:rsid w:val="00ED6D8F"/>
    <w:rsid w:val="00EE1238"/>
    <w:rsid w:val="00EE240C"/>
    <w:rsid w:val="00EE3583"/>
    <w:rsid w:val="00EE4F98"/>
    <w:rsid w:val="00EE56B4"/>
    <w:rsid w:val="00EF1735"/>
    <w:rsid w:val="00EF7832"/>
    <w:rsid w:val="00F01D25"/>
    <w:rsid w:val="00F0268C"/>
    <w:rsid w:val="00F050D0"/>
    <w:rsid w:val="00F05702"/>
    <w:rsid w:val="00F06CE7"/>
    <w:rsid w:val="00F120E2"/>
    <w:rsid w:val="00F1290E"/>
    <w:rsid w:val="00F25944"/>
    <w:rsid w:val="00F30C31"/>
    <w:rsid w:val="00F315FC"/>
    <w:rsid w:val="00F34F19"/>
    <w:rsid w:val="00F3508E"/>
    <w:rsid w:val="00F402C4"/>
    <w:rsid w:val="00F453FC"/>
    <w:rsid w:val="00F51BFF"/>
    <w:rsid w:val="00F5597A"/>
    <w:rsid w:val="00F55A98"/>
    <w:rsid w:val="00F573B3"/>
    <w:rsid w:val="00F61D89"/>
    <w:rsid w:val="00F62929"/>
    <w:rsid w:val="00F732EA"/>
    <w:rsid w:val="00F73FF9"/>
    <w:rsid w:val="00F7411D"/>
    <w:rsid w:val="00F75569"/>
    <w:rsid w:val="00F77BBC"/>
    <w:rsid w:val="00F80279"/>
    <w:rsid w:val="00F8055B"/>
    <w:rsid w:val="00F8506B"/>
    <w:rsid w:val="00F85920"/>
    <w:rsid w:val="00F87BFC"/>
    <w:rsid w:val="00F91992"/>
    <w:rsid w:val="00F9576B"/>
    <w:rsid w:val="00FA10D2"/>
    <w:rsid w:val="00FA16F6"/>
    <w:rsid w:val="00FA5121"/>
    <w:rsid w:val="00FB0CF7"/>
    <w:rsid w:val="00FB3423"/>
    <w:rsid w:val="00FB50B3"/>
    <w:rsid w:val="00FB62FE"/>
    <w:rsid w:val="00FC075C"/>
    <w:rsid w:val="00FC092B"/>
    <w:rsid w:val="00FC2DFC"/>
    <w:rsid w:val="00FC3B31"/>
    <w:rsid w:val="00FC56D0"/>
    <w:rsid w:val="00FC75AC"/>
    <w:rsid w:val="00FC7994"/>
    <w:rsid w:val="00FD0FA6"/>
    <w:rsid w:val="00FE1D01"/>
    <w:rsid w:val="00FE4D17"/>
    <w:rsid w:val="00FE709F"/>
    <w:rsid w:val="00FE73CF"/>
    <w:rsid w:val="00FF3605"/>
    <w:rsid w:val="00FF68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A370E2"/>
  <w15:docId w15:val="{DD265595-DAD5-48B7-89EE-0B109AD59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unhideWhenUsed/>
    <w:qFormat/>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unhideWhenUsed/>
    <w:qFormat/>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mithellemGitternetz">
    <w:name w:val="Grid Table Light"/>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Gitternetztabelle1hellAkzent1">
    <w:name w:val="Grid Table 1 Light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b/>
        <w:color w:val="404040"/>
      </w:rPr>
      <w:tblPr/>
      <w:tcPr>
        <w:tcBorders>
          <w:bottom w:val="single" w:sz="12" w:space="0" w:color="4AB2E1"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styleId="Gitternetztabelle1hell-Akzent2">
    <w:name w:val="Grid Table 1 Light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b/>
        <w:color w:val="404040"/>
      </w:rPr>
      <w:tblPr/>
      <w:tcPr>
        <w:tcBorders>
          <w:bottom w:val="single" w:sz="12" w:space="0" w:color="F2AB87"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styleId="Gitternetztabelle1hellAkzent3">
    <w:name w:val="Grid Table 1 Light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b/>
        <w:color w:val="404040"/>
      </w:rPr>
      <w:tblPr/>
      <w:tcPr>
        <w:tcBorders>
          <w:bottom w:val="single" w:sz="12" w:space="0" w:color="4BD55E"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styleId="Gitternetztabelle1hellAkzent4">
    <w:name w:val="Grid Table 1 Light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b/>
        <w:color w:val="404040"/>
      </w:rPr>
      <w:tblPr/>
      <w:tcPr>
        <w:tcBorders>
          <w:bottom w:val="single" w:sz="12" w:space="0" w:color="64CCF4"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styleId="Gitternetztabelle1hellAkzent5">
    <w:name w:val="Grid Table 1 Light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b/>
        <w:color w:val="404040"/>
      </w:rPr>
      <w:tblPr/>
      <w:tcPr>
        <w:tcBorders>
          <w:bottom w:val="single" w:sz="12" w:space="0" w:color="D971C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styleId="Gitternetztabelle1hellAkzent6">
    <w:name w:val="Grid Table 1 Light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b/>
        <w:color w:val="404040"/>
      </w:rPr>
      <w:tblPr/>
      <w:tcPr>
        <w:tcBorders>
          <w:bottom w:val="single" w:sz="12" w:space="0" w:color="90D97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table" w:styleId="Gitternetztabelle2Akzent1">
    <w:name w:val="Grid Table 2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single" w:sz="12" w:space="0" w:color="19729B" w:themeColor="accent1" w:themeTint="EA"/>
          <w:right w:val="none" w:sz="4" w:space="0" w:color="000000"/>
        </w:tcBorders>
        <w:shd w:val="clear" w:color="FFFFFF" w:fill="auto"/>
      </w:tcPr>
    </w:tblStylePr>
    <w:tblStylePr w:type="lastRow">
      <w:rPr>
        <w:b/>
        <w:color w:val="404040"/>
      </w:rPr>
      <w:tblPr/>
      <w:tcPr>
        <w:tcBorders>
          <w:top w:val="single" w:sz="4" w:space="0" w:color="19729B"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itternetztabelle2Akzent2">
    <w:name w:val="Grid Table 2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single" w:sz="12" w:space="0" w:color="F2AA85" w:themeColor="accent2" w:themeTint="97"/>
          <w:right w:val="none" w:sz="4" w:space="0" w:color="000000"/>
        </w:tcBorders>
        <w:shd w:val="clear" w:color="FFFFFF" w:fill="auto"/>
      </w:tcPr>
    </w:tblStylePr>
    <w:tblStylePr w:type="lastRow">
      <w:rPr>
        <w:b/>
        <w:color w:val="404040"/>
      </w:rPr>
      <w:tblPr/>
      <w:tcPr>
        <w:tcBorders>
          <w:top w:val="single" w:sz="4" w:space="0" w:color="F2AA8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itternetztabelle2Akzent3">
    <w:name w:val="Grid Table 2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single" w:sz="12" w:space="0" w:color="196C24" w:themeColor="accent3" w:themeTint="FE"/>
          <w:right w:val="none" w:sz="4" w:space="0" w:color="000000"/>
        </w:tcBorders>
        <w:shd w:val="clear" w:color="FFFFFF" w:fill="auto"/>
      </w:tcPr>
    </w:tblStylePr>
    <w:tblStylePr w:type="lastRow">
      <w:rPr>
        <w:b/>
        <w:color w:val="404040"/>
      </w:rPr>
      <w:tblPr/>
      <w:tcPr>
        <w:tcBorders>
          <w:top w:val="single" w:sz="4" w:space="0" w:color="196C24"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itternetztabelle2Akzent4">
    <w:name w:val="Grid Table 2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single" w:sz="12" w:space="0" w:color="5FCAF3" w:themeColor="accent4" w:themeTint="9A"/>
          <w:right w:val="none" w:sz="4" w:space="0" w:color="000000"/>
        </w:tcBorders>
        <w:shd w:val="clear" w:color="FFFFFF" w:fill="auto"/>
      </w:tcPr>
    </w:tblStylePr>
    <w:tblStylePr w:type="lastRow">
      <w:rPr>
        <w:b/>
        <w:color w:val="404040"/>
      </w:rPr>
      <w:tblPr/>
      <w:tcPr>
        <w:tcBorders>
          <w:top w:val="single" w:sz="4" w:space="0" w:color="5FCAF3"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itternetztabelle2Akzent5">
    <w:name w:val="Grid Table 2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single" w:sz="12" w:space="0" w:color="A02B93" w:themeColor="accent5"/>
          <w:right w:val="none" w:sz="4" w:space="0" w:color="000000"/>
        </w:tcBorders>
        <w:shd w:val="clear" w:color="FFFFFF" w:fill="auto"/>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itternetztabelle2Akzent6">
    <w:name w:val="Grid Table 2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single" w:sz="12" w:space="0" w:color="4EA72E" w:themeColor="accent6"/>
          <w:right w:val="none" w:sz="4" w:space="0" w:color="000000"/>
        </w:tcBorders>
        <w:shd w:val="clear" w:color="FFFFFF" w:fill="auto"/>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3Akzent1">
    <w:name w:val="Grid Table 3 Accent 1"/>
    <w:basedOn w:val="NormaleTabelle"/>
    <w:uiPriority w:val="99"/>
    <w:pPr>
      <w:spacing w:after="0" w:line="240" w:lineRule="auto"/>
    </w:pPr>
    <w:tblPr>
      <w:tblStyleRowBandSize w:val="1"/>
      <w:tblStyleColBandSize w:val="1"/>
      <w:tblBorders>
        <w:bottom w:val="single" w:sz="4" w:space="0" w:color="19729B" w:themeColor="accent1" w:themeTint="EA"/>
        <w:insideH w:val="single" w:sz="4" w:space="0" w:color="19729B" w:themeColor="accent1" w:themeTint="EA"/>
        <w:insideV w:val="single" w:sz="4" w:space="0" w:color="19729B"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BFE4F4" w:themeColor="accent1" w:themeTint="34" w:fill="BFE4F4" w:themeFill="accent1" w:themeFillTint="34"/>
      </w:tcPr>
    </w:tblStylePr>
    <w:tblStylePr w:type="band1Horz">
      <w:rPr>
        <w:rFonts w:ascii="Arial" w:hAnsi="Arial"/>
        <w:color w:val="404040"/>
        <w:sz w:val="22"/>
      </w:rPr>
      <w:tblPr/>
      <w:tcPr>
        <w:shd w:val="clear" w:color="BFE4F4" w:themeColor="accent1" w:themeTint="34" w:fill="BFE4F4" w:themeFill="accent1" w:themeFillTint="34"/>
      </w:tcPr>
    </w:tblStylePr>
  </w:style>
  <w:style w:type="table" w:styleId="Gitternetztabelle3Akzent2">
    <w:name w:val="Grid Table 3 Accent 2"/>
    <w:basedOn w:val="NormaleTabelle"/>
    <w:uiPriority w:val="99"/>
    <w:pPr>
      <w:spacing w:after="0" w:line="240" w:lineRule="auto"/>
    </w:pPr>
    <w:tblPr>
      <w:tblStyleRowBandSize w:val="1"/>
      <w:tblStyleColBandSize w:val="1"/>
      <w:tblBorders>
        <w:bottom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itternetztabelle3Akzent3">
    <w:name w:val="Grid Table 3 Accent 3"/>
    <w:basedOn w:val="NormaleTabelle"/>
    <w:uiPriority w:val="99"/>
    <w:pPr>
      <w:spacing w:after="0" w:line="240" w:lineRule="auto"/>
    </w:pPr>
    <w:tblPr>
      <w:tblStyleRowBandSize w:val="1"/>
      <w:tblStyleColBandSize w:val="1"/>
      <w:tblBorders>
        <w:bottom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itternetztabelle3Akzent4">
    <w:name w:val="Grid Table 3 Accent 4"/>
    <w:basedOn w:val="NormaleTabelle"/>
    <w:uiPriority w:val="99"/>
    <w:pPr>
      <w:spacing w:after="0" w:line="240" w:lineRule="auto"/>
    </w:pPr>
    <w:tblPr>
      <w:tblStyleRowBandSize w:val="1"/>
      <w:tblStyleColBandSize w:val="1"/>
      <w:tblBorders>
        <w:bottom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itternetztabelle3Akzent5">
    <w:name w:val="Grid Table 3 Accent 5"/>
    <w:basedOn w:val="NormaleTabelle"/>
    <w:uiPriority w:val="99"/>
    <w:pPr>
      <w:spacing w:after="0" w:line="240" w:lineRule="auto"/>
    </w:pPr>
    <w:tblPr>
      <w:tblStyleRowBandSize w:val="1"/>
      <w:tblStyleColBandSize w:val="1"/>
      <w:tblBorders>
        <w:bottom w:val="single" w:sz="4" w:space="0" w:color="A02B93" w:themeColor="accent5"/>
        <w:insideH w:val="single" w:sz="4" w:space="0" w:color="A02B93" w:themeColor="accent5"/>
        <w:insideV w:val="single" w:sz="4" w:space="0" w:color="A02B93"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itternetztabelle3Akzent6">
    <w:name w:val="Grid Table 3 Accent 6"/>
    <w:basedOn w:val="NormaleTabelle"/>
    <w:uiPriority w:val="99"/>
    <w:pPr>
      <w:spacing w:after="0" w:line="240" w:lineRule="auto"/>
    </w:pPr>
    <w:tblPr>
      <w:tblStyleRowBandSize w:val="1"/>
      <w:tblStyleColBandSize w:val="1"/>
      <w:tblBorders>
        <w:bottom w:val="single" w:sz="4" w:space="0" w:color="4EA72E" w:themeColor="accent6"/>
        <w:insideH w:val="single" w:sz="4" w:space="0" w:color="4EA72E" w:themeColor="accent6"/>
        <w:insideV w:val="single" w:sz="4" w:space="0" w:color="4EA72E"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4Akzent1">
    <w:name w:val="Grid Table 4 Accent 1"/>
    <w:basedOn w:val="NormaleTabelle"/>
    <w:uiPriority w:val="5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insideV w:val="single" w:sz="4" w:space="0" w:color="50B4E2" w:themeColor="accent1" w:themeTint="90"/>
      </w:tblBorders>
    </w:tblPr>
    <w:tblStylePr w:type="firstRow">
      <w:rPr>
        <w:rFonts w:ascii="Arial" w:hAnsi="Arial"/>
        <w:b/>
        <w:color w:val="FFFFFF"/>
        <w:sz w:val="22"/>
      </w:rPr>
      <w:tblPr/>
      <w:tcPr>
        <w:tcBorders>
          <w:top w:val="single" w:sz="4" w:space="0" w:color="19729B" w:themeColor="accent1" w:themeTint="EA"/>
          <w:left w:val="single" w:sz="4" w:space="0" w:color="19729B" w:themeColor="accent1" w:themeTint="EA"/>
          <w:bottom w:val="single" w:sz="4" w:space="0" w:color="19729B" w:themeColor="accent1" w:themeTint="EA"/>
          <w:right w:val="single" w:sz="4" w:space="0" w:color="19729B" w:themeColor="accent1" w:themeTint="EA"/>
        </w:tcBorders>
        <w:shd w:val="clear" w:color="19729B" w:themeColor="accent1" w:themeTint="EA" w:fill="19729B" w:themeFill="accent1" w:themeFillTint="EA"/>
      </w:tcPr>
    </w:tblStylePr>
    <w:tblStylePr w:type="lastRow">
      <w:rPr>
        <w:b/>
        <w:color w:val="404040"/>
      </w:rPr>
      <w:tblPr/>
      <w:tcPr>
        <w:tcBorders>
          <w:top w:val="single" w:sz="4" w:space="0" w:color="19729B"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2E5F5" w:themeColor="accent1" w:themeTint="32" w:fill="C2E5F5" w:themeFill="accent1" w:themeFillTint="32"/>
      </w:tcPr>
    </w:tblStylePr>
    <w:tblStylePr w:type="band1Horz">
      <w:rPr>
        <w:rFonts w:ascii="Arial" w:hAnsi="Arial"/>
        <w:color w:val="404040"/>
        <w:sz w:val="22"/>
      </w:rPr>
      <w:tblPr/>
      <w:tcPr>
        <w:shd w:val="clear" w:color="C2E5F5" w:themeColor="accent1" w:themeTint="32" w:fill="C2E5F5" w:themeFill="accent1" w:themeFillTint="32"/>
      </w:tcPr>
    </w:tblStylePr>
  </w:style>
  <w:style w:type="table" w:styleId="Gitternetztabelle4Akzent2">
    <w:name w:val="Grid Table 4 Accent 2"/>
    <w:basedOn w:val="NormaleTabelle"/>
    <w:uiPriority w:val="5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insideV w:val="single" w:sz="4" w:space="0" w:color="F2AE8B" w:themeColor="accent2" w:themeTint="90"/>
      </w:tblBorders>
    </w:tblPr>
    <w:tblStylePr w:type="firstRow">
      <w:rPr>
        <w:rFonts w:ascii="Arial" w:hAnsi="Arial"/>
        <w:b/>
        <w:color w:val="FFFFFF"/>
        <w:sz w:val="22"/>
      </w:rPr>
      <w:tblPr/>
      <w:tcPr>
        <w:tc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cBorders>
        <w:shd w:val="clear" w:color="F2AA85" w:themeColor="accent2" w:themeTint="97" w:fill="F2AA85" w:themeFill="accent2" w:themeFillTint="97"/>
      </w:tcPr>
    </w:tblStylePr>
    <w:tblStylePr w:type="lastRow">
      <w:rPr>
        <w:b/>
        <w:color w:val="404040"/>
      </w:rPr>
      <w:tblPr/>
      <w:tcPr>
        <w:tcBorders>
          <w:top w:val="single" w:sz="4" w:space="0" w:color="F2AA8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Pr/>
      <w:tcPr>
        <w:shd w:val="clear" w:color="FAE2D6" w:themeColor="accent2" w:themeTint="32" w:fill="FAE2D6" w:themeFill="accent2" w:themeFillTint="32"/>
      </w:tcPr>
    </w:tblStylePr>
  </w:style>
  <w:style w:type="table" w:styleId="Gitternetztabelle4Akzent3">
    <w:name w:val="Grid Table 4 Accent 3"/>
    <w:basedOn w:val="NormaleTabelle"/>
    <w:uiPriority w:val="5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insideV w:val="single" w:sz="4" w:space="0" w:color="51D663" w:themeColor="accent3" w:themeTint="90"/>
      </w:tblBorders>
    </w:tblPr>
    <w:tblStylePr w:type="firstRow">
      <w:rPr>
        <w:rFonts w:ascii="Arial" w:hAnsi="Arial"/>
        <w:b/>
        <w:color w:val="FFFFFF"/>
        <w:sz w:val="22"/>
      </w:rPr>
      <w:tblPr/>
      <w:tcPr>
        <w:tc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tcBorders>
        <w:shd w:val="clear" w:color="196C24" w:themeColor="accent3" w:themeTint="FE" w:fill="196C24" w:themeFill="accent3" w:themeFillTint="FE"/>
      </w:tcPr>
    </w:tblStylePr>
    <w:tblStylePr w:type="lastRow">
      <w:rPr>
        <w:b/>
        <w:color w:val="404040"/>
      </w:rPr>
      <w:tblPr/>
      <w:tcPr>
        <w:tcBorders>
          <w:top w:val="single" w:sz="4" w:space="0" w:color="196C24"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Pr/>
      <w:tcPr>
        <w:shd w:val="clear" w:color="C0F0C6" w:themeColor="accent3" w:themeTint="34" w:fill="C0F0C6" w:themeFill="accent3" w:themeFillTint="34"/>
      </w:tcPr>
    </w:tblStylePr>
  </w:style>
  <w:style w:type="table" w:styleId="Gitternetztabelle4Akzent4">
    <w:name w:val="Grid Table 4 Accent 4"/>
    <w:basedOn w:val="NormaleTabelle"/>
    <w:uiPriority w:val="5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insideV w:val="single" w:sz="4" w:space="0" w:color="6ACDF4" w:themeColor="accent4" w:themeTint="90"/>
      </w:tblBorders>
    </w:tblPr>
    <w:tblStylePr w:type="firstRow">
      <w:rPr>
        <w:rFonts w:ascii="Arial" w:hAnsi="Arial"/>
        <w:b/>
        <w:color w:val="FFFFFF"/>
        <w:sz w:val="22"/>
      </w:rPr>
      <w:tblPr/>
      <w:tcPr>
        <w:tc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cBorders>
        <w:shd w:val="clear" w:color="5FCAF3" w:themeColor="accent4" w:themeTint="9A" w:fill="5FCAF3" w:themeFill="accent4" w:themeFillTint="9A"/>
      </w:tcPr>
    </w:tblStylePr>
    <w:tblStylePr w:type="lastRow">
      <w:rPr>
        <w:b/>
        <w:color w:val="404040"/>
      </w:rPr>
      <w:tblPr/>
      <w:tcPr>
        <w:tcBorders>
          <w:top w:val="single" w:sz="4" w:space="0" w:color="5FCAF3"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Pr/>
      <w:tcPr>
        <w:shd w:val="clear" w:color="C9EDFB" w:themeColor="accent4" w:themeTint="34" w:fill="C9EDFB" w:themeFill="accent4" w:themeFillTint="34"/>
      </w:tcPr>
    </w:tblStylePr>
  </w:style>
  <w:style w:type="table" w:styleId="Gitternetztabelle4Akzent5">
    <w:name w:val="Grid Table 4 Accent 5"/>
    <w:basedOn w:val="NormaleTabelle"/>
    <w:uiPriority w:val="5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FFFFFF"/>
        <w:sz w:val="22"/>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tcBorders>
        <w:shd w:val="clear" w:color="A02B93" w:themeColor="accent5" w:fill="A02B93" w:themeFill="accent5"/>
      </w:tcPr>
    </w:tblStylePr>
    <w:tblStylePr w:type="lastRow">
      <w:rPr>
        <w:b/>
        <w:color w:val="404040"/>
      </w:rPr>
      <w:tblPr/>
      <w:tcPr>
        <w:tcBorders>
          <w:top w:val="single" w:sz="4" w:space="0" w:color="A02B93"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Pr/>
      <w:tcPr>
        <w:shd w:val="clear" w:color="F1CDED" w:themeColor="accent5" w:themeTint="34" w:fill="F1CDED" w:themeFill="accent5" w:themeFillTint="34"/>
      </w:tcPr>
    </w:tblStylePr>
  </w:style>
  <w:style w:type="table" w:styleId="Gitternetztabelle4Akzent6">
    <w:name w:val="Grid Table 4 Accent 6"/>
    <w:basedOn w:val="NormaleTabelle"/>
    <w:uiPriority w:val="5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FFFFFF"/>
        <w:sz w:val="22"/>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tcBorders>
        <w:shd w:val="clear" w:color="4EA72E" w:themeColor="accent6" w:fill="4EA72E" w:themeFill="accent6"/>
      </w:tcPr>
    </w:tblStylePr>
    <w:tblStylePr w:type="lastRow">
      <w:rPr>
        <w:b/>
        <w:color w:val="404040"/>
      </w:rPr>
      <w:tblPr/>
      <w:tcPr>
        <w:tcBorders>
          <w:top w:val="single" w:sz="4" w:space="0" w:color="4EA72E"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Pr/>
      <w:tcPr>
        <w:shd w:val="clear" w:color="D8F2CF" w:themeColor="accent6" w:themeTint="34" w:fill="D8F2CF" w:themeFill="accent6" w:themeFillTint="34"/>
      </w:tcPr>
    </w:tblStylePr>
  </w:style>
  <w:style w:type="table" w:styleId="Gitternetztabelle5dunkelAkzent2">
    <w:name w:val="Grid Table 5 Dark Accent 2"/>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AE2D6" w:themeColor="accent2" w:themeTint="32" w:fill="FAE2D6" w:themeFill="accent2" w:themeFillTint="32"/>
    </w:tblPr>
    <w:tblStylePr w:type="firstRow">
      <w:rPr>
        <w:rFonts w:ascii="Arial" w:hAnsi="Arial"/>
        <w:b/>
        <w:color w:val="FFFFFF"/>
        <w:sz w:val="22"/>
      </w:rPr>
      <w:tblPr/>
      <w:tcPr>
        <w:shd w:val="clear" w:color="E97132" w:themeColor="accent2" w:fill="E97132" w:themeFill="accent2"/>
      </w:tcPr>
    </w:tblStylePr>
    <w:tblStylePr w:type="lastRow">
      <w:rPr>
        <w:rFonts w:ascii="Arial" w:hAnsi="Arial"/>
        <w:b/>
        <w:color w:val="FFFFFF"/>
        <w:sz w:val="22"/>
      </w:rPr>
      <w:tblPr/>
      <w:tcPr>
        <w:tcBorders>
          <w:top w:val="single" w:sz="4" w:space="0" w:color="FFFFFF" w:themeColor="light1"/>
        </w:tcBorders>
        <w:shd w:val="clear" w:color="E97132" w:themeColor="accent2" w:fill="E97132" w:themeFill="accent2"/>
      </w:tcPr>
    </w:tblStylePr>
    <w:tblStylePr w:type="firstCol">
      <w:rPr>
        <w:rFonts w:ascii="Arial" w:hAnsi="Arial"/>
        <w:b/>
        <w:color w:val="FFFFFF"/>
        <w:sz w:val="22"/>
      </w:rPr>
      <w:tblPr/>
      <w:tcPr>
        <w:shd w:val="clear" w:color="E97132" w:themeColor="accent2" w:fill="E97132" w:themeFill="accent2"/>
      </w:tcPr>
    </w:tblStylePr>
    <w:tblStylePr w:type="lastCol">
      <w:rPr>
        <w:rFonts w:ascii="Arial" w:hAnsi="Arial"/>
        <w:b/>
        <w:color w:val="FFFFFF"/>
        <w:sz w:val="22"/>
      </w:rPr>
      <w:tblPr/>
      <w:tcPr>
        <w:shd w:val="clear" w:color="E97132" w:themeColor="accent2" w:fill="E97132" w:themeFill="accent2"/>
      </w:tcPr>
    </w:tblStylePr>
    <w:tblStylePr w:type="band1Vert">
      <w:tblPr/>
      <w:tcPr>
        <w:shd w:val="clear" w:color="F5BDA0" w:themeColor="accent2" w:themeTint="75" w:fill="F5BDA0" w:themeFill="accent2" w:themeFillTint="75"/>
      </w:tcPr>
    </w:tblStylePr>
    <w:tblStylePr w:type="band1Horz">
      <w:tblPr/>
      <w:tcPr>
        <w:shd w:val="clear" w:color="F5BDA0" w:themeColor="accent2" w:themeTint="75" w:fill="F5BDA0" w:themeFill="accent2" w:themeFillTint="75"/>
      </w:tcPr>
    </w:tblStylePr>
  </w:style>
  <w:style w:type="table" w:styleId="Gitternetztabelle5dunkelAkzent3">
    <w:name w:val="Grid Table 5 Dark Accent 3"/>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0F0C6" w:themeColor="accent3" w:themeTint="34" w:fill="C0F0C6" w:themeFill="accent3" w:themeFillTint="34"/>
    </w:tblPr>
    <w:tblStylePr w:type="firstRow">
      <w:rPr>
        <w:rFonts w:ascii="Arial" w:hAnsi="Arial"/>
        <w:b/>
        <w:color w:val="FFFFFF"/>
        <w:sz w:val="22"/>
      </w:rPr>
      <w:tblPr/>
      <w:tcPr>
        <w:shd w:val="clear" w:color="196B24" w:themeColor="accent3" w:fill="196B24" w:themeFill="accent3"/>
      </w:tcPr>
    </w:tblStylePr>
    <w:tblStylePr w:type="lastRow">
      <w:rPr>
        <w:rFonts w:ascii="Arial" w:hAnsi="Arial"/>
        <w:b/>
        <w:color w:val="FFFFFF"/>
        <w:sz w:val="22"/>
      </w:rPr>
      <w:tblPr/>
      <w:tcPr>
        <w:tcBorders>
          <w:top w:val="single" w:sz="4" w:space="0" w:color="FFFFFF" w:themeColor="light1"/>
        </w:tcBorders>
        <w:shd w:val="clear" w:color="196B24" w:themeColor="accent3" w:fill="196B24" w:themeFill="accent3"/>
      </w:tcPr>
    </w:tblStylePr>
    <w:tblStylePr w:type="firstCol">
      <w:rPr>
        <w:rFonts w:ascii="Arial" w:hAnsi="Arial"/>
        <w:b/>
        <w:color w:val="FFFFFF"/>
        <w:sz w:val="22"/>
      </w:rPr>
      <w:tblPr/>
      <w:tcPr>
        <w:shd w:val="clear" w:color="196B24" w:themeColor="accent3" w:fill="196B24" w:themeFill="accent3"/>
      </w:tcPr>
    </w:tblStylePr>
    <w:tblStylePr w:type="lastCol">
      <w:rPr>
        <w:rFonts w:ascii="Arial" w:hAnsi="Arial"/>
        <w:b/>
        <w:color w:val="FFFFFF"/>
        <w:sz w:val="22"/>
      </w:rPr>
      <w:tblPr/>
      <w:tcPr>
        <w:shd w:val="clear" w:color="196B24" w:themeColor="accent3" w:fill="196B24" w:themeFill="accent3"/>
      </w:tcPr>
    </w:tblStylePr>
    <w:tblStylePr w:type="band1Vert">
      <w:tblPr/>
      <w:tcPr>
        <w:shd w:val="clear" w:color="72DE80" w:themeColor="accent3" w:themeTint="75" w:fill="72DE80" w:themeFill="accent3" w:themeFillTint="75"/>
      </w:tcPr>
    </w:tblStylePr>
    <w:tblStylePr w:type="band1Horz">
      <w:tblPr/>
      <w:tcPr>
        <w:shd w:val="clear" w:color="72DE80" w:themeColor="accent3" w:themeTint="75" w:fill="72DE80" w:themeFill="accent3" w:themeFillTint="75"/>
      </w:tcPr>
    </w:tblStylePr>
  </w:style>
  <w:style w:type="table" w:styleId="Gitternetztabelle5dunkelAkzent5">
    <w:name w:val="Grid Table 5 Dark Accent 5"/>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1CDED" w:themeColor="accent5" w:themeTint="34" w:fill="F1CDED" w:themeFill="accent5" w:themeFillTint="34"/>
    </w:tblPr>
    <w:tblStylePr w:type="firstRow">
      <w:rPr>
        <w:rFonts w:ascii="Arial" w:hAnsi="Arial"/>
        <w:b/>
        <w:color w:val="FFFFFF"/>
        <w:sz w:val="22"/>
      </w:rPr>
      <w:tblPr/>
      <w:tcPr>
        <w:shd w:val="clear" w:color="A02B93" w:themeColor="accent5" w:fill="A02B93" w:themeFill="accent5"/>
      </w:tcPr>
    </w:tblStylePr>
    <w:tblStylePr w:type="lastRow">
      <w:rPr>
        <w:rFonts w:ascii="Arial" w:hAnsi="Arial"/>
        <w:b/>
        <w:color w:val="FFFFFF"/>
        <w:sz w:val="22"/>
      </w:rPr>
      <w:tblPr/>
      <w:tcPr>
        <w:tcBorders>
          <w:top w:val="single" w:sz="4" w:space="0" w:color="FFFFFF" w:themeColor="light1"/>
        </w:tcBorders>
        <w:shd w:val="clear" w:color="A02B93" w:themeColor="accent5" w:fill="A02B93" w:themeFill="accent5"/>
      </w:tcPr>
    </w:tblStylePr>
    <w:tblStylePr w:type="firstCol">
      <w:rPr>
        <w:rFonts w:ascii="Arial" w:hAnsi="Arial"/>
        <w:b/>
        <w:color w:val="FFFFFF"/>
        <w:sz w:val="22"/>
      </w:rPr>
      <w:tblPr/>
      <w:tcPr>
        <w:shd w:val="clear" w:color="A02B93" w:themeColor="accent5" w:fill="A02B93" w:themeFill="accent5"/>
      </w:tcPr>
    </w:tblStylePr>
    <w:tblStylePr w:type="lastCol">
      <w:rPr>
        <w:rFonts w:ascii="Arial" w:hAnsi="Arial"/>
        <w:b/>
        <w:color w:val="FFFFFF"/>
        <w:sz w:val="22"/>
      </w:rPr>
      <w:tblPr/>
      <w:tcPr>
        <w:shd w:val="clear" w:color="A02B93" w:themeColor="accent5" w:fill="A02B93" w:themeFill="accent5"/>
      </w:tcPr>
    </w:tblStylePr>
    <w:tblStylePr w:type="band1Vert">
      <w:tblPr/>
      <w:tcPr>
        <w:shd w:val="clear" w:color="E18FD7" w:themeColor="accent5" w:themeTint="75" w:fill="E18FD7" w:themeFill="accent5" w:themeFillTint="75"/>
      </w:tcPr>
    </w:tblStylePr>
    <w:tblStylePr w:type="band1Horz">
      <w:tblPr/>
      <w:tcPr>
        <w:shd w:val="clear" w:color="E18FD7" w:themeColor="accent5" w:themeTint="75" w:fill="E18FD7" w:themeFill="accent5" w:themeFillTint="75"/>
      </w:tcPr>
    </w:tblStylePr>
  </w:style>
  <w:style w:type="table" w:styleId="Gitternetztabelle5dunkelAkzent6">
    <w:name w:val="Grid Table 5 Dark Accent 6"/>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F2CF" w:themeColor="accent6" w:themeTint="34" w:fill="D8F2CF" w:themeFill="accent6" w:themeFillTint="34"/>
    </w:tblPr>
    <w:tblStylePr w:type="firstRow">
      <w:rPr>
        <w:rFonts w:ascii="Arial" w:hAnsi="Arial"/>
        <w:b/>
        <w:color w:val="FFFFFF"/>
        <w:sz w:val="22"/>
      </w:rPr>
      <w:tblPr/>
      <w:tcPr>
        <w:shd w:val="clear" w:color="4EA72E" w:themeColor="accent6" w:fill="4EA72E" w:themeFill="accent6"/>
      </w:tcPr>
    </w:tblStylePr>
    <w:tblStylePr w:type="lastRow">
      <w:rPr>
        <w:rFonts w:ascii="Arial" w:hAnsi="Arial"/>
        <w:b/>
        <w:color w:val="FFFFFF"/>
        <w:sz w:val="22"/>
      </w:rPr>
      <w:tblPr/>
      <w:tcPr>
        <w:tcBorders>
          <w:top w:val="single" w:sz="4" w:space="0" w:color="FFFFFF" w:themeColor="light1"/>
        </w:tcBorders>
        <w:shd w:val="clear" w:color="4EA72E" w:themeColor="accent6" w:fill="4EA72E" w:themeFill="accent6"/>
      </w:tcPr>
    </w:tblStylePr>
    <w:tblStylePr w:type="firstCol">
      <w:rPr>
        <w:rFonts w:ascii="Arial" w:hAnsi="Arial"/>
        <w:b/>
        <w:color w:val="FFFFFF"/>
        <w:sz w:val="22"/>
      </w:rPr>
      <w:tblPr/>
      <w:tcPr>
        <w:shd w:val="clear" w:color="4EA72E" w:themeColor="accent6" w:fill="4EA72E" w:themeFill="accent6"/>
      </w:tcPr>
    </w:tblStylePr>
    <w:tblStylePr w:type="lastCol">
      <w:rPr>
        <w:rFonts w:ascii="Arial" w:hAnsi="Arial"/>
        <w:b/>
        <w:color w:val="FFFFFF"/>
        <w:sz w:val="22"/>
      </w:rPr>
      <w:tblPr/>
      <w:tcPr>
        <w:shd w:val="clear" w:color="4EA72E" w:themeColor="accent6" w:fill="4EA72E" w:themeFill="accent6"/>
      </w:tcPr>
    </w:tblStylePr>
    <w:tblStylePr w:type="band1Vert">
      <w:tblPr/>
      <w:tcPr>
        <w:shd w:val="clear" w:color="A8E194" w:themeColor="accent6" w:themeTint="75" w:fill="A8E194" w:themeFill="accent6" w:themeFillTint="75"/>
      </w:tcPr>
    </w:tblStylePr>
    <w:tblStylePr w:type="band1Horz">
      <w:tblPr/>
      <w:tcPr>
        <w:shd w:val="clear" w:color="A8E194" w:themeColor="accent6" w:themeTint="75" w:fill="A8E194" w:themeFill="accent6" w:themeFillTint="75"/>
      </w:tcPr>
    </w:tblStylePr>
  </w:style>
  <w:style w:type="table" w:styleId="Gitternetztabelle6farbigAkzent1">
    <w:name w:val="Grid Table 6 Colorful Accent 1"/>
    <w:basedOn w:val="NormaleTabelle"/>
    <w:uiPriority w:val="99"/>
    <w:pPr>
      <w:spacing w:after="0" w:line="240" w:lineRule="auto"/>
    </w:pPr>
    <w:tblPr>
      <w:tblStyleRowBandSize w:val="1"/>
      <w:tblStyleColBandSize w:val="1"/>
      <w:tblBorders>
        <w:top w:val="single" w:sz="4" w:space="0" w:color="63BDE6" w:themeColor="accent1" w:themeTint="80"/>
        <w:left w:val="single" w:sz="4" w:space="0" w:color="63BDE6" w:themeColor="accent1" w:themeTint="80"/>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b/>
        <w:color w:val="63BDE6" w:themeColor="accent1" w:themeTint="80" w:themeShade="95"/>
      </w:rPr>
      <w:tblPr/>
      <w:tcPr>
        <w:tcBorders>
          <w:bottom w:val="single" w:sz="12" w:space="0" w:color="63BDE6" w:themeColor="accent1" w:themeTint="80"/>
        </w:tcBorders>
      </w:tcPr>
    </w:tblStylePr>
    <w:tblStylePr w:type="lastRow">
      <w:rPr>
        <w:b/>
        <w:color w:val="63BDE6" w:themeColor="accent1" w:themeTint="80" w:themeShade="95"/>
      </w:rPr>
    </w:tblStylePr>
    <w:tblStylePr w:type="firstCol">
      <w:rPr>
        <w:b/>
        <w:color w:val="63BDE6" w:themeColor="accent1" w:themeTint="80" w:themeShade="95"/>
      </w:rPr>
    </w:tblStylePr>
    <w:tblStylePr w:type="lastCol">
      <w:rPr>
        <w:b/>
        <w:color w:val="63BDE6" w:themeColor="accent1" w:themeTint="80" w:themeShade="95"/>
      </w:r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itternetztabelle6farbigAkzent2">
    <w:name w:val="Grid Table 6 Colorful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b/>
        <w:color w:val="F2AA85" w:themeColor="accent2" w:themeTint="97" w:themeShade="95"/>
      </w:rPr>
      <w:tblPr/>
      <w:tcPr>
        <w:tcBorders>
          <w:bottom w:val="single" w:sz="12" w:space="0" w:color="F2AA85" w:themeColor="accent2" w:themeTint="97"/>
        </w:tcBorders>
      </w:tcPr>
    </w:tblStylePr>
    <w:tblStylePr w:type="lastRow">
      <w:rPr>
        <w:b/>
        <w:color w:val="F2AA85" w:themeColor="accent2" w:themeTint="97" w:themeShade="95"/>
      </w:r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itternetztabelle6farbigAkzent3">
    <w:name w:val="Grid Table 6 Colorful Accent 3"/>
    <w:basedOn w:val="NormaleTabelle"/>
    <w:uiPriority w:val="99"/>
    <w:pPr>
      <w:spacing w:after="0" w:line="240" w:lineRule="auto"/>
    </w:pPr>
    <w:tblPr>
      <w:tblStyleRowBandSize w:val="1"/>
      <w:tblStyleColBandSize w:val="1"/>
      <w:tblBorders>
        <w:top w:val="single" w:sz="4" w:space="0" w:color="196C24" w:themeColor="accent3" w:themeTint="FE"/>
        <w:left w:val="single" w:sz="4" w:space="0" w:color="196C24" w:themeColor="accent3" w:themeTint="FE"/>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b/>
        <w:color w:val="196C24" w:themeColor="accent3" w:themeTint="FE" w:themeShade="95"/>
      </w:rPr>
      <w:tblPr/>
      <w:tcPr>
        <w:tcBorders>
          <w:bottom w:val="single" w:sz="12" w:space="0" w:color="196C24" w:themeColor="accent3" w:themeTint="FE"/>
        </w:tcBorders>
      </w:tcPr>
    </w:tblStylePr>
    <w:tblStylePr w:type="lastRow">
      <w:rPr>
        <w:b/>
        <w:color w:val="196C24" w:themeColor="accent3" w:themeTint="FE" w:themeShade="95"/>
      </w:rPr>
    </w:tblStylePr>
    <w:tblStylePr w:type="firstCol">
      <w:rPr>
        <w:b/>
        <w:color w:val="196C24" w:themeColor="accent3" w:themeTint="FE" w:themeShade="95"/>
      </w:rPr>
    </w:tblStylePr>
    <w:tblStylePr w:type="lastCol">
      <w:rPr>
        <w:b/>
        <w:color w:val="196C24" w:themeColor="accent3" w:themeTint="FE" w:themeShade="95"/>
      </w:r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itternetztabelle6farbigAkzent4">
    <w:name w:val="Grid Table 6 Colorful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b/>
        <w:color w:val="5FCAF3" w:themeColor="accent4" w:themeTint="9A" w:themeShade="95"/>
      </w:rPr>
      <w:tblPr/>
      <w:tcPr>
        <w:tcBorders>
          <w:bottom w:val="single" w:sz="12" w:space="0" w:color="5FCAF3" w:themeColor="accent4" w:themeTint="9A"/>
        </w:tcBorders>
      </w:tcPr>
    </w:tblStylePr>
    <w:tblStylePr w:type="lastRow">
      <w:rPr>
        <w:b/>
        <w:color w:val="5FCAF3" w:themeColor="accent4" w:themeTint="9A" w:themeShade="95"/>
      </w:r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itternetztabelle6farbigAkzent5">
    <w:name w:val="Grid Table 6 Colorful Accent 5"/>
    <w:basedOn w:val="NormaleTabelle"/>
    <w:uiPriority w:val="99"/>
    <w:pPr>
      <w:spacing w:after="0" w:line="240" w:lineRule="auto"/>
    </w:p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insideH w:val="single" w:sz="4" w:space="0" w:color="A02B93" w:themeColor="accent5"/>
        <w:insideV w:val="single" w:sz="4" w:space="0" w:color="A02B93" w:themeColor="accent5"/>
      </w:tblBorders>
    </w:tblPr>
    <w:tblStylePr w:type="firstRow">
      <w:rPr>
        <w:b/>
        <w:color w:val="5D1955" w:themeColor="accent5" w:themeShade="95"/>
      </w:rPr>
      <w:tblPr/>
      <w:tcPr>
        <w:tcBorders>
          <w:bottom w:val="single" w:sz="12" w:space="0" w:color="A02B93" w:themeColor="accent5"/>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itternetztabelle6farbigAkzent6">
    <w:name w:val="Grid Table 6 Colorful Accent 6"/>
    <w:basedOn w:val="NormaleTabelle"/>
    <w:uiPriority w:val="99"/>
    <w:pPr>
      <w:spacing w:after="0" w:line="240" w:lineRule="auto"/>
    </w:p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insideH w:val="single" w:sz="4" w:space="0" w:color="4EA72E" w:themeColor="accent6"/>
        <w:insideV w:val="single" w:sz="4" w:space="0" w:color="4EA72E" w:themeColor="accent6"/>
      </w:tblBorders>
    </w:tblPr>
    <w:tblStylePr w:type="firstRow">
      <w:rPr>
        <w:b/>
        <w:color w:val="5D1955" w:themeColor="accent5" w:themeShade="95"/>
      </w:rPr>
      <w:tblPr/>
      <w:tcPr>
        <w:tcBorders>
          <w:bottom w:val="single" w:sz="12" w:space="0" w:color="4EA72E" w:themeColor="accent6"/>
        </w:tcBorders>
      </w:tcPr>
    </w:tblStylePr>
    <w:tblStylePr w:type="lastRow">
      <w:rPr>
        <w:b/>
        <w:color w:val="5D1955" w:themeColor="accent5" w:themeShade="95"/>
      </w:rPr>
    </w:tblStylePr>
    <w:tblStylePr w:type="firstCol">
      <w:rPr>
        <w:b/>
        <w:color w:val="5D1955" w:themeColor="accent5" w:themeShade="95"/>
      </w:rPr>
    </w:tblStylePr>
    <w:tblStylePr w:type="lastCol">
      <w:rPr>
        <w:b/>
        <w:color w:val="5D1955" w:themeColor="accent5" w:themeShade="95"/>
      </w:rPr>
    </w:tblStylePr>
    <w:tblStylePr w:type="band1Vert">
      <w:tblPr/>
      <w:tcPr>
        <w:shd w:val="clear" w:color="D8F2CF" w:themeColor="accent6" w:themeTint="34" w:fill="D8F2CF" w:themeFill="accent6" w:themeFillTint="34"/>
      </w:tcPr>
    </w:tblStylePr>
    <w:tblStylePr w:type="band1Horz">
      <w:rPr>
        <w:rFonts w:ascii="Arial" w:hAnsi="Arial"/>
        <w:color w:val="5D1955" w:themeColor="accent5" w:themeShade="95"/>
        <w:sz w:val="22"/>
      </w:rPr>
      <w:tblPr/>
      <w:tcPr>
        <w:shd w:val="clear" w:color="D8F2CF" w:themeColor="accent6" w:themeTint="34" w:fill="D8F2CF" w:themeFill="accent6" w:themeFillTint="34"/>
      </w:tcPr>
    </w:tblStylePr>
    <w:tblStylePr w:type="band2Horz">
      <w:rPr>
        <w:rFonts w:ascii="Arial" w:hAnsi="Arial"/>
        <w:color w:val="5D1955" w:themeColor="accent5" w:themeShade="95"/>
        <w:sz w:val="22"/>
      </w:rPr>
    </w:tblStylePr>
  </w:style>
  <w:style w:type="table" w:styleId="Gitternetztabelle7farbigAkzent1">
    <w:name w:val="Grid Table 7 Colorful Accent 1"/>
    <w:basedOn w:val="NormaleTabelle"/>
    <w:uiPriority w:val="99"/>
    <w:pPr>
      <w:spacing w:after="0" w:line="240" w:lineRule="auto"/>
    </w:pPr>
    <w:tblPr>
      <w:tblStyleRowBandSize w:val="1"/>
      <w:tblStyleColBandSize w:val="1"/>
      <w:tblBorders>
        <w:bottom w:val="single" w:sz="4" w:space="0" w:color="63BDE6" w:themeColor="accent1" w:themeTint="80"/>
        <w:right w:val="single" w:sz="4" w:space="0" w:color="63BDE6" w:themeColor="accent1" w:themeTint="80"/>
        <w:insideH w:val="single" w:sz="4" w:space="0" w:color="63BDE6" w:themeColor="accent1" w:themeTint="80"/>
        <w:insideV w:val="single" w:sz="4" w:space="0" w:color="63BDE6" w:themeColor="accent1" w:themeTint="80"/>
      </w:tblBorders>
    </w:tblPr>
    <w:tblStylePr w:type="firstRow">
      <w:rPr>
        <w:rFonts w:ascii="Arial" w:hAnsi="Arial"/>
        <w:b/>
        <w:color w:val="63BDE6" w:themeColor="accent1" w:themeTint="80" w:themeShade="95"/>
        <w:sz w:val="22"/>
      </w:rPr>
      <w:tblPr/>
      <w:tcPr>
        <w:tcBorders>
          <w:top w:val="none" w:sz="0" w:space="0" w:color="000000"/>
          <w:left w:val="none" w:sz="0" w:space="0" w:color="000000"/>
          <w:bottom w:val="single" w:sz="4" w:space="0" w:color="63BDE6" w:themeColor="accent1" w:themeTint="80"/>
          <w:right w:val="none" w:sz="0" w:space="0" w:color="000000"/>
        </w:tcBorders>
        <w:shd w:val="clear" w:color="FFFFFF" w:themeColor="light1" w:fill="FFFFFF" w:themeFill="light1"/>
      </w:tcPr>
    </w:tblStylePr>
    <w:tblStylePr w:type="lastRow">
      <w:rPr>
        <w:rFonts w:ascii="Arial" w:hAnsi="Arial"/>
        <w:b/>
        <w:color w:val="63BDE6" w:themeColor="accent1" w:themeTint="80" w:themeShade="95"/>
        <w:sz w:val="22"/>
      </w:rPr>
      <w:tblPr/>
      <w:tcPr>
        <w:tcBorders>
          <w:top w:val="single" w:sz="4" w:space="0" w:color="63BDE6" w:themeColor="accen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63BDE6" w:themeColor="accent1" w:themeTint="80" w:themeShade="95"/>
        <w:sz w:val="22"/>
      </w:rPr>
      <w:tblPr/>
      <w:tcPr>
        <w:tcBorders>
          <w:top w:val="none" w:sz="0" w:space="0" w:color="000000"/>
          <w:left w:val="none" w:sz="0" w:space="0" w:color="000000"/>
          <w:bottom w:val="none" w:sz="0" w:space="0" w:color="000000"/>
          <w:right w:val="single" w:sz="4" w:space="0" w:color="63BDE6" w:themeColor="accent1" w:themeTint="80"/>
        </w:tcBorders>
        <w:shd w:val="clear" w:color="FFFFFF" w:fill="auto"/>
      </w:tcPr>
    </w:tblStylePr>
    <w:tblStylePr w:type="lastCol">
      <w:rPr>
        <w:rFonts w:ascii="Arial" w:hAnsi="Arial"/>
        <w:i/>
        <w:color w:val="63BDE6" w:themeColor="accent1" w:themeTint="80" w:themeShade="95"/>
        <w:sz w:val="22"/>
      </w:rPr>
      <w:tblPr/>
      <w:tcPr>
        <w:tcBorders>
          <w:top w:val="none" w:sz="0" w:space="0" w:color="000000"/>
          <w:left w:val="single" w:sz="4" w:space="0" w:color="63BDE6" w:themeColor="accent1" w:themeTint="80"/>
          <w:bottom w:val="none" w:sz="0" w:space="0" w:color="000000"/>
          <w:right w:val="none" w:sz="0" w:space="0" w:color="000000"/>
        </w:tcBorders>
        <w:shd w:val="clear" w:color="FFFFFF" w:fill="auto"/>
      </w:tcPr>
    </w:tblStylePr>
    <w:tblStylePr w:type="band1Vert">
      <w:tblPr/>
      <w:tcPr>
        <w:shd w:val="clear" w:color="BFE4F4" w:themeColor="accent1" w:themeTint="34" w:fill="BFE4F4" w:themeFill="accent1" w:themeFillTint="34"/>
      </w:tcPr>
    </w:tblStylePr>
    <w:tblStylePr w:type="band1Horz">
      <w:rPr>
        <w:rFonts w:ascii="Arial" w:hAnsi="Arial"/>
        <w:color w:val="63BDE6" w:themeColor="accent1" w:themeTint="80" w:themeShade="95"/>
        <w:sz w:val="22"/>
      </w:rPr>
      <w:tblPr/>
      <w:tcPr>
        <w:shd w:val="clear" w:color="BFE4F4" w:themeColor="accent1" w:themeTint="34" w:fill="BFE4F4" w:themeFill="accent1" w:themeFillTint="34"/>
      </w:tcPr>
    </w:tblStylePr>
    <w:tblStylePr w:type="band2Horz">
      <w:rPr>
        <w:rFonts w:ascii="Arial" w:hAnsi="Arial"/>
        <w:color w:val="63BDE6" w:themeColor="accent1" w:themeTint="80" w:themeShade="95"/>
        <w:sz w:val="22"/>
      </w:rPr>
    </w:tblStylePr>
  </w:style>
  <w:style w:type="table" w:styleId="Gitternetztabelle7farbigAkzent2">
    <w:name w:val="Grid Table 7 Colorful Accent 2"/>
    <w:basedOn w:val="NormaleTabelle"/>
    <w:uiPriority w:val="99"/>
    <w:pPr>
      <w:spacing w:after="0" w:line="240" w:lineRule="auto"/>
    </w:pPr>
    <w:tblPr>
      <w:tblStyleRowBandSize w:val="1"/>
      <w:tblStyleColBandSize w:val="1"/>
      <w:tblBorders>
        <w:bottom w:val="single" w:sz="4" w:space="0" w:color="F2AA85" w:themeColor="accent2" w:themeTint="97"/>
        <w:right w:val="single" w:sz="4" w:space="0" w:color="F2AA85" w:themeColor="accent2" w:themeTint="97"/>
        <w:insideH w:val="single" w:sz="4" w:space="0" w:color="F2AA85" w:themeColor="accent2" w:themeTint="97"/>
        <w:insideV w:val="single" w:sz="4" w:space="0" w:color="F2AA85" w:themeColor="accent2" w:themeTint="97"/>
      </w:tblBorders>
    </w:tblPr>
    <w:tblStylePr w:type="firstRow">
      <w:rPr>
        <w:rFonts w:ascii="Arial" w:hAnsi="Arial"/>
        <w:b/>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b/>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AE2D6" w:themeColor="accent2" w:themeTint="32" w:fill="FAE2D6" w:themeFill="accent2" w:themeFillTint="32"/>
      </w:tcPr>
    </w:tblStylePr>
    <w:tblStylePr w:type="band1Horz">
      <w:rPr>
        <w:rFonts w:ascii="Arial" w:hAnsi="Arial"/>
        <w:color w:val="F2AA85" w:themeColor="accent2" w:themeTint="97" w:themeShade="95"/>
        <w:sz w:val="22"/>
      </w:rPr>
      <w:tblPr/>
      <w:tcPr>
        <w:shd w:val="clear" w:color="FAE2D6" w:themeColor="accent2" w:themeTint="32" w:fill="FAE2D6" w:themeFill="accent2" w:themeFillTint="32"/>
      </w:tcPr>
    </w:tblStylePr>
    <w:tblStylePr w:type="band2Horz">
      <w:rPr>
        <w:rFonts w:ascii="Arial" w:hAnsi="Arial"/>
        <w:color w:val="F2AA85" w:themeColor="accent2" w:themeTint="97" w:themeShade="95"/>
        <w:sz w:val="22"/>
      </w:rPr>
    </w:tblStylePr>
  </w:style>
  <w:style w:type="table" w:styleId="Gitternetztabelle7farbigAkzent3">
    <w:name w:val="Grid Table 7 Colorful Accent 3"/>
    <w:basedOn w:val="NormaleTabelle"/>
    <w:uiPriority w:val="99"/>
    <w:pPr>
      <w:spacing w:after="0" w:line="240" w:lineRule="auto"/>
    </w:pPr>
    <w:tblPr>
      <w:tblStyleRowBandSize w:val="1"/>
      <w:tblStyleColBandSize w:val="1"/>
      <w:tblBorders>
        <w:bottom w:val="single" w:sz="4" w:space="0" w:color="196C24" w:themeColor="accent3" w:themeTint="FE"/>
        <w:right w:val="single" w:sz="4" w:space="0" w:color="196C24" w:themeColor="accent3" w:themeTint="FE"/>
        <w:insideH w:val="single" w:sz="4" w:space="0" w:color="196C24" w:themeColor="accent3" w:themeTint="FE"/>
        <w:insideV w:val="single" w:sz="4" w:space="0" w:color="196C24" w:themeColor="accent3" w:themeTint="FE"/>
      </w:tblBorders>
    </w:tblPr>
    <w:tblStylePr w:type="firstRow">
      <w:rPr>
        <w:rFonts w:ascii="Arial" w:hAnsi="Arial"/>
        <w:b/>
        <w:color w:val="196C24" w:themeColor="accent3" w:themeTint="FE" w:themeShade="95"/>
        <w:sz w:val="22"/>
      </w:rPr>
      <w:tblPr/>
      <w:tcPr>
        <w:tcBorders>
          <w:top w:val="none" w:sz="0" w:space="0" w:color="000000"/>
          <w:left w:val="none" w:sz="0" w:space="0" w:color="000000"/>
          <w:bottom w:val="single" w:sz="4" w:space="0" w:color="196C24" w:themeColor="accent3" w:themeTint="FE"/>
          <w:right w:val="none" w:sz="0" w:space="0" w:color="000000"/>
        </w:tcBorders>
        <w:shd w:val="clear" w:color="FFFFFF" w:themeColor="light1" w:fill="FFFFFF" w:themeFill="light1"/>
      </w:tcPr>
    </w:tblStylePr>
    <w:tblStylePr w:type="lastRow">
      <w:rPr>
        <w:rFonts w:ascii="Arial" w:hAnsi="Arial"/>
        <w:b/>
        <w:color w:val="196C24" w:themeColor="accent3" w:themeTint="FE" w:themeShade="95"/>
        <w:sz w:val="22"/>
      </w:rPr>
      <w:tblPr/>
      <w:tcPr>
        <w:tcBorders>
          <w:top w:val="single" w:sz="4" w:space="0" w:color="196C24" w:themeColor="accent3" w:themeTint="FE"/>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196C24" w:themeColor="accent3" w:themeTint="FE" w:themeShade="95"/>
        <w:sz w:val="22"/>
      </w:rPr>
      <w:tblPr/>
      <w:tcPr>
        <w:tcBorders>
          <w:top w:val="none" w:sz="0" w:space="0" w:color="000000"/>
          <w:left w:val="none" w:sz="0" w:space="0" w:color="000000"/>
          <w:bottom w:val="none" w:sz="0" w:space="0" w:color="000000"/>
          <w:right w:val="single" w:sz="4" w:space="0" w:color="196C24" w:themeColor="accent3" w:themeTint="FE"/>
        </w:tcBorders>
        <w:shd w:val="clear" w:color="FFFFFF" w:fill="auto"/>
      </w:tcPr>
    </w:tblStylePr>
    <w:tblStylePr w:type="lastCol">
      <w:rPr>
        <w:rFonts w:ascii="Arial" w:hAnsi="Arial"/>
        <w:i/>
        <w:color w:val="196C24" w:themeColor="accent3" w:themeTint="FE" w:themeShade="95"/>
        <w:sz w:val="22"/>
      </w:rPr>
      <w:tblPr/>
      <w:tcPr>
        <w:tcBorders>
          <w:top w:val="none" w:sz="0" w:space="0" w:color="000000"/>
          <w:left w:val="single" w:sz="4" w:space="0" w:color="196C24" w:themeColor="accent3" w:themeTint="FE"/>
          <w:bottom w:val="none" w:sz="0" w:space="0" w:color="000000"/>
          <w:right w:val="none" w:sz="0" w:space="0" w:color="000000"/>
        </w:tcBorders>
        <w:shd w:val="clear" w:color="FFFFFF" w:fill="auto"/>
      </w:tcPr>
    </w:tblStylePr>
    <w:tblStylePr w:type="band1Vert">
      <w:tblPr/>
      <w:tcPr>
        <w:shd w:val="clear" w:color="C0F0C6" w:themeColor="accent3" w:themeTint="34" w:fill="C0F0C6" w:themeFill="accent3" w:themeFillTint="34"/>
      </w:tcPr>
    </w:tblStylePr>
    <w:tblStylePr w:type="band1Horz">
      <w:rPr>
        <w:rFonts w:ascii="Arial" w:hAnsi="Arial"/>
        <w:color w:val="196C24" w:themeColor="accent3" w:themeTint="FE" w:themeShade="95"/>
        <w:sz w:val="22"/>
      </w:rPr>
      <w:tblPr/>
      <w:tcPr>
        <w:shd w:val="clear" w:color="C0F0C6" w:themeColor="accent3" w:themeTint="34" w:fill="C0F0C6" w:themeFill="accent3" w:themeFillTint="34"/>
      </w:tcPr>
    </w:tblStylePr>
    <w:tblStylePr w:type="band2Horz">
      <w:rPr>
        <w:rFonts w:ascii="Arial" w:hAnsi="Arial"/>
        <w:color w:val="196C24" w:themeColor="accent3" w:themeTint="FE" w:themeShade="95"/>
        <w:sz w:val="22"/>
      </w:rPr>
    </w:tblStylePr>
  </w:style>
  <w:style w:type="table" w:styleId="Gitternetztabelle7farbigAkzent4">
    <w:name w:val="Grid Table 7 Colorful Accent 4"/>
    <w:basedOn w:val="NormaleTabelle"/>
    <w:uiPriority w:val="99"/>
    <w:pPr>
      <w:spacing w:after="0" w:line="240" w:lineRule="auto"/>
    </w:pPr>
    <w:tblPr>
      <w:tblStyleRowBandSize w:val="1"/>
      <w:tblStyleColBandSize w:val="1"/>
      <w:tblBorders>
        <w:bottom w:val="single" w:sz="4" w:space="0" w:color="5FCAF3" w:themeColor="accent4" w:themeTint="9A"/>
        <w:right w:val="single" w:sz="4" w:space="0" w:color="5FCAF3" w:themeColor="accent4" w:themeTint="9A"/>
        <w:insideH w:val="single" w:sz="4" w:space="0" w:color="5FCAF3" w:themeColor="accent4" w:themeTint="9A"/>
        <w:insideV w:val="single" w:sz="4" w:space="0" w:color="5FCAF3" w:themeColor="accent4" w:themeTint="9A"/>
      </w:tblBorders>
    </w:tblPr>
    <w:tblStylePr w:type="firstRow">
      <w:rPr>
        <w:rFonts w:ascii="Arial" w:hAnsi="Arial"/>
        <w:b/>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b/>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C9EDFB" w:themeColor="accent4" w:themeTint="34" w:fill="C9EDFB" w:themeFill="accent4" w:themeFillTint="34"/>
      </w:tcPr>
    </w:tblStylePr>
    <w:tblStylePr w:type="band1Horz">
      <w:rPr>
        <w:rFonts w:ascii="Arial" w:hAnsi="Arial"/>
        <w:color w:val="5FCAF3" w:themeColor="accent4" w:themeTint="9A" w:themeShade="95"/>
        <w:sz w:val="22"/>
      </w:rPr>
      <w:tblPr/>
      <w:tcPr>
        <w:shd w:val="clear" w:color="C9EDFB" w:themeColor="accent4" w:themeTint="34" w:fill="C9EDFB" w:themeFill="accent4" w:themeFillTint="34"/>
      </w:tcPr>
    </w:tblStylePr>
    <w:tblStylePr w:type="band2Horz">
      <w:rPr>
        <w:rFonts w:ascii="Arial" w:hAnsi="Arial"/>
        <w:color w:val="5FCAF3" w:themeColor="accent4" w:themeTint="9A" w:themeShade="95"/>
        <w:sz w:val="22"/>
      </w:rPr>
    </w:tblStylePr>
  </w:style>
  <w:style w:type="table" w:styleId="Gitternetztabelle7farbigAkzent5">
    <w:name w:val="Grid Table 7 Colorful Accent 5"/>
    <w:basedOn w:val="NormaleTabelle"/>
    <w:uiPriority w:val="99"/>
    <w:pPr>
      <w:spacing w:after="0" w:line="240" w:lineRule="auto"/>
    </w:pPr>
    <w:tblPr>
      <w:tblStyleRowBandSize w:val="1"/>
      <w:tblStyleColBandSize w:val="1"/>
      <w:tblBorders>
        <w:bottom w:val="single" w:sz="4" w:space="0" w:color="DA76CE" w:themeColor="accent5" w:themeTint="90"/>
        <w:right w:val="single" w:sz="4" w:space="0" w:color="DA76CE" w:themeColor="accent5" w:themeTint="90"/>
        <w:insideH w:val="single" w:sz="4" w:space="0" w:color="DA76CE" w:themeColor="accent5" w:themeTint="90"/>
        <w:insideV w:val="single" w:sz="4" w:space="0" w:color="DA76CE" w:themeColor="accent5" w:themeTint="90"/>
      </w:tblBorders>
    </w:tblPr>
    <w:tblStylePr w:type="firstRow">
      <w:rPr>
        <w:rFonts w:ascii="Arial" w:hAnsi="Arial"/>
        <w:b/>
        <w:color w:val="5D1955" w:themeColor="accent5" w:themeShade="95"/>
        <w:sz w:val="22"/>
      </w:rPr>
      <w:tblPr/>
      <w:tcPr>
        <w:tcBorders>
          <w:top w:val="none" w:sz="0" w:space="0" w:color="000000"/>
          <w:left w:val="none" w:sz="0" w:space="0" w:color="000000"/>
          <w:bottom w:val="single" w:sz="4" w:space="0" w:color="DA76CE" w:themeColor="accent5" w:themeTint="90"/>
          <w:right w:val="none" w:sz="0" w:space="0" w:color="000000"/>
        </w:tcBorders>
        <w:shd w:val="clear" w:color="FFFFFF" w:themeColor="light1" w:fill="FFFFFF" w:themeFill="light1"/>
      </w:tcPr>
    </w:tblStylePr>
    <w:tblStylePr w:type="lastRow">
      <w:rPr>
        <w:rFonts w:ascii="Arial" w:hAnsi="Arial"/>
        <w:b/>
        <w:color w:val="5D1955" w:themeColor="accent5" w:themeShade="95"/>
        <w:sz w:val="22"/>
      </w:rPr>
      <w:tblPr/>
      <w:tcPr>
        <w:tcBorders>
          <w:top w:val="single" w:sz="4" w:space="0" w:color="DA76CE" w:themeColor="accent5"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D1955" w:themeColor="accent5" w:themeShade="95"/>
        <w:sz w:val="22"/>
      </w:rPr>
      <w:tblPr/>
      <w:tcPr>
        <w:tcBorders>
          <w:top w:val="none" w:sz="0" w:space="0" w:color="000000"/>
          <w:left w:val="none" w:sz="0" w:space="0" w:color="000000"/>
          <w:bottom w:val="none" w:sz="0" w:space="0" w:color="000000"/>
          <w:right w:val="single" w:sz="4" w:space="0" w:color="DA76CE" w:themeColor="accent5" w:themeTint="90"/>
        </w:tcBorders>
        <w:shd w:val="clear" w:color="FFFFFF" w:fill="auto"/>
      </w:tcPr>
    </w:tblStylePr>
    <w:tblStylePr w:type="lastCol">
      <w:rPr>
        <w:rFonts w:ascii="Arial" w:hAnsi="Arial"/>
        <w:i/>
        <w:color w:val="5D1955" w:themeColor="accent5" w:themeShade="95"/>
        <w:sz w:val="22"/>
      </w:rPr>
      <w:tblPr/>
      <w:tcPr>
        <w:tcBorders>
          <w:top w:val="none" w:sz="0" w:space="0" w:color="000000"/>
          <w:left w:val="single" w:sz="4" w:space="0" w:color="DA76CE" w:themeColor="accent5" w:themeTint="90"/>
          <w:bottom w:val="none" w:sz="0" w:space="0" w:color="000000"/>
          <w:right w:val="none" w:sz="0" w:space="0" w:color="000000"/>
        </w:tcBorders>
        <w:shd w:val="clear" w:color="FFFFFF" w:fill="auto"/>
      </w:tcPr>
    </w:tblStylePr>
    <w:tblStylePr w:type="band1Vert">
      <w:tblPr/>
      <w:tcPr>
        <w:shd w:val="clear" w:color="F1CDED" w:themeColor="accent5" w:themeTint="34" w:fill="F1CDED" w:themeFill="accent5" w:themeFillTint="34"/>
      </w:tcPr>
    </w:tblStylePr>
    <w:tblStylePr w:type="band1Horz">
      <w:rPr>
        <w:rFonts w:ascii="Arial" w:hAnsi="Arial"/>
        <w:color w:val="5D1955" w:themeColor="accent5" w:themeShade="95"/>
        <w:sz w:val="22"/>
      </w:rPr>
      <w:tblPr/>
      <w:tcPr>
        <w:shd w:val="clear" w:color="F1CDED" w:themeColor="accent5" w:themeTint="34" w:fill="F1CDED" w:themeFill="accent5" w:themeFillTint="34"/>
      </w:tcPr>
    </w:tblStylePr>
    <w:tblStylePr w:type="band2Horz">
      <w:rPr>
        <w:rFonts w:ascii="Arial" w:hAnsi="Arial"/>
        <w:color w:val="5D1955" w:themeColor="accent5" w:themeShade="95"/>
        <w:sz w:val="22"/>
      </w:rPr>
    </w:tblStylePr>
  </w:style>
  <w:style w:type="table" w:styleId="Gitternetztabelle7farbigAkzent6">
    <w:name w:val="Grid Table 7 Colorful Accent 6"/>
    <w:basedOn w:val="NormaleTabelle"/>
    <w:uiPriority w:val="99"/>
    <w:pPr>
      <w:spacing w:after="0" w:line="240" w:lineRule="auto"/>
    </w:pPr>
    <w:tblPr>
      <w:tblStyleRowBandSize w:val="1"/>
      <w:tblStyleColBandSize w:val="1"/>
      <w:tblBorders>
        <w:bottom w:val="single" w:sz="4" w:space="0" w:color="94DA7B" w:themeColor="accent6" w:themeTint="90"/>
        <w:right w:val="single" w:sz="4" w:space="0" w:color="94DA7B" w:themeColor="accent6" w:themeTint="90"/>
        <w:insideH w:val="single" w:sz="4" w:space="0" w:color="94DA7B" w:themeColor="accent6" w:themeTint="90"/>
        <w:insideV w:val="single" w:sz="4" w:space="0" w:color="94DA7B" w:themeColor="accent6" w:themeTint="90"/>
      </w:tblBorders>
    </w:tblPr>
    <w:tblStylePr w:type="firstRow">
      <w:rPr>
        <w:rFonts w:ascii="Arial" w:hAnsi="Arial"/>
        <w:b/>
        <w:color w:val="2D611B" w:themeColor="accent6" w:themeShade="95"/>
        <w:sz w:val="22"/>
      </w:rPr>
      <w:tblPr/>
      <w:tcPr>
        <w:tcBorders>
          <w:top w:val="none" w:sz="0" w:space="0" w:color="000000"/>
          <w:left w:val="none" w:sz="0" w:space="0" w:color="000000"/>
          <w:bottom w:val="single" w:sz="4" w:space="0" w:color="94DA7B" w:themeColor="accent6" w:themeTint="90"/>
          <w:right w:val="none" w:sz="0" w:space="0" w:color="000000"/>
        </w:tcBorders>
        <w:shd w:val="clear" w:color="FFFFFF" w:themeColor="light1" w:fill="FFFFFF" w:themeFill="light1"/>
      </w:tcPr>
    </w:tblStylePr>
    <w:tblStylePr w:type="lastRow">
      <w:rPr>
        <w:rFonts w:ascii="Arial" w:hAnsi="Arial"/>
        <w:b/>
        <w:color w:val="2D611B" w:themeColor="accent6" w:themeShade="95"/>
        <w:sz w:val="22"/>
      </w:rPr>
      <w:tblPr/>
      <w:tcPr>
        <w:tcBorders>
          <w:top w:val="single" w:sz="4" w:space="0" w:color="94DA7B" w:themeColor="accent6" w:themeTint="9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2D611B" w:themeColor="accent6" w:themeShade="95"/>
        <w:sz w:val="22"/>
      </w:rPr>
      <w:tblPr/>
      <w:tcPr>
        <w:tcBorders>
          <w:top w:val="none" w:sz="0" w:space="0" w:color="000000"/>
          <w:left w:val="none" w:sz="0" w:space="0" w:color="000000"/>
          <w:bottom w:val="none" w:sz="0" w:space="0" w:color="000000"/>
          <w:right w:val="single" w:sz="4" w:space="0" w:color="94DA7B" w:themeColor="accent6" w:themeTint="90"/>
        </w:tcBorders>
        <w:shd w:val="clear" w:color="FFFFFF" w:fill="auto"/>
      </w:tcPr>
    </w:tblStylePr>
    <w:tblStylePr w:type="lastCol">
      <w:rPr>
        <w:rFonts w:ascii="Arial" w:hAnsi="Arial"/>
        <w:i/>
        <w:color w:val="2D611B" w:themeColor="accent6" w:themeShade="95"/>
        <w:sz w:val="22"/>
      </w:rPr>
      <w:tblPr/>
      <w:tcPr>
        <w:tcBorders>
          <w:top w:val="none" w:sz="0" w:space="0" w:color="000000"/>
          <w:left w:val="single" w:sz="4" w:space="0" w:color="94DA7B" w:themeColor="accent6" w:themeTint="90"/>
          <w:bottom w:val="none" w:sz="0" w:space="0" w:color="000000"/>
          <w:right w:val="none" w:sz="0" w:space="0" w:color="000000"/>
        </w:tcBorders>
        <w:shd w:val="clear" w:color="FFFFFF" w:fill="auto"/>
      </w:tcPr>
    </w:tblStylePr>
    <w:tblStylePr w:type="band1Vert">
      <w:tblPr/>
      <w:tcPr>
        <w:shd w:val="clear" w:color="D8F2CF" w:themeColor="accent6" w:themeTint="34" w:fill="D8F2CF" w:themeFill="accent6" w:themeFillTint="34"/>
      </w:tcPr>
    </w:tblStylePr>
    <w:tblStylePr w:type="band1Horz">
      <w:rPr>
        <w:rFonts w:ascii="Arial" w:hAnsi="Arial"/>
        <w:color w:val="2D611B" w:themeColor="accent6" w:themeShade="95"/>
        <w:sz w:val="22"/>
      </w:rPr>
      <w:tblPr/>
      <w:tcPr>
        <w:shd w:val="clear" w:color="D8F2CF" w:themeColor="accent6" w:themeTint="34" w:fill="D8F2CF" w:themeFill="accent6" w:themeFillTint="34"/>
      </w:tcPr>
    </w:tblStylePr>
    <w:tblStylePr w:type="band2Horz">
      <w:rPr>
        <w:rFonts w:ascii="Arial" w:hAnsi="Arial"/>
        <w:color w:val="2D611B" w:themeColor="accent6" w:themeShade="95"/>
        <w:sz w:val="22"/>
      </w:rPr>
    </w:tblStylePr>
  </w:style>
  <w:style w:type="table" w:styleId="Listentabelle1hellAkzent1">
    <w:name w:val="List Table 1 Light Accent 1"/>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56082" w:themeColor="accent1"/>
          <w:right w:val="none" w:sz="4" w:space="0" w:color="000000"/>
        </w:tcBorders>
      </w:tcPr>
    </w:tblStylePr>
    <w:tblStylePr w:type="lastRow">
      <w:rPr>
        <w:b/>
        <w:color w:val="404040"/>
      </w:rPr>
      <w:tblPr/>
      <w:tcPr>
        <w:tcBorders>
          <w:top w:val="single" w:sz="4" w:space="0" w:color="156082"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1DEF2" w:themeColor="accent1" w:themeTint="40" w:fill="B1DEF2" w:themeFill="accent1" w:themeFillTint="40"/>
      </w:tcPr>
    </w:tblStylePr>
    <w:tblStylePr w:type="band1Horz">
      <w:tblPr/>
      <w:tcPr>
        <w:shd w:val="clear" w:color="B1DEF2" w:themeColor="accent1" w:themeTint="40" w:fill="B1DEF2" w:themeFill="accent1" w:themeFillTint="40"/>
      </w:tcPr>
    </w:tblStylePr>
  </w:style>
  <w:style w:type="table" w:styleId="Listentabelle1hellAkzent2">
    <w:name w:val="List Table 1 Light Accent 2"/>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97132" w:themeColor="accent2"/>
          <w:right w:val="none" w:sz="4" w:space="0" w:color="000000"/>
        </w:tcBorders>
      </w:tcPr>
    </w:tblStylePr>
    <w:tblStylePr w:type="lastRow">
      <w:rPr>
        <w:b/>
        <w:color w:val="404040"/>
      </w:rPr>
      <w:tblPr/>
      <w:tcPr>
        <w:tcBorders>
          <w:top w:val="single" w:sz="4" w:space="0" w:color="E97132"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9DBCB" w:themeColor="accent2" w:themeTint="40" w:fill="F9DBCB" w:themeFill="accent2" w:themeFillTint="40"/>
      </w:tcPr>
    </w:tblStylePr>
    <w:tblStylePr w:type="band1Horz">
      <w:tblPr/>
      <w:tcPr>
        <w:shd w:val="clear" w:color="F9DBCB" w:themeColor="accent2" w:themeTint="40" w:fill="F9DBCB" w:themeFill="accent2" w:themeFillTint="40"/>
      </w:tcPr>
    </w:tblStylePr>
  </w:style>
  <w:style w:type="table" w:styleId="Listentabelle1hellAkzent3">
    <w:name w:val="List Table 1 Light Accent 3"/>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196B24" w:themeColor="accent3"/>
          <w:right w:val="none" w:sz="4" w:space="0" w:color="000000"/>
        </w:tcBorders>
      </w:tcPr>
    </w:tblStylePr>
    <w:tblStylePr w:type="lastRow">
      <w:rPr>
        <w:b/>
        <w:color w:val="404040"/>
      </w:rPr>
      <w:tblPr/>
      <w:tcPr>
        <w:tcBorders>
          <w:top w:val="single" w:sz="4" w:space="0" w:color="196B24"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2EDB9" w:themeColor="accent3" w:themeTint="40" w:fill="B2EDB9" w:themeFill="accent3" w:themeFillTint="40"/>
      </w:tcPr>
    </w:tblStylePr>
    <w:tblStylePr w:type="band1Horz">
      <w:tblPr/>
      <w:tcPr>
        <w:shd w:val="clear" w:color="B2EDB9" w:themeColor="accent3" w:themeTint="40" w:fill="B2EDB9" w:themeFill="accent3" w:themeFillTint="40"/>
      </w:tcPr>
    </w:tblStylePr>
  </w:style>
  <w:style w:type="table" w:styleId="Listentabelle1hellAkzent4">
    <w:name w:val="List Table 1 Light Accent 4"/>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F9ED5" w:themeColor="accent4"/>
          <w:right w:val="none" w:sz="4" w:space="0" w:color="000000"/>
        </w:tcBorders>
      </w:tcPr>
    </w:tblStylePr>
    <w:tblStylePr w:type="lastRow">
      <w:rPr>
        <w:b/>
        <w:color w:val="404040"/>
      </w:rPr>
      <w:tblPr/>
      <w:tcPr>
        <w:tcBorders>
          <w:top w:val="single" w:sz="4" w:space="0" w:color="0F9ED5"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CE9FA" w:themeColor="accent4" w:themeTint="40" w:fill="BCE9FA" w:themeFill="accent4" w:themeFillTint="40"/>
      </w:tcPr>
    </w:tblStylePr>
    <w:tblStylePr w:type="band1Horz">
      <w:tblPr/>
      <w:tcPr>
        <w:shd w:val="clear" w:color="BCE9FA" w:themeColor="accent4" w:themeTint="40" w:fill="BCE9FA" w:themeFill="accent4" w:themeFillTint="40"/>
      </w:tcPr>
    </w:tblStylePr>
  </w:style>
  <w:style w:type="table" w:styleId="Listentabelle1hellAkzent5">
    <w:name w:val="List Table 1 Light Accent 5"/>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02B93" w:themeColor="accent5"/>
          <w:right w:val="none" w:sz="4" w:space="0" w:color="000000"/>
        </w:tcBorders>
      </w:tcPr>
    </w:tblStylePr>
    <w:tblStylePr w:type="lastRow">
      <w:rPr>
        <w:b/>
        <w:color w:val="404040"/>
      </w:rPr>
      <w:tblPr/>
      <w:tcPr>
        <w:tcBorders>
          <w:top w:val="single" w:sz="4" w:space="0" w:color="A02B93"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EC2E9" w:themeColor="accent5" w:themeTint="40" w:fill="EEC2E9" w:themeFill="accent5" w:themeFillTint="40"/>
      </w:tcPr>
    </w:tblStylePr>
    <w:tblStylePr w:type="band1Horz">
      <w:tblPr/>
      <w:tcPr>
        <w:shd w:val="clear" w:color="EEC2E9" w:themeColor="accent5" w:themeTint="40" w:fill="EEC2E9" w:themeFill="accent5" w:themeFillTint="40"/>
      </w:tcPr>
    </w:tblStylePr>
  </w:style>
  <w:style w:type="table" w:styleId="Listentabelle1hellAkzent6">
    <w:name w:val="List Table 1 Light Accent 6"/>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EA72E" w:themeColor="accent6"/>
          <w:right w:val="none" w:sz="4" w:space="0" w:color="000000"/>
        </w:tcBorders>
      </w:tcPr>
    </w:tblStylePr>
    <w:tblStylePr w:type="lastRow">
      <w:rPr>
        <w:b/>
        <w:color w:val="404040"/>
      </w:rPr>
      <w:tblPr/>
      <w:tcPr>
        <w:tcBorders>
          <w:top w:val="single" w:sz="4" w:space="0" w:color="4EA72E"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EFC4" w:themeColor="accent6" w:themeTint="40" w:fill="CFEFC4" w:themeFill="accent6" w:themeFillTint="40"/>
      </w:tcPr>
    </w:tblStylePr>
    <w:tblStylePr w:type="band1Horz">
      <w:tblPr/>
      <w:tcPr>
        <w:shd w:val="clear" w:color="CFEFC4" w:themeColor="accent6" w:themeTint="40" w:fill="CFEFC4" w:themeFill="accent6" w:themeFillTint="40"/>
      </w:tcPr>
    </w:tblStylePr>
  </w:style>
  <w:style w:type="table" w:styleId="Listentabelle2Akzent1">
    <w:name w:val="List Table 2 Accent 1"/>
    <w:basedOn w:val="NormaleTabelle"/>
    <w:uiPriority w:val="99"/>
    <w:pPr>
      <w:spacing w:after="0" w:line="240" w:lineRule="auto"/>
    </w:pPr>
    <w:tblPr>
      <w:tblStyleRowBandSize w:val="1"/>
      <w:tblStyleColBandSize w:val="1"/>
      <w:tblBorders>
        <w:top w:val="single" w:sz="4" w:space="0" w:color="50B4E2" w:themeColor="accent1" w:themeTint="90"/>
        <w:bottom w:val="single" w:sz="4" w:space="0" w:color="50B4E2" w:themeColor="accent1" w:themeTint="90"/>
        <w:insideH w:val="single" w:sz="4" w:space="0" w:color="50B4E2" w:themeColor="accent1" w:themeTint="90"/>
      </w:tblBorders>
    </w:tblPr>
    <w:tblStylePr w:type="fir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lastRow">
      <w:rPr>
        <w:rFonts w:ascii="Arial" w:hAnsi="Arial"/>
        <w:b/>
        <w:color w:val="404040"/>
        <w:sz w:val="22"/>
      </w:rPr>
      <w:tblPr/>
      <w:tcPr>
        <w:tcBorders>
          <w:top w:val="single" w:sz="4" w:space="0" w:color="50B4E2" w:themeColor="accent1" w:themeTint="90"/>
          <w:left w:val="none" w:sz="4" w:space="0" w:color="000000"/>
          <w:bottom w:val="single" w:sz="4" w:space="0" w:color="50B4E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entabelle2Akzent2">
    <w:name w:val="List Table 2 Accent 2"/>
    <w:basedOn w:val="NormaleTabelle"/>
    <w:uiPriority w:val="99"/>
    <w:pPr>
      <w:spacing w:after="0" w:line="240" w:lineRule="auto"/>
    </w:pPr>
    <w:tblPr>
      <w:tblStyleRowBandSize w:val="1"/>
      <w:tblStyleColBandSize w:val="1"/>
      <w:tblBorders>
        <w:top w:val="single" w:sz="4" w:space="0" w:color="F2AE8B" w:themeColor="accent2" w:themeTint="90"/>
        <w:bottom w:val="single" w:sz="4" w:space="0" w:color="F2AE8B" w:themeColor="accent2" w:themeTint="90"/>
        <w:insideH w:val="single" w:sz="4" w:space="0" w:color="F2AE8B" w:themeColor="accent2" w:themeTint="90"/>
      </w:tblBorders>
    </w:tblPr>
    <w:tblStylePr w:type="fir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lastRow">
      <w:rPr>
        <w:rFonts w:ascii="Arial" w:hAnsi="Arial"/>
        <w:b/>
        <w:color w:val="404040"/>
        <w:sz w:val="22"/>
      </w:rPr>
      <w:tblPr/>
      <w:tcPr>
        <w:tcBorders>
          <w:top w:val="single" w:sz="4" w:space="0" w:color="F2AE8B" w:themeColor="accent2" w:themeTint="90"/>
          <w:left w:val="none" w:sz="4" w:space="0" w:color="000000"/>
          <w:bottom w:val="single" w:sz="4" w:space="0" w:color="F2AE8B"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entabelle2Akzent3">
    <w:name w:val="List Table 2 Accent 3"/>
    <w:basedOn w:val="NormaleTabelle"/>
    <w:uiPriority w:val="99"/>
    <w:pPr>
      <w:spacing w:after="0" w:line="240" w:lineRule="auto"/>
    </w:pPr>
    <w:tblPr>
      <w:tblStyleRowBandSize w:val="1"/>
      <w:tblStyleColBandSize w:val="1"/>
      <w:tblBorders>
        <w:top w:val="single" w:sz="4" w:space="0" w:color="51D663" w:themeColor="accent3" w:themeTint="90"/>
        <w:bottom w:val="single" w:sz="4" w:space="0" w:color="51D663" w:themeColor="accent3" w:themeTint="90"/>
        <w:insideH w:val="single" w:sz="4" w:space="0" w:color="51D663" w:themeColor="accent3" w:themeTint="90"/>
      </w:tblBorders>
    </w:tblPr>
    <w:tblStylePr w:type="fir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lastRow">
      <w:rPr>
        <w:rFonts w:ascii="Arial" w:hAnsi="Arial"/>
        <w:b/>
        <w:color w:val="404040"/>
        <w:sz w:val="22"/>
      </w:rPr>
      <w:tblPr/>
      <w:tcPr>
        <w:tcBorders>
          <w:top w:val="single" w:sz="4" w:space="0" w:color="51D663" w:themeColor="accent3" w:themeTint="90"/>
          <w:left w:val="none" w:sz="4" w:space="0" w:color="000000"/>
          <w:bottom w:val="single" w:sz="4" w:space="0" w:color="51D663"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entabelle2Akzent4">
    <w:name w:val="List Table 2 Accent 4"/>
    <w:basedOn w:val="NormaleTabelle"/>
    <w:uiPriority w:val="99"/>
    <w:pPr>
      <w:spacing w:after="0" w:line="240" w:lineRule="auto"/>
    </w:pPr>
    <w:tblPr>
      <w:tblStyleRowBandSize w:val="1"/>
      <w:tblStyleColBandSize w:val="1"/>
      <w:tblBorders>
        <w:top w:val="single" w:sz="4" w:space="0" w:color="6ACDF4" w:themeColor="accent4" w:themeTint="90"/>
        <w:bottom w:val="single" w:sz="4" w:space="0" w:color="6ACDF4" w:themeColor="accent4" w:themeTint="90"/>
        <w:insideH w:val="single" w:sz="4" w:space="0" w:color="6ACDF4" w:themeColor="accent4" w:themeTint="90"/>
      </w:tblBorders>
    </w:tblPr>
    <w:tblStylePr w:type="fir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lastRow">
      <w:rPr>
        <w:rFonts w:ascii="Arial" w:hAnsi="Arial"/>
        <w:b/>
        <w:color w:val="404040"/>
        <w:sz w:val="22"/>
      </w:rPr>
      <w:tblPr/>
      <w:tcPr>
        <w:tcBorders>
          <w:top w:val="single" w:sz="4" w:space="0" w:color="6ACDF4" w:themeColor="accent4" w:themeTint="90"/>
          <w:left w:val="none" w:sz="4" w:space="0" w:color="000000"/>
          <w:bottom w:val="single" w:sz="4" w:space="0" w:color="6ACDF4"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entabelle2Akzent5">
    <w:name w:val="List Table 2 Accent 5"/>
    <w:basedOn w:val="NormaleTabelle"/>
    <w:uiPriority w:val="99"/>
    <w:pPr>
      <w:spacing w:after="0" w:line="240" w:lineRule="auto"/>
    </w:pPr>
    <w:tblPr>
      <w:tblStyleRowBandSize w:val="1"/>
      <w:tblStyleColBandSize w:val="1"/>
      <w:tblBorders>
        <w:top w:val="single" w:sz="4" w:space="0" w:color="DA76CE" w:themeColor="accent5" w:themeTint="90"/>
        <w:bottom w:val="single" w:sz="4" w:space="0" w:color="DA76CE" w:themeColor="accent5" w:themeTint="90"/>
        <w:insideH w:val="single" w:sz="4" w:space="0" w:color="DA76CE" w:themeColor="accent5" w:themeTint="90"/>
      </w:tblBorders>
    </w:tblPr>
    <w:tblStylePr w:type="fir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lastRow">
      <w:rPr>
        <w:rFonts w:ascii="Arial" w:hAnsi="Arial"/>
        <w:b/>
        <w:color w:val="404040"/>
        <w:sz w:val="22"/>
      </w:rPr>
      <w:tblPr/>
      <w:tcPr>
        <w:tcBorders>
          <w:top w:val="single" w:sz="4" w:space="0" w:color="DA76CE" w:themeColor="accent5" w:themeTint="90"/>
          <w:left w:val="none" w:sz="4" w:space="0" w:color="000000"/>
          <w:bottom w:val="single" w:sz="4" w:space="0" w:color="DA76C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entabelle2Akzent6">
    <w:name w:val="List Table 2 Accent 6"/>
    <w:basedOn w:val="NormaleTabelle"/>
    <w:uiPriority w:val="99"/>
    <w:pPr>
      <w:spacing w:after="0" w:line="240" w:lineRule="auto"/>
    </w:pPr>
    <w:tblPr>
      <w:tblStyleRowBandSize w:val="1"/>
      <w:tblStyleColBandSize w:val="1"/>
      <w:tblBorders>
        <w:top w:val="single" w:sz="4" w:space="0" w:color="94DA7B" w:themeColor="accent6" w:themeTint="90"/>
        <w:bottom w:val="single" w:sz="4" w:space="0" w:color="94DA7B" w:themeColor="accent6" w:themeTint="90"/>
        <w:insideH w:val="single" w:sz="4" w:space="0" w:color="94DA7B" w:themeColor="accent6" w:themeTint="90"/>
      </w:tblBorders>
    </w:tblPr>
    <w:tblStylePr w:type="fir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lastRow">
      <w:rPr>
        <w:rFonts w:ascii="Arial" w:hAnsi="Arial"/>
        <w:b/>
        <w:color w:val="404040"/>
        <w:sz w:val="22"/>
      </w:rPr>
      <w:tblPr/>
      <w:tcPr>
        <w:tcBorders>
          <w:top w:val="single" w:sz="4" w:space="0" w:color="94DA7B" w:themeColor="accent6" w:themeTint="90"/>
          <w:left w:val="none" w:sz="4" w:space="0" w:color="000000"/>
          <w:bottom w:val="single" w:sz="4" w:space="0" w:color="94DA7B"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3Akzent1">
    <w:name w:val="List Table 3 Accent 1"/>
    <w:basedOn w:val="NormaleTabelle"/>
    <w:uiPriority w:val="99"/>
    <w:pPr>
      <w:spacing w:after="0" w:line="240" w:lineRule="auto"/>
    </w:p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156082" w:themeColor="accent1"/>
          <w:right w:val="single" w:sz="4" w:space="0" w:color="156082" w:themeColor="accent1"/>
        </w:tcBorders>
      </w:tcPr>
    </w:tblStylePr>
    <w:tblStylePr w:type="band1Horz">
      <w:rPr>
        <w:rFonts w:ascii="Arial" w:hAnsi="Arial"/>
        <w:color w:val="404040"/>
        <w:sz w:val="22"/>
      </w:rPr>
      <w:tblPr/>
      <w:tcPr>
        <w:tcBorders>
          <w:top w:val="single" w:sz="4" w:space="0" w:color="156082" w:themeColor="accent1"/>
          <w:bottom w:val="single" w:sz="4" w:space="0" w:color="156082" w:themeColor="accent1"/>
        </w:tcBorders>
      </w:tcPr>
    </w:tblStylePr>
  </w:style>
  <w:style w:type="table" w:styleId="Listentabelle3Akzent2">
    <w:name w:val="List Table 3 Accent 2"/>
    <w:basedOn w:val="NormaleTabelle"/>
    <w:uiPriority w:val="99"/>
    <w:pPr>
      <w:spacing w:after="0" w:line="240" w:lineRule="auto"/>
    </w:pPr>
    <w:tblPr>
      <w:tblStyleRowBandSize w:val="1"/>
      <w:tblStyleColBandSize w:val="1"/>
      <w:tblBorders>
        <w:top w:val="single" w:sz="4" w:space="0" w:color="F2AA85" w:themeColor="accent2" w:themeTint="97"/>
        <w:left w:val="single" w:sz="4" w:space="0" w:color="F2AA85" w:themeColor="accent2" w:themeTint="97"/>
        <w:bottom w:val="single" w:sz="4" w:space="0" w:color="F2AA85" w:themeColor="accent2" w:themeTint="97"/>
        <w:right w:val="single" w:sz="4" w:space="0" w:color="F2AA85" w:themeColor="accent2" w:themeTint="97"/>
      </w:tblBorders>
    </w:tblPr>
    <w:tblStylePr w:type="firstRow">
      <w:rPr>
        <w:rFonts w:ascii="Arial" w:hAnsi="Arial"/>
        <w:b/>
        <w:color w:val="FFFFFF"/>
        <w:sz w:val="22"/>
      </w:rPr>
      <w:tblPr/>
      <w:tcPr>
        <w:shd w:val="clear" w:color="F2AA85" w:themeColor="accent2" w:themeTint="97" w:fill="F2AA8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2AA85" w:themeColor="accent2" w:themeTint="97"/>
          <w:right w:val="single" w:sz="4" w:space="0" w:color="F2AA85" w:themeColor="accent2" w:themeTint="97"/>
        </w:tcBorders>
      </w:tcPr>
    </w:tblStylePr>
    <w:tblStylePr w:type="band1Horz">
      <w:rPr>
        <w:rFonts w:ascii="Arial" w:hAnsi="Arial"/>
        <w:color w:val="404040"/>
        <w:sz w:val="22"/>
      </w:rPr>
      <w:tblPr/>
      <w:tcPr>
        <w:tcBorders>
          <w:top w:val="single" w:sz="4" w:space="0" w:color="F2AA85" w:themeColor="accent2" w:themeTint="97"/>
          <w:bottom w:val="single" w:sz="4" w:space="0" w:color="F2AA85" w:themeColor="accent2" w:themeTint="97"/>
        </w:tcBorders>
      </w:tcPr>
    </w:tblStylePr>
  </w:style>
  <w:style w:type="table" w:styleId="Listentabelle3Akzent3">
    <w:name w:val="List Table 3 Accent 3"/>
    <w:basedOn w:val="NormaleTabelle"/>
    <w:uiPriority w:val="99"/>
    <w:pPr>
      <w:spacing w:after="0" w:line="240" w:lineRule="auto"/>
    </w:pPr>
    <w:tblPr>
      <w:tblStyleRowBandSize w:val="1"/>
      <w:tblStyleColBandSize w:val="1"/>
      <w:tblBorders>
        <w:top w:val="single" w:sz="4" w:space="0" w:color="48D45B" w:themeColor="accent3" w:themeTint="98"/>
        <w:left w:val="single" w:sz="4" w:space="0" w:color="48D45B" w:themeColor="accent3" w:themeTint="98"/>
        <w:bottom w:val="single" w:sz="4" w:space="0" w:color="48D45B" w:themeColor="accent3" w:themeTint="98"/>
        <w:right w:val="single" w:sz="4" w:space="0" w:color="48D45B" w:themeColor="accent3" w:themeTint="98"/>
      </w:tblBorders>
    </w:tblPr>
    <w:tblStylePr w:type="firstRow">
      <w:rPr>
        <w:rFonts w:ascii="Arial" w:hAnsi="Arial"/>
        <w:b/>
        <w:color w:val="FFFFFF"/>
        <w:sz w:val="22"/>
      </w:rPr>
      <w:tblPr/>
      <w:tcPr>
        <w:shd w:val="clear" w:color="48D45B" w:themeColor="accent3" w:themeTint="98" w:fill="48D45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8D45B" w:themeColor="accent3" w:themeTint="98"/>
          <w:right w:val="single" w:sz="4" w:space="0" w:color="48D45B" w:themeColor="accent3" w:themeTint="98"/>
        </w:tcBorders>
      </w:tcPr>
    </w:tblStylePr>
    <w:tblStylePr w:type="band1Horz">
      <w:rPr>
        <w:rFonts w:ascii="Arial" w:hAnsi="Arial"/>
        <w:color w:val="404040"/>
        <w:sz w:val="22"/>
      </w:rPr>
      <w:tblPr/>
      <w:tcPr>
        <w:tcBorders>
          <w:top w:val="single" w:sz="4" w:space="0" w:color="48D45B" w:themeColor="accent3" w:themeTint="98"/>
          <w:bottom w:val="single" w:sz="4" w:space="0" w:color="48D45B" w:themeColor="accent3" w:themeTint="98"/>
        </w:tcBorders>
      </w:tcPr>
    </w:tblStylePr>
  </w:style>
  <w:style w:type="table" w:styleId="Listentabelle3Akzent4">
    <w:name w:val="List Table 3 Accent 4"/>
    <w:basedOn w:val="NormaleTabelle"/>
    <w:uiPriority w:val="99"/>
    <w:pPr>
      <w:spacing w:after="0" w:line="240" w:lineRule="auto"/>
    </w:pPr>
    <w:tblPr>
      <w:tblStyleRowBandSize w:val="1"/>
      <w:tblStyleColBandSize w:val="1"/>
      <w:tblBorders>
        <w:top w:val="single" w:sz="4" w:space="0" w:color="5FCAF3" w:themeColor="accent4" w:themeTint="9A"/>
        <w:left w:val="single" w:sz="4" w:space="0" w:color="5FCAF3" w:themeColor="accent4" w:themeTint="9A"/>
        <w:bottom w:val="single" w:sz="4" w:space="0" w:color="5FCAF3" w:themeColor="accent4" w:themeTint="9A"/>
        <w:right w:val="single" w:sz="4" w:space="0" w:color="5FCAF3" w:themeColor="accent4" w:themeTint="9A"/>
      </w:tblBorders>
    </w:tblPr>
    <w:tblStylePr w:type="firstRow">
      <w:rPr>
        <w:rFonts w:ascii="Arial" w:hAnsi="Arial"/>
        <w:b/>
        <w:color w:val="FFFFFF"/>
        <w:sz w:val="22"/>
      </w:rPr>
      <w:tblPr/>
      <w:tcPr>
        <w:shd w:val="clear" w:color="5FCAF3" w:themeColor="accent4" w:themeTint="9A" w:fill="5FCAF3"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FCAF3" w:themeColor="accent4" w:themeTint="9A"/>
          <w:right w:val="single" w:sz="4" w:space="0" w:color="5FCAF3" w:themeColor="accent4" w:themeTint="9A"/>
        </w:tcBorders>
      </w:tcPr>
    </w:tblStylePr>
    <w:tblStylePr w:type="band1Horz">
      <w:rPr>
        <w:rFonts w:ascii="Arial" w:hAnsi="Arial"/>
        <w:color w:val="404040"/>
        <w:sz w:val="22"/>
      </w:rPr>
      <w:tblPr/>
      <w:tcPr>
        <w:tcBorders>
          <w:top w:val="single" w:sz="4" w:space="0" w:color="5FCAF3" w:themeColor="accent4" w:themeTint="9A"/>
          <w:bottom w:val="single" w:sz="4" w:space="0" w:color="5FCAF3" w:themeColor="accent4" w:themeTint="9A"/>
        </w:tcBorders>
      </w:tcPr>
    </w:tblStylePr>
  </w:style>
  <w:style w:type="table" w:styleId="Listentabelle3Akzent5">
    <w:name w:val="List Table 3 Accent 5"/>
    <w:basedOn w:val="NormaleTabelle"/>
    <w:uiPriority w:val="99"/>
    <w:pPr>
      <w:spacing w:after="0" w:line="240" w:lineRule="auto"/>
    </w:pPr>
    <w:tblPr>
      <w:tblStyleRowBandSize w:val="1"/>
      <w:tblStyleColBandSize w:val="1"/>
      <w:tblBorders>
        <w:top w:val="single" w:sz="4" w:space="0" w:color="D76CCB" w:themeColor="accent5" w:themeTint="9A"/>
        <w:left w:val="single" w:sz="4" w:space="0" w:color="D76CCB" w:themeColor="accent5" w:themeTint="9A"/>
        <w:bottom w:val="single" w:sz="4" w:space="0" w:color="D76CCB" w:themeColor="accent5" w:themeTint="9A"/>
        <w:right w:val="single" w:sz="4" w:space="0" w:color="D76CCB" w:themeColor="accent5" w:themeTint="9A"/>
      </w:tblBorders>
    </w:tblPr>
    <w:tblStylePr w:type="firstRow">
      <w:rPr>
        <w:rFonts w:ascii="Arial" w:hAnsi="Arial"/>
        <w:b/>
        <w:color w:val="FFFFFF"/>
        <w:sz w:val="22"/>
      </w:rPr>
      <w:tblPr/>
      <w:tcPr>
        <w:shd w:val="clear" w:color="D76CCB" w:themeColor="accent5" w:themeTint="9A" w:fill="D76CC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76CCB" w:themeColor="accent5" w:themeTint="9A"/>
          <w:right w:val="single" w:sz="4" w:space="0" w:color="D76CCB" w:themeColor="accent5" w:themeTint="9A"/>
        </w:tcBorders>
      </w:tcPr>
    </w:tblStylePr>
    <w:tblStylePr w:type="band1Horz">
      <w:rPr>
        <w:rFonts w:ascii="Arial" w:hAnsi="Arial"/>
        <w:color w:val="404040"/>
        <w:sz w:val="22"/>
      </w:rPr>
      <w:tblPr/>
      <w:tcPr>
        <w:tcBorders>
          <w:top w:val="single" w:sz="4" w:space="0" w:color="D76CCB" w:themeColor="accent5" w:themeTint="9A"/>
          <w:bottom w:val="single" w:sz="4" w:space="0" w:color="D76CCB" w:themeColor="accent5" w:themeTint="9A"/>
        </w:tcBorders>
      </w:tcPr>
    </w:tblStylePr>
  </w:style>
  <w:style w:type="table" w:styleId="Listentabelle3Akzent6">
    <w:name w:val="List Table 3 Accent 6"/>
    <w:basedOn w:val="NormaleTabelle"/>
    <w:uiPriority w:val="99"/>
    <w:pPr>
      <w:spacing w:after="0" w:line="240" w:lineRule="auto"/>
    </w:pPr>
    <w:tblPr>
      <w:tblStyleRowBandSize w:val="1"/>
      <w:tblStyleColBandSize w:val="1"/>
      <w:tblBorders>
        <w:top w:val="single" w:sz="4" w:space="0" w:color="8ED873" w:themeColor="accent6" w:themeTint="98"/>
        <w:left w:val="single" w:sz="4" w:space="0" w:color="8ED873" w:themeColor="accent6" w:themeTint="98"/>
        <w:bottom w:val="single" w:sz="4" w:space="0" w:color="8ED873" w:themeColor="accent6" w:themeTint="98"/>
        <w:right w:val="single" w:sz="4" w:space="0" w:color="8ED873" w:themeColor="accent6" w:themeTint="98"/>
      </w:tblBorders>
    </w:tblPr>
    <w:tblStylePr w:type="firstRow">
      <w:rPr>
        <w:rFonts w:ascii="Arial" w:hAnsi="Arial"/>
        <w:b/>
        <w:color w:val="FFFFFF"/>
        <w:sz w:val="22"/>
      </w:rPr>
      <w:tblPr/>
      <w:tcPr>
        <w:shd w:val="clear" w:color="8ED873" w:themeColor="accent6" w:themeTint="98" w:fill="8ED873"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ED873" w:themeColor="accent6" w:themeTint="98"/>
          <w:right w:val="single" w:sz="4" w:space="0" w:color="8ED873" w:themeColor="accent6" w:themeTint="98"/>
        </w:tcBorders>
      </w:tcPr>
    </w:tblStylePr>
    <w:tblStylePr w:type="band1Horz">
      <w:rPr>
        <w:rFonts w:ascii="Arial" w:hAnsi="Arial"/>
        <w:color w:val="404040"/>
        <w:sz w:val="22"/>
      </w:rPr>
      <w:tblPr/>
      <w:tcPr>
        <w:tcBorders>
          <w:top w:val="single" w:sz="4" w:space="0" w:color="8ED873" w:themeColor="accent6" w:themeTint="98"/>
          <w:bottom w:val="single" w:sz="4" w:space="0" w:color="8ED873" w:themeColor="accent6" w:themeTint="98"/>
        </w:tcBorders>
      </w:tcPr>
    </w:tblStylePr>
  </w:style>
  <w:style w:type="table" w:styleId="Listentabelle4Akzent1">
    <w:name w:val="List Table 4 Accent 1"/>
    <w:basedOn w:val="NormaleTabelle"/>
    <w:uiPriority w:val="99"/>
    <w:pPr>
      <w:spacing w:after="0" w:line="240" w:lineRule="auto"/>
    </w:pPr>
    <w:tblPr>
      <w:tblStyleRowBandSize w:val="1"/>
      <w:tblStyleColBandSize w:val="1"/>
      <w:tblBorders>
        <w:top w:val="single" w:sz="4" w:space="0" w:color="50B4E2" w:themeColor="accent1" w:themeTint="90"/>
        <w:left w:val="single" w:sz="4" w:space="0" w:color="50B4E2" w:themeColor="accent1" w:themeTint="90"/>
        <w:bottom w:val="single" w:sz="4" w:space="0" w:color="50B4E2" w:themeColor="accent1" w:themeTint="90"/>
        <w:right w:val="single" w:sz="4" w:space="0" w:color="50B4E2" w:themeColor="accent1" w:themeTint="90"/>
        <w:insideH w:val="single" w:sz="4" w:space="0" w:color="50B4E2" w:themeColor="accent1" w:themeTint="90"/>
      </w:tblBorders>
    </w:tblPr>
    <w:tblStylePr w:type="firstRow">
      <w:rPr>
        <w:rFonts w:ascii="Arial" w:hAnsi="Arial"/>
        <w:b/>
        <w:color w:val="FFFFFF"/>
        <w:sz w:val="22"/>
      </w:rPr>
      <w:tblPr/>
      <w:tcPr>
        <w:shd w:val="clear" w:color="156082" w:themeColor="accent1" w:fill="156082"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1DEF2" w:themeColor="accent1" w:themeTint="40" w:fill="B1DEF2" w:themeFill="accent1" w:themeFillTint="40"/>
      </w:tcPr>
    </w:tblStylePr>
    <w:tblStylePr w:type="band1Horz">
      <w:rPr>
        <w:rFonts w:ascii="Arial" w:hAnsi="Arial"/>
        <w:color w:val="404040"/>
        <w:sz w:val="22"/>
      </w:rPr>
      <w:tblPr/>
      <w:tcPr>
        <w:shd w:val="clear" w:color="B1DEF2" w:themeColor="accent1" w:themeTint="40" w:fill="B1DEF2" w:themeFill="accent1" w:themeFillTint="40"/>
      </w:tcPr>
    </w:tblStylePr>
  </w:style>
  <w:style w:type="table" w:styleId="Listentabelle4Akzent2">
    <w:name w:val="List Table 4 Accent 2"/>
    <w:basedOn w:val="NormaleTabelle"/>
    <w:uiPriority w:val="99"/>
    <w:pPr>
      <w:spacing w:after="0" w:line="240" w:lineRule="auto"/>
    </w:pPr>
    <w:tblPr>
      <w:tblStyleRowBandSize w:val="1"/>
      <w:tblStyleColBandSize w:val="1"/>
      <w:tblBorders>
        <w:top w:val="single" w:sz="4" w:space="0" w:color="F2AE8B" w:themeColor="accent2" w:themeTint="90"/>
        <w:left w:val="single" w:sz="4" w:space="0" w:color="F2AE8B" w:themeColor="accent2" w:themeTint="90"/>
        <w:bottom w:val="single" w:sz="4" w:space="0" w:color="F2AE8B" w:themeColor="accent2" w:themeTint="90"/>
        <w:right w:val="single" w:sz="4" w:space="0" w:color="F2AE8B" w:themeColor="accent2" w:themeTint="90"/>
        <w:insideH w:val="single" w:sz="4" w:space="0" w:color="F2AE8B" w:themeColor="accent2" w:themeTint="90"/>
      </w:tblBorders>
    </w:tblPr>
    <w:tblStylePr w:type="firstRow">
      <w:rPr>
        <w:rFonts w:ascii="Arial" w:hAnsi="Arial"/>
        <w:b/>
        <w:color w:val="FFFFFF"/>
        <w:sz w:val="22"/>
      </w:rPr>
      <w:tblPr/>
      <w:tcPr>
        <w:shd w:val="clear" w:color="E97132" w:themeColor="accent2" w:fill="E97132"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DBCB" w:themeColor="accent2" w:themeTint="40" w:fill="F9DBCB" w:themeFill="accent2" w:themeFillTint="40"/>
      </w:tcPr>
    </w:tblStylePr>
    <w:tblStylePr w:type="band1Horz">
      <w:rPr>
        <w:rFonts w:ascii="Arial" w:hAnsi="Arial"/>
        <w:color w:val="404040"/>
        <w:sz w:val="22"/>
      </w:rPr>
      <w:tblPr/>
      <w:tcPr>
        <w:shd w:val="clear" w:color="F9DBCB" w:themeColor="accent2" w:themeTint="40" w:fill="F9DBCB" w:themeFill="accent2" w:themeFillTint="40"/>
      </w:tcPr>
    </w:tblStylePr>
  </w:style>
  <w:style w:type="table" w:styleId="Listentabelle4Akzent3">
    <w:name w:val="List Table 4 Accent 3"/>
    <w:basedOn w:val="NormaleTabelle"/>
    <w:uiPriority w:val="99"/>
    <w:pPr>
      <w:spacing w:after="0" w:line="240" w:lineRule="auto"/>
    </w:pPr>
    <w:tblPr>
      <w:tblStyleRowBandSize w:val="1"/>
      <w:tblStyleColBandSize w:val="1"/>
      <w:tblBorders>
        <w:top w:val="single" w:sz="4" w:space="0" w:color="51D663" w:themeColor="accent3" w:themeTint="90"/>
        <w:left w:val="single" w:sz="4" w:space="0" w:color="51D663" w:themeColor="accent3" w:themeTint="90"/>
        <w:bottom w:val="single" w:sz="4" w:space="0" w:color="51D663" w:themeColor="accent3" w:themeTint="90"/>
        <w:right w:val="single" w:sz="4" w:space="0" w:color="51D663" w:themeColor="accent3" w:themeTint="90"/>
        <w:insideH w:val="single" w:sz="4" w:space="0" w:color="51D663" w:themeColor="accent3" w:themeTint="90"/>
      </w:tblBorders>
    </w:tblPr>
    <w:tblStylePr w:type="firstRow">
      <w:rPr>
        <w:rFonts w:ascii="Arial" w:hAnsi="Arial"/>
        <w:b/>
        <w:color w:val="FFFFFF"/>
        <w:sz w:val="22"/>
      </w:rPr>
      <w:tblPr/>
      <w:tcPr>
        <w:shd w:val="clear" w:color="196B24" w:themeColor="accent3" w:fill="196B24"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2EDB9" w:themeColor="accent3" w:themeTint="40" w:fill="B2EDB9" w:themeFill="accent3" w:themeFillTint="40"/>
      </w:tcPr>
    </w:tblStylePr>
    <w:tblStylePr w:type="band1Horz">
      <w:rPr>
        <w:rFonts w:ascii="Arial" w:hAnsi="Arial"/>
        <w:color w:val="404040"/>
        <w:sz w:val="22"/>
      </w:rPr>
      <w:tblPr/>
      <w:tcPr>
        <w:shd w:val="clear" w:color="B2EDB9" w:themeColor="accent3" w:themeTint="40" w:fill="B2EDB9" w:themeFill="accent3" w:themeFillTint="40"/>
      </w:tcPr>
    </w:tblStylePr>
  </w:style>
  <w:style w:type="table" w:styleId="Listentabelle4Akzent4">
    <w:name w:val="List Table 4 Accent 4"/>
    <w:basedOn w:val="NormaleTabelle"/>
    <w:uiPriority w:val="99"/>
    <w:pPr>
      <w:spacing w:after="0" w:line="240" w:lineRule="auto"/>
    </w:pPr>
    <w:tblPr>
      <w:tblStyleRowBandSize w:val="1"/>
      <w:tblStyleColBandSize w:val="1"/>
      <w:tblBorders>
        <w:top w:val="single" w:sz="4" w:space="0" w:color="6ACDF4" w:themeColor="accent4" w:themeTint="90"/>
        <w:left w:val="single" w:sz="4" w:space="0" w:color="6ACDF4" w:themeColor="accent4" w:themeTint="90"/>
        <w:bottom w:val="single" w:sz="4" w:space="0" w:color="6ACDF4" w:themeColor="accent4" w:themeTint="90"/>
        <w:right w:val="single" w:sz="4" w:space="0" w:color="6ACDF4" w:themeColor="accent4" w:themeTint="90"/>
        <w:insideH w:val="single" w:sz="4" w:space="0" w:color="6ACDF4" w:themeColor="accent4" w:themeTint="90"/>
      </w:tblBorders>
    </w:tblPr>
    <w:tblStylePr w:type="firstRow">
      <w:rPr>
        <w:rFonts w:ascii="Arial" w:hAnsi="Arial"/>
        <w:b/>
        <w:color w:val="FFFFFF"/>
        <w:sz w:val="22"/>
      </w:rPr>
      <w:tblPr/>
      <w:tcPr>
        <w:shd w:val="clear" w:color="0F9ED5" w:themeColor="accent4" w:fill="0F9ED5"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CE9FA" w:themeColor="accent4" w:themeTint="40" w:fill="BCE9FA" w:themeFill="accent4" w:themeFillTint="40"/>
      </w:tcPr>
    </w:tblStylePr>
    <w:tblStylePr w:type="band1Horz">
      <w:rPr>
        <w:rFonts w:ascii="Arial" w:hAnsi="Arial"/>
        <w:color w:val="404040"/>
        <w:sz w:val="22"/>
      </w:rPr>
      <w:tblPr/>
      <w:tcPr>
        <w:shd w:val="clear" w:color="BCE9FA" w:themeColor="accent4" w:themeTint="40" w:fill="BCE9FA" w:themeFill="accent4" w:themeFillTint="40"/>
      </w:tcPr>
    </w:tblStylePr>
  </w:style>
  <w:style w:type="table" w:styleId="Listentabelle4Akzent5">
    <w:name w:val="List Table 4 Accent 5"/>
    <w:basedOn w:val="NormaleTabelle"/>
    <w:uiPriority w:val="99"/>
    <w:pPr>
      <w:spacing w:after="0" w:line="240" w:lineRule="auto"/>
    </w:pPr>
    <w:tblPr>
      <w:tblStyleRowBandSize w:val="1"/>
      <w:tblStyleColBandSize w:val="1"/>
      <w:tblBorders>
        <w:top w:val="single" w:sz="4" w:space="0" w:color="DA76CE" w:themeColor="accent5" w:themeTint="90"/>
        <w:left w:val="single" w:sz="4" w:space="0" w:color="DA76CE" w:themeColor="accent5" w:themeTint="90"/>
        <w:bottom w:val="single" w:sz="4" w:space="0" w:color="DA76CE" w:themeColor="accent5" w:themeTint="90"/>
        <w:right w:val="single" w:sz="4" w:space="0" w:color="DA76CE" w:themeColor="accent5" w:themeTint="90"/>
        <w:insideH w:val="single" w:sz="4" w:space="0" w:color="DA76CE" w:themeColor="accent5" w:themeTint="90"/>
      </w:tblBorders>
    </w:tblPr>
    <w:tblStylePr w:type="firstRow">
      <w:rPr>
        <w:rFonts w:ascii="Arial" w:hAnsi="Arial"/>
        <w:b/>
        <w:color w:val="FFFFFF"/>
        <w:sz w:val="22"/>
      </w:rPr>
      <w:tblPr/>
      <w:tcPr>
        <w:shd w:val="clear" w:color="A02B93" w:themeColor="accent5" w:fill="A02B93"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EC2E9" w:themeColor="accent5" w:themeTint="40" w:fill="EEC2E9" w:themeFill="accent5" w:themeFillTint="40"/>
      </w:tcPr>
    </w:tblStylePr>
    <w:tblStylePr w:type="band1Horz">
      <w:rPr>
        <w:rFonts w:ascii="Arial" w:hAnsi="Arial"/>
        <w:color w:val="404040"/>
        <w:sz w:val="22"/>
      </w:rPr>
      <w:tblPr/>
      <w:tcPr>
        <w:shd w:val="clear" w:color="EEC2E9" w:themeColor="accent5" w:themeTint="40" w:fill="EEC2E9" w:themeFill="accent5" w:themeFillTint="40"/>
      </w:tcPr>
    </w:tblStylePr>
  </w:style>
  <w:style w:type="table" w:styleId="Listentabelle4Akzent6">
    <w:name w:val="List Table 4 Accent 6"/>
    <w:basedOn w:val="NormaleTabelle"/>
    <w:uiPriority w:val="99"/>
    <w:pPr>
      <w:spacing w:after="0" w:line="240" w:lineRule="auto"/>
    </w:pPr>
    <w:tblPr>
      <w:tblStyleRowBandSize w:val="1"/>
      <w:tblStyleColBandSize w:val="1"/>
      <w:tblBorders>
        <w:top w:val="single" w:sz="4" w:space="0" w:color="94DA7B" w:themeColor="accent6" w:themeTint="90"/>
        <w:left w:val="single" w:sz="4" w:space="0" w:color="94DA7B" w:themeColor="accent6" w:themeTint="90"/>
        <w:bottom w:val="single" w:sz="4" w:space="0" w:color="94DA7B" w:themeColor="accent6" w:themeTint="90"/>
        <w:right w:val="single" w:sz="4" w:space="0" w:color="94DA7B" w:themeColor="accent6" w:themeTint="90"/>
        <w:insideH w:val="single" w:sz="4" w:space="0" w:color="94DA7B" w:themeColor="accent6" w:themeTint="90"/>
      </w:tblBorders>
    </w:tblPr>
    <w:tblStylePr w:type="firstRow">
      <w:rPr>
        <w:rFonts w:ascii="Arial" w:hAnsi="Arial"/>
        <w:b/>
        <w:color w:val="FFFFFF"/>
        <w:sz w:val="22"/>
      </w:rPr>
      <w:tblPr/>
      <w:tcPr>
        <w:shd w:val="clear" w:color="4EA72E" w:themeColor="accent6" w:fill="4EA72E"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EFC4" w:themeColor="accent6" w:themeTint="40" w:fill="CFEFC4" w:themeFill="accent6" w:themeFillTint="40"/>
      </w:tcPr>
    </w:tblStylePr>
    <w:tblStylePr w:type="band1Horz">
      <w:rPr>
        <w:rFonts w:ascii="Arial" w:hAnsi="Arial"/>
        <w:color w:val="404040"/>
        <w:sz w:val="22"/>
      </w:rPr>
      <w:tblPr/>
      <w:tcPr>
        <w:shd w:val="clear" w:color="CFEFC4" w:themeColor="accent6" w:themeTint="40" w:fill="CFEFC4" w:themeFill="accent6" w:themeFillTint="40"/>
      </w:tcPr>
    </w:tblStylePr>
  </w:style>
  <w:style w:type="table" w:styleId="Listentabelle5dunkelAkzent1">
    <w:name w:val="List Table 5 Dark Accent 1"/>
    <w:basedOn w:val="NormaleTabelle"/>
    <w:uiPriority w:val="99"/>
    <w:pPr>
      <w:spacing w:after="0" w:line="240" w:lineRule="auto"/>
    </w:pPr>
    <w:tblPr>
      <w:tblStyleRowBandSize w:val="1"/>
      <w:tblStyleColBandSize w:val="1"/>
      <w:tblBorders>
        <w:top w:val="single" w:sz="32" w:space="0" w:color="156082" w:themeColor="accent1"/>
        <w:left w:val="single" w:sz="32" w:space="0" w:color="156082" w:themeColor="accent1"/>
        <w:bottom w:val="single" w:sz="32" w:space="0" w:color="156082" w:themeColor="accent1"/>
        <w:right w:val="single" w:sz="32" w:space="0" w:color="156082" w:themeColor="accent1"/>
      </w:tblBorders>
      <w:shd w:val="clear" w:color="156082" w:themeColor="accent1" w:fill="156082" w:themeFill="accent1"/>
    </w:tblPr>
    <w:tblStylePr w:type="firstRow">
      <w:rPr>
        <w:rFonts w:ascii="Arial" w:hAnsi="Arial"/>
        <w:b/>
        <w:color w:val="FFFFFF" w:themeColor="light1"/>
        <w:sz w:val="22"/>
      </w:rPr>
      <w:tblPr/>
      <w:tcPr>
        <w:tcBorders>
          <w:top w:val="single" w:sz="32" w:space="0" w:color="156082" w:themeColor="accent1"/>
          <w:bottom w:val="single" w:sz="12" w:space="0" w:color="FFFFFF" w:themeColor="light1"/>
        </w:tcBorders>
        <w:shd w:val="clear" w:color="156082" w:themeColor="accent1" w:fill="156082"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156082" w:themeColor="accent1"/>
          <w:right w:val="single" w:sz="4" w:space="0" w:color="FFFFFF" w:themeColor="light1"/>
        </w:tcBorders>
      </w:tcPr>
    </w:tblStylePr>
    <w:tblStylePr w:type="lastCol">
      <w:tblPr/>
      <w:tcPr>
        <w:tcBorders>
          <w:left w:val="single" w:sz="4" w:space="0" w:color="FFFFFF" w:themeColor="light1"/>
          <w:right w:val="single" w:sz="32" w:space="0" w:color="156082" w:themeColor="accent1"/>
        </w:tcBorders>
      </w:tcPr>
    </w:tblStylePr>
    <w:tblStylePr w:type="band1Vert">
      <w:tblPr/>
      <w:tcPr>
        <w:tcBorders>
          <w:left w:val="single" w:sz="4" w:space="0" w:color="FFFFFF" w:themeColor="light1"/>
          <w:right w:val="single" w:sz="4" w:space="0" w:color="FFFFFF" w:themeColor="light1"/>
        </w:tcBorders>
        <w:shd w:val="clear" w:color="156082" w:themeColor="accent1" w:fill="156082"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156082" w:themeColor="accent1" w:fill="156082" w:themeFill="accent1"/>
      </w:tcPr>
    </w:tblStylePr>
    <w:tblStylePr w:type="band2Horz">
      <w:tblPr/>
      <w:tcPr>
        <w:tcBorders>
          <w:top w:val="single" w:sz="4" w:space="0" w:color="FFFFFF" w:themeColor="light1"/>
          <w:bottom w:val="single" w:sz="4" w:space="0" w:color="FFFFFF" w:themeColor="light1"/>
        </w:tcBorders>
        <w:shd w:val="clear" w:color="156082" w:themeColor="accent1" w:fill="156082" w:themeFill="accent1"/>
      </w:tcPr>
    </w:tblStylePr>
  </w:style>
  <w:style w:type="table" w:styleId="Listentabelle5dunkelAkzent2">
    <w:name w:val="List Table 5 Dark Accent 2"/>
    <w:basedOn w:val="NormaleTabelle"/>
    <w:uiPriority w:val="99"/>
    <w:pPr>
      <w:spacing w:after="0" w:line="240" w:lineRule="auto"/>
    </w:pPr>
    <w:tblPr>
      <w:tblStyleRowBandSize w:val="1"/>
      <w:tblStyleColBandSize w:val="1"/>
      <w:tblBorders>
        <w:top w:val="single" w:sz="32" w:space="0" w:color="F2AA85" w:themeColor="accent2" w:themeTint="97"/>
        <w:left w:val="single" w:sz="32" w:space="0" w:color="F2AA85" w:themeColor="accent2" w:themeTint="97"/>
        <w:bottom w:val="single" w:sz="32" w:space="0" w:color="F2AA85" w:themeColor="accent2" w:themeTint="97"/>
        <w:right w:val="single" w:sz="32" w:space="0" w:color="F2AA85" w:themeColor="accent2" w:themeTint="97"/>
      </w:tblBorders>
      <w:shd w:val="clear" w:color="F2AA85" w:themeColor="accent2" w:themeTint="97" w:fill="F2AA85" w:themeFill="accent2" w:themeFillTint="97"/>
    </w:tblPr>
    <w:tblStylePr w:type="firstRow">
      <w:rPr>
        <w:rFonts w:ascii="Arial" w:hAnsi="Arial"/>
        <w:b/>
        <w:color w:val="FFFFFF" w:themeColor="light1"/>
        <w:sz w:val="22"/>
      </w:rPr>
      <w:tblPr/>
      <w:tcPr>
        <w:tcBorders>
          <w:top w:val="single" w:sz="32" w:space="0" w:color="F2AA85" w:themeColor="accent2" w:themeTint="97"/>
          <w:bottom w:val="single" w:sz="12" w:space="0" w:color="FFFFFF" w:themeColor="light1"/>
        </w:tcBorders>
        <w:shd w:val="clear" w:color="F2AA85" w:themeColor="accent2" w:themeTint="97" w:fill="F2AA8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2AA85" w:themeColor="accent2" w:themeTint="97"/>
          <w:right w:val="single" w:sz="4" w:space="0" w:color="FFFFFF" w:themeColor="light1"/>
        </w:tcBorders>
      </w:tcPr>
    </w:tblStylePr>
    <w:tblStylePr w:type="lastCol">
      <w:tblPr/>
      <w:tcPr>
        <w:tcBorders>
          <w:left w:val="single" w:sz="4" w:space="0" w:color="FFFFFF" w:themeColor="light1"/>
          <w:right w:val="single" w:sz="32" w:space="0" w:color="F2AA85" w:themeColor="accent2" w:themeTint="97"/>
        </w:tcBorders>
      </w:tcPr>
    </w:tblStylePr>
    <w:tblStylePr w:type="band1Vert">
      <w:tblPr/>
      <w:tcPr>
        <w:tcBorders>
          <w:left w:val="single" w:sz="4" w:space="0" w:color="FFFFFF" w:themeColor="light1"/>
          <w:right w:val="single" w:sz="4" w:space="0" w:color="FFFFFF" w:themeColor="light1"/>
        </w:tcBorders>
        <w:shd w:val="clear" w:color="F2AA85" w:themeColor="accent2" w:themeTint="97" w:fill="F2AA8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tblStylePr w:type="band2Horz">
      <w:tblPr/>
      <w:tcPr>
        <w:tcBorders>
          <w:top w:val="single" w:sz="4" w:space="0" w:color="FFFFFF" w:themeColor="light1"/>
          <w:bottom w:val="single" w:sz="4" w:space="0" w:color="FFFFFF" w:themeColor="light1"/>
        </w:tcBorders>
        <w:shd w:val="clear" w:color="F2AA85" w:themeColor="accent2" w:themeTint="97" w:fill="F2AA85" w:themeFill="accent2" w:themeFillTint="97"/>
      </w:tcPr>
    </w:tblStylePr>
  </w:style>
  <w:style w:type="table" w:styleId="Listentabelle5dunkelAkzent3">
    <w:name w:val="List Table 5 Dark Accent 3"/>
    <w:basedOn w:val="NormaleTabelle"/>
    <w:uiPriority w:val="99"/>
    <w:pPr>
      <w:spacing w:after="0" w:line="240" w:lineRule="auto"/>
    </w:pPr>
    <w:tblPr>
      <w:tblStyleRowBandSize w:val="1"/>
      <w:tblStyleColBandSize w:val="1"/>
      <w:tblBorders>
        <w:top w:val="single" w:sz="32" w:space="0" w:color="48D45B" w:themeColor="accent3" w:themeTint="98"/>
        <w:left w:val="single" w:sz="32" w:space="0" w:color="48D45B" w:themeColor="accent3" w:themeTint="98"/>
        <w:bottom w:val="single" w:sz="32" w:space="0" w:color="48D45B" w:themeColor="accent3" w:themeTint="98"/>
        <w:right w:val="single" w:sz="32" w:space="0" w:color="48D45B" w:themeColor="accent3" w:themeTint="98"/>
      </w:tblBorders>
      <w:shd w:val="clear" w:color="48D45B" w:themeColor="accent3" w:themeTint="98" w:fill="48D45B" w:themeFill="accent3" w:themeFillTint="98"/>
    </w:tblPr>
    <w:tblStylePr w:type="firstRow">
      <w:rPr>
        <w:rFonts w:ascii="Arial" w:hAnsi="Arial"/>
        <w:b/>
        <w:color w:val="FFFFFF" w:themeColor="light1"/>
        <w:sz w:val="22"/>
      </w:rPr>
      <w:tblPr/>
      <w:tcPr>
        <w:tcBorders>
          <w:top w:val="single" w:sz="32" w:space="0" w:color="48D45B" w:themeColor="accent3" w:themeTint="98"/>
          <w:bottom w:val="single" w:sz="12" w:space="0" w:color="FFFFFF" w:themeColor="light1"/>
        </w:tcBorders>
        <w:shd w:val="clear" w:color="48D45B" w:themeColor="accent3" w:themeTint="98" w:fill="48D45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8D45B" w:themeColor="accent3" w:themeTint="98"/>
          <w:right w:val="single" w:sz="4" w:space="0" w:color="FFFFFF" w:themeColor="light1"/>
        </w:tcBorders>
      </w:tcPr>
    </w:tblStylePr>
    <w:tblStylePr w:type="lastCol">
      <w:tblPr/>
      <w:tcPr>
        <w:tcBorders>
          <w:left w:val="single" w:sz="4" w:space="0" w:color="FFFFFF" w:themeColor="light1"/>
          <w:right w:val="single" w:sz="32" w:space="0" w:color="48D45B" w:themeColor="accent3" w:themeTint="98"/>
        </w:tcBorders>
      </w:tcPr>
    </w:tblStylePr>
    <w:tblStylePr w:type="band1Vert">
      <w:tblPr/>
      <w:tcPr>
        <w:tcBorders>
          <w:left w:val="single" w:sz="4" w:space="0" w:color="FFFFFF" w:themeColor="light1"/>
          <w:right w:val="single" w:sz="4" w:space="0" w:color="FFFFFF" w:themeColor="light1"/>
        </w:tcBorders>
        <w:shd w:val="clear" w:color="48D45B" w:themeColor="accent3" w:themeTint="98" w:fill="48D45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tblStylePr w:type="band2Horz">
      <w:tblPr/>
      <w:tcPr>
        <w:tcBorders>
          <w:top w:val="single" w:sz="4" w:space="0" w:color="FFFFFF" w:themeColor="light1"/>
          <w:bottom w:val="single" w:sz="4" w:space="0" w:color="FFFFFF" w:themeColor="light1"/>
        </w:tcBorders>
        <w:shd w:val="clear" w:color="48D45B" w:themeColor="accent3" w:themeTint="98" w:fill="48D45B" w:themeFill="accent3" w:themeFillTint="98"/>
      </w:tcPr>
    </w:tblStylePr>
  </w:style>
  <w:style w:type="table" w:styleId="Listentabelle5dunkelAkzent4">
    <w:name w:val="List Table 5 Dark Accent 4"/>
    <w:basedOn w:val="NormaleTabelle"/>
    <w:uiPriority w:val="99"/>
    <w:pPr>
      <w:spacing w:after="0" w:line="240" w:lineRule="auto"/>
    </w:pPr>
    <w:tblPr>
      <w:tblStyleRowBandSize w:val="1"/>
      <w:tblStyleColBandSize w:val="1"/>
      <w:tblBorders>
        <w:top w:val="single" w:sz="32" w:space="0" w:color="5FCAF3" w:themeColor="accent4" w:themeTint="9A"/>
        <w:left w:val="single" w:sz="32" w:space="0" w:color="5FCAF3" w:themeColor="accent4" w:themeTint="9A"/>
        <w:bottom w:val="single" w:sz="32" w:space="0" w:color="5FCAF3" w:themeColor="accent4" w:themeTint="9A"/>
        <w:right w:val="single" w:sz="32" w:space="0" w:color="5FCAF3" w:themeColor="accent4" w:themeTint="9A"/>
      </w:tblBorders>
      <w:shd w:val="clear" w:color="5FCAF3" w:themeColor="accent4" w:themeTint="9A" w:fill="5FCAF3" w:themeFill="accent4" w:themeFillTint="9A"/>
    </w:tblPr>
    <w:tblStylePr w:type="firstRow">
      <w:rPr>
        <w:rFonts w:ascii="Arial" w:hAnsi="Arial"/>
        <w:b/>
        <w:color w:val="FFFFFF" w:themeColor="light1"/>
        <w:sz w:val="22"/>
      </w:rPr>
      <w:tblPr/>
      <w:tcPr>
        <w:tcBorders>
          <w:top w:val="single" w:sz="32" w:space="0" w:color="5FCAF3" w:themeColor="accent4" w:themeTint="9A"/>
          <w:bottom w:val="single" w:sz="12" w:space="0" w:color="FFFFFF" w:themeColor="light1"/>
        </w:tcBorders>
        <w:shd w:val="clear" w:color="5FCAF3" w:themeColor="accent4" w:themeTint="9A" w:fill="5FCAF3"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FCAF3" w:themeColor="accent4" w:themeTint="9A"/>
          <w:right w:val="single" w:sz="4" w:space="0" w:color="FFFFFF" w:themeColor="light1"/>
        </w:tcBorders>
      </w:tcPr>
    </w:tblStylePr>
    <w:tblStylePr w:type="lastCol">
      <w:tblPr/>
      <w:tcPr>
        <w:tcBorders>
          <w:left w:val="single" w:sz="4" w:space="0" w:color="FFFFFF" w:themeColor="light1"/>
          <w:right w:val="single" w:sz="32" w:space="0" w:color="5FCAF3" w:themeColor="accent4" w:themeTint="9A"/>
        </w:tcBorders>
      </w:tcPr>
    </w:tblStylePr>
    <w:tblStylePr w:type="band1Vert">
      <w:tblPr/>
      <w:tcPr>
        <w:tcBorders>
          <w:left w:val="single" w:sz="4" w:space="0" w:color="FFFFFF" w:themeColor="light1"/>
          <w:right w:val="single" w:sz="4" w:space="0" w:color="FFFFFF" w:themeColor="light1"/>
        </w:tcBorders>
        <w:shd w:val="clear" w:color="5FCAF3" w:themeColor="accent4" w:themeTint="9A" w:fill="5FCAF3"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tblStylePr w:type="band2Horz">
      <w:tblPr/>
      <w:tcPr>
        <w:tcBorders>
          <w:top w:val="single" w:sz="4" w:space="0" w:color="FFFFFF" w:themeColor="light1"/>
          <w:bottom w:val="single" w:sz="4" w:space="0" w:color="FFFFFF" w:themeColor="light1"/>
        </w:tcBorders>
        <w:shd w:val="clear" w:color="5FCAF3" w:themeColor="accent4" w:themeTint="9A" w:fill="5FCAF3" w:themeFill="accent4" w:themeFillTint="9A"/>
      </w:tcPr>
    </w:tblStylePr>
  </w:style>
  <w:style w:type="table" w:styleId="Listentabelle5dunkelAkzent5">
    <w:name w:val="List Table 5 Dark Accent 5"/>
    <w:basedOn w:val="NormaleTabelle"/>
    <w:uiPriority w:val="99"/>
    <w:pPr>
      <w:spacing w:after="0" w:line="240" w:lineRule="auto"/>
    </w:pPr>
    <w:tblPr>
      <w:tblStyleRowBandSize w:val="1"/>
      <w:tblStyleColBandSize w:val="1"/>
      <w:tblBorders>
        <w:top w:val="single" w:sz="32" w:space="0" w:color="D76CCB" w:themeColor="accent5" w:themeTint="9A"/>
        <w:left w:val="single" w:sz="32" w:space="0" w:color="D76CCB" w:themeColor="accent5" w:themeTint="9A"/>
        <w:bottom w:val="single" w:sz="32" w:space="0" w:color="D76CCB" w:themeColor="accent5" w:themeTint="9A"/>
        <w:right w:val="single" w:sz="32" w:space="0" w:color="D76CCB" w:themeColor="accent5" w:themeTint="9A"/>
      </w:tblBorders>
      <w:shd w:val="clear" w:color="D76CCB" w:themeColor="accent5" w:themeTint="9A" w:fill="D76CCB" w:themeFill="accent5" w:themeFillTint="9A"/>
    </w:tblPr>
    <w:tblStylePr w:type="firstRow">
      <w:rPr>
        <w:rFonts w:ascii="Arial" w:hAnsi="Arial"/>
        <w:b/>
        <w:color w:val="FFFFFF" w:themeColor="light1"/>
        <w:sz w:val="22"/>
      </w:rPr>
      <w:tblPr/>
      <w:tcPr>
        <w:tcBorders>
          <w:top w:val="single" w:sz="32" w:space="0" w:color="D76CCB" w:themeColor="accent5" w:themeTint="9A"/>
          <w:bottom w:val="single" w:sz="12" w:space="0" w:color="FFFFFF" w:themeColor="light1"/>
        </w:tcBorders>
        <w:shd w:val="clear" w:color="D76CCB" w:themeColor="accent5" w:themeTint="9A" w:fill="D76CC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76CCB" w:themeColor="accent5" w:themeTint="9A"/>
          <w:right w:val="single" w:sz="4" w:space="0" w:color="FFFFFF" w:themeColor="light1"/>
        </w:tcBorders>
      </w:tcPr>
    </w:tblStylePr>
    <w:tblStylePr w:type="lastCol">
      <w:tblPr/>
      <w:tcPr>
        <w:tcBorders>
          <w:left w:val="single" w:sz="4" w:space="0" w:color="FFFFFF" w:themeColor="light1"/>
          <w:right w:val="single" w:sz="32" w:space="0" w:color="D76CCB" w:themeColor="accent5" w:themeTint="9A"/>
        </w:tcBorders>
      </w:tcPr>
    </w:tblStylePr>
    <w:tblStylePr w:type="band1Vert">
      <w:tblPr/>
      <w:tcPr>
        <w:tcBorders>
          <w:left w:val="single" w:sz="4" w:space="0" w:color="FFFFFF" w:themeColor="light1"/>
          <w:right w:val="single" w:sz="4" w:space="0" w:color="FFFFFF" w:themeColor="light1"/>
        </w:tcBorders>
        <w:shd w:val="clear" w:color="D76CCB" w:themeColor="accent5" w:themeTint="9A" w:fill="D76CC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tblStylePr w:type="band2Horz">
      <w:tblPr/>
      <w:tcPr>
        <w:tcBorders>
          <w:top w:val="single" w:sz="4" w:space="0" w:color="FFFFFF" w:themeColor="light1"/>
          <w:bottom w:val="single" w:sz="4" w:space="0" w:color="FFFFFF" w:themeColor="light1"/>
        </w:tcBorders>
        <w:shd w:val="clear" w:color="D76CCB" w:themeColor="accent5" w:themeTint="9A" w:fill="D76CCB" w:themeFill="accent5" w:themeFillTint="9A"/>
      </w:tcPr>
    </w:tblStylePr>
  </w:style>
  <w:style w:type="table" w:styleId="Listentabelle5dunkelAkzent6">
    <w:name w:val="List Table 5 Dark Accent 6"/>
    <w:basedOn w:val="NormaleTabelle"/>
    <w:uiPriority w:val="99"/>
    <w:pPr>
      <w:spacing w:after="0" w:line="240" w:lineRule="auto"/>
    </w:pPr>
    <w:tblPr>
      <w:tblStyleRowBandSize w:val="1"/>
      <w:tblStyleColBandSize w:val="1"/>
      <w:tblBorders>
        <w:top w:val="single" w:sz="32" w:space="0" w:color="8ED873" w:themeColor="accent6" w:themeTint="98"/>
        <w:left w:val="single" w:sz="32" w:space="0" w:color="8ED873" w:themeColor="accent6" w:themeTint="98"/>
        <w:bottom w:val="single" w:sz="32" w:space="0" w:color="8ED873" w:themeColor="accent6" w:themeTint="98"/>
        <w:right w:val="single" w:sz="32" w:space="0" w:color="8ED873" w:themeColor="accent6" w:themeTint="98"/>
      </w:tblBorders>
      <w:shd w:val="clear" w:color="8ED873" w:themeColor="accent6" w:themeTint="98" w:fill="8ED873" w:themeFill="accent6" w:themeFillTint="98"/>
    </w:tblPr>
    <w:tblStylePr w:type="firstRow">
      <w:rPr>
        <w:rFonts w:ascii="Arial" w:hAnsi="Arial"/>
        <w:b/>
        <w:color w:val="FFFFFF" w:themeColor="light1"/>
        <w:sz w:val="22"/>
      </w:rPr>
      <w:tblPr/>
      <w:tcPr>
        <w:tcBorders>
          <w:top w:val="single" w:sz="32" w:space="0" w:color="8ED873" w:themeColor="accent6" w:themeTint="98"/>
          <w:bottom w:val="single" w:sz="12" w:space="0" w:color="FFFFFF" w:themeColor="light1"/>
        </w:tcBorders>
        <w:shd w:val="clear" w:color="8ED873" w:themeColor="accent6" w:themeTint="98" w:fill="8ED873"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ED873" w:themeColor="accent6" w:themeTint="98"/>
          <w:right w:val="single" w:sz="4" w:space="0" w:color="FFFFFF" w:themeColor="light1"/>
        </w:tcBorders>
      </w:tcPr>
    </w:tblStylePr>
    <w:tblStylePr w:type="lastCol">
      <w:tblPr/>
      <w:tcPr>
        <w:tcBorders>
          <w:left w:val="single" w:sz="4" w:space="0" w:color="FFFFFF" w:themeColor="light1"/>
          <w:right w:val="single" w:sz="32" w:space="0" w:color="8ED873" w:themeColor="accent6" w:themeTint="98"/>
        </w:tcBorders>
      </w:tcPr>
    </w:tblStylePr>
    <w:tblStylePr w:type="band1Vert">
      <w:tblPr/>
      <w:tcPr>
        <w:tcBorders>
          <w:left w:val="single" w:sz="4" w:space="0" w:color="FFFFFF" w:themeColor="light1"/>
          <w:right w:val="single" w:sz="4" w:space="0" w:color="FFFFFF" w:themeColor="light1"/>
        </w:tcBorders>
        <w:shd w:val="clear" w:color="8ED873" w:themeColor="accent6" w:themeTint="98" w:fill="8ED873"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tblStylePr w:type="band2Horz">
      <w:tblPr/>
      <w:tcPr>
        <w:tcBorders>
          <w:top w:val="single" w:sz="4" w:space="0" w:color="FFFFFF" w:themeColor="light1"/>
          <w:bottom w:val="single" w:sz="4" w:space="0" w:color="FFFFFF" w:themeColor="light1"/>
        </w:tcBorders>
        <w:shd w:val="clear" w:color="8ED873" w:themeColor="accent6" w:themeTint="98" w:fill="8ED873" w:themeFill="accent6" w:themeFillTint="98"/>
      </w:tcPr>
    </w:tblStylePr>
  </w:style>
  <w:style w:type="table" w:styleId="Listentabelle6farbigAkzent1">
    <w:name w:val="List Table 6 Colorful Accent 1"/>
    <w:basedOn w:val="NormaleTabelle"/>
    <w:uiPriority w:val="99"/>
    <w:pPr>
      <w:spacing w:after="0" w:line="240" w:lineRule="auto"/>
    </w:pPr>
    <w:tblPr>
      <w:tblStyleRowBandSize w:val="1"/>
      <w:tblStyleColBandSize w:val="1"/>
      <w:tblBorders>
        <w:top w:val="single" w:sz="4" w:space="0" w:color="156082" w:themeColor="accent1"/>
        <w:bottom w:val="single" w:sz="4" w:space="0" w:color="156082" w:themeColor="accent1"/>
      </w:tblBorders>
    </w:tblPr>
    <w:tblStylePr w:type="firstRow">
      <w:rPr>
        <w:b/>
        <w:color w:val="0C374B" w:themeColor="accent1" w:themeShade="95"/>
      </w:rPr>
      <w:tblPr/>
      <w:tcPr>
        <w:tcBorders>
          <w:bottom w:val="single" w:sz="4" w:space="0" w:color="156082" w:themeColor="accent1"/>
        </w:tcBorders>
      </w:tcPr>
    </w:tblStylePr>
    <w:tblStylePr w:type="lastRow">
      <w:rPr>
        <w:b/>
        <w:color w:val="0C374B" w:themeColor="accent1" w:themeShade="95"/>
      </w:rPr>
      <w:tblPr/>
      <w:tcPr>
        <w:tcBorders>
          <w:top w:val="single" w:sz="4" w:space="0" w:color="156082" w:themeColor="accent1"/>
        </w:tcBorders>
      </w:tcPr>
    </w:tblStylePr>
    <w:tblStylePr w:type="firstCol">
      <w:rPr>
        <w:b/>
        <w:color w:val="0C374B" w:themeColor="accent1" w:themeShade="95"/>
      </w:rPr>
    </w:tblStylePr>
    <w:tblStylePr w:type="lastCol">
      <w:rPr>
        <w:b/>
        <w:color w:val="0C374B" w:themeColor="accent1" w:themeShade="95"/>
      </w:r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entabelle6farbigAkzent2">
    <w:name w:val="List Table 6 Colorful Accent 2"/>
    <w:basedOn w:val="NormaleTabelle"/>
    <w:uiPriority w:val="99"/>
    <w:pPr>
      <w:spacing w:after="0" w:line="240" w:lineRule="auto"/>
    </w:pPr>
    <w:tblPr>
      <w:tblStyleRowBandSize w:val="1"/>
      <w:tblStyleColBandSize w:val="1"/>
      <w:tblBorders>
        <w:top w:val="single" w:sz="4" w:space="0" w:color="F2AA85" w:themeColor="accent2" w:themeTint="97"/>
        <w:bottom w:val="single" w:sz="4" w:space="0" w:color="F2AA85" w:themeColor="accent2" w:themeTint="97"/>
      </w:tblBorders>
    </w:tblPr>
    <w:tblStylePr w:type="firstRow">
      <w:rPr>
        <w:b/>
        <w:color w:val="F2AA85" w:themeColor="accent2" w:themeTint="97" w:themeShade="95"/>
      </w:rPr>
      <w:tblPr/>
      <w:tcPr>
        <w:tcBorders>
          <w:bottom w:val="single" w:sz="4" w:space="0" w:color="F2AA85" w:themeColor="accent2" w:themeTint="97"/>
        </w:tcBorders>
      </w:tcPr>
    </w:tblStylePr>
    <w:tblStylePr w:type="lastRow">
      <w:rPr>
        <w:b/>
        <w:color w:val="F2AA85" w:themeColor="accent2" w:themeTint="97" w:themeShade="95"/>
      </w:rPr>
      <w:tblPr/>
      <w:tcPr>
        <w:tcBorders>
          <w:top w:val="single" w:sz="4" w:space="0" w:color="F2AA85" w:themeColor="accent2" w:themeTint="97"/>
        </w:tcBorders>
      </w:tcPr>
    </w:tblStylePr>
    <w:tblStylePr w:type="firstCol">
      <w:rPr>
        <w:b/>
        <w:color w:val="F2AA85" w:themeColor="accent2" w:themeTint="97" w:themeShade="95"/>
      </w:rPr>
    </w:tblStylePr>
    <w:tblStylePr w:type="lastCol">
      <w:rPr>
        <w:b/>
        <w:color w:val="F2AA85" w:themeColor="accent2" w:themeTint="97" w:themeShade="95"/>
      </w:r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entabelle6farbigAkzent3">
    <w:name w:val="List Table 6 Colorful Accent 3"/>
    <w:basedOn w:val="NormaleTabelle"/>
    <w:uiPriority w:val="99"/>
    <w:pPr>
      <w:spacing w:after="0" w:line="240" w:lineRule="auto"/>
    </w:pPr>
    <w:tblPr>
      <w:tblStyleRowBandSize w:val="1"/>
      <w:tblStyleColBandSize w:val="1"/>
      <w:tblBorders>
        <w:top w:val="single" w:sz="4" w:space="0" w:color="48D45B" w:themeColor="accent3" w:themeTint="98"/>
        <w:bottom w:val="single" w:sz="4" w:space="0" w:color="48D45B" w:themeColor="accent3" w:themeTint="98"/>
      </w:tblBorders>
    </w:tblPr>
    <w:tblStylePr w:type="firstRow">
      <w:rPr>
        <w:b/>
        <w:color w:val="48D45B" w:themeColor="accent3" w:themeTint="98" w:themeShade="95"/>
      </w:rPr>
      <w:tblPr/>
      <w:tcPr>
        <w:tcBorders>
          <w:bottom w:val="single" w:sz="4" w:space="0" w:color="48D45B" w:themeColor="accent3" w:themeTint="98"/>
        </w:tcBorders>
      </w:tcPr>
    </w:tblStylePr>
    <w:tblStylePr w:type="lastRow">
      <w:rPr>
        <w:b/>
        <w:color w:val="48D45B" w:themeColor="accent3" w:themeTint="98" w:themeShade="95"/>
      </w:rPr>
      <w:tblPr/>
      <w:tcPr>
        <w:tcBorders>
          <w:top w:val="single" w:sz="4" w:space="0" w:color="48D45B" w:themeColor="accent3" w:themeTint="98"/>
        </w:tcBorders>
      </w:tcPr>
    </w:tblStylePr>
    <w:tblStylePr w:type="firstCol">
      <w:rPr>
        <w:b/>
        <w:color w:val="48D45B" w:themeColor="accent3" w:themeTint="98" w:themeShade="95"/>
      </w:rPr>
    </w:tblStylePr>
    <w:tblStylePr w:type="lastCol">
      <w:rPr>
        <w:b/>
        <w:color w:val="48D45B" w:themeColor="accent3" w:themeTint="98" w:themeShade="95"/>
      </w:r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entabelle6farbigAkzent4">
    <w:name w:val="List Table 6 Colorful Accent 4"/>
    <w:basedOn w:val="NormaleTabelle"/>
    <w:uiPriority w:val="99"/>
    <w:pPr>
      <w:spacing w:after="0" w:line="240" w:lineRule="auto"/>
    </w:pPr>
    <w:tblPr>
      <w:tblStyleRowBandSize w:val="1"/>
      <w:tblStyleColBandSize w:val="1"/>
      <w:tblBorders>
        <w:top w:val="single" w:sz="4" w:space="0" w:color="5FCAF3" w:themeColor="accent4" w:themeTint="9A"/>
        <w:bottom w:val="single" w:sz="4" w:space="0" w:color="5FCAF3" w:themeColor="accent4" w:themeTint="9A"/>
      </w:tblBorders>
    </w:tblPr>
    <w:tblStylePr w:type="firstRow">
      <w:rPr>
        <w:b/>
        <w:color w:val="5FCAF3" w:themeColor="accent4" w:themeTint="9A" w:themeShade="95"/>
      </w:rPr>
      <w:tblPr/>
      <w:tcPr>
        <w:tcBorders>
          <w:bottom w:val="single" w:sz="4" w:space="0" w:color="5FCAF3" w:themeColor="accent4" w:themeTint="9A"/>
        </w:tcBorders>
      </w:tcPr>
    </w:tblStylePr>
    <w:tblStylePr w:type="lastRow">
      <w:rPr>
        <w:b/>
        <w:color w:val="5FCAF3" w:themeColor="accent4" w:themeTint="9A" w:themeShade="95"/>
      </w:rPr>
      <w:tblPr/>
      <w:tcPr>
        <w:tcBorders>
          <w:top w:val="single" w:sz="4" w:space="0" w:color="5FCAF3" w:themeColor="accent4" w:themeTint="9A"/>
        </w:tcBorders>
      </w:tcPr>
    </w:tblStylePr>
    <w:tblStylePr w:type="firstCol">
      <w:rPr>
        <w:b/>
        <w:color w:val="5FCAF3" w:themeColor="accent4" w:themeTint="9A" w:themeShade="95"/>
      </w:rPr>
    </w:tblStylePr>
    <w:tblStylePr w:type="lastCol">
      <w:rPr>
        <w:b/>
        <w:color w:val="5FCAF3" w:themeColor="accent4" w:themeTint="9A" w:themeShade="95"/>
      </w:r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entabelle6farbigAkzent5">
    <w:name w:val="List Table 6 Colorful Accent 5"/>
    <w:basedOn w:val="NormaleTabelle"/>
    <w:uiPriority w:val="99"/>
    <w:pPr>
      <w:spacing w:after="0" w:line="240" w:lineRule="auto"/>
    </w:pPr>
    <w:tblPr>
      <w:tblStyleRowBandSize w:val="1"/>
      <w:tblStyleColBandSize w:val="1"/>
      <w:tblBorders>
        <w:top w:val="single" w:sz="4" w:space="0" w:color="D76CCB" w:themeColor="accent5" w:themeTint="9A"/>
        <w:bottom w:val="single" w:sz="4" w:space="0" w:color="D76CCB" w:themeColor="accent5" w:themeTint="9A"/>
      </w:tblBorders>
    </w:tblPr>
    <w:tblStylePr w:type="firstRow">
      <w:rPr>
        <w:b/>
        <w:color w:val="D76CCB" w:themeColor="accent5" w:themeTint="9A" w:themeShade="95"/>
      </w:rPr>
      <w:tblPr/>
      <w:tcPr>
        <w:tcBorders>
          <w:bottom w:val="single" w:sz="4" w:space="0" w:color="D76CCB" w:themeColor="accent5" w:themeTint="9A"/>
        </w:tcBorders>
      </w:tcPr>
    </w:tblStylePr>
    <w:tblStylePr w:type="lastRow">
      <w:rPr>
        <w:b/>
        <w:color w:val="D76CCB" w:themeColor="accent5" w:themeTint="9A" w:themeShade="95"/>
      </w:rPr>
      <w:tblPr/>
      <w:tcPr>
        <w:tcBorders>
          <w:top w:val="single" w:sz="4" w:space="0" w:color="D76CCB" w:themeColor="accent5" w:themeTint="9A"/>
        </w:tcBorders>
      </w:tcPr>
    </w:tblStylePr>
    <w:tblStylePr w:type="firstCol">
      <w:rPr>
        <w:b/>
        <w:color w:val="D76CCB" w:themeColor="accent5" w:themeTint="9A" w:themeShade="95"/>
      </w:rPr>
    </w:tblStylePr>
    <w:tblStylePr w:type="lastCol">
      <w:rPr>
        <w:b/>
        <w:color w:val="D76CCB" w:themeColor="accent5" w:themeTint="9A" w:themeShade="95"/>
      </w:r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entabelle6farbigAkzent6">
    <w:name w:val="List Table 6 Colorful Accent 6"/>
    <w:basedOn w:val="NormaleTabelle"/>
    <w:uiPriority w:val="99"/>
    <w:pPr>
      <w:spacing w:after="0" w:line="240" w:lineRule="auto"/>
    </w:pPr>
    <w:tblPr>
      <w:tblStyleRowBandSize w:val="1"/>
      <w:tblStyleColBandSize w:val="1"/>
      <w:tblBorders>
        <w:top w:val="single" w:sz="4" w:space="0" w:color="8ED873" w:themeColor="accent6" w:themeTint="98"/>
        <w:bottom w:val="single" w:sz="4" w:space="0" w:color="8ED873" w:themeColor="accent6" w:themeTint="98"/>
      </w:tblBorders>
    </w:tblPr>
    <w:tblStylePr w:type="firstRow">
      <w:rPr>
        <w:b/>
        <w:color w:val="8ED873" w:themeColor="accent6" w:themeTint="98" w:themeShade="95"/>
      </w:rPr>
      <w:tblPr/>
      <w:tcPr>
        <w:tcBorders>
          <w:bottom w:val="single" w:sz="4" w:space="0" w:color="8ED873" w:themeColor="accent6" w:themeTint="98"/>
        </w:tcBorders>
      </w:tcPr>
    </w:tblStylePr>
    <w:tblStylePr w:type="lastRow">
      <w:rPr>
        <w:b/>
        <w:color w:val="8ED873" w:themeColor="accent6" w:themeTint="98" w:themeShade="95"/>
      </w:rPr>
      <w:tblPr/>
      <w:tcPr>
        <w:tcBorders>
          <w:top w:val="single" w:sz="4" w:space="0" w:color="8ED873" w:themeColor="accent6" w:themeTint="98"/>
        </w:tcBorders>
      </w:tcPr>
    </w:tblStylePr>
    <w:tblStylePr w:type="firstCol">
      <w:rPr>
        <w:b/>
        <w:color w:val="8ED873" w:themeColor="accent6" w:themeTint="98" w:themeShade="95"/>
      </w:rPr>
    </w:tblStylePr>
    <w:tblStylePr w:type="lastCol">
      <w:rPr>
        <w:b/>
        <w:color w:val="8ED873" w:themeColor="accent6" w:themeTint="98" w:themeShade="95"/>
      </w:r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Listentabelle7farbigAkzent1">
    <w:name w:val="List Table 7 Colorful Accent 1"/>
    <w:basedOn w:val="NormaleTabelle"/>
    <w:uiPriority w:val="99"/>
    <w:pPr>
      <w:spacing w:after="0" w:line="240" w:lineRule="auto"/>
    </w:pPr>
    <w:tblPr>
      <w:tblStyleRowBandSize w:val="1"/>
      <w:tblStyleColBandSize w:val="1"/>
      <w:tblBorders>
        <w:right w:val="single" w:sz="4" w:space="0" w:color="156082" w:themeColor="accent1"/>
      </w:tblBorders>
    </w:tblPr>
    <w:tblStylePr w:type="firstRow">
      <w:rPr>
        <w:rFonts w:ascii="Arial" w:hAnsi="Arial"/>
        <w:i/>
        <w:color w:val="0C374B" w:themeColor="accent1" w:themeShade="95"/>
        <w:sz w:val="22"/>
      </w:rPr>
      <w:tblPr/>
      <w:tcPr>
        <w:tcBorders>
          <w:top w:val="none" w:sz="0" w:space="0" w:color="000000"/>
          <w:left w:val="none" w:sz="0" w:space="0" w:color="000000"/>
          <w:bottom w:val="single" w:sz="4" w:space="0" w:color="156082" w:themeColor="accent1"/>
          <w:right w:val="none" w:sz="0" w:space="0" w:color="000000"/>
        </w:tcBorders>
        <w:shd w:val="clear" w:color="FFFFFF" w:themeColor="light1" w:fill="FFFFFF" w:themeFill="light1"/>
      </w:tcPr>
    </w:tblStylePr>
    <w:tblStylePr w:type="lastRow">
      <w:rPr>
        <w:rFonts w:ascii="Arial" w:hAnsi="Arial"/>
        <w:i/>
        <w:color w:val="0C374B" w:themeColor="accent1" w:themeShade="95"/>
        <w:sz w:val="22"/>
      </w:rPr>
      <w:tblPr/>
      <w:tcPr>
        <w:tcBorders>
          <w:top w:val="single" w:sz="4" w:space="0" w:color="156082" w:themeColor="accent1"/>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0C374B" w:themeColor="accent1" w:themeShade="95"/>
        <w:sz w:val="22"/>
      </w:rPr>
      <w:tblPr/>
      <w:tcPr>
        <w:tcBorders>
          <w:top w:val="none" w:sz="0" w:space="0" w:color="000000"/>
          <w:left w:val="none" w:sz="0" w:space="0" w:color="000000"/>
          <w:bottom w:val="none" w:sz="0" w:space="0" w:color="000000"/>
          <w:right w:val="single" w:sz="4" w:space="0" w:color="156082" w:themeColor="accent1"/>
        </w:tcBorders>
        <w:shd w:val="clear" w:color="FFFFFF" w:fill="auto"/>
      </w:tcPr>
    </w:tblStylePr>
    <w:tblStylePr w:type="lastCol">
      <w:rPr>
        <w:rFonts w:ascii="Arial" w:hAnsi="Arial"/>
        <w:i/>
        <w:color w:val="0C374B" w:themeColor="accent1" w:themeShade="95"/>
        <w:sz w:val="22"/>
      </w:rPr>
      <w:tblPr/>
      <w:tcPr>
        <w:tcBorders>
          <w:top w:val="none" w:sz="0" w:space="0" w:color="000000"/>
          <w:left w:val="single" w:sz="4" w:space="0" w:color="156082" w:themeColor="accent1"/>
          <w:bottom w:val="none" w:sz="0" w:space="0" w:color="000000"/>
          <w:right w:val="none" w:sz="0" w:space="0" w:color="000000"/>
        </w:tcBorders>
        <w:shd w:val="clear" w:color="FFFFFF" w:fill="auto"/>
      </w:tcPr>
    </w:tblStylePr>
    <w:tblStylePr w:type="band1Vert">
      <w:tblPr/>
      <w:tcPr>
        <w:shd w:val="clear" w:color="B1DEF2" w:themeColor="accent1" w:themeTint="40" w:fill="B1DEF2" w:themeFill="accent1" w:themeFillTint="40"/>
      </w:tcPr>
    </w:tblStylePr>
    <w:tblStylePr w:type="band1Horz">
      <w:rPr>
        <w:rFonts w:ascii="Arial" w:hAnsi="Arial"/>
        <w:color w:val="0C374B" w:themeColor="accent1" w:themeShade="95"/>
        <w:sz w:val="22"/>
      </w:rPr>
      <w:tblPr/>
      <w:tcPr>
        <w:shd w:val="clear" w:color="B1DEF2" w:themeColor="accent1" w:themeTint="40" w:fill="B1DEF2" w:themeFill="accent1" w:themeFillTint="40"/>
      </w:tcPr>
    </w:tblStylePr>
    <w:tblStylePr w:type="band2Horz">
      <w:rPr>
        <w:rFonts w:ascii="Arial" w:hAnsi="Arial"/>
        <w:color w:val="0C374B" w:themeColor="accent1" w:themeShade="95"/>
        <w:sz w:val="22"/>
      </w:rPr>
    </w:tblStylePr>
  </w:style>
  <w:style w:type="table" w:styleId="Listentabelle7farbigAkzent2">
    <w:name w:val="List Table 7 Colorful Accent 2"/>
    <w:basedOn w:val="NormaleTabelle"/>
    <w:uiPriority w:val="99"/>
    <w:pPr>
      <w:spacing w:after="0" w:line="240" w:lineRule="auto"/>
    </w:pPr>
    <w:tblPr>
      <w:tblStyleRowBandSize w:val="1"/>
      <w:tblStyleColBandSize w:val="1"/>
      <w:tblBorders>
        <w:right w:val="single" w:sz="4" w:space="0" w:color="F2AA85" w:themeColor="accent2" w:themeTint="97"/>
      </w:tblBorders>
    </w:tblPr>
    <w:tblStylePr w:type="firstRow">
      <w:rPr>
        <w:rFonts w:ascii="Arial" w:hAnsi="Arial"/>
        <w:i/>
        <w:color w:val="F2AA85" w:themeColor="accent2" w:themeTint="97" w:themeShade="95"/>
        <w:sz w:val="22"/>
      </w:rPr>
      <w:tblPr/>
      <w:tcPr>
        <w:tcBorders>
          <w:top w:val="none" w:sz="0" w:space="0" w:color="000000"/>
          <w:left w:val="none" w:sz="0" w:space="0" w:color="000000"/>
          <w:bottom w:val="single" w:sz="4" w:space="0" w:color="F2AA85" w:themeColor="accent2" w:themeTint="97"/>
          <w:right w:val="none" w:sz="0" w:space="0" w:color="000000"/>
        </w:tcBorders>
        <w:shd w:val="clear" w:color="FFFFFF" w:themeColor="light1" w:fill="FFFFFF" w:themeFill="light1"/>
      </w:tcPr>
    </w:tblStylePr>
    <w:tblStylePr w:type="lastRow">
      <w:rPr>
        <w:rFonts w:ascii="Arial" w:hAnsi="Arial"/>
        <w:i/>
        <w:color w:val="F2AA85" w:themeColor="accent2" w:themeTint="97" w:themeShade="95"/>
        <w:sz w:val="22"/>
      </w:rPr>
      <w:tblPr/>
      <w:tcPr>
        <w:tcBorders>
          <w:top w:val="single" w:sz="4" w:space="0" w:color="F2AA85" w:themeColor="accent2" w:themeTint="97"/>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F2AA85" w:themeColor="accent2" w:themeTint="97" w:themeShade="95"/>
        <w:sz w:val="22"/>
      </w:rPr>
      <w:tblPr/>
      <w:tcPr>
        <w:tcBorders>
          <w:top w:val="none" w:sz="0" w:space="0" w:color="000000"/>
          <w:left w:val="none" w:sz="0" w:space="0" w:color="000000"/>
          <w:bottom w:val="none" w:sz="0" w:space="0" w:color="000000"/>
          <w:right w:val="single" w:sz="4" w:space="0" w:color="F2AA85" w:themeColor="accent2" w:themeTint="97"/>
        </w:tcBorders>
        <w:shd w:val="clear" w:color="FFFFFF" w:fill="auto"/>
      </w:tcPr>
    </w:tblStylePr>
    <w:tblStylePr w:type="lastCol">
      <w:rPr>
        <w:rFonts w:ascii="Arial" w:hAnsi="Arial"/>
        <w:i/>
        <w:color w:val="F2AA85" w:themeColor="accent2" w:themeTint="97" w:themeShade="95"/>
        <w:sz w:val="22"/>
      </w:rPr>
      <w:tblPr/>
      <w:tcPr>
        <w:tcBorders>
          <w:top w:val="none" w:sz="0" w:space="0" w:color="000000"/>
          <w:left w:val="single" w:sz="4" w:space="0" w:color="F2AA85" w:themeColor="accent2" w:themeTint="97"/>
          <w:bottom w:val="none" w:sz="0" w:space="0" w:color="000000"/>
          <w:right w:val="none" w:sz="0" w:space="0" w:color="000000"/>
        </w:tcBorders>
        <w:shd w:val="clear" w:color="FFFFFF" w:fill="auto"/>
      </w:tcPr>
    </w:tblStylePr>
    <w:tblStylePr w:type="band1Vert">
      <w:tblPr/>
      <w:tcPr>
        <w:shd w:val="clear" w:color="F9DBCB" w:themeColor="accent2" w:themeTint="40" w:fill="F9DBCB" w:themeFill="accent2" w:themeFillTint="40"/>
      </w:tcPr>
    </w:tblStylePr>
    <w:tblStylePr w:type="band1Horz">
      <w:rPr>
        <w:rFonts w:ascii="Arial" w:hAnsi="Arial"/>
        <w:color w:val="F2AA85" w:themeColor="accent2" w:themeTint="97" w:themeShade="95"/>
        <w:sz w:val="22"/>
      </w:rPr>
      <w:tblPr/>
      <w:tcPr>
        <w:shd w:val="clear" w:color="F9DBCB" w:themeColor="accent2" w:themeTint="40" w:fill="F9DBCB" w:themeFill="accent2" w:themeFillTint="40"/>
      </w:tcPr>
    </w:tblStylePr>
    <w:tblStylePr w:type="band2Horz">
      <w:rPr>
        <w:rFonts w:ascii="Arial" w:hAnsi="Arial"/>
        <w:color w:val="F2AA85" w:themeColor="accent2" w:themeTint="97" w:themeShade="95"/>
        <w:sz w:val="22"/>
      </w:rPr>
    </w:tblStylePr>
  </w:style>
  <w:style w:type="table" w:styleId="Listentabelle7farbigAkzent3">
    <w:name w:val="List Table 7 Colorful Accent 3"/>
    <w:basedOn w:val="NormaleTabelle"/>
    <w:uiPriority w:val="99"/>
    <w:pPr>
      <w:spacing w:after="0" w:line="240" w:lineRule="auto"/>
    </w:pPr>
    <w:tblPr>
      <w:tblStyleRowBandSize w:val="1"/>
      <w:tblStyleColBandSize w:val="1"/>
      <w:tblBorders>
        <w:right w:val="single" w:sz="4" w:space="0" w:color="48D45B" w:themeColor="accent3" w:themeTint="98"/>
      </w:tblBorders>
    </w:tblPr>
    <w:tblStylePr w:type="firstRow">
      <w:rPr>
        <w:rFonts w:ascii="Arial" w:hAnsi="Arial"/>
        <w:i/>
        <w:color w:val="48D45B" w:themeColor="accent3" w:themeTint="98" w:themeShade="95"/>
        <w:sz w:val="22"/>
      </w:rPr>
      <w:tblPr/>
      <w:tcPr>
        <w:tcBorders>
          <w:top w:val="none" w:sz="0" w:space="0" w:color="000000"/>
          <w:left w:val="none" w:sz="0" w:space="0" w:color="000000"/>
          <w:bottom w:val="single" w:sz="4" w:space="0" w:color="48D45B" w:themeColor="accent3" w:themeTint="98"/>
          <w:right w:val="none" w:sz="0" w:space="0" w:color="000000"/>
        </w:tcBorders>
        <w:shd w:val="clear" w:color="FFFFFF" w:themeColor="light1" w:fill="FFFFFF" w:themeFill="light1"/>
      </w:tcPr>
    </w:tblStylePr>
    <w:tblStylePr w:type="lastRow">
      <w:rPr>
        <w:rFonts w:ascii="Arial" w:hAnsi="Arial"/>
        <w:i/>
        <w:color w:val="48D45B" w:themeColor="accent3" w:themeTint="98" w:themeShade="95"/>
        <w:sz w:val="22"/>
      </w:rPr>
      <w:tblPr/>
      <w:tcPr>
        <w:tcBorders>
          <w:top w:val="single" w:sz="4" w:space="0" w:color="48D45B" w:themeColor="accent3"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48D45B" w:themeColor="accent3" w:themeTint="98" w:themeShade="95"/>
        <w:sz w:val="22"/>
      </w:rPr>
      <w:tblPr/>
      <w:tcPr>
        <w:tcBorders>
          <w:top w:val="none" w:sz="0" w:space="0" w:color="000000"/>
          <w:left w:val="none" w:sz="0" w:space="0" w:color="000000"/>
          <w:bottom w:val="none" w:sz="0" w:space="0" w:color="000000"/>
          <w:right w:val="single" w:sz="4" w:space="0" w:color="48D45B" w:themeColor="accent3" w:themeTint="98"/>
        </w:tcBorders>
        <w:shd w:val="clear" w:color="FFFFFF" w:fill="auto"/>
      </w:tcPr>
    </w:tblStylePr>
    <w:tblStylePr w:type="lastCol">
      <w:rPr>
        <w:rFonts w:ascii="Arial" w:hAnsi="Arial"/>
        <w:i/>
        <w:color w:val="48D45B" w:themeColor="accent3" w:themeTint="98" w:themeShade="95"/>
        <w:sz w:val="22"/>
      </w:rPr>
      <w:tblPr/>
      <w:tcPr>
        <w:tcBorders>
          <w:top w:val="none" w:sz="0" w:space="0" w:color="000000"/>
          <w:left w:val="single" w:sz="4" w:space="0" w:color="48D45B" w:themeColor="accent3" w:themeTint="98"/>
          <w:bottom w:val="none" w:sz="0" w:space="0" w:color="000000"/>
          <w:right w:val="none" w:sz="0" w:space="0" w:color="000000"/>
        </w:tcBorders>
        <w:shd w:val="clear" w:color="FFFFFF" w:fill="auto"/>
      </w:tcPr>
    </w:tblStylePr>
    <w:tblStylePr w:type="band1Vert">
      <w:tblPr/>
      <w:tcPr>
        <w:shd w:val="clear" w:color="B2EDB9" w:themeColor="accent3" w:themeTint="40" w:fill="B2EDB9" w:themeFill="accent3" w:themeFillTint="40"/>
      </w:tcPr>
    </w:tblStylePr>
    <w:tblStylePr w:type="band1Horz">
      <w:rPr>
        <w:rFonts w:ascii="Arial" w:hAnsi="Arial"/>
        <w:color w:val="48D45B" w:themeColor="accent3" w:themeTint="98" w:themeShade="95"/>
        <w:sz w:val="22"/>
      </w:rPr>
      <w:tblPr/>
      <w:tcPr>
        <w:shd w:val="clear" w:color="B2EDB9" w:themeColor="accent3" w:themeTint="40" w:fill="B2EDB9" w:themeFill="accent3" w:themeFillTint="40"/>
      </w:tcPr>
    </w:tblStylePr>
    <w:tblStylePr w:type="band2Horz">
      <w:rPr>
        <w:rFonts w:ascii="Arial" w:hAnsi="Arial"/>
        <w:color w:val="48D45B" w:themeColor="accent3" w:themeTint="98" w:themeShade="95"/>
        <w:sz w:val="22"/>
      </w:rPr>
    </w:tblStylePr>
  </w:style>
  <w:style w:type="table" w:styleId="Listentabelle7farbigAkzent4">
    <w:name w:val="List Table 7 Colorful Accent 4"/>
    <w:basedOn w:val="NormaleTabelle"/>
    <w:uiPriority w:val="99"/>
    <w:pPr>
      <w:spacing w:after="0" w:line="240" w:lineRule="auto"/>
    </w:pPr>
    <w:tblPr>
      <w:tblStyleRowBandSize w:val="1"/>
      <w:tblStyleColBandSize w:val="1"/>
      <w:tblBorders>
        <w:right w:val="single" w:sz="4" w:space="0" w:color="5FCAF3" w:themeColor="accent4" w:themeTint="9A"/>
      </w:tblBorders>
    </w:tblPr>
    <w:tblStylePr w:type="firstRow">
      <w:rPr>
        <w:rFonts w:ascii="Arial" w:hAnsi="Arial"/>
        <w:i/>
        <w:color w:val="5FCAF3" w:themeColor="accent4" w:themeTint="9A" w:themeShade="95"/>
        <w:sz w:val="22"/>
      </w:rPr>
      <w:tblPr/>
      <w:tcPr>
        <w:tcBorders>
          <w:top w:val="none" w:sz="0" w:space="0" w:color="000000"/>
          <w:left w:val="none" w:sz="0" w:space="0" w:color="000000"/>
          <w:bottom w:val="single" w:sz="4" w:space="0" w:color="5FCAF3" w:themeColor="accent4" w:themeTint="9A"/>
          <w:right w:val="none" w:sz="0" w:space="0" w:color="000000"/>
        </w:tcBorders>
        <w:shd w:val="clear" w:color="FFFFFF" w:themeColor="light1" w:fill="FFFFFF" w:themeFill="light1"/>
      </w:tcPr>
    </w:tblStylePr>
    <w:tblStylePr w:type="lastRow">
      <w:rPr>
        <w:rFonts w:ascii="Arial" w:hAnsi="Arial"/>
        <w:i/>
        <w:color w:val="5FCAF3" w:themeColor="accent4" w:themeTint="9A" w:themeShade="95"/>
        <w:sz w:val="22"/>
      </w:rPr>
      <w:tblPr/>
      <w:tcPr>
        <w:tcBorders>
          <w:top w:val="single" w:sz="4" w:space="0" w:color="5FCAF3" w:themeColor="accent4"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5FCAF3" w:themeColor="accent4" w:themeTint="9A" w:themeShade="95"/>
        <w:sz w:val="22"/>
      </w:rPr>
      <w:tblPr/>
      <w:tcPr>
        <w:tcBorders>
          <w:top w:val="none" w:sz="0" w:space="0" w:color="000000"/>
          <w:left w:val="none" w:sz="0" w:space="0" w:color="000000"/>
          <w:bottom w:val="none" w:sz="0" w:space="0" w:color="000000"/>
          <w:right w:val="single" w:sz="4" w:space="0" w:color="5FCAF3" w:themeColor="accent4" w:themeTint="9A"/>
        </w:tcBorders>
        <w:shd w:val="clear" w:color="FFFFFF" w:fill="auto"/>
      </w:tcPr>
    </w:tblStylePr>
    <w:tblStylePr w:type="lastCol">
      <w:rPr>
        <w:rFonts w:ascii="Arial" w:hAnsi="Arial"/>
        <w:i/>
        <w:color w:val="5FCAF3" w:themeColor="accent4" w:themeTint="9A" w:themeShade="95"/>
        <w:sz w:val="22"/>
      </w:rPr>
      <w:tblPr/>
      <w:tcPr>
        <w:tcBorders>
          <w:top w:val="none" w:sz="0" w:space="0" w:color="000000"/>
          <w:left w:val="single" w:sz="4" w:space="0" w:color="5FCAF3" w:themeColor="accent4" w:themeTint="9A"/>
          <w:bottom w:val="none" w:sz="0" w:space="0" w:color="000000"/>
          <w:right w:val="none" w:sz="0" w:space="0" w:color="000000"/>
        </w:tcBorders>
        <w:shd w:val="clear" w:color="FFFFFF" w:fill="auto"/>
      </w:tcPr>
    </w:tblStylePr>
    <w:tblStylePr w:type="band1Vert">
      <w:tblPr/>
      <w:tcPr>
        <w:shd w:val="clear" w:color="BCE9FA" w:themeColor="accent4" w:themeTint="40" w:fill="BCE9FA" w:themeFill="accent4" w:themeFillTint="40"/>
      </w:tcPr>
    </w:tblStylePr>
    <w:tblStylePr w:type="band1Horz">
      <w:rPr>
        <w:rFonts w:ascii="Arial" w:hAnsi="Arial"/>
        <w:color w:val="5FCAF3" w:themeColor="accent4" w:themeTint="9A" w:themeShade="95"/>
        <w:sz w:val="22"/>
      </w:rPr>
      <w:tblPr/>
      <w:tcPr>
        <w:shd w:val="clear" w:color="BCE9FA" w:themeColor="accent4" w:themeTint="40" w:fill="BCE9FA" w:themeFill="accent4" w:themeFillTint="40"/>
      </w:tcPr>
    </w:tblStylePr>
    <w:tblStylePr w:type="band2Horz">
      <w:rPr>
        <w:rFonts w:ascii="Arial" w:hAnsi="Arial"/>
        <w:color w:val="5FCAF3" w:themeColor="accent4" w:themeTint="9A" w:themeShade="95"/>
        <w:sz w:val="22"/>
      </w:rPr>
    </w:tblStylePr>
  </w:style>
  <w:style w:type="table" w:styleId="Listentabelle7farbigAkzent5">
    <w:name w:val="List Table 7 Colorful Accent 5"/>
    <w:basedOn w:val="NormaleTabelle"/>
    <w:uiPriority w:val="99"/>
    <w:pPr>
      <w:spacing w:after="0" w:line="240" w:lineRule="auto"/>
    </w:pPr>
    <w:tblPr>
      <w:tblStyleRowBandSize w:val="1"/>
      <w:tblStyleColBandSize w:val="1"/>
      <w:tblBorders>
        <w:right w:val="single" w:sz="4" w:space="0" w:color="D76CCB" w:themeColor="accent5" w:themeTint="9A"/>
      </w:tblBorders>
    </w:tblPr>
    <w:tblStylePr w:type="firstRow">
      <w:rPr>
        <w:rFonts w:ascii="Arial" w:hAnsi="Arial"/>
        <w:i/>
        <w:color w:val="D76CCB" w:themeColor="accent5" w:themeTint="9A" w:themeShade="95"/>
        <w:sz w:val="22"/>
      </w:rPr>
      <w:tblPr/>
      <w:tcPr>
        <w:tcBorders>
          <w:top w:val="none" w:sz="0" w:space="0" w:color="000000"/>
          <w:left w:val="none" w:sz="0" w:space="0" w:color="000000"/>
          <w:bottom w:val="single" w:sz="4" w:space="0" w:color="D76CCB" w:themeColor="accent5" w:themeTint="9A"/>
          <w:right w:val="none" w:sz="0" w:space="0" w:color="000000"/>
        </w:tcBorders>
        <w:shd w:val="clear" w:color="FFFFFF" w:themeColor="light1" w:fill="FFFFFF" w:themeFill="light1"/>
      </w:tcPr>
    </w:tblStylePr>
    <w:tblStylePr w:type="lastRow">
      <w:rPr>
        <w:rFonts w:ascii="Arial" w:hAnsi="Arial"/>
        <w:i/>
        <w:color w:val="D76CCB" w:themeColor="accent5" w:themeTint="9A" w:themeShade="95"/>
        <w:sz w:val="22"/>
      </w:rPr>
      <w:tblPr/>
      <w:tcPr>
        <w:tcBorders>
          <w:top w:val="single" w:sz="4" w:space="0" w:color="D76CCB" w:themeColor="accent5" w:themeTint="9A"/>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D76CCB" w:themeColor="accent5" w:themeTint="9A" w:themeShade="95"/>
        <w:sz w:val="22"/>
      </w:rPr>
      <w:tblPr/>
      <w:tcPr>
        <w:tcBorders>
          <w:top w:val="none" w:sz="0" w:space="0" w:color="000000"/>
          <w:left w:val="none" w:sz="0" w:space="0" w:color="000000"/>
          <w:bottom w:val="none" w:sz="0" w:space="0" w:color="000000"/>
          <w:right w:val="single" w:sz="4" w:space="0" w:color="D76CCB" w:themeColor="accent5" w:themeTint="9A"/>
        </w:tcBorders>
        <w:shd w:val="clear" w:color="FFFFFF" w:fill="auto"/>
      </w:tcPr>
    </w:tblStylePr>
    <w:tblStylePr w:type="lastCol">
      <w:rPr>
        <w:rFonts w:ascii="Arial" w:hAnsi="Arial"/>
        <w:i/>
        <w:color w:val="D76CCB" w:themeColor="accent5" w:themeTint="9A" w:themeShade="95"/>
        <w:sz w:val="22"/>
      </w:rPr>
      <w:tblPr/>
      <w:tcPr>
        <w:tcBorders>
          <w:top w:val="none" w:sz="0" w:space="0" w:color="000000"/>
          <w:left w:val="single" w:sz="4" w:space="0" w:color="D76CCB" w:themeColor="accent5" w:themeTint="9A"/>
          <w:bottom w:val="none" w:sz="0" w:space="0" w:color="000000"/>
          <w:right w:val="none" w:sz="0" w:space="0" w:color="000000"/>
        </w:tcBorders>
        <w:shd w:val="clear" w:color="FFFFFF" w:fill="auto"/>
      </w:tcPr>
    </w:tblStylePr>
    <w:tblStylePr w:type="band1Vert">
      <w:tblPr/>
      <w:tcPr>
        <w:shd w:val="clear" w:color="EEC2E9" w:themeColor="accent5" w:themeTint="40" w:fill="EEC2E9" w:themeFill="accent5" w:themeFillTint="40"/>
      </w:tcPr>
    </w:tblStylePr>
    <w:tblStylePr w:type="band1Horz">
      <w:rPr>
        <w:rFonts w:ascii="Arial" w:hAnsi="Arial"/>
        <w:color w:val="D76CCB" w:themeColor="accent5" w:themeTint="9A" w:themeShade="95"/>
        <w:sz w:val="22"/>
      </w:rPr>
      <w:tblPr/>
      <w:tcPr>
        <w:shd w:val="clear" w:color="EEC2E9" w:themeColor="accent5" w:themeTint="40" w:fill="EEC2E9" w:themeFill="accent5" w:themeFillTint="40"/>
      </w:tcPr>
    </w:tblStylePr>
    <w:tblStylePr w:type="band2Horz">
      <w:rPr>
        <w:rFonts w:ascii="Arial" w:hAnsi="Arial"/>
        <w:color w:val="D76CCB" w:themeColor="accent5" w:themeTint="9A" w:themeShade="95"/>
        <w:sz w:val="22"/>
      </w:rPr>
    </w:tblStylePr>
  </w:style>
  <w:style w:type="table" w:styleId="Listentabelle7farbigAkzent6">
    <w:name w:val="List Table 7 Colorful Accent 6"/>
    <w:basedOn w:val="NormaleTabelle"/>
    <w:uiPriority w:val="99"/>
    <w:pPr>
      <w:spacing w:after="0" w:line="240" w:lineRule="auto"/>
    </w:pPr>
    <w:tblPr>
      <w:tblStyleRowBandSize w:val="1"/>
      <w:tblStyleColBandSize w:val="1"/>
      <w:tblBorders>
        <w:right w:val="single" w:sz="4" w:space="0" w:color="8ED873" w:themeColor="accent6" w:themeTint="98"/>
      </w:tblBorders>
    </w:tblPr>
    <w:tblStylePr w:type="firstRow">
      <w:rPr>
        <w:rFonts w:ascii="Arial" w:hAnsi="Arial"/>
        <w:i/>
        <w:color w:val="8ED873" w:themeColor="accent6" w:themeTint="98" w:themeShade="95"/>
        <w:sz w:val="22"/>
      </w:rPr>
      <w:tblPr/>
      <w:tcPr>
        <w:tcBorders>
          <w:top w:val="none" w:sz="0" w:space="0" w:color="000000"/>
          <w:left w:val="none" w:sz="0" w:space="0" w:color="000000"/>
          <w:bottom w:val="single" w:sz="4" w:space="0" w:color="8ED873" w:themeColor="accent6" w:themeTint="98"/>
          <w:right w:val="none" w:sz="0" w:space="0" w:color="000000"/>
        </w:tcBorders>
        <w:shd w:val="clear" w:color="FFFFFF" w:themeColor="light1" w:fill="FFFFFF" w:themeFill="light1"/>
      </w:tcPr>
    </w:tblStylePr>
    <w:tblStylePr w:type="lastRow">
      <w:rPr>
        <w:rFonts w:ascii="Arial" w:hAnsi="Arial"/>
        <w:i/>
        <w:color w:val="8ED873" w:themeColor="accent6" w:themeTint="98" w:themeShade="95"/>
        <w:sz w:val="22"/>
      </w:rPr>
      <w:tblPr/>
      <w:tcPr>
        <w:tcBorders>
          <w:top w:val="single" w:sz="4" w:space="0" w:color="8ED873" w:themeColor="accent6" w:themeTint="98"/>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8ED873" w:themeColor="accent6" w:themeTint="98" w:themeShade="95"/>
        <w:sz w:val="22"/>
      </w:rPr>
      <w:tblPr/>
      <w:tcPr>
        <w:tcBorders>
          <w:top w:val="none" w:sz="0" w:space="0" w:color="000000"/>
          <w:left w:val="none" w:sz="0" w:space="0" w:color="000000"/>
          <w:bottom w:val="none" w:sz="0" w:space="0" w:color="000000"/>
          <w:right w:val="single" w:sz="4" w:space="0" w:color="8ED873" w:themeColor="accent6" w:themeTint="98"/>
        </w:tcBorders>
        <w:shd w:val="clear" w:color="FFFFFF" w:fill="auto"/>
      </w:tcPr>
    </w:tblStylePr>
    <w:tblStylePr w:type="lastCol">
      <w:rPr>
        <w:rFonts w:ascii="Arial" w:hAnsi="Arial"/>
        <w:i/>
        <w:color w:val="8ED873" w:themeColor="accent6" w:themeTint="98" w:themeShade="95"/>
        <w:sz w:val="22"/>
      </w:rPr>
      <w:tblPr/>
      <w:tcPr>
        <w:tcBorders>
          <w:top w:val="none" w:sz="0" w:space="0" w:color="000000"/>
          <w:left w:val="single" w:sz="4" w:space="0" w:color="8ED873" w:themeColor="accent6" w:themeTint="98"/>
          <w:bottom w:val="none" w:sz="0" w:space="0" w:color="000000"/>
          <w:right w:val="none" w:sz="0" w:space="0" w:color="000000"/>
        </w:tcBorders>
        <w:shd w:val="clear" w:color="FFFFFF" w:fill="auto"/>
      </w:tcPr>
    </w:tblStylePr>
    <w:tblStylePr w:type="band1Vert">
      <w:tblPr/>
      <w:tcPr>
        <w:shd w:val="clear" w:color="CFEFC4" w:themeColor="accent6" w:themeTint="40" w:fill="CFEFC4" w:themeFill="accent6" w:themeFillTint="40"/>
      </w:tcPr>
    </w:tblStylePr>
    <w:tblStylePr w:type="band1Horz">
      <w:rPr>
        <w:rFonts w:ascii="Arial" w:hAnsi="Arial"/>
        <w:color w:val="8ED873" w:themeColor="accent6" w:themeTint="98" w:themeShade="95"/>
        <w:sz w:val="22"/>
      </w:rPr>
      <w:tblPr/>
      <w:tcPr>
        <w:shd w:val="clear" w:color="CFEFC4" w:themeColor="accent6" w:themeTint="40" w:fill="CFEFC4" w:themeFill="accent6" w:themeFillTint="40"/>
      </w:tcPr>
    </w:tblStylePr>
    <w:tblStylePr w:type="band2Horz">
      <w:rPr>
        <w:rFonts w:ascii="Arial" w:hAnsi="Arial"/>
        <w:color w:val="8ED873" w:themeColor="accent6" w:themeTint="98" w:themeShade="95"/>
        <w:sz w:val="22"/>
      </w:rPr>
    </w:tblStylePr>
  </w:style>
  <w:style w:type="table" w:styleId="EinfacheTabelle1">
    <w:name w:val="Plain Table 1"/>
    <w:basedOn w:val="NormaleTabelle"/>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EinfacheTabelle2">
    <w:name w:val="Plain Table 2"/>
    <w:basedOn w:val="NormaleTabelle"/>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3">
    <w:name w:val="Plain Table 3"/>
    <w:basedOn w:val="NormaleTabelle"/>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4">
    <w:name w:val="Plain Table 4"/>
    <w:basedOn w:val="NormaleTabelle"/>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EinfacheTabelle5">
    <w:name w:val="Plain Table 5"/>
    <w:basedOn w:val="NormaleTabelle"/>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itternetztabelle1hell">
    <w:name w:val="Grid Table 1 Light"/>
    <w:basedOn w:val="NormaleTabelle"/>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itternetztabelle2">
    <w:name w:val="Grid Table 2"/>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3">
    <w:name w:val="Grid Table 3"/>
    <w:basedOn w:val="NormaleTabelle"/>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4">
    <w:name w:val="Grid Table 4"/>
    <w:basedOn w:val="NormaleTabelle"/>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styleId="Gitternetztabelle5dunkel">
    <w:name w:val="Grid Table 5 Dark"/>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E4F4" w:themeColor="accent1" w:themeTint="34" w:fill="BFE4F4" w:themeFill="accent1" w:themeFillTint="34"/>
    </w:tblPr>
    <w:tblStylePr w:type="firstRow">
      <w:rPr>
        <w:rFonts w:ascii="Arial" w:hAnsi="Arial"/>
        <w:b/>
        <w:color w:val="FFFFFF"/>
        <w:sz w:val="22"/>
      </w:rPr>
      <w:tblPr/>
      <w:tcPr>
        <w:shd w:val="clear" w:color="156082" w:themeColor="accent1" w:fill="156082" w:themeFill="accent1"/>
      </w:tcPr>
    </w:tblStylePr>
    <w:tblStylePr w:type="lastRow">
      <w:rPr>
        <w:rFonts w:ascii="Arial" w:hAnsi="Arial"/>
        <w:b/>
        <w:color w:val="FFFFFF"/>
        <w:sz w:val="22"/>
      </w:rPr>
      <w:tblPr/>
      <w:tcPr>
        <w:tcBorders>
          <w:top w:val="single" w:sz="4" w:space="0" w:color="FFFFFF" w:themeColor="light1"/>
        </w:tcBorders>
        <w:shd w:val="clear" w:color="156082" w:themeColor="accent1" w:fill="156082" w:themeFill="accent1"/>
      </w:tcPr>
    </w:tblStylePr>
    <w:tblStylePr w:type="firstCol">
      <w:rPr>
        <w:rFonts w:ascii="Arial" w:hAnsi="Arial"/>
        <w:b/>
        <w:color w:val="FFFFFF"/>
        <w:sz w:val="22"/>
      </w:rPr>
      <w:tblPr/>
      <w:tcPr>
        <w:shd w:val="clear" w:color="156082" w:themeColor="accent1" w:fill="156082" w:themeFill="accent1"/>
      </w:tcPr>
    </w:tblStylePr>
    <w:tblStylePr w:type="lastCol">
      <w:rPr>
        <w:rFonts w:ascii="Arial" w:hAnsi="Arial"/>
        <w:b/>
        <w:color w:val="FFFFFF"/>
        <w:sz w:val="22"/>
      </w:rPr>
      <w:tblPr/>
      <w:tcPr>
        <w:shd w:val="clear" w:color="156082" w:themeColor="accent1" w:fill="156082" w:themeFill="accent1"/>
      </w:tcPr>
    </w:tblStylePr>
    <w:tblStylePr w:type="band1Vert">
      <w:tblPr/>
      <w:tcPr>
        <w:shd w:val="clear" w:color="70C2E8" w:themeColor="accent1" w:themeTint="75" w:fill="70C2E8" w:themeFill="accent1" w:themeFillTint="75"/>
      </w:tcPr>
    </w:tblStylePr>
    <w:tblStylePr w:type="band1Horz">
      <w:tblPr/>
      <w:tcPr>
        <w:shd w:val="clear" w:color="70C2E8" w:themeColor="accent1" w:themeTint="75" w:fill="70C2E8" w:themeFill="accent1" w:themeFillTint="75"/>
      </w:tcPr>
    </w:tblStylePr>
  </w:style>
  <w:style w:type="table" w:customStyle="1" w:styleId="GridTable5Dark-Accent4">
    <w:name w:val="Grid Table 5 Dark- Accent 4"/>
    <w:basedOn w:val="NormaleTabelle"/>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9EDFB" w:themeColor="accent4" w:themeTint="34" w:fill="C9EDFB" w:themeFill="accent4" w:themeFillTint="34"/>
    </w:tblPr>
    <w:tblStylePr w:type="firstRow">
      <w:rPr>
        <w:rFonts w:ascii="Arial" w:hAnsi="Arial"/>
        <w:b/>
        <w:color w:val="FFFFFF"/>
        <w:sz w:val="22"/>
      </w:rPr>
      <w:tblPr/>
      <w:tcPr>
        <w:shd w:val="clear" w:color="0F9ED5" w:themeColor="accent4" w:fill="0F9ED5" w:themeFill="accent4"/>
      </w:tcPr>
    </w:tblStylePr>
    <w:tblStylePr w:type="lastRow">
      <w:rPr>
        <w:rFonts w:ascii="Arial" w:hAnsi="Arial"/>
        <w:b/>
        <w:color w:val="FFFFFF"/>
        <w:sz w:val="22"/>
      </w:rPr>
      <w:tblPr/>
      <w:tcPr>
        <w:tcBorders>
          <w:top w:val="single" w:sz="4" w:space="0" w:color="FFFFFF" w:themeColor="light1"/>
        </w:tcBorders>
        <w:shd w:val="clear" w:color="0F9ED5" w:themeColor="accent4" w:fill="0F9ED5" w:themeFill="accent4"/>
      </w:tcPr>
    </w:tblStylePr>
    <w:tblStylePr w:type="firstCol">
      <w:rPr>
        <w:rFonts w:ascii="Arial" w:hAnsi="Arial"/>
        <w:b/>
        <w:color w:val="FFFFFF"/>
        <w:sz w:val="22"/>
      </w:rPr>
      <w:tblPr/>
      <w:tcPr>
        <w:shd w:val="clear" w:color="0F9ED5" w:themeColor="accent4" w:fill="0F9ED5" w:themeFill="accent4"/>
      </w:tcPr>
    </w:tblStylePr>
    <w:tblStylePr w:type="lastCol">
      <w:rPr>
        <w:rFonts w:ascii="Arial" w:hAnsi="Arial"/>
        <w:b/>
        <w:color w:val="FFFFFF"/>
        <w:sz w:val="22"/>
      </w:rPr>
      <w:tblPr/>
      <w:tcPr>
        <w:shd w:val="clear" w:color="0F9ED5" w:themeColor="accent4" w:fill="0F9ED5" w:themeFill="accent4"/>
      </w:tcPr>
    </w:tblStylePr>
    <w:tblStylePr w:type="band1Vert">
      <w:tblPr/>
      <w:tcPr>
        <w:shd w:val="clear" w:color="85D7F6" w:themeColor="accent4" w:themeTint="75" w:fill="85D7F6" w:themeFill="accent4" w:themeFillTint="75"/>
      </w:tcPr>
    </w:tblStylePr>
    <w:tblStylePr w:type="band1Horz">
      <w:tblPr/>
      <w:tcPr>
        <w:shd w:val="clear" w:color="85D7F6" w:themeColor="accent4" w:themeTint="75" w:fill="85D7F6" w:themeFill="accent4" w:themeFillTint="75"/>
      </w:tcPr>
    </w:tblStylePr>
  </w:style>
  <w:style w:type="table" w:styleId="Gitternetztabelle6farbig">
    <w:name w:val="Grid Table 6 Colorful"/>
    <w:basedOn w:val="NormaleTabelle"/>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styleId="Gitternetztabelle7farbig">
    <w:name w:val="Grid Table 7 Colorful"/>
    <w:basedOn w:val="NormaleTabelle"/>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styleId="Listentabelle1hell">
    <w:name w:val="List Table 1 Light"/>
    <w:basedOn w:val="NormaleTabelle"/>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styleId="Listentabelle2">
    <w:name w:val="List Table 2"/>
    <w:basedOn w:val="NormaleTabelle"/>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3">
    <w:name w:val="List Table 3"/>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4">
    <w:name w:val="List Table 4"/>
    <w:basedOn w:val="NormaleTabelle"/>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styleId="Listentabelle5dunkel">
    <w:name w:val="List Table 5 Dark"/>
    <w:basedOn w:val="NormaleTabelle"/>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styleId="Listentabelle6farbig">
    <w:name w:val="List Table 6 Colorful"/>
    <w:basedOn w:val="NormaleTabelle"/>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styleId="Listentabelle7farbig">
    <w:name w:val="List Table 7 Colorful"/>
    <w:basedOn w:val="NormaleTabelle"/>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000000"/>
          <w:left w:val="none" w:sz="0" w:space="0" w:color="000000"/>
          <w:bottom w:val="single" w:sz="4" w:space="0" w:color="7F7F7F" w:themeColor="text1" w:themeTint="80"/>
          <w:right w:val="none" w:sz="0"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000000"/>
          <w:bottom w:val="none" w:sz="0" w:space="0" w:color="000000"/>
          <w:right w:val="none" w:sz="0"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000000"/>
          <w:left w:val="none" w:sz="0" w:space="0" w:color="000000"/>
          <w:bottom w:val="none" w:sz="0"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000000"/>
          <w:left w:val="single" w:sz="4" w:space="0" w:color="7F7F7F" w:themeColor="text1" w:themeTint="80"/>
          <w:bottom w:val="none" w:sz="0" w:space="0" w:color="000000"/>
          <w:right w:val="none" w:sz="0"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ned-Accent">
    <w:name w:val="Lined - Accent"/>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Lined-Accent2">
    <w:name w:val="Lined - Accent 2"/>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Lined-Accent3">
    <w:name w:val="Lined - Accent 3"/>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Lined-Accent4">
    <w:name w:val="Lined - Accent 4"/>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Lined-Accent5">
    <w:name w:val="Lined - Accent 5"/>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Lined-Accent6">
    <w:name w:val="Lined - Accent 6"/>
    <w:basedOn w:val="NormaleTabelle"/>
    <w:uiPriority w:val="99"/>
    <w:pPr>
      <w:spacing w:after="0" w:line="240" w:lineRule="auto"/>
    </w:pPr>
    <w:rPr>
      <w:color w:val="404040"/>
      <w:sz w:val="20"/>
      <w:szCs w:val="20"/>
      <w14:ligatures w14:val="none"/>
    </w:rPr>
    <w:tblPr>
      <w:tblStyleRowBandSize w:val="1"/>
      <w:tblStyleColBandSize w:val="1"/>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Lined-Accent">
    <w:name w:val="Bordered &amp; Lined - Accent"/>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0C374B" w:themeColor="accent1" w:themeShade="95"/>
        <w:left w:val="single" w:sz="4" w:space="0" w:color="0C374B" w:themeColor="accent1" w:themeShade="95"/>
        <w:bottom w:val="single" w:sz="4" w:space="0" w:color="0C374B" w:themeColor="accent1" w:themeShade="95"/>
        <w:right w:val="single" w:sz="4" w:space="0" w:color="0C374B" w:themeColor="accent1" w:themeShade="95"/>
        <w:insideH w:val="single" w:sz="4" w:space="0" w:color="0C374B" w:themeColor="accent1" w:themeShade="95"/>
        <w:insideV w:val="single" w:sz="4" w:space="0" w:color="0C374B" w:themeColor="accent1" w:themeShade="95"/>
      </w:tblBorders>
    </w:tblPr>
    <w:tblStylePr w:type="firstRow">
      <w:rPr>
        <w:rFonts w:ascii="Arial" w:hAnsi="Arial"/>
        <w:color w:val="F2F2F2"/>
        <w:sz w:val="22"/>
      </w:rPr>
      <w:tblPr/>
      <w:tcPr>
        <w:shd w:val="clear" w:color="19729B" w:themeColor="accent1" w:themeTint="EA" w:fill="19729B" w:themeFill="accent1" w:themeFillTint="EA"/>
      </w:tcPr>
    </w:tblStylePr>
    <w:tblStylePr w:type="lastRow">
      <w:rPr>
        <w:rFonts w:ascii="Arial" w:hAnsi="Arial"/>
        <w:color w:val="F2F2F2"/>
        <w:sz w:val="22"/>
      </w:rPr>
      <w:tblPr/>
      <w:tcPr>
        <w:shd w:val="clear" w:color="19729B" w:themeColor="accent1" w:themeTint="EA" w:fill="19729B" w:themeFill="accent1" w:themeFillTint="EA"/>
      </w:tcPr>
    </w:tblStylePr>
    <w:tblStylePr w:type="firstCol">
      <w:rPr>
        <w:rFonts w:ascii="Arial" w:hAnsi="Arial"/>
        <w:color w:val="F2F2F2"/>
        <w:sz w:val="22"/>
      </w:rPr>
      <w:tblPr/>
      <w:tcPr>
        <w:shd w:val="clear" w:color="19729B" w:themeColor="accent1" w:themeTint="EA" w:fill="19729B" w:themeFill="accent1" w:themeFillTint="EA"/>
      </w:tcPr>
    </w:tblStylePr>
    <w:tblStylePr w:type="lastCol">
      <w:rPr>
        <w:rFonts w:ascii="Arial" w:hAnsi="Arial"/>
        <w:color w:val="F2F2F2"/>
        <w:sz w:val="22"/>
      </w:rPr>
      <w:tblPr/>
      <w:tcPr>
        <w:shd w:val="clear" w:color="19729B" w:themeColor="accent1" w:themeTint="EA" w:fill="19729B"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9ED5EF" w:themeColor="accent1" w:themeTint="50" w:fill="9ED5EF"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9ED5EF" w:themeColor="accent1" w:themeTint="50" w:fill="9ED5EF" w:themeFill="accent1" w:themeFillTint="50"/>
      </w:tcPr>
    </w:tblStylePr>
  </w:style>
  <w:style w:type="table" w:customStyle="1" w:styleId="BorderedLined-Accent2">
    <w:name w:val="Bordered &amp; Lined - Accent 2"/>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953D10" w:themeColor="accent2" w:themeShade="95"/>
        <w:left w:val="single" w:sz="4" w:space="0" w:color="953D10" w:themeColor="accent2" w:themeShade="95"/>
        <w:bottom w:val="single" w:sz="4" w:space="0" w:color="953D10" w:themeColor="accent2" w:themeShade="95"/>
        <w:right w:val="single" w:sz="4" w:space="0" w:color="953D10" w:themeColor="accent2" w:themeShade="95"/>
        <w:insideH w:val="single" w:sz="4" w:space="0" w:color="953D10" w:themeColor="accent2" w:themeShade="95"/>
        <w:insideV w:val="single" w:sz="4" w:space="0" w:color="953D10" w:themeColor="accent2" w:themeShade="95"/>
      </w:tblBorders>
    </w:tblPr>
    <w:tblStylePr w:type="firstRow">
      <w:rPr>
        <w:rFonts w:ascii="Arial" w:hAnsi="Arial"/>
        <w:color w:val="F2F2F2"/>
        <w:sz w:val="22"/>
      </w:rPr>
      <w:tblPr/>
      <w:tcPr>
        <w:shd w:val="clear" w:color="F2AA85" w:themeColor="accent2" w:themeTint="97" w:fill="F2AA85" w:themeFill="accent2" w:themeFillTint="97"/>
      </w:tcPr>
    </w:tblStylePr>
    <w:tblStylePr w:type="lastRow">
      <w:rPr>
        <w:rFonts w:ascii="Arial" w:hAnsi="Arial"/>
        <w:color w:val="F2F2F2"/>
        <w:sz w:val="22"/>
      </w:rPr>
      <w:tblPr/>
      <w:tcPr>
        <w:shd w:val="clear" w:color="F2AA85" w:themeColor="accent2" w:themeTint="97" w:fill="F2AA85" w:themeFill="accent2" w:themeFillTint="97"/>
      </w:tcPr>
    </w:tblStylePr>
    <w:tblStylePr w:type="firstCol">
      <w:rPr>
        <w:rFonts w:ascii="Arial" w:hAnsi="Arial"/>
        <w:color w:val="F2F2F2"/>
        <w:sz w:val="22"/>
      </w:rPr>
      <w:tblPr/>
      <w:tcPr>
        <w:shd w:val="clear" w:color="F2AA85" w:themeColor="accent2" w:themeTint="97" w:fill="F2AA85" w:themeFill="accent2" w:themeFillTint="97"/>
      </w:tcPr>
    </w:tblStylePr>
    <w:tblStylePr w:type="lastCol">
      <w:rPr>
        <w:rFonts w:ascii="Arial" w:hAnsi="Arial"/>
        <w:color w:val="F2F2F2"/>
        <w:sz w:val="22"/>
      </w:rPr>
      <w:tblPr/>
      <w:tcPr>
        <w:shd w:val="clear" w:color="F2AA85" w:themeColor="accent2" w:themeTint="97" w:fill="F2AA8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AE2D6" w:themeColor="accent2" w:themeTint="32" w:fill="FAE2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AE2D6" w:themeColor="accent2" w:themeTint="32" w:fill="FAE2D6" w:themeFill="accent2" w:themeFillTint="32"/>
      </w:tcPr>
    </w:tblStylePr>
  </w:style>
  <w:style w:type="table" w:customStyle="1" w:styleId="BorderedLined-Accent3">
    <w:name w:val="Bordered &amp; Lined - Accent 3"/>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0E3E15" w:themeColor="accent3" w:themeShade="95"/>
        <w:left w:val="single" w:sz="4" w:space="0" w:color="0E3E15" w:themeColor="accent3" w:themeShade="95"/>
        <w:bottom w:val="single" w:sz="4" w:space="0" w:color="0E3E15" w:themeColor="accent3" w:themeShade="95"/>
        <w:right w:val="single" w:sz="4" w:space="0" w:color="0E3E15" w:themeColor="accent3" w:themeShade="95"/>
        <w:insideH w:val="single" w:sz="4" w:space="0" w:color="0E3E15" w:themeColor="accent3" w:themeShade="95"/>
        <w:insideV w:val="single" w:sz="4" w:space="0" w:color="0E3E15" w:themeColor="accent3" w:themeShade="95"/>
      </w:tblBorders>
    </w:tblPr>
    <w:tblStylePr w:type="firstRow">
      <w:rPr>
        <w:rFonts w:ascii="Arial" w:hAnsi="Arial"/>
        <w:color w:val="F2F2F2"/>
        <w:sz w:val="22"/>
      </w:rPr>
      <w:tblPr/>
      <w:tcPr>
        <w:shd w:val="clear" w:color="196C24" w:themeColor="accent3" w:themeTint="FE" w:fill="196C24" w:themeFill="accent3" w:themeFillTint="FE"/>
      </w:tcPr>
    </w:tblStylePr>
    <w:tblStylePr w:type="lastRow">
      <w:rPr>
        <w:rFonts w:ascii="Arial" w:hAnsi="Arial"/>
        <w:color w:val="F2F2F2"/>
        <w:sz w:val="22"/>
      </w:rPr>
      <w:tblPr/>
      <w:tcPr>
        <w:shd w:val="clear" w:color="196C24" w:themeColor="accent3" w:themeTint="FE" w:fill="196C24" w:themeFill="accent3" w:themeFillTint="FE"/>
      </w:tcPr>
    </w:tblStylePr>
    <w:tblStylePr w:type="firstCol">
      <w:rPr>
        <w:rFonts w:ascii="Arial" w:hAnsi="Arial"/>
        <w:color w:val="F2F2F2"/>
        <w:sz w:val="22"/>
      </w:rPr>
      <w:tblPr/>
      <w:tcPr>
        <w:shd w:val="clear" w:color="196C24" w:themeColor="accent3" w:themeTint="FE" w:fill="196C24" w:themeFill="accent3" w:themeFillTint="FE"/>
      </w:tcPr>
    </w:tblStylePr>
    <w:tblStylePr w:type="lastCol">
      <w:rPr>
        <w:rFonts w:ascii="Arial" w:hAnsi="Arial"/>
        <w:color w:val="F2F2F2"/>
        <w:sz w:val="22"/>
      </w:rPr>
      <w:tblPr/>
      <w:tcPr>
        <w:shd w:val="clear" w:color="196C24" w:themeColor="accent3" w:themeTint="FE" w:fill="196C24"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0F0C6" w:themeColor="accent3" w:themeTint="34" w:fill="C0F0C6"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0F0C6" w:themeColor="accent3" w:themeTint="34" w:fill="C0F0C6" w:themeFill="accent3" w:themeFillTint="34"/>
      </w:tcPr>
    </w:tblStylePr>
  </w:style>
  <w:style w:type="table" w:customStyle="1" w:styleId="BorderedLined-Accent4">
    <w:name w:val="Bordered &amp; Lined - Accent 4"/>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085C7C" w:themeColor="accent4" w:themeShade="95"/>
        <w:left w:val="single" w:sz="4" w:space="0" w:color="085C7C" w:themeColor="accent4" w:themeShade="95"/>
        <w:bottom w:val="single" w:sz="4" w:space="0" w:color="085C7C" w:themeColor="accent4" w:themeShade="95"/>
        <w:right w:val="single" w:sz="4" w:space="0" w:color="085C7C" w:themeColor="accent4" w:themeShade="95"/>
        <w:insideH w:val="single" w:sz="4" w:space="0" w:color="085C7C" w:themeColor="accent4" w:themeShade="95"/>
        <w:insideV w:val="single" w:sz="4" w:space="0" w:color="085C7C" w:themeColor="accent4" w:themeShade="95"/>
      </w:tblBorders>
    </w:tblPr>
    <w:tblStylePr w:type="firstRow">
      <w:rPr>
        <w:rFonts w:ascii="Arial" w:hAnsi="Arial"/>
        <w:color w:val="F2F2F2"/>
        <w:sz w:val="22"/>
      </w:rPr>
      <w:tblPr/>
      <w:tcPr>
        <w:shd w:val="clear" w:color="5FCAF3" w:themeColor="accent4" w:themeTint="9A" w:fill="5FCAF3" w:themeFill="accent4" w:themeFillTint="9A"/>
      </w:tcPr>
    </w:tblStylePr>
    <w:tblStylePr w:type="lastRow">
      <w:rPr>
        <w:rFonts w:ascii="Arial" w:hAnsi="Arial"/>
        <w:color w:val="F2F2F2"/>
        <w:sz w:val="22"/>
      </w:rPr>
      <w:tblPr/>
      <w:tcPr>
        <w:shd w:val="clear" w:color="5FCAF3" w:themeColor="accent4" w:themeTint="9A" w:fill="5FCAF3" w:themeFill="accent4" w:themeFillTint="9A"/>
      </w:tcPr>
    </w:tblStylePr>
    <w:tblStylePr w:type="firstCol">
      <w:rPr>
        <w:rFonts w:ascii="Arial" w:hAnsi="Arial"/>
        <w:color w:val="F2F2F2"/>
        <w:sz w:val="22"/>
      </w:rPr>
      <w:tblPr/>
      <w:tcPr>
        <w:shd w:val="clear" w:color="5FCAF3" w:themeColor="accent4" w:themeTint="9A" w:fill="5FCAF3" w:themeFill="accent4" w:themeFillTint="9A"/>
      </w:tcPr>
    </w:tblStylePr>
    <w:tblStylePr w:type="lastCol">
      <w:rPr>
        <w:rFonts w:ascii="Arial" w:hAnsi="Arial"/>
        <w:color w:val="F2F2F2"/>
        <w:sz w:val="22"/>
      </w:rPr>
      <w:tblPr/>
      <w:tcPr>
        <w:shd w:val="clear" w:color="5FCAF3" w:themeColor="accent4" w:themeTint="9A" w:fill="5FCAF3"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9EDFB" w:themeColor="accent4" w:themeTint="34" w:fill="C9EDF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9EDFB" w:themeColor="accent4" w:themeTint="34" w:fill="C9EDFB" w:themeFill="accent4" w:themeFillTint="34"/>
      </w:tcPr>
    </w:tblStylePr>
  </w:style>
  <w:style w:type="table" w:customStyle="1" w:styleId="BorderedLined-Accent5">
    <w:name w:val="Bordered &amp; Lined - Accent 5"/>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5D1955" w:themeColor="accent5" w:themeShade="95"/>
        <w:left w:val="single" w:sz="4" w:space="0" w:color="5D1955" w:themeColor="accent5" w:themeShade="95"/>
        <w:bottom w:val="single" w:sz="4" w:space="0" w:color="5D1955" w:themeColor="accent5" w:themeShade="95"/>
        <w:right w:val="single" w:sz="4" w:space="0" w:color="5D1955" w:themeColor="accent5" w:themeShade="95"/>
        <w:insideH w:val="single" w:sz="4" w:space="0" w:color="5D1955" w:themeColor="accent5" w:themeShade="95"/>
        <w:insideV w:val="single" w:sz="4" w:space="0" w:color="5D1955" w:themeColor="accent5" w:themeShade="95"/>
      </w:tblBorders>
    </w:tblPr>
    <w:tblStylePr w:type="firstRow">
      <w:rPr>
        <w:rFonts w:ascii="Arial" w:hAnsi="Arial"/>
        <w:color w:val="F2F2F2"/>
        <w:sz w:val="22"/>
      </w:rPr>
      <w:tblPr/>
      <w:tcPr>
        <w:shd w:val="clear" w:color="A02B93" w:themeColor="accent5" w:fill="A02B93" w:themeFill="accent5"/>
      </w:tcPr>
    </w:tblStylePr>
    <w:tblStylePr w:type="lastRow">
      <w:rPr>
        <w:rFonts w:ascii="Arial" w:hAnsi="Arial"/>
        <w:color w:val="F2F2F2"/>
        <w:sz w:val="22"/>
      </w:rPr>
      <w:tblPr/>
      <w:tcPr>
        <w:shd w:val="clear" w:color="A02B93" w:themeColor="accent5" w:fill="A02B93" w:themeFill="accent5"/>
      </w:tcPr>
    </w:tblStylePr>
    <w:tblStylePr w:type="firstCol">
      <w:rPr>
        <w:rFonts w:ascii="Arial" w:hAnsi="Arial"/>
        <w:color w:val="F2F2F2"/>
        <w:sz w:val="22"/>
      </w:rPr>
      <w:tblPr/>
      <w:tcPr>
        <w:shd w:val="clear" w:color="A02B93" w:themeColor="accent5" w:fill="A02B93" w:themeFill="accent5"/>
      </w:tcPr>
    </w:tblStylePr>
    <w:tblStylePr w:type="lastCol">
      <w:rPr>
        <w:rFonts w:ascii="Arial" w:hAnsi="Arial"/>
        <w:color w:val="F2F2F2"/>
        <w:sz w:val="22"/>
      </w:rPr>
      <w:tblPr/>
      <w:tcPr>
        <w:shd w:val="clear" w:color="A02B93" w:themeColor="accent5" w:fill="A02B93"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1CDED" w:themeColor="accent5" w:themeTint="34" w:fill="F1CDED"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1CDED" w:themeColor="accent5" w:themeTint="34" w:fill="F1CDED" w:themeFill="accent5" w:themeFillTint="34"/>
      </w:tcPr>
    </w:tblStylePr>
  </w:style>
  <w:style w:type="table" w:customStyle="1" w:styleId="BorderedLined-Accent6">
    <w:name w:val="Bordered &amp; Lined - Accent 6"/>
    <w:basedOn w:val="NormaleTabelle"/>
    <w:uiPriority w:val="99"/>
    <w:pPr>
      <w:spacing w:after="0" w:line="240" w:lineRule="auto"/>
    </w:pPr>
    <w:rPr>
      <w:color w:val="404040"/>
      <w:sz w:val="20"/>
      <w:szCs w:val="20"/>
      <w14:ligatures w14:val="none"/>
    </w:rPr>
    <w:tblPr>
      <w:tblStyleRowBandSize w:val="1"/>
      <w:tblStyleColBandSize w:val="1"/>
      <w:tblBorders>
        <w:top w:val="single" w:sz="4" w:space="0" w:color="2D611B" w:themeColor="accent6" w:themeShade="95"/>
        <w:left w:val="single" w:sz="4" w:space="0" w:color="2D611B" w:themeColor="accent6" w:themeShade="95"/>
        <w:bottom w:val="single" w:sz="4" w:space="0" w:color="2D611B" w:themeColor="accent6" w:themeShade="95"/>
        <w:right w:val="single" w:sz="4" w:space="0" w:color="2D611B" w:themeColor="accent6" w:themeShade="95"/>
        <w:insideH w:val="single" w:sz="4" w:space="0" w:color="2D611B" w:themeColor="accent6" w:themeShade="95"/>
        <w:insideV w:val="single" w:sz="4" w:space="0" w:color="2D611B" w:themeColor="accent6" w:themeShade="95"/>
      </w:tblBorders>
    </w:tblPr>
    <w:tblStylePr w:type="firstRow">
      <w:rPr>
        <w:rFonts w:ascii="Arial" w:hAnsi="Arial"/>
        <w:color w:val="F2F2F2"/>
        <w:sz w:val="22"/>
      </w:rPr>
      <w:tblPr/>
      <w:tcPr>
        <w:shd w:val="clear" w:color="4EA72E" w:themeColor="accent6" w:fill="4EA72E" w:themeFill="accent6"/>
      </w:tcPr>
    </w:tblStylePr>
    <w:tblStylePr w:type="lastRow">
      <w:rPr>
        <w:rFonts w:ascii="Arial" w:hAnsi="Arial"/>
        <w:color w:val="F2F2F2"/>
        <w:sz w:val="22"/>
      </w:rPr>
      <w:tblPr/>
      <w:tcPr>
        <w:shd w:val="clear" w:color="4EA72E" w:themeColor="accent6" w:fill="4EA72E" w:themeFill="accent6"/>
      </w:tcPr>
    </w:tblStylePr>
    <w:tblStylePr w:type="firstCol">
      <w:rPr>
        <w:rFonts w:ascii="Arial" w:hAnsi="Arial"/>
        <w:color w:val="F2F2F2"/>
        <w:sz w:val="22"/>
      </w:rPr>
      <w:tblPr/>
      <w:tcPr>
        <w:shd w:val="clear" w:color="4EA72E" w:themeColor="accent6" w:fill="4EA72E" w:themeFill="accent6"/>
      </w:tcPr>
    </w:tblStylePr>
    <w:tblStylePr w:type="lastCol">
      <w:rPr>
        <w:rFonts w:ascii="Arial" w:hAnsi="Arial"/>
        <w:color w:val="F2F2F2"/>
        <w:sz w:val="22"/>
      </w:rPr>
      <w:tblPr/>
      <w:tcPr>
        <w:shd w:val="clear" w:color="4EA72E" w:themeColor="accent6" w:fill="4EA72E" w:themeFill="accent6"/>
      </w:tcPr>
    </w:tblStylePr>
    <w:tblStylePr w:type="band1Vert">
      <w:rPr>
        <w:rFonts w:ascii="Arial" w:hAnsi="Arial"/>
        <w:color w:val="404040"/>
        <w:sz w:val="22"/>
      </w:rPr>
    </w:tblStylePr>
    <w:tblStylePr w:type="band2Vert">
      <w:rPr>
        <w:rFonts w:ascii="Arial" w:hAnsi="Arial"/>
        <w:color w:val="404040"/>
        <w:sz w:val="22"/>
      </w:rPr>
      <w:tblPr/>
      <w:tcPr>
        <w:shd w:val="clear" w:color="D8F2CF" w:themeColor="accent6" w:themeTint="34" w:fill="D8F2C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F2CF" w:themeColor="accent6" w:themeTint="34" w:fill="D8F2CF" w:themeFill="accent6" w:themeFillTint="34"/>
      </w:tcPr>
    </w:tblStylePr>
  </w:style>
  <w:style w:type="table" w:customStyle="1" w:styleId="Bordered">
    <w:name w:val="Bordered"/>
    <w:basedOn w:val="NormaleTabelle"/>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pPr>
      <w:spacing w:after="0" w:line="240" w:lineRule="auto"/>
    </w:pPr>
    <w:tblPr>
      <w:tblStyleRowBandSize w:val="1"/>
      <w:tblStyleColBandSize w:val="1"/>
      <w:tbl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insideH w:val="single" w:sz="4" w:space="0" w:color="81C9EA" w:themeColor="accent1" w:themeTint="67"/>
        <w:insideV w:val="single" w:sz="4" w:space="0" w:color="81C9EA" w:themeColor="accent1" w:themeTint="67"/>
      </w:tblBorders>
    </w:tblPr>
    <w:tblStylePr w:type="firstRow">
      <w:rPr>
        <w:rFonts w:ascii="Arial" w:hAnsi="Arial"/>
        <w:color w:val="404040"/>
        <w:sz w:val="22"/>
      </w:rPr>
      <w:tblPr/>
      <w:tcPr>
        <w:tcBorders>
          <w:bottom w:val="single" w:sz="12" w:space="0" w:color="156082" w:themeColor="accent1"/>
        </w:tcBorders>
      </w:tcPr>
    </w:tblStylePr>
    <w:tblStylePr w:type="lastRow">
      <w:rPr>
        <w:rFonts w:ascii="Arial" w:hAnsi="Arial"/>
        <w:color w:val="404040"/>
        <w:sz w:val="22"/>
      </w:rPr>
      <w:tblPr/>
      <w:tcPr>
        <w:tcBorders>
          <w:top w:val="single" w:sz="12" w:space="0" w:color="156082"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156082" w:themeColor="accent1"/>
        </w:tcBorders>
      </w:tcPr>
    </w:tblStylePr>
    <w:tblStylePr w:type="band1Horz">
      <w:rPr>
        <w:rFonts w:ascii="Arial" w:hAnsi="Arial"/>
        <w:color w:val="404040"/>
        <w:sz w:val="22"/>
      </w:rPr>
      <w:tblPr/>
      <w:tcPr>
        <w:tcBorders>
          <w:top w:val="single" w:sz="4" w:space="0" w:color="81C9EA" w:themeColor="accent1" w:themeTint="67"/>
          <w:left w:val="single" w:sz="4" w:space="0" w:color="81C9EA" w:themeColor="accent1" w:themeTint="67"/>
          <w:bottom w:val="single" w:sz="4" w:space="0" w:color="81C9EA" w:themeColor="accent1" w:themeTint="67"/>
          <w:right w:val="single" w:sz="4" w:space="0" w:color="81C9EA" w:themeColor="accent1" w:themeTint="67"/>
        </w:tcBorders>
      </w:tcPr>
    </w:tblStylePr>
  </w:style>
  <w:style w:type="table" w:customStyle="1" w:styleId="Bordered-Accent2">
    <w:name w:val="Bordered - Accent 2"/>
    <w:basedOn w:val="NormaleTabelle"/>
    <w:uiPriority w:val="99"/>
    <w:pPr>
      <w:spacing w:after="0" w:line="240" w:lineRule="auto"/>
    </w:pPr>
    <w:tblPr>
      <w:tblStyleRowBandSize w:val="1"/>
      <w:tblStyleColBandSize w:val="1"/>
      <w:tbl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insideH w:val="single" w:sz="4" w:space="0" w:color="F6C5AB" w:themeColor="accent2" w:themeTint="67"/>
        <w:insideV w:val="single" w:sz="4" w:space="0" w:color="F6C5AB" w:themeColor="accent2" w:themeTint="67"/>
      </w:tblBorders>
    </w:tblPr>
    <w:tblStylePr w:type="firstRow">
      <w:rPr>
        <w:rFonts w:ascii="Arial" w:hAnsi="Arial"/>
        <w:color w:val="404040"/>
        <w:sz w:val="22"/>
      </w:rPr>
      <w:tblPr/>
      <w:tcPr>
        <w:tcBorders>
          <w:bottom w:val="single" w:sz="12" w:space="0" w:color="F2AA85" w:themeColor="accent2" w:themeTint="97"/>
        </w:tcBorders>
      </w:tcPr>
    </w:tblStylePr>
    <w:tblStylePr w:type="lastRow">
      <w:rPr>
        <w:rFonts w:ascii="Arial" w:hAnsi="Arial"/>
        <w:color w:val="404040"/>
        <w:sz w:val="22"/>
      </w:rPr>
      <w:tblPr/>
      <w:tcPr>
        <w:tcBorders>
          <w:top w:val="single" w:sz="12" w:space="0" w:color="F2AA8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2AA85" w:themeColor="accent2" w:themeTint="97"/>
        </w:tcBorders>
      </w:tcPr>
    </w:tblStylePr>
    <w:tblStylePr w:type="band1Horz">
      <w:rPr>
        <w:rFonts w:ascii="Arial" w:hAnsi="Arial"/>
        <w:color w:val="404040"/>
        <w:sz w:val="22"/>
      </w:rPr>
      <w:tblPr/>
      <w:tcPr>
        <w:tcBorders>
          <w:top w:val="single" w:sz="4" w:space="0" w:color="F6C5AB" w:themeColor="accent2" w:themeTint="67"/>
          <w:left w:val="single" w:sz="4" w:space="0" w:color="F6C5AB" w:themeColor="accent2" w:themeTint="67"/>
          <w:bottom w:val="single" w:sz="4" w:space="0" w:color="F6C5AB" w:themeColor="accent2" w:themeTint="67"/>
          <w:right w:val="single" w:sz="4" w:space="0" w:color="F6C5AB" w:themeColor="accent2" w:themeTint="67"/>
        </w:tcBorders>
      </w:tcPr>
    </w:tblStylePr>
  </w:style>
  <w:style w:type="table" w:customStyle="1" w:styleId="Bordered-Accent3">
    <w:name w:val="Bordered - Accent 3"/>
    <w:basedOn w:val="NormaleTabelle"/>
    <w:uiPriority w:val="99"/>
    <w:pPr>
      <w:spacing w:after="0" w:line="240" w:lineRule="auto"/>
    </w:pPr>
    <w:tblPr>
      <w:tblStyleRowBandSize w:val="1"/>
      <w:tblStyleColBandSize w:val="1"/>
      <w:tbl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insideH w:val="single" w:sz="4" w:space="0" w:color="83E28F" w:themeColor="accent3" w:themeTint="67"/>
        <w:insideV w:val="single" w:sz="4" w:space="0" w:color="83E28F" w:themeColor="accent3" w:themeTint="67"/>
      </w:tblBorders>
    </w:tblPr>
    <w:tblStylePr w:type="firstRow">
      <w:rPr>
        <w:rFonts w:ascii="Arial" w:hAnsi="Arial"/>
        <w:color w:val="404040"/>
        <w:sz w:val="22"/>
      </w:rPr>
      <w:tblPr/>
      <w:tcPr>
        <w:tcBorders>
          <w:bottom w:val="single" w:sz="12" w:space="0" w:color="48D45B" w:themeColor="accent3" w:themeTint="98"/>
        </w:tcBorders>
      </w:tcPr>
    </w:tblStylePr>
    <w:tblStylePr w:type="lastRow">
      <w:rPr>
        <w:rFonts w:ascii="Arial" w:hAnsi="Arial"/>
        <w:color w:val="404040"/>
        <w:sz w:val="22"/>
      </w:rPr>
      <w:tblPr/>
      <w:tcPr>
        <w:tcBorders>
          <w:top w:val="single" w:sz="12" w:space="0" w:color="48D45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8D45B" w:themeColor="accent3" w:themeTint="98"/>
        </w:tcBorders>
      </w:tcPr>
    </w:tblStylePr>
    <w:tblStylePr w:type="band1Horz">
      <w:rPr>
        <w:rFonts w:ascii="Arial" w:hAnsi="Arial"/>
        <w:color w:val="404040"/>
        <w:sz w:val="22"/>
      </w:rPr>
      <w:tblPr/>
      <w:tcPr>
        <w:tcBorders>
          <w:top w:val="single" w:sz="4" w:space="0" w:color="83E28F" w:themeColor="accent3" w:themeTint="67"/>
          <w:left w:val="single" w:sz="4" w:space="0" w:color="83E28F" w:themeColor="accent3" w:themeTint="67"/>
          <w:bottom w:val="single" w:sz="4" w:space="0" w:color="83E28F" w:themeColor="accent3" w:themeTint="67"/>
          <w:right w:val="single" w:sz="4" w:space="0" w:color="83E28F" w:themeColor="accent3" w:themeTint="67"/>
        </w:tcBorders>
      </w:tcPr>
    </w:tblStylePr>
  </w:style>
  <w:style w:type="table" w:customStyle="1" w:styleId="Bordered-Accent4">
    <w:name w:val="Bordered - Accent 4"/>
    <w:basedOn w:val="NormaleTabelle"/>
    <w:uiPriority w:val="99"/>
    <w:pPr>
      <w:spacing w:after="0" w:line="240" w:lineRule="auto"/>
    </w:pPr>
    <w:tblPr>
      <w:tblStyleRowBandSize w:val="1"/>
      <w:tblStyleColBandSize w:val="1"/>
      <w:tbl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insideH w:val="single" w:sz="4" w:space="0" w:color="94DBF7" w:themeColor="accent4" w:themeTint="67"/>
        <w:insideV w:val="single" w:sz="4" w:space="0" w:color="94DBF7" w:themeColor="accent4" w:themeTint="67"/>
      </w:tblBorders>
    </w:tblPr>
    <w:tblStylePr w:type="firstRow">
      <w:rPr>
        <w:rFonts w:ascii="Arial" w:hAnsi="Arial"/>
        <w:color w:val="404040"/>
        <w:sz w:val="22"/>
      </w:rPr>
      <w:tblPr/>
      <w:tcPr>
        <w:tcBorders>
          <w:bottom w:val="single" w:sz="12" w:space="0" w:color="5FCAF3" w:themeColor="accent4" w:themeTint="9A"/>
        </w:tcBorders>
      </w:tcPr>
    </w:tblStylePr>
    <w:tblStylePr w:type="lastRow">
      <w:rPr>
        <w:rFonts w:ascii="Arial" w:hAnsi="Arial"/>
        <w:color w:val="404040"/>
        <w:sz w:val="22"/>
      </w:rPr>
      <w:tblPr/>
      <w:tcPr>
        <w:tcBorders>
          <w:top w:val="single" w:sz="12" w:space="0" w:color="5FCAF3"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FCAF3" w:themeColor="accent4" w:themeTint="9A"/>
        </w:tcBorders>
      </w:tcPr>
    </w:tblStylePr>
    <w:tblStylePr w:type="band1Horz">
      <w:rPr>
        <w:rFonts w:ascii="Arial" w:hAnsi="Arial"/>
        <w:color w:val="404040"/>
        <w:sz w:val="22"/>
      </w:rPr>
      <w:tblPr/>
      <w:tcPr>
        <w:tcBorders>
          <w:top w:val="single" w:sz="4" w:space="0" w:color="94DBF7" w:themeColor="accent4" w:themeTint="67"/>
          <w:left w:val="single" w:sz="4" w:space="0" w:color="94DBF7" w:themeColor="accent4" w:themeTint="67"/>
          <w:bottom w:val="single" w:sz="4" w:space="0" w:color="94DBF7" w:themeColor="accent4" w:themeTint="67"/>
          <w:right w:val="single" w:sz="4" w:space="0" w:color="94DBF7" w:themeColor="accent4" w:themeTint="67"/>
        </w:tcBorders>
      </w:tcPr>
    </w:tblStylePr>
  </w:style>
  <w:style w:type="table" w:customStyle="1" w:styleId="Bordered-Accent5">
    <w:name w:val="Bordered - Accent 5"/>
    <w:basedOn w:val="NormaleTabelle"/>
    <w:uiPriority w:val="99"/>
    <w:pPr>
      <w:spacing w:after="0" w:line="240" w:lineRule="auto"/>
    </w:pPr>
    <w:tblPr>
      <w:tblStyleRowBandSize w:val="1"/>
      <w:tblStyleColBandSize w:val="1"/>
      <w:tbl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insideH w:val="single" w:sz="4" w:space="0" w:color="E49DDC" w:themeColor="accent5" w:themeTint="67"/>
        <w:insideV w:val="single" w:sz="4" w:space="0" w:color="E49DDC" w:themeColor="accent5" w:themeTint="67"/>
      </w:tblBorders>
    </w:tblPr>
    <w:tblStylePr w:type="firstRow">
      <w:rPr>
        <w:rFonts w:ascii="Arial" w:hAnsi="Arial"/>
        <w:color w:val="404040"/>
        <w:sz w:val="22"/>
      </w:rPr>
      <w:tblPr/>
      <w:tcPr>
        <w:tcBorders>
          <w:bottom w:val="single" w:sz="12" w:space="0" w:color="D76CCB" w:themeColor="accent5" w:themeTint="9A"/>
        </w:tcBorders>
      </w:tcPr>
    </w:tblStylePr>
    <w:tblStylePr w:type="lastRow">
      <w:rPr>
        <w:rFonts w:ascii="Arial" w:hAnsi="Arial"/>
        <w:color w:val="404040"/>
        <w:sz w:val="22"/>
      </w:rPr>
      <w:tblPr/>
      <w:tcPr>
        <w:tcBorders>
          <w:top w:val="single" w:sz="12" w:space="0" w:color="D76CC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76CCB" w:themeColor="accent5" w:themeTint="9A"/>
        </w:tcBorders>
      </w:tcPr>
    </w:tblStylePr>
    <w:tblStylePr w:type="band1Horz">
      <w:rPr>
        <w:rFonts w:ascii="Arial" w:hAnsi="Arial"/>
        <w:color w:val="404040"/>
        <w:sz w:val="22"/>
      </w:rPr>
      <w:tblPr/>
      <w:tcPr>
        <w:tcBorders>
          <w:top w:val="single" w:sz="4" w:space="0" w:color="E49DDC" w:themeColor="accent5" w:themeTint="67"/>
          <w:left w:val="single" w:sz="4" w:space="0" w:color="E49DDC" w:themeColor="accent5" w:themeTint="67"/>
          <w:bottom w:val="single" w:sz="4" w:space="0" w:color="E49DDC" w:themeColor="accent5" w:themeTint="67"/>
          <w:right w:val="single" w:sz="4" w:space="0" w:color="E49DDC" w:themeColor="accent5" w:themeTint="67"/>
        </w:tcBorders>
      </w:tcPr>
    </w:tblStylePr>
  </w:style>
  <w:style w:type="table" w:customStyle="1" w:styleId="Bordered-Accent6">
    <w:name w:val="Bordered - Accent 6"/>
    <w:basedOn w:val="NormaleTabelle"/>
    <w:uiPriority w:val="99"/>
    <w:pPr>
      <w:spacing w:after="0" w:line="240" w:lineRule="auto"/>
    </w:pPr>
    <w:tblPr>
      <w:tblStyleRowBandSize w:val="1"/>
      <w:tblStyleColBandSize w:val="1"/>
      <w:tbl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insideH w:val="single" w:sz="4" w:space="0" w:color="B2E5A0" w:themeColor="accent6" w:themeTint="67"/>
        <w:insideV w:val="single" w:sz="4" w:space="0" w:color="B2E5A0" w:themeColor="accent6" w:themeTint="67"/>
      </w:tblBorders>
    </w:tblPr>
    <w:tblStylePr w:type="firstRow">
      <w:rPr>
        <w:rFonts w:ascii="Arial" w:hAnsi="Arial"/>
        <w:color w:val="404040"/>
        <w:sz w:val="22"/>
      </w:rPr>
      <w:tblPr/>
      <w:tcPr>
        <w:tcBorders>
          <w:bottom w:val="single" w:sz="12" w:space="0" w:color="8ED873" w:themeColor="accent6" w:themeTint="98"/>
        </w:tcBorders>
      </w:tcPr>
    </w:tblStylePr>
    <w:tblStylePr w:type="lastRow">
      <w:rPr>
        <w:rFonts w:ascii="Arial" w:hAnsi="Arial"/>
        <w:color w:val="404040"/>
        <w:sz w:val="22"/>
      </w:rPr>
      <w:tblPr/>
      <w:tcPr>
        <w:tcBorders>
          <w:top w:val="single" w:sz="12" w:space="0" w:color="8ED873"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ED873" w:themeColor="accent6" w:themeTint="98"/>
        </w:tcBorders>
      </w:tcPr>
    </w:tblStylePr>
    <w:tblStylePr w:type="band1Horz">
      <w:rPr>
        <w:rFonts w:ascii="Arial" w:hAnsi="Arial"/>
        <w:color w:val="404040"/>
        <w:sz w:val="22"/>
      </w:rPr>
      <w:tblPr/>
      <w:tcPr>
        <w:tcBorders>
          <w:top w:val="single" w:sz="4" w:space="0" w:color="B2E5A0" w:themeColor="accent6" w:themeTint="67"/>
          <w:left w:val="single" w:sz="4" w:space="0" w:color="B2E5A0" w:themeColor="accent6" w:themeTint="67"/>
          <w:bottom w:val="single" w:sz="4" w:space="0" w:color="B2E5A0" w:themeColor="accent6" w:themeTint="67"/>
          <w:right w:val="single" w:sz="4" w:space="0" w:color="B2E5A0" w:themeColor="accent6" w:themeTint="67"/>
        </w:tcBorders>
      </w:tcPr>
    </w:tblStylePr>
  </w:style>
  <w:style w:type="character" w:customStyle="1" w:styleId="Heading1Char">
    <w:name w:val="Heading 1 Char"/>
    <w:basedOn w:val="Absatz-Standardschriftart"/>
    <w:uiPriority w:val="9"/>
    <w:rPr>
      <w:rFonts w:ascii="Arial" w:eastAsia="Arial" w:hAnsi="Arial" w:cs="Arial"/>
      <w:color w:val="0F4761" w:themeColor="accent1" w:themeShade="BF"/>
      <w:sz w:val="40"/>
      <w:szCs w:val="40"/>
    </w:rPr>
  </w:style>
  <w:style w:type="character" w:customStyle="1" w:styleId="Heading2Char">
    <w:name w:val="Heading 2 Char"/>
    <w:basedOn w:val="Absatz-Standardschriftart"/>
    <w:uiPriority w:val="9"/>
    <w:rPr>
      <w:rFonts w:ascii="Arial" w:eastAsia="Arial" w:hAnsi="Arial" w:cs="Arial"/>
      <w:color w:val="0F4761" w:themeColor="accent1" w:themeShade="BF"/>
      <w:sz w:val="32"/>
      <w:szCs w:val="32"/>
    </w:rPr>
  </w:style>
  <w:style w:type="character" w:customStyle="1" w:styleId="Heading3Char">
    <w:name w:val="Heading 3 Char"/>
    <w:basedOn w:val="Absatz-Standardschriftart"/>
    <w:uiPriority w:val="9"/>
    <w:rPr>
      <w:rFonts w:ascii="Arial" w:eastAsia="Arial" w:hAnsi="Arial" w:cs="Arial"/>
      <w:color w:val="0F4761" w:themeColor="accent1" w:themeShade="BF"/>
      <w:sz w:val="28"/>
      <w:szCs w:val="28"/>
    </w:rPr>
  </w:style>
  <w:style w:type="character" w:customStyle="1" w:styleId="Heading4Char">
    <w:name w:val="Heading 4 Char"/>
    <w:basedOn w:val="Absatz-Standardschriftart"/>
    <w:uiPriority w:val="9"/>
    <w:rPr>
      <w:rFonts w:ascii="Arial" w:eastAsia="Arial" w:hAnsi="Arial" w:cs="Arial"/>
      <w:i/>
      <w:iCs/>
      <w:color w:val="0F4761" w:themeColor="accent1" w:themeShade="BF"/>
    </w:rPr>
  </w:style>
  <w:style w:type="character" w:customStyle="1" w:styleId="Heading5Char">
    <w:name w:val="Heading 5 Char"/>
    <w:basedOn w:val="Absatz-Standardschriftart"/>
    <w:uiPriority w:val="9"/>
    <w:rPr>
      <w:rFonts w:ascii="Arial" w:eastAsia="Arial" w:hAnsi="Arial" w:cs="Arial"/>
      <w:color w:val="0F4761" w:themeColor="accent1" w:themeShade="BF"/>
    </w:rPr>
  </w:style>
  <w:style w:type="character" w:customStyle="1" w:styleId="Heading6Char">
    <w:name w:val="Heading 6 Char"/>
    <w:basedOn w:val="Absatz-Standardschriftart"/>
    <w:uiPriority w:val="9"/>
    <w:rPr>
      <w:rFonts w:ascii="Arial" w:eastAsia="Arial" w:hAnsi="Arial" w:cs="Arial"/>
      <w:i/>
      <w:iCs/>
      <w:color w:val="595959" w:themeColor="text1" w:themeTint="A6"/>
    </w:rPr>
  </w:style>
  <w:style w:type="character" w:customStyle="1" w:styleId="Heading7Char">
    <w:name w:val="Heading 7 Char"/>
    <w:basedOn w:val="Absatz-Standardschriftart"/>
    <w:uiPriority w:val="9"/>
    <w:rPr>
      <w:rFonts w:ascii="Arial" w:eastAsia="Arial" w:hAnsi="Arial" w:cs="Arial"/>
      <w:color w:val="595959" w:themeColor="text1" w:themeTint="A6"/>
    </w:rPr>
  </w:style>
  <w:style w:type="character" w:customStyle="1" w:styleId="Heading8Char">
    <w:name w:val="Heading 8 Char"/>
    <w:basedOn w:val="Absatz-Standardschriftart"/>
    <w:uiPriority w:val="9"/>
    <w:rPr>
      <w:rFonts w:ascii="Arial" w:eastAsia="Arial" w:hAnsi="Arial" w:cs="Arial"/>
      <w:i/>
      <w:iCs/>
      <w:color w:val="272727" w:themeColor="text1" w:themeTint="D8"/>
    </w:rPr>
  </w:style>
  <w:style w:type="character" w:customStyle="1" w:styleId="Heading9Char">
    <w:name w:val="Heading 9 Char"/>
    <w:basedOn w:val="Absatz-Standardschriftart"/>
    <w:uiPriority w:val="9"/>
    <w:rPr>
      <w:rFonts w:ascii="Arial" w:eastAsia="Arial" w:hAnsi="Arial" w:cs="Arial"/>
      <w:i/>
      <w:iCs/>
      <w:color w:val="272727" w:themeColor="text1" w:themeTint="D8"/>
    </w:rPr>
  </w:style>
  <w:style w:type="character" w:customStyle="1" w:styleId="TitleChar">
    <w:name w:val="Title Char"/>
    <w:basedOn w:val="Absatz-Standardschriftart"/>
    <w:uiPriority w:val="10"/>
    <w:rPr>
      <w:rFonts w:ascii="Arial" w:eastAsia="Arial" w:hAnsi="Arial" w:cs="Arial"/>
      <w:spacing w:val="-10"/>
      <w:sz w:val="56"/>
      <w:szCs w:val="56"/>
    </w:rPr>
  </w:style>
  <w:style w:type="character" w:customStyle="1" w:styleId="SubtitleChar">
    <w:name w:val="Subtitle Char"/>
    <w:basedOn w:val="Absatz-Standardschriftart"/>
    <w:uiPriority w:val="11"/>
    <w:rPr>
      <w:color w:val="595959" w:themeColor="text1" w:themeTint="A6"/>
      <w:spacing w:val="15"/>
      <w:sz w:val="28"/>
      <w:szCs w:val="28"/>
    </w:rPr>
  </w:style>
  <w:style w:type="character" w:customStyle="1" w:styleId="QuoteChar">
    <w:name w:val="Quote Char"/>
    <w:basedOn w:val="Absatz-Standardschriftart"/>
    <w:uiPriority w:val="29"/>
    <w:rPr>
      <w:i/>
      <w:iCs/>
      <w:color w:val="404040" w:themeColor="text1" w:themeTint="BF"/>
    </w:rPr>
  </w:style>
  <w:style w:type="character" w:customStyle="1" w:styleId="IntenseQuoteChar">
    <w:name w:val="Intense Quote Char"/>
    <w:basedOn w:val="Absatz-Standardschriftart"/>
    <w:uiPriority w:val="30"/>
    <w:rPr>
      <w:i/>
      <w:iCs/>
      <w:color w:val="0F4761" w:themeColor="accent1" w:themeShade="BF"/>
    </w:rPr>
  </w:style>
  <w:style w:type="paragraph" w:styleId="KeinLeerraum">
    <w:name w:val="No Spacing"/>
    <w:basedOn w:val="Standard"/>
    <w:uiPriority w:val="1"/>
    <w:qFormat/>
    <w:pPr>
      <w:spacing w:after="0" w:line="240" w:lineRule="auto"/>
    </w:pPr>
  </w:style>
  <w:style w:type="character" w:styleId="SchwacheHervorhebung">
    <w:name w:val="Subtle Emphasis"/>
    <w:basedOn w:val="Absatz-Standardschriftart"/>
    <w:uiPriority w:val="19"/>
    <w:qFormat/>
    <w:rPr>
      <w:i/>
      <w:iCs/>
      <w:color w:val="404040" w:themeColor="text1" w:themeTint="BF"/>
    </w:rPr>
  </w:style>
  <w:style w:type="character" w:styleId="Hervorhebung">
    <w:name w:val="Emphasis"/>
    <w:basedOn w:val="Absatz-Standardschriftart"/>
    <w:uiPriority w:val="20"/>
    <w:qFormat/>
    <w:rPr>
      <w:i/>
      <w:iCs/>
    </w:rPr>
  </w:style>
  <w:style w:type="character" w:styleId="SchwacherVerweis">
    <w:name w:val="Subtle Reference"/>
    <w:basedOn w:val="Absatz-Standardschriftart"/>
    <w:uiPriority w:val="31"/>
    <w:qFormat/>
    <w:rPr>
      <w:smallCaps/>
      <w:color w:val="5A5A5A" w:themeColor="text1" w:themeTint="A5"/>
    </w:rPr>
  </w:style>
  <w:style w:type="character" w:styleId="Buchtitel">
    <w:name w:val="Book Title"/>
    <w:basedOn w:val="Absatz-Standardschriftart"/>
    <w:uiPriority w:val="33"/>
    <w:qFormat/>
    <w:rPr>
      <w:b/>
      <w:bCs/>
      <w:i/>
      <w:iCs/>
      <w:spacing w:val="5"/>
    </w:rPr>
  </w:style>
  <w:style w:type="paragraph" w:styleId="Kopfzeile">
    <w:name w:val="header"/>
    <w:basedOn w:val="Standard"/>
    <w:link w:val="KopfzeileZchn"/>
    <w:uiPriority w:val="99"/>
    <w:unhideWhenUsed/>
    <w:pPr>
      <w:tabs>
        <w:tab w:val="center" w:pos="4844"/>
        <w:tab w:val="right" w:pos="9689"/>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844"/>
        <w:tab w:val="right" w:pos="9689"/>
      </w:tabs>
      <w:spacing w:after="0" w:line="240" w:lineRule="auto"/>
    </w:pPr>
  </w:style>
  <w:style w:type="character" w:customStyle="1" w:styleId="FuzeileZchn">
    <w:name w:val="Fußzeile Zchn"/>
    <w:basedOn w:val="Absatz-Standardschriftart"/>
    <w:link w:val="Fuzeile"/>
    <w:uiPriority w:val="99"/>
  </w:style>
  <w:style w:type="paragraph" w:styleId="Funotentext">
    <w:name w:val="footnote text"/>
    <w:basedOn w:val="Standard"/>
    <w:link w:val="FunotentextZchn"/>
    <w:uiPriority w:val="99"/>
    <w:semiHidden/>
    <w:unhideWhenUsed/>
    <w:pPr>
      <w:spacing w:after="0" w:line="240" w:lineRule="auto"/>
    </w:pPr>
    <w:rPr>
      <w:sz w:val="20"/>
      <w:szCs w:val="20"/>
    </w:rPr>
  </w:style>
  <w:style w:type="character" w:customStyle="1" w:styleId="FunotentextZchn">
    <w:name w:val="Fußnotentext Zchn"/>
    <w:basedOn w:val="Absatz-Standardschriftart"/>
    <w:link w:val="Funotentext"/>
    <w:uiPriority w:val="99"/>
    <w:semiHidden/>
    <w:rPr>
      <w:sz w:val="20"/>
      <w:szCs w:val="20"/>
    </w:rPr>
  </w:style>
  <w:style w:type="character" w:styleId="Funotenzeichen">
    <w:name w:val="footnote reference"/>
    <w:basedOn w:val="Absatz-Standardschriftart"/>
    <w:uiPriority w:val="99"/>
    <w:semiHidden/>
    <w:unhideWhenUsed/>
    <w:rPr>
      <w:vertAlign w:val="superscript"/>
    </w:rPr>
  </w:style>
  <w:style w:type="paragraph" w:styleId="Endnotentext">
    <w:name w:val="endnote text"/>
    <w:basedOn w:val="Standard"/>
    <w:link w:val="EndnotentextZchn"/>
    <w:uiPriority w:val="99"/>
    <w:semiHidden/>
    <w:unhideWhenUsed/>
    <w:pPr>
      <w:spacing w:after="0" w:line="240" w:lineRule="auto"/>
    </w:pPr>
    <w:rPr>
      <w:sz w:val="20"/>
      <w:szCs w:val="20"/>
    </w:rPr>
  </w:style>
  <w:style w:type="character" w:customStyle="1" w:styleId="EndnotentextZchn">
    <w:name w:val="Endnotentext Zchn"/>
    <w:basedOn w:val="Absatz-Standardschriftart"/>
    <w:link w:val="Endnotentext"/>
    <w:uiPriority w:val="99"/>
    <w:semiHidden/>
    <w:rPr>
      <w:sz w:val="20"/>
      <w:szCs w:val="20"/>
    </w:rPr>
  </w:style>
  <w:style w:type="character" w:styleId="Endnotenzeichen">
    <w:name w:val="endnote reference"/>
    <w:basedOn w:val="Absatz-Standardschriftart"/>
    <w:uiPriority w:val="99"/>
    <w:semiHidden/>
    <w:unhideWhenUsed/>
    <w:rPr>
      <w:vertAlign w:val="superscript"/>
    </w:rPr>
  </w:style>
  <w:style w:type="character" w:styleId="BesuchterLink">
    <w:name w:val="FollowedHyperlink"/>
    <w:basedOn w:val="Absatz-Standardschriftart"/>
    <w:uiPriority w:val="99"/>
    <w:semiHidden/>
    <w:unhideWhenUsed/>
    <w:rPr>
      <w:color w:val="96607D" w:themeColor="followedHyperlink"/>
      <w:u w:val="single"/>
    </w:rPr>
  </w:style>
  <w:style w:type="paragraph" w:styleId="Verzeichnis1">
    <w:name w:val="toc 1"/>
    <w:basedOn w:val="Standard"/>
    <w:next w:val="Standard"/>
    <w:uiPriority w:val="39"/>
    <w:unhideWhenUsed/>
    <w:pPr>
      <w:spacing w:after="100"/>
    </w:pPr>
  </w:style>
  <w:style w:type="paragraph" w:styleId="Verzeichnis2">
    <w:name w:val="toc 2"/>
    <w:basedOn w:val="Standard"/>
    <w:next w:val="Standard"/>
    <w:uiPriority w:val="39"/>
    <w:unhideWhenUsed/>
    <w:pPr>
      <w:spacing w:after="100"/>
      <w:ind w:left="220"/>
    </w:pPr>
  </w:style>
  <w:style w:type="paragraph" w:styleId="Verzeichnis3">
    <w:name w:val="toc 3"/>
    <w:basedOn w:val="Standard"/>
    <w:next w:val="Standard"/>
    <w:uiPriority w:val="39"/>
    <w:unhideWhenUsed/>
    <w:pPr>
      <w:spacing w:after="100"/>
      <w:ind w:left="440"/>
    </w:pPr>
  </w:style>
  <w:style w:type="paragraph" w:styleId="Verzeichnis4">
    <w:name w:val="toc 4"/>
    <w:basedOn w:val="Standard"/>
    <w:next w:val="Standard"/>
    <w:uiPriority w:val="39"/>
    <w:unhideWhenUsed/>
    <w:pPr>
      <w:spacing w:after="100"/>
      <w:ind w:left="660"/>
    </w:pPr>
  </w:style>
  <w:style w:type="paragraph" w:styleId="Verzeichnis5">
    <w:name w:val="toc 5"/>
    <w:basedOn w:val="Standard"/>
    <w:next w:val="Standard"/>
    <w:uiPriority w:val="39"/>
    <w:unhideWhenUsed/>
    <w:pPr>
      <w:spacing w:after="100"/>
      <w:ind w:left="880"/>
    </w:pPr>
  </w:style>
  <w:style w:type="paragraph" w:styleId="Verzeichnis6">
    <w:name w:val="toc 6"/>
    <w:basedOn w:val="Standard"/>
    <w:next w:val="Standard"/>
    <w:uiPriority w:val="39"/>
    <w:unhideWhenUsed/>
    <w:pPr>
      <w:spacing w:after="100"/>
      <w:ind w:left="1100"/>
    </w:pPr>
  </w:style>
  <w:style w:type="paragraph" w:styleId="Verzeichnis7">
    <w:name w:val="toc 7"/>
    <w:basedOn w:val="Standard"/>
    <w:next w:val="Standard"/>
    <w:uiPriority w:val="39"/>
    <w:unhideWhenUsed/>
    <w:pPr>
      <w:spacing w:after="100"/>
      <w:ind w:left="1320"/>
    </w:pPr>
  </w:style>
  <w:style w:type="paragraph" w:styleId="Verzeichnis8">
    <w:name w:val="toc 8"/>
    <w:basedOn w:val="Standard"/>
    <w:next w:val="Standard"/>
    <w:uiPriority w:val="39"/>
    <w:unhideWhenUsed/>
    <w:pPr>
      <w:spacing w:after="100"/>
      <w:ind w:left="1540"/>
    </w:pPr>
  </w:style>
  <w:style w:type="paragraph" w:styleId="Verzeichnis9">
    <w:name w:val="toc 9"/>
    <w:basedOn w:val="Standard"/>
    <w:next w:val="Standard"/>
    <w:uiPriority w:val="39"/>
    <w:unhideWhenUsed/>
    <w:pPr>
      <w:spacing w:after="100"/>
      <w:ind w:left="1760"/>
    </w:pPr>
  </w:style>
  <w:style w:type="paragraph" w:styleId="Inhaltsverzeichnisberschrift">
    <w:name w:val="TOC Heading"/>
    <w:uiPriority w:val="39"/>
    <w:unhideWhenUsed/>
  </w:style>
  <w:style w:type="paragraph" w:styleId="Abbildungsverzeichnis">
    <w:name w:val="table of figures"/>
    <w:basedOn w:val="Standard"/>
    <w:next w:val="Standard"/>
    <w:uiPriority w:val="99"/>
    <w:unhideWhenUsed/>
    <w:pPr>
      <w:spacing w:after="0"/>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Pr>
      <w:rFonts w:eastAsiaTheme="majorEastAsia" w:cstheme="majorBidi"/>
      <w:color w:val="272727" w:themeColor="text1" w:themeTint="D8"/>
    </w:rPr>
  </w:style>
  <w:style w:type="paragraph" w:styleId="Titel">
    <w:name w:val="Title"/>
    <w:basedOn w:val="Standard"/>
    <w:next w:val="Standard"/>
    <w:link w:val="TitelZchn"/>
    <w:uiPriority w:val="10"/>
    <w:qFormat/>
    <w:pPr>
      <w:spacing w:after="80" w:line="240" w:lineRule="auto"/>
      <w:contextualSpacing/>
    </w:pPr>
    <w:rPr>
      <w:rFonts w:asciiTheme="majorHAnsi" w:eastAsiaTheme="majorEastAsia" w:hAnsiTheme="majorHAnsi" w:cstheme="majorBidi"/>
      <w:spacing w:val="-10"/>
      <w:sz w:val="56"/>
      <w:szCs w:val="56"/>
    </w:rPr>
  </w:style>
  <w:style w:type="character" w:customStyle="1" w:styleId="TitelZchn">
    <w:name w:val="Titel Zchn"/>
    <w:basedOn w:val="Absatz-Standardschriftart"/>
    <w:link w:val="Titel"/>
    <w:uiPriority w:val="10"/>
    <w:rPr>
      <w:rFonts w:asciiTheme="majorHAnsi" w:eastAsiaTheme="majorEastAsia" w:hAnsiTheme="majorHAnsi" w:cstheme="majorBidi"/>
      <w:spacing w:val="-10"/>
      <w:sz w:val="56"/>
      <w:szCs w:val="56"/>
    </w:rPr>
  </w:style>
  <w:style w:type="paragraph" w:styleId="Untertitel">
    <w:name w:val="Subtitle"/>
    <w:basedOn w:val="Standard"/>
    <w:next w:val="Standard"/>
    <w:link w:val="UntertitelZchn"/>
    <w:uiPriority w:val="11"/>
    <w:qFormat/>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pPr>
      <w:spacing w:before="160"/>
      <w:jc w:val="center"/>
    </w:pPr>
    <w:rPr>
      <w:i/>
      <w:iCs/>
      <w:color w:val="404040" w:themeColor="text1" w:themeTint="BF"/>
    </w:rPr>
  </w:style>
  <w:style w:type="character" w:customStyle="1" w:styleId="ZitatZchn">
    <w:name w:val="Zitat Zchn"/>
    <w:basedOn w:val="Absatz-Standardschriftart"/>
    <w:link w:val="Zitat"/>
    <w:uiPriority w:val="29"/>
    <w:rPr>
      <w:i/>
      <w:iCs/>
      <w:color w:val="404040" w:themeColor="text1" w:themeTint="BF"/>
    </w:rPr>
  </w:style>
  <w:style w:type="paragraph" w:styleId="Listenabsatz">
    <w:name w:val="List Paragraph"/>
    <w:basedOn w:val="Standard"/>
    <w:uiPriority w:val="34"/>
    <w:qFormat/>
    <w:pPr>
      <w:ind w:left="720"/>
      <w:contextualSpacing/>
    </w:pPr>
  </w:style>
  <w:style w:type="character" w:styleId="IntensiveHervorhebung">
    <w:name w:val="Intense Emphasis"/>
    <w:basedOn w:val="Absatz-Standardschriftart"/>
    <w:uiPriority w:val="21"/>
    <w:qFormat/>
    <w:rPr>
      <w:i/>
      <w:iCs/>
      <w:color w:val="0F4761" w:themeColor="accent1" w:themeShade="BF"/>
    </w:rPr>
  </w:style>
  <w:style w:type="paragraph" w:styleId="IntensivesZitat">
    <w:name w:val="Intense Quote"/>
    <w:basedOn w:val="Standard"/>
    <w:next w:val="Standard"/>
    <w:link w:val="IntensivesZitatZchn"/>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Pr>
      <w:i/>
      <w:iCs/>
      <w:color w:val="0F4761" w:themeColor="accent1" w:themeShade="BF"/>
    </w:rPr>
  </w:style>
  <w:style w:type="character" w:styleId="IntensiverVerweis">
    <w:name w:val="Intense Reference"/>
    <w:basedOn w:val="Absatz-Standardschriftart"/>
    <w:uiPriority w:val="32"/>
    <w:qFormat/>
    <w:rPr>
      <w:b/>
      <w:bCs/>
      <w:smallCaps/>
      <w:color w:val="0F4761" w:themeColor="accent1" w:themeShade="BF"/>
      <w:spacing w:val="5"/>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unhideWhenUsed/>
    <w:pPr>
      <w:spacing w:line="240" w:lineRule="auto"/>
    </w:pPr>
    <w:rPr>
      <w:sz w:val="20"/>
      <w:szCs w:val="20"/>
    </w:rPr>
  </w:style>
  <w:style w:type="character" w:customStyle="1" w:styleId="KommentartextZchn">
    <w:name w:val="Kommentartext Zchn"/>
    <w:basedOn w:val="Absatz-Standardschriftart"/>
    <w:link w:val="Kommentartext"/>
    <w:uiPriority w:val="99"/>
    <w:rPr>
      <w:sz w:val="20"/>
      <w:szCs w:val="20"/>
    </w:rPr>
  </w:style>
  <w:style w:type="table" w:styleId="Tabellenraster">
    <w:name w:val="Table Grid"/>
    <w:basedOn w:val="NormaleTabelle"/>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Absatz-Standardschriftart"/>
    <w:uiPriority w:val="99"/>
    <w:unhideWhenUsed/>
    <w:rPr>
      <w:color w:val="467886" w:themeColor="hyperlink"/>
      <w:u w:val="single"/>
    </w:rPr>
  </w:style>
  <w:style w:type="character" w:customStyle="1" w:styleId="anchor-text">
    <w:name w:val="anchor-text"/>
    <w:basedOn w:val="Absatz-Standardschriftart"/>
  </w:style>
  <w:style w:type="character" w:styleId="Fett">
    <w:name w:val="Strong"/>
    <w:basedOn w:val="Absatz-Standardschriftart"/>
    <w:uiPriority w:val="22"/>
    <w:qFormat/>
    <w:rPr>
      <w:b/>
      <w:bCs/>
    </w:rPr>
  </w:style>
  <w:style w:type="character" w:customStyle="1" w:styleId="Heading2Char1">
    <w:name w:val="Heading 2 Char1"/>
    <w:basedOn w:val="Absatz-Standardschriftart"/>
    <w:uiPriority w:val="9"/>
    <w:rPr>
      <w:rFonts w:asciiTheme="majorHAnsi" w:eastAsiaTheme="majorEastAsia" w:hAnsiTheme="majorHAnsi" w:cstheme="majorBidi"/>
      <w:color w:val="0F4761" w:themeColor="accent1" w:themeShade="BF"/>
      <w:sz w:val="32"/>
      <w:szCs w:val="32"/>
    </w:rPr>
  </w:style>
  <w:style w:type="character" w:customStyle="1" w:styleId="Heading3Char1">
    <w:name w:val="Heading 3 Char1"/>
    <w:basedOn w:val="Absatz-Standardschriftart"/>
    <w:uiPriority w:val="9"/>
    <w:rPr>
      <w:rFonts w:eastAsiaTheme="majorEastAsia" w:cstheme="majorBidi"/>
      <w:color w:val="0F4761" w:themeColor="accent1" w:themeShade="BF"/>
      <w:sz w:val="28"/>
      <w:szCs w:val="28"/>
    </w:rPr>
  </w:style>
  <w:style w:type="character" w:customStyle="1" w:styleId="italic">
    <w:name w:val="italic"/>
    <w:basedOn w:val="Absatz-Standardschriftart"/>
  </w:style>
  <w:style w:type="paragraph" w:styleId="Beschriftung">
    <w:name w:val="caption"/>
    <w:basedOn w:val="Standard"/>
    <w:next w:val="Standard"/>
    <w:uiPriority w:val="35"/>
    <w:unhideWhenUsed/>
    <w:qFormat/>
    <w:pPr>
      <w:spacing w:after="200" w:line="240" w:lineRule="auto"/>
    </w:pPr>
    <w:rPr>
      <w:i/>
      <w:iCs/>
      <w:color w:val="0E2841" w:themeColor="text2"/>
      <w:sz w:val="18"/>
      <w:szCs w:val="18"/>
    </w:rPr>
  </w:style>
  <w:style w:type="character" w:customStyle="1" w:styleId="img-tbleqn">
    <w:name w:val="img-tbl__eqn"/>
    <w:basedOn w:val="Absatz-Standardschriftart"/>
  </w:style>
  <w:style w:type="character" w:customStyle="1" w:styleId="identifier">
    <w:name w:val="identifier"/>
    <w:basedOn w:val="Absatz-Standardschriftart"/>
  </w:style>
  <w:style w:type="character" w:styleId="NichtaufgelsteErwhnung">
    <w:name w:val="Unresolved Mention"/>
    <w:basedOn w:val="Absatz-Standardschriftart"/>
    <w:uiPriority w:val="99"/>
    <w:semiHidden/>
    <w:unhideWhenUsed/>
    <w:rPr>
      <w:color w:val="605E5C"/>
      <w:shd w:val="clear" w:color="auto" w:fill="E1DFDD"/>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smallcaps">
    <w:name w:val="smallcaps"/>
    <w:basedOn w:val="Absatz-Standardschriftart"/>
    <w:rsid w:val="00E35302"/>
  </w:style>
  <w:style w:type="paragraph" w:styleId="berarbeitung">
    <w:name w:val="Revision"/>
    <w:hidden/>
    <w:uiPriority w:val="99"/>
    <w:semiHidden/>
    <w:rsid w:val="00EF1735"/>
    <w:pPr>
      <w:spacing w:after="0" w:line="240" w:lineRule="auto"/>
    </w:pPr>
  </w:style>
  <w:style w:type="character" w:customStyle="1" w:styleId="hgkelc">
    <w:name w:val="hgkelc"/>
    <w:basedOn w:val="Absatz-Standardschriftart"/>
    <w:rsid w:val="001E5B91"/>
  </w:style>
  <w:style w:type="character" w:customStyle="1" w:styleId="nlmstring-name">
    <w:name w:val="nlm_string-name"/>
    <w:basedOn w:val="Absatz-Standardschriftart"/>
    <w:rsid w:val="00E20A56"/>
  </w:style>
  <w:style w:type="character" w:customStyle="1" w:styleId="nlmpatent">
    <w:name w:val="nlm_patent"/>
    <w:basedOn w:val="Absatz-Standardschriftart"/>
    <w:rsid w:val="00E20A56"/>
  </w:style>
  <w:style w:type="character" w:customStyle="1" w:styleId="nlmyear">
    <w:name w:val="nlm_year"/>
    <w:basedOn w:val="Absatz-Standardschriftart"/>
    <w:rsid w:val="00E20A56"/>
  </w:style>
  <w:style w:type="paragraph" w:styleId="StandardWeb">
    <w:name w:val="Normal (Web)"/>
    <w:basedOn w:val="Standard"/>
    <w:uiPriority w:val="99"/>
    <w:unhideWhenUsed/>
    <w:rsid w:val="008B6F61"/>
    <w:pPr>
      <w:spacing w:before="100" w:beforeAutospacing="1" w:after="100" w:afterAutospacing="1" w:line="240" w:lineRule="auto"/>
    </w:pPr>
    <w:rPr>
      <w:rFonts w:ascii="Times New Roman" w:eastAsia="Times New Roman" w:hAnsi="Times New Roman" w:cs="Times New Roman"/>
      <w:sz w:val="24"/>
      <w:szCs w:val="24"/>
      <w:lang w:val="de-DE" w:eastAsia="de-DE"/>
      <w14:ligatures w14:val="none"/>
    </w:rPr>
  </w:style>
  <w:style w:type="character" w:customStyle="1" w:styleId="m811560b9">
    <w:name w:val="m_811560b9"/>
    <w:basedOn w:val="Absatz-Standardschriftart"/>
    <w:rsid w:val="008B6F61"/>
  </w:style>
  <w:style w:type="character" w:styleId="HTMLZitat">
    <w:name w:val="HTML Cite"/>
    <w:basedOn w:val="Absatz-Standardschriftart"/>
    <w:uiPriority w:val="99"/>
    <w:semiHidden/>
    <w:unhideWhenUsed/>
    <w:rsid w:val="008B6F61"/>
    <w:rPr>
      <w:i/>
      <w:iCs/>
    </w:rPr>
  </w:style>
  <w:style w:type="character" w:customStyle="1" w:styleId="c-bibliographic-informationvalue">
    <w:name w:val="c-bibliographic-information__value"/>
    <w:basedOn w:val="Absatz-Standardschriftart"/>
    <w:rsid w:val="00625D7A"/>
  </w:style>
  <w:style w:type="character" w:customStyle="1" w:styleId="tool-identifier">
    <w:name w:val="tool-identifier"/>
    <w:basedOn w:val="Absatz-Standardschriftart"/>
    <w:rsid w:val="000B5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6520">
      <w:bodyDiv w:val="1"/>
      <w:marLeft w:val="0"/>
      <w:marRight w:val="0"/>
      <w:marTop w:val="0"/>
      <w:marBottom w:val="0"/>
      <w:divBdr>
        <w:top w:val="none" w:sz="0" w:space="0" w:color="auto"/>
        <w:left w:val="none" w:sz="0" w:space="0" w:color="auto"/>
        <w:bottom w:val="none" w:sz="0" w:space="0" w:color="auto"/>
        <w:right w:val="none" w:sz="0" w:space="0" w:color="auto"/>
      </w:divBdr>
    </w:div>
    <w:div w:id="59836985">
      <w:bodyDiv w:val="1"/>
      <w:marLeft w:val="0"/>
      <w:marRight w:val="0"/>
      <w:marTop w:val="0"/>
      <w:marBottom w:val="0"/>
      <w:divBdr>
        <w:top w:val="none" w:sz="0" w:space="0" w:color="auto"/>
        <w:left w:val="none" w:sz="0" w:space="0" w:color="auto"/>
        <w:bottom w:val="none" w:sz="0" w:space="0" w:color="auto"/>
        <w:right w:val="none" w:sz="0" w:space="0" w:color="auto"/>
      </w:divBdr>
    </w:div>
    <w:div w:id="66417633">
      <w:bodyDiv w:val="1"/>
      <w:marLeft w:val="0"/>
      <w:marRight w:val="0"/>
      <w:marTop w:val="0"/>
      <w:marBottom w:val="0"/>
      <w:divBdr>
        <w:top w:val="none" w:sz="0" w:space="0" w:color="auto"/>
        <w:left w:val="none" w:sz="0" w:space="0" w:color="auto"/>
        <w:bottom w:val="none" w:sz="0" w:space="0" w:color="auto"/>
        <w:right w:val="none" w:sz="0" w:space="0" w:color="auto"/>
      </w:divBdr>
    </w:div>
    <w:div w:id="77143621">
      <w:bodyDiv w:val="1"/>
      <w:marLeft w:val="0"/>
      <w:marRight w:val="0"/>
      <w:marTop w:val="0"/>
      <w:marBottom w:val="0"/>
      <w:divBdr>
        <w:top w:val="none" w:sz="0" w:space="0" w:color="auto"/>
        <w:left w:val="none" w:sz="0" w:space="0" w:color="auto"/>
        <w:bottom w:val="none" w:sz="0" w:space="0" w:color="auto"/>
        <w:right w:val="none" w:sz="0" w:space="0" w:color="auto"/>
      </w:divBdr>
    </w:div>
    <w:div w:id="86772792">
      <w:bodyDiv w:val="1"/>
      <w:marLeft w:val="0"/>
      <w:marRight w:val="0"/>
      <w:marTop w:val="0"/>
      <w:marBottom w:val="0"/>
      <w:divBdr>
        <w:top w:val="none" w:sz="0" w:space="0" w:color="auto"/>
        <w:left w:val="none" w:sz="0" w:space="0" w:color="auto"/>
        <w:bottom w:val="none" w:sz="0" w:space="0" w:color="auto"/>
        <w:right w:val="none" w:sz="0" w:space="0" w:color="auto"/>
      </w:divBdr>
    </w:div>
    <w:div w:id="92943322">
      <w:bodyDiv w:val="1"/>
      <w:marLeft w:val="0"/>
      <w:marRight w:val="0"/>
      <w:marTop w:val="0"/>
      <w:marBottom w:val="0"/>
      <w:divBdr>
        <w:top w:val="none" w:sz="0" w:space="0" w:color="auto"/>
        <w:left w:val="none" w:sz="0" w:space="0" w:color="auto"/>
        <w:bottom w:val="none" w:sz="0" w:space="0" w:color="auto"/>
        <w:right w:val="none" w:sz="0" w:space="0" w:color="auto"/>
      </w:divBdr>
    </w:div>
    <w:div w:id="117452937">
      <w:bodyDiv w:val="1"/>
      <w:marLeft w:val="0"/>
      <w:marRight w:val="0"/>
      <w:marTop w:val="0"/>
      <w:marBottom w:val="0"/>
      <w:divBdr>
        <w:top w:val="none" w:sz="0" w:space="0" w:color="auto"/>
        <w:left w:val="none" w:sz="0" w:space="0" w:color="auto"/>
        <w:bottom w:val="none" w:sz="0" w:space="0" w:color="auto"/>
        <w:right w:val="none" w:sz="0" w:space="0" w:color="auto"/>
      </w:divBdr>
    </w:div>
    <w:div w:id="195312760">
      <w:bodyDiv w:val="1"/>
      <w:marLeft w:val="0"/>
      <w:marRight w:val="0"/>
      <w:marTop w:val="0"/>
      <w:marBottom w:val="0"/>
      <w:divBdr>
        <w:top w:val="none" w:sz="0" w:space="0" w:color="auto"/>
        <w:left w:val="none" w:sz="0" w:space="0" w:color="auto"/>
        <w:bottom w:val="none" w:sz="0" w:space="0" w:color="auto"/>
        <w:right w:val="none" w:sz="0" w:space="0" w:color="auto"/>
      </w:divBdr>
      <w:divsChild>
        <w:div w:id="35858773">
          <w:marLeft w:val="0"/>
          <w:marRight w:val="0"/>
          <w:marTop w:val="0"/>
          <w:marBottom w:val="0"/>
          <w:divBdr>
            <w:top w:val="none" w:sz="0" w:space="0" w:color="auto"/>
            <w:left w:val="none" w:sz="0" w:space="0" w:color="auto"/>
            <w:bottom w:val="none" w:sz="0" w:space="0" w:color="auto"/>
            <w:right w:val="none" w:sz="0" w:space="0" w:color="auto"/>
          </w:divBdr>
        </w:div>
        <w:div w:id="1335692906">
          <w:marLeft w:val="0"/>
          <w:marRight w:val="0"/>
          <w:marTop w:val="0"/>
          <w:marBottom w:val="0"/>
          <w:divBdr>
            <w:top w:val="none" w:sz="0" w:space="0" w:color="auto"/>
            <w:left w:val="none" w:sz="0" w:space="0" w:color="auto"/>
            <w:bottom w:val="none" w:sz="0" w:space="0" w:color="auto"/>
            <w:right w:val="none" w:sz="0" w:space="0" w:color="auto"/>
          </w:divBdr>
          <w:divsChild>
            <w:div w:id="1654019203">
              <w:marLeft w:val="0"/>
              <w:marRight w:val="0"/>
              <w:marTop w:val="0"/>
              <w:marBottom w:val="0"/>
              <w:divBdr>
                <w:top w:val="none" w:sz="0" w:space="0" w:color="auto"/>
                <w:left w:val="none" w:sz="0" w:space="0" w:color="auto"/>
                <w:bottom w:val="none" w:sz="0" w:space="0" w:color="auto"/>
                <w:right w:val="none" w:sz="0" w:space="0" w:color="auto"/>
              </w:divBdr>
              <w:divsChild>
                <w:div w:id="277294619">
                  <w:marLeft w:val="0"/>
                  <w:marRight w:val="0"/>
                  <w:marTop w:val="0"/>
                  <w:marBottom w:val="0"/>
                  <w:divBdr>
                    <w:top w:val="none" w:sz="0" w:space="0" w:color="auto"/>
                    <w:left w:val="none" w:sz="0" w:space="0" w:color="auto"/>
                    <w:bottom w:val="none" w:sz="0" w:space="0" w:color="auto"/>
                    <w:right w:val="none" w:sz="0" w:space="0" w:color="auto"/>
                  </w:divBdr>
                  <w:divsChild>
                    <w:div w:id="1953972002">
                      <w:marLeft w:val="0"/>
                      <w:marRight w:val="0"/>
                      <w:marTop w:val="0"/>
                      <w:marBottom w:val="0"/>
                      <w:divBdr>
                        <w:top w:val="none" w:sz="0" w:space="0" w:color="auto"/>
                        <w:left w:val="none" w:sz="0" w:space="0" w:color="auto"/>
                        <w:bottom w:val="none" w:sz="0" w:space="0" w:color="auto"/>
                        <w:right w:val="none" w:sz="0" w:space="0" w:color="auto"/>
                      </w:divBdr>
                      <w:divsChild>
                        <w:div w:id="1726678139">
                          <w:marLeft w:val="0"/>
                          <w:marRight w:val="0"/>
                          <w:marTop w:val="0"/>
                          <w:marBottom w:val="0"/>
                          <w:divBdr>
                            <w:top w:val="none" w:sz="0" w:space="0" w:color="auto"/>
                            <w:left w:val="none" w:sz="0" w:space="0" w:color="auto"/>
                            <w:bottom w:val="none" w:sz="0" w:space="0" w:color="auto"/>
                            <w:right w:val="none" w:sz="0" w:space="0" w:color="auto"/>
                          </w:divBdr>
                          <w:divsChild>
                            <w:div w:id="609895385">
                              <w:marLeft w:val="0"/>
                              <w:marRight w:val="0"/>
                              <w:marTop w:val="0"/>
                              <w:marBottom w:val="0"/>
                              <w:divBdr>
                                <w:top w:val="none" w:sz="0" w:space="0" w:color="auto"/>
                                <w:left w:val="none" w:sz="0" w:space="0" w:color="auto"/>
                                <w:bottom w:val="none" w:sz="0" w:space="0" w:color="auto"/>
                                <w:right w:val="none" w:sz="0" w:space="0" w:color="auto"/>
                              </w:divBdr>
                              <w:divsChild>
                                <w:div w:id="405347841">
                                  <w:marLeft w:val="0"/>
                                  <w:marRight w:val="0"/>
                                  <w:marTop w:val="0"/>
                                  <w:marBottom w:val="0"/>
                                  <w:divBdr>
                                    <w:top w:val="none" w:sz="0" w:space="0" w:color="auto"/>
                                    <w:left w:val="none" w:sz="0" w:space="0" w:color="auto"/>
                                    <w:bottom w:val="none" w:sz="0" w:space="0" w:color="auto"/>
                                    <w:right w:val="none" w:sz="0" w:space="0" w:color="auto"/>
                                  </w:divBdr>
                                  <w:divsChild>
                                    <w:div w:id="1348098302">
                                      <w:marLeft w:val="0"/>
                                      <w:marRight w:val="0"/>
                                      <w:marTop w:val="0"/>
                                      <w:marBottom w:val="0"/>
                                      <w:divBdr>
                                        <w:top w:val="none" w:sz="0" w:space="0" w:color="auto"/>
                                        <w:left w:val="none" w:sz="0" w:space="0" w:color="auto"/>
                                        <w:bottom w:val="none" w:sz="0" w:space="0" w:color="auto"/>
                                        <w:right w:val="none" w:sz="0" w:space="0" w:color="auto"/>
                                      </w:divBdr>
                                      <w:divsChild>
                                        <w:div w:id="654188088">
                                          <w:marLeft w:val="0"/>
                                          <w:marRight w:val="0"/>
                                          <w:marTop w:val="0"/>
                                          <w:marBottom w:val="0"/>
                                          <w:divBdr>
                                            <w:top w:val="none" w:sz="0" w:space="0" w:color="auto"/>
                                            <w:left w:val="none" w:sz="0" w:space="0" w:color="auto"/>
                                            <w:bottom w:val="none" w:sz="0" w:space="0" w:color="auto"/>
                                            <w:right w:val="none" w:sz="0" w:space="0" w:color="auto"/>
                                          </w:divBdr>
                                          <w:divsChild>
                                            <w:div w:id="1110516703">
                                              <w:marLeft w:val="0"/>
                                              <w:marRight w:val="0"/>
                                              <w:marTop w:val="0"/>
                                              <w:marBottom w:val="0"/>
                                              <w:divBdr>
                                                <w:top w:val="none" w:sz="0" w:space="0" w:color="auto"/>
                                                <w:left w:val="none" w:sz="0" w:space="0" w:color="auto"/>
                                                <w:bottom w:val="none" w:sz="0" w:space="0" w:color="auto"/>
                                                <w:right w:val="none" w:sz="0" w:space="0" w:color="auto"/>
                                              </w:divBdr>
                                              <w:divsChild>
                                                <w:div w:id="524447777">
                                                  <w:marLeft w:val="0"/>
                                                  <w:marRight w:val="0"/>
                                                  <w:marTop w:val="0"/>
                                                  <w:marBottom w:val="0"/>
                                                  <w:divBdr>
                                                    <w:top w:val="none" w:sz="0" w:space="0" w:color="auto"/>
                                                    <w:left w:val="none" w:sz="0" w:space="0" w:color="auto"/>
                                                    <w:bottom w:val="none" w:sz="0" w:space="0" w:color="auto"/>
                                                    <w:right w:val="none" w:sz="0" w:space="0" w:color="auto"/>
                                                  </w:divBdr>
                                                  <w:divsChild>
                                                    <w:div w:id="1174153003">
                                                      <w:marLeft w:val="0"/>
                                                      <w:marRight w:val="0"/>
                                                      <w:marTop w:val="0"/>
                                                      <w:marBottom w:val="0"/>
                                                      <w:divBdr>
                                                        <w:top w:val="none" w:sz="0" w:space="0" w:color="auto"/>
                                                        <w:left w:val="none" w:sz="0" w:space="0" w:color="auto"/>
                                                        <w:bottom w:val="none" w:sz="0" w:space="0" w:color="auto"/>
                                                        <w:right w:val="none" w:sz="0" w:space="0" w:color="auto"/>
                                                      </w:divBdr>
                                                      <w:divsChild>
                                                        <w:div w:id="65545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24610428">
      <w:bodyDiv w:val="1"/>
      <w:marLeft w:val="0"/>
      <w:marRight w:val="0"/>
      <w:marTop w:val="0"/>
      <w:marBottom w:val="0"/>
      <w:divBdr>
        <w:top w:val="none" w:sz="0" w:space="0" w:color="auto"/>
        <w:left w:val="none" w:sz="0" w:space="0" w:color="auto"/>
        <w:bottom w:val="none" w:sz="0" w:space="0" w:color="auto"/>
        <w:right w:val="none" w:sz="0" w:space="0" w:color="auto"/>
      </w:divBdr>
      <w:divsChild>
        <w:div w:id="327173053">
          <w:marLeft w:val="0"/>
          <w:marRight w:val="0"/>
          <w:marTop w:val="0"/>
          <w:marBottom w:val="0"/>
          <w:divBdr>
            <w:top w:val="none" w:sz="0" w:space="0" w:color="auto"/>
            <w:left w:val="none" w:sz="0" w:space="0" w:color="auto"/>
            <w:bottom w:val="none" w:sz="0" w:space="0" w:color="auto"/>
            <w:right w:val="none" w:sz="0" w:space="0" w:color="auto"/>
          </w:divBdr>
        </w:div>
        <w:div w:id="1221016537">
          <w:marLeft w:val="0"/>
          <w:marRight w:val="0"/>
          <w:marTop w:val="0"/>
          <w:marBottom w:val="0"/>
          <w:divBdr>
            <w:top w:val="none" w:sz="0" w:space="0" w:color="auto"/>
            <w:left w:val="none" w:sz="0" w:space="0" w:color="auto"/>
            <w:bottom w:val="none" w:sz="0" w:space="0" w:color="auto"/>
            <w:right w:val="none" w:sz="0" w:space="0" w:color="auto"/>
          </w:divBdr>
          <w:divsChild>
            <w:div w:id="1376854177">
              <w:marLeft w:val="0"/>
              <w:marRight w:val="0"/>
              <w:marTop w:val="0"/>
              <w:marBottom w:val="0"/>
              <w:divBdr>
                <w:top w:val="none" w:sz="0" w:space="0" w:color="auto"/>
                <w:left w:val="none" w:sz="0" w:space="0" w:color="auto"/>
                <w:bottom w:val="none" w:sz="0" w:space="0" w:color="auto"/>
                <w:right w:val="none" w:sz="0" w:space="0" w:color="auto"/>
              </w:divBdr>
              <w:divsChild>
                <w:div w:id="1162968555">
                  <w:marLeft w:val="0"/>
                  <w:marRight w:val="0"/>
                  <w:marTop w:val="0"/>
                  <w:marBottom w:val="0"/>
                  <w:divBdr>
                    <w:top w:val="none" w:sz="0" w:space="0" w:color="auto"/>
                    <w:left w:val="none" w:sz="0" w:space="0" w:color="auto"/>
                    <w:bottom w:val="none" w:sz="0" w:space="0" w:color="auto"/>
                    <w:right w:val="none" w:sz="0" w:space="0" w:color="auto"/>
                  </w:divBdr>
                  <w:divsChild>
                    <w:div w:id="8416973">
                      <w:marLeft w:val="0"/>
                      <w:marRight w:val="0"/>
                      <w:marTop w:val="0"/>
                      <w:marBottom w:val="0"/>
                      <w:divBdr>
                        <w:top w:val="none" w:sz="0" w:space="0" w:color="auto"/>
                        <w:left w:val="none" w:sz="0" w:space="0" w:color="auto"/>
                        <w:bottom w:val="none" w:sz="0" w:space="0" w:color="auto"/>
                        <w:right w:val="none" w:sz="0" w:space="0" w:color="auto"/>
                      </w:divBdr>
                      <w:divsChild>
                        <w:div w:id="956595686">
                          <w:marLeft w:val="0"/>
                          <w:marRight w:val="0"/>
                          <w:marTop w:val="0"/>
                          <w:marBottom w:val="0"/>
                          <w:divBdr>
                            <w:top w:val="none" w:sz="0" w:space="0" w:color="auto"/>
                            <w:left w:val="none" w:sz="0" w:space="0" w:color="auto"/>
                            <w:bottom w:val="none" w:sz="0" w:space="0" w:color="auto"/>
                            <w:right w:val="none" w:sz="0" w:space="0" w:color="auto"/>
                          </w:divBdr>
                          <w:divsChild>
                            <w:div w:id="423183309">
                              <w:marLeft w:val="0"/>
                              <w:marRight w:val="0"/>
                              <w:marTop w:val="0"/>
                              <w:marBottom w:val="0"/>
                              <w:divBdr>
                                <w:top w:val="none" w:sz="0" w:space="0" w:color="auto"/>
                                <w:left w:val="none" w:sz="0" w:space="0" w:color="auto"/>
                                <w:bottom w:val="none" w:sz="0" w:space="0" w:color="auto"/>
                                <w:right w:val="none" w:sz="0" w:space="0" w:color="auto"/>
                              </w:divBdr>
                              <w:divsChild>
                                <w:div w:id="734665343">
                                  <w:marLeft w:val="0"/>
                                  <w:marRight w:val="0"/>
                                  <w:marTop w:val="0"/>
                                  <w:marBottom w:val="0"/>
                                  <w:divBdr>
                                    <w:top w:val="none" w:sz="0" w:space="0" w:color="auto"/>
                                    <w:left w:val="none" w:sz="0" w:space="0" w:color="auto"/>
                                    <w:bottom w:val="none" w:sz="0" w:space="0" w:color="auto"/>
                                    <w:right w:val="none" w:sz="0" w:space="0" w:color="auto"/>
                                  </w:divBdr>
                                  <w:divsChild>
                                    <w:div w:id="880367326">
                                      <w:marLeft w:val="0"/>
                                      <w:marRight w:val="0"/>
                                      <w:marTop w:val="0"/>
                                      <w:marBottom w:val="0"/>
                                      <w:divBdr>
                                        <w:top w:val="none" w:sz="0" w:space="0" w:color="auto"/>
                                        <w:left w:val="none" w:sz="0" w:space="0" w:color="auto"/>
                                        <w:bottom w:val="none" w:sz="0" w:space="0" w:color="auto"/>
                                        <w:right w:val="none" w:sz="0" w:space="0" w:color="auto"/>
                                      </w:divBdr>
                                      <w:divsChild>
                                        <w:div w:id="1778794168">
                                          <w:marLeft w:val="0"/>
                                          <w:marRight w:val="0"/>
                                          <w:marTop w:val="0"/>
                                          <w:marBottom w:val="0"/>
                                          <w:divBdr>
                                            <w:top w:val="none" w:sz="0" w:space="0" w:color="auto"/>
                                            <w:left w:val="none" w:sz="0" w:space="0" w:color="auto"/>
                                            <w:bottom w:val="none" w:sz="0" w:space="0" w:color="auto"/>
                                            <w:right w:val="none" w:sz="0" w:space="0" w:color="auto"/>
                                          </w:divBdr>
                                          <w:divsChild>
                                            <w:div w:id="965741842">
                                              <w:marLeft w:val="0"/>
                                              <w:marRight w:val="0"/>
                                              <w:marTop w:val="0"/>
                                              <w:marBottom w:val="0"/>
                                              <w:divBdr>
                                                <w:top w:val="none" w:sz="0" w:space="0" w:color="auto"/>
                                                <w:left w:val="none" w:sz="0" w:space="0" w:color="auto"/>
                                                <w:bottom w:val="none" w:sz="0" w:space="0" w:color="auto"/>
                                                <w:right w:val="none" w:sz="0" w:space="0" w:color="auto"/>
                                              </w:divBdr>
                                              <w:divsChild>
                                                <w:div w:id="322859825">
                                                  <w:marLeft w:val="0"/>
                                                  <w:marRight w:val="0"/>
                                                  <w:marTop w:val="0"/>
                                                  <w:marBottom w:val="0"/>
                                                  <w:divBdr>
                                                    <w:top w:val="none" w:sz="0" w:space="0" w:color="auto"/>
                                                    <w:left w:val="none" w:sz="0" w:space="0" w:color="auto"/>
                                                    <w:bottom w:val="none" w:sz="0" w:space="0" w:color="auto"/>
                                                    <w:right w:val="none" w:sz="0" w:space="0" w:color="auto"/>
                                                  </w:divBdr>
                                                  <w:divsChild>
                                                    <w:div w:id="1554585832">
                                                      <w:marLeft w:val="0"/>
                                                      <w:marRight w:val="0"/>
                                                      <w:marTop w:val="0"/>
                                                      <w:marBottom w:val="0"/>
                                                      <w:divBdr>
                                                        <w:top w:val="none" w:sz="0" w:space="0" w:color="auto"/>
                                                        <w:left w:val="none" w:sz="0" w:space="0" w:color="auto"/>
                                                        <w:bottom w:val="none" w:sz="0" w:space="0" w:color="auto"/>
                                                        <w:right w:val="none" w:sz="0" w:space="0" w:color="auto"/>
                                                      </w:divBdr>
                                                      <w:divsChild>
                                                        <w:div w:id="94981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3898537">
      <w:bodyDiv w:val="1"/>
      <w:marLeft w:val="0"/>
      <w:marRight w:val="0"/>
      <w:marTop w:val="0"/>
      <w:marBottom w:val="0"/>
      <w:divBdr>
        <w:top w:val="none" w:sz="0" w:space="0" w:color="auto"/>
        <w:left w:val="none" w:sz="0" w:space="0" w:color="auto"/>
        <w:bottom w:val="none" w:sz="0" w:space="0" w:color="auto"/>
        <w:right w:val="none" w:sz="0" w:space="0" w:color="auto"/>
      </w:divBdr>
    </w:div>
    <w:div w:id="463154685">
      <w:bodyDiv w:val="1"/>
      <w:marLeft w:val="0"/>
      <w:marRight w:val="0"/>
      <w:marTop w:val="0"/>
      <w:marBottom w:val="0"/>
      <w:divBdr>
        <w:top w:val="none" w:sz="0" w:space="0" w:color="auto"/>
        <w:left w:val="none" w:sz="0" w:space="0" w:color="auto"/>
        <w:bottom w:val="none" w:sz="0" w:space="0" w:color="auto"/>
        <w:right w:val="none" w:sz="0" w:space="0" w:color="auto"/>
      </w:divBdr>
      <w:divsChild>
        <w:div w:id="2017997651">
          <w:marLeft w:val="0"/>
          <w:marRight w:val="0"/>
          <w:marTop w:val="0"/>
          <w:marBottom w:val="0"/>
          <w:divBdr>
            <w:top w:val="none" w:sz="0" w:space="0" w:color="auto"/>
            <w:left w:val="none" w:sz="0" w:space="0" w:color="auto"/>
            <w:bottom w:val="none" w:sz="0" w:space="0" w:color="auto"/>
            <w:right w:val="none" w:sz="0" w:space="0" w:color="auto"/>
          </w:divBdr>
        </w:div>
      </w:divsChild>
    </w:div>
    <w:div w:id="494498404">
      <w:bodyDiv w:val="1"/>
      <w:marLeft w:val="0"/>
      <w:marRight w:val="0"/>
      <w:marTop w:val="0"/>
      <w:marBottom w:val="0"/>
      <w:divBdr>
        <w:top w:val="none" w:sz="0" w:space="0" w:color="auto"/>
        <w:left w:val="none" w:sz="0" w:space="0" w:color="auto"/>
        <w:bottom w:val="none" w:sz="0" w:space="0" w:color="auto"/>
        <w:right w:val="none" w:sz="0" w:space="0" w:color="auto"/>
      </w:divBdr>
      <w:divsChild>
        <w:div w:id="2095086268">
          <w:marLeft w:val="0"/>
          <w:marRight w:val="0"/>
          <w:marTop w:val="0"/>
          <w:marBottom w:val="0"/>
          <w:divBdr>
            <w:top w:val="none" w:sz="0" w:space="0" w:color="auto"/>
            <w:left w:val="none" w:sz="0" w:space="0" w:color="auto"/>
            <w:bottom w:val="none" w:sz="0" w:space="0" w:color="auto"/>
            <w:right w:val="none" w:sz="0" w:space="0" w:color="auto"/>
          </w:divBdr>
        </w:div>
      </w:divsChild>
    </w:div>
    <w:div w:id="497384051">
      <w:bodyDiv w:val="1"/>
      <w:marLeft w:val="0"/>
      <w:marRight w:val="0"/>
      <w:marTop w:val="0"/>
      <w:marBottom w:val="0"/>
      <w:divBdr>
        <w:top w:val="none" w:sz="0" w:space="0" w:color="auto"/>
        <w:left w:val="none" w:sz="0" w:space="0" w:color="auto"/>
        <w:bottom w:val="none" w:sz="0" w:space="0" w:color="auto"/>
        <w:right w:val="none" w:sz="0" w:space="0" w:color="auto"/>
      </w:divBdr>
    </w:div>
    <w:div w:id="502162230">
      <w:bodyDiv w:val="1"/>
      <w:marLeft w:val="0"/>
      <w:marRight w:val="0"/>
      <w:marTop w:val="0"/>
      <w:marBottom w:val="0"/>
      <w:divBdr>
        <w:top w:val="none" w:sz="0" w:space="0" w:color="auto"/>
        <w:left w:val="none" w:sz="0" w:space="0" w:color="auto"/>
        <w:bottom w:val="none" w:sz="0" w:space="0" w:color="auto"/>
        <w:right w:val="none" w:sz="0" w:space="0" w:color="auto"/>
      </w:divBdr>
    </w:div>
    <w:div w:id="634214975">
      <w:bodyDiv w:val="1"/>
      <w:marLeft w:val="0"/>
      <w:marRight w:val="0"/>
      <w:marTop w:val="0"/>
      <w:marBottom w:val="0"/>
      <w:divBdr>
        <w:top w:val="none" w:sz="0" w:space="0" w:color="auto"/>
        <w:left w:val="none" w:sz="0" w:space="0" w:color="auto"/>
        <w:bottom w:val="none" w:sz="0" w:space="0" w:color="auto"/>
        <w:right w:val="none" w:sz="0" w:space="0" w:color="auto"/>
      </w:divBdr>
    </w:div>
    <w:div w:id="649476927">
      <w:bodyDiv w:val="1"/>
      <w:marLeft w:val="0"/>
      <w:marRight w:val="0"/>
      <w:marTop w:val="0"/>
      <w:marBottom w:val="0"/>
      <w:divBdr>
        <w:top w:val="none" w:sz="0" w:space="0" w:color="auto"/>
        <w:left w:val="none" w:sz="0" w:space="0" w:color="auto"/>
        <w:bottom w:val="none" w:sz="0" w:space="0" w:color="auto"/>
        <w:right w:val="none" w:sz="0" w:space="0" w:color="auto"/>
      </w:divBdr>
      <w:divsChild>
        <w:div w:id="1940139846">
          <w:marLeft w:val="0"/>
          <w:marRight w:val="0"/>
          <w:marTop w:val="0"/>
          <w:marBottom w:val="0"/>
          <w:divBdr>
            <w:top w:val="none" w:sz="0" w:space="0" w:color="auto"/>
            <w:left w:val="none" w:sz="0" w:space="0" w:color="auto"/>
            <w:bottom w:val="none" w:sz="0" w:space="0" w:color="auto"/>
            <w:right w:val="none" w:sz="0" w:space="0" w:color="auto"/>
          </w:divBdr>
        </w:div>
      </w:divsChild>
    </w:div>
    <w:div w:id="652757421">
      <w:bodyDiv w:val="1"/>
      <w:marLeft w:val="0"/>
      <w:marRight w:val="0"/>
      <w:marTop w:val="0"/>
      <w:marBottom w:val="0"/>
      <w:divBdr>
        <w:top w:val="none" w:sz="0" w:space="0" w:color="auto"/>
        <w:left w:val="none" w:sz="0" w:space="0" w:color="auto"/>
        <w:bottom w:val="none" w:sz="0" w:space="0" w:color="auto"/>
        <w:right w:val="none" w:sz="0" w:space="0" w:color="auto"/>
      </w:divBdr>
    </w:div>
    <w:div w:id="690650589">
      <w:bodyDiv w:val="1"/>
      <w:marLeft w:val="0"/>
      <w:marRight w:val="0"/>
      <w:marTop w:val="0"/>
      <w:marBottom w:val="0"/>
      <w:divBdr>
        <w:top w:val="none" w:sz="0" w:space="0" w:color="auto"/>
        <w:left w:val="none" w:sz="0" w:space="0" w:color="auto"/>
        <w:bottom w:val="none" w:sz="0" w:space="0" w:color="auto"/>
        <w:right w:val="none" w:sz="0" w:space="0" w:color="auto"/>
      </w:divBdr>
    </w:div>
    <w:div w:id="702293652">
      <w:bodyDiv w:val="1"/>
      <w:marLeft w:val="0"/>
      <w:marRight w:val="0"/>
      <w:marTop w:val="0"/>
      <w:marBottom w:val="0"/>
      <w:divBdr>
        <w:top w:val="none" w:sz="0" w:space="0" w:color="auto"/>
        <w:left w:val="none" w:sz="0" w:space="0" w:color="auto"/>
        <w:bottom w:val="none" w:sz="0" w:space="0" w:color="auto"/>
        <w:right w:val="none" w:sz="0" w:space="0" w:color="auto"/>
      </w:divBdr>
    </w:div>
    <w:div w:id="738096119">
      <w:bodyDiv w:val="1"/>
      <w:marLeft w:val="0"/>
      <w:marRight w:val="0"/>
      <w:marTop w:val="0"/>
      <w:marBottom w:val="0"/>
      <w:divBdr>
        <w:top w:val="none" w:sz="0" w:space="0" w:color="auto"/>
        <w:left w:val="none" w:sz="0" w:space="0" w:color="auto"/>
        <w:bottom w:val="none" w:sz="0" w:space="0" w:color="auto"/>
        <w:right w:val="none" w:sz="0" w:space="0" w:color="auto"/>
      </w:divBdr>
    </w:div>
    <w:div w:id="752435353">
      <w:bodyDiv w:val="1"/>
      <w:marLeft w:val="0"/>
      <w:marRight w:val="0"/>
      <w:marTop w:val="0"/>
      <w:marBottom w:val="0"/>
      <w:divBdr>
        <w:top w:val="none" w:sz="0" w:space="0" w:color="auto"/>
        <w:left w:val="none" w:sz="0" w:space="0" w:color="auto"/>
        <w:bottom w:val="none" w:sz="0" w:space="0" w:color="auto"/>
        <w:right w:val="none" w:sz="0" w:space="0" w:color="auto"/>
      </w:divBdr>
      <w:divsChild>
        <w:div w:id="299119277">
          <w:marLeft w:val="0"/>
          <w:marRight w:val="0"/>
          <w:marTop w:val="0"/>
          <w:marBottom w:val="0"/>
          <w:divBdr>
            <w:top w:val="none" w:sz="0" w:space="0" w:color="auto"/>
            <w:left w:val="none" w:sz="0" w:space="0" w:color="auto"/>
            <w:bottom w:val="none" w:sz="0" w:space="0" w:color="auto"/>
            <w:right w:val="none" w:sz="0" w:space="0" w:color="auto"/>
          </w:divBdr>
        </w:div>
      </w:divsChild>
    </w:div>
    <w:div w:id="796532372">
      <w:bodyDiv w:val="1"/>
      <w:marLeft w:val="0"/>
      <w:marRight w:val="0"/>
      <w:marTop w:val="0"/>
      <w:marBottom w:val="0"/>
      <w:divBdr>
        <w:top w:val="none" w:sz="0" w:space="0" w:color="auto"/>
        <w:left w:val="none" w:sz="0" w:space="0" w:color="auto"/>
        <w:bottom w:val="none" w:sz="0" w:space="0" w:color="auto"/>
        <w:right w:val="none" w:sz="0" w:space="0" w:color="auto"/>
      </w:divBdr>
      <w:divsChild>
        <w:div w:id="311296478">
          <w:marLeft w:val="0"/>
          <w:marRight w:val="0"/>
          <w:marTop w:val="0"/>
          <w:marBottom w:val="0"/>
          <w:divBdr>
            <w:top w:val="none" w:sz="0" w:space="0" w:color="auto"/>
            <w:left w:val="none" w:sz="0" w:space="0" w:color="auto"/>
            <w:bottom w:val="none" w:sz="0" w:space="0" w:color="auto"/>
            <w:right w:val="none" w:sz="0" w:space="0" w:color="auto"/>
          </w:divBdr>
        </w:div>
      </w:divsChild>
    </w:div>
    <w:div w:id="850070756">
      <w:bodyDiv w:val="1"/>
      <w:marLeft w:val="0"/>
      <w:marRight w:val="0"/>
      <w:marTop w:val="0"/>
      <w:marBottom w:val="0"/>
      <w:divBdr>
        <w:top w:val="none" w:sz="0" w:space="0" w:color="auto"/>
        <w:left w:val="none" w:sz="0" w:space="0" w:color="auto"/>
        <w:bottom w:val="none" w:sz="0" w:space="0" w:color="auto"/>
        <w:right w:val="none" w:sz="0" w:space="0" w:color="auto"/>
      </w:divBdr>
    </w:div>
    <w:div w:id="910115103">
      <w:bodyDiv w:val="1"/>
      <w:marLeft w:val="0"/>
      <w:marRight w:val="0"/>
      <w:marTop w:val="0"/>
      <w:marBottom w:val="0"/>
      <w:divBdr>
        <w:top w:val="none" w:sz="0" w:space="0" w:color="auto"/>
        <w:left w:val="none" w:sz="0" w:space="0" w:color="auto"/>
        <w:bottom w:val="none" w:sz="0" w:space="0" w:color="auto"/>
        <w:right w:val="none" w:sz="0" w:space="0" w:color="auto"/>
      </w:divBdr>
    </w:div>
    <w:div w:id="930434010">
      <w:bodyDiv w:val="1"/>
      <w:marLeft w:val="0"/>
      <w:marRight w:val="0"/>
      <w:marTop w:val="0"/>
      <w:marBottom w:val="0"/>
      <w:divBdr>
        <w:top w:val="none" w:sz="0" w:space="0" w:color="auto"/>
        <w:left w:val="none" w:sz="0" w:space="0" w:color="auto"/>
        <w:bottom w:val="none" w:sz="0" w:space="0" w:color="auto"/>
        <w:right w:val="none" w:sz="0" w:space="0" w:color="auto"/>
      </w:divBdr>
    </w:div>
    <w:div w:id="986858866">
      <w:bodyDiv w:val="1"/>
      <w:marLeft w:val="0"/>
      <w:marRight w:val="0"/>
      <w:marTop w:val="0"/>
      <w:marBottom w:val="0"/>
      <w:divBdr>
        <w:top w:val="none" w:sz="0" w:space="0" w:color="auto"/>
        <w:left w:val="none" w:sz="0" w:space="0" w:color="auto"/>
        <w:bottom w:val="none" w:sz="0" w:space="0" w:color="auto"/>
        <w:right w:val="none" w:sz="0" w:space="0" w:color="auto"/>
      </w:divBdr>
    </w:div>
    <w:div w:id="1038701690">
      <w:bodyDiv w:val="1"/>
      <w:marLeft w:val="0"/>
      <w:marRight w:val="0"/>
      <w:marTop w:val="0"/>
      <w:marBottom w:val="0"/>
      <w:divBdr>
        <w:top w:val="none" w:sz="0" w:space="0" w:color="auto"/>
        <w:left w:val="none" w:sz="0" w:space="0" w:color="auto"/>
        <w:bottom w:val="none" w:sz="0" w:space="0" w:color="auto"/>
        <w:right w:val="none" w:sz="0" w:space="0" w:color="auto"/>
      </w:divBdr>
      <w:divsChild>
        <w:div w:id="52389073">
          <w:marLeft w:val="0"/>
          <w:marRight w:val="0"/>
          <w:marTop w:val="0"/>
          <w:marBottom w:val="0"/>
          <w:divBdr>
            <w:top w:val="none" w:sz="0" w:space="0" w:color="auto"/>
            <w:left w:val="none" w:sz="0" w:space="0" w:color="auto"/>
            <w:bottom w:val="none" w:sz="0" w:space="0" w:color="auto"/>
            <w:right w:val="none" w:sz="0" w:space="0" w:color="auto"/>
          </w:divBdr>
        </w:div>
      </w:divsChild>
    </w:div>
    <w:div w:id="1055199254">
      <w:bodyDiv w:val="1"/>
      <w:marLeft w:val="0"/>
      <w:marRight w:val="0"/>
      <w:marTop w:val="0"/>
      <w:marBottom w:val="0"/>
      <w:divBdr>
        <w:top w:val="none" w:sz="0" w:space="0" w:color="auto"/>
        <w:left w:val="none" w:sz="0" w:space="0" w:color="auto"/>
        <w:bottom w:val="none" w:sz="0" w:space="0" w:color="auto"/>
        <w:right w:val="none" w:sz="0" w:space="0" w:color="auto"/>
      </w:divBdr>
    </w:div>
    <w:div w:id="1102918151">
      <w:bodyDiv w:val="1"/>
      <w:marLeft w:val="0"/>
      <w:marRight w:val="0"/>
      <w:marTop w:val="0"/>
      <w:marBottom w:val="0"/>
      <w:divBdr>
        <w:top w:val="none" w:sz="0" w:space="0" w:color="auto"/>
        <w:left w:val="none" w:sz="0" w:space="0" w:color="auto"/>
        <w:bottom w:val="none" w:sz="0" w:space="0" w:color="auto"/>
        <w:right w:val="none" w:sz="0" w:space="0" w:color="auto"/>
      </w:divBdr>
    </w:div>
    <w:div w:id="1112356530">
      <w:bodyDiv w:val="1"/>
      <w:marLeft w:val="0"/>
      <w:marRight w:val="0"/>
      <w:marTop w:val="0"/>
      <w:marBottom w:val="0"/>
      <w:divBdr>
        <w:top w:val="none" w:sz="0" w:space="0" w:color="auto"/>
        <w:left w:val="none" w:sz="0" w:space="0" w:color="auto"/>
        <w:bottom w:val="none" w:sz="0" w:space="0" w:color="auto"/>
        <w:right w:val="none" w:sz="0" w:space="0" w:color="auto"/>
      </w:divBdr>
    </w:div>
    <w:div w:id="1157914687">
      <w:bodyDiv w:val="1"/>
      <w:marLeft w:val="0"/>
      <w:marRight w:val="0"/>
      <w:marTop w:val="0"/>
      <w:marBottom w:val="0"/>
      <w:divBdr>
        <w:top w:val="none" w:sz="0" w:space="0" w:color="auto"/>
        <w:left w:val="none" w:sz="0" w:space="0" w:color="auto"/>
        <w:bottom w:val="none" w:sz="0" w:space="0" w:color="auto"/>
        <w:right w:val="none" w:sz="0" w:space="0" w:color="auto"/>
      </w:divBdr>
      <w:divsChild>
        <w:div w:id="815072355">
          <w:marLeft w:val="0"/>
          <w:marRight w:val="0"/>
          <w:marTop w:val="0"/>
          <w:marBottom w:val="0"/>
          <w:divBdr>
            <w:top w:val="none" w:sz="0" w:space="0" w:color="auto"/>
            <w:left w:val="none" w:sz="0" w:space="0" w:color="auto"/>
            <w:bottom w:val="none" w:sz="0" w:space="0" w:color="auto"/>
            <w:right w:val="none" w:sz="0" w:space="0" w:color="auto"/>
          </w:divBdr>
          <w:divsChild>
            <w:div w:id="907155589">
              <w:marLeft w:val="0"/>
              <w:marRight w:val="0"/>
              <w:marTop w:val="0"/>
              <w:marBottom w:val="0"/>
              <w:divBdr>
                <w:top w:val="none" w:sz="0" w:space="0" w:color="auto"/>
                <w:left w:val="none" w:sz="0" w:space="0" w:color="auto"/>
                <w:bottom w:val="none" w:sz="0" w:space="0" w:color="auto"/>
                <w:right w:val="none" w:sz="0" w:space="0" w:color="auto"/>
              </w:divBdr>
              <w:divsChild>
                <w:div w:id="1485976821">
                  <w:marLeft w:val="0"/>
                  <w:marRight w:val="0"/>
                  <w:marTop w:val="0"/>
                  <w:marBottom w:val="0"/>
                  <w:divBdr>
                    <w:top w:val="none" w:sz="0" w:space="0" w:color="auto"/>
                    <w:left w:val="none" w:sz="0" w:space="0" w:color="auto"/>
                    <w:bottom w:val="none" w:sz="0" w:space="0" w:color="auto"/>
                    <w:right w:val="none" w:sz="0" w:space="0" w:color="auto"/>
                  </w:divBdr>
                  <w:divsChild>
                    <w:div w:id="24060202">
                      <w:marLeft w:val="0"/>
                      <w:marRight w:val="0"/>
                      <w:marTop w:val="0"/>
                      <w:marBottom w:val="0"/>
                      <w:divBdr>
                        <w:top w:val="none" w:sz="0" w:space="0" w:color="auto"/>
                        <w:left w:val="none" w:sz="0" w:space="0" w:color="auto"/>
                        <w:bottom w:val="none" w:sz="0" w:space="0" w:color="auto"/>
                        <w:right w:val="none" w:sz="0" w:space="0" w:color="auto"/>
                      </w:divBdr>
                      <w:divsChild>
                        <w:div w:id="1398823182">
                          <w:marLeft w:val="0"/>
                          <w:marRight w:val="0"/>
                          <w:marTop w:val="0"/>
                          <w:marBottom w:val="0"/>
                          <w:divBdr>
                            <w:top w:val="none" w:sz="0" w:space="0" w:color="auto"/>
                            <w:left w:val="none" w:sz="0" w:space="0" w:color="auto"/>
                            <w:bottom w:val="none" w:sz="0" w:space="0" w:color="auto"/>
                            <w:right w:val="none" w:sz="0" w:space="0" w:color="auto"/>
                          </w:divBdr>
                          <w:divsChild>
                            <w:div w:id="947128738">
                              <w:marLeft w:val="0"/>
                              <w:marRight w:val="0"/>
                              <w:marTop w:val="0"/>
                              <w:marBottom w:val="0"/>
                              <w:divBdr>
                                <w:top w:val="none" w:sz="0" w:space="0" w:color="auto"/>
                                <w:left w:val="none" w:sz="0" w:space="0" w:color="auto"/>
                                <w:bottom w:val="none" w:sz="0" w:space="0" w:color="auto"/>
                                <w:right w:val="none" w:sz="0" w:space="0" w:color="auto"/>
                              </w:divBdr>
                            </w:div>
                            <w:div w:id="486095834">
                              <w:marLeft w:val="0"/>
                              <w:marRight w:val="0"/>
                              <w:marTop w:val="0"/>
                              <w:marBottom w:val="0"/>
                              <w:divBdr>
                                <w:top w:val="none" w:sz="0" w:space="0" w:color="auto"/>
                                <w:left w:val="none" w:sz="0" w:space="0" w:color="auto"/>
                                <w:bottom w:val="none" w:sz="0" w:space="0" w:color="auto"/>
                                <w:right w:val="none" w:sz="0" w:space="0" w:color="auto"/>
                              </w:divBdr>
                            </w:div>
                            <w:div w:id="86614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4484701">
      <w:bodyDiv w:val="1"/>
      <w:marLeft w:val="0"/>
      <w:marRight w:val="0"/>
      <w:marTop w:val="0"/>
      <w:marBottom w:val="0"/>
      <w:divBdr>
        <w:top w:val="none" w:sz="0" w:space="0" w:color="auto"/>
        <w:left w:val="none" w:sz="0" w:space="0" w:color="auto"/>
        <w:bottom w:val="none" w:sz="0" w:space="0" w:color="auto"/>
        <w:right w:val="none" w:sz="0" w:space="0" w:color="auto"/>
      </w:divBdr>
    </w:div>
    <w:div w:id="1245918862">
      <w:bodyDiv w:val="1"/>
      <w:marLeft w:val="0"/>
      <w:marRight w:val="0"/>
      <w:marTop w:val="0"/>
      <w:marBottom w:val="0"/>
      <w:divBdr>
        <w:top w:val="none" w:sz="0" w:space="0" w:color="auto"/>
        <w:left w:val="none" w:sz="0" w:space="0" w:color="auto"/>
        <w:bottom w:val="none" w:sz="0" w:space="0" w:color="auto"/>
        <w:right w:val="none" w:sz="0" w:space="0" w:color="auto"/>
      </w:divBdr>
    </w:div>
    <w:div w:id="1286695736">
      <w:bodyDiv w:val="1"/>
      <w:marLeft w:val="0"/>
      <w:marRight w:val="0"/>
      <w:marTop w:val="0"/>
      <w:marBottom w:val="0"/>
      <w:divBdr>
        <w:top w:val="none" w:sz="0" w:space="0" w:color="auto"/>
        <w:left w:val="none" w:sz="0" w:space="0" w:color="auto"/>
        <w:bottom w:val="none" w:sz="0" w:space="0" w:color="auto"/>
        <w:right w:val="none" w:sz="0" w:space="0" w:color="auto"/>
      </w:divBdr>
      <w:divsChild>
        <w:div w:id="1864704194">
          <w:marLeft w:val="0"/>
          <w:marRight w:val="0"/>
          <w:marTop w:val="0"/>
          <w:marBottom w:val="0"/>
          <w:divBdr>
            <w:top w:val="none" w:sz="0" w:space="0" w:color="auto"/>
            <w:left w:val="none" w:sz="0" w:space="0" w:color="auto"/>
            <w:bottom w:val="none" w:sz="0" w:space="0" w:color="auto"/>
            <w:right w:val="none" w:sz="0" w:space="0" w:color="auto"/>
          </w:divBdr>
        </w:div>
      </w:divsChild>
    </w:div>
    <w:div w:id="1413970291">
      <w:bodyDiv w:val="1"/>
      <w:marLeft w:val="0"/>
      <w:marRight w:val="0"/>
      <w:marTop w:val="0"/>
      <w:marBottom w:val="0"/>
      <w:divBdr>
        <w:top w:val="none" w:sz="0" w:space="0" w:color="auto"/>
        <w:left w:val="none" w:sz="0" w:space="0" w:color="auto"/>
        <w:bottom w:val="none" w:sz="0" w:space="0" w:color="auto"/>
        <w:right w:val="none" w:sz="0" w:space="0" w:color="auto"/>
      </w:divBdr>
    </w:div>
    <w:div w:id="1433280192">
      <w:bodyDiv w:val="1"/>
      <w:marLeft w:val="0"/>
      <w:marRight w:val="0"/>
      <w:marTop w:val="0"/>
      <w:marBottom w:val="0"/>
      <w:divBdr>
        <w:top w:val="none" w:sz="0" w:space="0" w:color="auto"/>
        <w:left w:val="none" w:sz="0" w:space="0" w:color="auto"/>
        <w:bottom w:val="none" w:sz="0" w:space="0" w:color="auto"/>
        <w:right w:val="none" w:sz="0" w:space="0" w:color="auto"/>
      </w:divBdr>
    </w:div>
    <w:div w:id="1468233401">
      <w:bodyDiv w:val="1"/>
      <w:marLeft w:val="0"/>
      <w:marRight w:val="0"/>
      <w:marTop w:val="0"/>
      <w:marBottom w:val="0"/>
      <w:divBdr>
        <w:top w:val="none" w:sz="0" w:space="0" w:color="auto"/>
        <w:left w:val="none" w:sz="0" w:space="0" w:color="auto"/>
        <w:bottom w:val="none" w:sz="0" w:space="0" w:color="auto"/>
        <w:right w:val="none" w:sz="0" w:space="0" w:color="auto"/>
      </w:divBdr>
      <w:divsChild>
        <w:div w:id="1467820117">
          <w:marLeft w:val="0"/>
          <w:marRight w:val="0"/>
          <w:marTop w:val="0"/>
          <w:marBottom w:val="0"/>
          <w:divBdr>
            <w:top w:val="none" w:sz="0" w:space="0" w:color="auto"/>
            <w:left w:val="none" w:sz="0" w:space="0" w:color="auto"/>
            <w:bottom w:val="none" w:sz="0" w:space="0" w:color="auto"/>
            <w:right w:val="none" w:sz="0" w:space="0" w:color="auto"/>
          </w:divBdr>
        </w:div>
      </w:divsChild>
    </w:div>
    <w:div w:id="1559701448">
      <w:bodyDiv w:val="1"/>
      <w:marLeft w:val="0"/>
      <w:marRight w:val="0"/>
      <w:marTop w:val="0"/>
      <w:marBottom w:val="0"/>
      <w:divBdr>
        <w:top w:val="none" w:sz="0" w:space="0" w:color="auto"/>
        <w:left w:val="none" w:sz="0" w:space="0" w:color="auto"/>
        <w:bottom w:val="none" w:sz="0" w:space="0" w:color="auto"/>
        <w:right w:val="none" w:sz="0" w:space="0" w:color="auto"/>
      </w:divBdr>
    </w:div>
    <w:div w:id="1665280459">
      <w:bodyDiv w:val="1"/>
      <w:marLeft w:val="0"/>
      <w:marRight w:val="0"/>
      <w:marTop w:val="0"/>
      <w:marBottom w:val="0"/>
      <w:divBdr>
        <w:top w:val="none" w:sz="0" w:space="0" w:color="auto"/>
        <w:left w:val="none" w:sz="0" w:space="0" w:color="auto"/>
        <w:bottom w:val="none" w:sz="0" w:space="0" w:color="auto"/>
        <w:right w:val="none" w:sz="0" w:space="0" w:color="auto"/>
      </w:divBdr>
    </w:div>
    <w:div w:id="1850678198">
      <w:bodyDiv w:val="1"/>
      <w:marLeft w:val="0"/>
      <w:marRight w:val="0"/>
      <w:marTop w:val="0"/>
      <w:marBottom w:val="0"/>
      <w:divBdr>
        <w:top w:val="none" w:sz="0" w:space="0" w:color="auto"/>
        <w:left w:val="none" w:sz="0" w:space="0" w:color="auto"/>
        <w:bottom w:val="none" w:sz="0" w:space="0" w:color="auto"/>
        <w:right w:val="none" w:sz="0" w:space="0" w:color="auto"/>
      </w:divBdr>
      <w:divsChild>
        <w:div w:id="80182727">
          <w:marLeft w:val="0"/>
          <w:marRight w:val="0"/>
          <w:marTop w:val="0"/>
          <w:marBottom w:val="0"/>
          <w:divBdr>
            <w:top w:val="none" w:sz="0" w:space="0" w:color="auto"/>
            <w:left w:val="none" w:sz="0" w:space="0" w:color="auto"/>
            <w:bottom w:val="none" w:sz="0" w:space="0" w:color="auto"/>
            <w:right w:val="none" w:sz="0" w:space="0" w:color="auto"/>
          </w:divBdr>
        </w:div>
      </w:divsChild>
    </w:div>
    <w:div w:id="1939872871">
      <w:bodyDiv w:val="1"/>
      <w:marLeft w:val="0"/>
      <w:marRight w:val="0"/>
      <w:marTop w:val="0"/>
      <w:marBottom w:val="0"/>
      <w:divBdr>
        <w:top w:val="none" w:sz="0" w:space="0" w:color="auto"/>
        <w:left w:val="none" w:sz="0" w:space="0" w:color="auto"/>
        <w:bottom w:val="none" w:sz="0" w:space="0" w:color="auto"/>
        <w:right w:val="none" w:sz="0" w:space="0" w:color="auto"/>
      </w:divBdr>
      <w:divsChild>
        <w:div w:id="973829528">
          <w:marLeft w:val="0"/>
          <w:marRight w:val="0"/>
          <w:marTop w:val="0"/>
          <w:marBottom w:val="0"/>
          <w:divBdr>
            <w:top w:val="none" w:sz="0" w:space="0" w:color="auto"/>
            <w:left w:val="none" w:sz="0" w:space="0" w:color="auto"/>
            <w:bottom w:val="none" w:sz="0" w:space="0" w:color="auto"/>
            <w:right w:val="none" w:sz="0" w:space="0" w:color="auto"/>
          </w:divBdr>
        </w:div>
      </w:divsChild>
    </w:div>
    <w:div w:id="196615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63" Type="http://schemas.openxmlformats.org/officeDocument/2006/relationships/image" Target="media/image9.emf"/><Relationship Id="rId68" Type="http://schemas.openxmlformats.org/officeDocument/2006/relationships/image" Target="media/image13.tiff"/><Relationship Id="rId76" Type="http://schemas.openxmlformats.org/officeDocument/2006/relationships/fontTable" Target="fontTable.xml"/><Relationship Id="rId97" Type="http://schemas.onlyoffice.com/peopleDocument" Target="peopleDocument.xml"/><Relationship Id="rId7" Type="http://schemas.openxmlformats.org/officeDocument/2006/relationships/endnotes" Target="endnotes.xml"/><Relationship Id="rId12" Type="http://schemas.openxmlformats.org/officeDocument/2006/relationships/image" Target="media/image5.tiff"/><Relationship Id="rId59" Type="http://schemas.openxmlformats.org/officeDocument/2006/relationships/image" Target="media/image7.emf"/><Relationship Id="rId67" Type="http://schemas.openxmlformats.org/officeDocument/2006/relationships/image" Target="media/image12.jpeg"/><Relationship Id="rId71" Type="http://schemas.openxmlformats.org/officeDocument/2006/relationships/image" Target="media/image16.jpeg"/><Relationship Id="rId2" Type="http://schemas.openxmlformats.org/officeDocument/2006/relationships/numbering" Target="numbering.xml"/><Relationship Id="rId62" Type="http://schemas.openxmlformats.org/officeDocument/2006/relationships/oleObject" Target="embeddings/oleObject2.bin"/><Relationship Id="rId70" Type="http://schemas.openxmlformats.org/officeDocument/2006/relationships/image" Target="media/image15.tiff"/><Relationship Id="rId75" Type="http://schemas.openxmlformats.org/officeDocument/2006/relationships/image" Target="media/image20.png"/><Relationship Id="rId96" Type="http://schemas.onlyoffice.com/commentsExtendedDocument" Target="commentsExtended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8" Type="http://schemas.openxmlformats.org/officeDocument/2006/relationships/footer" Target="footer1.xml"/><Relationship Id="rId66" Type="http://schemas.openxmlformats.org/officeDocument/2006/relationships/image" Target="media/image11.png"/><Relationship Id="rId74" Type="http://schemas.openxmlformats.org/officeDocument/2006/relationships/image" Target="media/image19.png"/><Relationship Id="rId5" Type="http://schemas.openxmlformats.org/officeDocument/2006/relationships/webSettings" Target="webSettings.xml"/><Relationship Id="rId57" Type="http://schemas.openxmlformats.org/officeDocument/2006/relationships/image" Target="media/image60.jpg"/><Relationship Id="rId61" Type="http://schemas.openxmlformats.org/officeDocument/2006/relationships/image" Target="media/image8.emf"/><Relationship Id="rId95" Type="http://schemas.onlyoffice.com/commentsExtensibleDocument" Target="commentsExtensibleDocument.xml"/><Relationship Id="rId10" Type="http://schemas.openxmlformats.org/officeDocument/2006/relationships/image" Target="media/image3.png"/><Relationship Id="rId60" Type="http://schemas.openxmlformats.org/officeDocument/2006/relationships/oleObject" Target="embeddings/oleObject1.bin"/><Relationship Id="rId65" Type="http://schemas.openxmlformats.org/officeDocument/2006/relationships/image" Target="media/image10.png"/><Relationship Id="rId73" Type="http://schemas.openxmlformats.org/officeDocument/2006/relationships/image" Target="media/image18.png"/><Relationship Id="rId94" Type="http://schemas.onlyoffice.com/commentsIdsDocument" Target="commentsIdsDocument.xml"/><Relationship Id="rId4" Type="http://schemas.openxmlformats.org/officeDocument/2006/relationships/settings" Target="settings.xml"/><Relationship Id="rId9" Type="http://schemas.openxmlformats.org/officeDocument/2006/relationships/image" Target="media/image2.png"/><Relationship Id="rId64" Type="http://schemas.openxmlformats.org/officeDocument/2006/relationships/oleObject" Target="embeddings/oleObject3.bin"/><Relationship Id="rId69" Type="http://schemas.openxmlformats.org/officeDocument/2006/relationships/image" Target="media/image14.jpeg"/><Relationship Id="rId77" Type="http://schemas.openxmlformats.org/officeDocument/2006/relationships/theme" Target="theme/theme1.xml"/><Relationship Id="rId8" Type="http://schemas.openxmlformats.org/officeDocument/2006/relationships/image" Target="media/image1.png"/><Relationship Id="rId72" Type="http://schemas.openxmlformats.org/officeDocument/2006/relationships/image" Target="media/image17.png"/><Relationship Id="rId98" Type="http://schemas.onlyoffice.com/commentsDocument" Target="commentsDocument.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Arial"/>
        <a:cs typeface="Arial"/>
      </a:majorFont>
      <a:minorFont>
        <a:latin typeface="Aptos"/>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16692-0563-4228-B046-B72F21565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75</Pages>
  <Words>225380</Words>
  <Characters>1419897</Characters>
  <Application>Microsoft Office Word</Application>
  <DocSecurity>0</DocSecurity>
  <Lines>11832</Lines>
  <Paragraphs>3283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Forschungszentrum Jülich GmbH</Company>
  <LinksUpToDate>false</LinksUpToDate>
  <CharactersWithSpaces>1641994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Durmus, Yasin Emre</dc:creator>
  <cp:keywords/>
  <dc:description/>
  <cp:lastModifiedBy>Neuhaus, Kerstin</cp:lastModifiedBy>
  <cp:revision>2</cp:revision>
  <dcterms:created xsi:type="dcterms:W3CDTF">2025-07-03T11:29:00Z</dcterms:created>
  <dcterms:modified xsi:type="dcterms:W3CDTF">2025-07-03T11:29:00Z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http://www.zotero.org/styles/advanced-functional-materials</vt:lpwstr>
  </property>
  <property fmtid="{D5CDD505-2E9C-101B-9397-08002B2CF9AE}" pid="3" name="Mendeley Recent Style Name 0_1">
    <vt:lpwstr>Advanced Functional Materials</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http://www.zotero.org/styles/electrochimica-acta</vt:lpwstr>
  </property>
  <property fmtid="{D5CDD505-2E9C-101B-9397-08002B2CF9AE}" pid="13" name="Mendeley Recent Style Name 5_1">
    <vt:lpwstr>Electrochimica Acta</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http://www.zotero.org/styles/rsc-advances</vt:lpwstr>
  </property>
  <property fmtid="{D5CDD505-2E9C-101B-9397-08002B2CF9AE}" pid="19" name="Mendeley Recent Style Name 8_1">
    <vt:lpwstr>RSC Advances</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404ba0f8-ea05-3964-8c32-7e7cb2de448f</vt:lpwstr>
  </property>
  <property fmtid="{D5CDD505-2E9C-101B-9397-08002B2CF9AE}" pid="24" name="Mendeley Citation Style_1">
    <vt:lpwstr>http://www.zotero.org/styles/advanced-functional-materials</vt:lpwstr>
  </property>
</Properties>
</file>