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C3F876" w14:textId="77777777" w:rsidR="00957D3B" w:rsidRPr="00252602" w:rsidRDefault="00957D3B" w:rsidP="00957D3B">
      <w:pPr>
        <w:spacing w:line="480" w:lineRule="auto"/>
        <w:rPr>
          <w:rFonts w:cs="Arial"/>
          <w:sz w:val="32"/>
          <w:szCs w:val="32"/>
        </w:rPr>
      </w:pPr>
    </w:p>
    <w:p w14:paraId="511F9E62" w14:textId="01790FDD" w:rsidR="00957D3B" w:rsidRPr="004E17C3" w:rsidRDefault="00267F7F" w:rsidP="00267F7F">
      <w:pPr>
        <w:spacing w:line="480" w:lineRule="auto"/>
        <w:rPr>
          <w:rFonts w:cs="Arial"/>
          <w:color w:val="1F497D" w:themeColor="text2"/>
          <w:sz w:val="32"/>
          <w:szCs w:val="32"/>
        </w:rPr>
      </w:pPr>
      <w:r w:rsidRPr="004E17C3">
        <w:rPr>
          <w:rFonts w:cs="Arial"/>
          <w:color w:val="1F497D" w:themeColor="text2"/>
          <w:sz w:val="32"/>
          <w:szCs w:val="32"/>
        </w:rPr>
        <w:t>EANM Practice Guideline/SNMMI Procedure Standard for Dopaminergic Imaging in P</w:t>
      </w:r>
      <w:bookmarkStart w:id="0" w:name="_GoBack"/>
      <w:bookmarkEnd w:id="0"/>
      <w:r w:rsidRPr="004E17C3">
        <w:rPr>
          <w:rFonts w:cs="Arial"/>
          <w:color w:val="1F497D" w:themeColor="text2"/>
          <w:sz w:val="32"/>
          <w:szCs w:val="32"/>
        </w:rPr>
        <w:t>arkinsonian Syndromes</w:t>
      </w:r>
      <w:r w:rsidR="00DF33AC" w:rsidRPr="004E17C3">
        <w:rPr>
          <w:rFonts w:cs="Arial"/>
          <w:color w:val="1F497D" w:themeColor="text2"/>
          <w:sz w:val="32"/>
          <w:szCs w:val="32"/>
        </w:rPr>
        <w:t xml:space="preserve"> 1.0</w:t>
      </w:r>
    </w:p>
    <w:p w14:paraId="450BF56F" w14:textId="61DF6DFC" w:rsidR="003F589B" w:rsidRPr="00045F85" w:rsidRDefault="003F589B" w:rsidP="00800271">
      <w:pPr>
        <w:rPr>
          <w:rFonts w:cs="Arial"/>
          <w:bCs/>
        </w:rPr>
      </w:pPr>
      <w:r w:rsidRPr="00045F85">
        <w:rPr>
          <w:rFonts w:cs="Arial"/>
          <w:bCs/>
        </w:rPr>
        <w:t>Silvia Morbelli</w:t>
      </w:r>
      <w:r w:rsidR="00704ECB" w:rsidRPr="00045F85">
        <w:rPr>
          <w:rFonts w:cs="Arial"/>
          <w:bCs/>
          <w:vertAlign w:val="superscript"/>
        </w:rPr>
        <w:t>1,2</w:t>
      </w:r>
      <w:r w:rsidR="008B6436" w:rsidRPr="00045F85">
        <w:rPr>
          <w:rFonts w:cs="Arial"/>
          <w:bCs/>
        </w:rPr>
        <w:t>, Giuseppe Esposito</w:t>
      </w:r>
      <w:r w:rsidR="008B6436" w:rsidRPr="00045F85">
        <w:rPr>
          <w:rFonts w:cs="Arial"/>
          <w:bCs/>
          <w:vertAlign w:val="superscript"/>
        </w:rPr>
        <w:t>3</w:t>
      </w:r>
      <w:r w:rsidRPr="00045F85">
        <w:rPr>
          <w:rFonts w:cs="Arial"/>
          <w:bCs/>
        </w:rPr>
        <w:t>, Javier Arbizu</w:t>
      </w:r>
      <w:r w:rsidR="00252602" w:rsidRPr="00045F85">
        <w:rPr>
          <w:rFonts w:cs="Arial"/>
          <w:bCs/>
          <w:vertAlign w:val="superscript"/>
        </w:rPr>
        <w:t>4</w:t>
      </w:r>
      <w:r w:rsidRPr="00045F85">
        <w:rPr>
          <w:rFonts w:cs="Arial"/>
          <w:bCs/>
        </w:rPr>
        <w:t xml:space="preserve">, </w:t>
      </w:r>
      <w:r w:rsidR="005F6DFE" w:rsidRPr="00045F85">
        <w:rPr>
          <w:rFonts w:cs="Arial"/>
          <w:bCs/>
        </w:rPr>
        <w:t>Henryk</w:t>
      </w:r>
      <w:r w:rsidRPr="00045F85">
        <w:rPr>
          <w:rFonts w:cs="Arial"/>
          <w:bCs/>
        </w:rPr>
        <w:t xml:space="preserve"> Barthel</w:t>
      </w:r>
      <w:r w:rsidR="00252602" w:rsidRPr="00045F85">
        <w:rPr>
          <w:rFonts w:cs="Arial"/>
          <w:bCs/>
          <w:vertAlign w:val="superscript"/>
        </w:rPr>
        <w:t>5</w:t>
      </w:r>
      <w:r w:rsidRPr="00045F85">
        <w:rPr>
          <w:rFonts w:cs="Arial"/>
          <w:bCs/>
        </w:rPr>
        <w:t>, Ronald Boellaard</w:t>
      </w:r>
      <w:r w:rsidR="00252602" w:rsidRPr="00045F85">
        <w:rPr>
          <w:rFonts w:cs="Arial"/>
          <w:bCs/>
          <w:vertAlign w:val="superscript"/>
        </w:rPr>
        <w:t>6</w:t>
      </w:r>
      <w:r w:rsidR="009C017F" w:rsidRPr="00045F85">
        <w:rPr>
          <w:rFonts w:cs="Arial"/>
          <w:bCs/>
        </w:rPr>
        <w:t>, Nico I</w:t>
      </w:r>
      <w:r w:rsidR="005261FD" w:rsidRPr="00045F85">
        <w:rPr>
          <w:rFonts w:cs="Arial"/>
          <w:bCs/>
        </w:rPr>
        <w:t xml:space="preserve">. </w:t>
      </w:r>
      <w:r w:rsidRPr="00045F85">
        <w:rPr>
          <w:rFonts w:cs="Arial"/>
          <w:bCs/>
        </w:rPr>
        <w:t>Bohnen</w:t>
      </w:r>
      <w:r w:rsidR="00252602" w:rsidRPr="00045F85">
        <w:rPr>
          <w:rFonts w:cs="Arial"/>
          <w:bCs/>
          <w:vertAlign w:val="superscript"/>
        </w:rPr>
        <w:t>7</w:t>
      </w:r>
      <w:r w:rsidRPr="00045F85">
        <w:rPr>
          <w:rFonts w:cs="Arial"/>
          <w:bCs/>
        </w:rPr>
        <w:t xml:space="preserve">, David </w:t>
      </w:r>
      <w:r w:rsidR="00D33332" w:rsidRPr="00045F85">
        <w:rPr>
          <w:rFonts w:cs="Arial"/>
          <w:bCs/>
        </w:rPr>
        <w:t xml:space="preserve">J </w:t>
      </w:r>
      <w:r w:rsidRPr="00045F85">
        <w:rPr>
          <w:rFonts w:cs="Arial"/>
          <w:bCs/>
        </w:rPr>
        <w:t>Brooks</w:t>
      </w:r>
      <w:r w:rsidR="00252602" w:rsidRPr="00045F85">
        <w:rPr>
          <w:rFonts w:cs="Arial"/>
          <w:bCs/>
          <w:vertAlign w:val="superscript"/>
        </w:rPr>
        <w:t>8,9</w:t>
      </w:r>
      <w:r w:rsidRPr="00045F85">
        <w:rPr>
          <w:rFonts w:cs="Arial"/>
          <w:bCs/>
        </w:rPr>
        <w:t>, Jacques Darcourt</w:t>
      </w:r>
      <w:r w:rsidR="00252602" w:rsidRPr="00045F85">
        <w:rPr>
          <w:rFonts w:cs="Arial"/>
          <w:bCs/>
          <w:vertAlign w:val="superscript"/>
        </w:rPr>
        <w:t>10</w:t>
      </w:r>
      <w:r w:rsidRPr="00045F85">
        <w:rPr>
          <w:rFonts w:cs="Arial"/>
          <w:bCs/>
        </w:rPr>
        <w:t xml:space="preserve">, </w:t>
      </w:r>
      <w:r w:rsidR="005868ED" w:rsidRPr="00045F85">
        <w:rPr>
          <w:rFonts w:cs="Arial"/>
          <w:bCs/>
        </w:rPr>
        <w:t xml:space="preserve">John C. </w:t>
      </w:r>
      <w:r w:rsidRPr="00045F85">
        <w:rPr>
          <w:rFonts w:cs="Arial"/>
          <w:bCs/>
        </w:rPr>
        <w:t>Dickson</w:t>
      </w:r>
      <w:r w:rsidR="00252602" w:rsidRPr="00045F85">
        <w:rPr>
          <w:rFonts w:cs="Arial"/>
          <w:bCs/>
          <w:vertAlign w:val="superscript"/>
        </w:rPr>
        <w:t>11</w:t>
      </w:r>
      <w:r w:rsidRPr="00045F85">
        <w:rPr>
          <w:rFonts w:cs="Arial"/>
          <w:bCs/>
        </w:rPr>
        <w:t>, David Douglas</w:t>
      </w:r>
      <w:r w:rsidR="00252602" w:rsidRPr="00045F85">
        <w:rPr>
          <w:rFonts w:cs="Arial"/>
          <w:bCs/>
          <w:vertAlign w:val="superscript"/>
        </w:rPr>
        <w:t>12</w:t>
      </w:r>
      <w:r w:rsidRPr="00045F85">
        <w:rPr>
          <w:rFonts w:cs="Arial"/>
          <w:bCs/>
        </w:rPr>
        <w:t>, Alexander Drzezga</w:t>
      </w:r>
      <w:r w:rsidR="00252602" w:rsidRPr="00045F85">
        <w:rPr>
          <w:rFonts w:cs="Arial"/>
          <w:bCs/>
          <w:vertAlign w:val="superscript"/>
        </w:rPr>
        <w:t>13</w:t>
      </w:r>
      <w:r w:rsidRPr="00045F85">
        <w:rPr>
          <w:rFonts w:cs="Arial"/>
          <w:bCs/>
        </w:rPr>
        <w:t>, Jacob Dubroff</w:t>
      </w:r>
      <w:r w:rsidR="00252602" w:rsidRPr="00045F85">
        <w:rPr>
          <w:rFonts w:cs="Arial"/>
          <w:bCs/>
          <w:vertAlign w:val="superscript"/>
        </w:rPr>
        <w:t>14</w:t>
      </w:r>
      <w:r w:rsidRPr="00045F85">
        <w:rPr>
          <w:rFonts w:cs="Arial"/>
          <w:bCs/>
        </w:rPr>
        <w:t>, Ozgul Ekmekcioglu</w:t>
      </w:r>
      <w:r w:rsidR="00252602" w:rsidRPr="00045F85">
        <w:rPr>
          <w:rFonts w:cs="Arial"/>
          <w:bCs/>
          <w:vertAlign w:val="superscript"/>
        </w:rPr>
        <w:t>15</w:t>
      </w:r>
      <w:r w:rsidRPr="00045F85">
        <w:rPr>
          <w:rFonts w:cs="Arial"/>
          <w:bCs/>
        </w:rPr>
        <w:t>, Valentina Garibotto</w:t>
      </w:r>
      <w:r w:rsidR="00252602" w:rsidRPr="00045F85">
        <w:rPr>
          <w:rFonts w:cs="Arial"/>
          <w:bCs/>
          <w:vertAlign w:val="superscript"/>
        </w:rPr>
        <w:t>16,17</w:t>
      </w:r>
      <w:r w:rsidRPr="00045F85">
        <w:rPr>
          <w:rFonts w:cs="Arial"/>
          <w:bCs/>
        </w:rPr>
        <w:t>, Peter Herscovitch</w:t>
      </w:r>
      <w:r w:rsidR="00252602" w:rsidRPr="00045F85">
        <w:rPr>
          <w:rFonts w:cs="Arial"/>
          <w:bCs/>
          <w:vertAlign w:val="superscript"/>
        </w:rPr>
        <w:t>18</w:t>
      </w:r>
      <w:r w:rsidRPr="00045F85">
        <w:rPr>
          <w:rFonts w:cs="Arial"/>
          <w:bCs/>
        </w:rPr>
        <w:t>, Phillip Kuo</w:t>
      </w:r>
      <w:r w:rsidR="00252602" w:rsidRPr="00045F85">
        <w:rPr>
          <w:rFonts w:cs="Arial"/>
          <w:bCs/>
          <w:vertAlign w:val="superscript"/>
        </w:rPr>
        <w:t>19</w:t>
      </w:r>
      <w:r w:rsidRPr="00045F85">
        <w:rPr>
          <w:rFonts w:cs="Arial"/>
          <w:bCs/>
        </w:rPr>
        <w:t>, Adriaan Lammertsma</w:t>
      </w:r>
      <w:r w:rsidR="00252602" w:rsidRPr="00045F85">
        <w:rPr>
          <w:rFonts w:cs="Arial"/>
          <w:bCs/>
          <w:vertAlign w:val="superscript"/>
        </w:rPr>
        <w:t>6</w:t>
      </w:r>
      <w:r w:rsidRPr="00045F85">
        <w:rPr>
          <w:rFonts w:cs="Arial"/>
          <w:bCs/>
        </w:rPr>
        <w:t>, Sabina Pappata</w:t>
      </w:r>
      <w:r w:rsidR="00252602" w:rsidRPr="00045F85">
        <w:rPr>
          <w:rFonts w:cs="Arial"/>
          <w:bCs/>
          <w:vertAlign w:val="superscript"/>
        </w:rPr>
        <w:t>20</w:t>
      </w:r>
      <w:r w:rsidR="00252602" w:rsidRPr="00045F85">
        <w:rPr>
          <w:rFonts w:cs="Arial"/>
          <w:bCs/>
        </w:rPr>
        <w:t>, Iván Peñuelas</w:t>
      </w:r>
      <w:r w:rsidR="00252602" w:rsidRPr="00045F85">
        <w:rPr>
          <w:rFonts w:cs="Arial"/>
          <w:bCs/>
          <w:vertAlign w:val="superscript"/>
        </w:rPr>
        <w:t>4</w:t>
      </w:r>
      <w:r w:rsidRPr="00045F85">
        <w:rPr>
          <w:rFonts w:cs="Arial"/>
          <w:bCs/>
        </w:rPr>
        <w:t>, John Seibyl</w:t>
      </w:r>
      <w:r w:rsidR="00252602" w:rsidRPr="00045F85">
        <w:rPr>
          <w:rFonts w:cs="Arial"/>
          <w:bCs/>
          <w:vertAlign w:val="superscript"/>
        </w:rPr>
        <w:t>21</w:t>
      </w:r>
      <w:r w:rsidRPr="00045F85">
        <w:rPr>
          <w:rFonts w:cs="Arial"/>
          <w:bCs/>
        </w:rPr>
        <w:t>, Franck Semah</w:t>
      </w:r>
      <w:r w:rsidR="00252602" w:rsidRPr="00045F85">
        <w:rPr>
          <w:rFonts w:cs="Arial"/>
          <w:bCs/>
          <w:vertAlign w:val="superscript"/>
        </w:rPr>
        <w:t>22</w:t>
      </w:r>
      <w:r w:rsidRPr="00045F85">
        <w:rPr>
          <w:rFonts w:cs="Arial"/>
          <w:bCs/>
        </w:rPr>
        <w:t>, Livia Tossici-Bolt</w:t>
      </w:r>
      <w:r w:rsidR="00252602" w:rsidRPr="00045F85">
        <w:rPr>
          <w:rFonts w:cs="Arial"/>
          <w:bCs/>
          <w:vertAlign w:val="superscript"/>
        </w:rPr>
        <w:t>23</w:t>
      </w:r>
      <w:r w:rsidRPr="00045F85">
        <w:rPr>
          <w:rFonts w:cs="Arial"/>
          <w:bCs/>
        </w:rPr>
        <w:t>, Elsmarieke Van de Giessen</w:t>
      </w:r>
      <w:r w:rsidR="00252602" w:rsidRPr="00045F85">
        <w:rPr>
          <w:rFonts w:cs="Arial"/>
          <w:bCs/>
          <w:vertAlign w:val="superscript"/>
        </w:rPr>
        <w:t>6</w:t>
      </w:r>
      <w:r w:rsidRPr="00045F85">
        <w:rPr>
          <w:rFonts w:cs="Arial"/>
          <w:bCs/>
        </w:rPr>
        <w:t>, Koen Van Laere</w:t>
      </w:r>
      <w:r w:rsidR="00252602" w:rsidRPr="00045F85">
        <w:rPr>
          <w:rFonts w:cs="Arial"/>
          <w:bCs/>
          <w:vertAlign w:val="superscript"/>
        </w:rPr>
        <w:t>24</w:t>
      </w:r>
      <w:r w:rsidRPr="00045F85">
        <w:rPr>
          <w:rFonts w:cs="Arial"/>
          <w:bCs/>
        </w:rPr>
        <w:t>, Andrea Varrone</w:t>
      </w:r>
      <w:r w:rsidR="00252602" w:rsidRPr="00045F85">
        <w:rPr>
          <w:rFonts w:cs="Arial"/>
          <w:bCs/>
          <w:vertAlign w:val="superscript"/>
        </w:rPr>
        <w:t>25</w:t>
      </w:r>
      <w:r w:rsidRPr="00045F85">
        <w:rPr>
          <w:rFonts w:cs="Arial"/>
          <w:bCs/>
        </w:rPr>
        <w:t xml:space="preserve">, Michele </w:t>
      </w:r>
      <w:r w:rsidR="004F5EA0" w:rsidRPr="00045F85">
        <w:rPr>
          <w:rFonts w:cs="Arial"/>
          <w:bCs/>
        </w:rPr>
        <w:t>Wanner</w:t>
      </w:r>
      <w:r w:rsidR="00252602" w:rsidRPr="00045F85">
        <w:rPr>
          <w:rFonts w:cs="Arial"/>
          <w:bCs/>
          <w:vertAlign w:val="superscript"/>
        </w:rPr>
        <w:t>26</w:t>
      </w:r>
      <w:r w:rsidRPr="00045F85">
        <w:rPr>
          <w:rFonts w:cs="Arial"/>
          <w:bCs/>
        </w:rPr>
        <w:t>, George Zubal</w:t>
      </w:r>
      <w:r w:rsidR="00252602" w:rsidRPr="00045F85">
        <w:rPr>
          <w:rFonts w:cs="Arial"/>
          <w:bCs/>
          <w:vertAlign w:val="superscript"/>
        </w:rPr>
        <w:t>27</w:t>
      </w:r>
      <w:r w:rsidRPr="00045F85">
        <w:rPr>
          <w:rFonts w:cs="Arial"/>
          <w:bCs/>
        </w:rPr>
        <w:t>, Ian Law</w:t>
      </w:r>
      <w:r w:rsidR="00252602" w:rsidRPr="00045F85">
        <w:rPr>
          <w:rFonts w:cs="Arial"/>
          <w:bCs/>
          <w:vertAlign w:val="superscript"/>
        </w:rPr>
        <w:t>28</w:t>
      </w:r>
      <w:r w:rsidR="001367FA" w:rsidRPr="00045F85">
        <w:rPr>
          <w:rFonts w:cs="Arial"/>
          <w:bCs/>
        </w:rPr>
        <w:t>.</w:t>
      </w:r>
    </w:p>
    <w:p w14:paraId="76D38960" w14:textId="7FDE1756" w:rsidR="00A015F7" w:rsidRPr="00045F85" w:rsidRDefault="00704ECB" w:rsidP="00C97AB2">
      <w:pPr>
        <w:pStyle w:val="Listenabsatz"/>
        <w:numPr>
          <w:ilvl w:val="0"/>
          <w:numId w:val="16"/>
        </w:numPr>
        <w:rPr>
          <w:color w:val="auto"/>
          <w:lang w:val="it-IT"/>
        </w:rPr>
      </w:pPr>
      <w:r w:rsidRPr="00045F85">
        <w:rPr>
          <w:color w:val="auto"/>
          <w:lang w:val="it-IT"/>
        </w:rPr>
        <w:t>IRCCS Ospedale Policlinico San Martino, Geno</w:t>
      </w:r>
      <w:r w:rsidR="008B6436" w:rsidRPr="00045F85">
        <w:rPr>
          <w:color w:val="auto"/>
          <w:lang w:val="it-IT"/>
        </w:rPr>
        <w:t>v</w:t>
      </w:r>
      <w:r w:rsidRPr="00045F85">
        <w:rPr>
          <w:color w:val="auto"/>
          <w:lang w:val="it-IT"/>
        </w:rPr>
        <w:t>a, Italy</w:t>
      </w:r>
    </w:p>
    <w:p w14:paraId="2C4A10DA" w14:textId="77777777" w:rsidR="00647EB0" w:rsidRPr="00045F85" w:rsidRDefault="00647EB0" w:rsidP="00C97AB2">
      <w:pPr>
        <w:pStyle w:val="Listenabsatz"/>
        <w:numPr>
          <w:ilvl w:val="0"/>
          <w:numId w:val="16"/>
        </w:numPr>
        <w:rPr>
          <w:color w:val="auto"/>
        </w:rPr>
      </w:pPr>
      <w:r w:rsidRPr="00045F85">
        <w:rPr>
          <w:color w:val="auto"/>
        </w:rPr>
        <w:t>Nuclear Medicine Unit, Department of Health Sciences, University of Genoa, Italy</w:t>
      </w:r>
    </w:p>
    <w:p w14:paraId="2B6EA224" w14:textId="77777777" w:rsidR="005A6880" w:rsidRPr="00045F85" w:rsidRDefault="005A6880" w:rsidP="00C97AB2">
      <w:pPr>
        <w:pStyle w:val="Listenabsatz"/>
        <w:numPr>
          <w:ilvl w:val="0"/>
          <w:numId w:val="16"/>
        </w:numPr>
        <w:rPr>
          <w:color w:val="auto"/>
        </w:rPr>
      </w:pPr>
      <w:r w:rsidRPr="00045F85">
        <w:rPr>
          <w:color w:val="auto"/>
        </w:rPr>
        <w:t>Nuclear Medicine, Department of Radiology, Medstar Georgetown University Hospital, 3800 Reservoir Road NW CCC Bldg., Washington, DC, 20007, USA.</w:t>
      </w:r>
    </w:p>
    <w:p w14:paraId="1E709027" w14:textId="53B84222" w:rsidR="008B6436" w:rsidRPr="00045F85" w:rsidRDefault="008B6436" w:rsidP="00C97AB2">
      <w:pPr>
        <w:pStyle w:val="Listenabsatz"/>
        <w:numPr>
          <w:ilvl w:val="0"/>
          <w:numId w:val="16"/>
        </w:numPr>
        <w:rPr>
          <w:color w:val="auto"/>
        </w:rPr>
      </w:pPr>
      <w:r w:rsidRPr="00045F85">
        <w:rPr>
          <w:color w:val="auto"/>
        </w:rPr>
        <w:t xml:space="preserve">Department of Nuclear Medicine. </w:t>
      </w:r>
      <w:r w:rsidRPr="00045F85">
        <w:rPr>
          <w:color w:val="auto"/>
          <w:lang w:val="en-GB"/>
        </w:rPr>
        <w:t xml:space="preserve">University of Navarra. </w:t>
      </w:r>
      <w:r w:rsidRPr="00045F85">
        <w:rPr>
          <w:color w:val="auto"/>
          <w:lang w:val="es-CL"/>
        </w:rPr>
        <w:t>Clinica Universidad de Navarra</w:t>
      </w:r>
      <w:r w:rsidR="00321115" w:rsidRPr="00045F85">
        <w:rPr>
          <w:color w:val="auto"/>
          <w:lang w:val="es-CL"/>
        </w:rPr>
        <w:t>. IdiSNA.</w:t>
      </w:r>
      <w:r w:rsidRPr="00045F85">
        <w:rPr>
          <w:color w:val="auto"/>
          <w:lang w:val="es-CL"/>
        </w:rPr>
        <w:t xml:space="preserve"> </w:t>
      </w:r>
      <w:r w:rsidRPr="00045F85">
        <w:rPr>
          <w:color w:val="auto"/>
        </w:rPr>
        <w:t>Pamplona, Spain</w:t>
      </w:r>
    </w:p>
    <w:p w14:paraId="14F9C1BB" w14:textId="77777777" w:rsidR="009C017F" w:rsidRPr="00045F85" w:rsidRDefault="00C4769C" w:rsidP="009D6B35">
      <w:pPr>
        <w:pStyle w:val="Kommentartext"/>
        <w:numPr>
          <w:ilvl w:val="0"/>
          <w:numId w:val="16"/>
        </w:numPr>
        <w:rPr>
          <w:rFonts w:cs="Arial"/>
        </w:rPr>
      </w:pPr>
      <w:r w:rsidRPr="00045F85">
        <w:rPr>
          <w:rFonts w:cs="Arial"/>
        </w:rPr>
        <w:t>Department of Nuclear Medicine, Leipzig University, Leipzig, Germany</w:t>
      </w:r>
    </w:p>
    <w:p w14:paraId="36DBCB44" w14:textId="3D02BD11" w:rsidR="009C017F" w:rsidRPr="00045F85" w:rsidRDefault="00BA3833" w:rsidP="009D6B35">
      <w:pPr>
        <w:pStyle w:val="Kommentartext"/>
        <w:numPr>
          <w:ilvl w:val="0"/>
          <w:numId w:val="16"/>
        </w:numPr>
        <w:rPr>
          <w:rFonts w:cs="Arial"/>
        </w:rPr>
      </w:pPr>
      <w:r w:rsidRPr="00045F85">
        <w:t xml:space="preserve">Department of Radiology and </w:t>
      </w:r>
      <w:r w:rsidR="00FA5D5B" w:rsidRPr="00045F85">
        <w:t>Nuclear Medicine, Amsterdam UMC, Vrije Universiteit Amsterdam, Cancer Center Amsterdam NeuroScience, De Boelelaan 1117, Amsterdam, the Netherlands</w:t>
      </w:r>
      <w:r w:rsidR="00FA5D5B" w:rsidRPr="00045F85" w:rsidDel="00FA5D5B">
        <w:t xml:space="preserve"> </w:t>
      </w:r>
    </w:p>
    <w:p w14:paraId="1FCB9893" w14:textId="2911BA09" w:rsidR="005261FD" w:rsidRPr="00045F85" w:rsidRDefault="005261FD" w:rsidP="009D6B35">
      <w:pPr>
        <w:pStyle w:val="Kommentartext"/>
        <w:numPr>
          <w:ilvl w:val="0"/>
          <w:numId w:val="16"/>
        </w:numPr>
        <w:rPr>
          <w:rFonts w:cs="Arial"/>
        </w:rPr>
      </w:pPr>
      <w:r w:rsidRPr="00045F85">
        <w:t>Departments Radiology &amp; Neurology, University of Michigan &amp; Ann Arbor Veterans Medical Center, Ann Arbor, MI, USA</w:t>
      </w:r>
    </w:p>
    <w:p w14:paraId="634DF184" w14:textId="77777777" w:rsidR="00341510" w:rsidRPr="00045F85" w:rsidRDefault="00341510" w:rsidP="00C97AB2">
      <w:pPr>
        <w:pStyle w:val="Listenabsatz"/>
        <w:numPr>
          <w:ilvl w:val="0"/>
          <w:numId w:val="16"/>
        </w:numPr>
        <w:rPr>
          <w:color w:val="auto"/>
        </w:rPr>
      </w:pPr>
      <w:r w:rsidRPr="00045F85">
        <w:rPr>
          <w:color w:val="auto"/>
        </w:rPr>
        <w:t xml:space="preserve">Dpt of Nuclear Medicine Aarhus University DK; </w:t>
      </w:r>
    </w:p>
    <w:p w14:paraId="53FB480D" w14:textId="40373D41" w:rsidR="00341510" w:rsidRPr="00045F85" w:rsidRDefault="00341510" w:rsidP="00C97AB2">
      <w:pPr>
        <w:pStyle w:val="Listenabsatz"/>
        <w:numPr>
          <w:ilvl w:val="0"/>
          <w:numId w:val="16"/>
        </w:numPr>
        <w:rPr>
          <w:color w:val="auto"/>
        </w:rPr>
      </w:pPr>
      <w:r w:rsidRPr="00045F85">
        <w:rPr>
          <w:color w:val="auto"/>
        </w:rPr>
        <w:t>Institute of Neuroscience, University of Newcastle Upon Tyne, UK</w:t>
      </w:r>
    </w:p>
    <w:p w14:paraId="7F5E0C3A" w14:textId="346F7101" w:rsidR="00663FF6" w:rsidRPr="00045F85" w:rsidRDefault="00663FF6" w:rsidP="009D6B35">
      <w:pPr>
        <w:pStyle w:val="Kommentartext"/>
        <w:numPr>
          <w:ilvl w:val="0"/>
          <w:numId w:val="16"/>
        </w:numPr>
        <w:rPr>
          <w:rFonts w:cs="Arial"/>
          <w:lang w:val="fr-FR"/>
        </w:rPr>
      </w:pPr>
      <w:r w:rsidRPr="00045F85">
        <w:rPr>
          <w:rFonts w:cs="Arial"/>
        </w:rPr>
        <w:t xml:space="preserve">Nuclear Medicine. Department of imaging. </w:t>
      </w:r>
      <w:r w:rsidRPr="00045F85">
        <w:rPr>
          <w:rFonts w:cs="Arial"/>
          <w:lang w:val="fr-FR"/>
        </w:rPr>
        <w:t>Centre Antoine Lacassagne, Nice, Université Cote d’Azur, France</w:t>
      </w:r>
    </w:p>
    <w:p w14:paraId="0CBA532C" w14:textId="56081AAF" w:rsidR="00663FF6" w:rsidRPr="00045F85" w:rsidRDefault="00663FF6" w:rsidP="009D6B35">
      <w:pPr>
        <w:pStyle w:val="Kommentartext"/>
        <w:numPr>
          <w:ilvl w:val="0"/>
          <w:numId w:val="16"/>
        </w:numPr>
        <w:rPr>
          <w:rFonts w:cs="Arial"/>
        </w:rPr>
      </w:pPr>
      <w:r w:rsidRPr="00045F85">
        <w:rPr>
          <w:rFonts w:cs="Arial"/>
          <w:bCs/>
          <w:lang w:val="it-IT"/>
        </w:rPr>
        <w:t xml:space="preserve"> </w:t>
      </w:r>
      <w:r w:rsidRPr="00045F85">
        <w:rPr>
          <w:rFonts w:cs="Arial"/>
          <w:bCs/>
        </w:rPr>
        <w:t xml:space="preserve">Institute of Nuclear Medicine, University College London Hospitals NHS Foundation Trust, London                                                                                 </w:t>
      </w:r>
    </w:p>
    <w:p w14:paraId="40CD9502" w14:textId="22A70A05" w:rsidR="0041715F" w:rsidRPr="00045F85" w:rsidRDefault="0041715F" w:rsidP="00C97AB2">
      <w:pPr>
        <w:pStyle w:val="Listenabsatz"/>
        <w:numPr>
          <w:ilvl w:val="0"/>
          <w:numId w:val="16"/>
        </w:numPr>
        <w:rPr>
          <w:color w:val="auto"/>
        </w:rPr>
      </w:pPr>
      <w:r w:rsidRPr="00045F85">
        <w:rPr>
          <w:color w:val="auto"/>
        </w:rPr>
        <w:t>Department of Nuclear Medicine and Neuroradiology, Stanford University, CA, USA</w:t>
      </w:r>
    </w:p>
    <w:p w14:paraId="27F53FCF" w14:textId="77777777" w:rsidR="004D1440" w:rsidRPr="00045F85" w:rsidRDefault="004D1440" w:rsidP="00C97AB2">
      <w:pPr>
        <w:pStyle w:val="Listenabsatz"/>
        <w:numPr>
          <w:ilvl w:val="0"/>
          <w:numId w:val="16"/>
        </w:numPr>
        <w:rPr>
          <w:color w:val="auto"/>
          <w:lang w:val="sv-SE"/>
        </w:rPr>
      </w:pPr>
      <w:r w:rsidRPr="00045F85">
        <w:rPr>
          <w:color w:val="auto"/>
          <w:lang w:val="sv-SE"/>
        </w:rPr>
        <w:t>Department of Nuclear Medicine, Faculty of Medicine and University Hospital Cologne, University of Cologne; German Center for Neurodegenerative Diseases (DZNE), Bonn-Cologne, Germany; Institute of Neuroscience and Medicine (INM-2), Molecular Organization of the Brain, Research Center Jülich, Jülich, Germany</w:t>
      </w:r>
    </w:p>
    <w:p w14:paraId="2B4AF433" w14:textId="1ABCFEF1" w:rsidR="005F4FF4" w:rsidRPr="00045F85" w:rsidRDefault="005F4FF4" w:rsidP="00C97AB2">
      <w:pPr>
        <w:pStyle w:val="Listenabsatz"/>
        <w:numPr>
          <w:ilvl w:val="0"/>
          <w:numId w:val="16"/>
        </w:numPr>
        <w:rPr>
          <w:color w:val="auto"/>
        </w:rPr>
      </w:pPr>
      <w:r w:rsidRPr="00045F85">
        <w:rPr>
          <w:color w:val="auto"/>
        </w:rPr>
        <w:lastRenderedPageBreak/>
        <w:t>Division of Nuclear Medicine and Clinical Molecular Imaging in the Department of Radiology, Perelman School of Medicine at the University of Pennsylvania, Philadelphia, PA, USA</w:t>
      </w:r>
    </w:p>
    <w:p w14:paraId="686496F4" w14:textId="77777777" w:rsidR="004C587E" w:rsidRPr="00045F85" w:rsidRDefault="004C587E" w:rsidP="00C97AB2">
      <w:pPr>
        <w:pStyle w:val="Listenabsatz"/>
        <w:numPr>
          <w:ilvl w:val="0"/>
          <w:numId w:val="16"/>
        </w:numPr>
        <w:rPr>
          <w:color w:val="auto"/>
        </w:rPr>
      </w:pPr>
      <w:r w:rsidRPr="00045F85">
        <w:rPr>
          <w:color w:val="auto"/>
        </w:rPr>
        <w:t>Department of Nuclear Medicine, Sisli Etfal Education and Research Hospital, Istanbul, Turkey</w:t>
      </w:r>
    </w:p>
    <w:p w14:paraId="0CDD0F4D" w14:textId="60434AEF" w:rsidR="00903AA3" w:rsidRPr="00045F85" w:rsidRDefault="00903AA3" w:rsidP="00C97AB2">
      <w:pPr>
        <w:pStyle w:val="Listenabsatz"/>
        <w:numPr>
          <w:ilvl w:val="0"/>
          <w:numId w:val="16"/>
        </w:numPr>
        <w:rPr>
          <w:color w:val="auto"/>
        </w:rPr>
      </w:pPr>
      <w:r w:rsidRPr="00045F85">
        <w:rPr>
          <w:color w:val="auto"/>
        </w:rPr>
        <w:t xml:space="preserve"> NIMTLab, Faculty of Medicine, Geneva University, Geneva, Switzerland</w:t>
      </w:r>
    </w:p>
    <w:p w14:paraId="17A0B279" w14:textId="109E9D4D" w:rsidR="00903AA3" w:rsidRPr="00045F85" w:rsidRDefault="00903AA3" w:rsidP="00C97AB2">
      <w:pPr>
        <w:pStyle w:val="Listenabsatz"/>
        <w:numPr>
          <w:ilvl w:val="0"/>
          <w:numId w:val="16"/>
        </w:numPr>
        <w:rPr>
          <w:color w:val="auto"/>
        </w:rPr>
      </w:pPr>
      <w:r w:rsidRPr="00045F85">
        <w:rPr>
          <w:color w:val="auto"/>
        </w:rPr>
        <w:t xml:space="preserve"> Division of Nuclear Medicine and Molecular Imaging, Geneva University Hospitals, Geneva, Switzerland</w:t>
      </w:r>
    </w:p>
    <w:p w14:paraId="438628EE" w14:textId="004670B3" w:rsidR="00903AA3" w:rsidRPr="00045F85" w:rsidRDefault="00DF1222" w:rsidP="00C97AB2">
      <w:pPr>
        <w:pStyle w:val="Listenabsatz"/>
        <w:numPr>
          <w:ilvl w:val="0"/>
          <w:numId w:val="16"/>
        </w:numPr>
        <w:rPr>
          <w:color w:val="auto"/>
        </w:rPr>
      </w:pPr>
      <w:r w:rsidRPr="00045F85">
        <w:rPr>
          <w:color w:val="auto"/>
        </w:rPr>
        <w:t>Positron Emission Tomography Department, NIH/CC, Bethesda, MD, USA.</w:t>
      </w:r>
    </w:p>
    <w:p w14:paraId="25748EBD" w14:textId="03949D7D" w:rsidR="00DF1222" w:rsidRPr="00045F85" w:rsidRDefault="00DF1222" w:rsidP="00C97AB2">
      <w:pPr>
        <w:pStyle w:val="Listenabsatz"/>
        <w:numPr>
          <w:ilvl w:val="0"/>
          <w:numId w:val="16"/>
        </w:numPr>
        <w:rPr>
          <w:bCs/>
          <w:color w:val="auto"/>
        </w:rPr>
      </w:pPr>
      <w:r w:rsidRPr="00045F85">
        <w:rPr>
          <w:color w:val="auto"/>
        </w:rPr>
        <w:t>Departments of Medical Imaging, Medicine and Biomedical Engineering, University of Arizona, USA.</w:t>
      </w:r>
    </w:p>
    <w:p w14:paraId="2F7F96D9" w14:textId="4CCACFC8" w:rsidR="006D2062" w:rsidRPr="00045F85" w:rsidRDefault="006D2062" w:rsidP="00C97AB2">
      <w:pPr>
        <w:pStyle w:val="Listenabsatz"/>
        <w:numPr>
          <w:ilvl w:val="0"/>
          <w:numId w:val="16"/>
        </w:numPr>
        <w:rPr>
          <w:bCs/>
          <w:color w:val="auto"/>
        </w:rPr>
      </w:pPr>
      <w:r w:rsidRPr="00045F85">
        <w:rPr>
          <w:color w:val="auto"/>
        </w:rPr>
        <w:t>Institute of Biostructure and Bioimaging, National Council of Research, Naples, Italy</w:t>
      </w:r>
    </w:p>
    <w:p w14:paraId="6747E11E" w14:textId="3D5D4211" w:rsidR="00BD7C94" w:rsidRPr="00045F85" w:rsidRDefault="00BD7C94" w:rsidP="00C97AB2">
      <w:pPr>
        <w:pStyle w:val="Listenabsatz"/>
        <w:numPr>
          <w:ilvl w:val="0"/>
          <w:numId w:val="16"/>
        </w:numPr>
        <w:rPr>
          <w:color w:val="auto"/>
        </w:rPr>
      </w:pPr>
      <w:r w:rsidRPr="00045F85">
        <w:rPr>
          <w:color w:val="auto"/>
        </w:rPr>
        <w:t>Institute for Neurodegenerative Disorders, New Haven, USA</w:t>
      </w:r>
    </w:p>
    <w:p w14:paraId="09F9407F" w14:textId="3A2BFC70" w:rsidR="00135BBF" w:rsidRPr="00045F85" w:rsidRDefault="00135BBF" w:rsidP="00C97AB2">
      <w:pPr>
        <w:pStyle w:val="Listenabsatz"/>
        <w:numPr>
          <w:ilvl w:val="0"/>
          <w:numId w:val="16"/>
        </w:numPr>
        <w:rPr>
          <w:color w:val="auto"/>
        </w:rPr>
      </w:pPr>
      <w:r w:rsidRPr="00045F85">
        <w:rPr>
          <w:color w:val="auto"/>
        </w:rPr>
        <w:t>Nuclear Medicine Department, University Hospital, Lille, France</w:t>
      </w:r>
    </w:p>
    <w:p w14:paraId="7D201EBD" w14:textId="77777777" w:rsidR="00794D3F" w:rsidRPr="00045F85" w:rsidRDefault="00794D3F" w:rsidP="009D6B35">
      <w:pPr>
        <w:pStyle w:val="Kommentartext"/>
        <w:numPr>
          <w:ilvl w:val="0"/>
          <w:numId w:val="16"/>
        </w:numPr>
        <w:rPr>
          <w:rFonts w:cs="Arial"/>
        </w:rPr>
      </w:pPr>
      <w:r w:rsidRPr="00045F85">
        <w:rPr>
          <w:rFonts w:cs="Arial"/>
        </w:rPr>
        <w:t>Medical Physics, University Hospital Southampton NHS Trust, Southampton, United Kingdom</w:t>
      </w:r>
    </w:p>
    <w:p w14:paraId="54C6C24C" w14:textId="77777777" w:rsidR="00F71D43" w:rsidRPr="00045F85" w:rsidRDefault="00F71D43" w:rsidP="009D6B35">
      <w:pPr>
        <w:pStyle w:val="Kommentartext"/>
        <w:numPr>
          <w:ilvl w:val="0"/>
          <w:numId w:val="16"/>
        </w:numPr>
        <w:rPr>
          <w:rFonts w:cs="Arial"/>
        </w:rPr>
      </w:pPr>
      <w:r w:rsidRPr="00045F85">
        <w:rPr>
          <w:rFonts w:cs="Arial"/>
        </w:rPr>
        <w:t>Nuclear Medicine and PET-MR Unit, Department of Imaging and Pathology, University Hospital and KU Leuven, Leuven, Belgium</w:t>
      </w:r>
    </w:p>
    <w:p w14:paraId="4B002EA2" w14:textId="77777777" w:rsidR="00766762" w:rsidRPr="00045F85" w:rsidRDefault="00766762" w:rsidP="00C97AB2">
      <w:pPr>
        <w:pStyle w:val="Listenabsatz"/>
        <w:numPr>
          <w:ilvl w:val="0"/>
          <w:numId w:val="16"/>
        </w:numPr>
        <w:rPr>
          <w:color w:val="auto"/>
        </w:rPr>
      </w:pPr>
      <w:r w:rsidRPr="00045F85">
        <w:rPr>
          <w:color w:val="auto"/>
        </w:rPr>
        <w:t>Centre for Psychiatry Research, Department of Clinical Neuroscience, Karolinska Institutet, &amp; Stockholm Health Care Services, Region Stockholm, Stockholm, Sweden</w:t>
      </w:r>
    </w:p>
    <w:p w14:paraId="1828F85F" w14:textId="77777777" w:rsidR="00AE29E2" w:rsidRPr="00045F85" w:rsidRDefault="00AE29E2" w:rsidP="00C97AB2">
      <w:pPr>
        <w:pStyle w:val="Listenabsatz"/>
        <w:numPr>
          <w:ilvl w:val="0"/>
          <w:numId w:val="16"/>
        </w:numPr>
        <w:rPr>
          <w:color w:val="auto"/>
        </w:rPr>
      </w:pPr>
      <w:r w:rsidRPr="00045F85">
        <w:rPr>
          <w:color w:val="auto"/>
        </w:rPr>
        <w:t>University of Washington, Seattle, Washington</w:t>
      </w:r>
    </w:p>
    <w:p w14:paraId="104981A7" w14:textId="76CD1F83" w:rsidR="00456C02" w:rsidRPr="00045F85" w:rsidRDefault="00456C02" w:rsidP="00C97AB2">
      <w:pPr>
        <w:pStyle w:val="Listenabsatz"/>
        <w:numPr>
          <w:ilvl w:val="0"/>
          <w:numId w:val="16"/>
        </w:numPr>
        <w:rPr>
          <w:color w:val="auto"/>
        </w:rPr>
      </w:pPr>
      <w:r w:rsidRPr="00045F85">
        <w:rPr>
          <w:color w:val="auto"/>
        </w:rPr>
        <w:t>Nuclear Medicine and CT, NIH/NIBIB, Bethesda, USA.</w:t>
      </w:r>
    </w:p>
    <w:p w14:paraId="3075411B" w14:textId="6EFF9B43" w:rsidR="00A015F7" w:rsidRPr="00045F85" w:rsidRDefault="00A015F7" w:rsidP="00C97AB2">
      <w:pPr>
        <w:pStyle w:val="Listenabsatz"/>
        <w:numPr>
          <w:ilvl w:val="0"/>
          <w:numId w:val="16"/>
        </w:numPr>
        <w:rPr>
          <w:color w:val="auto"/>
        </w:rPr>
      </w:pPr>
      <w:r w:rsidRPr="00045F85">
        <w:rPr>
          <w:color w:val="auto"/>
        </w:rPr>
        <w:t>Department of Clinical Physiology, Nuclear Medicine and PET, Rigshospitalet, University of Copenhagen, Denmark</w:t>
      </w:r>
    </w:p>
    <w:p w14:paraId="3F8C5375" w14:textId="77777777" w:rsidR="00EB19B5" w:rsidRPr="00045F85" w:rsidRDefault="00EB19B5" w:rsidP="00EB19B5">
      <w:pPr>
        <w:rPr>
          <w:rFonts w:cs="Arial"/>
          <w:sz w:val="22"/>
          <w:szCs w:val="22"/>
        </w:rPr>
      </w:pPr>
    </w:p>
    <w:p w14:paraId="71411814" w14:textId="6945A209" w:rsidR="00EB19B5" w:rsidRPr="00045F85" w:rsidRDefault="00EB19B5" w:rsidP="00EB19B5">
      <w:pPr>
        <w:rPr>
          <w:rFonts w:cs="Arial"/>
          <w:sz w:val="22"/>
          <w:szCs w:val="22"/>
          <w:lang w:val="it-IT"/>
        </w:rPr>
      </w:pPr>
      <w:r w:rsidRPr="00045F85">
        <w:rPr>
          <w:rFonts w:cs="Arial"/>
          <w:sz w:val="22"/>
          <w:szCs w:val="22"/>
          <w:lang w:val="it-IT"/>
        </w:rPr>
        <w:t>Corresponding Author:</w:t>
      </w:r>
    </w:p>
    <w:p w14:paraId="056A8C7E" w14:textId="0615BA61" w:rsidR="00EB19B5" w:rsidRPr="00045F85" w:rsidRDefault="00EB19B5" w:rsidP="00EB19B5">
      <w:pPr>
        <w:rPr>
          <w:rFonts w:cs="Arial"/>
          <w:sz w:val="22"/>
          <w:szCs w:val="22"/>
          <w:lang w:val="it-IT"/>
        </w:rPr>
      </w:pPr>
      <w:r w:rsidRPr="00045F85">
        <w:rPr>
          <w:rFonts w:cs="Arial"/>
          <w:sz w:val="22"/>
          <w:szCs w:val="22"/>
          <w:lang w:val="it-IT"/>
        </w:rPr>
        <w:t>Silvia Morbelli</w:t>
      </w:r>
    </w:p>
    <w:p w14:paraId="3070B58C" w14:textId="6EF17853" w:rsidR="00EB19B5" w:rsidRPr="00045F85" w:rsidRDefault="00EB19B5" w:rsidP="00EB19B5">
      <w:pPr>
        <w:rPr>
          <w:rFonts w:cs="Arial"/>
          <w:sz w:val="22"/>
          <w:szCs w:val="22"/>
          <w:lang w:val="it-IT"/>
        </w:rPr>
      </w:pPr>
      <w:r w:rsidRPr="00045F85">
        <w:rPr>
          <w:rFonts w:cs="Arial"/>
          <w:sz w:val="22"/>
          <w:szCs w:val="22"/>
          <w:lang w:val="it-IT"/>
        </w:rPr>
        <w:t>Nucler Medicine Unit</w:t>
      </w:r>
    </w:p>
    <w:p w14:paraId="639C8135" w14:textId="16F42D0B" w:rsidR="00EB19B5" w:rsidRPr="00045F85" w:rsidRDefault="00EB19B5" w:rsidP="00EB19B5">
      <w:pPr>
        <w:rPr>
          <w:rFonts w:cs="Arial"/>
          <w:sz w:val="22"/>
          <w:szCs w:val="22"/>
          <w:lang w:val="it-IT"/>
        </w:rPr>
      </w:pPr>
      <w:r w:rsidRPr="00045F85">
        <w:rPr>
          <w:rFonts w:cs="Arial"/>
          <w:sz w:val="22"/>
          <w:szCs w:val="22"/>
          <w:lang w:val="it-IT"/>
        </w:rPr>
        <w:t>IRCCS Ospedale Policlinico San Martino</w:t>
      </w:r>
    </w:p>
    <w:p w14:paraId="40A1F865" w14:textId="778CF05A" w:rsidR="00EB19B5" w:rsidRPr="00045F85" w:rsidRDefault="00EB19B5" w:rsidP="00EB19B5">
      <w:pPr>
        <w:rPr>
          <w:rFonts w:cs="Arial"/>
          <w:sz w:val="22"/>
          <w:szCs w:val="22"/>
        </w:rPr>
      </w:pPr>
      <w:r w:rsidRPr="00045F85">
        <w:rPr>
          <w:rFonts w:cs="Arial"/>
          <w:sz w:val="22"/>
          <w:szCs w:val="22"/>
        </w:rPr>
        <w:t>University of Genoa</w:t>
      </w:r>
    </w:p>
    <w:p w14:paraId="12631C23" w14:textId="54097B88" w:rsidR="00EB19B5" w:rsidRPr="00045F85" w:rsidRDefault="00EB19B5" w:rsidP="00EB19B5">
      <w:pPr>
        <w:rPr>
          <w:rFonts w:cs="Arial"/>
          <w:sz w:val="22"/>
          <w:szCs w:val="22"/>
        </w:rPr>
      </w:pPr>
      <w:r w:rsidRPr="00045F85">
        <w:rPr>
          <w:rFonts w:cs="Arial"/>
          <w:sz w:val="22"/>
          <w:szCs w:val="22"/>
        </w:rPr>
        <w:t>Tel: +390105553038</w:t>
      </w:r>
    </w:p>
    <w:p w14:paraId="1D88A6DE" w14:textId="0037010F" w:rsidR="00EB19B5" w:rsidRPr="00045F85" w:rsidRDefault="00EB19B5" w:rsidP="00EB19B5">
      <w:pPr>
        <w:rPr>
          <w:rFonts w:cs="Arial"/>
          <w:sz w:val="22"/>
          <w:szCs w:val="22"/>
          <w:lang w:val="de-DE"/>
        </w:rPr>
      </w:pPr>
      <w:r w:rsidRPr="00045F85">
        <w:rPr>
          <w:rFonts w:cs="Arial"/>
          <w:sz w:val="22"/>
          <w:szCs w:val="22"/>
          <w:lang w:val="de-DE"/>
        </w:rPr>
        <w:t xml:space="preserve">FAX: </w:t>
      </w:r>
      <w:r w:rsidRPr="00045F85">
        <w:rPr>
          <w:rFonts w:cs="Arial"/>
          <w:sz w:val="22"/>
          <w:szCs w:val="22"/>
        </w:rPr>
        <w:t>+390105556911</w:t>
      </w:r>
    </w:p>
    <w:p w14:paraId="1E765004" w14:textId="2B553BBB" w:rsidR="00EB19B5" w:rsidRPr="00045F85" w:rsidRDefault="00EB19B5" w:rsidP="00EB19B5">
      <w:pPr>
        <w:rPr>
          <w:rFonts w:cs="Arial"/>
          <w:sz w:val="22"/>
          <w:szCs w:val="22"/>
          <w:lang w:val="de-DE"/>
        </w:rPr>
      </w:pPr>
      <w:r w:rsidRPr="00045F85">
        <w:rPr>
          <w:rFonts w:cs="Arial"/>
          <w:sz w:val="22"/>
          <w:szCs w:val="22"/>
          <w:lang w:val="de-DE"/>
        </w:rPr>
        <w:t xml:space="preserve">E-mail: </w:t>
      </w:r>
      <w:hyperlink r:id="rId8" w:history="1">
        <w:r w:rsidR="00504353" w:rsidRPr="00045F85">
          <w:rPr>
            <w:rStyle w:val="Hyperlink"/>
            <w:rFonts w:cs="Arial"/>
            <w:color w:val="auto"/>
            <w:sz w:val="22"/>
            <w:szCs w:val="22"/>
            <w:lang w:val="de-DE"/>
          </w:rPr>
          <w:t>silvia.morbelli@unige.it</w:t>
        </w:r>
      </w:hyperlink>
    </w:p>
    <w:p w14:paraId="1AD3306B" w14:textId="77777777" w:rsidR="00504353" w:rsidRPr="00045F85" w:rsidRDefault="00504353" w:rsidP="00EB19B5">
      <w:pPr>
        <w:rPr>
          <w:rFonts w:cs="Arial"/>
          <w:sz w:val="20"/>
          <w:lang w:val="de-DE"/>
        </w:rPr>
      </w:pPr>
    </w:p>
    <w:p w14:paraId="7FE14D45" w14:textId="015E5631" w:rsidR="00504353" w:rsidRPr="00045F85" w:rsidRDefault="00504353" w:rsidP="00EB19B5">
      <w:pPr>
        <w:rPr>
          <w:rFonts w:cs="Arial"/>
          <w:b/>
          <w:sz w:val="32"/>
          <w:szCs w:val="32"/>
          <w:lang w:val="de-DE"/>
        </w:rPr>
      </w:pPr>
      <w:r w:rsidRPr="00045F85">
        <w:rPr>
          <w:rFonts w:cs="Arial"/>
          <w:b/>
          <w:sz w:val="32"/>
          <w:szCs w:val="32"/>
          <w:lang w:val="de-DE"/>
        </w:rPr>
        <w:t>Abstract</w:t>
      </w:r>
    </w:p>
    <w:p w14:paraId="1B24B901" w14:textId="12EA7AAD" w:rsidR="0095315F" w:rsidRPr="00045F85" w:rsidRDefault="00515BCE" w:rsidP="0095315F">
      <w:pPr>
        <w:rPr>
          <w:rFonts w:cs="Arial"/>
        </w:rPr>
      </w:pPr>
      <w:r w:rsidRPr="00045F85">
        <w:rPr>
          <w:rFonts w:cs="Arial"/>
        </w:rPr>
        <w:t xml:space="preserve">This joint </w:t>
      </w:r>
      <w:r w:rsidR="00B40EFD" w:rsidRPr="00045F85">
        <w:rPr>
          <w:rFonts w:cs="Arial"/>
        </w:rPr>
        <w:t>Practice G</w:t>
      </w:r>
      <w:r w:rsidRPr="00045F85">
        <w:rPr>
          <w:rFonts w:cs="Arial"/>
        </w:rPr>
        <w:t xml:space="preserve">uideline, or Procedure Standard, was developed collaboratively by the European Association of Nuclear Medicine (EANM) and the </w:t>
      </w:r>
      <w:r w:rsidRPr="00045F85">
        <w:t xml:space="preserve">Society of Nuclear Medicine and Molecular Imaging (SNMMI). </w:t>
      </w:r>
      <w:r w:rsidRPr="00045F85">
        <w:rPr>
          <w:rFonts w:cs="Arial"/>
        </w:rPr>
        <w:t xml:space="preserve">The goal of this guideline is to assist nuclear medicine practitioners in recommending, </w:t>
      </w:r>
      <w:r w:rsidRPr="00045F85">
        <w:rPr>
          <w:rFonts w:cs="Arial"/>
        </w:rPr>
        <w:lastRenderedPageBreak/>
        <w:t>performing, interpreting, and reporting the resu</w:t>
      </w:r>
      <w:r w:rsidR="006C1AA2" w:rsidRPr="00045F85">
        <w:rPr>
          <w:rFonts w:cs="Arial"/>
        </w:rPr>
        <w:t>lts of dopaminergic imaging in p</w:t>
      </w:r>
      <w:r w:rsidRPr="00045F85">
        <w:rPr>
          <w:rFonts w:cs="Arial"/>
        </w:rPr>
        <w:t>arkinsonian syndromes.</w:t>
      </w:r>
      <w:r w:rsidR="0095315F" w:rsidRPr="00045F85">
        <w:rPr>
          <w:rFonts w:cs="Arial"/>
        </w:rPr>
        <w:t xml:space="preserve"> Currently nuclear medicine investigations can assess both presynaptic and postsynaptic function of dopaminergic synapses. To date </w:t>
      </w:r>
      <w:r w:rsidR="00A64771" w:rsidRPr="00045F85">
        <w:rPr>
          <w:rFonts w:cs="Arial"/>
        </w:rPr>
        <w:t>both</w:t>
      </w:r>
      <w:r w:rsidR="0095315F" w:rsidRPr="00045F85">
        <w:rPr>
          <w:rFonts w:cs="Arial"/>
        </w:rPr>
        <w:t xml:space="preserve"> EANM and SNMMI have published procedural </w:t>
      </w:r>
      <w:r w:rsidR="00A64771" w:rsidRPr="00045F85">
        <w:rPr>
          <w:rFonts w:cs="Arial"/>
        </w:rPr>
        <w:t>guidelines</w:t>
      </w:r>
      <w:r w:rsidR="0095315F" w:rsidRPr="00045F85">
        <w:rPr>
          <w:rFonts w:cs="Arial"/>
        </w:rPr>
        <w:t xml:space="preserve"> for dopamine transporter imaging with SPECT (</w:t>
      </w:r>
      <w:r w:rsidR="00A64771" w:rsidRPr="00045F85">
        <w:rPr>
          <w:rFonts w:cs="Arial"/>
        </w:rPr>
        <w:t xml:space="preserve">in 2009 and 2011, respectively). An </w:t>
      </w:r>
      <w:r w:rsidR="0095315F" w:rsidRPr="00045F85">
        <w:rPr>
          <w:rFonts w:cs="Arial"/>
        </w:rPr>
        <w:t xml:space="preserve">EANM </w:t>
      </w:r>
      <w:r w:rsidR="00A64771" w:rsidRPr="00045F85">
        <w:rPr>
          <w:rFonts w:cs="Arial"/>
        </w:rPr>
        <w:t>guideline</w:t>
      </w:r>
      <w:r w:rsidR="0095315F" w:rsidRPr="00045F85">
        <w:rPr>
          <w:rFonts w:cs="Arial"/>
        </w:rPr>
        <w:t xml:space="preserve"> for D</w:t>
      </w:r>
      <w:r w:rsidR="0095315F" w:rsidRPr="00045F85">
        <w:rPr>
          <w:rFonts w:cs="Arial"/>
          <w:vertAlign w:val="subscript"/>
        </w:rPr>
        <w:t>2</w:t>
      </w:r>
      <w:r w:rsidR="0095315F" w:rsidRPr="00045F85">
        <w:rPr>
          <w:rFonts w:cs="Arial"/>
        </w:rPr>
        <w:t xml:space="preserve"> SPECT imaging is </w:t>
      </w:r>
      <w:r w:rsidR="00A64771" w:rsidRPr="00045F85">
        <w:rPr>
          <w:rFonts w:cs="Arial"/>
        </w:rPr>
        <w:t xml:space="preserve">also </w:t>
      </w:r>
      <w:r w:rsidR="0095315F" w:rsidRPr="00045F85">
        <w:rPr>
          <w:rFonts w:cs="Arial"/>
        </w:rPr>
        <w:t xml:space="preserve">available (2009). Since the publication of these previous </w:t>
      </w:r>
      <w:r w:rsidR="00A64771" w:rsidRPr="00045F85">
        <w:rPr>
          <w:rFonts w:cs="Arial"/>
        </w:rPr>
        <w:t>guidelines</w:t>
      </w:r>
      <w:r w:rsidR="0095315F" w:rsidRPr="00045F85">
        <w:rPr>
          <w:rFonts w:cs="Arial"/>
        </w:rPr>
        <w:t xml:space="preserve">, new lines of evidence have been made available on semi-quantification, harmonization, comparison with normal datasets and longitudinal analyses of </w:t>
      </w:r>
      <w:r w:rsidR="00FF15FB" w:rsidRPr="00045F85">
        <w:rPr>
          <w:rFonts w:cs="Arial"/>
        </w:rPr>
        <w:t>dopamine transporter</w:t>
      </w:r>
      <w:r w:rsidR="0095315F" w:rsidRPr="00045F85">
        <w:rPr>
          <w:rFonts w:cs="Arial"/>
        </w:rPr>
        <w:t xml:space="preserve"> </w:t>
      </w:r>
      <w:r w:rsidR="00FF15FB" w:rsidRPr="00045F85">
        <w:rPr>
          <w:rFonts w:cs="Arial"/>
        </w:rPr>
        <w:t xml:space="preserve">imaging with </w:t>
      </w:r>
      <w:r w:rsidR="0095315F" w:rsidRPr="00045F85">
        <w:rPr>
          <w:rFonts w:cs="Arial"/>
        </w:rPr>
        <w:t>SPECT. Similarly, details on acquisition protocols and simplified quantification methods are now available for dopamine transporter imaging with PET, including recently developed fluorinated tracers. Finally, [</w:t>
      </w:r>
      <w:r w:rsidR="0095315F" w:rsidRPr="00045F85">
        <w:rPr>
          <w:rFonts w:cs="Arial"/>
          <w:vertAlign w:val="superscript"/>
        </w:rPr>
        <w:t>18</w:t>
      </w:r>
      <w:r w:rsidR="0095315F" w:rsidRPr="00045F85">
        <w:rPr>
          <w:rFonts w:cs="Arial"/>
        </w:rPr>
        <w:t>F]fluorodopa  PET is now</w:t>
      </w:r>
      <w:r w:rsidR="00FF15FB" w:rsidRPr="00045F85">
        <w:rPr>
          <w:rFonts w:cs="Arial"/>
        </w:rPr>
        <w:t xml:space="preserve"> </w:t>
      </w:r>
      <w:r w:rsidR="0095315F" w:rsidRPr="00045F85">
        <w:rPr>
          <w:rFonts w:cs="Arial"/>
        </w:rPr>
        <w:t>used</w:t>
      </w:r>
      <w:r w:rsidR="00FF15FB" w:rsidRPr="00045F85">
        <w:rPr>
          <w:rFonts w:cs="Arial"/>
        </w:rPr>
        <w:t xml:space="preserve"> in some centers</w:t>
      </w:r>
      <w:r w:rsidR="0095315F" w:rsidRPr="00045F85">
        <w:rPr>
          <w:rFonts w:cs="Arial"/>
        </w:rPr>
        <w:t xml:space="preserve"> for the differential diagnosis of parkinsonism, although procedural </w:t>
      </w:r>
      <w:r w:rsidR="00A64771" w:rsidRPr="00045F85">
        <w:rPr>
          <w:rFonts w:cs="Arial"/>
        </w:rPr>
        <w:t>guidelines</w:t>
      </w:r>
      <w:r w:rsidR="0095315F" w:rsidRPr="00045F85">
        <w:rPr>
          <w:rFonts w:cs="Arial"/>
        </w:rPr>
        <w:t xml:space="preserve"> aiming to define standard procedures for [</w:t>
      </w:r>
      <w:r w:rsidR="0095315F" w:rsidRPr="00045F85">
        <w:rPr>
          <w:rFonts w:cs="Arial"/>
          <w:vertAlign w:val="superscript"/>
        </w:rPr>
        <w:t>18</w:t>
      </w:r>
      <w:r w:rsidR="0095315F" w:rsidRPr="00045F85">
        <w:rPr>
          <w:rFonts w:cs="Arial"/>
        </w:rPr>
        <w:t xml:space="preserve">F]fluorodopa  imaging in this setting are still lacking. All these emerging issues are addressed in the present procedural </w:t>
      </w:r>
      <w:r w:rsidR="00A64771" w:rsidRPr="00045F85">
        <w:rPr>
          <w:rFonts w:cs="Arial"/>
        </w:rPr>
        <w:t>guidelines</w:t>
      </w:r>
      <w:r w:rsidR="0095315F" w:rsidRPr="00045F85">
        <w:rPr>
          <w:rFonts w:cs="Arial"/>
        </w:rPr>
        <w:t xml:space="preserve"> for dopaminergic imaging in parkinsonian syndromes.</w:t>
      </w:r>
    </w:p>
    <w:p w14:paraId="64A926D4" w14:textId="6697E02A" w:rsidR="00515BCE" w:rsidRPr="00045F85" w:rsidRDefault="00515BCE" w:rsidP="00515BCE"/>
    <w:p w14:paraId="0F248050" w14:textId="77777777" w:rsidR="000040B7" w:rsidRPr="00045F85" w:rsidRDefault="000040B7" w:rsidP="004D1C39">
      <w:pPr>
        <w:pStyle w:val="berschrift1"/>
        <w:numPr>
          <w:ilvl w:val="0"/>
          <w:numId w:val="0"/>
        </w:numPr>
        <w:rPr>
          <w:color w:val="auto"/>
        </w:rPr>
      </w:pPr>
      <w:r w:rsidRPr="00045F85">
        <w:rPr>
          <w:color w:val="auto"/>
        </w:rPr>
        <w:t>Keywords</w:t>
      </w:r>
    </w:p>
    <w:p w14:paraId="1840EA67" w14:textId="57A1EABA" w:rsidR="00A64A49" w:rsidRPr="00045F85" w:rsidRDefault="00A64A49" w:rsidP="00A64A49">
      <w:r w:rsidRPr="00045F85">
        <w:t>Brain; DAT; DOPA; PET; SPECT; Parkinson; Parkinsonian Syndromes</w:t>
      </w:r>
    </w:p>
    <w:p w14:paraId="1D4F6E58" w14:textId="77777777" w:rsidR="00957D3B" w:rsidRPr="00045F85" w:rsidRDefault="00957D3B" w:rsidP="004D1C39">
      <w:pPr>
        <w:pStyle w:val="berschrift1"/>
        <w:numPr>
          <w:ilvl w:val="0"/>
          <w:numId w:val="0"/>
        </w:numPr>
        <w:rPr>
          <w:color w:val="auto"/>
        </w:rPr>
      </w:pPr>
      <w:r w:rsidRPr="00045F85">
        <w:rPr>
          <w:color w:val="auto"/>
        </w:rPr>
        <w:t>Preamble</w:t>
      </w:r>
    </w:p>
    <w:p w14:paraId="0B48EF07" w14:textId="11695E0B" w:rsidR="00957D3B" w:rsidRPr="00045F85" w:rsidRDefault="00957D3B" w:rsidP="00957D3B">
      <w:pPr>
        <w:rPr>
          <w:rFonts w:cs="Arial"/>
        </w:rPr>
      </w:pPr>
      <w:r w:rsidRPr="00045F85">
        <w:rPr>
          <w:rFonts w:cs="Arial"/>
        </w:rPr>
        <w:t>The Society of Nuclear Medicine and Molecular Imaging (SNMMI) is an international scientific and professional organization founded in 1954 to promote the science, technology, and practical application of nuclear medicine. Its 1</w:t>
      </w:r>
      <w:r w:rsidR="008B6A3A" w:rsidRPr="00045F85">
        <w:rPr>
          <w:rFonts w:cs="Arial"/>
        </w:rPr>
        <w:t>5</w:t>
      </w:r>
      <w:r w:rsidRPr="00045F85">
        <w:rPr>
          <w:rFonts w:cs="Arial"/>
        </w:rPr>
        <w:t xml:space="preserve">,000 members are physicians, technologists, and scientists specializing in the research and practice of nuclear medicine. In addition to publishing journals, newsletters, and books, the SNMMI also sponsors international meetings and workshops designed to increase the competencies of nuclear medicine practitioners and to promote new advances in the science of nuclear medicine. The European Association of Nuclear Medicine (EANM) is a professional nonprofit medical association that facilitates communication worldwide between individuals pursuing clinical and research excellence in nuclear medicine. The EANM was founded in 1985. </w:t>
      </w:r>
    </w:p>
    <w:p w14:paraId="25632C18" w14:textId="77777777" w:rsidR="009D1F8B" w:rsidRPr="00045F85" w:rsidRDefault="009D1F8B" w:rsidP="009D1F8B">
      <w:pPr>
        <w:rPr>
          <w:rFonts w:cs="Arial"/>
        </w:rPr>
      </w:pPr>
      <w:r w:rsidRPr="00045F85">
        <w:rPr>
          <w:rFonts w:cs="Arial"/>
        </w:rPr>
        <w:t xml:space="preserve">The SNMMI/EANM periodically define new standards/guidelines for nuclear medicine practice to help advance the science of nuclear medicine and to improve the quality of service to patients. Existing standards/guidelines will be reviewed for modifications or renewal, as appropriate, on their fifth anniversary or sooner, if indicated. As of February 2014, the SNMMI guidelines are referred to as procedure standards. Any previous practice guideline or procedure guideline that describes how to perform a procedure is now considered an SNMMI procedure standard. </w:t>
      </w:r>
    </w:p>
    <w:p w14:paraId="7FD591E4" w14:textId="77777777" w:rsidR="00957D3B" w:rsidRPr="00045F85" w:rsidRDefault="00957D3B" w:rsidP="00957D3B">
      <w:pPr>
        <w:rPr>
          <w:rFonts w:cs="Arial"/>
        </w:rPr>
      </w:pPr>
      <w:r w:rsidRPr="00045F85">
        <w:rPr>
          <w:rFonts w:cs="Arial"/>
        </w:rPr>
        <w:t xml:space="preserve">Each standard/guideline, representing a policy statement by the SNMMI/EANM, has undergone a thorough consensus process in which it has been subjected to extensive review. The SNMMI/EANM recognizes that the safe and effective </w:t>
      </w:r>
      <w:r w:rsidRPr="00045F85">
        <w:rPr>
          <w:rFonts w:cs="Arial"/>
        </w:rPr>
        <w:lastRenderedPageBreak/>
        <w:t xml:space="preserve">use of diagnostic nuclear medicine imaging requires specific training, skills, and techniques, as described in each document. </w:t>
      </w:r>
    </w:p>
    <w:p w14:paraId="3F4AC539" w14:textId="77777777" w:rsidR="00957D3B" w:rsidRPr="00045F85" w:rsidRDefault="00957D3B" w:rsidP="00957D3B">
      <w:pPr>
        <w:rPr>
          <w:rFonts w:cs="Arial"/>
        </w:rPr>
      </w:pPr>
      <w:r w:rsidRPr="00045F85">
        <w:rPr>
          <w:rFonts w:cs="Arial"/>
        </w:rPr>
        <w:t xml:space="preserve">The EANM and SNMMI have written and approved these standards/guidelines to promote the use of nuclear medicine procedures with high quality. These standards/guidelines are intended to assist practitioners in providing appropriate nuclear medicine care for patients. They are not inflexible rules or requirements of practice and are not intended, nor should they be used, to establish a legal standard of care. For these reasons and those set forth below, the SNMMI/EANM cautions against the use of these standards/guidelines in litigation in which the clinical decisions of a practitioner are called into question. </w:t>
      </w:r>
    </w:p>
    <w:p w14:paraId="327CFD0A" w14:textId="49B8C06E" w:rsidR="00957D3B" w:rsidRPr="00045F85" w:rsidRDefault="00957D3B" w:rsidP="00957D3B">
      <w:pPr>
        <w:rPr>
          <w:rFonts w:cs="Arial"/>
        </w:rPr>
      </w:pPr>
      <w:r w:rsidRPr="00045F85">
        <w:rPr>
          <w:rFonts w:cs="Arial"/>
        </w:rPr>
        <w:t xml:space="preserve">The ultimate judgment regarding the propriety of any specific procedure or course of action must be made by medical professionals </w:t>
      </w:r>
      <w:r w:rsidR="006B4723" w:rsidRPr="00045F85">
        <w:rPr>
          <w:rFonts w:cs="Arial"/>
        </w:rPr>
        <w:t>considering</w:t>
      </w:r>
      <w:r w:rsidRPr="00045F85">
        <w:rPr>
          <w:rFonts w:cs="Arial"/>
        </w:rPr>
        <w:t xml:space="preserve"> the unique circumstances of each case. Thus, there is no implication that an approach differing from the standards/guidelines, standing alone, is below the standard of care. To the contrary, a conscientious practitioner may responsibly adopt a course of action different from that set forth in the standards/guidelines when, in the reasonable judgment of the practitioner, such course of action is indicated by the condition of the patient, limitations of available resources, or advances in knowledge or technology subsequent to publication of the standards/guidelines. </w:t>
      </w:r>
    </w:p>
    <w:p w14:paraId="0004409A" w14:textId="77777777" w:rsidR="00957D3B" w:rsidRPr="00045F85" w:rsidRDefault="00957D3B" w:rsidP="00957D3B">
      <w:pPr>
        <w:rPr>
          <w:rFonts w:cs="Arial"/>
        </w:rPr>
      </w:pPr>
      <w:r w:rsidRPr="00045F85">
        <w:rPr>
          <w:rFonts w:cs="Arial"/>
        </w:rPr>
        <w:t>The practice of medicine involves not only the science but also the art of dealing with the prevention, diagnosis, alleviation, and treatment of disease. The variety and complexity of human conditions make it impossible to always reach the most appropriate diagnosis or to predict with certainty a particular response to treatment. Therefore, it should be recognized that adherence to these standards/guidelines will not ensure an accurate diagnosis or a successful outcome. All that should be expected is that the practitioner will follow a reasonable course of action based on current knowledge, available resources, and the needs of the patient to deliver effective and safe medical care. The sole purpose of these standards/guidelines is to assist practitioners in achieving this objective.</w:t>
      </w:r>
    </w:p>
    <w:p w14:paraId="3E2F10DD" w14:textId="0DEBD9CF" w:rsidR="00957D3B" w:rsidRPr="00045F85" w:rsidRDefault="00957D3B" w:rsidP="00957D3B">
      <w:pPr>
        <w:rPr>
          <w:rFonts w:cs="Arial"/>
        </w:rPr>
      </w:pPr>
      <w:r w:rsidRPr="00045F85">
        <w:rPr>
          <w:rFonts w:cs="Arial"/>
        </w:rPr>
        <w:t>The present guideline/standard was developed collaboratively by the EANM and SNMMI. It summarizes the views of the Neuroimaging Committee of the EANM</w:t>
      </w:r>
      <w:r w:rsidR="00BF624B" w:rsidRPr="00045F85">
        <w:rPr>
          <w:rFonts w:cs="Arial"/>
        </w:rPr>
        <w:t xml:space="preserve"> and the</w:t>
      </w:r>
      <w:r w:rsidRPr="00045F85">
        <w:rPr>
          <w:rFonts w:cs="Arial"/>
        </w:rPr>
        <w:t xml:space="preserve"> Brain Imaging Council of the SNMMI</w:t>
      </w:r>
      <w:r w:rsidR="00E97A5D" w:rsidRPr="00045F85">
        <w:rPr>
          <w:rFonts w:cs="Arial"/>
        </w:rPr>
        <w:t xml:space="preserve">, </w:t>
      </w:r>
      <w:r w:rsidRPr="00045F85">
        <w:rPr>
          <w:rFonts w:cs="Arial"/>
        </w:rPr>
        <w:t>and reflects recommendations for which the EANM</w:t>
      </w:r>
      <w:r w:rsidR="00C350DE" w:rsidRPr="00045F85">
        <w:rPr>
          <w:rFonts w:cs="Arial"/>
        </w:rPr>
        <w:t xml:space="preserve"> and SNMMI</w:t>
      </w:r>
      <w:r w:rsidRPr="00045F85">
        <w:rPr>
          <w:rFonts w:cs="Arial"/>
        </w:rPr>
        <w:t xml:space="preserve"> cannot be held responsible. The recommendations should be taken into context of good practice of nuclear medicine and do not substitute for national and international legal or regulatory provisions.</w:t>
      </w:r>
    </w:p>
    <w:p w14:paraId="2EA6BB9D" w14:textId="4BC43806" w:rsidR="004A3177" w:rsidRPr="00045F85" w:rsidRDefault="00957D3B" w:rsidP="004D1C39">
      <w:pPr>
        <w:pStyle w:val="berschrift1"/>
        <w:numPr>
          <w:ilvl w:val="0"/>
          <w:numId w:val="19"/>
        </w:numPr>
        <w:rPr>
          <w:color w:val="auto"/>
        </w:rPr>
      </w:pPr>
      <w:r w:rsidRPr="00045F85">
        <w:rPr>
          <w:color w:val="auto"/>
        </w:rPr>
        <w:t>Introduction</w:t>
      </w:r>
    </w:p>
    <w:p w14:paraId="212E5B81" w14:textId="00DDE8A5" w:rsidR="00683F73" w:rsidRPr="00045F85" w:rsidRDefault="00683F73" w:rsidP="00683F73">
      <w:pPr>
        <w:rPr>
          <w:rFonts w:cs="Arial"/>
        </w:rPr>
      </w:pPr>
      <w:r w:rsidRPr="00045F85">
        <w:rPr>
          <w:rFonts w:cs="Arial"/>
        </w:rPr>
        <w:t xml:space="preserve">Parkinsonian syndromes are a group of diseases </w:t>
      </w:r>
      <w:r w:rsidR="00BC2E76" w:rsidRPr="00045F85">
        <w:rPr>
          <w:rFonts w:cs="Arial"/>
        </w:rPr>
        <w:t>characterized by</w:t>
      </w:r>
      <w:r w:rsidRPr="00045F85">
        <w:rPr>
          <w:rFonts w:cs="Arial"/>
        </w:rPr>
        <w:t xml:space="preserve"> signs of parkinsonism, such as bradykinesia, rigidity, tremor, and postural instability. Idiopathic Parkinson’s disease (</w:t>
      </w:r>
      <w:r w:rsidR="00454B38" w:rsidRPr="00045F85">
        <w:rPr>
          <w:rFonts w:cs="Arial"/>
        </w:rPr>
        <w:t>IPD</w:t>
      </w:r>
      <w:r w:rsidRPr="00045F85">
        <w:rPr>
          <w:rFonts w:cs="Arial"/>
        </w:rPr>
        <w:t xml:space="preserve">) is the most common cause of parkinsonism but </w:t>
      </w:r>
      <w:r w:rsidR="00BC2E76" w:rsidRPr="00045F85">
        <w:rPr>
          <w:rFonts w:cs="Arial"/>
        </w:rPr>
        <w:t>several</w:t>
      </w:r>
      <w:r w:rsidRPr="00045F85">
        <w:rPr>
          <w:rFonts w:cs="Arial"/>
        </w:rPr>
        <w:t xml:space="preserve"> other etiologies </w:t>
      </w:r>
      <w:r w:rsidR="00BC2E76" w:rsidRPr="00045F85">
        <w:rPr>
          <w:rFonts w:cs="Arial"/>
        </w:rPr>
        <w:t>results</w:t>
      </w:r>
      <w:r w:rsidRPr="00045F85">
        <w:rPr>
          <w:rFonts w:cs="Arial"/>
        </w:rPr>
        <w:t xml:space="preserve"> to the p</w:t>
      </w:r>
      <w:r w:rsidR="00D52688" w:rsidRPr="00045F85">
        <w:rPr>
          <w:rFonts w:cs="Arial"/>
        </w:rPr>
        <w:t xml:space="preserve">resence of parkinsonism. Indeed, </w:t>
      </w:r>
      <w:r w:rsidRPr="00045F85">
        <w:rPr>
          <w:rFonts w:cs="Arial"/>
        </w:rPr>
        <w:t xml:space="preserve">parkinsonism can be present in all alpha synucleinopathies which include Lewy body diseases (LBDs) a subset of </w:t>
      </w:r>
      <w:r w:rsidRPr="00045F85">
        <w:rPr>
          <w:rFonts w:cs="Arial"/>
        </w:rPr>
        <w:lastRenderedPageBreak/>
        <w:t>disorders associated with the accumulation of Lewy bodies (LB) and neurites, i.e., intracytoplasmic inclusio</w:t>
      </w:r>
      <w:r w:rsidR="008E130E" w:rsidRPr="00045F85">
        <w:rPr>
          <w:rFonts w:cs="Arial"/>
        </w:rPr>
        <w:t>ns composed of aggregated alpha-</w:t>
      </w:r>
      <w:r w:rsidRPr="00045F85">
        <w:rPr>
          <w:rFonts w:cs="Arial"/>
        </w:rPr>
        <w:t xml:space="preserve">synuclein and other proteins such as ubiquitin [1]. The most clinically relevant subtypes of LBDs are </w:t>
      </w:r>
      <w:r w:rsidR="00454B38" w:rsidRPr="00045F85">
        <w:rPr>
          <w:rFonts w:cs="Arial"/>
        </w:rPr>
        <w:t>IPD</w:t>
      </w:r>
      <w:r w:rsidRPr="00045F85">
        <w:rPr>
          <w:rFonts w:cs="Arial"/>
        </w:rPr>
        <w:t xml:space="preserve"> and dementia with Lewy bodies (DLB) [1]. Alpha synucleinopathies also include mult</w:t>
      </w:r>
      <w:r w:rsidR="00755783" w:rsidRPr="00045F85">
        <w:rPr>
          <w:rFonts w:cs="Arial"/>
        </w:rPr>
        <w:t>i</w:t>
      </w:r>
      <w:r w:rsidRPr="00045F85">
        <w:rPr>
          <w:rFonts w:cs="Arial"/>
        </w:rPr>
        <w:t>ple system atrophy (MSA)</w:t>
      </w:r>
      <w:r w:rsidR="004869B2" w:rsidRPr="00045F85">
        <w:rPr>
          <w:rFonts w:cs="Arial"/>
        </w:rPr>
        <w:t>,</w:t>
      </w:r>
      <w:r w:rsidRPr="00045F85">
        <w:rPr>
          <w:rFonts w:cs="Arial"/>
        </w:rPr>
        <w:t xml:space="preserve"> an atypical parkinsonism characterized by the presence of glial and neural silver staining aggregates of alpha-synuclein</w:t>
      </w:r>
      <w:r w:rsidR="00D52688" w:rsidRPr="00045F85">
        <w:rPr>
          <w:rFonts w:cs="Arial"/>
        </w:rPr>
        <w:t xml:space="preserve"> </w:t>
      </w:r>
      <w:r w:rsidRPr="00045F85">
        <w:rPr>
          <w:rFonts w:cs="Arial"/>
        </w:rPr>
        <w:t>[2]. Finally</w:t>
      </w:r>
      <w:r w:rsidR="00D52688" w:rsidRPr="00045F85">
        <w:rPr>
          <w:rFonts w:cs="Arial"/>
        </w:rPr>
        <w:t>,</w:t>
      </w:r>
      <w:r w:rsidRPr="00045F85">
        <w:rPr>
          <w:rFonts w:cs="Arial"/>
        </w:rPr>
        <w:t xml:space="preserve"> the tauopathies cortico-basal degeneration (CBD) and progressive supranuclear palsy (PSP) are movement disorders belonging to the spectrum of fronto-temporal degeneration</w:t>
      </w:r>
      <w:r w:rsidR="00521EF2" w:rsidRPr="00045F85">
        <w:rPr>
          <w:rFonts w:cs="Arial"/>
        </w:rPr>
        <w:t xml:space="preserve"> (and they are also defined as atypical parkinsonisms)</w:t>
      </w:r>
      <w:r w:rsidR="005638AB" w:rsidRPr="00045F85">
        <w:rPr>
          <w:rFonts w:cs="Arial"/>
        </w:rPr>
        <w:t xml:space="preserve"> </w:t>
      </w:r>
      <w:r w:rsidRPr="00045F85">
        <w:rPr>
          <w:rFonts w:cs="Arial"/>
        </w:rPr>
        <w:t xml:space="preserve">[3, 4]. The differential diagnosis of the neurodegenerative </w:t>
      </w:r>
      <w:r w:rsidR="00504A08" w:rsidRPr="00045F85">
        <w:rPr>
          <w:rFonts w:cs="Arial"/>
        </w:rPr>
        <w:t>parkinsonian</w:t>
      </w:r>
      <w:r w:rsidRPr="00045F85">
        <w:rPr>
          <w:rFonts w:cs="Arial"/>
        </w:rPr>
        <w:t xml:space="preserve"> syndromes includes clinical entities such as essential tremor (ET), drug-induced parkinsonism, vascular parkinsonism, and psychogenic parkinsonism. ET </w:t>
      </w:r>
      <w:r w:rsidR="00BC2E76" w:rsidRPr="00045F85">
        <w:rPr>
          <w:rFonts w:cs="Arial"/>
        </w:rPr>
        <w:t xml:space="preserve">is characterized by </w:t>
      </w:r>
      <w:r w:rsidRPr="00045F85">
        <w:rPr>
          <w:rFonts w:cs="Arial"/>
        </w:rPr>
        <w:t xml:space="preserve">the </w:t>
      </w:r>
      <w:r w:rsidR="00BC2E76" w:rsidRPr="00045F85">
        <w:rPr>
          <w:rFonts w:cs="Arial"/>
        </w:rPr>
        <w:t xml:space="preserve">presence of </w:t>
      </w:r>
      <w:r w:rsidRPr="00045F85">
        <w:rPr>
          <w:rFonts w:cs="Arial"/>
        </w:rPr>
        <w:t xml:space="preserve">tremor during voluntary </w:t>
      </w:r>
      <w:r w:rsidR="00BC2E76" w:rsidRPr="00045F85">
        <w:rPr>
          <w:rFonts w:cs="Arial"/>
        </w:rPr>
        <w:t>movement rather than at rest.</w:t>
      </w:r>
      <w:r w:rsidR="00DC0BF7" w:rsidRPr="00045F85">
        <w:rPr>
          <w:rFonts w:cs="Arial"/>
        </w:rPr>
        <w:t xml:space="preserve"> </w:t>
      </w:r>
      <w:r w:rsidR="00BC2E76" w:rsidRPr="00045F85">
        <w:rPr>
          <w:rFonts w:cs="Arial"/>
        </w:rPr>
        <w:t>R</w:t>
      </w:r>
      <w:r w:rsidRPr="00045F85">
        <w:rPr>
          <w:rFonts w:cs="Arial"/>
        </w:rPr>
        <w:t xml:space="preserve">esting tremor and cogwheel rigidity, </w:t>
      </w:r>
      <w:r w:rsidR="007B2FD0" w:rsidRPr="00045F85">
        <w:rPr>
          <w:rFonts w:cs="Arial"/>
        </w:rPr>
        <w:t xml:space="preserve">or other isolated </w:t>
      </w:r>
      <w:r w:rsidR="003C4515" w:rsidRPr="00045F85">
        <w:rPr>
          <w:rFonts w:cs="Arial"/>
        </w:rPr>
        <w:t>p</w:t>
      </w:r>
      <w:r w:rsidR="00504A08" w:rsidRPr="00045F85">
        <w:rPr>
          <w:rFonts w:cs="Arial"/>
        </w:rPr>
        <w:t>arkinsonian</w:t>
      </w:r>
      <w:r w:rsidR="007B2FD0" w:rsidRPr="00045F85">
        <w:rPr>
          <w:rFonts w:cs="Arial"/>
        </w:rPr>
        <w:t xml:space="preserve"> characteristics </w:t>
      </w:r>
      <w:r w:rsidR="00BC2E76" w:rsidRPr="00045F85">
        <w:rPr>
          <w:rFonts w:cs="Arial"/>
        </w:rPr>
        <w:t xml:space="preserve">can be present in a subgroup of patients with ET </w:t>
      </w:r>
      <w:r w:rsidR="007B2FD0" w:rsidRPr="00045F85">
        <w:rPr>
          <w:rFonts w:cs="Arial"/>
        </w:rPr>
        <w:t xml:space="preserve">thus </w:t>
      </w:r>
      <w:r w:rsidRPr="00045F85">
        <w:rPr>
          <w:rFonts w:cs="Arial"/>
        </w:rPr>
        <w:t xml:space="preserve">making the clinical diagnosis more challenging </w:t>
      </w:r>
      <w:r w:rsidR="00155FF0" w:rsidRPr="00045F85">
        <w:rPr>
          <w:rFonts w:cs="Arial"/>
        </w:rPr>
        <w:t>[5</w:t>
      </w:r>
      <w:r w:rsidRPr="00045F85">
        <w:rPr>
          <w:rFonts w:cs="Arial"/>
        </w:rPr>
        <w:t>].</w:t>
      </w:r>
    </w:p>
    <w:p w14:paraId="70CF83B2" w14:textId="42199201" w:rsidR="00D1518B" w:rsidRPr="00045F85" w:rsidRDefault="00683F73" w:rsidP="00D1518B">
      <w:pPr>
        <w:rPr>
          <w:rFonts w:cs="Arial"/>
        </w:rPr>
      </w:pPr>
      <w:r w:rsidRPr="00045F85">
        <w:rPr>
          <w:rFonts w:cs="Arial"/>
        </w:rPr>
        <w:t xml:space="preserve">In </w:t>
      </w:r>
      <w:r w:rsidR="00D1518B" w:rsidRPr="00045F85">
        <w:rPr>
          <w:rFonts w:cs="Arial"/>
        </w:rPr>
        <w:t>many patients</w:t>
      </w:r>
      <w:r w:rsidR="006D2BC4" w:rsidRPr="00045F85">
        <w:rPr>
          <w:rFonts w:cs="Arial"/>
        </w:rPr>
        <w:t>,</w:t>
      </w:r>
      <w:r w:rsidR="00D1518B" w:rsidRPr="00045F85">
        <w:rPr>
          <w:rFonts w:cs="Arial"/>
        </w:rPr>
        <w:t xml:space="preserve"> </w:t>
      </w:r>
      <w:r w:rsidRPr="00045F85">
        <w:rPr>
          <w:rFonts w:cs="Arial"/>
        </w:rPr>
        <w:t xml:space="preserve">the clinical </w:t>
      </w:r>
      <w:r w:rsidR="00573961" w:rsidRPr="00045F85">
        <w:rPr>
          <w:rFonts w:cs="Arial"/>
        </w:rPr>
        <w:t xml:space="preserve">differential </w:t>
      </w:r>
      <w:r w:rsidRPr="00045F85">
        <w:rPr>
          <w:rFonts w:cs="Arial"/>
        </w:rPr>
        <w:t>diagnosis of parkinsonism</w:t>
      </w:r>
      <w:r w:rsidR="00573961" w:rsidRPr="00045F85">
        <w:rPr>
          <w:rFonts w:cs="Arial"/>
        </w:rPr>
        <w:t xml:space="preserve"> is relatively straightforward </w:t>
      </w:r>
      <w:r w:rsidRPr="00045F85">
        <w:rPr>
          <w:rFonts w:cs="Arial"/>
        </w:rPr>
        <w:t xml:space="preserve">[1]. </w:t>
      </w:r>
      <w:r w:rsidR="00D1518B" w:rsidRPr="00045F85">
        <w:rPr>
          <w:rFonts w:cs="Arial"/>
        </w:rPr>
        <w:t xml:space="preserve">However in numerous conditions, an improvement in diagnostic accuracy is possible using dopaminergic imaging [8]. This </w:t>
      </w:r>
      <w:r w:rsidR="008E00EC" w:rsidRPr="00045F85">
        <w:t>imaging technology may be particularly helpful in patients with</w:t>
      </w:r>
      <w:r w:rsidR="008E00EC" w:rsidRPr="00045F85">
        <w:rPr>
          <w:rFonts w:cs="Arial"/>
        </w:rPr>
        <w:t xml:space="preserve"> </w:t>
      </w:r>
      <w:r w:rsidR="00D1518B" w:rsidRPr="00045F85">
        <w:rPr>
          <w:rFonts w:cs="Arial"/>
        </w:rPr>
        <w:t xml:space="preserve">incomplete or atypical syndromes, unsatisfying response to therapy, overlapping symptoms or </w:t>
      </w:r>
      <w:r w:rsidR="00AD5186" w:rsidRPr="00045F85">
        <w:rPr>
          <w:rFonts w:cs="Arial"/>
        </w:rPr>
        <w:t xml:space="preserve">in </w:t>
      </w:r>
      <w:r w:rsidR="00AD5186" w:rsidRPr="00045F85">
        <w:t>patients with</w:t>
      </w:r>
      <w:r w:rsidR="00AD5186" w:rsidRPr="00045F85">
        <w:rPr>
          <w:rFonts w:cs="Arial"/>
        </w:rPr>
        <w:t xml:space="preserve"> </w:t>
      </w:r>
      <w:r w:rsidR="00D1518B" w:rsidRPr="00045F85">
        <w:rPr>
          <w:rFonts w:cs="Arial"/>
        </w:rPr>
        <w:t>early/mildly symptomatic stages of disease.</w:t>
      </w:r>
    </w:p>
    <w:p w14:paraId="71B27BC4" w14:textId="216326C8" w:rsidR="004E0BA8" w:rsidRPr="00045F85" w:rsidRDefault="00683F73" w:rsidP="004E0BA8">
      <w:pPr>
        <w:rPr>
          <w:rFonts w:cs="Arial"/>
        </w:rPr>
      </w:pPr>
      <w:r w:rsidRPr="00045F85">
        <w:rPr>
          <w:rFonts w:cs="Arial"/>
        </w:rPr>
        <w:t>Currently</w:t>
      </w:r>
      <w:r w:rsidR="0004601B" w:rsidRPr="00045F85">
        <w:rPr>
          <w:rFonts w:cs="Arial"/>
        </w:rPr>
        <w:t>,</w:t>
      </w:r>
      <w:r w:rsidRPr="00045F85">
        <w:rPr>
          <w:rFonts w:cs="Arial"/>
        </w:rPr>
        <w:t xml:space="preserve"> nuclear medicine investigations can assess both presynaptic and postsynaptic function of dopaminergic synapses [</w:t>
      </w:r>
      <w:r w:rsidR="00155FF0" w:rsidRPr="00045F85">
        <w:rPr>
          <w:rFonts w:cs="Arial"/>
        </w:rPr>
        <w:t>6</w:t>
      </w:r>
      <w:r w:rsidR="001C2D29" w:rsidRPr="00045F85">
        <w:rPr>
          <w:rFonts w:cs="Arial"/>
        </w:rPr>
        <w:t>-8</w:t>
      </w:r>
      <w:r w:rsidRPr="00045F85">
        <w:rPr>
          <w:rFonts w:cs="Arial"/>
        </w:rPr>
        <w:t xml:space="preserve">]. </w:t>
      </w:r>
      <w:r w:rsidR="004E0BA8" w:rsidRPr="00045F85">
        <w:rPr>
          <w:rFonts w:cs="Arial"/>
        </w:rPr>
        <w:t xml:space="preserve">Presynaptic dopaminergic imaging helps clarify the differential diagnosis between neurodegenerative </w:t>
      </w:r>
      <w:r w:rsidR="00504A08" w:rsidRPr="00045F85">
        <w:rPr>
          <w:rFonts w:cs="Arial"/>
        </w:rPr>
        <w:t>parkinsonian</w:t>
      </w:r>
      <w:r w:rsidR="004E0BA8" w:rsidRPr="00045F85">
        <w:rPr>
          <w:rFonts w:cs="Arial"/>
        </w:rPr>
        <w:t xml:space="preserve"> syndromes and non-dopamine deficiency etiologies of parkinsonism [6-8]. </w:t>
      </w:r>
    </w:p>
    <w:p w14:paraId="67430A82" w14:textId="4FC29438" w:rsidR="004E0BA8" w:rsidRPr="00045F85" w:rsidRDefault="004E0BA8" w:rsidP="004E0BA8">
      <w:pPr>
        <w:rPr>
          <w:rFonts w:cs="Arial"/>
          <w:lang w:val="en-GB"/>
        </w:rPr>
      </w:pPr>
      <w:r w:rsidRPr="00045F85">
        <w:rPr>
          <w:rFonts w:cs="Arial"/>
        </w:rPr>
        <w:t xml:space="preserve">Presynaptic dopaminergic function can be summarized as follows. </w:t>
      </w:r>
      <w:r w:rsidRPr="00045F85">
        <w:rPr>
          <w:rFonts w:cs="Arial"/>
          <w:lang w:val="en-GB"/>
        </w:rPr>
        <w:t xml:space="preserve">Dopamine is produced </w:t>
      </w:r>
      <w:r w:rsidR="00FA4861" w:rsidRPr="00045F85">
        <w:rPr>
          <w:rFonts w:cs="Arial"/>
          <w:lang w:val="en-GB"/>
        </w:rPr>
        <w:t xml:space="preserve">via </w:t>
      </w:r>
      <w:r w:rsidRPr="00045F85">
        <w:rPr>
          <w:rFonts w:cs="Arial"/>
          <w:lang w:val="en-GB"/>
        </w:rPr>
        <w:t xml:space="preserve">two amino acids. First, L-tyrosine is hydroxylated to form L-dopa, which subsequently is decarboxylated to dopamine by aromatic L-amino-acid decarboxylase (AADC; also known as dopa decarboxylase). Next, dopamine is </w:t>
      </w:r>
      <w:r w:rsidR="003032D0" w:rsidRPr="00045F85">
        <w:t>transported to</w:t>
      </w:r>
      <w:r w:rsidR="003032D0" w:rsidRPr="00045F85">
        <w:rPr>
          <w:rFonts w:cs="Arial"/>
          <w:lang w:val="en-GB"/>
        </w:rPr>
        <w:t xml:space="preserve"> </w:t>
      </w:r>
      <w:r w:rsidRPr="00045F85">
        <w:rPr>
          <w:rFonts w:cs="Arial"/>
          <w:lang w:val="en-GB"/>
        </w:rPr>
        <w:t>intracellular vesicles by vesicular monoamine transporter 2 (VMAT2). As a result of neuronal depolarisation, these vesicles are e</w:t>
      </w:r>
      <w:r w:rsidR="00EC7588" w:rsidRPr="00045F85">
        <w:rPr>
          <w:rFonts w:cs="Arial"/>
          <w:lang w:val="en-GB"/>
        </w:rPr>
        <w:t xml:space="preserve">mptied into the synaptic cleft where </w:t>
      </w:r>
      <w:r w:rsidRPr="00045F85">
        <w:rPr>
          <w:rFonts w:cs="Arial"/>
          <w:lang w:val="en-GB"/>
        </w:rPr>
        <w:t xml:space="preserve">the synaptic dopamine then interacts with postsynaptic dopamine receptors. </w:t>
      </w:r>
      <w:r w:rsidR="00FB1B43" w:rsidRPr="00045F85">
        <w:t>After dopamine has been emptied into the synaptic cleft, it can be subject to re-uptake into the presynaptic neuron by dopamine transporter (a.k.a. dopamine active transporter - DAT).</w:t>
      </w:r>
    </w:p>
    <w:p w14:paraId="78AF42BB" w14:textId="149BB19C" w:rsidR="00962539" w:rsidRPr="00045F85" w:rsidRDefault="00683F73" w:rsidP="00962539">
      <w:pPr>
        <w:rPr>
          <w:rFonts w:cs="Arial"/>
        </w:rPr>
      </w:pPr>
      <w:r w:rsidRPr="00045F85">
        <w:rPr>
          <w:rFonts w:cs="Arial"/>
        </w:rPr>
        <w:t>Post-synaptic dopamine receptors can be divided into D</w:t>
      </w:r>
      <w:r w:rsidRPr="00045F85">
        <w:rPr>
          <w:rFonts w:cs="Arial"/>
          <w:vertAlign w:val="subscript"/>
        </w:rPr>
        <w:t>1</w:t>
      </w:r>
      <w:r w:rsidRPr="00045F85">
        <w:rPr>
          <w:rFonts w:cs="Arial"/>
        </w:rPr>
        <w:t>-like receptors (D</w:t>
      </w:r>
      <w:r w:rsidRPr="00045F85">
        <w:rPr>
          <w:rFonts w:cs="Arial"/>
          <w:vertAlign w:val="subscript"/>
        </w:rPr>
        <w:t>1</w:t>
      </w:r>
      <w:r w:rsidRPr="00045F85">
        <w:rPr>
          <w:rFonts w:cs="Arial"/>
        </w:rPr>
        <w:t>, D</w:t>
      </w:r>
      <w:r w:rsidRPr="00045F85">
        <w:rPr>
          <w:rFonts w:cs="Arial"/>
          <w:vertAlign w:val="subscript"/>
        </w:rPr>
        <w:t>5</w:t>
      </w:r>
      <w:r w:rsidRPr="00045F85">
        <w:rPr>
          <w:rFonts w:cs="Arial"/>
        </w:rPr>
        <w:t>) and D</w:t>
      </w:r>
      <w:r w:rsidRPr="00045F85">
        <w:rPr>
          <w:rFonts w:cs="Arial"/>
          <w:vertAlign w:val="subscript"/>
        </w:rPr>
        <w:t>2</w:t>
      </w:r>
      <w:r w:rsidRPr="00045F85">
        <w:rPr>
          <w:rFonts w:cs="Arial"/>
        </w:rPr>
        <w:t>-like receptors (D</w:t>
      </w:r>
      <w:r w:rsidRPr="00045F85">
        <w:rPr>
          <w:rFonts w:cs="Arial"/>
          <w:vertAlign w:val="subscript"/>
        </w:rPr>
        <w:t>2</w:t>
      </w:r>
      <w:r w:rsidRPr="00045F85">
        <w:rPr>
          <w:rFonts w:cs="Arial"/>
        </w:rPr>
        <w:t>, D</w:t>
      </w:r>
      <w:r w:rsidRPr="00045F85">
        <w:rPr>
          <w:rFonts w:cs="Arial"/>
          <w:vertAlign w:val="subscript"/>
        </w:rPr>
        <w:t>3</w:t>
      </w:r>
      <w:r w:rsidRPr="00045F85">
        <w:rPr>
          <w:rFonts w:cs="Arial"/>
        </w:rPr>
        <w:t xml:space="preserve"> and D</w:t>
      </w:r>
      <w:r w:rsidRPr="00045F85">
        <w:rPr>
          <w:rFonts w:cs="Arial"/>
          <w:vertAlign w:val="subscript"/>
        </w:rPr>
        <w:t>4</w:t>
      </w:r>
      <w:r w:rsidRPr="00045F85">
        <w:rPr>
          <w:rFonts w:cs="Arial"/>
        </w:rPr>
        <w:t>) [</w:t>
      </w:r>
      <w:r w:rsidR="007B4B96" w:rsidRPr="00045F85">
        <w:rPr>
          <w:rFonts w:cs="Arial"/>
        </w:rPr>
        <w:t>9</w:t>
      </w:r>
      <w:r w:rsidRPr="00045F85">
        <w:rPr>
          <w:rFonts w:cs="Arial"/>
        </w:rPr>
        <w:t xml:space="preserve">]. </w:t>
      </w:r>
      <w:r w:rsidR="00962539" w:rsidRPr="00045F85">
        <w:rPr>
          <w:rFonts w:cs="Arial"/>
        </w:rPr>
        <w:t>Over 90% of D</w:t>
      </w:r>
      <w:r w:rsidR="00962539" w:rsidRPr="00045F85">
        <w:rPr>
          <w:rFonts w:cs="Arial"/>
          <w:vertAlign w:val="subscript"/>
        </w:rPr>
        <w:t>2</w:t>
      </w:r>
      <w:r w:rsidR="00962539" w:rsidRPr="00045F85">
        <w:rPr>
          <w:rFonts w:cs="Arial"/>
        </w:rPr>
        <w:t xml:space="preserve"> receptors are located post-synaptically and so imaging of D</w:t>
      </w:r>
      <w:r w:rsidR="00962539" w:rsidRPr="00045F85">
        <w:rPr>
          <w:rFonts w:cs="Arial"/>
          <w:vertAlign w:val="subscript"/>
        </w:rPr>
        <w:t>2</w:t>
      </w:r>
      <w:r w:rsidR="00962539" w:rsidRPr="00045F85">
        <w:rPr>
          <w:rFonts w:cs="Arial"/>
        </w:rPr>
        <w:t xml:space="preserve"> receptors is frequently referred to as imaging of postsynaptic D</w:t>
      </w:r>
      <w:r w:rsidR="00962539" w:rsidRPr="00045F85">
        <w:rPr>
          <w:rFonts w:cs="Arial"/>
          <w:vertAlign w:val="subscript"/>
        </w:rPr>
        <w:t>2</w:t>
      </w:r>
      <w:r w:rsidR="00962539" w:rsidRPr="00045F85">
        <w:rPr>
          <w:rFonts w:cs="Arial"/>
        </w:rPr>
        <w:t xml:space="preserve"> receptors [10]. To date</w:t>
      </w:r>
      <w:r w:rsidR="00A35467" w:rsidRPr="00045F85">
        <w:rPr>
          <w:rFonts w:cs="Arial"/>
        </w:rPr>
        <w:t>,</w:t>
      </w:r>
      <w:r w:rsidR="00F03AF3" w:rsidRPr="00045F85">
        <w:rPr>
          <w:rFonts w:cs="Arial"/>
        </w:rPr>
        <w:t xml:space="preserve"> three </w:t>
      </w:r>
      <w:r w:rsidR="00F03AF3" w:rsidRPr="00045F85">
        <w:t>Procedure Guidelines/Procedure Standards</w:t>
      </w:r>
      <w:r w:rsidR="00671064" w:rsidRPr="00045F85">
        <w:rPr>
          <w:rFonts w:cs="Arial"/>
        </w:rPr>
        <w:t xml:space="preserve"> </w:t>
      </w:r>
      <w:r w:rsidR="00962539" w:rsidRPr="00045F85">
        <w:rPr>
          <w:rFonts w:cs="Arial"/>
        </w:rPr>
        <w:t xml:space="preserve">have been published by EANM and SNMMI, respectively. Both EANM and SNMMI have published </w:t>
      </w:r>
      <w:r w:rsidR="00671064" w:rsidRPr="00045F85">
        <w:rPr>
          <w:rFonts w:cs="Arial"/>
        </w:rPr>
        <w:t xml:space="preserve">Guidelines/Standards </w:t>
      </w:r>
      <w:r w:rsidR="00962539" w:rsidRPr="00045F85">
        <w:rPr>
          <w:rFonts w:cs="Arial"/>
        </w:rPr>
        <w:t xml:space="preserve">for dopamine transporter imaging with SPECT (in 2009 and 2011, respectively) </w:t>
      </w:r>
      <w:r w:rsidR="0065684B" w:rsidRPr="00045F85">
        <w:rPr>
          <w:rFonts w:cs="Arial"/>
        </w:rPr>
        <w:t>An</w:t>
      </w:r>
      <w:r w:rsidR="00962539" w:rsidRPr="00045F85">
        <w:rPr>
          <w:rFonts w:cs="Arial"/>
        </w:rPr>
        <w:t xml:space="preserve"> EANM </w:t>
      </w:r>
      <w:r w:rsidR="00825FBB" w:rsidRPr="00045F85">
        <w:rPr>
          <w:rFonts w:cs="Arial"/>
        </w:rPr>
        <w:t>Guideline</w:t>
      </w:r>
      <w:r w:rsidR="00962539" w:rsidRPr="00045F85">
        <w:rPr>
          <w:rFonts w:cs="Arial"/>
        </w:rPr>
        <w:t xml:space="preserve"> for D</w:t>
      </w:r>
      <w:r w:rsidR="00962539" w:rsidRPr="00045F85">
        <w:rPr>
          <w:rFonts w:cs="Arial"/>
          <w:vertAlign w:val="subscript"/>
        </w:rPr>
        <w:t>2</w:t>
      </w:r>
      <w:r w:rsidR="0065684B" w:rsidRPr="00045F85">
        <w:rPr>
          <w:rFonts w:cs="Arial"/>
        </w:rPr>
        <w:t xml:space="preserve"> SPECT imaging is also </w:t>
      </w:r>
      <w:r w:rsidR="00962539" w:rsidRPr="00045F85">
        <w:rPr>
          <w:rFonts w:cs="Arial"/>
        </w:rPr>
        <w:t>available (2009) [</w:t>
      </w:r>
      <w:r w:rsidR="00E7593C" w:rsidRPr="00045F85">
        <w:rPr>
          <w:rFonts w:cs="Arial"/>
        </w:rPr>
        <w:t xml:space="preserve">9, </w:t>
      </w:r>
      <w:r w:rsidR="00962539" w:rsidRPr="00045F85">
        <w:rPr>
          <w:rFonts w:cs="Arial"/>
        </w:rPr>
        <w:t xml:space="preserve">11-13]. Since the publication of these previous </w:t>
      </w:r>
      <w:r w:rsidR="005364F6" w:rsidRPr="00045F85">
        <w:rPr>
          <w:rFonts w:cs="Arial"/>
        </w:rPr>
        <w:t>documents</w:t>
      </w:r>
      <w:r w:rsidR="00962539" w:rsidRPr="00045F85">
        <w:rPr>
          <w:rFonts w:cs="Arial"/>
        </w:rPr>
        <w:t xml:space="preserve">, new lines of evidence have </w:t>
      </w:r>
      <w:r w:rsidR="00962539" w:rsidRPr="00045F85">
        <w:rPr>
          <w:rFonts w:cs="Arial"/>
        </w:rPr>
        <w:lastRenderedPageBreak/>
        <w:t xml:space="preserve">been made available on semi-quantification, harmonization, comparison with normal datasets and longitudinal analyses of DAT SPECT. Similarly, details on acquisition protocols and simplified quantification methods are now available for dopamine transporter imaging with PET, including recently developed fluorinated tracers. Finally, especially in </w:t>
      </w:r>
      <w:r w:rsidR="00573961" w:rsidRPr="00045F85">
        <w:rPr>
          <w:rFonts w:cs="Arial"/>
        </w:rPr>
        <w:t xml:space="preserve">some </w:t>
      </w:r>
      <w:r w:rsidR="00962539" w:rsidRPr="00045F85">
        <w:rPr>
          <w:rFonts w:cs="Arial"/>
        </w:rPr>
        <w:t>nuclear medicine centers equipped with PE</w:t>
      </w:r>
      <w:r w:rsidR="00573961" w:rsidRPr="00045F85">
        <w:rPr>
          <w:rFonts w:cs="Arial"/>
        </w:rPr>
        <w:t xml:space="preserve">T and </w:t>
      </w:r>
      <w:r w:rsidR="00962539" w:rsidRPr="00045F85">
        <w:rPr>
          <w:rFonts w:cs="Arial"/>
        </w:rPr>
        <w:t xml:space="preserve">without cyclotron, </w:t>
      </w:r>
      <w:r w:rsidR="00BA3B4D" w:rsidRPr="00045F85">
        <w:rPr>
          <w:rFonts w:cs="Arial"/>
        </w:rPr>
        <w:t>[</w:t>
      </w:r>
      <w:r w:rsidR="00BA3B4D" w:rsidRPr="00045F85">
        <w:rPr>
          <w:rFonts w:cs="Arial"/>
          <w:vertAlign w:val="superscript"/>
        </w:rPr>
        <w:t>18</w:t>
      </w:r>
      <w:r w:rsidR="00BC2E76" w:rsidRPr="00045F85">
        <w:rPr>
          <w:rFonts w:cs="Arial"/>
        </w:rPr>
        <w:t>F]fluorodopa</w:t>
      </w:r>
      <w:r w:rsidR="00962539" w:rsidRPr="00045F85">
        <w:rPr>
          <w:rFonts w:cs="Arial"/>
        </w:rPr>
        <w:t xml:space="preserve"> PET </w:t>
      </w:r>
      <w:r w:rsidR="00BC2E76" w:rsidRPr="00045F85">
        <w:rPr>
          <w:rFonts w:cs="Arial"/>
        </w:rPr>
        <w:t>is performed</w:t>
      </w:r>
      <w:r w:rsidR="00962539" w:rsidRPr="00045F85">
        <w:rPr>
          <w:rFonts w:cs="Arial"/>
        </w:rPr>
        <w:t xml:space="preserve"> for </w:t>
      </w:r>
      <w:r w:rsidR="00BC2E76" w:rsidRPr="00045F85">
        <w:rPr>
          <w:rFonts w:cs="Arial"/>
        </w:rPr>
        <w:t>in patients with</w:t>
      </w:r>
      <w:r w:rsidR="00962539" w:rsidRPr="00045F85">
        <w:rPr>
          <w:rFonts w:cs="Arial"/>
        </w:rPr>
        <w:t xml:space="preserve"> parkinsonism, although procedural GLs aiming to define standard procedures for </w:t>
      </w:r>
      <w:r w:rsidR="00A76310" w:rsidRPr="00045F85">
        <w:rPr>
          <w:rFonts w:cs="Arial"/>
        </w:rPr>
        <w:t>[18F]fluorodopa</w:t>
      </w:r>
      <w:r w:rsidR="00962539" w:rsidRPr="00045F85">
        <w:rPr>
          <w:rFonts w:cs="Arial"/>
        </w:rPr>
        <w:t xml:space="preserve"> imaging in this setting are still lacking. </w:t>
      </w:r>
    </w:p>
    <w:p w14:paraId="25FDB21C" w14:textId="77777777" w:rsidR="00683F73" w:rsidRPr="00045F85" w:rsidRDefault="00683F73" w:rsidP="00683F73">
      <w:pPr>
        <w:rPr>
          <w:rFonts w:cs="Arial"/>
        </w:rPr>
      </w:pPr>
      <w:r w:rsidRPr="00045F85">
        <w:rPr>
          <w:rFonts w:cs="Arial"/>
        </w:rPr>
        <w:t>Goals</w:t>
      </w:r>
    </w:p>
    <w:p w14:paraId="10A6980B" w14:textId="09F94068" w:rsidR="00683F73" w:rsidRPr="00045F85" w:rsidRDefault="00683F73" w:rsidP="00683F73">
      <w:pPr>
        <w:widowControl w:val="0"/>
        <w:autoSpaceDE w:val="0"/>
        <w:autoSpaceDN w:val="0"/>
        <w:adjustRightInd w:val="0"/>
        <w:spacing w:after="240" w:line="280" w:lineRule="atLeast"/>
        <w:rPr>
          <w:rFonts w:cs="Arial"/>
        </w:rPr>
      </w:pPr>
      <w:r w:rsidRPr="00045F85">
        <w:rPr>
          <w:rFonts w:cs="Arial"/>
        </w:rPr>
        <w:t xml:space="preserve">The </w:t>
      </w:r>
      <w:r w:rsidR="00BC2E76" w:rsidRPr="00045F85">
        <w:rPr>
          <w:rFonts w:cs="Arial"/>
        </w:rPr>
        <w:t>aim</w:t>
      </w:r>
      <w:r w:rsidRPr="00045F85">
        <w:rPr>
          <w:rFonts w:cs="Arial"/>
        </w:rPr>
        <w:t xml:space="preserve"> of this</w:t>
      </w:r>
      <w:r w:rsidR="00E92973" w:rsidRPr="00045F85">
        <w:rPr>
          <w:rFonts w:cs="Arial"/>
        </w:rPr>
        <w:t xml:space="preserve"> </w:t>
      </w:r>
      <w:r w:rsidRPr="00045F85">
        <w:rPr>
          <w:rFonts w:cs="Arial"/>
        </w:rPr>
        <w:t xml:space="preserve">guideline is to assist nuclear medicine </w:t>
      </w:r>
      <w:r w:rsidR="00BC2E76" w:rsidRPr="00045F85">
        <w:rPr>
          <w:rFonts w:cs="Arial"/>
        </w:rPr>
        <w:t>physicians</w:t>
      </w:r>
      <w:r w:rsidRPr="00045F85">
        <w:rPr>
          <w:rFonts w:cs="Arial"/>
        </w:rPr>
        <w:t xml:space="preserve"> in recommending, performing, interpreting, and reporting the results of dopaminergic imaging in </w:t>
      </w:r>
      <w:r w:rsidR="004376BD" w:rsidRPr="00045F85">
        <w:rPr>
          <w:rFonts w:cs="Arial"/>
        </w:rPr>
        <w:t>p</w:t>
      </w:r>
      <w:r w:rsidR="00504A08" w:rsidRPr="00045F85">
        <w:rPr>
          <w:rFonts w:cs="Arial"/>
        </w:rPr>
        <w:t>arkinsonian</w:t>
      </w:r>
      <w:r w:rsidRPr="00045F85">
        <w:rPr>
          <w:rFonts w:cs="Arial"/>
        </w:rPr>
        <w:t xml:space="preserve"> </w:t>
      </w:r>
      <w:r w:rsidR="004376BD" w:rsidRPr="00045F85">
        <w:rPr>
          <w:rFonts w:cs="Arial"/>
        </w:rPr>
        <w:t>patients</w:t>
      </w:r>
      <w:r w:rsidRPr="00045F85">
        <w:rPr>
          <w:rFonts w:cs="Arial"/>
        </w:rPr>
        <w:t>.</w:t>
      </w:r>
    </w:p>
    <w:p w14:paraId="6223967E" w14:textId="4EE15F26" w:rsidR="00683F73" w:rsidRPr="00045F85" w:rsidRDefault="00683F73" w:rsidP="004D1C39">
      <w:pPr>
        <w:pStyle w:val="berschrift1"/>
        <w:numPr>
          <w:ilvl w:val="0"/>
          <w:numId w:val="19"/>
        </w:numPr>
        <w:rPr>
          <w:color w:val="auto"/>
        </w:rPr>
      </w:pPr>
      <w:r w:rsidRPr="00045F85">
        <w:rPr>
          <w:color w:val="auto"/>
        </w:rPr>
        <w:t>Definitions</w:t>
      </w:r>
    </w:p>
    <w:p w14:paraId="0AC0C567" w14:textId="5250A2B3" w:rsidR="004227F8" w:rsidRPr="00045F85" w:rsidRDefault="004227F8" w:rsidP="00A65138">
      <w:pPr>
        <w:numPr>
          <w:ilvl w:val="0"/>
          <w:numId w:val="3"/>
        </w:numPr>
        <w:rPr>
          <w:rFonts w:cs="Arial"/>
        </w:rPr>
      </w:pPr>
      <w:r w:rsidRPr="00045F85">
        <w:t xml:space="preserve">SPECT - Single Photon Emission Computed Tomography (also known as SPET).  </w:t>
      </w:r>
      <w:r w:rsidR="003E0B7F" w:rsidRPr="00045F85">
        <w:t>It</w:t>
      </w:r>
      <w:r w:rsidRPr="00045F85">
        <w:t xml:space="preserve"> allows </w:t>
      </w:r>
      <w:r w:rsidR="003E0B7F" w:rsidRPr="00045F85">
        <w:t>imaging</w:t>
      </w:r>
      <w:r w:rsidRPr="00045F85">
        <w:t xml:space="preserve"> of the</w:t>
      </w:r>
      <w:r w:rsidR="009B5ABE" w:rsidRPr="00045F85">
        <w:t xml:space="preserve"> three dimensional distribution of radiopharmaceuticals labelled with gamma-ray emitting radionuclide such as </w:t>
      </w:r>
      <w:r w:rsidR="009B5ABE" w:rsidRPr="00045F85">
        <w:rPr>
          <w:vertAlign w:val="superscript"/>
        </w:rPr>
        <w:t>123</w:t>
      </w:r>
      <w:r w:rsidR="009B5ABE" w:rsidRPr="00045F85">
        <w:t xml:space="preserve">I, </w:t>
      </w:r>
      <w:r w:rsidR="009B5ABE" w:rsidRPr="00045F85">
        <w:rPr>
          <w:vertAlign w:val="superscript"/>
        </w:rPr>
        <w:t>99</w:t>
      </w:r>
      <w:r w:rsidR="009B5ABE" w:rsidRPr="00045F85">
        <w:t>mTc etc</w:t>
      </w:r>
      <w:r w:rsidRPr="00045F85">
        <w:t>.</w:t>
      </w:r>
      <w:r w:rsidRPr="00045F85">
        <w:rPr>
          <w:rFonts w:cs="Arial"/>
        </w:rPr>
        <w:t xml:space="preserve"> </w:t>
      </w:r>
    </w:p>
    <w:p w14:paraId="31A4392D" w14:textId="77777777" w:rsidR="00BA0005" w:rsidRPr="00045F85" w:rsidRDefault="00BA0005" w:rsidP="00BA0005">
      <w:pPr>
        <w:pStyle w:val="Kommentartext"/>
        <w:numPr>
          <w:ilvl w:val="0"/>
          <w:numId w:val="3"/>
        </w:numPr>
      </w:pPr>
      <w:r w:rsidRPr="00045F85">
        <w:t>SPECT/CT - SPECT imaging combined with CT (Computed Tomography) in a hybrid scanner.</w:t>
      </w:r>
    </w:p>
    <w:p w14:paraId="5B4082E5" w14:textId="063FE356" w:rsidR="00E756B6" w:rsidRPr="00045F85" w:rsidRDefault="00E756B6" w:rsidP="00E756B6">
      <w:pPr>
        <w:pStyle w:val="Kommentartext"/>
        <w:numPr>
          <w:ilvl w:val="0"/>
          <w:numId w:val="3"/>
        </w:numPr>
      </w:pPr>
      <w:r w:rsidRPr="00045F85">
        <w:t xml:space="preserve">Positron Emission Tomography.  This imaging modality is specific for imaging positron-emitting radionuclides such as </w:t>
      </w:r>
      <w:r w:rsidRPr="00045F85">
        <w:rPr>
          <w:vertAlign w:val="superscript"/>
        </w:rPr>
        <w:t>11</w:t>
      </w:r>
      <w:r w:rsidRPr="00045F85">
        <w:t xml:space="preserve">C and </w:t>
      </w:r>
      <w:r w:rsidR="00D84CB4" w:rsidRPr="00045F85">
        <w:rPr>
          <w:rFonts w:cs="Arial"/>
          <w:vertAlign w:val="superscript"/>
        </w:rPr>
        <w:t>18</w:t>
      </w:r>
      <w:r w:rsidR="00D84CB4" w:rsidRPr="00045F85">
        <w:rPr>
          <w:rFonts w:cs="Arial"/>
        </w:rPr>
        <w:t>F</w:t>
      </w:r>
      <w:r w:rsidRPr="00045F85">
        <w:t xml:space="preserve"> through coincidence detection of annihilation photon pairs.</w:t>
      </w:r>
    </w:p>
    <w:p w14:paraId="40C52379" w14:textId="1160CC38" w:rsidR="00E756B6" w:rsidRPr="00045F85" w:rsidRDefault="00E756B6" w:rsidP="00E756B6">
      <w:pPr>
        <w:pStyle w:val="Kommentartext"/>
        <w:numPr>
          <w:ilvl w:val="0"/>
          <w:numId w:val="3"/>
        </w:numPr>
      </w:pPr>
      <w:r w:rsidRPr="00045F85">
        <w:t xml:space="preserve">PET/CT - PET imaging combined with CT (computed tomography) in a hybrid scanner.  PET may also be combined with magnetic resonance imaging (MRI); however, </w:t>
      </w:r>
      <w:r w:rsidR="00B636E8" w:rsidRPr="00045F85">
        <w:t>the</w:t>
      </w:r>
      <w:r w:rsidRPr="00045F85">
        <w:t xml:space="preserve"> use </w:t>
      </w:r>
      <w:r w:rsidR="00B636E8" w:rsidRPr="00045F85">
        <w:t xml:space="preserve">of these scanners </w:t>
      </w:r>
      <w:r w:rsidRPr="00045F85">
        <w:t>in patients with movement disorders has not yet been adequately addressed in the literature.</w:t>
      </w:r>
    </w:p>
    <w:p w14:paraId="63EC906A" w14:textId="24AB4AD0" w:rsidR="00D238F2" w:rsidRPr="00045F85" w:rsidRDefault="00FB1919" w:rsidP="00595BE5">
      <w:pPr>
        <w:numPr>
          <w:ilvl w:val="0"/>
          <w:numId w:val="3"/>
        </w:numPr>
      </w:pPr>
      <w:r w:rsidRPr="00045F85">
        <w:t>Presynaptic dopaminergic imaging refers to SPECT and PET imaging studies evaluating the integrity of presynaptic nigrostriatal dopaminergic synapses</w:t>
      </w:r>
      <w:r w:rsidR="003B2B16" w:rsidRPr="00045F85">
        <w:t>.</w:t>
      </w:r>
      <w:r w:rsidRPr="00045F85">
        <w:t xml:space="preserve"> </w:t>
      </w:r>
    </w:p>
    <w:p w14:paraId="1264A1B1" w14:textId="1A35B617" w:rsidR="00683F73" w:rsidRPr="00045F85" w:rsidRDefault="003D7D71" w:rsidP="00595BE5">
      <w:pPr>
        <w:numPr>
          <w:ilvl w:val="0"/>
          <w:numId w:val="3"/>
        </w:numPr>
      </w:pPr>
      <w:r w:rsidRPr="00045F85">
        <w:t xml:space="preserve">Post-synaptic dopaminergic imaging refers to SPECT and PET imaging studies that evaluate the integrity of dopaminergic neurons </w:t>
      </w:r>
      <w:r w:rsidR="003B2B16" w:rsidRPr="00045F85">
        <w:t>at the</w:t>
      </w:r>
      <w:r w:rsidRPr="00045F85">
        <w:t xml:space="preserve"> post-synaptic level</w:t>
      </w:r>
      <w:r w:rsidR="002B1782" w:rsidRPr="00045F85">
        <w:t xml:space="preserve"> (frequently referred to as imaging of the postsynaptic D2 receptors</w:t>
      </w:r>
      <w:r w:rsidR="000E211E" w:rsidRPr="00045F85">
        <w:t>)</w:t>
      </w:r>
      <w:r w:rsidR="00516B32" w:rsidRPr="00045F85">
        <w:t xml:space="preserve">. </w:t>
      </w:r>
      <w:r w:rsidR="002B1782" w:rsidRPr="00045F85">
        <w:t xml:space="preserve"> </w:t>
      </w:r>
    </w:p>
    <w:p w14:paraId="399BCD8E" w14:textId="67130529" w:rsidR="00683F73" w:rsidRPr="00045F85" w:rsidRDefault="00153CA9" w:rsidP="004D1C39">
      <w:pPr>
        <w:pStyle w:val="berschrift1"/>
        <w:numPr>
          <w:ilvl w:val="0"/>
          <w:numId w:val="19"/>
        </w:numPr>
        <w:rPr>
          <w:color w:val="auto"/>
        </w:rPr>
      </w:pPr>
      <w:r w:rsidRPr="00045F85">
        <w:rPr>
          <w:color w:val="auto"/>
        </w:rPr>
        <w:t>C</w:t>
      </w:r>
      <w:r w:rsidR="00683F73" w:rsidRPr="00045F85">
        <w:rPr>
          <w:color w:val="auto"/>
        </w:rPr>
        <w:t>linical indications</w:t>
      </w:r>
    </w:p>
    <w:p w14:paraId="39ACF0E5" w14:textId="2520BC81" w:rsidR="006C1FC1" w:rsidRPr="00045F85" w:rsidRDefault="006C1FC1" w:rsidP="006C1FC1">
      <w:pPr>
        <w:rPr>
          <w:rFonts w:cs="Arial"/>
          <w:iCs/>
        </w:rPr>
      </w:pPr>
      <w:r w:rsidRPr="00045F85">
        <w:rPr>
          <w:rFonts w:cs="Arial"/>
          <w:iCs/>
          <w:u w:val="single"/>
        </w:rPr>
        <w:t>Presynaptic dopaminergic imaging</w:t>
      </w:r>
      <w:r w:rsidRPr="00045F85">
        <w:rPr>
          <w:rFonts w:cs="Arial"/>
          <w:iCs/>
        </w:rPr>
        <w:t xml:space="preserve"> is indicated for detecting loss of nigrostriatal dopaminergic neuron terminals of patients with </w:t>
      </w:r>
      <w:r w:rsidR="00504A08" w:rsidRPr="00045F85">
        <w:rPr>
          <w:rFonts w:cs="Arial"/>
          <w:iCs/>
        </w:rPr>
        <w:t>parkinsonian</w:t>
      </w:r>
      <w:r w:rsidR="00C912BB" w:rsidRPr="00045F85">
        <w:rPr>
          <w:rFonts w:cs="Arial"/>
          <w:iCs/>
        </w:rPr>
        <w:t xml:space="preserve"> syndromes, especially</w:t>
      </w:r>
      <w:r w:rsidRPr="00045F85">
        <w:rPr>
          <w:rFonts w:cs="Arial"/>
          <w:iCs/>
        </w:rPr>
        <w:t>:</w:t>
      </w:r>
    </w:p>
    <w:p w14:paraId="2F5CE663" w14:textId="359DFDCA" w:rsidR="00122FC7" w:rsidRPr="00045F85" w:rsidRDefault="006C1FC1" w:rsidP="00683F73">
      <w:pPr>
        <w:rPr>
          <w:rFonts w:cs="Arial"/>
          <w:iCs/>
        </w:rPr>
      </w:pPr>
      <w:r w:rsidRPr="00045F85">
        <w:rPr>
          <w:rFonts w:cs="Arial"/>
          <w:iCs/>
        </w:rPr>
        <w:t xml:space="preserve">1. To </w:t>
      </w:r>
      <w:r w:rsidR="00C956EF" w:rsidRPr="00045F85">
        <w:rPr>
          <w:rFonts w:cs="Arial"/>
          <w:iCs/>
        </w:rPr>
        <w:t>support the differential diagnosis</w:t>
      </w:r>
      <w:r w:rsidRPr="00045F85">
        <w:rPr>
          <w:rFonts w:cs="Arial"/>
          <w:iCs/>
        </w:rPr>
        <w:t xml:space="preserve"> </w:t>
      </w:r>
      <w:r w:rsidR="00C956EF" w:rsidRPr="00045F85">
        <w:rPr>
          <w:rFonts w:cs="Arial"/>
          <w:iCs/>
        </w:rPr>
        <w:t xml:space="preserve">between </w:t>
      </w:r>
      <w:r w:rsidRPr="00045F85">
        <w:rPr>
          <w:rFonts w:cs="Arial"/>
          <w:iCs/>
        </w:rPr>
        <w:t xml:space="preserve">essential tremor </w:t>
      </w:r>
      <w:r w:rsidR="00C956EF" w:rsidRPr="00045F85">
        <w:rPr>
          <w:rFonts w:cs="Arial"/>
          <w:iCs/>
        </w:rPr>
        <w:t>and</w:t>
      </w:r>
      <w:r w:rsidRPr="00045F85">
        <w:rPr>
          <w:rFonts w:cs="Arial"/>
          <w:iCs/>
        </w:rPr>
        <w:t xml:space="preserve"> neurodegenerative </w:t>
      </w:r>
      <w:r w:rsidR="00504A08" w:rsidRPr="00045F85">
        <w:rPr>
          <w:rFonts w:cs="Arial"/>
          <w:iCs/>
        </w:rPr>
        <w:t>parkinsonian</w:t>
      </w:r>
      <w:r w:rsidRPr="00045F85">
        <w:rPr>
          <w:rFonts w:cs="Arial"/>
          <w:iCs/>
        </w:rPr>
        <w:t xml:space="preserve"> syndromes. </w:t>
      </w:r>
      <w:r w:rsidR="006653E5" w:rsidRPr="00045F85">
        <w:t xml:space="preserve">Note that presynaptic </w:t>
      </w:r>
      <w:r w:rsidR="006653E5" w:rsidRPr="00045F85">
        <w:lastRenderedPageBreak/>
        <w:t>dopaminergic im</w:t>
      </w:r>
      <w:r w:rsidR="003C4956" w:rsidRPr="00045F85">
        <w:t>aging is unable to distinguish I</w:t>
      </w:r>
      <w:r w:rsidR="006653E5" w:rsidRPr="00045F85">
        <w:t>PD and DLB from PSP, CBD, or putaminal variant of MSA [14-17].</w:t>
      </w:r>
      <w:r w:rsidR="006653E5" w:rsidRPr="00045F85">
        <w:rPr>
          <w:rFonts w:cs="Arial"/>
          <w:iCs/>
        </w:rPr>
        <w:t xml:space="preserve"> </w:t>
      </w:r>
    </w:p>
    <w:p w14:paraId="01A78322" w14:textId="4C301E5C" w:rsidR="00683F73" w:rsidRPr="00045F85" w:rsidRDefault="00683F73" w:rsidP="00683F73">
      <w:pPr>
        <w:rPr>
          <w:rFonts w:cs="Arial"/>
          <w:iCs/>
        </w:rPr>
      </w:pPr>
      <w:r w:rsidRPr="00045F85">
        <w:rPr>
          <w:rFonts w:cs="Arial"/>
          <w:iCs/>
        </w:rPr>
        <w:t xml:space="preserve">2. To </w:t>
      </w:r>
      <w:r w:rsidR="00CE395D" w:rsidRPr="00045F85">
        <w:t>help distinguish</w:t>
      </w:r>
      <w:r w:rsidR="00CE395D" w:rsidRPr="00045F85">
        <w:rPr>
          <w:rFonts w:cs="Arial"/>
          <w:iCs/>
        </w:rPr>
        <w:t xml:space="preserve"> </w:t>
      </w:r>
      <w:r w:rsidRPr="00045F85">
        <w:rPr>
          <w:rFonts w:cs="Arial"/>
          <w:iCs/>
        </w:rPr>
        <w:t>between DLB and other dementias (in particular</w:t>
      </w:r>
      <w:r w:rsidR="00286FCD" w:rsidRPr="00045F85">
        <w:rPr>
          <w:rFonts w:cs="Arial"/>
          <w:iCs/>
        </w:rPr>
        <w:t>,</w:t>
      </w:r>
      <w:r w:rsidRPr="00045F85">
        <w:rPr>
          <w:rFonts w:cs="Arial"/>
          <w:iCs/>
        </w:rPr>
        <w:t xml:space="preserve"> Alzheimer’s Disease, AD) [</w:t>
      </w:r>
      <w:r w:rsidR="007B4B96" w:rsidRPr="00045F85">
        <w:rPr>
          <w:rFonts w:cs="Arial"/>
          <w:iCs/>
        </w:rPr>
        <w:t>18-20</w:t>
      </w:r>
      <w:r w:rsidRPr="00045F85">
        <w:rPr>
          <w:rFonts w:cs="Arial"/>
          <w:iCs/>
        </w:rPr>
        <w:t>].</w:t>
      </w:r>
    </w:p>
    <w:p w14:paraId="486FC2CB" w14:textId="70689396" w:rsidR="00683F73" w:rsidRPr="00045F85" w:rsidRDefault="009D6896" w:rsidP="00683F73">
      <w:pPr>
        <w:rPr>
          <w:rFonts w:cs="Arial"/>
          <w:iCs/>
        </w:rPr>
      </w:pPr>
      <w:r w:rsidRPr="00045F85">
        <w:rPr>
          <w:rFonts w:cs="Arial"/>
          <w:iCs/>
        </w:rPr>
        <w:t>3</w:t>
      </w:r>
      <w:r w:rsidR="00683F73" w:rsidRPr="00045F85">
        <w:rPr>
          <w:rFonts w:cs="Arial"/>
          <w:iCs/>
        </w:rPr>
        <w:t xml:space="preserve">. </w:t>
      </w:r>
      <w:r w:rsidR="00683F73" w:rsidRPr="00045F85">
        <w:rPr>
          <w:rFonts w:cs="Arial"/>
        </w:rPr>
        <w:t>T</w:t>
      </w:r>
      <w:r w:rsidR="00683F73" w:rsidRPr="00045F85">
        <w:rPr>
          <w:rFonts w:cs="Arial"/>
          <w:iCs/>
        </w:rPr>
        <w:t xml:space="preserve">o </w:t>
      </w:r>
      <w:r w:rsidR="00C956EF" w:rsidRPr="00045F85">
        <w:rPr>
          <w:rFonts w:cs="Arial"/>
          <w:iCs/>
        </w:rPr>
        <w:t>support the differential diagnosis between</w:t>
      </w:r>
      <w:r w:rsidR="00683F73" w:rsidRPr="00045F85">
        <w:rPr>
          <w:rFonts w:cs="Arial"/>
          <w:iCs/>
        </w:rPr>
        <w:t xml:space="preserve"> </w:t>
      </w:r>
      <w:r w:rsidR="00C956EF" w:rsidRPr="00045F85">
        <w:rPr>
          <w:rFonts w:cs="Arial"/>
          <w:iCs/>
        </w:rPr>
        <w:t xml:space="preserve">parkinsonism due to </w:t>
      </w:r>
      <w:r w:rsidR="00683F73" w:rsidRPr="00045F85">
        <w:rPr>
          <w:rFonts w:cs="Arial"/>
          <w:iCs/>
        </w:rPr>
        <w:t>presynaptic</w:t>
      </w:r>
      <w:r w:rsidR="00D53A03" w:rsidRPr="00045F85">
        <w:rPr>
          <w:rFonts w:cs="Arial"/>
          <w:iCs/>
        </w:rPr>
        <w:t xml:space="preserve"> degenerative dopamine deficiency </w:t>
      </w:r>
      <w:r w:rsidR="00C956EF" w:rsidRPr="00045F85">
        <w:rPr>
          <w:rFonts w:cs="Arial"/>
          <w:iCs/>
        </w:rPr>
        <w:t>and</w:t>
      </w:r>
      <w:r w:rsidR="00D53A03" w:rsidRPr="00045F85">
        <w:rPr>
          <w:rFonts w:cs="Arial"/>
          <w:iCs/>
        </w:rPr>
        <w:t xml:space="preserve"> </w:t>
      </w:r>
      <w:r w:rsidR="00683F73" w:rsidRPr="00045F85">
        <w:rPr>
          <w:rFonts w:cs="Arial"/>
          <w:iCs/>
        </w:rPr>
        <w:t xml:space="preserve">other forms of parkinsonism, e.g. between </w:t>
      </w:r>
      <w:r w:rsidR="00454B38" w:rsidRPr="00045F85">
        <w:rPr>
          <w:rFonts w:cs="Arial"/>
          <w:iCs/>
        </w:rPr>
        <w:t>IPD</w:t>
      </w:r>
      <w:r w:rsidR="00683F73" w:rsidRPr="00045F85">
        <w:rPr>
          <w:rFonts w:cs="Arial"/>
          <w:iCs/>
        </w:rPr>
        <w:t xml:space="preserve"> and drug induced, psychogenic,</w:t>
      </w:r>
      <w:r w:rsidR="007B4B96" w:rsidRPr="00045F85">
        <w:rPr>
          <w:rFonts w:cs="Arial"/>
          <w:iCs/>
        </w:rPr>
        <w:t xml:space="preserve"> or vascular parkinsonism [21</w:t>
      </w:r>
      <w:r w:rsidR="00683F73" w:rsidRPr="00045F85">
        <w:rPr>
          <w:rFonts w:cs="Arial"/>
          <w:iCs/>
        </w:rPr>
        <w:t>-</w:t>
      </w:r>
      <w:r w:rsidR="007B4B96" w:rsidRPr="00045F85">
        <w:rPr>
          <w:rFonts w:cs="Arial"/>
          <w:iCs/>
        </w:rPr>
        <w:t>23</w:t>
      </w:r>
      <w:r w:rsidR="00683F73" w:rsidRPr="00045F85">
        <w:rPr>
          <w:rFonts w:cs="Arial"/>
          <w:iCs/>
        </w:rPr>
        <w:t>]</w:t>
      </w:r>
    </w:p>
    <w:p w14:paraId="0290CC24" w14:textId="7AFC00E6" w:rsidR="00683F73" w:rsidRPr="00045F85" w:rsidRDefault="009D6896" w:rsidP="00683F73">
      <w:pPr>
        <w:rPr>
          <w:rFonts w:cs="Arial"/>
          <w:iCs/>
        </w:rPr>
      </w:pPr>
      <w:r w:rsidRPr="00045F85">
        <w:rPr>
          <w:rFonts w:cs="Arial"/>
          <w:iCs/>
        </w:rPr>
        <w:t>4</w:t>
      </w:r>
      <w:r w:rsidR="00683F73" w:rsidRPr="00045F85">
        <w:rPr>
          <w:rFonts w:cs="Arial"/>
          <w:iCs/>
        </w:rPr>
        <w:t xml:space="preserve">. To detect early presynaptic </w:t>
      </w:r>
      <w:r w:rsidR="00C47D18" w:rsidRPr="00045F85">
        <w:rPr>
          <w:rFonts w:cs="Arial"/>
          <w:iCs/>
        </w:rPr>
        <w:t>p</w:t>
      </w:r>
      <w:r w:rsidR="00504A08" w:rsidRPr="00045F85">
        <w:rPr>
          <w:rFonts w:cs="Arial"/>
          <w:iCs/>
        </w:rPr>
        <w:t>arkinsonian</w:t>
      </w:r>
      <w:r w:rsidR="00683F73" w:rsidRPr="00045F85">
        <w:rPr>
          <w:rFonts w:cs="Arial"/>
          <w:iCs/>
        </w:rPr>
        <w:t xml:space="preserve"> syndromes [</w:t>
      </w:r>
      <w:r w:rsidR="007B4B96" w:rsidRPr="00045F85">
        <w:rPr>
          <w:rFonts w:cs="Arial"/>
          <w:iCs/>
        </w:rPr>
        <w:t>24, 25</w:t>
      </w:r>
      <w:r w:rsidR="00683F73" w:rsidRPr="00045F85">
        <w:rPr>
          <w:rFonts w:cs="Arial"/>
          <w:iCs/>
        </w:rPr>
        <w:t>]</w:t>
      </w:r>
    </w:p>
    <w:p w14:paraId="07F4298B" w14:textId="398879EA" w:rsidR="00683F73" w:rsidRPr="00045F85" w:rsidRDefault="00C545AD" w:rsidP="00683F73">
      <w:pPr>
        <w:rPr>
          <w:rFonts w:cs="Arial"/>
          <w:iCs/>
        </w:rPr>
      </w:pPr>
      <w:r w:rsidRPr="00045F85">
        <w:rPr>
          <w:rFonts w:cs="Arial"/>
          <w:iCs/>
          <w:u w:val="single"/>
        </w:rPr>
        <w:t>Post-synaptic dopaminergic i</w:t>
      </w:r>
      <w:r w:rsidR="00683F73" w:rsidRPr="00045F85">
        <w:rPr>
          <w:rFonts w:cs="Arial"/>
          <w:iCs/>
          <w:u w:val="single"/>
        </w:rPr>
        <w:t>maging</w:t>
      </w:r>
      <w:r w:rsidR="00683F73" w:rsidRPr="00045F85">
        <w:rPr>
          <w:rFonts w:cs="Arial"/>
          <w:iCs/>
        </w:rPr>
        <w:t xml:space="preserve"> can help separate typical from atypical </w:t>
      </w:r>
      <w:r w:rsidR="00504A08" w:rsidRPr="00045F85">
        <w:rPr>
          <w:rFonts w:cs="Arial"/>
          <w:iCs/>
        </w:rPr>
        <w:t>parkinsonian</w:t>
      </w:r>
      <w:r w:rsidR="00683F73" w:rsidRPr="00045F85">
        <w:rPr>
          <w:rFonts w:cs="Arial"/>
          <w:iCs/>
        </w:rPr>
        <w:t xml:space="preserve"> syndromes. The main indication is the differentiation of </w:t>
      </w:r>
      <w:r w:rsidR="00454B38" w:rsidRPr="00045F85">
        <w:rPr>
          <w:rFonts w:cs="Arial"/>
          <w:iCs/>
        </w:rPr>
        <w:t>IPD</w:t>
      </w:r>
      <w:r w:rsidR="00683F73" w:rsidRPr="00045F85">
        <w:rPr>
          <w:rFonts w:cs="Arial"/>
          <w:iCs/>
        </w:rPr>
        <w:t xml:space="preserve"> from other neurodegenerative </w:t>
      </w:r>
      <w:r w:rsidR="00504A08" w:rsidRPr="00045F85">
        <w:rPr>
          <w:rFonts w:cs="Arial"/>
          <w:iCs/>
        </w:rPr>
        <w:t>parkinsonian</w:t>
      </w:r>
      <w:r w:rsidR="00683F73" w:rsidRPr="00045F85">
        <w:rPr>
          <w:rFonts w:cs="Arial"/>
          <w:iCs/>
        </w:rPr>
        <w:t xml:space="preserve"> syndromes where loss of D2 receptors occurs </w:t>
      </w:r>
      <w:r w:rsidR="007B4B96" w:rsidRPr="00045F85">
        <w:rPr>
          <w:rFonts w:cs="Arial"/>
          <w:iCs/>
        </w:rPr>
        <w:t>(e.g.</w:t>
      </w:r>
      <w:r w:rsidR="003B2B16" w:rsidRPr="00045F85">
        <w:rPr>
          <w:rFonts w:cs="Arial"/>
          <w:iCs/>
        </w:rPr>
        <w:t>,</w:t>
      </w:r>
      <w:r w:rsidR="007B4B96" w:rsidRPr="00045F85">
        <w:rPr>
          <w:rFonts w:cs="Arial"/>
          <w:iCs/>
        </w:rPr>
        <w:t xml:space="preserve"> MSA, PSP) [26</w:t>
      </w:r>
      <w:r w:rsidR="00683F73" w:rsidRPr="00045F85">
        <w:rPr>
          <w:rFonts w:cs="Arial"/>
          <w:iCs/>
        </w:rPr>
        <w:t xml:space="preserve">]. </w:t>
      </w:r>
      <w:r w:rsidR="00476DF2" w:rsidRPr="00045F85">
        <w:rPr>
          <w:rFonts w:cs="Arial"/>
        </w:rPr>
        <w:t>However</w:t>
      </w:r>
      <w:r w:rsidR="003B2B16" w:rsidRPr="00045F85">
        <w:rPr>
          <w:rFonts w:cs="Arial"/>
        </w:rPr>
        <w:t>,</w:t>
      </w:r>
      <w:r w:rsidR="00476DF2" w:rsidRPr="00045F85">
        <w:rPr>
          <w:rFonts w:cs="Arial"/>
        </w:rPr>
        <w:t xml:space="preserve"> the clinical use of SPECT or PET tracers for post-synaptic dopaminergic imaging is currently limited by several factors and has been in many centers replaced by other molecular imaging targets [</w:t>
      </w:r>
      <w:r w:rsidR="007B4B96" w:rsidRPr="00045F85">
        <w:rPr>
          <w:rFonts w:cs="Arial"/>
        </w:rPr>
        <w:t>27, 28</w:t>
      </w:r>
      <w:r w:rsidR="00476DF2" w:rsidRPr="00045F85">
        <w:rPr>
          <w:rFonts w:cs="Arial"/>
        </w:rPr>
        <w:t xml:space="preserve">] (see </w:t>
      </w:r>
      <w:r w:rsidR="00EF5F21" w:rsidRPr="00045F85">
        <w:rPr>
          <w:rFonts w:cs="Arial"/>
        </w:rPr>
        <w:t>section IX</w:t>
      </w:r>
      <w:r w:rsidR="00476DF2" w:rsidRPr="00045F85">
        <w:rPr>
          <w:rFonts w:cs="Arial"/>
        </w:rPr>
        <w:t>).</w:t>
      </w:r>
    </w:p>
    <w:p w14:paraId="3CEA7046" w14:textId="33FDDFB5" w:rsidR="00683F73" w:rsidRPr="00045F85" w:rsidRDefault="00683F73" w:rsidP="00683F73">
      <w:pPr>
        <w:rPr>
          <w:rFonts w:cs="Arial"/>
          <w:iCs/>
        </w:rPr>
      </w:pPr>
      <w:r w:rsidRPr="00045F85">
        <w:rPr>
          <w:rFonts w:cs="Arial"/>
          <w:iCs/>
        </w:rPr>
        <w:t>Less common indication</w:t>
      </w:r>
      <w:r w:rsidR="003B2B16" w:rsidRPr="00045F85">
        <w:rPr>
          <w:rFonts w:cs="Arial"/>
          <w:iCs/>
        </w:rPr>
        <w:t>s</w:t>
      </w:r>
      <w:r w:rsidRPr="00045F85">
        <w:rPr>
          <w:rFonts w:cs="Arial"/>
          <w:iCs/>
        </w:rPr>
        <w:t xml:space="preserve"> for </w:t>
      </w:r>
      <w:r w:rsidR="003B2B16" w:rsidRPr="00045F85">
        <w:rPr>
          <w:rFonts w:cs="Arial"/>
          <w:iCs/>
        </w:rPr>
        <w:t>p</w:t>
      </w:r>
      <w:r w:rsidRPr="00045F85">
        <w:rPr>
          <w:rFonts w:cs="Arial"/>
          <w:iCs/>
        </w:rPr>
        <w:t>ost-synaptic dopaminergic imaging</w:t>
      </w:r>
      <w:r w:rsidR="00D82325" w:rsidRPr="00045F85">
        <w:rPr>
          <w:rFonts w:cs="Arial"/>
          <w:iCs/>
        </w:rPr>
        <w:t xml:space="preserve"> in </w:t>
      </w:r>
      <w:r w:rsidR="001117D9" w:rsidRPr="00045F85">
        <w:rPr>
          <w:rFonts w:cs="Arial"/>
          <w:iCs/>
        </w:rPr>
        <w:t xml:space="preserve">parkinsonian </w:t>
      </w:r>
      <w:r w:rsidR="00D82325" w:rsidRPr="00045F85">
        <w:rPr>
          <w:rFonts w:cs="Arial"/>
          <w:iCs/>
        </w:rPr>
        <w:t>syndromes</w:t>
      </w:r>
      <w:r w:rsidRPr="00045F85">
        <w:rPr>
          <w:rFonts w:cs="Arial"/>
          <w:iCs/>
        </w:rPr>
        <w:t>:</w:t>
      </w:r>
    </w:p>
    <w:p w14:paraId="08E1EF70" w14:textId="746FE37B" w:rsidR="00683F73" w:rsidRPr="00045F85" w:rsidRDefault="00683F73" w:rsidP="00683F73">
      <w:pPr>
        <w:rPr>
          <w:rFonts w:cs="Arial"/>
          <w:iCs/>
        </w:rPr>
      </w:pPr>
      <w:r w:rsidRPr="00045F85">
        <w:rPr>
          <w:rFonts w:cs="Arial"/>
          <w:iCs/>
        </w:rPr>
        <w:t>1. Assessment of the extent of D2 receptor blockade during treatment with dopamine D2 antagonists (neuroleptics)</w:t>
      </w:r>
    </w:p>
    <w:p w14:paraId="5EAB40DA" w14:textId="3D1EF30E" w:rsidR="00683F73" w:rsidRPr="00045F85" w:rsidRDefault="00683F73" w:rsidP="00683F73">
      <w:pPr>
        <w:rPr>
          <w:rFonts w:cs="Arial"/>
          <w:iCs/>
        </w:rPr>
      </w:pPr>
      <w:r w:rsidRPr="00045F85">
        <w:rPr>
          <w:rFonts w:cs="Arial"/>
          <w:iCs/>
        </w:rPr>
        <w:t>2. Wilson’s disease. Loss of striatal D2 receptor function is</w:t>
      </w:r>
      <w:r w:rsidR="003233B0" w:rsidRPr="00045F85">
        <w:rPr>
          <w:rFonts w:cs="Arial"/>
          <w:iCs/>
        </w:rPr>
        <w:t xml:space="preserve"> related </w:t>
      </w:r>
      <w:r w:rsidRPr="00045F85">
        <w:rPr>
          <w:rFonts w:cs="Arial"/>
          <w:iCs/>
        </w:rPr>
        <w:t>to the severity of neurological symptoms in Wilson’s disease and may show the degree of neuronal damage due to cytotoxic copper deposition in the striatum.</w:t>
      </w:r>
    </w:p>
    <w:p w14:paraId="1F04BF8B" w14:textId="69AC01B0" w:rsidR="00957D3B" w:rsidRPr="00045F85" w:rsidRDefault="00957D3B" w:rsidP="004D1C39">
      <w:pPr>
        <w:pStyle w:val="berschrift1"/>
        <w:numPr>
          <w:ilvl w:val="0"/>
          <w:numId w:val="19"/>
        </w:numPr>
        <w:rPr>
          <w:color w:val="auto"/>
        </w:rPr>
      </w:pPr>
      <w:r w:rsidRPr="00045F85">
        <w:rPr>
          <w:color w:val="auto"/>
        </w:rPr>
        <w:t>Qualification and responsibilities of the personnel</w:t>
      </w:r>
    </w:p>
    <w:p w14:paraId="143508A5" w14:textId="3D7A7318" w:rsidR="00EC0236" w:rsidRPr="00045F85" w:rsidRDefault="00EC0236" w:rsidP="00EC0236">
      <w:pPr>
        <w:rPr>
          <w:rFonts w:cs="Arial"/>
        </w:rPr>
      </w:pPr>
      <w:r w:rsidRPr="00045F85">
        <w:rPr>
          <w:rFonts w:cs="Arial"/>
          <w:i/>
        </w:rPr>
        <w:t>Physician</w:t>
      </w:r>
      <w:r w:rsidRPr="00045F85">
        <w:rPr>
          <w:rFonts w:cs="Arial"/>
        </w:rPr>
        <w:t xml:space="preserve">: </w:t>
      </w:r>
      <w:r w:rsidR="006F1A99" w:rsidRPr="00045F85">
        <w:rPr>
          <w:rFonts w:cs="Arial"/>
        </w:rPr>
        <w:t xml:space="preserve">SPECT and </w:t>
      </w:r>
      <w:r w:rsidRPr="00045F85">
        <w:rPr>
          <w:rFonts w:cs="Arial"/>
        </w:rPr>
        <w:t>PET examinations should be perfor</w:t>
      </w:r>
      <w:r w:rsidR="00175E8D" w:rsidRPr="00045F85">
        <w:rPr>
          <w:rFonts w:cs="Arial"/>
        </w:rPr>
        <w:t>med by, or under supervision of</w:t>
      </w:r>
      <w:r w:rsidRPr="00045F85">
        <w:rPr>
          <w:rFonts w:cs="Arial"/>
        </w:rPr>
        <w:t xml:space="preserve"> a physician specialized in nuclear medicine and certified by accrediting boards. In Europe, the certified nuclear medicine physician who </w:t>
      </w:r>
      <w:r w:rsidR="006B43F2" w:rsidRPr="00045F85">
        <w:rPr>
          <w:rFonts w:cs="Arial"/>
        </w:rPr>
        <w:t xml:space="preserve">authorizes </w:t>
      </w:r>
      <w:r w:rsidRPr="00045F85">
        <w:rPr>
          <w:rFonts w:cs="Arial"/>
        </w:rPr>
        <w:t>the study and sign</w:t>
      </w:r>
      <w:r w:rsidR="006B43F2" w:rsidRPr="00045F85">
        <w:rPr>
          <w:rFonts w:cs="Arial"/>
        </w:rPr>
        <w:t>s</w:t>
      </w:r>
      <w:r w:rsidRPr="00045F85">
        <w:rPr>
          <w:rFonts w:cs="Arial"/>
        </w:rPr>
        <w:t xml:space="preserve"> the report is responsible for the procedure, according to national laws and rules. </w:t>
      </w:r>
      <w:r w:rsidR="00235F55" w:rsidRPr="00045F85">
        <w:rPr>
          <w:rFonts w:cs="Arial"/>
        </w:rPr>
        <w:t>For</w:t>
      </w:r>
      <w:r w:rsidRPr="00045F85">
        <w:rPr>
          <w:rFonts w:cs="Arial"/>
        </w:rPr>
        <w:t xml:space="preserve"> the United States, see the SNMMI Guideline for General Imaging (Society of Nuclear Medicine., 2010, http://interactive.snm.org/docs/General_ Imaging_Version_6.0.pdf).</w:t>
      </w:r>
    </w:p>
    <w:p w14:paraId="648E8818" w14:textId="01004A82" w:rsidR="008135D5" w:rsidRPr="00045F85" w:rsidRDefault="008135D5" w:rsidP="008135D5">
      <w:pPr>
        <w:rPr>
          <w:rFonts w:cs="Arial"/>
        </w:rPr>
      </w:pPr>
      <w:r w:rsidRPr="00045F85">
        <w:rPr>
          <w:rFonts w:cs="Arial"/>
          <w:i/>
        </w:rPr>
        <w:t>Technologist</w:t>
      </w:r>
      <w:r w:rsidRPr="00045F85">
        <w:rPr>
          <w:rFonts w:cs="Arial"/>
        </w:rPr>
        <w:t xml:space="preserve">: SPECT and PET examinations should be executed by qualified registered/certified Nuclear Medicine Technologists. Please refer to: Performance Responsibility and Guidelines for Nuclear Medicine Technologists 3.1 and </w:t>
      </w:r>
      <w:hyperlink r:id="rId9" w:history="1">
        <w:r w:rsidRPr="00045F85">
          <w:rPr>
            <w:rStyle w:val="Hyperlink"/>
            <w:rFonts w:cs="Arial"/>
            <w:color w:val="auto"/>
          </w:rPr>
          <w:t>http://www.eanm.org/content-eanm/uploads/2016/11/EANM_2017_TC_Benchmark.pdf</w:t>
        </w:r>
      </w:hyperlink>
      <w:r w:rsidRPr="00045F85">
        <w:rPr>
          <w:rFonts w:cs="Arial"/>
        </w:rPr>
        <w:t xml:space="preserve"> for further</w:t>
      </w:r>
      <w:r w:rsidR="00D4070F" w:rsidRPr="00045F85">
        <w:rPr>
          <w:rFonts w:cs="Arial"/>
        </w:rPr>
        <w:t xml:space="preserve"> details. In some jurisdictions</w:t>
      </w:r>
      <w:r w:rsidRPr="00045F85">
        <w:rPr>
          <w:rFonts w:cs="Arial"/>
        </w:rPr>
        <w:t xml:space="preserve"> there may be additional qualifications necessary for technologists to also operate CT and/or MR components. </w:t>
      </w:r>
    </w:p>
    <w:p w14:paraId="4B07DDA1" w14:textId="63A0720D" w:rsidR="008135D5" w:rsidRPr="00045F85" w:rsidRDefault="008135D5" w:rsidP="008135D5">
      <w:pPr>
        <w:pStyle w:val="Kommentartext"/>
        <w:rPr>
          <w:rFonts w:cs="Arial"/>
        </w:rPr>
      </w:pPr>
      <w:r w:rsidRPr="00045F85">
        <w:rPr>
          <w:rFonts w:cs="Arial"/>
          <w:i/>
        </w:rPr>
        <w:t>Physicist:</w:t>
      </w:r>
      <w:r w:rsidRPr="00045F85">
        <w:rPr>
          <w:rFonts w:cs="Arial"/>
        </w:rPr>
        <w:t xml:space="preserve"> A certified Medical Physics Expert (MPE) is responsible for quality assurance of SPECT and PET systems that are in clinical use and also for </w:t>
      </w:r>
      <w:r w:rsidR="003F20F9" w:rsidRPr="00045F85">
        <w:rPr>
          <w:rFonts w:cs="Arial"/>
        </w:rPr>
        <w:lastRenderedPageBreak/>
        <w:t>identification of</w:t>
      </w:r>
      <w:r w:rsidRPr="00045F85">
        <w:rPr>
          <w:rFonts w:cs="Arial"/>
        </w:rPr>
        <w:t xml:space="preserve"> possible malfunctions of these systems. The MPE is also responsible for the optim</w:t>
      </w:r>
      <w:r w:rsidR="00A60635" w:rsidRPr="00045F85">
        <w:rPr>
          <w:rFonts w:cs="Arial"/>
        </w:rPr>
        <w:t>al implementation of procedures</w:t>
      </w:r>
      <w:r w:rsidRPr="00045F85">
        <w:rPr>
          <w:rFonts w:cs="Arial"/>
        </w:rPr>
        <w:t xml:space="preserve"> </w:t>
      </w:r>
      <w:r w:rsidR="00A60635" w:rsidRPr="00045F85">
        <w:rPr>
          <w:rFonts w:cs="Arial"/>
        </w:rPr>
        <w:t>considering</w:t>
      </w:r>
      <w:r w:rsidRPr="00045F85">
        <w:rPr>
          <w:rFonts w:cs="Arial"/>
        </w:rPr>
        <w:t xml:space="preserve"> national and international radiation protection safety standards, both for patients and for personnel.</w:t>
      </w:r>
    </w:p>
    <w:p w14:paraId="633E9F1E" w14:textId="54920505" w:rsidR="004F17BD" w:rsidRPr="00045F85" w:rsidRDefault="004F17BD" w:rsidP="004D1C39">
      <w:pPr>
        <w:pStyle w:val="berschrift1"/>
        <w:numPr>
          <w:ilvl w:val="0"/>
          <w:numId w:val="19"/>
        </w:numPr>
        <w:rPr>
          <w:color w:val="auto"/>
        </w:rPr>
      </w:pPr>
      <w:r w:rsidRPr="00045F85">
        <w:rPr>
          <w:color w:val="auto"/>
        </w:rPr>
        <w:t>Procedure/specifications of the examination</w:t>
      </w:r>
    </w:p>
    <w:p w14:paraId="5B55D879" w14:textId="77777777" w:rsidR="00AE7A33" w:rsidRPr="00045F85" w:rsidRDefault="00AE7A33" w:rsidP="005B6BA0">
      <w:pPr>
        <w:rPr>
          <w:b/>
          <w:sz w:val="26"/>
          <w:szCs w:val="26"/>
        </w:rPr>
      </w:pPr>
      <w:r w:rsidRPr="00045F85">
        <w:rPr>
          <w:b/>
          <w:sz w:val="26"/>
          <w:szCs w:val="26"/>
        </w:rPr>
        <w:t>Request</w:t>
      </w:r>
      <w:r w:rsidR="00C34CD7" w:rsidRPr="00045F85">
        <w:rPr>
          <w:b/>
          <w:sz w:val="26"/>
          <w:szCs w:val="26"/>
        </w:rPr>
        <w:t>/history</w:t>
      </w:r>
    </w:p>
    <w:p w14:paraId="075E87BB" w14:textId="67D0BF71" w:rsidR="00957D3B" w:rsidRPr="00045F85" w:rsidRDefault="006B25BA" w:rsidP="00957D3B">
      <w:pPr>
        <w:rPr>
          <w:rFonts w:cs="Arial"/>
        </w:rPr>
      </w:pPr>
      <w:r w:rsidRPr="00045F85">
        <w:rPr>
          <w:rFonts w:cs="Arial"/>
        </w:rPr>
        <w:t xml:space="preserve">1. </w:t>
      </w:r>
      <w:r w:rsidR="00957D3B" w:rsidRPr="00045F85">
        <w:rPr>
          <w:rFonts w:cs="Arial"/>
        </w:rPr>
        <w:t xml:space="preserve">The nuclear medicine imaging facility should check with </w:t>
      </w:r>
      <w:r w:rsidR="0054323A" w:rsidRPr="00045F85">
        <w:t>the radiopharmaceutical provider to ensure availability</w:t>
      </w:r>
      <w:r w:rsidR="0054323A" w:rsidRPr="00045F85">
        <w:rPr>
          <w:rFonts w:cs="Arial"/>
        </w:rPr>
        <w:t xml:space="preserve"> </w:t>
      </w:r>
      <w:r w:rsidR="00957D3B" w:rsidRPr="00045F85">
        <w:rPr>
          <w:rFonts w:cs="Arial"/>
        </w:rPr>
        <w:t>before scheduling the exam. Advanced notice may be required for tracer delivery.</w:t>
      </w:r>
    </w:p>
    <w:p w14:paraId="5089C861" w14:textId="77777777" w:rsidR="00C34CD7" w:rsidRPr="00045F85" w:rsidRDefault="006B25BA" w:rsidP="00C34CD7">
      <w:pPr>
        <w:rPr>
          <w:rFonts w:cs="Arial"/>
        </w:rPr>
      </w:pPr>
      <w:r w:rsidRPr="00045F85">
        <w:rPr>
          <w:rFonts w:cs="Arial"/>
        </w:rPr>
        <w:t xml:space="preserve">2. </w:t>
      </w:r>
      <w:r w:rsidR="00C34CD7" w:rsidRPr="00045F85">
        <w:rPr>
          <w:rFonts w:cs="Arial"/>
        </w:rPr>
        <w:t>The requisition should include a brief description of symptoms and the clinical question. Information should be obtained regarding the following:</w:t>
      </w:r>
    </w:p>
    <w:p w14:paraId="50D91AF6" w14:textId="12749CB8" w:rsidR="00C34CD7" w:rsidRPr="00045F85" w:rsidRDefault="006B25BA" w:rsidP="00C34CD7">
      <w:pPr>
        <w:rPr>
          <w:rFonts w:cs="Arial"/>
        </w:rPr>
      </w:pPr>
      <w:r w:rsidRPr="00045F85">
        <w:rPr>
          <w:rFonts w:cs="Arial"/>
        </w:rPr>
        <w:t>a</w:t>
      </w:r>
      <w:r w:rsidR="00C34CD7" w:rsidRPr="00045F85">
        <w:rPr>
          <w:rFonts w:cs="Arial"/>
        </w:rPr>
        <w:t xml:space="preserve">. Past or current </w:t>
      </w:r>
      <w:r w:rsidR="00F87D14" w:rsidRPr="00045F85">
        <w:rPr>
          <w:rFonts w:cs="Arial"/>
        </w:rPr>
        <w:t xml:space="preserve">recreational </w:t>
      </w:r>
      <w:r w:rsidR="00C34CD7" w:rsidRPr="00045F85">
        <w:rPr>
          <w:rFonts w:cs="Arial"/>
        </w:rPr>
        <w:t>drug use, head trauma, stroke, psychiatric illness, epilepsy, or tumor.</w:t>
      </w:r>
    </w:p>
    <w:p w14:paraId="33EC3485" w14:textId="533F7EBC" w:rsidR="00C34CD7" w:rsidRPr="00045F85" w:rsidRDefault="006B25BA" w:rsidP="00C34CD7">
      <w:pPr>
        <w:rPr>
          <w:rFonts w:cs="Arial"/>
        </w:rPr>
      </w:pPr>
      <w:r w:rsidRPr="00045F85">
        <w:rPr>
          <w:rFonts w:cs="Arial"/>
        </w:rPr>
        <w:t>b</w:t>
      </w:r>
      <w:r w:rsidR="00C34CD7" w:rsidRPr="00045F85">
        <w:rPr>
          <w:rFonts w:cs="Arial"/>
        </w:rPr>
        <w:t xml:space="preserve">. Neurologic symptoms: </w:t>
      </w:r>
      <w:r w:rsidR="007145FF" w:rsidRPr="00045F85">
        <w:rPr>
          <w:rFonts w:cs="Arial"/>
        </w:rPr>
        <w:t>type</w:t>
      </w:r>
      <w:r w:rsidR="00C34CD7" w:rsidRPr="00045F85">
        <w:rPr>
          <w:rFonts w:cs="Arial"/>
        </w:rPr>
        <w:t>, duration, and left</w:t>
      </w:r>
      <w:r w:rsidR="007C6E11" w:rsidRPr="00045F85">
        <w:rPr>
          <w:rFonts w:cs="Arial"/>
        </w:rPr>
        <w:t>- or right-</w:t>
      </w:r>
      <w:r w:rsidR="00C34CD7" w:rsidRPr="00045F85">
        <w:rPr>
          <w:rFonts w:cs="Arial"/>
        </w:rPr>
        <w:t>sidedness.</w:t>
      </w:r>
    </w:p>
    <w:p w14:paraId="07A7B467" w14:textId="77777777" w:rsidR="00C34CD7" w:rsidRPr="00045F85" w:rsidRDefault="006B25BA" w:rsidP="00C34CD7">
      <w:pPr>
        <w:rPr>
          <w:rFonts w:cs="Arial"/>
        </w:rPr>
      </w:pPr>
      <w:r w:rsidRPr="00045F85">
        <w:rPr>
          <w:rFonts w:cs="Arial"/>
        </w:rPr>
        <w:t>c</w:t>
      </w:r>
      <w:r w:rsidR="00C34CD7" w:rsidRPr="00045F85">
        <w:rPr>
          <w:rFonts w:cs="Arial"/>
        </w:rPr>
        <w:t>. Current medications and when last taken.</w:t>
      </w:r>
    </w:p>
    <w:p w14:paraId="63D40EB9" w14:textId="6B2DE51E" w:rsidR="00807F16" w:rsidRPr="00045F85" w:rsidRDefault="006B25BA" w:rsidP="00C34CD7">
      <w:r w:rsidRPr="00045F85">
        <w:rPr>
          <w:rFonts w:cs="Arial"/>
        </w:rPr>
        <w:t>d</w:t>
      </w:r>
      <w:r w:rsidR="00C34CD7" w:rsidRPr="00045F85">
        <w:rPr>
          <w:rFonts w:cs="Arial"/>
        </w:rPr>
        <w:t xml:space="preserve">. Patient’s ability to lie still </w:t>
      </w:r>
      <w:r w:rsidR="005A27AE" w:rsidRPr="00045F85">
        <w:rPr>
          <w:rFonts w:cs="Arial"/>
        </w:rPr>
        <w:t xml:space="preserve">for approximately 30–45 min </w:t>
      </w:r>
      <w:r w:rsidR="00807F16" w:rsidRPr="00045F85">
        <w:t>"(for SPECT imaging with [</w:t>
      </w:r>
      <w:r w:rsidR="008B2E59" w:rsidRPr="00045F85">
        <w:rPr>
          <w:rFonts w:cs="Arial"/>
          <w:vertAlign w:val="superscript"/>
          <w:lang w:val="nl-NL"/>
        </w:rPr>
        <w:t>123</w:t>
      </w:r>
      <w:r w:rsidR="008B2E59" w:rsidRPr="00045F85">
        <w:rPr>
          <w:rFonts w:cs="Arial"/>
          <w:lang w:val="nl-NL"/>
        </w:rPr>
        <w:t>I</w:t>
      </w:r>
      <w:r w:rsidR="00807F16" w:rsidRPr="00045F85">
        <w:t xml:space="preserve">]FP-CIT). </w:t>
      </w:r>
    </w:p>
    <w:p w14:paraId="3EADC041" w14:textId="5945ADB1" w:rsidR="00C34CD7" w:rsidRPr="00045F85" w:rsidRDefault="006B25BA" w:rsidP="00C34CD7">
      <w:pPr>
        <w:rPr>
          <w:rFonts w:cs="Arial"/>
        </w:rPr>
      </w:pPr>
      <w:r w:rsidRPr="00045F85">
        <w:rPr>
          <w:rFonts w:cs="Arial"/>
        </w:rPr>
        <w:t>e</w:t>
      </w:r>
      <w:r w:rsidR="00C34CD7" w:rsidRPr="00045F85">
        <w:rPr>
          <w:rFonts w:cs="Arial"/>
        </w:rPr>
        <w:t>. Prior brain imaging studies (e.g., CT, MRI, PET,</w:t>
      </w:r>
      <w:r w:rsidR="00001EB5" w:rsidRPr="00045F85">
        <w:rPr>
          <w:rFonts w:cs="Arial"/>
        </w:rPr>
        <w:t xml:space="preserve"> </w:t>
      </w:r>
      <w:r w:rsidR="00C34CD7" w:rsidRPr="00045F85">
        <w:rPr>
          <w:rFonts w:cs="Arial"/>
        </w:rPr>
        <w:t>and SPECT).</w:t>
      </w:r>
    </w:p>
    <w:p w14:paraId="2AB54EB0" w14:textId="77777777" w:rsidR="0038494D" w:rsidRPr="00045F85" w:rsidRDefault="0038494D" w:rsidP="005B6BA0">
      <w:pPr>
        <w:rPr>
          <w:b/>
        </w:rPr>
      </w:pPr>
      <w:r w:rsidRPr="00045F85">
        <w:rPr>
          <w:b/>
        </w:rPr>
        <w:t>Radiopharmaceuticals</w:t>
      </w:r>
    </w:p>
    <w:p w14:paraId="08987DF3" w14:textId="77777777" w:rsidR="00F50E88" w:rsidRPr="00045F85" w:rsidRDefault="00F50E88" w:rsidP="00AB662C">
      <w:pPr>
        <w:rPr>
          <w:i/>
        </w:rPr>
      </w:pPr>
      <w:r w:rsidRPr="00045F85">
        <w:rPr>
          <w:i/>
        </w:rPr>
        <w:t>Presynaptic tracers</w:t>
      </w:r>
    </w:p>
    <w:p w14:paraId="5D2475BE" w14:textId="665F2BC6" w:rsidR="00A20099" w:rsidRPr="00045F85" w:rsidRDefault="00A20099" w:rsidP="005865A9">
      <w:pPr>
        <w:jc w:val="left"/>
        <w:rPr>
          <w:rFonts w:cs="Arial"/>
          <w:lang w:val="nl-NL"/>
        </w:rPr>
      </w:pPr>
      <w:r w:rsidRPr="00045F85">
        <w:rPr>
          <w:rFonts w:cs="Arial"/>
          <w:lang w:val="nl-NL"/>
        </w:rPr>
        <w:t>– [</w:t>
      </w:r>
      <w:r w:rsidRPr="00045F85">
        <w:rPr>
          <w:rFonts w:cs="Arial"/>
          <w:vertAlign w:val="superscript"/>
          <w:lang w:val="nl-NL"/>
        </w:rPr>
        <w:t>123</w:t>
      </w:r>
      <w:r w:rsidRPr="00045F85">
        <w:rPr>
          <w:rFonts w:cs="Arial"/>
          <w:lang w:val="nl-NL"/>
        </w:rPr>
        <w:t>I]β-CIT: 2β-carboxymethoxy-3β-(4-</w:t>
      </w:r>
      <w:r w:rsidR="00466CA6" w:rsidRPr="00045F85">
        <w:rPr>
          <w:rFonts w:cs="Arial"/>
          <w:lang w:val="nl-NL"/>
        </w:rPr>
        <w:t>[</w:t>
      </w:r>
      <w:r w:rsidR="00466CA6" w:rsidRPr="00045F85">
        <w:rPr>
          <w:rFonts w:cs="Arial"/>
          <w:vertAlign w:val="superscript"/>
          <w:lang w:val="nl-NL"/>
        </w:rPr>
        <w:t>123</w:t>
      </w:r>
      <w:r w:rsidR="00466CA6" w:rsidRPr="00045F85">
        <w:rPr>
          <w:rFonts w:cs="Arial"/>
          <w:lang w:val="nl-NL"/>
        </w:rPr>
        <w:t>I]</w:t>
      </w:r>
      <w:r w:rsidRPr="00045F85">
        <w:rPr>
          <w:rFonts w:cs="Arial"/>
          <w:lang w:val="nl-NL"/>
        </w:rPr>
        <w:t>iodophenyl)tropane.</w:t>
      </w:r>
      <w:r w:rsidR="001854AD" w:rsidRPr="00045F85">
        <w:rPr>
          <w:rFonts w:cs="Arial"/>
          <w:lang w:val="nl-NL"/>
        </w:rPr>
        <w:t xml:space="preserve"> </w:t>
      </w:r>
    </w:p>
    <w:p w14:paraId="5AC5E924" w14:textId="77777777" w:rsidR="00F50E88" w:rsidRPr="00045F85" w:rsidRDefault="00F50E88" w:rsidP="00A20099">
      <w:pPr>
        <w:spacing w:after="0"/>
        <w:ind w:left="708"/>
        <w:rPr>
          <w:rFonts w:cs="Arial"/>
          <w:lang w:val="nl-NL"/>
        </w:rPr>
      </w:pPr>
    </w:p>
    <w:p w14:paraId="5346F057" w14:textId="62DD605C" w:rsidR="002D0FBA" w:rsidRPr="00045F85" w:rsidRDefault="002D0FBA" w:rsidP="0027187A">
      <w:pPr>
        <w:spacing w:after="0"/>
        <w:rPr>
          <w:rFonts w:cs="Arial"/>
          <w:lang w:val="nl-NL"/>
        </w:rPr>
      </w:pPr>
      <w:r w:rsidRPr="00045F85">
        <w:rPr>
          <w:rFonts w:cs="Arial"/>
          <w:lang w:val="nl-NL"/>
        </w:rPr>
        <w:t>–[</w:t>
      </w:r>
      <w:r w:rsidRPr="00045F85">
        <w:rPr>
          <w:rFonts w:cs="Arial"/>
          <w:vertAlign w:val="superscript"/>
          <w:lang w:val="nl-NL"/>
        </w:rPr>
        <w:t>123</w:t>
      </w:r>
      <w:r w:rsidRPr="00045F85">
        <w:rPr>
          <w:rFonts w:cs="Arial"/>
          <w:lang w:val="nl-NL"/>
        </w:rPr>
        <w:t>I]FP-CIT:</w:t>
      </w:r>
      <w:r w:rsidR="008B14B4" w:rsidRPr="00045F85" w:rsidDel="008B14B4">
        <w:rPr>
          <w:rFonts w:cs="Arial"/>
          <w:lang w:val="nl-NL"/>
        </w:rPr>
        <w:t xml:space="preserve"> </w:t>
      </w:r>
      <w:r w:rsidRPr="00045F85">
        <w:rPr>
          <w:rFonts w:cs="Arial"/>
          <w:lang w:val="nl-NL"/>
        </w:rPr>
        <w:t>N-</w:t>
      </w:r>
      <w:r w:rsidR="008B14B4" w:rsidRPr="00045F85">
        <w:rPr>
          <w:rFonts w:cs="Arial"/>
          <w:lang w:val="nl-NL"/>
        </w:rPr>
        <w:t>3</w:t>
      </w:r>
      <w:r w:rsidRPr="00045F85">
        <w:rPr>
          <w:rFonts w:cs="Arial"/>
          <w:lang w:val="nl-NL"/>
        </w:rPr>
        <w:t>-fluoropropyl-2β-carbomethoxy-3β-(4</w:t>
      </w:r>
      <w:r w:rsidR="008B14B4" w:rsidRPr="00045F85">
        <w:rPr>
          <w:rFonts w:cs="Arial"/>
          <w:lang w:val="nl-NL"/>
        </w:rPr>
        <w:t>-[</w:t>
      </w:r>
      <w:r w:rsidR="008B14B4" w:rsidRPr="00045F85">
        <w:rPr>
          <w:rFonts w:cs="Arial"/>
          <w:vertAlign w:val="superscript"/>
          <w:lang w:val="nl-NL"/>
        </w:rPr>
        <w:t>123</w:t>
      </w:r>
      <w:r w:rsidR="008B14B4" w:rsidRPr="00045F85">
        <w:rPr>
          <w:rFonts w:cs="Arial"/>
          <w:lang w:val="nl-NL"/>
        </w:rPr>
        <w:t>I]</w:t>
      </w:r>
      <w:r w:rsidR="00456A19" w:rsidRPr="00045F85">
        <w:rPr>
          <w:rFonts w:cs="Arial"/>
          <w:lang w:val="nl-NL"/>
        </w:rPr>
        <w:t>iodophenyl)nortropane</w:t>
      </w:r>
      <w:r w:rsidR="00413270" w:rsidRPr="00045F85">
        <w:rPr>
          <w:rFonts w:cs="Arial"/>
          <w:lang w:val="nl-NL"/>
        </w:rPr>
        <w:t xml:space="preserve"> (</w:t>
      </w:r>
      <w:r w:rsidR="003B4309" w:rsidRPr="00045F85">
        <w:rPr>
          <w:rFonts w:cs="Arial"/>
          <w:vertAlign w:val="superscript"/>
          <w:lang w:val="nl-NL"/>
        </w:rPr>
        <w:t>[123I]</w:t>
      </w:r>
      <w:r w:rsidR="00456A19" w:rsidRPr="00045F85">
        <w:rPr>
          <w:rFonts w:cs="Arial"/>
          <w:lang w:val="nl-NL"/>
        </w:rPr>
        <w:t>-</w:t>
      </w:r>
      <w:r w:rsidRPr="00045F85">
        <w:rPr>
          <w:rFonts w:cs="Arial"/>
          <w:lang w:val="nl-NL"/>
        </w:rPr>
        <w:t>ioflupane</w:t>
      </w:r>
      <w:r w:rsidR="00413270" w:rsidRPr="00045F85">
        <w:rPr>
          <w:rFonts w:cs="Arial"/>
          <w:lang w:val="nl-NL"/>
        </w:rPr>
        <w:t>)</w:t>
      </w:r>
    </w:p>
    <w:p w14:paraId="2BAB9B68" w14:textId="77777777" w:rsidR="009812B1" w:rsidRPr="00045F85" w:rsidRDefault="009812B1" w:rsidP="009812B1">
      <w:pPr>
        <w:rPr>
          <w:rFonts w:cs="Arial"/>
          <w:lang w:val="nl-NL"/>
        </w:rPr>
      </w:pPr>
    </w:p>
    <w:p w14:paraId="2FD029D5" w14:textId="05A34D2D" w:rsidR="008B14B4" w:rsidRPr="00045F85" w:rsidRDefault="0027187A" w:rsidP="008B14B4">
      <w:pPr>
        <w:jc w:val="left"/>
        <w:rPr>
          <w:rFonts w:eastAsia="Times New Roman" w:cs="Arial"/>
          <w:lang w:val="nl-NL" w:eastAsia="es-ES_tradnl"/>
        </w:rPr>
      </w:pPr>
      <w:r w:rsidRPr="00045F85">
        <w:rPr>
          <w:rFonts w:cs="Arial"/>
          <w:lang w:val="nl-NL"/>
        </w:rPr>
        <w:t xml:space="preserve">–  </w:t>
      </w:r>
      <w:r w:rsidR="00A7684F" w:rsidRPr="00045F85">
        <w:rPr>
          <w:rFonts w:cs="Arial"/>
          <w:lang w:val="nl-NL"/>
        </w:rPr>
        <w:t>[</w:t>
      </w:r>
      <w:r w:rsidR="00A7684F" w:rsidRPr="00045F85">
        <w:rPr>
          <w:rFonts w:cs="Arial"/>
          <w:vertAlign w:val="superscript"/>
          <w:lang w:val="nl-NL"/>
        </w:rPr>
        <w:t>99m</w:t>
      </w:r>
      <w:r w:rsidR="00A7684F" w:rsidRPr="00045F85">
        <w:rPr>
          <w:rFonts w:cs="Arial"/>
          <w:lang w:val="nl-NL"/>
        </w:rPr>
        <w:t>Tc]</w:t>
      </w:r>
      <w:r w:rsidR="00A7684F" w:rsidRPr="00045F85">
        <w:rPr>
          <w:rStyle w:val="highlight"/>
          <w:rFonts w:cs="Arial"/>
          <w:lang w:val="nl-NL"/>
        </w:rPr>
        <w:t>TRODAT</w:t>
      </w:r>
      <w:r w:rsidR="008B14B4" w:rsidRPr="00045F85">
        <w:rPr>
          <w:rStyle w:val="highlight"/>
          <w:rFonts w:cs="Arial"/>
          <w:lang w:val="nl-NL"/>
        </w:rPr>
        <w:t>-1: [2[[2-[[[3-(4-chlorophenyl)-8-methyl-8-azabicyclo[3,2,1]-oct-2-yl]-methyl](2-mercaptoethyl)amino]ethyl]amino]ethanethiolato(3-)-N2,N2’,S2,S2]oxo-[1R-exo-exo)])- [99mTc]-technetium</w:t>
      </w:r>
    </w:p>
    <w:p w14:paraId="0FB18F27" w14:textId="77777777" w:rsidR="002D0FBA" w:rsidRPr="00045F85" w:rsidRDefault="002D0FBA" w:rsidP="0027187A">
      <w:pPr>
        <w:spacing w:after="0"/>
        <w:rPr>
          <w:rFonts w:cs="Arial"/>
          <w:lang w:val="nl-NL"/>
        </w:rPr>
      </w:pPr>
    </w:p>
    <w:p w14:paraId="29CD8863" w14:textId="18CBA5D3" w:rsidR="002D0FBA" w:rsidRPr="00045F85" w:rsidRDefault="0027187A" w:rsidP="0027187A">
      <w:pPr>
        <w:spacing w:after="0"/>
        <w:rPr>
          <w:rFonts w:cs="Arial"/>
          <w:lang w:val="nl-NL"/>
        </w:rPr>
      </w:pPr>
      <w:r w:rsidRPr="00045F85">
        <w:rPr>
          <w:rFonts w:cs="Arial"/>
          <w:lang w:val="nl-NL"/>
        </w:rPr>
        <w:t>–</w:t>
      </w:r>
      <w:r w:rsidR="002D0FBA" w:rsidRPr="00045F85">
        <w:rPr>
          <w:rFonts w:cs="Arial"/>
          <w:lang w:val="nl-NL"/>
        </w:rPr>
        <w:t xml:space="preserve"> </w:t>
      </w:r>
      <w:r w:rsidR="00C4056C" w:rsidRPr="00045F85">
        <w:rPr>
          <w:rFonts w:cs="Arial"/>
          <w:lang w:val="nl-NL"/>
        </w:rPr>
        <w:t>[</w:t>
      </w:r>
      <w:r w:rsidR="00C4056C" w:rsidRPr="00045F85">
        <w:rPr>
          <w:rFonts w:cs="Arial"/>
          <w:vertAlign w:val="superscript"/>
          <w:lang w:val="nl-NL"/>
        </w:rPr>
        <w:t>18</w:t>
      </w:r>
      <w:r w:rsidR="00C4056C" w:rsidRPr="00045F85">
        <w:rPr>
          <w:rFonts w:cs="Arial"/>
          <w:lang w:val="nl-NL"/>
        </w:rPr>
        <w:t xml:space="preserve">F]fluorodopa: </w:t>
      </w:r>
      <w:r w:rsidR="002D0FBA" w:rsidRPr="00045F85">
        <w:rPr>
          <w:rFonts w:cs="Arial"/>
          <w:lang w:val="nl-NL"/>
        </w:rPr>
        <w:t>3,4-dihydroxy-6-[</w:t>
      </w:r>
      <w:r w:rsidR="002D0FBA" w:rsidRPr="00045F85">
        <w:rPr>
          <w:rFonts w:cs="Arial"/>
          <w:vertAlign w:val="superscript"/>
          <w:lang w:val="nl-NL"/>
        </w:rPr>
        <w:t>18</w:t>
      </w:r>
      <w:r w:rsidR="002D0FBA" w:rsidRPr="00045F85">
        <w:rPr>
          <w:rFonts w:cs="Arial"/>
          <w:lang w:val="nl-NL"/>
        </w:rPr>
        <w:t>F]fluoro-L-phenylalanine</w:t>
      </w:r>
      <w:r w:rsidR="00913075" w:rsidRPr="00045F85">
        <w:rPr>
          <w:rFonts w:cs="Arial"/>
          <w:lang w:val="nl-NL"/>
        </w:rPr>
        <w:t>;</w:t>
      </w:r>
      <w:r w:rsidR="008B14B4" w:rsidRPr="00045F85">
        <w:rPr>
          <w:rFonts w:cs="Arial"/>
          <w:lang w:val="nl-NL"/>
        </w:rPr>
        <w:t xml:space="preserve"> </w:t>
      </w:r>
    </w:p>
    <w:p w14:paraId="4CF600CD" w14:textId="77777777" w:rsidR="002D0FBA" w:rsidRPr="00045F85" w:rsidRDefault="002D0FBA" w:rsidP="002D0FBA">
      <w:pPr>
        <w:spacing w:after="0"/>
        <w:ind w:left="708"/>
        <w:rPr>
          <w:rFonts w:cs="Arial"/>
          <w:lang w:val="nl-NL"/>
        </w:rPr>
      </w:pPr>
    </w:p>
    <w:p w14:paraId="616B6A90" w14:textId="064887B3" w:rsidR="0008593F" w:rsidRPr="00045F85" w:rsidRDefault="0008593F" w:rsidP="005865A9">
      <w:pPr>
        <w:jc w:val="left"/>
        <w:rPr>
          <w:rFonts w:cs="Arial"/>
          <w:lang w:val="nl-NL"/>
        </w:rPr>
      </w:pPr>
      <w:r w:rsidRPr="00045F85">
        <w:rPr>
          <w:rFonts w:cs="Arial"/>
          <w:lang w:val="nl-NL"/>
        </w:rPr>
        <w:t xml:space="preserve">– </w:t>
      </w:r>
      <w:r w:rsidR="005560EB" w:rsidRPr="00045F85">
        <w:rPr>
          <w:rFonts w:cs="Arial"/>
          <w:lang w:val="nl-NL"/>
        </w:rPr>
        <w:t>[</w:t>
      </w:r>
      <w:r w:rsidR="002D0FBA" w:rsidRPr="00045F85">
        <w:rPr>
          <w:rFonts w:cs="Arial"/>
          <w:vertAlign w:val="superscript"/>
          <w:lang w:val="nl-NL"/>
        </w:rPr>
        <w:t>11</w:t>
      </w:r>
      <w:r w:rsidR="002D0FBA" w:rsidRPr="00045F85">
        <w:rPr>
          <w:rFonts w:cs="Arial"/>
          <w:lang w:val="nl-NL"/>
        </w:rPr>
        <w:t>C</w:t>
      </w:r>
      <w:r w:rsidR="005560EB" w:rsidRPr="00045F85">
        <w:rPr>
          <w:rFonts w:cs="Arial"/>
          <w:lang w:val="nl-NL"/>
        </w:rPr>
        <w:t>]</w:t>
      </w:r>
      <w:r w:rsidR="002D0FBA" w:rsidRPr="00045F85">
        <w:rPr>
          <w:rFonts w:cs="Arial"/>
          <w:lang w:val="nl-NL"/>
        </w:rPr>
        <w:t>-PE2I)</w:t>
      </w:r>
      <w:r w:rsidR="00BE06B6" w:rsidRPr="00045F85">
        <w:rPr>
          <w:rFonts w:cs="Arial"/>
          <w:shd w:val="clear" w:color="auto" w:fill="FFFFFF"/>
          <w:lang w:val="nl-NL"/>
        </w:rPr>
        <w:t xml:space="preserve"> </w:t>
      </w:r>
      <w:r w:rsidR="00BE06B6" w:rsidRPr="00045F85">
        <w:rPr>
          <w:rFonts w:eastAsia="Times New Roman" w:cs="Arial"/>
          <w:shd w:val="clear" w:color="auto" w:fill="FFFFFF"/>
          <w:lang w:val="nl-NL" w:eastAsia="es-ES_tradnl"/>
        </w:rPr>
        <w:t>N</w:t>
      </w:r>
      <w:r w:rsidR="00BE06B6" w:rsidRPr="00045F85">
        <w:rPr>
          <w:rFonts w:ascii="Cambria Math" w:eastAsia="Times New Roman" w:hAnsi="Cambria Math" w:cs="Cambria Math"/>
          <w:shd w:val="clear" w:color="auto" w:fill="FFFFFF"/>
          <w:lang w:val="nl-NL" w:eastAsia="es-ES_tradnl"/>
        </w:rPr>
        <w:t>‐</w:t>
      </w:r>
      <w:r w:rsidR="00BE06B6" w:rsidRPr="00045F85">
        <w:rPr>
          <w:rFonts w:eastAsia="Times New Roman" w:cs="Arial"/>
          <w:shd w:val="clear" w:color="auto" w:fill="FFFFFF"/>
          <w:lang w:val="nl-NL" w:eastAsia="es-ES_tradnl"/>
        </w:rPr>
        <w:t>(3</w:t>
      </w:r>
      <w:r w:rsidR="00BE06B6" w:rsidRPr="00045F85">
        <w:rPr>
          <w:rFonts w:ascii="Cambria Math" w:eastAsia="Times New Roman" w:hAnsi="Cambria Math" w:cs="Cambria Math"/>
          <w:shd w:val="clear" w:color="auto" w:fill="FFFFFF"/>
          <w:lang w:val="nl-NL" w:eastAsia="es-ES_tradnl"/>
        </w:rPr>
        <w:t>‐</w:t>
      </w:r>
      <w:r w:rsidR="00BE06B6" w:rsidRPr="00045F85">
        <w:rPr>
          <w:rFonts w:eastAsia="Times New Roman" w:cs="Arial"/>
          <w:shd w:val="clear" w:color="auto" w:fill="FFFFFF"/>
          <w:lang w:val="nl-NL" w:eastAsia="es-ES_tradnl"/>
        </w:rPr>
        <w:t>iodopro</w:t>
      </w:r>
      <w:r w:rsidR="00BE06B6" w:rsidRPr="00045F85">
        <w:rPr>
          <w:rFonts w:ascii="Cambria Math" w:eastAsia="Times New Roman" w:hAnsi="Cambria Math" w:cs="Cambria Math"/>
          <w:shd w:val="clear" w:color="auto" w:fill="FFFFFF"/>
          <w:lang w:val="nl-NL" w:eastAsia="es-ES_tradnl"/>
        </w:rPr>
        <w:t>‐</w:t>
      </w:r>
      <w:r w:rsidR="00BE06B6" w:rsidRPr="00045F85">
        <w:rPr>
          <w:rFonts w:eastAsia="Times New Roman" w:cs="Arial"/>
          <w:shd w:val="clear" w:color="auto" w:fill="FFFFFF"/>
          <w:lang w:val="nl-NL" w:eastAsia="es-ES_tradnl"/>
        </w:rPr>
        <w:t>2</w:t>
      </w:r>
      <w:r w:rsidR="00BE06B6" w:rsidRPr="00045F85">
        <w:rPr>
          <w:rFonts w:eastAsia="Times New Roman" w:cs="Arial"/>
          <w:i/>
          <w:iCs/>
          <w:shd w:val="clear" w:color="auto" w:fill="FFFFFF"/>
          <w:lang w:val="nl-NL" w:eastAsia="es-ES_tradnl"/>
        </w:rPr>
        <w:t>E</w:t>
      </w:r>
      <w:r w:rsidR="00BE06B6" w:rsidRPr="00045F85">
        <w:rPr>
          <w:rFonts w:ascii="Cambria Math" w:eastAsia="Times New Roman" w:hAnsi="Cambria Math" w:cs="Cambria Math"/>
          <w:shd w:val="clear" w:color="auto" w:fill="FFFFFF"/>
          <w:lang w:val="nl-NL" w:eastAsia="es-ES_tradnl"/>
        </w:rPr>
        <w:t>‐</w:t>
      </w:r>
      <w:r w:rsidR="00BE06B6" w:rsidRPr="00045F85">
        <w:rPr>
          <w:rFonts w:eastAsia="Times New Roman" w:cs="Arial"/>
          <w:shd w:val="clear" w:color="auto" w:fill="FFFFFF"/>
          <w:lang w:val="nl-NL" w:eastAsia="es-ES_tradnl"/>
        </w:rPr>
        <w:t>enyl)</w:t>
      </w:r>
      <w:r w:rsidR="00BE06B6" w:rsidRPr="00045F85">
        <w:rPr>
          <w:rFonts w:ascii="Cambria Math" w:eastAsia="Times New Roman" w:hAnsi="Cambria Math" w:cs="Cambria Math"/>
          <w:shd w:val="clear" w:color="auto" w:fill="FFFFFF"/>
          <w:lang w:val="nl-NL" w:eastAsia="es-ES_tradnl"/>
        </w:rPr>
        <w:t>‐</w:t>
      </w:r>
      <w:r w:rsidR="00BE06B6" w:rsidRPr="00045F85">
        <w:rPr>
          <w:rFonts w:eastAsia="Times New Roman" w:cs="Arial"/>
          <w:shd w:val="clear" w:color="auto" w:fill="FFFFFF"/>
          <w:lang w:val="nl-NL" w:eastAsia="es-ES_tradnl"/>
        </w:rPr>
        <w:t>2</w:t>
      </w:r>
      <w:r w:rsidR="00BE06B6" w:rsidRPr="00045F85">
        <w:rPr>
          <w:rFonts w:eastAsia="Times New Roman" w:cs="Arial"/>
          <w:shd w:val="clear" w:color="auto" w:fill="FFFFFF"/>
          <w:lang w:val="es-ES" w:eastAsia="es-ES_tradnl"/>
        </w:rPr>
        <w:t>β</w:t>
      </w:r>
      <w:r w:rsidR="00BE06B6" w:rsidRPr="00045F85">
        <w:rPr>
          <w:rFonts w:ascii="Cambria Math" w:eastAsia="Times New Roman" w:hAnsi="Cambria Math" w:cs="Cambria Math"/>
          <w:shd w:val="clear" w:color="auto" w:fill="FFFFFF"/>
          <w:lang w:val="nl-NL" w:eastAsia="es-ES_tradnl"/>
        </w:rPr>
        <w:t>‐</w:t>
      </w:r>
      <w:r w:rsidR="00BE06B6" w:rsidRPr="00045F85">
        <w:rPr>
          <w:rFonts w:eastAsia="Times New Roman" w:cs="Arial"/>
          <w:shd w:val="clear" w:color="auto" w:fill="FFFFFF"/>
          <w:lang w:val="nl-NL" w:eastAsia="es-ES_tradnl"/>
        </w:rPr>
        <w:t>carbo</w:t>
      </w:r>
      <w:r w:rsidR="005560EB" w:rsidRPr="00045F85">
        <w:rPr>
          <w:rFonts w:eastAsia="Times New Roman" w:cs="Arial"/>
          <w:shd w:val="clear" w:color="auto" w:fill="FFFFFF"/>
          <w:lang w:val="nl-NL" w:eastAsia="es-ES_tradnl"/>
        </w:rPr>
        <w:t>[</w:t>
      </w:r>
      <w:r w:rsidR="005560EB" w:rsidRPr="00045F85">
        <w:rPr>
          <w:rFonts w:eastAsia="Times New Roman" w:cs="Arial"/>
          <w:shd w:val="clear" w:color="auto" w:fill="FFFFFF"/>
          <w:vertAlign w:val="superscript"/>
          <w:lang w:val="nl-NL" w:eastAsia="es-ES_tradnl"/>
        </w:rPr>
        <w:t>11</w:t>
      </w:r>
      <w:r w:rsidR="005560EB" w:rsidRPr="00045F85">
        <w:rPr>
          <w:rFonts w:eastAsia="Times New Roman" w:cs="Arial"/>
          <w:shd w:val="clear" w:color="auto" w:fill="FFFFFF"/>
          <w:lang w:val="nl-NL" w:eastAsia="es-ES_tradnl"/>
        </w:rPr>
        <w:t>C]</w:t>
      </w:r>
      <w:r w:rsidR="00BE06B6" w:rsidRPr="00045F85">
        <w:rPr>
          <w:rFonts w:eastAsia="Times New Roman" w:cs="Arial"/>
          <w:shd w:val="clear" w:color="auto" w:fill="FFFFFF"/>
          <w:lang w:val="nl-NL" w:eastAsia="es-ES_tradnl"/>
        </w:rPr>
        <w:t>methoxy</w:t>
      </w:r>
      <w:r w:rsidR="00BE06B6" w:rsidRPr="00045F85">
        <w:rPr>
          <w:rFonts w:ascii="Cambria Math" w:eastAsia="Times New Roman" w:hAnsi="Cambria Math" w:cs="Cambria Math"/>
          <w:shd w:val="clear" w:color="auto" w:fill="FFFFFF"/>
          <w:lang w:val="nl-NL" w:eastAsia="es-ES_tradnl"/>
        </w:rPr>
        <w:t>‐</w:t>
      </w:r>
      <w:r w:rsidR="00BE06B6" w:rsidRPr="00045F85">
        <w:rPr>
          <w:rFonts w:eastAsia="Times New Roman" w:cs="Arial"/>
          <w:shd w:val="clear" w:color="auto" w:fill="FFFFFF"/>
          <w:lang w:val="nl-NL" w:eastAsia="es-ES_tradnl"/>
        </w:rPr>
        <w:t>3</w:t>
      </w:r>
      <w:r w:rsidR="00BE06B6" w:rsidRPr="00045F85">
        <w:rPr>
          <w:rFonts w:eastAsia="Times New Roman" w:cs="Arial"/>
          <w:shd w:val="clear" w:color="auto" w:fill="FFFFFF"/>
          <w:lang w:val="es-ES" w:eastAsia="es-ES_tradnl"/>
        </w:rPr>
        <w:t>β</w:t>
      </w:r>
      <w:r w:rsidR="00BE06B6" w:rsidRPr="00045F85">
        <w:rPr>
          <w:rFonts w:ascii="Cambria Math" w:eastAsia="Times New Roman" w:hAnsi="Cambria Math" w:cs="Cambria Math"/>
          <w:shd w:val="clear" w:color="auto" w:fill="FFFFFF"/>
          <w:lang w:val="nl-NL" w:eastAsia="es-ES_tradnl"/>
        </w:rPr>
        <w:t>‐</w:t>
      </w:r>
      <w:r w:rsidR="00BE06B6" w:rsidRPr="00045F85">
        <w:rPr>
          <w:rFonts w:eastAsia="Times New Roman" w:cs="Arial"/>
          <w:shd w:val="clear" w:color="auto" w:fill="FFFFFF"/>
          <w:lang w:val="nl-NL" w:eastAsia="es-ES_tradnl"/>
        </w:rPr>
        <w:t>(4′</w:t>
      </w:r>
      <w:r w:rsidR="00BE06B6" w:rsidRPr="00045F85">
        <w:rPr>
          <w:rFonts w:ascii="Cambria Math" w:eastAsia="Times New Roman" w:hAnsi="Cambria Math" w:cs="Cambria Math"/>
          <w:shd w:val="clear" w:color="auto" w:fill="FFFFFF"/>
          <w:lang w:val="nl-NL" w:eastAsia="es-ES_tradnl"/>
        </w:rPr>
        <w:t>‐</w:t>
      </w:r>
      <w:r w:rsidR="00BE06B6" w:rsidRPr="00045F85">
        <w:rPr>
          <w:rFonts w:eastAsia="Times New Roman" w:cs="Arial"/>
          <w:shd w:val="clear" w:color="auto" w:fill="FFFFFF"/>
          <w:lang w:val="nl-NL" w:eastAsia="es-ES_tradnl"/>
        </w:rPr>
        <w:t>methylphenyl)nortropane</w:t>
      </w:r>
    </w:p>
    <w:p w14:paraId="6BDA745F" w14:textId="5171D2BA" w:rsidR="002D0FBA" w:rsidRPr="00045F85" w:rsidRDefault="0008593F" w:rsidP="005865A9">
      <w:pPr>
        <w:jc w:val="left"/>
        <w:rPr>
          <w:rFonts w:cs="Arial"/>
          <w:lang w:val="nl-NL"/>
        </w:rPr>
      </w:pPr>
      <w:r w:rsidRPr="00045F85">
        <w:rPr>
          <w:rFonts w:cs="Arial"/>
          <w:lang w:val="nl-NL"/>
        </w:rPr>
        <w:t>[</w:t>
      </w:r>
      <w:r w:rsidR="005560EB" w:rsidRPr="00045F85">
        <w:rPr>
          <w:rFonts w:cs="Arial"/>
          <w:vertAlign w:val="superscript"/>
          <w:lang w:val="nl-NL"/>
        </w:rPr>
        <w:t>18</w:t>
      </w:r>
      <w:r w:rsidR="005560EB" w:rsidRPr="00045F85">
        <w:rPr>
          <w:rFonts w:cs="Arial"/>
          <w:lang w:val="nl-NL"/>
        </w:rPr>
        <w:t>F</w:t>
      </w:r>
      <w:r w:rsidRPr="00045F85">
        <w:rPr>
          <w:rFonts w:cs="Arial"/>
          <w:lang w:val="nl-NL"/>
        </w:rPr>
        <w:t>]</w:t>
      </w:r>
      <w:r w:rsidR="005560EB" w:rsidRPr="00045F85">
        <w:rPr>
          <w:rFonts w:cs="Arial"/>
          <w:lang w:val="nl-NL"/>
        </w:rPr>
        <w:t>-FE-PE2I</w:t>
      </w:r>
      <w:r w:rsidRPr="00045F85">
        <w:rPr>
          <w:rFonts w:cs="Arial"/>
          <w:lang w:val="nl-NL"/>
        </w:rPr>
        <w:t>:</w:t>
      </w:r>
      <w:r w:rsidR="005560EB" w:rsidRPr="00045F85">
        <w:rPr>
          <w:rFonts w:cs="Arial"/>
          <w:lang w:val="nl-NL"/>
        </w:rPr>
        <w:t xml:space="preserve"> </w:t>
      </w:r>
      <w:r w:rsidRPr="00045F85">
        <w:rPr>
          <w:rFonts w:cs="Arial"/>
          <w:lang w:val="nl-NL"/>
        </w:rPr>
        <w:t>N-(3-iodoprop-2E-enyl)-2β-carbo[</w:t>
      </w:r>
      <w:r w:rsidRPr="00045F85">
        <w:rPr>
          <w:rFonts w:cs="Arial"/>
          <w:vertAlign w:val="superscript"/>
          <w:lang w:val="nl-NL"/>
        </w:rPr>
        <w:t>18</w:t>
      </w:r>
      <w:r w:rsidRPr="00045F85">
        <w:rPr>
          <w:rFonts w:cs="Arial"/>
          <w:lang w:val="nl-NL"/>
        </w:rPr>
        <w:t>F]fluoroethoxy-3β-(4-methylphenyl)-nortropane</w:t>
      </w:r>
    </w:p>
    <w:p w14:paraId="4B753E93" w14:textId="77777777" w:rsidR="009812B1" w:rsidRPr="00045F85" w:rsidRDefault="009812B1" w:rsidP="009812B1">
      <w:pPr>
        <w:spacing w:after="0"/>
        <w:rPr>
          <w:rFonts w:cs="Arial"/>
          <w:lang w:val="nl-NL"/>
        </w:rPr>
      </w:pPr>
    </w:p>
    <w:p w14:paraId="0B519B5A" w14:textId="16AE1A1E" w:rsidR="0008593F" w:rsidRPr="00045F85" w:rsidRDefault="002D0FBA" w:rsidP="0008593F">
      <w:pPr>
        <w:jc w:val="left"/>
        <w:rPr>
          <w:rFonts w:cs="Arial"/>
          <w:lang w:val="nl-NL"/>
        </w:rPr>
      </w:pPr>
      <w:r w:rsidRPr="00045F85">
        <w:rPr>
          <w:rFonts w:cs="Arial"/>
          <w:lang w:val="nl-NL"/>
        </w:rPr>
        <w:lastRenderedPageBreak/>
        <w:t>-(+)[</w:t>
      </w:r>
      <w:r w:rsidRPr="00045F85">
        <w:rPr>
          <w:rFonts w:cs="Arial"/>
          <w:vertAlign w:val="superscript"/>
          <w:lang w:val="nl-NL"/>
        </w:rPr>
        <w:t>11</w:t>
      </w:r>
      <w:r w:rsidRPr="00045F85">
        <w:rPr>
          <w:rFonts w:cs="Arial"/>
          <w:lang w:val="nl-NL"/>
        </w:rPr>
        <w:t>C]dihydrotetrabenazine</w:t>
      </w:r>
      <w:r w:rsidR="0008593F" w:rsidRPr="00045F85">
        <w:rPr>
          <w:rFonts w:cs="Arial"/>
          <w:lang w:val="nl-NL"/>
        </w:rPr>
        <w:t>: (+)2-Hydroxy-3-isobutyl-9-[</w:t>
      </w:r>
      <w:r w:rsidR="0008593F" w:rsidRPr="00045F85">
        <w:rPr>
          <w:rFonts w:cs="Arial"/>
          <w:vertAlign w:val="superscript"/>
          <w:lang w:val="nl-NL"/>
        </w:rPr>
        <w:t>11</w:t>
      </w:r>
      <w:r w:rsidR="0008593F" w:rsidRPr="00045F85">
        <w:rPr>
          <w:rFonts w:cs="Arial"/>
          <w:lang w:val="nl-NL"/>
        </w:rPr>
        <w:t>C]methoxy-10-methoxy-1,2,3,4,6,7,-hexahydro-11bH-bezo[α]-quinolizine; (+)[</w:t>
      </w:r>
      <w:r w:rsidR="0008593F" w:rsidRPr="00045F85">
        <w:rPr>
          <w:rFonts w:cs="Arial"/>
          <w:vertAlign w:val="superscript"/>
          <w:lang w:val="nl-NL"/>
        </w:rPr>
        <w:t>11</w:t>
      </w:r>
      <w:r w:rsidR="0008593F" w:rsidRPr="00045F85">
        <w:rPr>
          <w:rFonts w:cs="Arial"/>
          <w:lang w:val="nl-NL"/>
        </w:rPr>
        <w:t>C]DTBZ</w:t>
      </w:r>
    </w:p>
    <w:p w14:paraId="6BEE630B" w14:textId="77777777" w:rsidR="009812B1" w:rsidRPr="00045F85" w:rsidRDefault="009812B1" w:rsidP="009812B1">
      <w:pPr>
        <w:spacing w:after="0"/>
        <w:rPr>
          <w:rFonts w:cs="Arial"/>
          <w:lang w:val="nl-NL"/>
        </w:rPr>
      </w:pPr>
    </w:p>
    <w:p w14:paraId="404EEFDF" w14:textId="3852CE91" w:rsidR="0008593F" w:rsidRPr="00045F85" w:rsidRDefault="002D0FBA" w:rsidP="0008593F">
      <w:pPr>
        <w:jc w:val="left"/>
        <w:rPr>
          <w:rFonts w:cs="Arial"/>
          <w:lang w:val="nl-NL"/>
        </w:rPr>
      </w:pPr>
      <w:r w:rsidRPr="00045F85">
        <w:rPr>
          <w:rFonts w:cs="Arial"/>
          <w:lang w:val="nl-NL"/>
        </w:rPr>
        <w:t>-(+)[</w:t>
      </w:r>
      <w:r w:rsidRPr="00045F85">
        <w:rPr>
          <w:rFonts w:cs="Arial"/>
          <w:vertAlign w:val="superscript"/>
          <w:lang w:val="nl-NL"/>
        </w:rPr>
        <w:t>18</w:t>
      </w:r>
      <w:r w:rsidRPr="00045F85">
        <w:rPr>
          <w:rFonts w:cs="Arial"/>
          <w:lang w:val="nl-NL"/>
        </w:rPr>
        <w:t>F]FP-DTBZ</w:t>
      </w:r>
      <w:r w:rsidR="0008593F" w:rsidRPr="00045F85">
        <w:rPr>
          <w:rFonts w:cs="Arial"/>
          <w:lang w:val="nl-NL"/>
        </w:rPr>
        <w:t>:</w:t>
      </w:r>
      <w:r w:rsidRPr="00045F85">
        <w:rPr>
          <w:rFonts w:cs="Arial"/>
          <w:lang w:val="nl-NL"/>
        </w:rPr>
        <w:t xml:space="preserve"> (+)</w:t>
      </w:r>
      <w:r w:rsidR="00B82422" w:rsidRPr="00045F85">
        <w:rPr>
          <w:rFonts w:cs="Arial"/>
          <w:lang w:val="nl-NL"/>
        </w:rPr>
        <w:t>-</w:t>
      </w:r>
      <w:r w:rsidR="00B82422" w:rsidRPr="00045F85">
        <w:rPr>
          <w:rFonts w:cs="Arial"/>
        </w:rPr>
        <w:t>α</w:t>
      </w:r>
      <w:r w:rsidR="00B82422" w:rsidRPr="00045F85">
        <w:rPr>
          <w:rFonts w:cs="Arial"/>
          <w:lang w:val="nl-NL"/>
        </w:rPr>
        <w:t>-9-O-(3-[</w:t>
      </w:r>
      <w:r w:rsidR="00B82422" w:rsidRPr="00045F85">
        <w:rPr>
          <w:rFonts w:cs="Arial"/>
          <w:vertAlign w:val="superscript"/>
          <w:lang w:val="nl-NL"/>
        </w:rPr>
        <w:t>18</w:t>
      </w:r>
      <w:r w:rsidR="00B82422" w:rsidRPr="00045F85">
        <w:rPr>
          <w:rFonts w:cs="Arial"/>
          <w:lang w:val="nl-NL"/>
        </w:rPr>
        <w:t>F]fluoropropyl)DTBZ</w:t>
      </w:r>
      <w:r w:rsidR="0008593F" w:rsidRPr="00045F85">
        <w:rPr>
          <w:rFonts w:cs="Arial"/>
          <w:lang w:val="nl-NL"/>
        </w:rPr>
        <w:t>; [</w:t>
      </w:r>
      <w:r w:rsidR="0008593F" w:rsidRPr="00045F85">
        <w:rPr>
          <w:rFonts w:cs="Arial"/>
          <w:vertAlign w:val="superscript"/>
          <w:lang w:val="nl-NL"/>
        </w:rPr>
        <w:t>18</w:t>
      </w:r>
      <w:r w:rsidR="0008593F" w:rsidRPr="00045F85">
        <w:rPr>
          <w:rFonts w:cs="Arial"/>
          <w:lang w:val="nl-NL"/>
        </w:rPr>
        <w:t>F]AV-133</w:t>
      </w:r>
    </w:p>
    <w:p w14:paraId="44EFD30F" w14:textId="77777777" w:rsidR="00314625" w:rsidRPr="00045F85" w:rsidRDefault="00314625" w:rsidP="00F50E88">
      <w:pPr>
        <w:spacing w:after="0"/>
        <w:rPr>
          <w:rFonts w:cs="Arial"/>
          <w:lang w:val="nl-NL"/>
        </w:rPr>
      </w:pPr>
    </w:p>
    <w:p w14:paraId="3F80BF3D" w14:textId="77777777" w:rsidR="00314625" w:rsidRPr="00045F85" w:rsidRDefault="00314625" w:rsidP="00F50E88">
      <w:pPr>
        <w:spacing w:after="0"/>
        <w:rPr>
          <w:rFonts w:cs="Arial"/>
          <w:lang w:val="nl-NL"/>
        </w:rPr>
      </w:pPr>
    </w:p>
    <w:p w14:paraId="51E7DFC7" w14:textId="0A87D48E" w:rsidR="007635AB" w:rsidRPr="00045F85" w:rsidRDefault="007635AB" w:rsidP="00F50E88">
      <w:pPr>
        <w:spacing w:after="0"/>
        <w:rPr>
          <w:rFonts w:cs="Arial"/>
          <w:i/>
          <w:lang w:val="nl-NL"/>
        </w:rPr>
      </w:pPr>
      <w:r w:rsidRPr="00045F85">
        <w:rPr>
          <w:rFonts w:cs="Arial"/>
          <w:i/>
          <w:lang w:val="nl-NL"/>
        </w:rPr>
        <w:t>Post-synaptic tracers</w:t>
      </w:r>
    </w:p>
    <w:p w14:paraId="4780A817" w14:textId="77777777" w:rsidR="0054791B" w:rsidRPr="00045F85" w:rsidRDefault="0054791B" w:rsidP="00F50E88">
      <w:pPr>
        <w:spacing w:after="0"/>
        <w:rPr>
          <w:rFonts w:cs="Arial"/>
          <w:lang w:val="nl-NL"/>
        </w:rPr>
      </w:pPr>
    </w:p>
    <w:p w14:paraId="2DBD492E" w14:textId="2401AFCD" w:rsidR="0054791B" w:rsidRPr="00045F85" w:rsidRDefault="0054791B" w:rsidP="005865A9">
      <w:pPr>
        <w:jc w:val="left"/>
        <w:rPr>
          <w:rFonts w:cs="Arial"/>
          <w:shd w:val="clear" w:color="auto" w:fill="FFFFFF"/>
          <w:lang w:val="nl-NL"/>
        </w:rPr>
      </w:pPr>
      <w:r w:rsidRPr="00045F85">
        <w:rPr>
          <w:rFonts w:cs="Arial"/>
          <w:lang w:val="nl-NL"/>
        </w:rPr>
        <w:t>– [</w:t>
      </w:r>
      <w:r w:rsidRPr="00045F85">
        <w:rPr>
          <w:rFonts w:cs="Arial"/>
          <w:vertAlign w:val="superscript"/>
          <w:lang w:val="nl-NL"/>
        </w:rPr>
        <w:t>123</w:t>
      </w:r>
      <w:r w:rsidRPr="00045F85">
        <w:rPr>
          <w:rFonts w:cs="Arial"/>
          <w:lang w:val="nl-NL"/>
        </w:rPr>
        <w:t xml:space="preserve">I]IBZM: </w:t>
      </w:r>
      <w:r w:rsidR="00913075" w:rsidRPr="00045F85">
        <w:rPr>
          <w:rFonts w:eastAsia="Times New Roman" w:cs="Arial"/>
          <w:lang w:val="nl-NL" w:eastAsia="es-ES_tradnl"/>
        </w:rPr>
        <w:t>(</w:t>
      </w:r>
      <w:r w:rsidR="00913075" w:rsidRPr="00045F85">
        <w:rPr>
          <w:rFonts w:cs="Arial"/>
          <w:shd w:val="clear" w:color="auto" w:fill="FFFFFF"/>
          <w:lang w:val="nl-NL"/>
        </w:rPr>
        <w:t>S)-3-[</w:t>
      </w:r>
      <w:r w:rsidR="00913075" w:rsidRPr="00045F85">
        <w:rPr>
          <w:rFonts w:cs="Arial"/>
          <w:shd w:val="clear" w:color="auto" w:fill="FFFFFF"/>
          <w:vertAlign w:val="superscript"/>
          <w:lang w:val="nl-NL"/>
        </w:rPr>
        <w:t>123</w:t>
      </w:r>
      <w:r w:rsidR="00913075" w:rsidRPr="00045F85">
        <w:rPr>
          <w:rFonts w:cs="Arial"/>
          <w:shd w:val="clear" w:color="auto" w:fill="FFFFFF"/>
          <w:lang w:val="nl-NL"/>
        </w:rPr>
        <w:t>I]iodo-N-[(1-ethyl-2-pyrrolidinyl)]methyl-2-hydroxy-6-methoxybenzamide</w:t>
      </w:r>
    </w:p>
    <w:p w14:paraId="51AD46D9" w14:textId="77777777" w:rsidR="0054791B" w:rsidRPr="00045F85" w:rsidRDefault="0054791B" w:rsidP="0054791B">
      <w:pPr>
        <w:spacing w:after="0"/>
        <w:rPr>
          <w:rFonts w:cs="Arial"/>
          <w:lang w:val="nl-NL"/>
        </w:rPr>
      </w:pPr>
    </w:p>
    <w:p w14:paraId="7D0AE2C4" w14:textId="04A8908D" w:rsidR="0054791B" w:rsidRPr="00045F85" w:rsidRDefault="0054791B" w:rsidP="005865A9">
      <w:pPr>
        <w:jc w:val="left"/>
        <w:rPr>
          <w:rFonts w:cs="Arial"/>
          <w:lang w:val="nl-NL"/>
        </w:rPr>
      </w:pPr>
      <w:r w:rsidRPr="00045F85">
        <w:rPr>
          <w:rFonts w:cs="Arial"/>
          <w:lang w:val="nl-NL"/>
        </w:rPr>
        <w:t>– [</w:t>
      </w:r>
      <w:r w:rsidRPr="00045F85">
        <w:rPr>
          <w:rFonts w:cs="Arial"/>
          <w:vertAlign w:val="superscript"/>
          <w:lang w:val="nl-NL"/>
        </w:rPr>
        <w:t>123</w:t>
      </w:r>
      <w:r w:rsidRPr="00045F85">
        <w:rPr>
          <w:rFonts w:cs="Arial"/>
          <w:lang w:val="nl-NL"/>
        </w:rPr>
        <w:t>I]epidepride</w:t>
      </w:r>
      <w:r w:rsidR="00286494" w:rsidRPr="00045F85">
        <w:rPr>
          <w:rFonts w:cs="Arial"/>
          <w:lang w:val="nl-NL"/>
        </w:rPr>
        <w:t xml:space="preserve">: </w:t>
      </w:r>
      <w:r w:rsidRPr="00045F85">
        <w:rPr>
          <w:rFonts w:cs="Arial"/>
          <w:lang w:val="nl-NL"/>
        </w:rPr>
        <w:t>( S)-N-((1-ethyl-2-pyrrolidinyl) methyl)-5-</w:t>
      </w:r>
      <w:r w:rsidR="00286494" w:rsidRPr="00045F85">
        <w:rPr>
          <w:rFonts w:cs="Arial"/>
          <w:lang w:val="nl-NL"/>
        </w:rPr>
        <w:t>[</w:t>
      </w:r>
      <w:r w:rsidR="00286494" w:rsidRPr="00045F85">
        <w:rPr>
          <w:rFonts w:cs="Arial"/>
          <w:vertAlign w:val="superscript"/>
          <w:lang w:val="nl-NL"/>
        </w:rPr>
        <w:t>123</w:t>
      </w:r>
      <w:r w:rsidR="00286494" w:rsidRPr="00045F85">
        <w:rPr>
          <w:rFonts w:cs="Arial"/>
          <w:lang w:val="nl-NL"/>
        </w:rPr>
        <w:t>I]</w:t>
      </w:r>
      <w:r w:rsidRPr="00045F85">
        <w:rPr>
          <w:rFonts w:cs="Arial"/>
          <w:lang w:val="nl-NL"/>
        </w:rPr>
        <w:t>iodo-2,3-dimethoxybenzamide</w:t>
      </w:r>
      <w:r w:rsidR="00286494" w:rsidRPr="00045F85">
        <w:rPr>
          <w:rFonts w:cs="Arial"/>
          <w:lang w:val="nl-NL"/>
        </w:rPr>
        <w:t>; [</w:t>
      </w:r>
      <w:r w:rsidR="00286494" w:rsidRPr="00045F85">
        <w:rPr>
          <w:rFonts w:cs="Arial"/>
          <w:vertAlign w:val="superscript"/>
          <w:lang w:val="nl-NL"/>
        </w:rPr>
        <w:t>123</w:t>
      </w:r>
      <w:r w:rsidR="00286494" w:rsidRPr="00045F85">
        <w:rPr>
          <w:rFonts w:cs="Arial"/>
          <w:lang w:val="nl-NL"/>
        </w:rPr>
        <w:t>I]epidepride is the iodine analogue of isoremoxipride (FLB 457)</w:t>
      </w:r>
    </w:p>
    <w:p w14:paraId="25AA7E5A" w14:textId="51BE22E6" w:rsidR="0054791B" w:rsidRPr="00045F85" w:rsidRDefault="0054791B" w:rsidP="005865A9">
      <w:pPr>
        <w:jc w:val="left"/>
        <w:rPr>
          <w:rFonts w:cs="Arial"/>
          <w:lang w:val="nl-NL"/>
        </w:rPr>
      </w:pPr>
      <w:r w:rsidRPr="00045F85">
        <w:rPr>
          <w:rFonts w:cs="Arial"/>
          <w:lang w:val="nl-NL"/>
        </w:rPr>
        <w:t>– [</w:t>
      </w:r>
      <w:r w:rsidRPr="00045F85">
        <w:rPr>
          <w:rFonts w:cs="Arial"/>
          <w:vertAlign w:val="superscript"/>
          <w:lang w:val="nl-NL"/>
        </w:rPr>
        <w:t>18</w:t>
      </w:r>
      <w:r w:rsidRPr="00045F85">
        <w:rPr>
          <w:rFonts w:cs="Arial"/>
          <w:lang w:val="nl-NL"/>
        </w:rPr>
        <w:t>F]fallypride</w:t>
      </w:r>
      <w:r w:rsidR="00C55C67" w:rsidRPr="00045F85">
        <w:rPr>
          <w:rFonts w:cs="Arial"/>
          <w:lang w:val="nl-NL"/>
        </w:rPr>
        <w:t xml:space="preserve">: </w:t>
      </w:r>
      <w:r w:rsidRPr="00045F85">
        <w:rPr>
          <w:rFonts w:cs="Arial"/>
          <w:lang w:val="nl-NL"/>
        </w:rPr>
        <w:t xml:space="preserve"> </w:t>
      </w:r>
      <w:r w:rsidR="00C55C67" w:rsidRPr="00045F85">
        <w:rPr>
          <w:rFonts w:cs="Arial"/>
          <w:lang w:val="nl-NL"/>
        </w:rPr>
        <w:t>5-(3-[</w:t>
      </w:r>
      <w:r w:rsidR="00C55C67" w:rsidRPr="00045F85">
        <w:rPr>
          <w:rFonts w:cs="Arial"/>
          <w:vertAlign w:val="superscript"/>
          <w:lang w:val="nl-NL"/>
        </w:rPr>
        <w:t>18</w:t>
      </w:r>
      <w:r w:rsidR="00C55C67" w:rsidRPr="00045F85">
        <w:rPr>
          <w:rFonts w:cs="Arial"/>
          <w:lang w:val="nl-NL"/>
        </w:rPr>
        <w:t xml:space="preserve">F]fluoropropyl)-2,3-dimethoxy-N-[(2S)-1-prop-2-enylpyrrolidin-2-yl]methyl]benzamide; </w:t>
      </w:r>
      <w:r w:rsidRPr="00045F85">
        <w:rPr>
          <w:rFonts w:cs="Arial"/>
          <w:lang w:val="nl-NL"/>
        </w:rPr>
        <w:t xml:space="preserve"> [</w:t>
      </w:r>
      <w:r w:rsidRPr="00045F85">
        <w:rPr>
          <w:rFonts w:cs="Arial"/>
          <w:vertAlign w:val="superscript"/>
          <w:lang w:val="nl-NL"/>
        </w:rPr>
        <w:t>18</w:t>
      </w:r>
      <w:r w:rsidRPr="00045F85">
        <w:rPr>
          <w:rFonts w:cs="Arial"/>
          <w:lang w:val="nl-NL"/>
        </w:rPr>
        <w:t>F]N-allyl-5-fluorpropylepidepride</w:t>
      </w:r>
      <w:r w:rsidR="00C55C67" w:rsidRPr="00045F85">
        <w:rPr>
          <w:rFonts w:cs="Arial"/>
          <w:lang w:val="nl-NL"/>
        </w:rPr>
        <w:t xml:space="preserve"> </w:t>
      </w:r>
    </w:p>
    <w:p w14:paraId="18BE13FF" w14:textId="77777777" w:rsidR="0054791B" w:rsidRPr="00045F85" w:rsidRDefault="0054791B" w:rsidP="0054791B">
      <w:pPr>
        <w:spacing w:after="0"/>
        <w:rPr>
          <w:rFonts w:cs="Arial"/>
          <w:lang w:val="nl-NL"/>
        </w:rPr>
      </w:pPr>
    </w:p>
    <w:p w14:paraId="4F11D42F" w14:textId="1CAEFD14" w:rsidR="0054791B" w:rsidRPr="00045F85" w:rsidRDefault="0054791B" w:rsidP="0054791B">
      <w:pPr>
        <w:spacing w:after="0"/>
        <w:rPr>
          <w:rFonts w:cs="Arial"/>
          <w:lang w:val="nl-NL"/>
        </w:rPr>
      </w:pPr>
      <w:r w:rsidRPr="00045F85">
        <w:rPr>
          <w:rFonts w:cs="Arial"/>
          <w:lang w:val="nl-NL"/>
        </w:rPr>
        <w:t>– [</w:t>
      </w:r>
      <w:r w:rsidRPr="00045F85">
        <w:rPr>
          <w:rFonts w:cs="Arial"/>
          <w:vertAlign w:val="superscript"/>
          <w:lang w:val="nl-NL"/>
        </w:rPr>
        <w:t>18</w:t>
      </w:r>
      <w:r w:rsidRPr="00045F85">
        <w:rPr>
          <w:rFonts w:cs="Arial"/>
          <w:lang w:val="nl-NL"/>
        </w:rPr>
        <w:t>F]desmethoxyfallypride</w:t>
      </w:r>
      <w:r w:rsidR="00C55C67" w:rsidRPr="00045F85">
        <w:rPr>
          <w:rFonts w:cs="Arial"/>
          <w:lang w:val="nl-NL"/>
        </w:rPr>
        <w:t>: (S)-N-((1-allyl-2-pyrrolidinyl)methyl)-5-(3-[</w:t>
      </w:r>
      <w:r w:rsidR="00C55C67" w:rsidRPr="00045F85">
        <w:rPr>
          <w:rFonts w:cs="Arial"/>
          <w:vertAlign w:val="superscript"/>
          <w:lang w:val="nl-NL"/>
        </w:rPr>
        <w:t>18</w:t>
      </w:r>
      <w:r w:rsidR="00C55C67" w:rsidRPr="00045F85">
        <w:rPr>
          <w:rFonts w:cs="Arial"/>
          <w:lang w:val="nl-NL"/>
        </w:rPr>
        <w:t xml:space="preserve">F]fluoropropyl)-2-methoxybenzamide; </w:t>
      </w:r>
      <w:r w:rsidRPr="00045F85">
        <w:rPr>
          <w:rFonts w:cs="Arial"/>
          <w:lang w:val="nl-NL"/>
        </w:rPr>
        <w:t xml:space="preserve"> [</w:t>
      </w:r>
      <w:r w:rsidRPr="00045F85">
        <w:rPr>
          <w:rFonts w:cs="Arial"/>
          <w:vertAlign w:val="superscript"/>
          <w:lang w:val="nl-NL"/>
        </w:rPr>
        <w:t>18</w:t>
      </w:r>
      <w:r w:rsidRPr="00045F85">
        <w:rPr>
          <w:rFonts w:cs="Arial"/>
          <w:lang w:val="nl-NL"/>
        </w:rPr>
        <w:t xml:space="preserve">F]DMFP </w:t>
      </w:r>
    </w:p>
    <w:p w14:paraId="7A05F1E7" w14:textId="77777777" w:rsidR="0054791B" w:rsidRPr="00045F85" w:rsidRDefault="0054791B" w:rsidP="0054791B">
      <w:pPr>
        <w:spacing w:after="0"/>
        <w:rPr>
          <w:rFonts w:cs="Arial"/>
          <w:lang w:val="nl-NL"/>
        </w:rPr>
      </w:pPr>
    </w:p>
    <w:p w14:paraId="03146D45" w14:textId="6622A62F" w:rsidR="00C55C67" w:rsidRPr="00045F85" w:rsidRDefault="0054791B" w:rsidP="00C55C67">
      <w:pPr>
        <w:jc w:val="left"/>
        <w:rPr>
          <w:rFonts w:cs="Arial"/>
          <w:lang w:val="nl-NL"/>
        </w:rPr>
      </w:pPr>
      <w:r w:rsidRPr="00045F85">
        <w:rPr>
          <w:rFonts w:cs="Arial"/>
          <w:lang w:val="nl-NL"/>
        </w:rPr>
        <w:t>– [</w:t>
      </w:r>
      <w:r w:rsidRPr="00045F85">
        <w:rPr>
          <w:rFonts w:cs="Arial"/>
          <w:vertAlign w:val="superscript"/>
          <w:lang w:val="nl-NL"/>
        </w:rPr>
        <w:t>11</w:t>
      </w:r>
      <w:r w:rsidRPr="00045F85">
        <w:rPr>
          <w:rFonts w:cs="Arial"/>
          <w:lang w:val="nl-NL"/>
        </w:rPr>
        <w:t>C]raclopride</w:t>
      </w:r>
      <w:r w:rsidR="00C55C67" w:rsidRPr="00045F85">
        <w:rPr>
          <w:rFonts w:cs="Arial"/>
          <w:lang w:val="nl-NL"/>
        </w:rPr>
        <w:t>: (2S)-3,5-Dichloro-N-[(1-ethyl-2-pyrrolidinyl)methyl]- 6-hydroxy-2-[</w:t>
      </w:r>
      <w:r w:rsidR="00C55C67" w:rsidRPr="00045F85">
        <w:rPr>
          <w:rFonts w:cs="Arial"/>
          <w:vertAlign w:val="superscript"/>
          <w:lang w:val="nl-NL"/>
        </w:rPr>
        <w:t>11</w:t>
      </w:r>
      <w:r w:rsidR="00C55C67" w:rsidRPr="00045F85">
        <w:rPr>
          <w:rFonts w:cs="Arial"/>
          <w:lang w:val="nl-NL"/>
        </w:rPr>
        <w:t>C]methoxybenzamide</w:t>
      </w:r>
    </w:p>
    <w:p w14:paraId="511E1B29" w14:textId="26DBD28A" w:rsidR="0054791B" w:rsidRPr="00045F85" w:rsidRDefault="0054791B" w:rsidP="0054791B">
      <w:pPr>
        <w:spacing w:after="0"/>
        <w:rPr>
          <w:rFonts w:cs="Arial"/>
          <w:lang w:val="nl-NL"/>
        </w:rPr>
      </w:pPr>
    </w:p>
    <w:p w14:paraId="3D5443B9" w14:textId="64B6E519" w:rsidR="00C55C67" w:rsidRPr="00045F85" w:rsidRDefault="00C55C67" w:rsidP="0054791B">
      <w:pPr>
        <w:spacing w:after="0"/>
        <w:rPr>
          <w:rFonts w:cs="Arial"/>
          <w:lang w:val="nl-NL"/>
        </w:rPr>
      </w:pPr>
    </w:p>
    <w:p w14:paraId="52EAF03E" w14:textId="4FF444D9" w:rsidR="00F838E4" w:rsidRPr="00045F85" w:rsidRDefault="00934F99" w:rsidP="004D1C39">
      <w:pPr>
        <w:pStyle w:val="berschrift1"/>
        <w:numPr>
          <w:ilvl w:val="0"/>
          <w:numId w:val="19"/>
        </w:numPr>
        <w:rPr>
          <w:color w:val="auto"/>
        </w:rPr>
      </w:pPr>
      <w:r w:rsidRPr="00045F85">
        <w:rPr>
          <w:color w:val="auto"/>
        </w:rPr>
        <w:t xml:space="preserve">Procedure/specifications of the examination for </w:t>
      </w:r>
      <w:r w:rsidR="004F17BD" w:rsidRPr="00045F85">
        <w:rPr>
          <w:color w:val="auto"/>
        </w:rPr>
        <w:t xml:space="preserve">presynaptic </w:t>
      </w:r>
      <w:r w:rsidRPr="00045F85">
        <w:rPr>
          <w:color w:val="auto"/>
        </w:rPr>
        <w:t>dopaminergic imaging</w:t>
      </w:r>
      <w:r w:rsidR="00BF5CC6" w:rsidRPr="00045F85">
        <w:rPr>
          <w:color w:val="auto"/>
        </w:rPr>
        <w:t xml:space="preserve"> </w:t>
      </w:r>
      <w:r w:rsidRPr="00045F85">
        <w:rPr>
          <w:color w:val="auto"/>
        </w:rPr>
        <w:t>with</w:t>
      </w:r>
      <w:r w:rsidR="00BF5CC6" w:rsidRPr="00045F85">
        <w:rPr>
          <w:color w:val="auto"/>
        </w:rPr>
        <w:t xml:space="preserve"> </w:t>
      </w:r>
      <w:r w:rsidR="00381A86" w:rsidRPr="00045F85">
        <w:rPr>
          <w:color w:val="auto"/>
        </w:rPr>
        <w:t xml:space="preserve">SPECT using </w:t>
      </w:r>
      <w:r w:rsidR="00792FA7" w:rsidRPr="00045F85">
        <w:rPr>
          <w:color w:val="auto"/>
          <w:vertAlign w:val="superscript"/>
        </w:rPr>
        <w:t>123</w:t>
      </w:r>
      <w:r w:rsidR="00792FA7" w:rsidRPr="00045F85">
        <w:rPr>
          <w:color w:val="auto"/>
        </w:rPr>
        <w:t>I</w:t>
      </w:r>
      <w:r w:rsidR="00381A86" w:rsidRPr="00045F85">
        <w:rPr>
          <w:color w:val="auto"/>
        </w:rPr>
        <w:t>-labelled dopamine transporter ligands</w:t>
      </w:r>
      <w:r w:rsidR="00F838E4" w:rsidRPr="00045F85">
        <w:rPr>
          <w:color w:val="auto"/>
        </w:rPr>
        <w:t xml:space="preserve"> and with PET using </w:t>
      </w:r>
      <w:r w:rsidR="00C4056C" w:rsidRPr="00045F85">
        <w:rPr>
          <w:color w:val="auto"/>
        </w:rPr>
        <w:t>[</w:t>
      </w:r>
      <w:r w:rsidR="00C4056C" w:rsidRPr="00045F85">
        <w:rPr>
          <w:color w:val="auto"/>
          <w:vertAlign w:val="superscript"/>
        </w:rPr>
        <w:t>18</w:t>
      </w:r>
      <w:r w:rsidR="00C4056C" w:rsidRPr="00045F85">
        <w:rPr>
          <w:color w:val="auto"/>
        </w:rPr>
        <w:t>F]fluorodopa</w:t>
      </w:r>
    </w:p>
    <w:p w14:paraId="76318A3B" w14:textId="3626F58B" w:rsidR="001459B0" w:rsidRPr="00045F85" w:rsidRDefault="00E56A3C" w:rsidP="00A94CC5">
      <w:pPr>
        <w:rPr>
          <w:rFonts w:cs="Arial"/>
        </w:rPr>
      </w:pPr>
      <w:r w:rsidRPr="00045F85">
        <w:rPr>
          <w:rFonts w:cs="Arial"/>
        </w:rPr>
        <w:t xml:space="preserve">As of 2019, among SPECT tracers only </w:t>
      </w:r>
      <w:r w:rsidR="00403660" w:rsidRPr="00045F85">
        <w:rPr>
          <w:rFonts w:cs="Arial"/>
        </w:rPr>
        <w:t>[</w:t>
      </w:r>
      <w:r w:rsidRPr="00045F85">
        <w:rPr>
          <w:rFonts w:cs="Arial"/>
          <w:vertAlign w:val="superscript"/>
        </w:rPr>
        <w:t>123</w:t>
      </w:r>
      <w:r w:rsidR="00403660" w:rsidRPr="00045F85">
        <w:rPr>
          <w:rFonts w:cs="Arial"/>
        </w:rPr>
        <w:t>I]</w:t>
      </w:r>
      <w:r w:rsidRPr="00045F85">
        <w:rPr>
          <w:rFonts w:cs="Arial"/>
        </w:rPr>
        <w:t>FP-CIT has been approved by both the U.S. Food and Drug Administration</w:t>
      </w:r>
      <w:r w:rsidR="004027DE" w:rsidRPr="00045F85">
        <w:rPr>
          <w:rFonts w:cs="Arial"/>
        </w:rPr>
        <w:t xml:space="preserve"> (FDA)</w:t>
      </w:r>
      <w:r w:rsidRPr="00045F85">
        <w:rPr>
          <w:rFonts w:cs="Arial"/>
        </w:rPr>
        <w:t xml:space="preserve"> and the European Medicines Agency</w:t>
      </w:r>
      <w:r w:rsidR="00580E4C" w:rsidRPr="00045F85">
        <w:rPr>
          <w:rFonts w:cs="Arial"/>
        </w:rPr>
        <w:t xml:space="preserve"> (EMA)</w:t>
      </w:r>
      <w:r w:rsidRPr="00045F85">
        <w:rPr>
          <w:rFonts w:cs="Arial"/>
        </w:rPr>
        <w:t xml:space="preserve"> for testing of dopaminergic neuronal integrity in suspected </w:t>
      </w:r>
      <w:r w:rsidR="003C4515" w:rsidRPr="00045F85">
        <w:rPr>
          <w:rFonts w:cs="Arial"/>
        </w:rPr>
        <w:t>p</w:t>
      </w:r>
      <w:r w:rsidR="00504A08" w:rsidRPr="00045F85">
        <w:rPr>
          <w:rFonts w:cs="Arial"/>
        </w:rPr>
        <w:t>arkinsonian</w:t>
      </w:r>
      <w:r w:rsidRPr="00045F85">
        <w:rPr>
          <w:rFonts w:cs="Arial"/>
        </w:rPr>
        <w:t xml:space="preserve"> syndromes. </w:t>
      </w:r>
      <w:r w:rsidR="003F0BE2" w:rsidRPr="00045F85">
        <w:rPr>
          <w:rFonts w:cs="Arial"/>
        </w:rPr>
        <w:t xml:space="preserve"> </w:t>
      </w:r>
      <w:r w:rsidR="00D46826" w:rsidRPr="00045F85">
        <w:rPr>
          <w:rFonts w:cs="Arial"/>
        </w:rPr>
        <w:t xml:space="preserve">A clinical alternative for DAT SPECT imaging is </w:t>
      </w:r>
      <w:r w:rsidR="001F2077" w:rsidRPr="00045F85">
        <w:rPr>
          <w:rFonts w:cs="Arial"/>
        </w:rPr>
        <w:t>[</w:t>
      </w:r>
      <w:r w:rsidR="001F2077" w:rsidRPr="00045F85">
        <w:rPr>
          <w:rFonts w:cs="Arial"/>
          <w:vertAlign w:val="superscript"/>
        </w:rPr>
        <w:t>18</w:t>
      </w:r>
      <w:r w:rsidR="001F2077" w:rsidRPr="00045F85">
        <w:rPr>
          <w:rFonts w:cs="Arial"/>
        </w:rPr>
        <w:t xml:space="preserve">F]fluorodopa </w:t>
      </w:r>
      <w:r w:rsidR="00D46826" w:rsidRPr="00045F85">
        <w:rPr>
          <w:rFonts w:cs="Arial"/>
        </w:rPr>
        <w:t>PET.</w:t>
      </w:r>
      <w:r w:rsidR="004027DE" w:rsidRPr="00045F85">
        <w:rPr>
          <w:rFonts w:cs="Arial"/>
        </w:rPr>
        <w:t xml:space="preserve"> </w:t>
      </w:r>
      <w:r w:rsidR="0015026B" w:rsidRPr="00045F85">
        <w:rPr>
          <w:rFonts w:cs="Arial"/>
        </w:rPr>
        <w:t>[</w:t>
      </w:r>
      <w:r w:rsidR="00D84CB4" w:rsidRPr="00045F85">
        <w:rPr>
          <w:rFonts w:cs="Arial"/>
          <w:vertAlign w:val="superscript"/>
        </w:rPr>
        <w:t>18</w:t>
      </w:r>
      <w:r w:rsidR="00D84CB4" w:rsidRPr="00045F85">
        <w:rPr>
          <w:rFonts w:cs="Arial"/>
        </w:rPr>
        <w:t>F</w:t>
      </w:r>
      <w:r w:rsidR="0015026B" w:rsidRPr="00045F85">
        <w:rPr>
          <w:rFonts w:cs="Arial"/>
        </w:rPr>
        <w:t>]fluorodopa</w:t>
      </w:r>
      <w:r w:rsidR="00580E4C" w:rsidRPr="00045F85">
        <w:rPr>
          <w:rFonts w:cs="Arial"/>
        </w:rPr>
        <w:t xml:space="preserve"> </w:t>
      </w:r>
      <w:r w:rsidR="001B2842" w:rsidRPr="00045F85">
        <w:rPr>
          <w:rFonts w:cs="Arial"/>
        </w:rPr>
        <w:t xml:space="preserve">is </w:t>
      </w:r>
      <w:r w:rsidR="00580E4C" w:rsidRPr="00045F85">
        <w:rPr>
          <w:rFonts w:cs="Arial"/>
        </w:rPr>
        <w:t>approved by EMA</w:t>
      </w:r>
      <w:r w:rsidR="001459B0" w:rsidRPr="00045F85">
        <w:rPr>
          <w:rFonts w:cs="Arial"/>
        </w:rPr>
        <w:t>.</w:t>
      </w:r>
      <w:r w:rsidR="00580E4C" w:rsidRPr="00045F85">
        <w:rPr>
          <w:rFonts w:cs="Arial"/>
        </w:rPr>
        <w:t xml:space="preserve"> </w:t>
      </w:r>
      <w:r w:rsidR="001459B0" w:rsidRPr="00045F85">
        <w:rPr>
          <w:rFonts w:cs="Arial"/>
        </w:rPr>
        <w:t xml:space="preserve">Until 2019 </w:t>
      </w:r>
      <w:r w:rsidR="00D84CB4" w:rsidRPr="00045F85">
        <w:rPr>
          <w:rFonts w:cs="Arial"/>
        </w:rPr>
        <w:t>[</w:t>
      </w:r>
      <w:r w:rsidR="00D84CB4" w:rsidRPr="00045F85">
        <w:rPr>
          <w:rFonts w:cs="Arial"/>
          <w:vertAlign w:val="superscript"/>
        </w:rPr>
        <w:t>18</w:t>
      </w:r>
      <w:r w:rsidR="00D84CB4" w:rsidRPr="00045F85">
        <w:rPr>
          <w:rFonts w:cs="Arial"/>
        </w:rPr>
        <w:t>F</w:t>
      </w:r>
      <w:r w:rsidR="001459B0" w:rsidRPr="00045F85">
        <w:rPr>
          <w:rFonts w:cs="Arial"/>
        </w:rPr>
        <w:t>]fluorodopa</w:t>
      </w:r>
      <w:r w:rsidR="0015026B" w:rsidRPr="00045F85">
        <w:rPr>
          <w:rFonts w:cs="Arial"/>
        </w:rPr>
        <w:t xml:space="preserve"> </w:t>
      </w:r>
      <w:r w:rsidR="001459B0" w:rsidRPr="00045F85">
        <w:rPr>
          <w:rFonts w:cs="Arial"/>
        </w:rPr>
        <w:t>was</w:t>
      </w:r>
      <w:r w:rsidR="0015026B" w:rsidRPr="00045F85">
        <w:rPr>
          <w:rFonts w:cs="Arial"/>
        </w:rPr>
        <w:t xml:space="preserve"> not approved by </w:t>
      </w:r>
      <w:r w:rsidR="00580E4C" w:rsidRPr="00045F85">
        <w:rPr>
          <w:rFonts w:cs="Arial"/>
        </w:rPr>
        <w:t>U.S. FDA</w:t>
      </w:r>
      <w:r w:rsidR="0015026B" w:rsidRPr="00045F85">
        <w:rPr>
          <w:rFonts w:cs="Arial"/>
        </w:rPr>
        <w:t xml:space="preserve"> </w:t>
      </w:r>
      <w:r w:rsidR="00BB77CE" w:rsidRPr="00045F85">
        <w:rPr>
          <w:rFonts w:eastAsia="Times New Roman"/>
        </w:rPr>
        <w:t>for marketing by manufacturer(s) nor distributing/dispensing by commercial radiopharmacies</w:t>
      </w:r>
      <w:r w:rsidR="001B2842" w:rsidRPr="00045F85">
        <w:rPr>
          <w:rFonts w:cs="Arial"/>
        </w:rPr>
        <w:t xml:space="preserve">. </w:t>
      </w:r>
      <w:r w:rsidR="001459B0" w:rsidRPr="00045F85">
        <w:rPr>
          <w:rFonts w:cs="Arial"/>
        </w:rPr>
        <w:t>In October 2019 a U.S. academic medical center received FDA approval to manufacture [</w:t>
      </w:r>
      <w:r w:rsidR="00D84CB4" w:rsidRPr="00045F85">
        <w:rPr>
          <w:rFonts w:cs="Arial"/>
          <w:vertAlign w:val="superscript"/>
        </w:rPr>
        <w:t>18</w:t>
      </w:r>
      <w:r w:rsidR="00D84CB4" w:rsidRPr="00045F85">
        <w:rPr>
          <w:rFonts w:cs="Arial"/>
        </w:rPr>
        <w:t>F</w:t>
      </w:r>
      <w:r w:rsidR="001459B0" w:rsidRPr="00045F85">
        <w:rPr>
          <w:rFonts w:cs="Arial"/>
        </w:rPr>
        <w:t>]fluorodopa for clinical use</w:t>
      </w:r>
      <w:r w:rsidR="006D35CD" w:rsidRPr="00045F85">
        <w:rPr>
          <w:rFonts w:cs="Arial"/>
        </w:rPr>
        <w:t xml:space="preserve"> [29]</w:t>
      </w:r>
      <w:r w:rsidR="0031164F" w:rsidRPr="00045F85">
        <w:rPr>
          <w:rFonts w:cs="Arial"/>
        </w:rPr>
        <w:t xml:space="preserve">. </w:t>
      </w:r>
      <w:r w:rsidR="001459B0" w:rsidRPr="00045F85">
        <w:rPr>
          <w:rFonts w:cs="Arial"/>
        </w:rPr>
        <w:t>This approval may facilitate production and distribution of [</w:t>
      </w:r>
      <w:r w:rsidR="00D84CB4" w:rsidRPr="00045F85">
        <w:rPr>
          <w:rFonts w:cs="Arial"/>
          <w:vertAlign w:val="superscript"/>
        </w:rPr>
        <w:t>18</w:t>
      </w:r>
      <w:r w:rsidR="00D84CB4" w:rsidRPr="00045F85">
        <w:rPr>
          <w:rFonts w:cs="Arial"/>
        </w:rPr>
        <w:t>F</w:t>
      </w:r>
      <w:r w:rsidR="001459B0" w:rsidRPr="00045F85">
        <w:rPr>
          <w:rFonts w:cs="Arial"/>
        </w:rPr>
        <w:t>]fluorodopa by other centers as well as commercial radiopharmacies for clinical applications. U.S. medical centers can continue to use [</w:t>
      </w:r>
      <w:r w:rsidR="00D84CB4" w:rsidRPr="00045F85">
        <w:rPr>
          <w:rFonts w:cs="Arial"/>
          <w:vertAlign w:val="superscript"/>
        </w:rPr>
        <w:t>18</w:t>
      </w:r>
      <w:r w:rsidR="00D84CB4" w:rsidRPr="00045F85">
        <w:rPr>
          <w:rFonts w:cs="Arial"/>
        </w:rPr>
        <w:t>F</w:t>
      </w:r>
      <w:r w:rsidR="001459B0" w:rsidRPr="00045F85">
        <w:rPr>
          <w:rFonts w:cs="Arial"/>
        </w:rPr>
        <w:t>]fluorodopa in human subjects under an Investigational New Drug application (IND), as approved by the FDA for clinical research purposes.</w:t>
      </w:r>
      <w:r w:rsidR="00580E4C" w:rsidRPr="00045F85">
        <w:rPr>
          <w:rFonts w:cs="Arial"/>
        </w:rPr>
        <w:t xml:space="preserve"> </w:t>
      </w:r>
    </w:p>
    <w:p w14:paraId="3CA3906B" w14:textId="6590F237" w:rsidR="0015026B" w:rsidRPr="00045F85" w:rsidRDefault="00E75FCD" w:rsidP="00A94CC5">
      <w:pPr>
        <w:rPr>
          <w:rFonts w:cs="Arial"/>
        </w:rPr>
      </w:pPr>
      <w:r w:rsidRPr="00045F85">
        <w:rPr>
          <w:rFonts w:cs="Arial"/>
        </w:rPr>
        <w:lastRenderedPageBreak/>
        <w:t xml:space="preserve">From the pathophysiological point of view, it </w:t>
      </w:r>
      <w:r w:rsidR="00D46826" w:rsidRPr="00045F85">
        <w:rPr>
          <w:rFonts w:cs="Arial"/>
        </w:rPr>
        <w:t xml:space="preserve">should be noted that the effect of dopaminergic neurodegeneration as detected with </w:t>
      </w:r>
      <w:r w:rsidR="00C4056C" w:rsidRPr="00045F85">
        <w:rPr>
          <w:rFonts w:cs="Arial"/>
        </w:rPr>
        <w:t>[</w:t>
      </w:r>
      <w:r w:rsidR="00C4056C" w:rsidRPr="00045F85">
        <w:rPr>
          <w:rFonts w:cs="Arial"/>
          <w:vertAlign w:val="superscript"/>
        </w:rPr>
        <w:t>18</w:t>
      </w:r>
      <w:r w:rsidR="00C4056C" w:rsidRPr="00045F85">
        <w:rPr>
          <w:rFonts w:cs="Arial"/>
        </w:rPr>
        <w:t xml:space="preserve">F]fluorodopa </w:t>
      </w:r>
      <w:r w:rsidR="00D46826" w:rsidRPr="00045F85">
        <w:rPr>
          <w:rFonts w:cs="Arial"/>
        </w:rPr>
        <w:t xml:space="preserve">PET tends to </w:t>
      </w:r>
      <w:r w:rsidR="007B4B96" w:rsidRPr="00045F85">
        <w:rPr>
          <w:rFonts w:cs="Arial"/>
        </w:rPr>
        <w:t>be</w:t>
      </w:r>
      <w:r w:rsidR="0015026B" w:rsidRPr="00045F85">
        <w:rPr>
          <w:rFonts w:cs="Arial"/>
        </w:rPr>
        <w:t xml:space="preserve"> smaller than with DAT SPECT [30</w:t>
      </w:r>
      <w:r w:rsidR="007B4B96" w:rsidRPr="00045F85">
        <w:rPr>
          <w:rFonts w:cs="Arial"/>
        </w:rPr>
        <w:t>]</w:t>
      </w:r>
      <w:r w:rsidR="006C0713" w:rsidRPr="00045F85">
        <w:rPr>
          <w:rFonts w:cs="Arial"/>
        </w:rPr>
        <w:t>.</w:t>
      </w:r>
      <w:r w:rsidR="007B4B96" w:rsidRPr="00045F85">
        <w:rPr>
          <w:rFonts w:cs="Arial"/>
        </w:rPr>
        <w:t xml:space="preserve"> </w:t>
      </w:r>
      <w:r w:rsidR="00D46826" w:rsidRPr="00045F85">
        <w:rPr>
          <w:rFonts w:cs="Arial"/>
        </w:rPr>
        <w:t>Indeed the pathophysiology of DAT and DOPA reduction in the nigrostriatal degeneration follows different timeframes as the two processes are parallel but not synchronous. This is presumably due to the presence, in the presymptomatic and early symptomatic phases, of opposite compensatory mechanisms to the reduction of the number of dopaminergic terminals</w:t>
      </w:r>
      <w:r w:rsidR="002E1B85" w:rsidRPr="00045F85">
        <w:rPr>
          <w:rFonts w:cs="Arial"/>
        </w:rPr>
        <w:t>: o</w:t>
      </w:r>
      <w:r w:rsidR="00D46826" w:rsidRPr="00045F85">
        <w:rPr>
          <w:rFonts w:cs="Arial"/>
        </w:rPr>
        <w:t xml:space="preserve">n one hand the reduction of DAT, which increases the synaptic availability of dopamine, and on the other hand the upregulation of DOPA conversion to dopamine by aromatic L-amino-acid decarboxylase (AADC) in the nerve terminal </w:t>
      </w:r>
      <w:r w:rsidR="0015026B" w:rsidRPr="00045F85">
        <w:rPr>
          <w:rFonts w:cs="Arial"/>
        </w:rPr>
        <w:t>[31</w:t>
      </w:r>
      <w:r w:rsidR="00C13CBD" w:rsidRPr="00045F85">
        <w:rPr>
          <w:rFonts w:cs="Arial"/>
        </w:rPr>
        <w:t>]</w:t>
      </w:r>
      <w:r w:rsidR="00E971B9" w:rsidRPr="00045F85">
        <w:rPr>
          <w:rFonts w:cs="Arial"/>
        </w:rPr>
        <w:t>.</w:t>
      </w:r>
      <w:r w:rsidR="004027DE" w:rsidRPr="00045F85">
        <w:rPr>
          <w:rFonts w:cs="Arial"/>
        </w:rPr>
        <w:t xml:space="preserve"> </w:t>
      </w:r>
      <w:r w:rsidR="000711B6" w:rsidRPr="00045F85">
        <w:rPr>
          <w:rFonts w:cs="Arial"/>
        </w:rPr>
        <w:t>A</w:t>
      </w:r>
      <w:r w:rsidR="0015026B" w:rsidRPr="00045F85">
        <w:rPr>
          <w:rFonts w:cs="Arial"/>
        </w:rPr>
        <w:t xml:space="preserve"> recent, meta-analysis of 142 positron emission tomography and single photon emission computed tomography studies demonstrated that AADC defect is consistently smaller than the dopamine transporter and vesicular monoamine transporter 2 defects, suggesting upregulation of AADC function in </w:t>
      </w:r>
      <w:r w:rsidR="00D53A5F" w:rsidRPr="00045F85">
        <w:rPr>
          <w:rFonts w:cs="Arial"/>
        </w:rPr>
        <w:t>I</w:t>
      </w:r>
      <w:r w:rsidR="0015026B" w:rsidRPr="00045F85">
        <w:rPr>
          <w:rFonts w:cs="Arial"/>
        </w:rPr>
        <w:t>PD [30,31]. However, available studies in small number of patients and controls demonstrate</w:t>
      </w:r>
      <w:r w:rsidR="00307C5E" w:rsidRPr="00045F85">
        <w:rPr>
          <w:rFonts w:cs="Arial"/>
        </w:rPr>
        <w:t>d</w:t>
      </w:r>
      <w:r w:rsidR="0015026B" w:rsidRPr="00045F85">
        <w:rPr>
          <w:rFonts w:cs="Arial"/>
        </w:rPr>
        <w:t xml:space="preserve"> that DAT SPECT and </w:t>
      </w:r>
      <w:r w:rsidR="00D53A5F" w:rsidRPr="00045F85">
        <w:rPr>
          <w:rFonts w:cs="Arial"/>
        </w:rPr>
        <w:t>[</w:t>
      </w:r>
      <w:r w:rsidR="00D53A5F" w:rsidRPr="00045F85">
        <w:rPr>
          <w:rFonts w:cs="Arial"/>
          <w:vertAlign w:val="superscript"/>
        </w:rPr>
        <w:t>18</w:t>
      </w:r>
      <w:r w:rsidR="00D53A5F" w:rsidRPr="00045F85">
        <w:rPr>
          <w:rFonts w:cs="Arial"/>
        </w:rPr>
        <w:t xml:space="preserve">F]fluorodopa </w:t>
      </w:r>
      <w:r w:rsidR="0015026B" w:rsidRPr="00045F85">
        <w:rPr>
          <w:rFonts w:cs="Arial"/>
        </w:rPr>
        <w:t>PET scans are both able to diagnose presynaptic dopaminergic deficits in early phases of PD with excellent sensitivity and specificity [32]</w:t>
      </w:r>
    </w:p>
    <w:p w14:paraId="5B746AD1" w14:textId="0CAD78C8" w:rsidR="00AE7A33" w:rsidRPr="00045F85" w:rsidRDefault="00F838E4" w:rsidP="00A94CC5">
      <w:pPr>
        <w:rPr>
          <w:rFonts w:cs="Arial"/>
        </w:rPr>
      </w:pPr>
      <w:r w:rsidRPr="00045F85">
        <w:rPr>
          <w:b/>
          <w:sz w:val="26"/>
          <w:szCs w:val="26"/>
        </w:rPr>
        <w:t xml:space="preserve">SPECT using </w:t>
      </w:r>
      <w:r w:rsidR="00C4056C" w:rsidRPr="00045F85">
        <w:rPr>
          <w:b/>
          <w:sz w:val="26"/>
          <w:szCs w:val="26"/>
        </w:rPr>
        <w:t xml:space="preserve">iodine-123 </w:t>
      </w:r>
      <w:r w:rsidRPr="00045F85">
        <w:rPr>
          <w:b/>
          <w:sz w:val="26"/>
          <w:szCs w:val="26"/>
        </w:rPr>
        <w:t>labelled dopamine transporter ligands</w:t>
      </w:r>
    </w:p>
    <w:p w14:paraId="1C32A85F" w14:textId="77777777" w:rsidR="0091415D" w:rsidRPr="00045F85" w:rsidRDefault="0091415D" w:rsidP="0091415D">
      <w:pPr>
        <w:rPr>
          <w:rFonts w:cs="Arial"/>
        </w:rPr>
      </w:pPr>
    </w:p>
    <w:p w14:paraId="5E72132F" w14:textId="7831F774" w:rsidR="0091415D" w:rsidRPr="00045F85" w:rsidRDefault="0091415D" w:rsidP="009D6B35">
      <w:pPr>
        <w:pStyle w:val="berschrift2"/>
        <w:numPr>
          <w:ilvl w:val="0"/>
          <w:numId w:val="38"/>
        </w:numPr>
        <w:rPr>
          <w:color w:val="auto"/>
        </w:rPr>
      </w:pPr>
      <w:r w:rsidRPr="00045F85">
        <w:rPr>
          <w:color w:val="auto"/>
        </w:rPr>
        <w:t>Patient preparation and precautions</w:t>
      </w:r>
    </w:p>
    <w:p w14:paraId="5956E7A3" w14:textId="77777777" w:rsidR="00C2584E" w:rsidRPr="00045F85" w:rsidRDefault="00C2584E" w:rsidP="00C2584E">
      <w:pPr>
        <w:rPr>
          <w:rFonts w:cs="Arial"/>
          <w:i/>
        </w:rPr>
      </w:pPr>
      <w:r w:rsidRPr="00045F85">
        <w:rPr>
          <w:rFonts w:cs="Arial"/>
          <w:i/>
        </w:rPr>
        <w:t>Prearrival</w:t>
      </w:r>
    </w:p>
    <w:p w14:paraId="760131D3" w14:textId="09B94894" w:rsidR="00C2584E" w:rsidRPr="00045F85" w:rsidRDefault="009C66D1" w:rsidP="00C55A46">
      <w:pPr>
        <w:rPr>
          <w:rFonts w:cs="Arial"/>
        </w:rPr>
      </w:pPr>
      <w:r w:rsidRPr="00045F85">
        <w:rPr>
          <w:rFonts w:cs="Arial"/>
        </w:rPr>
        <w:t xml:space="preserve">Drugs that bind to the dopamine transporter with high affinity may interfere with DAT binding ligands. Whether </w:t>
      </w:r>
      <w:r w:rsidR="00CA292E" w:rsidRPr="00045F85">
        <w:rPr>
          <w:rFonts w:cs="Arial"/>
        </w:rPr>
        <w:t xml:space="preserve">or not </w:t>
      </w:r>
      <w:r w:rsidRPr="00045F85">
        <w:rPr>
          <w:rFonts w:cs="Arial"/>
        </w:rPr>
        <w:t xml:space="preserve">discontinuation of these drugs prior to tracer administration may minimize the interference has not been determined by controlled </w:t>
      </w:r>
      <w:r w:rsidRPr="00045F85">
        <w:rPr>
          <w:rFonts w:cs="Arial"/>
          <w:i/>
        </w:rPr>
        <w:t>in vivo</w:t>
      </w:r>
      <w:r w:rsidRPr="00045F85">
        <w:rPr>
          <w:rFonts w:cs="Arial"/>
        </w:rPr>
        <w:t xml:space="preserve"> or </w:t>
      </w:r>
      <w:r w:rsidRPr="00045F85">
        <w:rPr>
          <w:rFonts w:cs="Arial"/>
          <w:i/>
        </w:rPr>
        <w:t>in vitro</w:t>
      </w:r>
      <w:r w:rsidRPr="00045F85">
        <w:rPr>
          <w:rFonts w:cs="Arial"/>
        </w:rPr>
        <w:t xml:space="preserve"> studies.</w:t>
      </w:r>
      <w:r w:rsidR="00C55A46" w:rsidRPr="00045F85">
        <w:rPr>
          <w:rFonts w:cs="Arial"/>
        </w:rPr>
        <w:t xml:space="preserve"> </w:t>
      </w:r>
      <w:r w:rsidR="00C76CC9" w:rsidRPr="00045F85">
        <w:rPr>
          <w:rFonts w:cs="Arial"/>
        </w:rPr>
        <w:t xml:space="preserve">The benefits and risks of stopping medication that may interfere with the reliability of the information in the images should be </w:t>
      </w:r>
      <w:r w:rsidR="009A654D" w:rsidRPr="00045F85">
        <w:rPr>
          <w:rFonts w:cs="Arial"/>
        </w:rPr>
        <w:t>evaluated</w:t>
      </w:r>
      <w:r w:rsidR="00C76CC9" w:rsidRPr="00045F85">
        <w:rPr>
          <w:rFonts w:cs="Arial"/>
        </w:rPr>
        <w:t xml:space="preserve"> on an individual basis. Nevertheless, in general, it is recommended that </w:t>
      </w:r>
      <w:r w:rsidR="00C956EF" w:rsidRPr="00045F85">
        <w:rPr>
          <w:rFonts w:cs="Arial"/>
        </w:rPr>
        <w:t>just before</w:t>
      </w:r>
      <w:r w:rsidR="00C76CC9" w:rsidRPr="00045F85">
        <w:rPr>
          <w:rFonts w:cs="Arial"/>
        </w:rPr>
        <w:t xml:space="preserve"> the investigation, patients avoid taking any medication or drugs of abuse that could significantly affect visual and semi-quantitative analysis of DAT binding ligands (except if the specific aim of the study is to assess the effect of suc</w:t>
      </w:r>
      <w:r w:rsidR="00DA71A1" w:rsidRPr="00045F85">
        <w:rPr>
          <w:rFonts w:cs="Arial"/>
        </w:rPr>
        <w:t>h medication on DAT binding) [33</w:t>
      </w:r>
      <w:r w:rsidR="00C76CC9" w:rsidRPr="00045F85">
        <w:rPr>
          <w:rFonts w:cs="Arial"/>
        </w:rPr>
        <w:t xml:space="preserve">]. </w:t>
      </w:r>
      <w:r w:rsidR="00D2095F" w:rsidRPr="00045F85">
        <w:rPr>
          <w:rFonts w:cs="Arial"/>
        </w:rPr>
        <w:t xml:space="preserve">See Table </w:t>
      </w:r>
      <w:r w:rsidR="00955C43" w:rsidRPr="00045F85">
        <w:rPr>
          <w:rFonts w:cs="Arial"/>
        </w:rPr>
        <w:t xml:space="preserve">1.  </w:t>
      </w:r>
    </w:p>
    <w:p w14:paraId="26E17526" w14:textId="77777777" w:rsidR="0091415D" w:rsidRPr="00045F85" w:rsidRDefault="0091415D" w:rsidP="0091415D">
      <w:pPr>
        <w:spacing w:after="0"/>
        <w:rPr>
          <w:rFonts w:cs="Arial"/>
          <w:lang w:val="nl-NL"/>
        </w:rPr>
      </w:pPr>
    </w:p>
    <w:p w14:paraId="312EDD37" w14:textId="2511B3AC" w:rsidR="006C5E2A" w:rsidRPr="00045F85" w:rsidRDefault="00C2584E" w:rsidP="00C97AB2">
      <w:pPr>
        <w:pStyle w:val="Listenabsatz"/>
        <w:rPr>
          <w:color w:val="auto"/>
        </w:rPr>
      </w:pPr>
      <w:r w:rsidRPr="00045F85">
        <w:rPr>
          <w:color w:val="auto"/>
        </w:rPr>
        <w:t xml:space="preserve">Check for medications or drugs </w:t>
      </w:r>
      <w:r w:rsidR="00C956EF" w:rsidRPr="00045F85">
        <w:rPr>
          <w:color w:val="auto"/>
        </w:rPr>
        <w:t>of abuse that alter tracer binding. Whenever possibile, patients should</w:t>
      </w:r>
      <w:r w:rsidRPr="00045F85">
        <w:rPr>
          <w:color w:val="auto"/>
        </w:rPr>
        <w:t xml:space="preserve"> stop such medication</w:t>
      </w:r>
      <w:r w:rsidR="00476504" w:rsidRPr="00045F85">
        <w:rPr>
          <w:color w:val="auto"/>
        </w:rPr>
        <w:t>s</w:t>
      </w:r>
      <w:r w:rsidR="00D023B9" w:rsidRPr="00045F85">
        <w:rPr>
          <w:color w:val="auto"/>
        </w:rPr>
        <w:t xml:space="preserve"> </w:t>
      </w:r>
      <w:r w:rsidRPr="00045F85">
        <w:rPr>
          <w:color w:val="auto"/>
        </w:rPr>
        <w:t>for at least 5 half-lives.</w:t>
      </w:r>
    </w:p>
    <w:p w14:paraId="72F61522" w14:textId="23ECF85F" w:rsidR="004C5CD0" w:rsidRPr="00045F85" w:rsidRDefault="001F764F" w:rsidP="00C97AB2">
      <w:pPr>
        <w:pStyle w:val="Listenabsatz"/>
        <w:rPr>
          <w:color w:val="auto"/>
        </w:rPr>
      </w:pPr>
      <w:r w:rsidRPr="00045F85">
        <w:rPr>
          <w:color w:val="auto"/>
        </w:rPr>
        <w:t>Cocaine, amphetamines, and methylphenidate are high affinity DAT blockers that severely decrease tracer binding to DAT. Modafinil, used in the treatment of narcoleps</w:t>
      </w:r>
      <w:r w:rsidR="00C575DC" w:rsidRPr="00045F85">
        <w:rPr>
          <w:color w:val="auto"/>
        </w:rPr>
        <w:t>y</w:t>
      </w:r>
      <w:r w:rsidRPr="00045F85">
        <w:rPr>
          <w:color w:val="auto"/>
        </w:rPr>
        <w:t>, at therape</w:t>
      </w:r>
      <w:r w:rsidR="00272F7B" w:rsidRPr="00045F85">
        <w:rPr>
          <w:color w:val="auto"/>
        </w:rPr>
        <w:t>utic doses significantly block</w:t>
      </w:r>
      <w:r w:rsidR="0078556E" w:rsidRPr="00045F85">
        <w:rPr>
          <w:color w:val="auto"/>
        </w:rPr>
        <w:t>s</w:t>
      </w:r>
      <w:r w:rsidRPr="00045F85">
        <w:rPr>
          <w:color w:val="auto"/>
        </w:rPr>
        <w:t xml:space="preserve"> dopamine transporter binding </w:t>
      </w:r>
      <w:r w:rsidR="00DA71A1" w:rsidRPr="00045F85">
        <w:rPr>
          <w:color w:val="auto"/>
        </w:rPr>
        <w:t>similarly to methylphenidate [34</w:t>
      </w:r>
      <w:r w:rsidRPr="00045F85">
        <w:rPr>
          <w:color w:val="auto"/>
        </w:rPr>
        <w:t xml:space="preserve">]. </w:t>
      </w:r>
      <w:r w:rsidR="00BF2206" w:rsidRPr="00045F85">
        <w:rPr>
          <w:color w:val="auto"/>
        </w:rPr>
        <w:t>Indeed, w</w:t>
      </w:r>
      <w:r w:rsidR="000A1CC2" w:rsidRPr="00045F85">
        <w:rPr>
          <w:color w:val="auto"/>
        </w:rPr>
        <w:t>hile</w:t>
      </w:r>
      <w:r w:rsidR="00DA71A1" w:rsidRPr="00045F85">
        <w:rPr>
          <w:color w:val="auto"/>
        </w:rPr>
        <w:t xml:space="preserve"> not psychoactive, cannabidiol </w:t>
      </w:r>
      <w:r w:rsidR="000A1CC2" w:rsidRPr="00045F85">
        <w:rPr>
          <w:color w:val="auto"/>
        </w:rPr>
        <w:t>acts as an anandamide reuptake inhibitor which can decrease DAT function</w:t>
      </w:r>
      <w:r w:rsidR="00DA71A1" w:rsidRPr="00045F85">
        <w:rPr>
          <w:color w:val="auto"/>
        </w:rPr>
        <w:t xml:space="preserve"> [35</w:t>
      </w:r>
      <w:r w:rsidR="00590F7C" w:rsidRPr="00045F85">
        <w:rPr>
          <w:color w:val="auto"/>
        </w:rPr>
        <w:t>].</w:t>
      </w:r>
    </w:p>
    <w:p w14:paraId="69770F7A" w14:textId="496C0C09" w:rsidR="006C5E2A" w:rsidRPr="00045F85" w:rsidRDefault="00B14597" w:rsidP="00C97AB2">
      <w:pPr>
        <w:pStyle w:val="Listenabsatz"/>
        <w:rPr>
          <w:color w:val="auto"/>
        </w:rPr>
      </w:pPr>
      <w:r w:rsidRPr="00045F85">
        <w:rPr>
          <w:color w:val="auto"/>
        </w:rPr>
        <w:lastRenderedPageBreak/>
        <w:t>Ephedrine and phentermine, particularly when used as tablets, some antidepressant (</w:t>
      </w:r>
      <w:r w:rsidR="008159E6" w:rsidRPr="00045F85">
        <w:rPr>
          <w:color w:val="auto"/>
        </w:rPr>
        <w:t>b</w:t>
      </w:r>
      <w:r w:rsidRPr="00045F85">
        <w:rPr>
          <w:color w:val="auto"/>
        </w:rPr>
        <w:t xml:space="preserve">upropion, radafaxine), anesthetics (ketamine, phencyclidine, and isoflurane), opioids (fentanyl) and anticholinergic drugs (benzatropine) may also decrease, to a lesser extent, </w:t>
      </w:r>
      <w:r w:rsidR="00F869C9" w:rsidRPr="00045F85">
        <w:rPr>
          <w:color w:val="auto"/>
        </w:rPr>
        <w:t>DAT ligands</w:t>
      </w:r>
      <w:r w:rsidRPr="00045F85">
        <w:rPr>
          <w:color w:val="auto"/>
        </w:rPr>
        <w:t xml:space="preserve"> binding</w:t>
      </w:r>
    </w:p>
    <w:p w14:paraId="5484E9B8" w14:textId="688424F5" w:rsidR="00C35DAF" w:rsidRPr="00045F85" w:rsidRDefault="00C35DAF" w:rsidP="00C97AB2">
      <w:pPr>
        <w:pStyle w:val="Listenabsatz"/>
        <w:rPr>
          <w:color w:val="auto"/>
        </w:rPr>
      </w:pPr>
      <w:r w:rsidRPr="00045F85">
        <w:rPr>
          <w:color w:val="auto"/>
        </w:rPr>
        <w:t xml:space="preserve">Selective serotonin reuptake inhibitors (SSRI) may increase both </w:t>
      </w:r>
      <w:r w:rsidR="003B4309" w:rsidRPr="00045F85">
        <w:rPr>
          <w:color w:val="auto"/>
        </w:rPr>
        <w:t>[</w:t>
      </w:r>
      <w:r w:rsidR="003B4309" w:rsidRPr="00045F85">
        <w:rPr>
          <w:color w:val="auto"/>
          <w:vertAlign w:val="superscript"/>
        </w:rPr>
        <w:t>123</w:t>
      </w:r>
      <w:r w:rsidR="003B4309" w:rsidRPr="00045F85">
        <w:rPr>
          <w:color w:val="auto"/>
        </w:rPr>
        <w:t>I]</w:t>
      </w:r>
      <w:r w:rsidRPr="00045F85">
        <w:rPr>
          <w:color w:val="auto"/>
        </w:rPr>
        <w:t xml:space="preserve">β-CIT and </w:t>
      </w:r>
      <w:r w:rsidR="003B4309" w:rsidRPr="00045F85">
        <w:rPr>
          <w:color w:val="auto"/>
        </w:rPr>
        <w:t>[</w:t>
      </w:r>
      <w:r w:rsidR="003B4309" w:rsidRPr="00045F85">
        <w:rPr>
          <w:color w:val="auto"/>
          <w:vertAlign w:val="superscript"/>
        </w:rPr>
        <w:t>123</w:t>
      </w:r>
      <w:r w:rsidR="003B4309" w:rsidRPr="00045F85">
        <w:rPr>
          <w:color w:val="auto"/>
        </w:rPr>
        <w:t>I]</w:t>
      </w:r>
      <w:r w:rsidRPr="00045F85">
        <w:rPr>
          <w:color w:val="auto"/>
        </w:rPr>
        <w:t>-FP-CIT striatal binding to DAT by 20 % and 10%, respectively [</w:t>
      </w:r>
      <w:r w:rsidR="00DA71A1" w:rsidRPr="00045F85">
        <w:rPr>
          <w:color w:val="auto"/>
        </w:rPr>
        <w:t>36</w:t>
      </w:r>
      <w:r w:rsidRPr="00045F85">
        <w:rPr>
          <w:color w:val="auto"/>
        </w:rPr>
        <w:t xml:space="preserve">]. The underlying mechanism is unknown. It has been speculated that mild </w:t>
      </w:r>
      <w:r w:rsidR="003B4309" w:rsidRPr="00045F85">
        <w:rPr>
          <w:color w:val="auto"/>
        </w:rPr>
        <w:t>[</w:t>
      </w:r>
      <w:r w:rsidR="003B4309" w:rsidRPr="00045F85">
        <w:rPr>
          <w:color w:val="auto"/>
          <w:vertAlign w:val="superscript"/>
        </w:rPr>
        <w:t>123</w:t>
      </w:r>
      <w:r w:rsidR="003B4309" w:rsidRPr="00045F85">
        <w:rPr>
          <w:color w:val="auto"/>
        </w:rPr>
        <w:t>I]</w:t>
      </w:r>
      <w:r w:rsidRPr="00045F85">
        <w:rPr>
          <w:color w:val="auto"/>
        </w:rPr>
        <w:t xml:space="preserve">-FP-CIT blocking of the SERT in the occipital cortex might result </w:t>
      </w:r>
      <w:r w:rsidR="00941EAB" w:rsidRPr="00045F85">
        <w:rPr>
          <w:color w:val="auto"/>
        </w:rPr>
        <w:t xml:space="preserve">in a higher striatal binding ratio, although </w:t>
      </w:r>
      <w:r w:rsidR="001E52F9" w:rsidRPr="00045F85">
        <w:rPr>
          <w:color w:val="auto"/>
        </w:rPr>
        <w:t xml:space="preserve">a </w:t>
      </w:r>
      <w:r w:rsidRPr="00045F85">
        <w:rPr>
          <w:color w:val="auto"/>
        </w:rPr>
        <w:t xml:space="preserve">direct interaction between the dopaminergic and serotonergic system </w:t>
      </w:r>
      <w:r w:rsidR="001E52F9" w:rsidRPr="00045F85">
        <w:rPr>
          <w:color w:val="auto"/>
        </w:rPr>
        <w:t>has been also hypotezised</w:t>
      </w:r>
      <w:r w:rsidRPr="00045F85">
        <w:rPr>
          <w:color w:val="auto"/>
        </w:rPr>
        <w:t xml:space="preserve"> [37]. Sertraline, has a relative higher affinity for DAT that might lead to decreased striatal tracer binding</w:t>
      </w:r>
      <w:r w:rsidR="00B56354" w:rsidRPr="00045F85">
        <w:rPr>
          <w:color w:val="auto"/>
        </w:rPr>
        <w:t>. However, i</w:t>
      </w:r>
      <w:r w:rsidRPr="00045F85">
        <w:rPr>
          <w:color w:val="auto"/>
        </w:rPr>
        <w:t>t has been hypothesized that these effects may be counterbalanced by the 10% increase in binding related to serotonin blocking [37]. Overall</w:t>
      </w:r>
      <w:r w:rsidR="00527E0D" w:rsidRPr="00045F85">
        <w:rPr>
          <w:color w:val="auto"/>
        </w:rPr>
        <w:t>,</w:t>
      </w:r>
      <w:r w:rsidRPr="00045F85">
        <w:rPr>
          <w:color w:val="auto"/>
        </w:rPr>
        <w:t xml:space="preserve"> these effects, although small (especially for </w:t>
      </w:r>
      <w:r w:rsidR="003B4309" w:rsidRPr="00045F85">
        <w:rPr>
          <w:color w:val="auto"/>
        </w:rPr>
        <w:t>[</w:t>
      </w:r>
      <w:r w:rsidR="003B4309" w:rsidRPr="00045F85">
        <w:rPr>
          <w:color w:val="auto"/>
          <w:vertAlign w:val="superscript"/>
        </w:rPr>
        <w:t>123</w:t>
      </w:r>
      <w:r w:rsidR="003B4309" w:rsidRPr="00045F85">
        <w:rPr>
          <w:color w:val="auto"/>
        </w:rPr>
        <w:t>I]</w:t>
      </w:r>
      <w:r w:rsidRPr="00045F85">
        <w:rPr>
          <w:color w:val="auto"/>
        </w:rPr>
        <w:t>-FP-CIT), should be considered in</w:t>
      </w:r>
      <w:r w:rsidR="00B56354" w:rsidRPr="00045F85">
        <w:rPr>
          <w:color w:val="auto"/>
        </w:rPr>
        <w:t xml:space="preserve"> the framework of</w:t>
      </w:r>
      <w:r w:rsidRPr="00045F85">
        <w:rPr>
          <w:color w:val="auto"/>
        </w:rPr>
        <w:t xml:space="preserve"> research studies but they should not </w:t>
      </w:r>
      <w:r w:rsidR="001D1C80" w:rsidRPr="00045F85">
        <w:rPr>
          <w:color w:val="auto"/>
        </w:rPr>
        <w:t xml:space="preserve">significantly </w:t>
      </w:r>
      <w:r w:rsidRPr="00045F85">
        <w:rPr>
          <w:color w:val="auto"/>
        </w:rPr>
        <w:t>affect the interpretation of visual assessments in clinical routine application [</w:t>
      </w:r>
      <w:r w:rsidR="00DA71A1" w:rsidRPr="00045F85">
        <w:rPr>
          <w:color w:val="auto"/>
        </w:rPr>
        <w:t>33</w:t>
      </w:r>
      <w:r w:rsidRPr="00045F85">
        <w:rPr>
          <w:color w:val="auto"/>
        </w:rPr>
        <w:t xml:space="preserve">]. </w:t>
      </w:r>
    </w:p>
    <w:p w14:paraId="56117719" w14:textId="1FD13AFA" w:rsidR="00EA01E5" w:rsidRPr="00045F85" w:rsidRDefault="002E1B85" w:rsidP="00C97AB2">
      <w:pPr>
        <w:pStyle w:val="Listenabsatz"/>
        <w:rPr>
          <w:color w:val="auto"/>
        </w:rPr>
      </w:pPr>
      <w:r w:rsidRPr="00045F85">
        <w:rPr>
          <w:color w:val="auto"/>
        </w:rPr>
        <w:t>Chronic lithium treatment might significantly reduce DAT binding as demonstrated in a patie</w:t>
      </w:r>
      <w:r w:rsidR="009C281B" w:rsidRPr="00045F85">
        <w:rPr>
          <w:color w:val="auto"/>
        </w:rPr>
        <w:t xml:space="preserve">nt with clinical parkinsonism, </w:t>
      </w:r>
      <w:r w:rsidRPr="00045F85">
        <w:rPr>
          <w:color w:val="auto"/>
        </w:rPr>
        <w:t xml:space="preserve">a finding reversed after lithium withdrawal in parallel with recovery </w:t>
      </w:r>
      <w:r w:rsidR="008731BD" w:rsidRPr="00045F85">
        <w:rPr>
          <w:color w:val="auto"/>
        </w:rPr>
        <w:t>from</w:t>
      </w:r>
      <w:r w:rsidRPr="00045F85">
        <w:rPr>
          <w:color w:val="auto"/>
        </w:rPr>
        <w:t xml:space="preserve"> </w:t>
      </w:r>
      <w:r w:rsidR="00504A08" w:rsidRPr="00045F85">
        <w:rPr>
          <w:color w:val="auto"/>
        </w:rPr>
        <w:t>parkinsonian</w:t>
      </w:r>
      <w:r w:rsidRPr="00045F85">
        <w:rPr>
          <w:color w:val="auto"/>
        </w:rPr>
        <w:t xml:space="preserve"> symptoms.  A possible mechanism,  could be the impaired synaptic DA release induced by lithium leading to compensatory  dow</w:t>
      </w:r>
      <w:r w:rsidR="00190B0D" w:rsidRPr="00045F85">
        <w:rPr>
          <w:color w:val="auto"/>
        </w:rPr>
        <w:t>n-regulation of membrane DAT [37</w:t>
      </w:r>
      <w:r w:rsidR="00995282" w:rsidRPr="00045F85">
        <w:rPr>
          <w:color w:val="auto"/>
        </w:rPr>
        <w:t>].</w:t>
      </w:r>
      <w:r w:rsidRPr="00045F85">
        <w:rPr>
          <w:color w:val="auto"/>
        </w:rPr>
        <w:t xml:space="preserve"> </w:t>
      </w:r>
    </w:p>
    <w:p w14:paraId="0F9B147D" w14:textId="78D57AEA" w:rsidR="006C5E2A" w:rsidRPr="00045F85" w:rsidRDefault="009A6C9E" w:rsidP="00C97AB2">
      <w:pPr>
        <w:pStyle w:val="Listenabsatz"/>
        <w:rPr>
          <w:color w:val="auto"/>
        </w:rPr>
      </w:pPr>
      <w:r w:rsidRPr="00045F85">
        <w:rPr>
          <w:color w:val="auto"/>
        </w:rPr>
        <w:t xml:space="preserve">Neuroleptics and </w:t>
      </w:r>
      <w:r w:rsidR="00C2584E" w:rsidRPr="00045F85">
        <w:rPr>
          <w:color w:val="auto"/>
        </w:rPr>
        <w:t xml:space="preserve">Cholinesterase inhibitors </w:t>
      </w:r>
      <w:r w:rsidRPr="00045F85">
        <w:rPr>
          <w:color w:val="auto"/>
        </w:rPr>
        <w:t>should</w:t>
      </w:r>
      <w:r w:rsidR="00C2584E" w:rsidRPr="00045F85">
        <w:rPr>
          <w:color w:val="auto"/>
        </w:rPr>
        <w:t xml:space="preserve"> not interfere significantly with </w:t>
      </w:r>
      <w:r w:rsidR="00D91854" w:rsidRPr="00045F85">
        <w:rPr>
          <w:color w:val="auto"/>
        </w:rPr>
        <w:t>tracer</w:t>
      </w:r>
      <w:r w:rsidR="003120DB" w:rsidRPr="00045F85">
        <w:rPr>
          <w:color w:val="auto"/>
        </w:rPr>
        <w:t xml:space="preserve"> binding to DA</w:t>
      </w:r>
      <w:r w:rsidR="00190B0D" w:rsidRPr="00045F85">
        <w:rPr>
          <w:color w:val="auto"/>
        </w:rPr>
        <w:t>T [36</w:t>
      </w:r>
      <w:r w:rsidR="00EE053F" w:rsidRPr="00045F85">
        <w:rPr>
          <w:color w:val="auto"/>
        </w:rPr>
        <w:t>]</w:t>
      </w:r>
      <w:r w:rsidR="00C2584E" w:rsidRPr="00045F85">
        <w:rPr>
          <w:color w:val="auto"/>
        </w:rPr>
        <w:t xml:space="preserve">. </w:t>
      </w:r>
    </w:p>
    <w:p w14:paraId="00F94096" w14:textId="59B2D0A0" w:rsidR="00D023B9" w:rsidRPr="00045F85" w:rsidRDefault="00C2584E" w:rsidP="00C97AB2">
      <w:pPr>
        <w:pStyle w:val="Listenabsatz"/>
        <w:rPr>
          <w:color w:val="auto"/>
        </w:rPr>
      </w:pPr>
      <w:r w:rsidRPr="00045F85">
        <w:rPr>
          <w:color w:val="auto"/>
        </w:rPr>
        <w:t>Anti-</w:t>
      </w:r>
      <w:r w:rsidR="00504A08" w:rsidRPr="00045F85">
        <w:rPr>
          <w:color w:val="auto"/>
        </w:rPr>
        <w:t>Parkinsonian</w:t>
      </w:r>
      <w:r w:rsidRPr="00045F85">
        <w:rPr>
          <w:color w:val="auto"/>
        </w:rPr>
        <w:t xml:space="preserve"> drugs (e.g., L-</w:t>
      </w:r>
      <w:r w:rsidR="00C47A44" w:rsidRPr="00045F85">
        <w:rPr>
          <w:color w:val="auto"/>
        </w:rPr>
        <w:t>DOPA</w:t>
      </w:r>
      <w:r w:rsidRPr="00045F85">
        <w:rPr>
          <w:color w:val="auto"/>
        </w:rPr>
        <w:t xml:space="preserve">, dopamine agonists, monoamine oxidase B inhibitors, N-methyl-D-aspartate receptor blockers, amantadine, and catechol-O-methyltransferase inhibitors in standard dosages) do not </w:t>
      </w:r>
      <w:r w:rsidR="00C97AB2" w:rsidRPr="00045F85">
        <w:rPr>
          <w:color w:val="auto"/>
        </w:rPr>
        <w:t xml:space="preserve">significantly </w:t>
      </w:r>
      <w:r w:rsidRPr="00045F85">
        <w:rPr>
          <w:color w:val="auto"/>
        </w:rPr>
        <w:t xml:space="preserve">interfere </w:t>
      </w:r>
      <w:r w:rsidR="003120DB" w:rsidRPr="00045F85">
        <w:rPr>
          <w:color w:val="auto"/>
        </w:rPr>
        <w:t xml:space="preserve">with </w:t>
      </w:r>
      <w:r w:rsidR="00C47A44" w:rsidRPr="00045F85">
        <w:rPr>
          <w:color w:val="auto"/>
        </w:rPr>
        <w:t>[</w:t>
      </w:r>
      <w:r w:rsidR="00C47A44" w:rsidRPr="00045F85">
        <w:rPr>
          <w:color w:val="auto"/>
          <w:vertAlign w:val="superscript"/>
        </w:rPr>
        <w:t>123</w:t>
      </w:r>
      <w:r w:rsidR="00C47A44" w:rsidRPr="00045F85">
        <w:rPr>
          <w:color w:val="auto"/>
        </w:rPr>
        <w:t>I]-</w:t>
      </w:r>
      <w:r w:rsidR="0021170E" w:rsidRPr="00045F85">
        <w:rPr>
          <w:color w:val="auto"/>
        </w:rPr>
        <w:t>FP-CIT</w:t>
      </w:r>
      <w:r w:rsidR="003120DB" w:rsidRPr="00045F85">
        <w:rPr>
          <w:color w:val="auto"/>
        </w:rPr>
        <w:t xml:space="preserve"> binding to DA</w:t>
      </w:r>
      <w:r w:rsidRPr="00045F85">
        <w:rPr>
          <w:color w:val="auto"/>
        </w:rPr>
        <w:t xml:space="preserve">T </w:t>
      </w:r>
      <w:r w:rsidR="00190B0D" w:rsidRPr="00045F85">
        <w:rPr>
          <w:color w:val="auto"/>
        </w:rPr>
        <w:t>[36, 38</w:t>
      </w:r>
      <w:r w:rsidR="00EE053F" w:rsidRPr="00045F85">
        <w:rPr>
          <w:color w:val="auto"/>
        </w:rPr>
        <w:t>]</w:t>
      </w:r>
      <w:r w:rsidRPr="00045F85">
        <w:rPr>
          <w:color w:val="auto"/>
        </w:rPr>
        <w:t xml:space="preserve">. </w:t>
      </w:r>
    </w:p>
    <w:p w14:paraId="752F6E31" w14:textId="4C9B19C4" w:rsidR="00C2584E" w:rsidRPr="00045F85" w:rsidRDefault="00C97AB2" w:rsidP="00C97AB2">
      <w:pPr>
        <w:pStyle w:val="Listenabsatz"/>
        <w:rPr>
          <w:color w:val="auto"/>
        </w:rPr>
      </w:pPr>
      <w:r w:rsidRPr="00045F85">
        <w:rPr>
          <w:color w:val="auto"/>
        </w:rPr>
        <w:t>N</w:t>
      </w:r>
      <w:r w:rsidR="008C08E6" w:rsidRPr="00045F85">
        <w:rPr>
          <w:color w:val="auto"/>
        </w:rPr>
        <w:t>icotine use (smoking, vaping, chewing tobacco)</w:t>
      </w:r>
      <w:r w:rsidR="00C2584E" w:rsidRPr="00045F85">
        <w:rPr>
          <w:color w:val="auto"/>
        </w:rPr>
        <w:t xml:space="preserve"> may int</w:t>
      </w:r>
      <w:r w:rsidR="00D023B9" w:rsidRPr="00045F85">
        <w:rPr>
          <w:color w:val="auto"/>
        </w:rPr>
        <w:t>e</w:t>
      </w:r>
      <w:r w:rsidR="00190B0D" w:rsidRPr="00045F85">
        <w:rPr>
          <w:color w:val="auto"/>
        </w:rPr>
        <w:t>rfere with DAT availability [39</w:t>
      </w:r>
      <w:r w:rsidR="00C2584E" w:rsidRPr="00045F85">
        <w:rPr>
          <w:color w:val="auto"/>
        </w:rPr>
        <w:t xml:space="preserve">]; however, </w:t>
      </w:r>
      <w:r w:rsidRPr="00045F85">
        <w:rPr>
          <w:color w:val="auto"/>
        </w:rPr>
        <w:t>it has been suggested that this</w:t>
      </w:r>
      <w:r w:rsidR="00C2584E" w:rsidRPr="00045F85">
        <w:rPr>
          <w:color w:val="auto"/>
        </w:rPr>
        <w:t xml:space="preserve"> effect </w:t>
      </w:r>
      <w:r w:rsidRPr="00045F85">
        <w:rPr>
          <w:color w:val="auto"/>
        </w:rPr>
        <w:t>is</w:t>
      </w:r>
      <w:r w:rsidR="00C2584E" w:rsidRPr="00045F85">
        <w:rPr>
          <w:color w:val="auto"/>
        </w:rPr>
        <w:t xml:space="preserve"> too small to </w:t>
      </w:r>
      <w:r w:rsidRPr="00045F85">
        <w:rPr>
          <w:color w:val="auto"/>
        </w:rPr>
        <w:t>affect scan interpretation</w:t>
      </w:r>
      <w:r w:rsidR="00D5112E" w:rsidRPr="00045F85">
        <w:rPr>
          <w:color w:val="auto"/>
        </w:rPr>
        <w:t>.</w:t>
      </w:r>
    </w:p>
    <w:p w14:paraId="37A33461" w14:textId="77777777" w:rsidR="00C2584E" w:rsidRPr="00045F85" w:rsidRDefault="00C2584E" w:rsidP="00C2584E">
      <w:pPr>
        <w:autoSpaceDE w:val="0"/>
        <w:autoSpaceDN w:val="0"/>
        <w:adjustRightInd w:val="0"/>
        <w:ind w:left="360"/>
        <w:rPr>
          <w:rFonts w:cs="Arial"/>
        </w:rPr>
      </w:pPr>
    </w:p>
    <w:p w14:paraId="12639BA2" w14:textId="242504A8" w:rsidR="009A654D" w:rsidRPr="00045F85" w:rsidRDefault="009A654D" w:rsidP="009A654D">
      <w:pPr>
        <w:autoSpaceDE w:val="0"/>
        <w:autoSpaceDN w:val="0"/>
        <w:adjustRightInd w:val="0"/>
        <w:rPr>
          <w:rFonts w:cs="Arial"/>
        </w:rPr>
      </w:pPr>
      <w:r w:rsidRPr="00045F85">
        <w:rPr>
          <w:rFonts w:cs="Arial"/>
        </w:rPr>
        <w:t xml:space="preserve">An </w:t>
      </w:r>
      <w:r w:rsidR="00C62EE2" w:rsidRPr="00045F85">
        <w:rPr>
          <w:rFonts w:cs="Arial"/>
        </w:rPr>
        <w:t>more detailed discussion</w:t>
      </w:r>
      <w:r w:rsidRPr="00045F85">
        <w:rPr>
          <w:rFonts w:cs="Arial"/>
        </w:rPr>
        <w:t xml:space="preserve"> of drug effects on DAT SPECT </w:t>
      </w:r>
      <w:r w:rsidR="00C62EE2" w:rsidRPr="00045F85">
        <w:rPr>
          <w:rFonts w:cs="Arial"/>
        </w:rPr>
        <w:t>can be found</w:t>
      </w:r>
      <w:r w:rsidRPr="00045F85">
        <w:rPr>
          <w:rFonts w:cs="Arial"/>
        </w:rPr>
        <w:t xml:space="preserve"> in </w:t>
      </w:r>
      <w:r w:rsidR="00C62EE2" w:rsidRPr="00045F85">
        <w:rPr>
          <w:rFonts w:cs="Arial"/>
        </w:rPr>
        <w:t xml:space="preserve">reference </w:t>
      </w:r>
      <w:r w:rsidR="00190B0D" w:rsidRPr="00045F85">
        <w:rPr>
          <w:rFonts w:cs="Arial"/>
        </w:rPr>
        <w:t>33</w:t>
      </w:r>
      <w:r w:rsidR="00C62EE2" w:rsidRPr="00045F85">
        <w:rPr>
          <w:rFonts w:cs="Arial"/>
        </w:rPr>
        <w:t>.</w:t>
      </w:r>
    </w:p>
    <w:p w14:paraId="7D0E9E01" w14:textId="77777777" w:rsidR="00C2584E" w:rsidRPr="00045F85" w:rsidRDefault="00C2584E" w:rsidP="00A23AC6">
      <w:pPr>
        <w:autoSpaceDE w:val="0"/>
        <w:autoSpaceDN w:val="0"/>
        <w:adjustRightInd w:val="0"/>
        <w:spacing w:after="0"/>
        <w:rPr>
          <w:rFonts w:cs="Arial"/>
          <w:highlight w:val="yellow"/>
        </w:rPr>
      </w:pPr>
    </w:p>
    <w:p w14:paraId="34D08154" w14:textId="77777777" w:rsidR="0005431C" w:rsidRPr="00045F85" w:rsidRDefault="0005431C" w:rsidP="00A23AC6">
      <w:pPr>
        <w:autoSpaceDE w:val="0"/>
        <w:autoSpaceDN w:val="0"/>
        <w:adjustRightInd w:val="0"/>
        <w:spacing w:after="0"/>
        <w:rPr>
          <w:rFonts w:cs="Arial"/>
          <w:i/>
        </w:rPr>
      </w:pPr>
      <w:r w:rsidRPr="00045F85">
        <w:rPr>
          <w:rFonts w:cs="Arial"/>
          <w:i/>
        </w:rPr>
        <w:t>Preinjection</w:t>
      </w:r>
    </w:p>
    <w:p w14:paraId="45489E8A" w14:textId="6B4BA983" w:rsidR="006A0131" w:rsidRPr="00045F85" w:rsidRDefault="00100DA8" w:rsidP="00E2149C">
      <w:pPr>
        <w:pStyle w:val="Kommentartext"/>
        <w:rPr>
          <w:rFonts w:cs="Arial"/>
        </w:rPr>
      </w:pPr>
      <w:r w:rsidRPr="00045F85">
        <w:rPr>
          <w:rFonts w:cs="Arial"/>
        </w:rPr>
        <w:t xml:space="preserve">To reduce </w:t>
      </w:r>
      <w:r w:rsidR="00D73D94" w:rsidRPr="00045F85">
        <w:rPr>
          <w:rFonts w:cs="Arial"/>
          <w:vertAlign w:val="superscript"/>
        </w:rPr>
        <w:t>123</w:t>
      </w:r>
      <w:r w:rsidR="00D73D94" w:rsidRPr="00045F85">
        <w:rPr>
          <w:rFonts w:cs="Arial"/>
        </w:rPr>
        <w:t xml:space="preserve">I radiation </w:t>
      </w:r>
      <w:r w:rsidRPr="00045F85">
        <w:rPr>
          <w:rFonts w:cs="Arial"/>
        </w:rPr>
        <w:t xml:space="preserve">exposure </w:t>
      </w:r>
      <w:r w:rsidR="00D73D94" w:rsidRPr="00045F85">
        <w:rPr>
          <w:rFonts w:cs="Arial"/>
        </w:rPr>
        <w:t>to</w:t>
      </w:r>
      <w:r w:rsidRPr="00045F85">
        <w:rPr>
          <w:rFonts w:cs="Arial"/>
        </w:rPr>
        <w:t xml:space="preserve"> the thyroid, a single </w:t>
      </w:r>
      <w:r w:rsidR="00D73D94" w:rsidRPr="00045F85">
        <w:rPr>
          <w:rFonts w:cs="Arial"/>
        </w:rPr>
        <w:t>administration</w:t>
      </w:r>
      <w:r w:rsidRPr="00045F85">
        <w:rPr>
          <w:rFonts w:cs="Arial"/>
        </w:rPr>
        <w:t xml:space="preserve"> of potassium iodide oral solution or Lugol's solution (equivalent to 100 mg iodide)</w:t>
      </w:r>
      <w:r w:rsidR="00AA0658" w:rsidRPr="00045F85">
        <w:rPr>
          <w:rFonts w:cs="Arial"/>
        </w:rPr>
        <w:t xml:space="preserve"> or </w:t>
      </w:r>
      <w:r w:rsidR="00AA0658" w:rsidRPr="00045F85">
        <w:t xml:space="preserve">potassium iodide tablet, </w:t>
      </w:r>
      <w:r w:rsidRPr="00045F85">
        <w:rPr>
          <w:rFonts w:cs="Arial"/>
        </w:rPr>
        <w:t>potassium perchlorate (400 mg)</w:t>
      </w:r>
      <w:r w:rsidR="00E2149C" w:rsidRPr="00045F85">
        <w:rPr>
          <w:rFonts w:cs="Arial"/>
        </w:rPr>
        <w:t xml:space="preserve">, or sodium perchlorate (600 mg) </w:t>
      </w:r>
      <w:r w:rsidRPr="00045F85">
        <w:rPr>
          <w:rFonts w:cs="Arial"/>
        </w:rPr>
        <w:t>should be</w:t>
      </w:r>
      <w:r w:rsidR="002B3FAA" w:rsidRPr="00045F85">
        <w:rPr>
          <w:rFonts w:cs="Arial"/>
        </w:rPr>
        <w:t xml:space="preserve"> </w:t>
      </w:r>
      <w:r w:rsidR="00D73D94" w:rsidRPr="00045F85">
        <w:rPr>
          <w:rFonts w:cs="Arial"/>
        </w:rPr>
        <w:t>given</w:t>
      </w:r>
      <w:r w:rsidR="0005431C" w:rsidRPr="00045F85">
        <w:rPr>
          <w:rFonts w:cs="Arial"/>
        </w:rPr>
        <w:t xml:space="preserve"> at least one hour bef</w:t>
      </w:r>
      <w:r w:rsidR="00312B58" w:rsidRPr="00045F85">
        <w:rPr>
          <w:rFonts w:cs="Arial"/>
        </w:rPr>
        <w:t xml:space="preserve">ore </w:t>
      </w:r>
      <w:r w:rsidR="00D73D94" w:rsidRPr="00045F85">
        <w:rPr>
          <w:rFonts w:cs="Arial"/>
        </w:rPr>
        <w:t xml:space="preserve">injection </w:t>
      </w:r>
      <w:r w:rsidR="00312B58" w:rsidRPr="00045F85">
        <w:rPr>
          <w:rFonts w:cs="Arial"/>
        </w:rPr>
        <w:t xml:space="preserve">of </w:t>
      </w:r>
      <w:r w:rsidR="00C21E0B" w:rsidRPr="00045F85">
        <w:rPr>
          <w:rFonts w:cs="Arial"/>
        </w:rPr>
        <w:t>[</w:t>
      </w:r>
      <w:r w:rsidR="003B3A61" w:rsidRPr="00045F85">
        <w:rPr>
          <w:rFonts w:cs="Arial"/>
          <w:vertAlign w:val="superscript"/>
        </w:rPr>
        <w:t>123</w:t>
      </w:r>
      <w:r w:rsidR="003B3A61" w:rsidRPr="00045F85">
        <w:rPr>
          <w:rFonts w:cs="Arial"/>
        </w:rPr>
        <w:t>I</w:t>
      </w:r>
      <w:r w:rsidR="00C21E0B" w:rsidRPr="00045F85">
        <w:rPr>
          <w:rFonts w:cs="Arial"/>
        </w:rPr>
        <w:t>]</w:t>
      </w:r>
      <w:r w:rsidR="007B78E9" w:rsidRPr="00045F85">
        <w:rPr>
          <w:rFonts w:cs="Arial"/>
        </w:rPr>
        <w:t>-</w:t>
      </w:r>
      <w:r w:rsidR="00D91854" w:rsidRPr="00045F85">
        <w:rPr>
          <w:rFonts w:cs="Arial"/>
        </w:rPr>
        <w:t>FP-CIT</w:t>
      </w:r>
      <w:r w:rsidR="00D73D94" w:rsidRPr="00045F85">
        <w:rPr>
          <w:rFonts w:cs="Arial"/>
        </w:rPr>
        <w:t xml:space="preserve"> (unless </w:t>
      </w:r>
      <w:r w:rsidR="002F2F7E" w:rsidRPr="00045F85">
        <w:rPr>
          <w:rFonts w:cs="Arial"/>
        </w:rPr>
        <w:t>known sensitivities</w:t>
      </w:r>
      <w:r w:rsidR="00D73D94" w:rsidRPr="00045F85">
        <w:rPr>
          <w:rFonts w:cs="Arial"/>
        </w:rPr>
        <w:t xml:space="preserve"> to these products are reported)</w:t>
      </w:r>
      <w:r w:rsidR="002F2F7E" w:rsidRPr="00045F85">
        <w:rPr>
          <w:rFonts w:cs="Arial"/>
        </w:rPr>
        <w:t xml:space="preserve">. </w:t>
      </w:r>
      <w:r w:rsidR="0005431C" w:rsidRPr="00045F85">
        <w:rPr>
          <w:rFonts w:cs="Arial"/>
        </w:rPr>
        <w:t>Even in the absence of a blocking agent, the radiation do</w:t>
      </w:r>
      <w:r w:rsidR="00312B58" w:rsidRPr="00045F85">
        <w:rPr>
          <w:rFonts w:cs="Arial"/>
        </w:rPr>
        <w:t>se</w:t>
      </w:r>
      <w:r w:rsidR="00280FEE" w:rsidRPr="00045F85">
        <w:rPr>
          <w:rFonts w:cs="Arial"/>
        </w:rPr>
        <w:t xml:space="preserve"> to the thyroid would be low [13</w:t>
      </w:r>
      <w:r w:rsidR="00312B58" w:rsidRPr="00045F85">
        <w:rPr>
          <w:rFonts w:cs="Arial"/>
        </w:rPr>
        <w:t>]</w:t>
      </w:r>
      <w:r w:rsidR="009500DC" w:rsidRPr="00045F85">
        <w:rPr>
          <w:rFonts w:cs="Arial"/>
        </w:rPr>
        <w:t>.</w:t>
      </w:r>
      <w:r w:rsidR="006A0131" w:rsidRPr="00045F85">
        <w:t xml:space="preserve"> </w:t>
      </w:r>
      <w:r w:rsidR="00D73D94" w:rsidRPr="00045F85">
        <w:t>Injection of the tracers is contraindicated in case of known</w:t>
      </w:r>
      <w:r w:rsidR="006A180D" w:rsidRPr="00045F85">
        <w:t xml:space="preserve"> hypersensitivity to the active substance or to any of its excipients</w:t>
      </w:r>
      <w:r w:rsidR="0000422F" w:rsidRPr="00045F85">
        <w:t>.</w:t>
      </w:r>
      <w:r w:rsidR="006A180D" w:rsidRPr="00045F85">
        <w:t xml:space="preserve"> An iodine allergy is, however, </w:t>
      </w:r>
      <w:r w:rsidR="006A180D" w:rsidRPr="00045F85">
        <w:lastRenderedPageBreak/>
        <w:t>not a contraindication to receiving th</w:t>
      </w:r>
      <w:r w:rsidR="00CC1381" w:rsidRPr="00045F85">
        <w:t>is tracer.</w:t>
      </w:r>
      <w:r w:rsidR="0000422F" w:rsidRPr="00045F85">
        <w:t xml:space="preserve"> Anti-allergy premedication can be considered in specific cases.</w:t>
      </w:r>
    </w:p>
    <w:p w14:paraId="7323ADE8" w14:textId="77777777" w:rsidR="004A1985" w:rsidRPr="00045F85" w:rsidRDefault="006E384F" w:rsidP="0042064C">
      <w:pPr>
        <w:autoSpaceDE w:val="0"/>
        <w:autoSpaceDN w:val="0"/>
        <w:adjustRightInd w:val="0"/>
        <w:spacing w:after="0"/>
        <w:rPr>
          <w:rFonts w:cs="Arial"/>
          <w:i/>
        </w:rPr>
      </w:pPr>
      <w:r w:rsidRPr="00045F85">
        <w:rPr>
          <w:rFonts w:cs="Arial"/>
          <w:i/>
        </w:rPr>
        <w:t>Precautions</w:t>
      </w:r>
    </w:p>
    <w:p w14:paraId="3AD386EE" w14:textId="37A52502" w:rsidR="006E384F" w:rsidRPr="00045F85" w:rsidRDefault="006E384F" w:rsidP="0042064C">
      <w:pPr>
        <w:autoSpaceDE w:val="0"/>
        <w:autoSpaceDN w:val="0"/>
        <w:adjustRightInd w:val="0"/>
        <w:spacing w:after="0"/>
        <w:rPr>
          <w:rFonts w:cs="Arial"/>
        </w:rPr>
      </w:pPr>
      <w:r w:rsidRPr="00045F85">
        <w:rPr>
          <w:rFonts w:cs="Arial"/>
        </w:rPr>
        <w:t xml:space="preserve">Continuous supervision of the patients during </w:t>
      </w:r>
      <w:r w:rsidR="0047120C" w:rsidRPr="00045F85">
        <w:rPr>
          <w:rFonts w:cs="Arial"/>
        </w:rPr>
        <w:t>images acquisition</w:t>
      </w:r>
      <w:r w:rsidRPr="00045F85">
        <w:rPr>
          <w:rFonts w:cs="Arial"/>
        </w:rPr>
        <w:t xml:space="preserve"> is </w:t>
      </w:r>
      <w:r w:rsidR="0047120C" w:rsidRPr="00045F85">
        <w:rPr>
          <w:rFonts w:cs="Arial"/>
        </w:rPr>
        <w:t>mandatory</w:t>
      </w:r>
      <w:r w:rsidRPr="00045F85">
        <w:rPr>
          <w:rFonts w:cs="Arial"/>
        </w:rPr>
        <w:t>.</w:t>
      </w:r>
      <w:r w:rsidR="00342F4E" w:rsidRPr="00045F85">
        <w:rPr>
          <w:rFonts w:cs="Arial"/>
        </w:rPr>
        <w:t xml:space="preserve"> </w:t>
      </w:r>
      <w:r w:rsidR="00342F4E" w:rsidRPr="00045F85">
        <w:t xml:space="preserve">This is especially important for uncooperative </w:t>
      </w:r>
      <w:r w:rsidR="0047120C" w:rsidRPr="00045F85">
        <w:t>subjects</w:t>
      </w:r>
      <w:r w:rsidR="00342F4E" w:rsidRPr="00045F85">
        <w:t xml:space="preserve"> due to cognitive/behavioural symptoms</w:t>
      </w:r>
      <w:r w:rsidR="0047120C" w:rsidRPr="00045F85">
        <w:t xml:space="preserve"> which can occur </w:t>
      </w:r>
      <w:r w:rsidR="00342F4E" w:rsidRPr="00045F85">
        <w:t xml:space="preserve">in </w:t>
      </w:r>
      <w:r w:rsidR="0047120C" w:rsidRPr="00045F85">
        <w:t xml:space="preserve">presence of </w:t>
      </w:r>
      <w:r w:rsidR="00342F4E" w:rsidRPr="00045F85">
        <w:t xml:space="preserve">some parkinsonian </w:t>
      </w:r>
      <w:r w:rsidR="0047120C" w:rsidRPr="00045F85">
        <w:t>syndromes</w:t>
      </w:r>
      <w:r w:rsidR="00342F4E" w:rsidRPr="00045F85">
        <w:t>.</w:t>
      </w:r>
    </w:p>
    <w:p w14:paraId="5FEC36CB" w14:textId="77777777" w:rsidR="002920D2" w:rsidRPr="00045F85" w:rsidRDefault="002920D2" w:rsidP="0042064C">
      <w:pPr>
        <w:autoSpaceDE w:val="0"/>
        <w:autoSpaceDN w:val="0"/>
        <w:adjustRightInd w:val="0"/>
        <w:spacing w:after="0"/>
        <w:rPr>
          <w:rFonts w:cs="Arial"/>
        </w:rPr>
      </w:pPr>
    </w:p>
    <w:p w14:paraId="03FEFDE4" w14:textId="77777777" w:rsidR="00EC6782" w:rsidRPr="00045F85" w:rsidRDefault="00EC6782" w:rsidP="0042064C">
      <w:pPr>
        <w:autoSpaceDE w:val="0"/>
        <w:autoSpaceDN w:val="0"/>
        <w:adjustRightInd w:val="0"/>
        <w:spacing w:after="0"/>
        <w:rPr>
          <w:rFonts w:cs="Arial"/>
          <w:i/>
        </w:rPr>
      </w:pPr>
      <w:r w:rsidRPr="00045F85">
        <w:rPr>
          <w:rFonts w:cs="Arial"/>
          <w:i/>
        </w:rPr>
        <w:t>Preparation of the radio</w:t>
      </w:r>
      <w:r w:rsidR="002920D2" w:rsidRPr="00045F85">
        <w:rPr>
          <w:rFonts w:cs="Arial"/>
          <w:i/>
        </w:rPr>
        <w:t>pharmaceu</w:t>
      </w:r>
      <w:r w:rsidRPr="00045F85">
        <w:rPr>
          <w:rFonts w:cs="Arial"/>
          <w:i/>
        </w:rPr>
        <w:t xml:space="preserve">tical </w:t>
      </w:r>
    </w:p>
    <w:p w14:paraId="685EB5C5" w14:textId="161CFA69" w:rsidR="00EC6782" w:rsidRPr="00045F85" w:rsidRDefault="007B78E9" w:rsidP="0042064C">
      <w:pPr>
        <w:autoSpaceDE w:val="0"/>
        <w:autoSpaceDN w:val="0"/>
        <w:adjustRightInd w:val="0"/>
        <w:spacing w:after="0"/>
        <w:rPr>
          <w:rFonts w:cs="Arial"/>
        </w:rPr>
      </w:pPr>
      <w:r w:rsidRPr="00045F85">
        <w:rPr>
          <w:rFonts w:cs="Arial"/>
        </w:rPr>
        <w:t xml:space="preserve">Radiopharmaceuticals </w:t>
      </w:r>
      <w:r w:rsidR="00AD71B7" w:rsidRPr="00045F85">
        <w:rPr>
          <w:rFonts w:cs="Arial"/>
        </w:rPr>
        <w:t>is</w:t>
      </w:r>
      <w:r w:rsidRPr="00045F85">
        <w:rPr>
          <w:rFonts w:cs="Arial"/>
        </w:rPr>
        <w:t xml:space="preserve"> delivered ready to use. </w:t>
      </w:r>
    </w:p>
    <w:p w14:paraId="14702B46" w14:textId="77777777" w:rsidR="007B78E9" w:rsidRPr="00045F85" w:rsidRDefault="007B78E9" w:rsidP="0042064C">
      <w:pPr>
        <w:autoSpaceDE w:val="0"/>
        <w:autoSpaceDN w:val="0"/>
        <w:adjustRightInd w:val="0"/>
        <w:spacing w:after="0"/>
        <w:rPr>
          <w:rFonts w:cs="Arial"/>
        </w:rPr>
      </w:pPr>
    </w:p>
    <w:p w14:paraId="566E0FE5" w14:textId="576498A2" w:rsidR="004709CD" w:rsidRPr="00045F85" w:rsidRDefault="00833331" w:rsidP="00833331">
      <w:pPr>
        <w:autoSpaceDE w:val="0"/>
        <w:autoSpaceDN w:val="0"/>
        <w:adjustRightInd w:val="0"/>
        <w:spacing w:after="0"/>
        <w:rPr>
          <w:rFonts w:cs="Arial"/>
          <w:i/>
        </w:rPr>
      </w:pPr>
      <w:r w:rsidRPr="00045F85">
        <w:rPr>
          <w:rFonts w:cs="Arial"/>
          <w:i/>
        </w:rPr>
        <w:t>Quality control check</w:t>
      </w:r>
    </w:p>
    <w:p w14:paraId="494073E4" w14:textId="29F2416E" w:rsidR="004709CD" w:rsidRPr="00045F85" w:rsidRDefault="00AD71B7" w:rsidP="004709CD">
      <w:pPr>
        <w:autoSpaceDE w:val="0"/>
        <w:autoSpaceDN w:val="0"/>
        <w:adjustRightInd w:val="0"/>
        <w:spacing w:after="0"/>
        <w:rPr>
          <w:rFonts w:cs="Arial"/>
        </w:rPr>
      </w:pPr>
      <w:r w:rsidRPr="00045F85">
        <w:rPr>
          <w:rFonts w:cs="Arial"/>
        </w:rPr>
        <w:t>Q</w:t>
      </w:r>
      <w:r w:rsidR="00833331" w:rsidRPr="00045F85">
        <w:rPr>
          <w:rFonts w:cs="Arial"/>
        </w:rPr>
        <w:t>uality control parameters as listed in the package inserts</w:t>
      </w:r>
      <w:r w:rsidR="004709CD" w:rsidRPr="00045F85">
        <w:rPr>
          <w:rFonts w:cs="Arial"/>
        </w:rPr>
        <w:t xml:space="preserve">. The instructions provided by the manufacturer </w:t>
      </w:r>
      <w:r w:rsidR="00F337AD" w:rsidRPr="00045F85">
        <w:rPr>
          <w:rFonts w:cs="Arial"/>
        </w:rPr>
        <w:t>should</w:t>
      </w:r>
      <w:r w:rsidR="00204EAE" w:rsidRPr="00045F85">
        <w:rPr>
          <w:rFonts w:cs="Arial"/>
        </w:rPr>
        <w:t xml:space="preserve"> be followed.</w:t>
      </w:r>
    </w:p>
    <w:p w14:paraId="3B95FD85" w14:textId="6110A3F0" w:rsidR="00833331" w:rsidRPr="00045F85" w:rsidRDefault="00833331" w:rsidP="00833331">
      <w:pPr>
        <w:autoSpaceDE w:val="0"/>
        <w:autoSpaceDN w:val="0"/>
        <w:adjustRightInd w:val="0"/>
        <w:spacing w:after="0"/>
        <w:rPr>
          <w:rFonts w:cs="Arial"/>
        </w:rPr>
      </w:pPr>
    </w:p>
    <w:p w14:paraId="042BACBD" w14:textId="77777777" w:rsidR="00833331" w:rsidRPr="00045F85" w:rsidRDefault="00833331" w:rsidP="00833331">
      <w:pPr>
        <w:autoSpaceDE w:val="0"/>
        <w:autoSpaceDN w:val="0"/>
        <w:adjustRightInd w:val="0"/>
        <w:spacing w:after="0"/>
        <w:rPr>
          <w:rFonts w:cs="Arial"/>
        </w:rPr>
      </w:pPr>
    </w:p>
    <w:p w14:paraId="1A8E84D6" w14:textId="6534CA06" w:rsidR="00833331" w:rsidRPr="00045F85" w:rsidRDefault="00833331" w:rsidP="009D6B35">
      <w:pPr>
        <w:pStyle w:val="berschrift2"/>
        <w:numPr>
          <w:ilvl w:val="0"/>
          <w:numId w:val="38"/>
        </w:numPr>
        <w:rPr>
          <w:color w:val="auto"/>
        </w:rPr>
      </w:pPr>
      <w:r w:rsidRPr="00045F85">
        <w:rPr>
          <w:color w:val="auto"/>
        </w:rPr>
        <w:t>Injection</w:t>
      </w:r>
    </w:p>
    <w:p w14:paraId="456EF374" w14:textId="77777777" w:rsidR="003B781C" w:rsidRPr="00045F85" w:rsidRDefault="003B781C" w:rsidP="00833331">
      <w:pPr>
        <w:autoSpaceDE w:val="0"/>
        <w:autoSpaceDN w:val="0"/>
        <w:adjustRightInd w:val="0"/>
        <w:spacing w:after="0"/>
        <w:rPr>
          <w:rFonts w:cs="Arial"/>
        </w:rPr>
      </w:pPr>
    </w:p>
    <w:p w14:paraId="688AC5BB" w14:textId="268CA5E9" w:rsidR="00833331" w:rsidRPr="00045F85" w:rsidRDefault="00833331" w:rsidP="00B55D20">
      <w:pPr>
        <w:autoSpaceDE w:val="0"/>
        <w:autoSpaceDN w:val="0"/>
        <w:adjustRightInd w:val="0"/>
        <w:rPr>
          <w:rFonts w:cs="Arial"/>
        </w:rPr>
      </w:pPr>
      <w:r w:rsidRPr="00045F85">
        <w:rPr>
          <w:rFonts w:cs="Arial"/>
        </w:rPr>
        <w:t>Inject</w:t>
      </w:r>
      <w:r w:rsidR="008E17E8" w:rsidRPr="00045F85">
        <w:rPr>
          <w:rFonts w:cs="Arial"/>
        </w:rPr>
        <w:t>ion of</w:t>
      </w:r>
      <w:r w:rsidRPr="00045F85">
        <w:rPr>
          <w:rFonts w:cs="Arial"/>
        </w:rPr>
        <w:t xml:space="preserve"> the radiopharmaceutical </w:t>
      </w:r>
      <w:r w:rsidR="008E17E8" w:rsidRPr="00045F85">
        <w:rPr>
          <w:rFonts w:cs="Arial"/>
        </w:rPr>
        <w:t xml:space="preserve">should be performed (within the time frame given by the manufacturer) </w:t>
      </w:r>
      <w:r w:rsidRPr="00045F85">
        <w:rPr>
          <w:rFonts w:cs="Arial"/>
        </w:rPr>
        <w:t>as a slow</w:t>
      </w:r>
      <w:r w:rsidR="008E17E8" w:rsidRPr="00045F85">
        <w:rPr>
          <w:rFonts w:cs="Arial"/>
        </w:rPr>
        <w:t xml:space="preserve"> </w:t>
      </w:r>
      <w:r w:rsidRPr="00045F85">
        <w:rPr>
          <w:rFonts w:cs="Arial"/>
        </w:rPr>
        <w:t>bolus over followed by a saline flush o</w:t>
      </w:r>
      <w:r w:rsidR="000A5B42" w:rsidRPr="00045F85">
        <w:rPr>
          <w:rFonts w:cs="Arial"/>
        </w:rPr>
        <w:t xml:space="preserve">f the intravenous line. </w:t>
      </w:r>
    </w:p>
    <w:p w14:paraId="31E388CD" w14:textId="77777777" w:rsidR="006B25BA" w:rsidRPr="00045F85" w:rsidRDefault="006B25BA" w:rsidP="0042064C">
      <w:pPr>
        <w:autoSpaceDE w:val="0"/>
        <w:autoSpaceDN w:val="0"/>
        <w:adjustRightInd w:val="0"/>
        <w:spacing w:after="0"/>
        <w:rPr>
          <w:rFonts w:cs="Arial"/>
        </w:rPr>
      </w:pPr>
    </w:p>
    <w:p w14:paraId="29AB0A78" w14:textId="7901FC07" w:rsidR="003B781C" w:rsidRPr="00045F85" w:rsidRDefault="004F0548" w:rsidP="00B55D20">
      <w:pPr>
        <w:autoSpaceDE w:val="0"/>
        <w:autoSpaceDN w:val="0"/>
        <w:adjustRightInd w:val="0"/>
        <w:rPr>
          <w:rFonts w:cs="Arial"/>
          <w:i/>
        </w:rPr>
      </w:pPr>
      <w:r w:rsidRPr="00045F85">
        <w:rPr>
          <w:rFonts w:cs="Arial"/>
          <w:i/>
        </w:rPr>
        <w:t>Administered Dosage</w:t>
      </w:r>
    </w:p>
    <w:p w14:paraId="3D991DF3" w14:textId="77777777" w:rsidR="003B781C" w:rsidRPr="00045F85" w:rsidRDefault="003B781C" w:rsidP="008E17E8">
      <w:pPr>
        <w:pStyle w:val="Listenabsatz"/>
        <w:numPr>
          <w:ilvl w:val="0"/>
          <w:numId w:val="0"/>
        </w:numPr>
        <w:ind w:left="720"/>
        <w:rPr>
          <w:color w:val="auto"/>
        </w:rPr>
      </w:pPr>
    </w:p>
    <w:p w14:paraId="21015F2B" w14:textId="4E11F5FD" w:rsidR="003B781C" w:rsidRPr="00045F85" w:rsidRDefault="0045224F" w:rsidP="00C97AB2">
      <w:pPr>
        <w:pStyle w:val="Listenabsatz"/>
        <w:numPr>
          <w:ilvl w:val="0"/>
          <w:numId w:val="28"/>
        </w:numPr>
        <w:rPr>
          <w:color w:val="auto"/>
        </w:rPr>
      </w:pPr>
      <w:r w:rsidRPr="00045F85">
        <w:rPr>
          <w:color w:val="auto"/>
        </w:rPr>
        <w:t>Adults: 1</w:t>
      </w:r>
      <w:r w:rsidR="009D755C" w:rsidRPr="00045F85">
        <w:rPr>
          <w:color w:val="auto"/>
        </w:rPr>
        <w:t>1</w:t>
      </w:r>
      <w:r w:rsidRPr="00045F85">
        <w:rPr>
          <w:color w:val="auto"/>
        </w:rPr>
        <w:t xml:space="preserve">0–250 MBq (typically 185 MBq) </w:t>
      </w:r>
      <w:r w:rsidR="004A1985" w:rsidRPr="00045F85">
        <w:rPr>
          <w:color w:val="auto"/>
        </w:rPr>
        <w:t>for both [</w:t>
      </w:r>
      <w:r w:rsidR="004A1985" w:rsidRPr="00045F85">
        <w:rPr>
          <w:color w:val="auto"/>
          <w:vertAlign w:val="superscript"/>
        </w:rPr>
        <w:t>123</w:t>
      </w:r>
      <w:r w:rsidR="004A1985" w:rsidRPr="00045F85">
        <w:rPr>
          <w:color w:val="auto"/>
        </w:rPr>
        <w:t>I]FP-CIT and [</w:t>
      </w:r>
      <w:r w:rsidR="004A1985" w:rsidRPr="00045F85">
        <w:rPr>
          <w:color w:val="auto"/>
          <w:vertAlign w:val="superscript"/>
        </w:rPr>
        <w:t>123</w:t>
      </w:r>
      <w:r w:rsidR="004A1985" w:rsidRPr="00045F85">
        <w:rPr>
          <w:color w:val="auto"/>
        </w:rPr>
        <w:t>I]β-CIT</w:t>
      </w:r>
    </w:p>
    <w:p w14:paraId="1ABEAA75" w14:textId="77777777" w:rsidR="003B781C" w:rsidRPr="00045F85" w:rsidRDefault="003B781C" w:rsidP="008E17E8">
      <w:pPr>
        <w:pStyle w:val="Listenabsatz"/>
        <w:numPr>
          <w:ilvl w:val="0"/>
          <w:numId w:val="0"/>
        </w:numPr>
        <w:ind w:left="720"/>
        <w:rPr>
          <w:color w:val="auto"/>
        </w:rPr>
      </w:pPr>
    </w:p>
    <w:p w14:paraId="7DA580A7" w14:textId="30B077E5" w:rsidR="003B781C" w:rsidRPr="00045F85" w:rsidRDefault="00AA29D4" w:rsidP="00C97AB2">
      <w:pPr>
        <w:pStyle w:val="Listenabsatz"/>
        <w:numPr>
          <w:ilvl w:val="0"/>
          <w:numId w:val="28"/>
        </w:numPr>
        <w:rPr>
          <w:color w:val="auto"/>
        </w:rPr>
      </w:pPr>
      <w:r w:rsidRPr="00045F85">
        <w:rPr>
          <w:color w:val="auto"/>
        </w:rPr>
        <w:t>Children: C</w:t>
      </w:r>
      <w:r w:rsidR="0045224F" w:rsidRPr="00045F85">
        <w:rPr>
          <w:color w:val="auto"/>
        </w:rPr>
        <w:t>urrently</w:t>
      </w:r>
      <w:r w:rsidRPr="00045F85">
        <w:rPr>
          <w:color w:val="auto"/>
        </w:rPr>
        <w:t>,</w:t>
      </w:r>
      <w:r w:rsidR="0045224F" w:rsidRPr="00045F85">
        <w:rPr>
          <w:color w:val="auto"/>
        </w:rPr>
        <w:t xml:space="preserve"> </w:t>
      </w:r>
      <w:r w:rsidR="00174337" w:rsidRPr="00045F85">
        <w:rPr>
          <w:color w:val="auto"/>
        </w:rPr>
        <w:t xml:space="preserve">there are </w:t>
      </w:r>
      <w:r w:rsidR="0045224F" w:rsidRPr="00045F85">
        <w:rPr>
          <w:color w:val="auto"/>
        </w:rPr>
        <w:t>no es</w:t>
      </w:r>
      <w:r w:rsidR="002E226C" w:rsidRPr="00045F85">
        <w:rPr>
          <w:color w:val="auto"/>
        </w:rPr>
        <w:t>tablished clinical indications</w:t>
      </w:r>
      <w:r w:rsidR="00174337" w:rsidRPr="00045F85">
        <w:rPr>
          <w:color w:val="auto"/>
        </w:rPr>
        <w:t xml:space="preserve"> </w:t>
      </w:r>
      <w:r w:rsidR="00D50A0E" w:rsidRPr="00045F85">
        <w:rPr>
          <w:color w:val="auto"/>
        </w:rPr>
        <w:t>and safety and efficacy have not been established in pediatric patients</w:t>
      </w:r>
      <w:r w:rsidR="002E226C" w:rsidRPr="00045F85">
        <w:rPr>
          <w:color w:val="auto"/>
        </w:rPr>
        <w:t>. Accordingly, its If indicated in the future</w:t>
      </w:r>
      <w:r w:rsidR="00174337" w:rsidRPr="00045F85">
        <w:rPr>
          <w:color w:val="auto"/>
        </w:rPr>
        <w:t>,</w:t>
      </w:r>
      <w:r w:rsidR="002E226C" w:rsidRPr="00045F85">
        <w:rPr>
          <w:color w:val="auto"/>
        </w:rPr>
        <w:t xml:space="preserve"> </w:t>
      </w:r>
      <w:r w:rsidR="0045224F" w:rsidRPr="00045F85">
        <w:rPr>
          <w:color w:val="auto"/>
        </w:rPr>
        <w:t xml:space="preserve">activity </w:t>
      </w:r>
      <w:r w:rsidR="002E226C" w:rsidRPr="00045F85">
        <w:rPr>
          <w:color w:val="auto"/>
        </w:rPr>
        <w:t xml:space="preserve">should be administered </w:t>
      </w:r>
      <w:r w:rsidR="0045224F" w:rsidRPr="00045F85">
        <w:rPr>
          <w:color w:val="auto"/>
        </w:rPr>
        <w:t xml:space="preserve">according to the recommendations of the EANM </w:t>
      </w:r>
      <w:r w:rsidR="00C21E0B" w:rsidRPr="00045F85">
        <w:rPr>
          <w:color w:val="auto"/>
        </w:rPr>
        <w:t>Pediatric</w:t>
      </w:r>
      <w:r w:rsidR="0045224F" w:rsidRPr="00045F85">
        <w:rPr>
          <w:color w:val="auto"/>
        </w:rPr>
        <w:t xml:space="preserve"> Task Group.</w:t>
      </w:r>
    </w:p>
    <w:p w14:paraId="71658100" w14:textId="77777777" w:rsidR="003B781C" w:rsidRPr="00045F85" w:rsidRDefault="003B781C" w:rsidP="008E17E8">
      <w:pPr>
        <w:pStyle w:val="Listenabsatz"/>
        <w:numPr>
          <w:ilvl w:val="0"/>
          <w:numId w:val="0"/>
        </w:numPr>
        <w:ind w:left="720"/>
        <w:rPr>
          <w:color w:val="auto"/>
        </w:rPr>
      </w:pPr>
    </w:p>
    <w:p w14:paraId="48EE9786" w14:textId="299C0638" w:rsidR="003B781C" w:rsidRPr="00045F85" w:rsidRDefault="003B781C" w:rsidP="00C97AB2">
      <w:pPr>
        <w:pStyle w:val="Listenabsatz"/>
        <w:numPr>
          <w:ilvl w:val="0"/>
          <w:numId w:val="28"/>
        </w:numPr>
        <w:rPr>
          <w:color w:val="auto"/>
        </w:rPr>
      </w:pPr>
      <w:r w:rsidRPr="00045F85">
        <w:rPr>
          <w:color w:val="auto"/>
        </w:rPr>
        <w:t>The effect of renal or hepatic impairment on DAT SPECT imaging has not been established. Because [</w:t>
      </w:r>
      <w:r w:rsidRPr="00045F85">
        <w:rPr>
          <w:color w:val="auto"/>
          <w:vertAlign w:val="superscript"/>
        </w:rPr>
        <w:t>123</w:t>
      </w:r>
      <w:r w:rsidRPr="00045F85">
        <w:rPr>
          <w:color w:val="auto"/>
        </w:rPr>
        <w:t xml:space="preserve">I]-FP-CIT is excreted by the kidneys, patients with severe renal impairment may have increased radiation exposure and altered DAT SPECT images. The patient should also be encouraged to stay hydrated and void frequently the remainder of the day to minimize radiation exposure to the bladder [14]. Hypersensitivity and reactions </w:t>
      </w:r>
      <w:r w:rsidR="00110463" w:rsidRPr="00045F85">
        <w:rPr>
          <w:color w:val="auto"/>
        </w:rPr>
        <w:t xml:space="preserve">in the site of injection </w:t>
      </w:r>
      <w:r w:rsidRPr="00045F85">
        <w:rPr>
          <w:color w:val="auto"/>
        </w:rPr>
        <w:t xml:space="preserve">have been </w:t>
      </w:r>
      <w:r w:rsidR="00110463" w:rsidRPr="00045F85">
        <w:rPr>
          <w:color w:val="auto"/>
        </w:rPr>
        <w:t>described</w:t>
      </w:r>
      <w:r w:rsidRPr="00045F85">
        <w:rPr>
          <w:color w:val="auto"/>
        </w:rPr>
        <w:t xml:space="preserve">. </w:t>
      </w:r>
      <w:r w:rsidR="00110463" w:rsidRPr="00045F85">
        <w:rPr>
          <w:color w:val="auto"/>
        </w:rPr>
        <w:t xml:space="preserve">The </w:t>
      </w:r>
      <w:r w:rsidRPr="00045F85">
        <w:rPr>
          <w:color w:val="auto"/>
        </w:rPr>
        <w:t xml:space="preserve">most common adverse reactions </w:t>
      </w:r>
      <w:r w:rsidR="00110463" w:rsidRPr="00045F85">
        <w:rPr>
          <w:color w:val="auto"/>
        </w:rPr>
        <w:t xml:space="preserve">as reported in clinical trials </w:t>
      </w:r>
      <w:r w:rsidRPr="00045F85">
        <w:rPr>
          <w:color w:val="auto"/>
        </w:rPr>
        <w:t xml:space="preserve">were nausea, </w:t>
      </w:r>
      <w:r w:rsidR="00110463" w:rsidRPr="00045F85">
        <w:rPr>
          <w:color w:val="auto"/>
        </w:rPr>
        <w:t xml:space="preserve">headache, </w:t>
      </w:r>
      <w:r w:rsidRPr="00045F85">
        <w:rPr>
          <w:color w:val="auto"/>
        </w:rPr>
        <w:t>vertigo, and dizziness which occurred in less than 1% of subjects.</w:t>
      </w:r>
    </w:p>
    <w:p w14:paraId="4009898C" w14:textId="77777777" w:rsidR="003B781C" w:rsidRPr="00045F85" w:rsidRDefault="003B781C" w:rsidP="008E17E8">
      <w:pPr>
        <w:pStyle w:val="Listenabsatz"/>
        <w:numPr>
          <w:ilvl w:val="0"/>
          <w:numId w:val="0"/>
        </w:numPr>
        <w:ind w:left="720"/>
        <w:rPr>
          <w:color w:val="auto"/>
        </w:rPr>
      </w:pPr>
    </w:p>
    <w:p w14:paraId="733E6EBD" w14:textId="242D1E69" w:rsidR="00686347" w:rsidRPr="00045F85" w:rsidRDefault="00686347" w:rsidP="00686347">
      <w:pPr>
        <w:rPr>
          <w:rFonts w:cs="Arial"/>
          <w:sz w:val="26"/>
          <w:szCs w:val="26"/>
        </w:rPr>
      </w:pPr>
      <w:r w:rsidRPr="00045F85">
        <w:rPr>
          <w:rFonts w:cs="Arial"/>
          <w:sz w:val="26"/>
          <w:szCs w:val="26"/>
        </w:rPr>
        <w:t>C. Equipment Specifications</w:t>
      </w:r>
    </w:p>
    <w:p w14:paraId="3D2B4950" w14:textId="38D503CB" w:rsidR="00686347" w:rsidRPr="00045F85" w:rsidRDefault="00686347" w:rsidP="00630AA9">
      <w:pPr>
        <w:pStyle w:val="Listenabsatz"/>
        <w:numPr>
          <w:ilvl w:val="0"/>
          <w:numId w:val="31"/>
        </w:numPr>
        <w:rPr>
          <w:color w:val="auto"/>
        </w:rPr>
      </w:pPr>
      <w:r w:rsidRPr="00045F85">
        <w:rPr>
          <w:color w:val="auto"/>
        </w:rPr>
        <w:lastRenderedPageBreak/>
        <w:t>Multiple detector (triple or dual head) or other dedicated SPECT cameras for brain imaging should be used for data acquisition [</w:t>
      </w:r>
      <w:r w:rsidR="009C281B" w:rsidRPr="00045F85">
        <w:rPr>
          <w:color w:val="auto"/>
        </w:rPr>
        <w:t>40</w:t>
      </w:r>
      <w:r w:rsidRPr="00045F85">
        <w:rPr>
          <w:color w:val="auto"/>
        </w:rPr>
        <w:t xml:space="preserve">, </w:t>
      </w:r>
      <w:r w:rsidR="009C281B" w:rsidRPr="00045F85">
        <w:rPr>
          <w:color w:val="auto"/>
        </w:rPr>
        <w:t>41</w:t>
      </w:r>
      <w:r w:rsidRPr="00045F85">
        <w:rPr>
          <w:color w:val="auto"/>
        </w:rPr>
        <w:t xml:space="preserve">]. Single detector units </w:t>
      </w:r>
      <w:r w:rsidR="00630AA9" w:rsidRPr="00045F85">
        <w:rPr>
          <w:color w:val="auto"/>
        </w:rPr>
        <w:t>are not</w:t>
      </w:r>
      <w:r w:rsidRPr="00045F85">
        <w:rPr>
          <w:color w:val="auto"/>
        </w:rPr>
        <w:t xml:space="preserve"> recommended as </w:t>
      </w:r>
      <w:r w:rsidR="00630AA9" w:rsidRPr="00045F85">
        <w:rPr>
          <w:color w:val="auto"/>
        </w:rPr>
        <w:t xml:space="preserve">excessively </w:t>
      </w:r>
      <w:r w:rsidR="001044AD" w:rsidRPr="00045F85">
        <w:rPr>
          <w:color w:val="auto"/>
        </w:rPr>
        <w:t>long scan times is needed to acquire the required number of counts.</w:t>
      </w:r>
      <w:r w:rsidRPr="00045F85">
        <w:rPr>
          <w:color w:val="auto"/>
        </w:rPr>
        <w:t xml:space="preserve">  They may be used </w:t>
      </w:r>
      <w:r w:rsidR="00C821B7" w:rsidRPr="00045F85">
        <w:rPr>
          <w:color w:val="auto"/>
        </w:rPr>
        <w:t xml:space="preserve">only </w:t>
      </w:r>
      <w:r w:rsidRPr="00045F85">
        <w:rPr>
          <w:color w:val="auto"/>
        </w:rPr>
        <w:t xml:space="preserve">if the scan time is prolonged appropriately, </w:t>
      </w:r>
      <w:r w:rsidR="00C821B7" w:rsidRPr="00045F85">
        <w:rPr>
          <w:color w:val="auto"/>
        </w:rPr>
        <w:t>injected</w:t>
      </w:r>
      <w:r w:rsidRPr="00045F85">
        <w:rPr>
          <w:color w:val="auto"/>
        </w:rPr>
        <w:t xml:space="preserve"> activity in the upper permissible range is </w:t>
      </w:r>
      <w:r w:rsidR="00C821B7" w:rsidRPr="00045F85">
        <w:rPr>
          <w:color w:val="auto"/>
        </w:rPr>
        <w:t>used</w:t>
      </w:r>
      <w:r w:rsidR="00630AA9" w:rsidRPr="00045F85">
        <w:rPr>
          <w:color w:val="auto"/>
        </w:rPr>
        <w:t xml:space="preserve"> </w:t>
      </w:r>
      <w:r w:rsidRPr="00045F85">
        <w:rPr>
          <w:color w:val="auto"/>
        </w:rPr>
        <w:t>to produce high-quality images.</w:t>
      </w:r>
    </w:p>
    <w:p w14:paraId="44DD276E" w14:textId="0D6FFCFF" w:rsidR="00686347" w:rsidRPr="00045F85" w:rsidRDefault="00061F67" w:rsidP="00C97AB2">
      <w:pPr>
        <w:pStyle w:val="Listenabsatz"/>
        <w:numPr>
          <w:ilvl w:val="0"/>
          <w:numId w:val="31"/>
        </w:numPr>
        <w:rPr>
          <w:color w:val="auto"/>
        </w:rPr>
      </w:pPr>
      <w:r w:rsidRPr="00045F85">
        <w:rPr>
          <w:color w:val="auto"/>
        </w:rPr>
        <w:t>Low Energy High (or Ultra high) resolution (</w:t>
      </w:r>
      <w:r w:rsidR="00686347" w:rsidRPr="00045F85">
        <w:rPr>
          <w:color w:val="auto"/>
        </w:rPr>
        <w:t>LEHR or LEUHR</w:t>
      </w:r>
      <w:r w:rsidRPr="00045F85">
        <w:rPr>
          <w:color w:val="auto"/>
        </w:rPr>
        <w:t>)</w:t>
      </w:r>
      <w:r w:rsidR="00686347" w:rsidRPr="00045F85">
        <w:rPr>
          <w:color w:val="auto"/>
        </w:rPr>
        <w:t xml:space="preserve"> parallel-hole collimators are the most frequently available collimator sets for brain imaging.</w:t>
      </w:r>
      <w:r w:rsidR="002A2651" w:rsidRPr="00045F85">
        <w:rPr>
          <w:color w:val="auto"/>
        </w:rPr>
        <w:t xml:space="preserve"> All-purpose collimators are not suitable while </w:t>
      </w:r>
      <w:r w:rsidR="00686347" w:rsidRPr="00045F85">
        <w:rPr>
          <w:color w:val="auto"/>
        </w:rPr>
        <w:t xml:space="preserve">fan-beam collimators have a more advantageous trade-off between resolution and count rate capability with respect to parallel-hole collimators. </w:t>
      </w:r>
      <w:r w:rsidR="002A2651" w:rsidRPr="00045F85">
        <w:rPr>
          <w:color w:val="auto"/>
        </w:rPr>
        <w:t>M</w:t>
      </w:r>
      <w:r w:rsidR="00686347" w:rsidRPr="00045F85">
        <w:rPr>
          <w:color w:val="auto"/>
        </w:rPr>
        <w:t xml:space="preserve">edium energy collimators </w:t>
      </w:r>
      <w:r w:rsidR="002A2651" w:rsidRPr="00045F85">
        <w:rPr>
          <w:color w:val="auto"/>
        </w:rPr>
        <w:t>have a lower spatial resolution although they have advantages</w:t>
      </w:r>
      <w:r w:rsidR="00686347" w:rsidRPr="00045F85">
        <w:rPr>
          <w:color w:val="auto"/>
        </w:rPr>
        <w:t xml:space="preserve"> </w:t>
      </w:r>
      <w:r w:rsidR="002A2651" w:rsidRPr="00045F85">
        <w:rPr>
          <w:color w:val="auto"/>
        </w:rPr>
        <w:t>due to</w:t>
      </w:r>
      <w:r w:rsidR="00686347" w:rsidRPr="00045F85">
        <w:rPr>
          <w:color w:val="auto"/>
        </w:rPr>
        <w:t xml:space="preserve"> septal penetration</w:t>
      </w:r>
      <w:r w:rsidR="002A2651" w:rsidRPr="00045F85">
        <w:rPr>
          <w:color w:val="auto"/>
        </w:rPr>
        <w:t xml:space="preserve"> </w:t>
      </w:r>
      <w:r w:rsidR="00686347" w:rsidRPr="00045F85">
        <w:rPr>
          <w:color w:val="auto"/>
        </w:rPr>
        <w:t>[</w:t>
      </w:r>
      <w:r w:rsidR="009C281B" w:rsidRPr="00045F85">
        <w:rPr>
          <w:color w:val="auto"/>
        </w:rPr>
        <w:t>42</w:t>
      </w:r>
      <w:r w:rsidR="00686347" w:rsidRPr="00045F85">
        <w:rPr>
          <w:color w:val="auto"/>
        </w:rPr>
        <w:t xml:space="preserve">]. If available, collimator sets specifically adapted to the characteristics of </w:t>
      </w:r>
      <w:r w:rsidR="00686347" w:rsidRPr="00045F85">
        <w:rPr>
          <w:color w:val="auto"/>
          <w:vertAlign w:val="superscript"/>
        </w:rPr>
        <w:t>123</w:t>
      </w:r>
      <w:r w:rsidR="00686347" w:rsidRPr="00045F85">
        <w:rPr>
          <w:color w:val="auto"/>
        </w:rPr>
        <w:t>I may be used. [</w:t>
      </w:r>
      <w:r w:rsidR="009C281B" w:rsidRPr="00045F85">
        <w:rPr>
          <w:color w:val="auto"/>
        </w:rPr>
        <w:t>42</w:t>
      </w:r>
      <w:r w:rsidR="00686347" w:rsidRPr="00045F85">
        <w:rPr>
          <w:color w:val="auto"/>
        </w:rPr>
        <w:t>]</w:t>
      </w:r>
    </w:p>
    <w:p w14:paraId="0DA0423C" w14:textId="4AEC283A" w:rsidR="0091415D" w:rsidRPr="00045F85" w:rsidRDefault="00686347" w:rsidP="0093488C">
      <w:pPr>
        <w:pStyle w:val="berschrift2"/>
        <w:numPr>
          <w:ilvl w:val="0"/>
          <w:numId w:val="0"/>
        </w:numPr>
        <w:ind w:left="720"/>
        <w:rPr>
          <w:color w:val="auto"/>
        </w:rPr>
      </w:pPr>
      <w:r w:rsidRPr="00045F85">
        <w:rPr>
          <w:color w:val="auto"/>
        </w:rPr>
        <w:t>D</w:t>
      </w:r>
      <w:r w:rsidR="00A15590" w:rsidRPr="00045F85">
        <w:rPr>
          <w:color w:val="auto"/>
        </w:rPr>
        <w:t xml:space="preserve">. </w:t>
      </w:r>
      <w:r w:rsidR="0091415D" w:rsidRPr="00045F85">
        <w:rPr>
          <w:color w:val="auto"/>
        </w:rPr>
        <w:t>Acquisition protocol</w:t>
      </w:r>
    </w:p>
    <w:p w14:paraId="58199EC2" w14:textId="1CC8CFE3" w:rsidR="00A340B9" w:rsidRPr="00045F85" w:rsidRDefault="00A340B9" w:rsidP="00C226FE">
      <w:pPr>
        <w:spacing w:line="276" w:lineRule="auto"/>
        <w:rPr>
          <w:rFonts w:cs="Arial"/>
          <w:i/>
        </w:rPr>
      </w:pPr>
      <w:r w:rsidRPr="00045F85">
        <w:rPr>
          <w:rFonts w:cs="Arial"/>
          <w:i/>
        </w:rPr>
        <w:t>T</w:t>
      </w:r>
      <w:r w:rsidR="001D0E13" w:rsidRPr="00045F85">
        <w:rPr>
          <w:rFonts w:cs="Arial"/>
          <w:i/>
        </w:rPr>
        <w:t>iming</w:t>
      </w:r>
    </w:p>
    <w:p w14:paraId="73C0A360" w14:textId="560E877D" w:rsidR="00B279BE" w:rsidRPr="00045F85" w:rsidRDefault="00B279BE" w:rsidP="00C97AB2">
      <w:pPr>
        <w:pStyle w:val="Listenabsatz"/>
        <w:numPr>
          <w:ilvl w:val="0"/>
          <w:numId w:val="33"/>
        </w:numPr>
        <w:rPr>
          <w:color w:val="auto"/>
        </w:rPr>
      </w:pPr>
      <w:r w:rsidRPr="00045F85">
        <w:rPr>
          <w:color w:val="auto"/>
        </w:rPr>
        <w:t>SPECT should be started when the ratio of striatal</w:t>
      </w:r>
      <w:r w:rsidR="00C821B7" w:rsidRPr="00045F85">
        <w:rPr>
          <w:color w:val="auto"/>
        </w:rPr>
        <w:t>-</w:t>
      </w:r>
      <w:r w:rsidRPr="00045F85">
        <w:rPr>
          <w:color w:val="auto"/>
        </w:rPr>
        <w:t>to</w:t>
      </w:r>
      <w:r w:rsidR="00C821B7" w:rsidRPr="00045F85">
        <w:rPr>
          <w:color w:val="auto"/>
        </w:rPr>
        <w:t>-</w:t>
      </w:r>
      <w:r w:rsidRPr="00045F85">
        <w:rPr>
          <w:color w:val="auto"/>
        </w:rPr>
        <w:t>occipit</w:t>
      </w:r>
      <w:r w:rsidR="00190B0D" w:rsidRPr="00045F85">
        <w:rPr>
          <w:color w:val="auto"/>
        </w:rPr>
        <w:t>al tracer binding is stable [21</w:t>
      </w:r>
      <w:r w:rsidRPr="00045F85">
        <w:rPr>
          <w:color w:val="auto"/>
        </w:rPr>
        <w:t>]. In fact, waiting for stability of the ratio guarantees the most reliable data from a semi-quantitative point of view and is optimal for visual assessment when low background interference is needed.</w:t>
      </w:r>
    </w:p>
    <w:p w14:paraId="50DD5FA7" w14:textId="3880CCDB" w:rsidR="00CC0017" w:rsidRPr="00045F85" w:rsidRDefault="00CC0017" w:rsidP="00C97AB2">
      <w:pPr>
        <w:pStyle w:val="Listenabsatz"/>
        <w:numPr>
          <w:ilvl w:val="1"/>
          <w:numId w:val="38"/>
        </w:numPr>
        <w:rPr>
          <w:color w:val="auto"/>
        </w:rPr>
      </w:pPr>
      <w:r w:rsidRPr="00045F85">
        <w:rPr>
          <w:color w:val="auto"/>
        </w:rPr>
        <w:t>[</w:t>
      </w:r>
      <w:r w:rsidRPr="00045F85">
        <w:rPr>
          <w:color w:val="auto"/>
          <w:vertAlign w:val="superscript"/>
        </w:rPr>
        <w:t>123</w:t>
      </w:r>
      <w:r w:rsidRPr="00045F85">
        <w:rPr>
          <w:color w:val="auto"/>
        </w:rPr>
        <w:t xml:space="preserve">I]FP-CIT: 3 to 6 h </w:t>
      </w:r>
      <w:r w:rsidR="000A0C85" w:rsidRPr="00045F85">
        <w:rPr>
          <w:color w:val="auto"/>
        </w:rPr>
        <w:t>post-</w:t>
      </w:r>
      <w:r w:rsidRPr="00045F85">
        <w:rPr>
          <w:color w:val="auto"/>
        </w:rPr>
        <w:t>injection</w:t>
      </w:r>
    </w:p>
    <w:p w14:paraId="57AB6E38" w14:textId="682518FE" w:rsidR="00CC0017" w:rsidRPr="00045F85" w:rsidRDefault="00CC0017" w:rsidP="00C97AB2">
      <w:pPr>
        <w:pStyle w:val="Listenabsatz"/>
        <w:numPr>
          <w:ilvl w:val="1"/>
          <w:numId w:val="38"/>
        </w:numPr>
        <w:rPr>
          <w:color w:val="auto"/>
        </w:rPr>
      </w:pPr>
      <w:r w:rsidRPr="00045F85">
        <w:rPr>
          <w:color w:val="auto"/>
        </w:rPr>
        <w:t>[</w:t>
      </w:r>
      <w:r w:rsidRPr="00045F85">
        <w:rPr>
          <w:color w:val="auto"/>
          <w:vertAlign w:val="superscript"/>
        </w:rPr>
        <w:t>123</w:t>
      </w:r>
      <w:r w:rsidR="000A0C85" w:rsidRPr="00045F85">
        <w:rPr>
          <w:color w:val="auto"/>
        </w:rPr>
        <w:t>I]β-CIT: 18 to 24 h post-</w:t>
      </w:r>
      <w:r w:rsidRPr="00045F85">
        <w:rPr>
          <w:color w:val="auto"/>
        </w:rPr>
        <w:t>injection</w:t>
      </w:r>
      <w:r w:rsidR="00C757DF" w:rsidRPr="00045F85">
        <w:rPr>
          <w:color w:val="auto"/>
        </w:rPr>
        <w:t xml:space="preserve">. </w:t>
      </w:r>
    </w:p>
    <w:p w14:paraId="2A05CE3A" w14:textId="36A6C8BA" w:rsidR="00CA34DA" w:rsidRPr="00045F85" w:rsidRDefault="000A0C85" w:rsidP="00C97AB2">
      <w:pPr>
        <w:pStyle w:val="Listenabsatz"/>
        <w:numPr>
          <w:ilvl w:val="0"/>
          <w:numId w:val="33"/>
        </w:numPr>
        <w:rPr>
          <w:color w:val="auto"/>
        </w:rPr>
      </w:pPr>
      <w:r w:rsidRPr="00045F85">
        <w:rPr>
          <w:color w:val="auto"/>
        </w:rPr>
        <w:t>E</w:t>
      </w:r>
      <w:r w:rsidR="00A340B9" w:rsidRPr="00045F85">
        <w:rPr>
          <w:color w:val="auto"/>
        </w:rPr>
        <w:t xml:space="preserve">ach center </w:t>
      </w:r>
      <w:r w:rsidRPr="00045F85">
        <w:rPr>
          <w:color w:val="auto"/>
        </w:rPr>
        <w:t xml:space="preserve">should maintain </w:t>
      </w:r>
      <w:r w:rsidR="00A340B9" w:rsidRPr="00045F85">
        <w:rPr>
          <w:color w:val="auto"/>
        </w:rPr>
        <w:t>a standardized post</w:t>
      </w:r>
      <w:r w:rsidR="00C821B7" w:rsidRPr="00045F85">
        <w:rPr>
          <w:color w:val="auto"/>
        </w:rPr>
        <w:t>-</w:t>
      </w:r>
      <w:r w:rsidR="00A340B9" w:rsidRPr="00045F85">
        <w:rPr>
          <w:color w:val="auto"/>
        </w:rPr>
        <w:t>injection imaging time</w:t>
      </w:r>
      <w:r w:rsidR="0042064C" w:rsidRPr="00045F85">
        <w:rPr>
          <w:color w:val="auto"/>
        </w:rPr>
        <w:t xml:space="preserve"> </w:t>
      </w:r>
      <w:r w:rsidR="00CA34DA" w:rsidRPr="00045F85">
        <w:rPr>
          <w:color w:val="auto"/>
        </w:rPr>
        <w:t>(</w:t>
      </w:r>
      <w:r w:rsidR="00C821B7" w:rsidRPr="00045F85">
        <w:rPr>
          <w:color w:val="auto"/>
        </w:rPr>
        <w:t>e.g</w:t>
      </w:r>
      <w:r w:rsidR="00CA34DA" w:rsidRPr="00045F85">
        <w:rPr>
          <w:color w:val="auto"/>
        </w:rPr>
        <w:t>.</w:t>
      </w:r>
      <w:r w:rsidR="00C821B7" w:rsidRPr="00045F85">
        <w:rPr>
          <w:color w:val="auto"/>
        </w:rPr>
        <w:t>,</w:t>
      </w:r>
      <w:r w:rsidR="00CA34DA" w:rsidRPr="00045F85">
        <w:rPr>
          <w:color w:val="auto"/>
        </w:rPr>
        <w:t xml:space="preserve"> always start imaging at 3 hours post radiotracer inje</w:t>
      </w:r>
      <w:r w:rsidR="00BA3833" w:rsidRPr="00045F85">
        <w:rPr>
          <w:color w:val="auto"/>
        </w:rPr>
        <w:t>ction for [</w:t>
      </w:r>
      <w:r w:rsidR="00BA3833" w:rsidRPr="00045F85">
        <w:rPr>
          <w:color w:val="auto"/>
          <w:vertAlign w:val="superscript"/>
        </w:rPr>
        <w:t>123</w:t>
      </w:r>
      <w:r w:rsidR="00BA3833" w:rsidRPr="00045F85">
        <w:rPr>
          <w:color w:val="auto"/>
        </w:rPr>
        <w:t>I]FP-CIT</w:t>
      </w:r>
      <w:r w:rsidR="00C226FE" w:rsidRPr="00045F85">
        <w:rPr>
          <w:color w:val="auto"/>
        </w:rPr>
        <w:t xml:space="preserve">) to </w:t>
      </w:r>
      <w:r w:rsidRPr="00045F85">
        <w:rPr>
          <w:color w:val="auto"/>
        </w:rPr>
        <w:t>favor</w:t>
      </w:r>
      <w:r w:rsidR="00C226FE" w:rsidRPr="00045F85">
        <w:rPr>
          <w:color w:val="auto"/>
        </w:rPr>
        <w:t xml:space="preserve"> </w:t>
      </w:r>
      <w:r w:rsidRPr="00045F85">
        <w:rPr>
          <w:color w:val="auto"/>
        </w:rPr>
        <w:t>comparability of data</w:t>
      </w:r>
      <w:r w:rsidR="00CA34DA" w:rsidRPr="00045F85">
        <w:rPr>
          <w:color w:val="auto"/>
        </w:rPr>
        <w:t xml:space="preserve"> between subjects and intra</w:t>
      </w:r>
      <w:r w:rsidR="00343847" w:rsidRPr="00045F85">
        <w:rPr>
          <w:color w:val="auto"/>
        </w:rPr>
        <w:t>-</w:t>
      </w:r>
      <w:r w:rsidR="00CA34DA" w:rsidRPr="00045F85">
        <w:rPr>
          <w:color w:val="auto"/>
        </w:rPr>
        <w:t>individual follow-up studies</w:t>
      </w:r>
      <w:r w:rsidR="00C821B7" w:rsidRPr="00045F85">
        <w:rPr>
          <w:color w:val="auto"/>
        </w:rPr>
        <w:t>.</w:t>
      </w:r>
    </w:p>
    <w:p w14:paraId="276BFDD2" w14:textId="66E8E17A" w:rsidR="00C86089" w:rsidRPr="00045F85" w:rsidRDefault="00C86089" w:rsidP="00C97AB2">
      <w:pPr>
        <w:pStyle w:val="Listenabsatz"/>
        <w:numPr>
          <w:ilvl w:val="0"/>
          <w:numId w:val="33"/>
        </w:numPr>
        <w:rPr>
          <w:color w:val="auto"/>
        </w:rPr>
      </w:pPr>
      <w:r w:rsidRPr="00045F85">
        <w:rPr>
          <w:color w:val="auto"/>
        </w:rPr>
        <w:t>Since tracer binding is not determined by flow effects, patients do not need to stay in a quiet/dim environment. There are no dietary restrictions, pre- or post</w:t>
      </w:r>
      <w:r w:rsidR="0035780F" w:rsidRPr="00045F85">
        <w:rPr>
          <w:color w:val="auto"/>
        </w:rPr>
        <w:t>-</w:t>
      </w:r>
      <w:r w:rsidRPr="00045F85">
        <w:rPr>
          <w:color w:val="auto"/>
        </w:rPr>
        <w:t>injection.</w:t>
      </w:r>
    </w:p>
    <w:p w14:paraId="61AC05FD" w14:textId="4760E331" w:rsidR="004E1D05" w:rsidRPr="00045F85" w:rsidRDefault="00C86089" w:rsidP="00C97AB2">
      <w:pPr>
        <w:pStyle w:val="Listenabsatz"/>
        <w:numPr>
          <w:ilvl w:val="0"/>
          <w:numId w:val="33"/>
        </w:numPr>
        <w:rPr>
          <w:color w:val="auto"/>
        </w:rPr>
      </w:pPr>
      <w:r w:rsidRPr="00045F85">
        <w:rPr>
          <w:color w:val="auto"/>
        </w:rPr>
        <w:t>If the patient is claustrophobic, or is unable to lie still, mild sedati</w:t>
      </w:r>
      <w:r w:rsidR="00C821B7" w:rsidRPr="00045F85">
        <w:rPr>
          <w:color w:val="auto"/>
        </w:rPr>
        <w:t>on</w:t>
      </w:r>
      <w:r w:rsidRPr="00045F85">
        <w:rPr>
          <w:color w:val="auto"/>
        </w:rPr>
        <w:t xml:space="preserve"> with a short</w:t>
      </w:r>
      <w:r w:rsidR="00C821B7" w:rsidRPr="00045F85">
        <w:rPr>
          <w:color w:val="auto"/>
        </w:rPr>
        <w:t>-</w:t>
      </w:r>
      <w:r w:rsidRPr="00045F85">
        <w:rPr>
          <w:color w:val="auto"/>
        </w:rPr>
        <w:t xml:space="preserve">acting benzodiazepine may be </w:t>
      </w:r>
      <w:r w:rsidR="001624D2" w:rsidRPr="00045F85">
        <w:rPr>
          <w:color w:val="auto"/>
        </w:rPr>
        <w:t xml:space="preserve">given </w:t>
      </w:r>
      <w:r w:rsidRPr="00045F85">
        <w:rPr>
          <w:color w:val="auto"/>
        </w:rPr>
        <w:t xml:space="preserve">prior to imaging and will not affect scan quality or quantification. In this circumstance, the patient </w:t>
      </w:r>
      <w:r w:rsidR="00216B08" w:rsidRPr="00045F85">
        <w:rPr>
          <w:color w:val="auto"/>
        </w:rPr>
        <w:t>should not operate machines or drive a car for the rest of the day</w:t>
      </w:r>
    </w:p>
    <w:p w14:paraId="1F6EA336" w14:textId="77777777" w:rsidR="004E1D05" w:rsidRPr="00045F85" w:rsidRDefault="004E1D05" w:rsidP="00343847">
      <w:pPr>
        <w:spacing w:line="276" w:lineRule="auto"/>
        <w:ind w:left="360" w:hanging="360"/>
        <w:rPr>
          <w:rFonts w:cs="Arial"/>
          <w:i/>
        </w:rPr>
      </w:pPr>
      <w:r w:rsidRPr="00045F85">
        <w:rPr>
          <w:rFonts w:cs="Arial"/>
          <w:i/>
        </w:rPr>
        <w:t>Positioning</w:t>
      </w:r>
    </w:p>
    <w:p w14:paraId="72782276" w14:textId="54C9E2CB" w:rsidR="00BA578C" w:rsidRPr="00045F85" w:rsidRDefault="001624D2" w:rsidP="00C97AB2">
      <w:pPr>
        <w:pStyle w:val="Listenabsatz"/>
        <w:numPr>
          <w:ilvl w:val="0"/>
          <w:numId w:val="34"/>
        </w:numPr>
        <w:rPr>
          <w:color w:val="auto"/>
        </w:rPr>
      </w:pPr>
      <w:r w:rsidRPr="00045F85">
        <w:rPr>
          <w:color w:val="auto"/>
        </w:rPr>
        <w:t>T</w:t>
      </w:r>
      <w:r w:rsidR="00051B1C" w:rsidRPr="00045F85">
        <w:rPr>
          <w:color w:val="auto"/>
        </w:rPr>
        <w:t>he p</w:t>
      </w:r>
      <w:r w:rsidR="004E1D05" w:rsidRPr="00045F85">
        <w:rPr>
          <w:color w:val="auto"/>
        </w:rPr>
        <w:t xml:space="preserve">atient should void immediately prior to imaging. </w:t>
      </w:r>
    </w:p>
    <w:p w14:paraId="05CEEC87" w14:textId="29D795F3" w:rsidR="00822798" w:rsidRPr="00045F85" w:rsidRDefault="001624D2" w:rsidP="00C97AB2">
      <w:pPr>
        <w:pStyle w:val="Listenabsatz"/>
        <w:numPr>
          <w:ilvl w:val="0"/>
          <w:numId w:val="34"/>
        </w:numPr>
        <w:rPr>
          <w:color w:val="auto"/>
        </w:rPr>
      </w:pPr>
      <w:r w:rsidRPr="00045F85">
        <w:rPr>
          <w:color w:val="auto"/>
        </w:rPr>
        <w:t>T</w:t>
      </w:r>
      <w:r w:rsidR="00051B1C" w:rsidRPr="00045F85">
        <w:rPr>
          <w:color w:val="auto"/>
        </w:rPr>
        <w:t>he p</w:t>
      </w:r>
      <w:r w:rsidR="00BA578C" w:rsidRPr="00045F85">
        <w:rPr>
          <w:color w:val="auto"/>
        </w:rPr>
        <w:t>atient sh</w:t>
      </w:r>
      <w:r w:rsidRPr="00045F85">
        <w:rPr>
          <w:color w:val="auto"/>
        </w:rPr>
        <w:t>ould</w:t>
      </w:r>
      <w:r w:rsidR="00BA578C" w:rsidRPr="00045F85">
        <w:rPr>
          <w:color w:val="auto"/>
        </w:rPr>
        <w:t xml:space="preserve"> lie o</w:t>
      </w:r>
      <w:r w:rsidR="00822798" w:rsidRPr="00045F85">
        <w:rPr>
          <w:color w:val="auto"/>
        </w:rPr>
        <w:t>n the couch in a supine position</w:t>
      </w:r>
      <w:r w:rsidR="00BA578C" w:rsidRPr="00045F85">
        <w:rPr>
          <w:color w:val="auto"/>
        </w:rPr>
        <w:t xml:space="preserve"> with the head resting in the head holder</w:t>
      </w:r>
      <w:r w:rsidR="00822798" w:rsidRPr="00045F85">
        <w:rPr>
          <w:color w:val="auto"/>
        </w:rPr>
        <w:t xml:space="preserve"> in a comfortable orientation</w:t>
      </w:r>
      <w:r w:rsidR="00BA578C" w:rsidRPr="00045F85">
        <w:rPr>
          <w:color w:val="auto"/>
        </w:rPr>
        <w:t>.</w:t>
      </w:r>
      <w:r w:rsidR="003016C5" w:rsidRPr="00045F85">
        <w:rPr>
          <w:color w:val="auto"/>
        </w:rPr>
        <w:t xml:space="preserve"> A light head restraint </w:t>
      </w:r>
      <w:r w:rsidR="00822798" w:rsidRPr="00045F85">
        <w:rPr>
          <w:color w:val="auto"/>
        </w:rPr>
        <w:t xml:space="preserve">may be considered to </w:t>
      </w:r>
      <w:r w:rsidR="003016C5" w:rsidRPr="00045F85">
        <w:rPr>
          <w:color w:val="auto"/>
        </w:rPr>
        <w:t>reduce the risk of</w:t>
      </w:r>
      <w:r w:rsidR="00822798" w:rsidRPr="00045F85">
        <w:rPr>
          <w:color w:val="auto"/>
        </w:rPr>
        <w:t xml:space="preserve"> motion </w:t>
      </w:r>
      <w:r w:rsidR="00D5054A" w:rsidRPr="00045F85">
        <w:rPr>
          <w:color w:val="auto"/>
        </w:rPr>
        <w:t>artefact</w:t>
      </w:r>
      <w:r w:rsidR="00822798" w:rsidRPr="00045F85">
        <w:rPr>
          <w:color w:val="auto"/>
        </w:rPr>
        <w:t>s.</w:t>
      </w:r>
    </w:p>
    <w:p w14:paraId="6E549AA2" w14:textId="0DA3195A" w:rsidR="00822798" w:rsidRPr="00045F85" w:rsidRDefault="00BA578C" w:rsidP="00C97AB2">
      <w:pPr>
        <w:pStyle w:val="Listenabsatz"/>
        <w:numPr>
          <w:ilvl w:val="0"/>
          <w:numId w:val="34"/>
        </w:numPr>
        <w:rPr>
          <w:color w:val="auto"/>
        </w:rPr>
      </w:pPr>
      <w:r w:rsidRPr="00045F85">
        <w:rPr>
          <w:color w:val="auto"/>
        </w:rPr>
        <w:t>Altho</w:t>
      </w:r>
      <w:r w:rsidR="00822798" w:rsidRPr="00045F85">
        <w:rPr>
          <w:color w:val="auto"/>
        </w:rPr>
        <w:t xml:space="preserve">ugh proper alignment of the head </w:t>
      </w:r>
      <w:r w:rsidRPr="00045F85">
        <w:rPr>
          <w:color w:val="auto"/>
        </w:rPr>
        <w:t>would be preferable, patient c</w:t>
      </w:r>
      <w:r w:rsidR="00822798" w:rsidRPr="00045F85">
        <w:rPr>
          <w:color w:val="auto"/>
        </w:rPr>
        <w:t xml:space="preserve">omfort </w:t>
      </w:r>
      <w:r w:rsidR="00D0391F" w:rsidRPr="00045F85">
        <w:rPr>
          <w:color w:val="auto"/>
        </w:rPr>
        <w:t>should be favorite</w:t>
      </w:r>
      <w:r w:rsidR="00822798" w:rsidRPr="00045F85">
        <w:rPr>
          <w:color w:val="auto"/>
        </w:rPr>
        <w:t xml:space="preserve"> to prevent movement during </w:t>
      </w:r>
      <w:r w:rsidR="00D070B0" w:rsidRPr="00045F85">
        <w:rPr>
          <w:color w:val="auto"/>
        </w:rPr>
        <w:t>acquisition of the images</w:t>
      </w:r>
      <w:r w:rsidR="00822798" w:rsidRPr="00045F85">
        <w:rPr>
          <w:color w:val="auto"/>
        </w:rPr>
        <w:t>. Tilt and orientation can be adjusted during post-processing.</w:t>
      </w:r>
    </w:p>
    <w:p w14:paraId="3EBD1D68" w14:textId="16D574BB" w:rsidR="00E93D38" w:rsidRPr="00045F85" w:rsidRDefault="00C254F3" w:rsidP="00C97AB2">
      <w:pPr>
        <w:pStyle w:val="Listenabsatz"/>
        <w:numPr>
          <w:ilvl w:val="0"/>
          <w:numId w:val="34"/>
        </w:numPr>
        <w:rPr>
          <w:color w:val="auto"/>
        </w:rPr>
      </w:pPr>
      <w:r w:rsidRPr="00045F85">
        <w:rPr>
          <w:color w:val="auto"/>
        </w:rPr>
        <w:t>The a</w:t>
      </w:r>
      <w:r w:rsidR="00BA578C" w:rsidRPr="00045F85">
        <w:rPr>
          <w:color w:val="auto"/>
        </w:rPr>
        <w:t>rms should be supported at the side or in front of the patient. Additional leg support may be used</w:t>
      </w:r>
      <w:r w:rsidR="00822798" w:rsidRPr="00045F85">
        <w:rPr>
          <w:color w:val="auto"/>
        </w:rPr>
        <w:t xml:space="preserve"> to improve comfort.</w:t>
      </w:r>
      <w:r w:rsidR="00E93D38" w:rsidRPr="00045F85">
        <w:rPr>
          <w:color w:val="auto"/>
        </w:rPr>
        <w:t xml:space="preserve"> Binding the should</w:t>
      </w:r>
      <w:r w:rsidR="00C5685B" w:rsidRPr="00045F85">
        <w:rPr>
          <w:color w:val="auto"/>
        </w:rPr>
        <w:t xml:space="preserve">ers </w:t>
      </w:r>
      <w:r w:rsidR="00E93D38" w:rsidRPr="00045F85">
        <w:rPr>
          <w:color w:val="auto"/>
        </w:rPr>
        <w:t xml:space="preserve">may prevent movement </w:t>
      </w:r>
      <w:r w:rsidR="001624D2" w:rsidRPr="00045F85">
        <w:rPr>
          <w:color w:val="auto"/>
        </w:rPr>
        <w:t>and</w:t>
      </w:r>
      <w:r w:rsidR="00E93D38" w:rsidRPr="00045F85">
        <w:rPr>
          <w:color w:val="auto"/>
        </w:rPr>
        <w:t xml:space="preserve"> </w:t>
      </w:r>
      <w:r w:rsidR="00E14398" w:rsidRPr="00045F85">
        <w:rPr>
          <w:color w:val="auto"/>
        </w:rPr>
        <w:t xml:space="preserve">may allow to </w:t>
      </w:r>
      <w:r w:rsidR="00E93D38" w:rsidRPr="00045F85">
        <w:rPr>
          <w:color w:val="auto"/>
        </w:rPr>
        <w:t xml:space="preserve">reduce the </w:t>
      </w:r>
      <w:r w:rsidR="00685EA1" w:rsidRPr="00045F85">
        <w:rPr>
          <w:color w:val="auto"/>
        </w:rPr>
        <w:t>rotational</w:t>
      </w:r>
      <w:r w:rsidR="00E93D38" w:rsidRPr="00045F85">
        <w:rPr>
          <w:color w:val="auto"/>
        </w:rPr>
        <w:t xml:space="preserve"> radius of the heads</w:t>
      </w:r>
      <w:r w:rsidR="00247428" w:rsidRPr="00045F85">
        <w:rPr>
          <w:color w:val="auto"/>
        </w:rPr>
        <w:t xml:space="preserve"> of the camera.</w:t>
      </w:r>
    </w:p>
    <w:p w14:paraId="1F2477A8" w14:textId="4DF31D0E" w:rsidR="001C4521" w:rsidRPr="00045F85" w:rsidRDefault="00E93D38" w:rsidP="009D6B35">
      <w:pPr>
        <w:pStyle w:val="Kommentartext"/>
        <w:numPr>
          <w:ilvl w:val="0"/>
          <w:numId w:val="34"/>
        </w:numPr>
        <w:rPr>
          <w:rFonts w:cs="Arial"/>
        </w:rPr>
      </w:pPr>
      <w:r w:rsidRPr="00045F85">
        <w:rPr>
          <w:rFonts w:cs="Arial"/>
        </w:rPr>
        <w:lastRenderedPageBreak/>
        <w:t>T</w:t>
      </w:r>
      <w:r w:rsidR="00685EA1" w:rsidRPr="00045F85">
        <w:rPr>
          <w:rFonts w:cs="Arial"/>
        </w:rPr>
        <w:t xml:space="preserve">he striatum </w:t>
      </w:r>
      <w:r w:rsidR="0072473E" w:rsidRPr="00045F85">
        <w:rPr>
          <w:rFonts w:cs="Arial"/>
        </w:rPr>
        <w:t xml:space="preserve">and occipital </w:t>
      </w:r>
      <w:r w:rsidR="00685EA1" w:rsidRPr="00045F85">
        <w:rPr>
          <w:rFonts w:cs="Arial"/>
        </w:rPr>
        <w:t>lobes</w:t>
      </w:r>
      <w:r w:rsidR="0072473E" w:rsidRPr="00045F85">
        <w:rPr>
          <w:rFonts w:cs="Arial"/>
        </w:rPr>
        <w:t xml:space="preserve"> </w:t>
      </w:r>
      <w:r w:rsidRPr="00045F85">
        <w:rPr>
          <w:rFonts w:cs="Arial"/>
        </w:rPr>
        <w:t xml:space="preserve">must be </w:t>
      </w:r>
      <w:r w:rsidR="0072473E" w:rsidRPr="00045F85">
        <w:rPr>
          <w:rFonts w:cs="Arial"/>
        </w:rPr>
        <w:t xml:space="preserve">in the field of view. </w:t>
      </w:r>
      <w:r w:rsidR="002A4B74" w:rsidRPr="00045F85">
        <w:rPr>
          <w:rFonts w:cs="Arial"/>
        </w:rPr>
        <w:t xml:space="preserve">The inclusion of cerebellum might be omitted in the acquisition to optimize radius of rotation and spatial resolution only in patients with challenging positioning of the head </w:t>
      </w:r>
      <w:r w:rsidR="007C4297" w:rsidRPr="00045F85">
        <w:rPr>
          <w:rFonts w:cs="Arial"/>
        </w:rPr>
        <w:t>[43</w:t>
      </w:r>
      <w:r w:rsidR="00D10997" w:rsidRPr="00045F85">
        <w:rPr>
          <w:rFonts w:cs="Arial"/>
        </w:rPr>
        <w:t>]</w:t>
      </w:r>
      <w:r w:rsidR="001C4521" w:rsidRPr="00045F85">
        <w:rPr>
          <w:rFonts w:cs="Arial"/>
        </w:rPr>
        <w:t>. It should be noted</w:t>
      </w:r>
      <w:r w:rsidR="00BA3833" w:rsidRPr="00045F85">
        <w:rPr>
          <w:rFonts w:cs="Arial"/>
        </w:rPr>
        <w:t>, however,</w:t>
      </w:r>
      <w:r w:rsidR="001C4521" w:rsidRPr="00045F85">
        <w:rPr>
          <w:rFonts w:cs="Arial"/>
        </w:rPr>
        <w:t xml:space="preserve"> that when </w:t>
      </w:r>
      <w:r w:rsidR="001624D2" w:rsidRPr="00045F85">
        <w:rPr>
          <w:rFonts w:cs="Arial"/>
        </w:rPr>
        <w:t xml:space="preserve">the </w:t>
      </w:r>
      <w:r w:rsidR="001C4521" w:rsidRPr="00045F85">
        <w:rPr>
          <w:rFonts w:cs="Arial"/>
        </w:rPr>
        <w:t xml:space="preserve">cerebellum is not in the field of view, reorientation accuracy </w:t>
      </w:r>
      <w:r w:rsidR="004F1CFB" w:rsidRPr="00045F85">
        <w:rPr>
          <w:rFonts w:cs="Arial"/>
        </w:rPr>
        <w:t xml:space="preserve">and spatial registration </w:t>
      </w:r>
      <w:r w:rsidR="001C4521" w:rsidRPr="00045F85">
        <w:rPr>
          <w:rFonts w:cs="Arial"/>
        </w:rPr>
        <w:t>might be affected (see below).</w:t>
      </w:r>
    </w:p>
    <w:p w14:paraId="3BA7DED3" w14:textId="77777777" w:rsidR="002A71FB" w:rsidRPr="00045F85" w:rsidRDefault="002A71FB" w:rsidP="00C35B87">
      <w:pPr>
        <w:pStyle w:val="Listenabsatz"/>
        <w:numPr>
          <w:ilvl w:val="0"/>
          <w:numId w:val="0"/>
        </w:numPr>
        <w:ind w:left="720"/>
        <w:rPr>
          <w:color w:val="auto"/>
        </w:rPr>
      </w:pPr>
    </w:p>
    <w:p w14:paraId="2DB704FA" w14:textId="36CEBE56" w:rsidR="003E4E61" w:rsidRPr="00045F85" w:rsidRDefault="00E32514" w:rsidP="002A71FB">
      <w:pPr>
        <w:rPr>
          <w:i/>
        </w:rPr>
      </w:pPr>
      <w:r w:rsidRPr="00045F85">
        <w:rPr>
          <w:i/>
        </w:rPr>
        <w:t>Acquisition</w:t>
      </w:r>
    </w:p>
    <w:p w14:paraId="3D83C1C9" w14:textId="77777777" w:rsidR="00E32514" w:rsidRPr="00045F85" w:rsidRDefault="00E32514" w:rsidP="00C35B87">
      <w:pPr>
        <w:pStyle w:val="Listenabsatz"/>
        <w:numPr>
          <w:ilvl w:val="0"/>
          <w:numId w:val="0"/>
        </w:numPr>
        <w:ind w:left="720"/>
        <w:rPr>
          <w:color w:val="auto"/>
        </w:rPr>
      </w:pPr>
      <w:r w:rsidRPr="00045F85">
        <w:rPr>
          <w:color w:val="auto"/>
        </w:rPr>
        <w:t>Acquisition parameters:</w:t>
      </w:r>
    </w:p>
    <w:p w14:paraId="02ADFF02" w14:textId="5CCD511B" w:rsidR="00635D18" w:rsidRPr="00045F85" w:rsidRDefault="00241595" w:rsidP="00C97AB2">
      <w:pPr>
        <w:pStyle w:val="Listenabsatz"/>
        <w:numPr>
          <w:ilvl w:val="0"/>
          <w:numId w:val="7"/>
        </w:numPr>
        <w:rPr>
          <w:color w:val="auto"/>
        </w:rPr>
      </w:pPr>
      <w:r w:rsidRPr="00045F85">
        <w:rPr>
          <w:color w:val="auto"/>
        </w:rPr>
        <w:t>Rotatio</w:t>
      </w:r>
      <w:r w:rsidR="00E32514" w:rsidRPr="00045F85">
        <w:rPr>
          <w:color w:val="auto"/>
        </w:rPr>
        <w:t xml:space="preserve">nal radius: </w:t>
      </w:r>
      <w:r w:rsidR="00685EA1" w:rsidRPr="00045F85">
        <w:rPr>
          <w:color w:val="auto"/>
        </w:rPr>
        <w:t xml:space="preserve">it should be typically 11-15cm (as small as </w:t>
      </w:r>
      <w:r w:rsidR="00E32514" w:rsidRPr="00045F85">
        <w:rPr>
          <w:color w:val="auto"/>
        </w:rPr>
        <w:t xml:space="preserve">possible with appropriate patient </w:t>
      </w:r>
      <w:r w:rsidR="00685EA1" w:rsidRPr="00045F85">
        <w:rPr>
          <w:color w:val="auto"/>
        </w:rPr>
        <w:t>protection.</w:t>
      </w:r>
      <w:r w:rsidR="0061271E" w:rsidRPr="00045F85">
        <w:rPr>
          <w:color w:val="auto"/>
        </w:rPr>
        <w:t xml:space="preserve"> </w:t>
      </w:r>
    </w:p>
    <w:p w14:paraId="616C077E" w14:textId="472F7992" w:rsidR="00EE3153" w:rsidRPr="00045F85" w:rsidRDefault="00E32514" w:rsidP="00C97AB2">
      <w:pPr>
        <w:pStyle w:val="Listenabsatz"/>
        <w:numPr>
          <w:ilvl w:val="0"/>
          <w:numId w:val="7"/>
        </w:numPr>
        <w:rPr>
          <w:color w:val="auto"/>
        </w:rPr>
      </w:pPr>
      <w:r w:rsidRPr="00045F85">
        <w:rPr>
          <w:color w:val="auto"/>
        </w:rPr>
        <w:t xml:space="preserve">Photopeak: 159 </w:t>
      </w:r>
      <w:r w:rsidR="008F2D07" w:rsidRPr="00045F85">
        <w:rPr>
          <w:color w:val="auto"/>
        </w:rPr>
        <w:t xml:space="preserve">KeV </w:t>
      </w:r>
      <w:r w:rsidRPr="00045F85">
        <w:rPr>
          <w:color w:val="auto"/>
        </w:rPr>
        <w:t>± 10%</w:t>
      </w:r>
      <w:r w:rsidR="0061271E" w:rsidRPr="00045F85">
        <w:rPr>
          <w:color w:val="auto"/>
        </w:rPr>
        <w:t xml:space="preserve"> or 159</w:t>
      </w:r>
      <w:r w:rsidR="008F2D07" w:rsidRPr="00045F85">
        <w:rPr>
          <w:color w:val="auto"/>
        </w:rPr>
        <w:t xml:space="preserve"> KeV</w:t>
      </w:r>
      <w:r w:rsidR="0061271E" w:rsidRPr="00045F85">
        <w:rPr>
          <w:color w:val="auto"/>
        </w:rPr>
        <w:t>+/- 7.5 %, as recommended by manufacturer</w:t>
      </w:r>
      <w:r w:rsidRPr="00045F85">
        <w:rPr>
          <w:color w:val="auto"/>
        </w:rPr>
        <w:t xml:space="preserve">. </w:t>
      </w:r>
      <w:r w:rsidR="00EE3153" w:rsidRPr="00045F85">
        <w:rPr>
          <w:color w:val="auto"/>
        </w:rPr>
        <w:t>Additional energy windows for scatter correction may be used as needed.</w:t>
      </w:r>
    </w:p>
    <w:p w14:paraId="4B10120E" w14:textId="77777777" w:rsidR="00635D18" w:rsidRPr="00045F85" w:rsidRDefault="00E32514" w:rsidP="00C97AB2">
      <w:pPr>
        <w:pStyle w:val="Listenabsatz"/>
        <w:numPr>
          <w:ilvl w:val="0"/>
          <w:numId w:val="7"/>
        </w:numPr>
        <w:rPr>
          <w:color w:val="auto"/>
        </w:rPr>
      </w:pPr>
      <w:r w:rsidRPr="00045F85">
        <w:rPr>
          <w:color w:val="auto"/>
        </w:rPr>
        <w:t xml:space="preserve">Mode: </w:t>
      </w:r>
      <w:r w:rsidR="005316F4" w:rsidRPr="00045F85">
        <w:rPr>
          <w:color w:val="auto"/>
        </w:rPr>
        <w:t xml:space="preserve">step and shoot mode is used predominantly. </w:t>
      </w:r>
      <w:r w:rsidR="00874FD2" w:rsidRPr="00045F85">
        <w:rPr>
          <w:color w:val="auto"/>
        </w:rPr>
        <w:t xml:space="preserve">Continuous mode acquisition may </w:t>
      </w:r>
      <w:r w:rsidR="005316F4" w:rsidRPr="00045F85">
        <w:rPr>
          <w:color w:val="auto"/>
        </w:rPr>
        <w:t>provide shorter total scan times and reduce mechanical wear to the system</w:t>
      </w:r>
    </w:p>
    <w:p w14:paraId="42918C10" w14:textId="1278F95C" w:rsidR="00635D18" w:rsidRPr="00045F85" w:rsidRDefault="00E32514" w:rsidP="00C97AB2">
      <w:pPr>
        <w:pStyle w:val="Listenabsatz"/>
        <w:numPr>
          <w:ilvl w:val="0"/>
          <w:numId w:val="7"/>
        </w:numPr>
        <w:rPr>
          <w:color w:val="auto"/>
        </w:rPr>
      </w:pPr>
      <w:r w:rsidRPr="00045F85">
        <w:rPr>
          <w:color w:val="auto"/>
        </w:rPr>
        <w:t xml:space="preserve">Matrix: </w:t>
      </w:r>
      <w:r w:rsidR="00FF70F5" w:rsidRPr="00045F85">
        <w:rPr>
          <w:color w:val="auto"/>
        </w:rPr>
        <w:t xml:space="preserve">at least </w:t>
      </w:r>
      <w:r w:rsidRPr="00045F85">
        <w:rPr>
          <w:color w:val="auto"/>
        </w:rPr>
        <w:t>128x128</w:t>
      </w:r>
    </w:p>
    <w:p w14:paraId="64B707A5" w14:textId="3A51E5E1" w:rsidR="00635D18" w:rsidRPr="00045F85" w:rsidRDefault="00F47D22" w:rsidP="00C97AB2">
      <w:pPr>
        <w:pStyle w:val="Listenabsatz"/>
        <w:numPr>
          <w:ilvl w:val="0"/>
          <w:numId w:val="7"/>
        </w:numPr>
        <w:rPr>
          <w:color w:val="auto"/>
        </w:rPr>
      </w:pPr>
      <w:r w:rsidRPr="00045F85">
        <w:rPr>
          <w:color w:val="auto"/>
          <w:shd w:val="clear" w:color="auto" w:fill="FFFFFF"/>
        </w:rPr>
        <w:t>Zoom: adjust zoom fac</w:t>
      </w:r>
      <w:r w:rsidR="008C1F84" w:rsidRPr="00045F85">
        <w:rPr>
          <w:color w:val="auto"/>
          <w:shd w:val="clear" w:color="auto" w:fill="FFFFFF"/>
        </w:rPr>
        <w:t>tor to achieve a pixel size of 2</w:t>
      </w:r>
      <w:r w:rsidRPr="00045F85">
        <w:rPr>
          <w:color w:val="auto"/>
          <w:shd w:val="clear" w:color="auto" w:fill="FFFFFF"/>
        </w:rPr>
        <w:t>.5-4</w:t>
      </w:r>
      <w:r w:rsidR="006E5A12" w:rsidRPr="00045F85">
        <w:rPr>
          <w:color w:val="auto"/>
          <w:shd w:val="clear" w:color="auto" w:fill="FFFFFF"/>
        </w:rPr>
        <w:t>.5</w:t>
      </w:r>
      <w:r w:rsidRPr="00045F85">
        <w:rPr>
          <w:color w:val="auto"/>
          <w:shd w:val="clear" w:color="auto" w:fill="FFFFFF"/>
        </w:rPr>
        <w:t xml:space="preserve"> mm. In general acquisition pixel size should be one-third to one-half of the expected resolution</w:t>
      </w:r>
      <w:r w:rsidR="0039200F" w:rsidRPr="00045F85">
        <w:rPr>
          <w:color w:val="auto"/>
        </w:rPr>
        <w:t xml:space="preserve">. </w:t>
      </w:r>
    </w:p>
    <w:p w14:paraId="5CAD29DE" w14:textId="77777777" w:rsidR="00635D18" w:rsidRPr="00045F85" w:rsidRDefault="00E32514" w:rsidP="00C97AB2">
      <w:pPr>
        <w:pStyle w:val="Listenabsatz"/>
        <w:numPr>
          <w:ilvl w:val="0"/>
          <w:numId w:val="7"/>
        </w:numPr>
        <w:rPr>
          <w:color w:val="auto"/>
        </w:rPr>
      </w:pPr>
      <w:r w:rsidRPr="00045F85">
        <w:rPr>
          <w:color w:val="auto"/>
        </w:rPr>
        <w:t>Rotation: 360° coverage</w:t>
      </w:r>
    </w:p>
    <w:p w14:paraId="7A2C1D2F" w14:textId="1EC6AF04" w:rsidR="00635D18" w:rsidRPr="00045F85" w:rsidRDefault="00E32514" w:rsidP="00C97AB2">
      <w:pPr>
        <w:pStyle w:val="Listenabsatz"/>
        <w:numPr>
          <w:ilvl w:val="0"/>
          <w:numId w:val="7"/>
        </w:numPr>
        <w:rPr>
          <w:color w:val="auto"/>
        </w:rPr>
      </w:pPr>
      <w:r w:rsidRPr="00045F85">
        <w:rPr>
          <w:color w:val="auto"/>
        </w:rPr>
        <w:t>Ang</w:t>
      </w:r>
      <w:r w:rsidR="009122E4" w:rsidRPr="00045F85">
        <w:rPr>
          <w:color w:val="auto"/>
        </w:rPr>
        <w:t>ular step</w:t>
      </w:r>
      <w:r w:rsidRPr="00045F85">
        <w:rPr>
          <w:color w:val="auto"/>
        </w:rPr>
        <w:t xml:space="preserve">: </w:t>
      </w:r>
      <w:r w:rsidR="009122E4" w:rsidRPr="00045F85">
        <w:rPr>
          <w:color w:val="auto"/>
        </w:rPr>
        <w:t>~</w:t>
      </w:r>
      <w:r w:rsidRPr="00045F85">
        <w:rPr>
          <w:color w:val="auto"/>
        </w:rPr>
        <w:t>3° increments</w:t>
      </w:r>
      <w:r w:rsidR="005316F4" w:rsidRPr="00045F85">
        <w:rPr>
          <w:color w:val="auto"/>
        </w:rPr>
        <w:t xml:space="preserve"> </w:t>
      </w:r>
      <w:r w:rsidR="006852F6" w:rsidRPr="00045F85">
        <w:rPr>
          <w:color w:val="auto"/>
        </w:rPr>
        <w:t xml:space="preserve">(for step and shoot mode). </w:t>
      </w:r>
    </w:p>
    <w:p w14:paraId="03C4FA43" w14:textId="0357AB50" w:rsidR="006267E0" w:rsidRPr="00045F85" w:rsidRDefault="00E32514" w:rsidP="00C97AB2">
      <w:pPr>
        <w:pStyle w:val="Listenabsatz"/>
        <w:numPr>
          <w:ilvl w:val="0"/>
          <w:numId w:val="7"/>
        </w:numPr>
        <w:rPr>
          <w:color w:val="auto"/>
        </w:rPr>
      </w:pPr>
      <w:r w:rsidRPr="00045F85">
        <w:rPr>
          <w:color w:val="auto"/>
        </w:rPr>
        <w:t xml:space="preserve">Frame time: </w:t>
      </w:r>
      <w:r w:rsidR="006267E0" w:rsidRPr="00045F85">
        <w:rPr>
          <w:color w:val="auto"/>
        </w:rPr>
        <w:t>the number of seconds per position depends on</w:t>
      </w:r>
      <w:r w:rsidR="003456B0" w:rsidRPr="00045F85">
        <w:rPr>
          <w:color w:val="auto"/>
        </w:rPr>
        <w:t xml:space="preserve"> </w:t>
      </w:r>
      <w:r w:rsidR="006267E0" w:rsidRPr="00045F85">
        <w:rPr>
          <w:color w:val="auto"/>
        </w:rPr>
        <w:t xml:space="preserve">the sensitivity of the system, but usually </w:t>
      </w:r>
      <w:r w:rsidR="002249BC" w:rsidRPr="00045F85">
        <w:rPr>
          <w:color w:val="auto"/>
        </w:rPr>
        <w:t>25</w:t>
      </w:r>
      <w:r w:rsidR="006267E0" w:rsidRPr="00045F85">
        <w:rPr>
          <w:color w:val="auto"/>
        </w:rPr>
        <w:t>–40s are required.</w:t>
      </w:r>
    </w:p>
    <w:p w14:paraId="30F14A71" w14:textId="218E0830" w:rsidR="008465AF" w:rsidRPr="00045F85" w:rsidRDefault="00A64EB9" w:rsidP="00C97AB2">
      <w:pPr>
        <w:pStyle w:val="Listenabsatz"/>
        <w:numPr>
          <w:ilvl w:val="0"/>
          <w:numId w:val="7"/>
        </w:numPr>
        <w:rPr>
          <w:color w:val="auto"/>
        </w:rPr>
      </w:pPr>
      <w:r w:rsidRPr="00045F85">
        <w:rPr>
          <w:color w:val="auto"/>
        </w:rPr>
        <w:t>Total detected events</w:t>
      </w:r>
      <w:r w:rsidR="009122E4" w:rsidRPr="00045F85">
        <w:rPr>
          <w:color w:val="auto"/>
        </w:rPr>
        <w:t xml:space="preserve"> in the photopeak window</w:t>
      </w:r>
      <w:r w:rsidRPr="00045F85">
        <w:rPr>
          <w:color w:val="auto"/>
        </w:rPr>
        <w:t xml:space="preserve">: </w:t>
      </w:r>
      <w:r w:rsidR="00711129" w:rsidRPr="00045F85">
        <w:rPr>
          <w:color w:val="auto"/>
        </w:rPr>
        <w:t>should be</w:t>
      </w:r>
      <w:r w:rsidRPr="00045F85">
        <w:rPr>
          <w:color w:val="auto"/>
        </w:rPr>
        <w:t xml:space="preserve"> </w:t>
      </w:r>
      <w:r w:rsidR="00AF2E8A" w:rsidRPr="00045F85">
        <w:rPr>
          <w:color w:val="auto"/>
        </w:rPr>
        <w:t>&gt;</w:t>
      </w:r>
      <w:r w:rsidRPr="00045F85">
        <w:rPr>
          <w:color w:val="auto"/>
        </w:rPr>
        <w:t xml:space="preserve"> </w:t>
      </w:r>
      <w:r w:rsidR="00CA7C1F" w:rsidRPr="00045F85">
        <w:rPr>
          <w:color w:val="auto"/>
        </w:rPr>
        <w:t>1.5</w:t>
      </w:r>
      <w:r w:rsidRPr="00045F85">
        <w:rPr>
          <w:color w:val="auto"/>
        </w:rPr>
        <w:t xml:space="preserve"> mi</w:t>
      </w:r>
      <w:r w:rsidR="00AF2E8A" w:rsidRPr="00045F85">
        <w:rPr>
          <w:color w:val="auto"/>
        </w:rPr>
        <w:t xml:space="preserve">llion total counts for </w:t>
      </w:r>
      <w:r w:rsidR="00C21E0B" w:rsidRPr="00045F85">
        <w:rPr>
          <w:color w:val="auto"/>
        </w:rPr>
        <w:t>[</w:t>
      </w:r>
      <w:r w:rsidR="001950CE" w:rsidRPr="00045F85">
        <w:rPr>
          <w:color w:val="auto"/>
          <w:vertAlign w:val="superscript"/>
        </w:rPr>
        <w:t>123</w:t>
      </w:r>
      <w:r w:rsidR="001950CE" w:rsidRPr="00045F85">
        <w:rPr>
          <w:color w:val="auto"/>
        </w:rPr>
        <w:t>I</w:t>
      </w:r>
      <w:r w:rsidR="00C21E0B" w:rsidRPr="00045F85">
        <w:rPr>
          <w:color w:val="auto"/>
        </w:rPr>
        <w:t>]</w:t>
      </w:r>
      <w:r w:rsidR="001950CE" w:rsidRPr="00045F85">
        <w:rPr>
          <w:color w:val="auto"/>
        </w:rPr>
        <w:t>-</w:t>
      </w:r>
      <w:r w:rsidR="00933D77" w:rsidRPr="00045F85">
        <w:rPr>
          <w:color w:val="auto"/>
        </w:rPr>
        <w:t>FP-CIT</w:t>
      </w:r>
      <w:r w:rsidR="001950CE" w:rsidRPr="00045F85">
        <w:rPr>
          <w:color w:val="auto"/>
        </w:rPr>
        <w:t xml:space="preserve">; &gt;1 million for </w:t>
      </w:r>
      <w:r w:rsidR="0084233D" w:rsidRPr="00045F85">
        <w:rPr>
          <w:color w:val="auto"/>
        </w:rPr>
        <w:t>[</w:t>
      </w:r>
      <w:r w:rsidR="0084233D" w:rsidRPr="00045F85">
        <w:rPr>
          <w:color w:val="auto"/>
          <w:vertAlign w:val="superscript"/>
        </w:rPr>
        <w:t>123</w:t>
      </w:r>
      <w:r w:rsidR="0084233D" w:rsidRPr="00045F85">
        <w:rPr>
          <w:color w:val="auto"/>
        </w:rPr>
        <w:t>I]</w:t>
      </w:r>
      <w:r w:rsidR="001950CE" w:rsidRPr="00045F85">
        <w:rPr>
          <w:color w:val="auto"/>
        </w:rPr>
        <w:t>β-CIT</w:t>
      </w:r>
      <w:r w:rsidR="00AF2E8A" w:rsidRPr="00045F85">
        <w:rPr>
          <w:color w:val="auto"/>
        </w:rPr>
        <w:t>.</w:t>
      </w:r>
      <w:r w:rsidR="004E2DF9" w:rsidRPr="00045F85">
        <w:rPr>
          <w:color w:val="auto"/>
        </w:rPr>
        <w:t xml:space="preserve"> </w:t>
      </w:r>
      <w:r w:rsidR="0040438D" w:rsidRPr="00045F85">
        <w:rPr>
          <w:color w:val="auto"/>
        </w:rPr>
        <w:t>In this framework, it is helpful</w:t>
      </w:r>
      <w:r w:rsidR="00CF3622" w:rsidRPr="00045F85">
        <w:rPr>
          <w:color w:val="auto"/>
        </w:rPr>
        <w:t>,</w:t>
      </w:r>
      <w:r w:rsidR="0040438D" w:rsidRPr="00045F85">
        <w:rPr>
          <w:color w:val="auto"/>
        </w:rPr>
        <w:t xml:space="preserve"> </w:t>
      </w:r>
      <w:r w:rsidR="00CF3622" w:rsidRPr="00045F85">
        <w:rPr>
          <w:color w:val="auto"/>
        </w:rPr>
        <w:t xml:space="preserve">prior to start images acquisition, </w:t>
      </w:r>
      <w:r w:rsidR="0040438D" w:rsidRPr="00045F85">
        <w:rPr>
          <w:color w:val="auto"/>
        </w:rPr>
        <w:t>to use lateral or anterior projections to ensure that the count rate is appropriate to achieve the required number of counts.</w:t>
      </w:r>
    </w:p>
    <w:p w14:paraId="163D3BCD" w14:textId="51DD4184" w:rsidR="00D7214F" w:rsidRPr="00045F85" w:rsidRDefault="008D3156" w:rsidP="00C97AB2">
      <w:pPr>
        <w:pStyle w:val="Listenabsatz"/>
        <w:numPr>
          <w:ilvl w:val="0"/>
          <w:numId w:val="7"/>
        </w:numPr>
        <w:rPr>
          <w:color w:val="auto"/>
        </w:rPr>
      </w:pPr>
      <w:r w:rsidRPr="00045F85">
        <w:rPr>
          <w:color w:val="auto"/>
        </w:rPr>
        <w:t xml:space="preserve">SPECT/CT: the SPECT image acquisition on SPECT/CT systems should follow the general recommendations for </w:t>
      </w:r>
      <w:r w:rsidR="00933D77" w:rsidRPr="00045F85">
        <w:rPr>
          <w:color w:val="auto"/>
        </w:rPr>
        <w:t>DAT SPECT</w:t>
      </w:r>
      <w:r w:rsidRPr="00045F85">
        <w:rPr>
          <w:color w:val="auto"/>
        </w:rPr>
        <w:t xml:space="preserve"> image acquisition.  </w:t>
      </w:r>
    </w:p>
    <w:p w14:paraId="744E98EE" w14:textId="44105722" w:rsidR="00D7214F" w:rsidRPr="00045F85" w:rsidRDefault="00B630CD" w:rsidP="00C97AB2">
      <w:pPr>
        <w:pStyle w:val="Listenabsatz"/>
        <w:numPr>
          <w:ilvl w:val="0"/>
          <w:numId w:val="7"/>
        </w:numPr>
        <w:rPr>
          <w:color w:val="auto"/>
        </w:rPr>
      </w:pPr>
      <w:r w:rsidRPr="00045F85">
        <w:rPr>
          <w:color w:val="auto"/>
        </w:rPr>
        <w:t>CT-based attenuation correction (CTAC)</w:t>
      </w:r>
      <w:r w:rsidR="00424960" w:rsidRPr="00045F85">
        <w:rPr>
          <w:color w:val="auto"/>
        </w:rPr>
        <w:t xml:space="preserve"> may be performed</w:t>
      </w:r>
      <w:r w:rsidR="004E1D05" w:rsidRPr="00045F85">
        <w:rPr>
          <w:color w:val="auto"/>
        </w:rPr>
        <w:t xml:space="preserve"> </w:t>
      </w:r>
      <w:r w:rsidR="00D7569C" w:rsidRPr="00045F85">
        <w:rPr>
          <w:color w:val="auto"/>
        </w:rPr>
        <w:t>with</w:t>
      </w:r>
      <w:r w:rsidR="00241595" w:rsidRPr="00045F85">
        <w:rPr>
          <w:color w:val="auto"/>
        </w:rPr>
        <w:t xml:space="preserve"> SPECT/CT </w:t>
      </w:r>
      <w:r w:rsidR="00E60E3D" w:rsidRPr="00045F85">
        <w:rPr>
          <w:color w:val="auto"/>
        </w:rPr>
        <w:t>systems</w:t>
      </w:r>
      <w:r w:rsidR="008C2E5D" w:rsidRPr="00045F85">
        <w:rPr>
          <w:color w:val="auto"/>
        </w:rPr>
        <w:t xml:space="preserve"> following manufacturer’s protocol.</w:t>
      </w:r>
      <w:r w:rsidR="00241595" w:rsidRPr="00045F85">
        <w:rPr>
          <w:color w:val="auto"/>
        </w:rPr>
        <w:t xml:space="preserve"> Overall in the few available studies comparing data obtained using CTAC with data obtained using uniform AC, minor differences were observed, without impact on diagnostic performance.</w:t>
      </w:r>
      <w:r w:rsidR="00B5105F" w:rsidRPr="00045F85">
        <w:rPr>
          <w:color w:val="auto"/>
        </w:rPr>
        <w:t xml:space="preserve"> </w:t>
      </w:r>
      <w:r w:rsidRPr="00045F85">
        <w:rPr>
          <w:color w:val="auto"/>
        </w:rPr>
        <w:t xml:space="preserve">It should be noted that when SPECT/CT devices are available, </w:t>
      </w:r>
      <w:r w:rsidR="00B5105F" w:rsidRPr="00045F85">
        <w:rPr>
          <w:color w:val="auto"/>
        </w:rPr>
        <w:t xml:space="preserve">CT is </w:t>
      </w:r>
      <w:r w:rsidR="00321D0D" w:rsidRPr="00045F85">
        <w:rPr>
          <w:color w:val="auto"/>
        </w:rPr>
        <w:t xml:space="preserve">generally </w:t>
      </w:r>
      <w:r w:rsidR="00B5105F" w:rsidRPr="00045F85">
        <w:rPr>
          <w:color w:val="auto"/>
        </w:rPr>
        <w:t>used for attenuation correction and anatomical localization only.  Accordingly, the CT acquisition mode sh</w:t>
      </w:r>
      <w:r w:rsidR="00D7569C" w:rsidRPr="00045F85">
        <w:rPr>
          <w:color w:val="auto"/>
        </w:rPr>
        <w:t>ould use</w:t>
      </w:r>
      <w:r w:rsidR="00B5105F" w:rsidRPr="00045F85">
        <w:rPr>
          <w:color w:val="auto"/>
        </w:rPr>
        <w:t xml:space="preserve"> the protocol that delivers the lowest possible radiation dose to the subject (e.g.</w:t>
      </w:r>
      <w:r w:rsidR="00D7569C" w:rsidRPr="00045F85">
        <w:rPr>
          <w:color w:val="auto"/>
        </w:rPr>
        <w:t>,</w:t>
      </w:r>
      <w:r w:rsidR="00B5105F" w:rsidRPr="00045F85">
        <w:rPr>
          <w:color w:val="auto"/>
        </w:rPr>
        <w:t xml:space="preserve"> a relatively low dose protocol) that retains the quantitative accuracy of corrections for attenua</w:t>
      </w:r>
      <w:r w:rsidR="008C2E5D" w:rsidRPr="00045F85">
        <w:rPr>
          <w:color w:val="auto"/>
        </w:rPr>
        <w:t xml:space="preserve">tion and anatomic localization. </w:t>
      </w:r>
      <w:r w:rsidR="00B5105F" w:rsidRPr="00045F85">
        <w:rPr>
          <w:color w:val="auto"/>
        </w:rPr>
        <w:t xml:space="preserve">According to </w:t>
      </w:r>
      <w:r w:rsidR="005D0E77" w:rsidRPr="00045F85">
        <w:rPr>
          <w:color w:val="auto"/>
        </w:rPr>
        <w:t>Guidelines</w:t>
      </w:r>
      <w:r w:rsidR="00B5105F" w:rsidRPr="00045F85">
        <w:rPr>
          <w:color w:val="auto"/>
        </w:rPr>
        <w:t xml:space="preserve"> of the Quantitative Imaging Biomarkers Alliance of the Radiological Society of North America (QIBA-RSNA)</w:t>
      </w:r>
      <w:r w:rsidR="00D7569C" w:rsidRPr="00045F85">
        <w:rPr>
          <w:color w:val="auto"/>
        </w:rPr>
        <w:t>,</w:t>
      </w:r>
      <w:r w:rsidR="00B5105F" w:rsidRPr="00045F85">
        <w:rPr>
          <w:color w:val="auto"/>
        </w:rPr>
        <w:t xml:space="preserve"> when CT is used for attenuation correction only, the CT can be performed with 5 – 10 mAs. [</w:t>
      </w:r>
      <w:r w:rsidR="007C4297" w:rsidRPr="00045F85">
        <w:rPr>
          <w:color w:val="auto"/>
        </w:rPr>
        <w:t>44</w:t>
      </w:r>
      <w:r w:rsidR="00B5105F" w:rsidRPr="00045F85">
        <w:rPr>
          <w:color w:val="auto"/>
        </w:rPr>
        <w:t>].</w:t>
      </w:r>
    </w:p>
    <w:p w14:paraId="49916C34" w14:textId="10B2DE38" w:rsidR="00A64EB9" w:rsidRPr="00045F85" w:rsidRDefault="00A64EB9" w:rsidP="00C97AB2">
      <w:pPr>
        <w:pStyle w:val="Listenabsatz"/>
        <w:numPr>
          <w:ilvl w:val="0"/>
          <w:numId w:val="7"/>
        </w:numPr>
        <w:rPr>
          <w:color w:val="auto"/>
        </w:rPr>
      </w:pPr>
      <w:r w:rsidRPr="00045F85">
        <w:rPr>
          <w:color w:val="auto"/>
        </w:rPr>
        <w:lastRenderedPageBreak/>
        <w:t xml:space="preserve">Segmentation of data acquisition into multiple sequential acquisitions </w:t>
      </w:r>
      <w:r w:rsidR="00BE2ABF" w:rsidRPr="00045F85">
        <w:rPr>
          <w:color w:val="auto"/>
        </w:rPr>
        <w:t>allow</w:t>
      </w:r>
      <w:r w:rsidRPr="00045F85">
        <w:rPr>
          <w:color w:val="auto"/>
        </w:rPr>
        <w:t xml:space="preserve"> </w:t>
      </w:r>
      <w:r w:rsidR="00BE2ABF" w:rsidRPr="00045F85">
        <w:rPr>
          <w:color w:val="auto"/>
        </w:rPr>
        <w:t xml:space="preserve">to </w:t>
      </w:r>
      <w:r w:rsidRPr="00045F85">
        <w:rPr>
          <w:color w:val="auto"/>
        </w:rPr>
        <w:t>remove segments of projection data with patient motion</w:t>
      </w:r>
      <w:r w:rsidR="00BE2ABF" w:rsidRPr="00045F85">
        <w:rPr>
          <w:color w:val="auto"/>
        </w:rPr>
        <w:t xml:space="preserve"> thus reducing artefacts.</w:t>
      </w:r>
    </w:p>
    <w:p w14:paraId="6AF0F0D6" w14:textId="77777777" w:rsidR="00A340B9" w:rsidRPr="00045F85" w:rsidRDefault="00A340B9" w:rsidP="00A340B9">
      <w:pPr>
        <w:rPr>
          <w:rFonts w:cs="Arial"/>
        </w:rPr>
      </w:pPr>
    </w:p>
    <w:p w14:paraId="38543BCD" w14:textId="26CA98D0" w:rsidR="0091415D" w:rsidRPr="00045F85" w:rsidRDefault="0091415D" w:rsidP="009D6B35">
      <w:pPr>
        <w:pStyle w:val="berschrift2"/>
        <w:numPr>
          <w:ilvl w:val="0"/>
          <w:numId w:val="39"/>
        </w:numPr>
        <w:rPr>
          <w:color w:val="auto"/>
        </w:rPr>
      </w:pPr>
      <w:r w:rsidRPr="00045F85">
        <w:rPr>
          <w:color w:val="auto"/>
        </w:rPr>
        <w:t xml:space="preserve">Image </w:t>
      </w:r>
      <w:r w:rsidR="006D2F67" w:rsidRPr="00045F85">
        <w:rPr>
          <w:color w:val="auto"/>
        </w:rPr>
        <w:t>processing</w:t>
      </w:r>
    </w:p>
    <w:p w14:paraId="1286FD45" w14:textId="77777777" w:rsidR="008B485F" w:rsidRPr="00045F85" w:rsidRDefault="008B485F" w:rsidP="00C85C0B">
      <w:pPr>
        <w:outlineLvl w:val="0"/>
        <w:rPr>
          <w:rFonts w:cs="Arial"/>
          <w:i/>
        </w:rPr>
      </w:pPr>
      <w:r w:rsidRPr="00045F85">
        <w:rPr>
          <w:rFonts w:cs="Arial"/>
          <w:i/>
        </w:rPr>
        <w:t>Review of projection data</w:t>
      </w:r>
    </w:p>
    <w:p w14:paraId="5FAEF2B7" w14:textId="08DC1B83" w:rsidR="00C85C0B" w:rsidRPr="00045F85" w:rsidRDefault="008F1C84" w:rsidP="00C97AB2">
      <w:pPr>
        <w:pStyle w:val="Listenabsatz"/>
        <w:numPr>
          <w:ilvl w:val="1"/>
          <w:numId w:val="23"/>
        </w:numPr>
        <w:rPr>
          <w:color w:val="auto"/>
        </w:rPr>
      </w:pPr>
      <w:r w:rsidRPr="00045F85">
        <w:rPr>
          <w:color w:val="auto"/>
        </w:rPr>
        <w:t>Images should be checked prior to reconstruction. It is difficult to recognize movement in the reconstructed SPECT slices. Accordingly, t</w:t>
      </w:r>
      <w:r w:rsidR="004E6956" w:rsidRPr="00045F85">
        <w:rPr>
          <w:color w:val="auto"/>
        </w:rPr>
        <w:t xml:space="preserve">he raw projection images should be watched in cine mode or in </w:t>
      </w:r>
      <w:r w:rsidRPr="00045F85">
        <w:rPr>
          <w:color w:val="auto"/>
        </w:rPr>
        <w:t>sinogram mode.</w:t>
      </w:r>
    </w:p>
    <w:p w14:paraId="55A24E97" w14:textId="7AF05022" w:rsidR="008B485F" w:rsidRPr="00045F85" w:rsidRDefault="008B485F" w:rsidP="00C97AB2">
      <w:pPr>
        <w:pStyle w:val="Listenabsatz"/>
        <w:numPr>
          <w:ilvl w:val="1"/>
          <w:numId w:val="23"/>
        </w:numPr>
        <w:rPr>
          <w:color w:val="auto"/>
        </w:rPr>
      </w:pPr>
      <w:r w:rsidRPr="00045F85">
        <w:rPr>
          <w:color w:val="auto"/>
        </w:rPr>
        <w:t>Given the 8-10</w:t>
      </w:r>
      <w:r w:rsidR="0084233D" w:rsidRPr="00045F85">
        <w:rPr>
          <w:color w:val="auto"/>
        </w:rPr>
        <w:t xml:space="preserve"> </w:t>
      </w:r>
      <w:r w:rsidRPr="00045F85">
        <w:rPr>
          <w:color w:val="auto"/>
        </w:rPr>
        <w:t xml:space="preserve">mm spatial resolution of </w:t>
      </w:r>
      <w:r w:rsidR="00D7569C" w:rsidRPr="00045F85">
        <w:rPr>
          <w:color w:val="auto"/>
        </w:rPr>
        <w:t xml:space="preserve">SPECT, </w:t>
      </w:r>
      <w:r w:rsidRPr="00045F85">
        <w:rPr>
          <w:color w:val="auto"/>
        </w:rPr>
        <w:t>small amounts of motion may be tolerated. For more significant motion, repeat</w:t>
      </w:r>
      <w:r w:rsidR="00D201C0" w:rsidRPr="00045F85">
        <w:rPr>
          <w:color w:val="auto"/>
        </w:rPr>
        <w:t>ed</w:t>
      </w:r>
      <w:r w:rsidRPr="00045F85">
        <w:rPr>
          <w:color w:val="auto"/>
        </w:rPr>
        <w:t xml:space="preserve"> scanning is recommended. </w:t>
      </w:r>
    </w:p>
    <w:p w14:paraId="4EADD736" w14:textId="77777777" w:rsidR="00C85C0B" w:rsidRPr="00045F85" w:rsidRDefault="00FB5C7A" w:rsidP="00C85C0B">
      <w:pPr>
        <w:outlineLvl w:val="0"/>
        <w:rPr>
          <w:rFonts w:cs="Arial"/>
          <w:i/>
        </w:rPr>
      </w:pPr>
      <w:r w:rsidRPr="00045F85">
        <w:rPr>
          <w:rFonts w:cs="Arial"/>
          <w:i/>
        </w:rPr>
        <w:t>Image reconstruction</w:t>
      </w:r>
    </w:p>
    <w:p w14:paraId="7E262315" w14:textId="3EE5FA72" w:rsidR="00C85C0B" w:rsidRPr="00045F85" w:rsidRDefault="00FB5C7A" w:rsidP="00C97AB2">
      <w:pPr>
        <w:pStyle w:val="Listenabsatz"/>
        <w:numPr>
          <w:ilvl w:val="0"/>
          <w:numId w:val="35"/>
        </w:numPr>
        <w:rPr>
          <w:color w:val="auto"/>
        </w:rPr>
      </w:pPr>
      <w:r w:rsidRPr="00045F85">
        <w:rPr>
          <w:color w:val="auto"/>
        </w:rPr>
        <w:t xml:space="preserve">Methods: </w:t>
      </w:r>
      <w:r w:rsidR="001276AC" w:rsidRPr="00045F85">
        <w:rPr>
          <w:color w:val="auto"/>
        </w:rPr>
        <w:t>f</w:t>
      </w:r>
      <w:r w:rsidR="00F457CE" w:rsidRPr="00045F85">
        <w:rPr>
          <w:color w:val="auto"/>
        </w:rPr>
        <w:t>iltered back projection</w:t>
      </w:r>
      <w:r w:rsidR="002C2F6E" w:rsidRPr="00045F85">
        <w:rPr>
          <w:color w:val="auto"/>
        </w:rPr>
        <w:t xml:space="preserve"> (FBP)</w:t>
      </w:r>
      <w:r w:rsidR="00F457CE" w:rsidRPr="00045F85">
        <w:rPr>
          <w:color w:val="auto"/>
        </w:rPr>
        <w:t xml:space="preserve"> or i</w:t>
      </w:r>
      <w:r w:rsidRPr="00045F85">
        <w:rPr>
          <w:color w:val="auto"/>
        </w:rPr>
        <w:t xml:space="preserve">terative reconstruction. </w:t>
      </w:r>
      <w:r w:rsidR="002C2F6E" w:rsidRPr="00045F85">
        <w:rPr>
          <w:color w:val="auto"/>
        </w:rPr>
        <w:t xml:space="preserve">In general, FBP </w:t>
      </w:r>
      <w:r w:rsidR="00851BEC" w:rsidRPr="00045F85">
        <w:rPr>
          <w:color w:val="auto"/>
        </w:rPr>
        <w:t>results appears</w:t>
      </w:r>
      <w:r w:rsidR="002C2F6E" w:rsidRPr="00045F85">
        <w:rPr>
          <w:color w:val="auto"/>
        </w:rPr>
        <w:t xml:space="preserve"> to be more consistent across vendors</w:t>
      </w:r>
      <w:r w:rsidR="00D7569C" w:rsidRPr="00045F85">
        <w:rPr>
          <w:color w:val="auto"/>
        </w:rPr>
        <w:t>. However,</w:t>
      </w:r>
      <w:r w:rsidR="002C2F6E" w:rsidRPr="00045F85">
        <w:rPr>
          <w:color w:val="auto"/>
        </w:rPr>
        <w:t xml:space="preserve"> </w:t>
      </w:r>
      <w:r w:rsidRPr="00045F85">
        <w:rPr>
          <w:color w:val="auto"/>
        </w:rPr>
        <w:t xml:space="preserve">iterative reconstruction may be preferred to help reduce streak artefact and </w:t>
      </w:r>
      <w:r w:rsidR="00832E91" w:rsidRPr="00045F85">
        <w:rPr>
          <w:color w:val="auto"/>
        </w:rPr>
        <w:t>for</w:t>
      </w:r>
      <w:r w:rsidRPr="00045F85">
        <w:rPr>
          <w:color w:val="auto"/>
        </w:rPr>
        <w:t xml:space="preserve"> more robust physical correction algorithms.</w:t>
      </w:r>
    </w:p>
    <w:p w14:paraId="158D5C13" w14:textId="77777777" w:rsidR="00EE68B1" w:rsidRPr="00045F85" w:rsidRDefault="00EE68B1" w:rsidP="005C1188">
      <w:pPr>
        <w:pStyle w:val="Listenabsatz"/>
        <w:numPr>
          <w:ilvl w:val="0"/>
          <w:numId w:val="0"/>
        </w:numPr>
        <w:ind w:left="720"/>
        <w:rPr>
          <w:color w:val="auto"/>
        </w:rPr>
      </w:pPr>
    </w:p>
    <w:p w14:paraId="2F34D0A9" w14:textId="182EA4EA" w:rsidR="00581A9A" w:rsidRPr="00045F85" w:rsidRDefault="00581A9A" w:rsidP="00C97AB2">
      <w:pPr>
        <w:pStyle w:val="Listenabsatz"/>
        <w:numPr>
          <w:ilvl w:val="0"/>
          <w:numId w:val="35"/>
        </w:numPr>
        <w:rPr>
          <w:color w:val="auto"/>
        </w:rPr>
      </w:pPr>
      <w:r w:rsidRPr="00045F85">
        <w:rPr>
          <w:color w:val="auto"/>
        </w:rPr>
        <w:t>If iterative reconstruction is used, typically, about 100 EM equivalent iterations (iterations x subsets) should be used, e.g., 10 iterations and 10 subsets for 120 projections or 12 iterations and 8 subsets for 128 projections [45]. However, if normal databases for semiquantitative assessment are used, given that the choice of iterations and subsets will affect semiquantitative values, chosen reconstruction parameters should match those used in the normal databases.</w:t>
      </w:r>
    </w:p>
    <w:p w14:paraId="5D621E3B" w14:textId="77777777" w:rsidR="00581A9A" w:rsidRPr="00045F85" w:rsidRDefault="00581A9A" w:rsidP="006B6F47">
      <w:pPr>
        <w:pStyle w:val="Listenabsatz"/>
        <w:numPr>
          <w:ilvl w:val="0"/>
          <w:numId w:val="0"/>
        </w:numPr>
        <w:ind w:left="720"/>
        <w:rPr>
          <w:color w:val="auto"/>
        </w:rPr>
      </w:pPr>
    </w:p>
    <w:p w14:paraId="2B1C7F1F" w14:textId="1835A75B" w:rsidR="00FB5C7A" w:rsidRPr="00045F85" w:rsidRDefault="00FB5C7A" w:rsidP="00C97AB2">
      <w:pPr>
        <w:pStyle w:val="Listenabsatz"/>
        <w:numPr>
          <w:ilvl w:val="0"/>
          <w:numId w:val="35"/>
        </w:numPr>
        <w:rPr>
          <w:color w:val="auto"/>
        </w:rPr>
      </w:pPr>
      <w:r w:rsidRPr="00045F85">
        <w:rPr>
          <w:color w:val="auto"/>
        </w:rPr>
        <w:t>Ideally the entire brain volume should be reconstructed to assist in the reformatting of data</w:t>
      </w:r>
      <w:r w:rsidR="00904933" w:rsidRPr="00045F85">
        <w:rPr>
          <w:color w:val="auto"/>
        </w:rPr>
        <w:t xml:space="preserve">. </w:t>
      </w:r>
      <w:r w:rsidR="001E4886" w:rsidRPr="00045F85">
        <w:rPr>
          <w:color w:val="auto"/>
        </w:rPr>
        <w:t>S</w:t>
      </w:r>
      <w:r w:rsidRPr="00045F85">
        <w:rPr>
          <w:color w:val="auto"/>
        </w:rPr>
        <w:t>emiquantitative software may</w:t>
      </w:r>
      <w:r w:rsidR="001E4886" w:rsidRPr="00045F85">
        <w:rPr>
          <w:color w:val="auto"/>
        </w:rPr>
        <w:t>, in fact,</w:t>
      </w:r>
      <w:r w:rsidRPr="00045F85">
        <w:rPr>
          <w:color w:val="auto"/>
        </w:rPr>
        <w:t xml:space="preserve"> require the cerebellum as a reference region or the inclusion of the cerebellum may be important in the spatial registration process. </w:t>
      </w:r>
    </w:p>
    <w:p w14:paraId="7F459EA7" w14:textId="77777777" w:rsidR="00FB5C7A" w:rsidRPr="00045F85" w:rsidRDefault="00FB5C7A" w:rsidP="00FB5C7A">
      <w:pPr>
        <w:rPr>
          <w:rFonts w:cs="Arial"/>
        </w:rPr>
      </w:pPr>
    </w:p>
    <w:p w14:paraId="2CE45711" w14:textId="77777777" w:rsidR="00FB5C7A" w:rsidRPr="00045F85" w:rsidRDefault="00FB5C7A" w:rsidP="00424960">
      <w:pPr>
        <w:outlineLvl w:val="0"/>
        <w:rPr>
          <w:rFonts w:cs="Arial"/>
          <w:i/>
        </w:rPr>
      </w:pPr>
      <w:r w:rsidRPr="00045F85">
        <w:rPr>
          <w:rFonts w:cs="Arial"/>
          <w:i/>
        </w:rPr>
        <w:t>Filtering</w:t>
      </w:r>
    </w:p>
    <w:p w14:paraId="4EECFE51" w14:textId="2F35C4BD" w:rsidR="00F457CE" w:rsidRPr="00045F85" w:rsidRDefault="00FB5C7A" w:rsidP="00C97AB2">
      <w:pPr>
        <w:pStyle w:val="Listenabsatz"/>
        <w:numPr>
          <w:ilvl w:val="0"/>
          <w:numId w:val="8"/>
        </w:numPr>
        <w:rPr>
          <w:color w:val="auto"/>
        </w:rPr>
      </w:pPr>
      <w:r w:rsidRPr="00045F85">
        <w:rPr>
          <w:color w:val="auto"/>
        </w:rPr>
        <w:t>Data should be filtered in all three dimension</w:t>
      </w:r>
      <w:r w:rsidR="00A378C4" w:rsidRPr="00045F85">
        <w:rPr>
          <w:color w:val="auto"/>
        </w:rPr>
        <w:t>s</w:t>
      </w:r>
      <w:r w:rsidR="005C1188" w:rsidRPr="00045F85">
        <w:rPr>
          <w:color w:val="auto"/>
        </w:rPr>
        <w:t xml:space="preserve"> (x,y,z) by </w:t>
      </w:r>
      <w:r w:rsidRPr="00045F85">
        <w:rPr>
          <w:color w:val="auto"/>
        </w:rPr>
        <w:t>two-dimensional prefilterin</w:t>
      </w:r>
      <w:r w:rsidR="005C1188" w:rsidRPr="00045F85">
        <w:rPr>
          <w:color w:val="auto"/>
        </w:rPr>
        <w:t xml:space="preserve">g of the projection data. A </w:t>
      </w:r>
      <w:r w:rsidRPr="00045F85">
        <w:rPr>
          <w:color w:val="auto"/>
        </w:rPr>
        <w:t>three-dimensional postfilter to the reconstructed data</w:t>
      </w:r>
      <w:r w:rsidR="005C1188" w:rsidRPr="00045F85">
        <w:rPr>
          <w:color w:val="auto"/>
        </w:rPr>
        <w:t xml:space="preserve"> can also be applied</w:t>
      </w:r>
      <w:r w:rsidRPr="00045F85">
        <w:rPr>
          <w:color w:val="auto"/>
        </w:rPr>
        <w:t xml:space="preserve">. </w:t>
      </w:r>
      <w:r w:rsidR="00F457CE" w:rsidRPr="00045F85">
        <w:rPr>
          <w:color w:val="auto"/>
        </w:rPr>
        <w:t>The second option is recommended for iterative methods, because of the und</w:t>
      </w:r>
      <w:r w:rsidR="001B6F24" w:rsidRPr="00045F85">
        <w:rPr>
          <w:color w:val="auto"/>
        </w:rPr>
        <w:t>erlying assumption of Poisson</w:t>
      </w:r>
      <w:r w:rsidR="00F457CE" w:rsidRPr="00045F85">
        <w:rPr>
          <w:color w:val="auto"/>
        </w:rPr>
        <w:t xml:space="preserve"> distribution of the detected counts.</w:t>
      </w:r>
    </w:p>
    <w:p w14:paraId="1B18D3EF" w14:textId="77777777" w:rsidR="00CD30C4" w:rsidRPr="00045F85" w:rsidRDefault="00CD30C4" w:rsidP="002F66DF">
      <w:pPr>
        <w:ind w:left="720"/>
      </w:pPr>
    </w:p>
    <w:p w14:paraId="74E54CC7" w14:textId="52427B2F" w:rsidR="00FB5C7A" w:rsidRPr="00045F85" w:rsidRDefault="00FB5C7A" w:rsidP="00C97AB2">
      <w:pPr>
        <w:pStyle w:val="Listenabsatz"/>
        <w:numPr>
          <w:ilvl w:val="0"/>
          <w:numId w:val="8"/>
        </w:numPr>
        <w:rPr>
          <w:color w:val="auto"/>
        </w:rPr>
      </w:pPr>
      <w:r w:rsidRPr="00045F85">
        <w:rPr>
          <w:color w:val="auto"/>
        </w:rPr>
        <w:t>Low-pass (e.g.</w:t>
      </w:r>
      <w:r w:rsidR="00D7569C" w:rsidRPr="00045F85">
        <w:rPr>
          <w:color w:val="auto"/>
        </w:rPr>
        <w:t>,</w:t>
      </w:r>
      <w:r w:rsidRPr="00045F85">
        <w:rPr>
          <w:color w:val="auto"/>
        </w:rPr>
        <w:t xml:space="preserve"> Butterworth or Gaussian) filters </w:t>
      </w:r>
      <w:r w:rsidR="005C1188" w:rsidRPr="00045F85">
        <w:rPr>
          <w:color w:val="auto"/>
        </w:rPr>
        <w:t>is suitable</w:t>
      </w:r>
      <w:r w:rsidRPr="00045F85">
        <w:rPr>
          <w:color w:val="auto"/>
        </w:rPr>
        <w:t xml:space="preserve"> to reduce image noise, but not at the detriment of sp</w:t>
      </w:r>
      <w:r w:rsidR="00222918" w:rsidRPr="00045F85">
        <w:rPr>
          <w:color w:val="auto"/>
        </w:rPr>
        <w:t>atial resolution. Caution should be used if s</w:t>
      </w:r>
      <w:r w:rsidRPr="00045F85">
        <w:rPr>
          <w:color w:val="auto"/>
        </w:rPr>
        <w:t>patially</w:t>
      </w:r>
      <w:r w:rsidR="00D7569C" w:rsidRPr="00045F85">
        <w:rPr>
          <w:color w:val="auto"/>
        </w:rPr>
        <w:t>-</w:t>
      </w:r>
      <w:r w:rsidRPr="00045F85">
        <w:rPr>
          <w:color w:val="auto"/>
        </w:rPr>
        <w:t xml:space="preserve">varying filters </w:t>
      </w:r>
      <w:r w:rsidR="00222918" w:rsidRPr="00045F85">
        <w:rPr>
          <w:color w:val="auto"/>
        </w:rPr>
        <w:t xml:space="preserve">area </w:t>
      </w:r>
      <w:r w:rsidR="00471370" w:rsidRPr="00045F85">
        <w:rPr>
          <w:color w:val="auto"/>
        </w:rPr>
        <w:t>a</w:t>
      </w:r>
      <w:r w:rsidR="00222918" w:rsidRPr="00045F85">
        <w:rPr>
          <w:color w:val="auto"/>
        </w:rPr>
        <w:t>pplied as they can results in</w:t>
      </w:r>
      <w:r w:rsidRPr="00045F85">
        <w:rPr>
          <w:color w:val="auto"/>
        </w:rPr>
        <w:t xml:space="preserve"> </w:t>
      </w:r>
      <w:r w:rsidR="00222918" w:rsidRPr="00045F85">
        <w:rPr>
          <w:color w:val="auto"/>
        </w:rPr>
        <w:t>artefacts.</w:t>
      </w:r>
    </w:p>
    <w:p w14:paraId="1BBF68F4" w14:textId="77777777" w:rsidR="00AA0F3B" w:rsidRPr="00045F85" w:rsidRDefault="00AA0F3B" w:rsidP="002F66DF">
      <w:pPr>
        <w:ind w:left="720"/>
      </w:pPr>
    </w:p>
    <w:p w14:paraId="192A1975" w14:textId="5BDA6245" w:rsidR="00FB5C7A" w:rsidRPr="00045F85" w:rsidRDefault="00FB5C7A" w:rsidP="00C97AB2">
      <w:pPr>
        <w:pStyle w:val="Listenabsatz"/>
        <w:numPr>
          <w:ilvl w:val="0"/>
          <w:numId w:val="8"/>
        </w:numPr>
        <w:rPr>
          <w:color w:val="auto"/>
        </w:rPr>
      </w:pPr>
      <w:r w:rsidRPr="00045F85">
        <w:rPr>
          <w:color w:val="auto"/>
        </w:rPr>
        <w:lastRenderedPageBreak/>
        <w:t xml:space="preserve">If resolution modelling is incorporated into the reconstruction, the noise suppression introduced in the algorithm may remove or reduce the need for </w:t>
      </w:r>
      <w:r w:rsidR="003B0047" w:rsidRPr="00045F85">
        <w:rPr>
          <w:color w:val="auto"/>
        </w:rPr>
        <w:t xml:space="preserve">additional </w:t>
      </w:r>
      <w:r w:rsidRPr="00045F85">
        <w:rPr>
          <w:color w:val="auto"/>
        </w:rPr>
        <w:t>filtering.</w:t>
      </w:r>
    </w:p>
    <w:p w14:paraId="7F1F558C" w14:textId="77777777" w:rsidR="00FB5C7A" w:rsidRPr="00045F85" w:rsidRDefault="00FB5C7A" w:rsidP="00FB5C7A">
      <w:pPr>
        <w:rPr>
          <w:rFonts w:cs="Arial"/>
        </w:rPr>
      </w:pPr>
    </w:p>
    <w:p w14:paraId="7021D6F7" w14:textId="77777777" w:rsidR="00FB5C7A" w:rsidRPr="00045F85" w:rsidRDefault="00FB5C7A" w:rsidP="00AA0F3B">
      <w:pPr>
        <w:outlineLvl w:val="0"/>
        <w:rPr>
          <w:rFonts w:cs="Arial"/>
          <w:i/>
        </w:rPr>
      </w:pPr>
      <w:r w:rsidRPr="00045F85">
        <w:rPr>
          <w:rFonts w:cs="Arial"/>
          <w:i/>
        </w:rPr>
        <w:t>Corrections</w:t>
      </w:r>
    </w:p>
    <w:p w14:paraId="1668EB73" w14:textId="759AACF7" w:rsidR="006F092E" w:rsidRPr="00045F85" w:rsidRDefault="006F092E" w:rsidP="00C97AB2">
      <w:pPr>
        <w:pStyle w:val="Listenabsatz"/>
        <w:numPr>
          <w:ilvl w:val="0"/>
          <w:numId w:val="36"/>
        </w:numPr>
        <w:rPr>
          <w:color w:val="auto"/>
        </w:rPr>
      </w:pPr>
      <w:r w:rsidRPr="00045F85">
        <w:rPr>
          <w:color w:val="auto"/>
        </w:rPr>
        <w:t xml:space="preserve">The use of corrections (attenuation, scatter and septal penetration- referred in the following simply as “scatter correction”, </w:t>
      </w:r>
      <w:r w:rsidR="00D7569C" w:rsidRPr="00045F85">
        <w:rPr>
          <w:color w:val="auto"/>
        </w:rPr>
        <w:t xml:space="preserve">and </w:t>
      </w:r>
      <w:r w:rsidRPr="00045F85">
        <w:rPr>
          <w:color w:val="auto"/>
        </w:rPr>
        <w:t xml:space="preserve">partial volume effect) do not necessarily benefit visual interpretation although it will significantly affect the values derived from semiquantitative analysis. Corrections may be considered to reduce quantitative bias and, when accuracy is desired, all three </w:t>
      </w:r>
      <w:r w:rsidR="005C530D" w:rsidRPr="00045F85">
        <w:rPr>
          <w:color w:val="auto"/>
        </w:rPr>
        <w:t>corrections</w:t>
      </w:r>
      <w:r w:rsidRPr="00045F85">
        <w:rPr>
          <w:color w:val="auto"/>
        </w:rPr>
        <w:t xml:space="preserve"> should be applied [</w:t>
      </w:r>
      <w:r w:rsidR="007C4297" w:rsidRPr="00045F85">
        <w:rPr>
          <w:color w:val="auto"/>
        </w:rPr>
        <w:t>46, 47</w:t>
      </w:r>
      <w:r w:rsidRPr="00045F85">
        <w:rPr>
          <w:color w:val="auto"/>
        </w:rPr>
        <w:t>].</w:t>
      </w:r>
    </w:p>
    <w:p w14:paraId="1520E4D2" w14:textId="5F6D769B" w:rsidR="00FB5C7A" w:rsidRPr="00045F85" w:rsidRDefault="00C53B5C" w:rsidP="00C97AB2">
      <w:pPr>
        <w:pStyle w:val="Listenabsatz"/>
        <w:numPr>
          <w:ilvl w:val="0"/>
          <w:numId w:val="36"/>
        </w:numPr>
        <w:rPr>
          <w:color w:val="auto"/>
        </w:rPr>
      </w:pPr>
      <w:r w:rsidRPr="00045F85">
        <w:rPr>
          <w:color w:val="auto"/>
        </w:rPr>
        <w:t>I</w:t>
      </w:r>
      <w:r w:rsidR="00FB5C7A" w:rsidRPr="00045F85">
        <w:rPr>
          <w:color w:val="auto"/>
        </w:rPr>
        <w:t>f normal databases are to be used, the reconstruction should match that used to create the norma</w:t>
      </w:r>
      <w:r w:rsidR="0073404D" w:rsidRPr="00045F85">
        <w:rPr>
          <w:color w:val="auto"/>
        </w:rPr>
        <w:t>l database.</w:t>
      </w:r>
    </w:p>
    <w:p w14:paraId="4152229F" w14:textId="5DCA77E8" w:rsidR="00317604" w:rsidRPr="00045F85" w:rsidRDefault="00862026" w:rsidP="00C97AB2">
      <w:pPr>
        <w:pStyle w:val="Listenabsatz"/>
        <w:numPr>
          <w:ilvl w:val="0"/>
          <w:numId w:val="36"/>
        </w:numPr>
        <w:rPr>
          <w:color w:val="auto"/>
        </w:rPr>
      </w:pPr>
      <w:r w:rsidRPr="00045F85">
        <w:rPr>
          <w:color w:val="auto"/>
        </w:rPr>
        <w:t>Chang attenuation correction with a uniform attenuat</w:t>
      </w:r>
      <w:r w:rsidR="005A4F19" w:rsidRPr="00045F85">
        <w:rPr>
          <w:color w:val="auto"/>
        </w:rPr>
        <w:t>ion map can be used effectively</w:t>
      </w:r>
      <w:r w:rsidRPr="00045F85">
        <w:rPr>
          <w:color w:val="auto"/>
        </w:rPr>
        <w:t xml:space="preserve"> with an appropriate linear attenuation correction coefficient for </w:t>
      </w:r>
      <w:r w:rsidRPr="00045F85">
        <w:rPr>
          <w:color w:val="auto"/>
          <w:vertAlign w:val="superscript"/>
        </w:rPr>
        <w:t>123</w:t>
      </w:r>
      <w:r w:rsidRPr="00045F85">
        <w:rPr>
          <w:color w:val="auto"/>
        </w:rPr>
        <w:t xml:space="preserve">I and careful contouring of the head/scalp. Typically, the linear attenuation factor should be in the range </w:t>
      </w:r>
      <w:r w:rsidRPr="00045F85">
        <w:rPr>
          <w:rFonts w:ascii="Symbol" w:eastAsia="Symbol" w:hAnsi="Symbol" w:cs="Symbol"/>
          <w:color w:val="auto"/>
        </w:rPr>
        <w:t></w:t>
      </w:r>
      <w:r w:rsidRPr="00045F85">
        <w:rPr>
          <w:color w:val="auto"/>
        </w:rPr>
        <w:t>=0.10 -0.12 cm</w:t>
      </w:r>
      <w:r w:rsidRPr="00045F85">
        <w:rPr>
          <w:color w:val="auto"/>
          <w:vertAlign w:val="superscript"/>
        </w:rPr>
        <w:t>-1</w:t>
      </w:r>
      <w:r w:rsidRPr="00045F85">
        <w:rPr>
          <w:color w:val="auto"/>
        </w:rPr>
        <w:t xml:space="preserve"> without scatter correction</w:t>
      </w:r>
      <w:r w:rsidR="00D7569C" w:rsidRPr="00045F85">
        <w:rPr>
          <w:color w:val="auto"/>
        </w:rPr>
        <w:t>,</w:t>
      </w:r>
      <w:r w:rsidRPr="00045F85">
        <w:rPr>
          <w:color w:val="auto"/>
        </w:rPr>
        <w:t xml:space="preserve"> while the  </w:t>
      </w:r>
      <w:r w:rsidRPr="00045F85">
        <w:rPr>
          <w:rFonts w:ascii="Symbol" w:eastAsia="Symbol" w:hAnsi="Symbol" w:cs="Symbol"/>
          <w:color w:val="auto"/>
        </w:rPr>
        <w:t></w:t>
      </w:r>
      <w:r w:rsidRPr="00045F85">
        <w:rPr>
          <w:color w:val="auto"/>
        </w:rPr>
        <w:t xml:space="preserve"> value in water of  0.143 cm</w:t>
      </w:r>
      <w:r w:rsidRPr="00045F85">
        <w:rPr>
          <w:color w:val="auto"/>
          <w:vertAlign w:val="superscript"/>
        </w:rPr>
        <w:t>-1</w:t>
      </w:r>
      <w:r w:rsidRPr="00045F85">
        <w:rPr>
          <w:color w:val="auto"/>
        </w:rPr>
        <w:t xml:space="preserve"> should be used with scatter correction</w:t>
      </w:r>
      <w:r w:rsidR="00B71470" w:rsidRPr="00045F85">
        <w:rPr>
          <w:color w:val="auto"/>
        </w:rPr>
        <w:t xml:space="preserve"> [9, 11, 12].</w:t>
      </w:r>
    </w:p>
    <w:p w14:paraId="71423C47" w14:textId="49EA81E1" w:rsidR="00DE3AC0" w:rsidRPr="00045F85" w:rsidRDefault="00DE3AC0" w:rsidP="00C97AB2">
      <w:pPr>
        <w:pStyle w:val="Listenabsatz"/>
        <w:numPr>
          <w:ilvl w:val="0"/>
          <w:numId w:val="36"/>
        </w:numPr>
        <w:rPr>
          <w:color w:val="auto"/>
        </w:rPr>
      </w:pPr>
      <w:r w:rsidRPr="00045F85">
        <w:rPr>
          <w:color w:val="auto"/>
        </w:rPr>
        <w:t xml:space="preserve">CT based attenuation correction is more robust and can account for head holder attenuation. Obviously, the choice of low-dose ‘attenuation correction only’ CT versus high-dose ‘attenuation correction and diagnostic’ CT has important implications for the radiation dose, and a full diagnostic CT should be used </w:t>
      </w:r>
      <w:r w:rsidR="00D7569C" w:rsidRPr="00045F85">
        <w:rPr>
          <w:color w:val="auto"/>
        </w:rPr>
        <w:t xml:space="preserve">only </w:t>
      </w:r>
      <w:r w:rsidRPr="00045F85">
        <w:rPr>
          <w:color w:val="auto"/>
        </w:rPr>
        <w:t>when justified by the clinical indication.</w:t>
      </w:r>
      <w:r w:rsidRPr="00045F85" w:rsidDel="00067382">
        <w:rPr>
          <w:color w:val="auto"/>
        </w:rPr>
        <w:t xml:space="preserve"> </w:t>
      </w:r>
    </w:p>
    <w:p w14:paraId="7E55FD20" w14:textId="1C8AEA83" w:rsidR="002870D1" w:rsidRPr="00045F85" w:rsidRDefault="002870D1" w:rsidP="00C97AB2">
      <w:pPr>
        <w:pStyle w:val="Listenabsatz"/>
        <w:numPr>
          <w:ilvl w:val="0"/>
          <w:numId w:val="36"/>
        </w:numPr>
        <w:rPr>
          <w:color w:val="auto"/>
        </w:rPr>
      </w:pPr>
      <w:r w:rsidRPr="00045F85">
        <w:rPr>
          <w:color w:val="auto"/>
        </w:rPr>
        <w:t>Scatter (and septal penetration) correction can improve visual contrast and reduce bias in semi-quantitative analysis. It can be performed using either ene</w:t>
      </w:r>
      <w:r w:rsidR="007C4297" w:rsidRPr="00045F85">
        <w:rPr>
          <w:color w:val="auto"/>
        </w:rPr>
        <w:t>rgy</w:t>
      </w:r>
      <w:r w:rsidR="00CA7EAC" w:rsidRPr="00045F85">
        <w:rPr>
          <w:color w:val="auto"/>
        </w:rPr>
        <w:t>-</w:t>
      </w:r>
      <w:r w:rsidR="007C4297" w:rsidRPr="00045F85">
        <w:rPr>
          <w:color w:val="auto"/>
        </w:rPr>
        <w:t>window based corrections [48</w:t>
      </w:r>
      <w:r w:rsidRPr="00045F85">
        <w:rPr>
          <w:color w:val="auto"/>
        </w:rPr>
        <w:t>] or transmission</w:t>
      </w:r>
      <w:r w:rsidR="00CA7EAC" w:rsidRPr="00045F85">
        <w:rPr>
          <w:color w:val="auto"/>
        </w:rPr>
        <w:t>-</w:t>
      </w:r>
      <w:r w:rsidRPr="00045F85">
        <w:rPr>
          <w:color w:val="auto"/>
        </w:rPr>
        <w:t>depen</w:t>
      </w:r>
      <w:r w:rsidR="007C4297" w:rsidRPr="00045F85">
        <w:rPr>
          <w:color w:val="auto"/>
        </w:rPr>
        <w:t>dent convolution subtraction [49</w:t>
      </w:r>
      <w:r w:rsidRPr="00045F85">
        <w:rPr>
          <w:color w:val="auto"/>
        </w:rPr>
        <w:t xml:space="preserve">]. </w:t>
      </w:r>
      <w:r w:rsidR="005A0288" w:rsidRPr="00045F85">
        <w:rPr>
          <w:color w:val="auto"/>
        </w:rPr>
        <w:t xml:space="preserve">The former is simple to implement and can account for extra-cerebral activity but increases image noise and therefore worsens quantitative precision. </w:t>
      </w:r>
      <w:r w:rsidRPr="00045F85">
        <w:rPr>
          <w:color w:val="auto"/>
        </w:rPr>
        <w:t xml:space="preserve">The latter handles noise better, but is unable to account for </w:t>
      </w:r>
      <w:r w:rsidR="005A0288" w:rsidRPr="00045F85">
        <w:rPr>
          <w:color w:val="auto"/>
        </w:rPr>
        <w:t xml:space="preserve">septal </w:t>
      </w:r>
      <w:r w:rsidRPr="00045F85">
        <w:rPr>
          <w:color w:val="auto"/>
        </w:rPr>
        <w:t xml:space="preserve">penetration of </w:t>
      </w:r>
      <w:r w:rsidRPr="00045F85">
        <w:rPr>
          <w:color w:val="auto"/>
          <w:vertAlign w:val="superscript"/>
        </w:rPr>
        <w:t>123</w:t>
      </w:r>
      <w:r w:rsidRPr="00045F85">
        <w:rPr>
          <w:color w:val="auto"/>
        </w:rPr>
        <w:t>I high energy gammas, which can vary s</w:t>
      </w:r>
      <w:r w:rsidR="007C4297" w:rsidRPr="00045F85">
        <w:rPr>
          <w:color w:val="auto"/>
        </w:rPr>
        <w:t>ignificantly across scanners [50</w:t>
      </w:r>
      <w:r w:rsidRPr="00045F85">
        <w:rPr>
          <w:color w:val="auto"/>
        </w:rPr>
        <w:t>]. Modern vendor software allows for the application of scatter and attenuation correction and adherence to manufacturer</w:t>
      </w:r>
      <w:r w:rsidR="00CA7EAC" w:rsidRPr="00045F85">
        <w:rPr>
          <w:color w:val="auto"/>
        </w:rPr>
        <w:t>-</w:t>
      </w:r>
      <w:r w:rsidRPr="00045F85">
        <w:rPr>
          <w:color w:val="auto"/>
        </w:rPr>
        <w:t>specified parameters is recommended</w:t>
      </w:r>
      <w:r w:rsidRPr="00045F85" w:rsidDel="002870D1">
        <w:rPr>
          <w:color w:val="auto"/>
        </w:rPr>
        <w:t xml:space="preserve"> </w:t>
      </w:r>
    </w:p>
    <w:p w14:paraId="6550F4EB" w14:textId="68EA7328" w:rsidR="00FB5C7A" w:rsidRPr="00045F85" w:rsidRDefault="001C4DD9" w:rsidP="00C97AB2">
      <w:pPr>
        <w:pStyle w:val="Listenabsatz"/>
        <w:numPr>
          <w:ilvl w:val="0"/>
          <w:numId w:val="36"/>
        </w:numPr>
        <w:rPr>
          <w:color w:val="auto"/>
        </w:rPr>
      </w:pPr>
      <w:r w:rsidRPr="00045F85">
        <w:rPr>
          <w:color w:val="auto"/>
        </w:rPr>
        <w:t xml:space="preserve">Due to the limited spatial resolution of SPECT systems, imaging small structures in the basal ganglia suffers from large partial volume effects (PVE), which </w:t>
      </w:r>
      <w:r w:rsidR="006019AE" w:rsidRPr="00045F85">
        <w:rPr>
          <w:color w:val="auto"/>
        </w:rPr>
        <w:t>causes</w:t>
      </w:r>
      <w:r w:rsidRPr="00045F85">
        <w:rPr>
          <w:color w:val="auto"/>
        </w:rPr>
        <w:t xml:space="preserve"> the most significant bias/loss in signal during semi-quantitative anal</w:t>
      </w:r>
      <w:r w:rsidR="007C4297" w:rsidRPr="00045F85">
        <w:rPr>
          <w:color w:val="auto"/>
        </w:rPr>
        <w:t>ysis [51</w:t>
      </w:r>
      <w:r w:rsidRPr="00045F85">
        <w:rPr>
          <w:color w:val="auto"/>
        </w:rPr>
        <w:t>]. Resolution modelling techniques in the reconstruction can compensate for some of these losses, although overshoot artefacts associated with the Gibbs phenomena [60] mean that such techniques should be used with caution. It should also be noted that for some commercial systems, application of resolution modelling is combined with other corre</w:t>
      </w:r>
      <w:r w:rsidR="003D311F" w:rsidRPr="00045F85">
        <w:rPr>
          <w:color w:val="auto"/>
        </w:rPr>
        <w:t>ctions and cannot be decoupled.</w:t>
      </w:r>
    </w:p>
    <w:p w14:paraId="6DD0DB32" w14:textId="22E85E3A" w:rsidR="00FB5C7A" w:rsidRPr="00045F85" w:rsidRDefault="00810F81" w:rsidP="0093488C">
      <w:pPr>
        <w:pStyle w:val="berschrift2"/>
        <w:numPr>
          <w:ilvl w:val="0"/>
          <w:numId w:val="0"/>
        </w:numPr>
        <w:ind w:left="720"/>
        <w:rPr>
          <w:color w:val="auto"/>
        </w:rPr>
      </w:pPr>
      <w:r w:rsidRPr="00045F85">
        <w:rPr>
          <w:color w:val="auto"/>
        </w:rPr>
        <w:t>F</w:t>
      </w:r>
      <w:r w:rsidR="00257351" w:rsidRPr="00045F85">
        <w:rPr>
          <w:color w:val="auto"/>
        </w:rPr>
        <w:t xml:space="preserve">. </w:t>
      </w:r>
      <w:r w:rsidR="00FB5C7A" w:rsidRPr="00045F85">
        <w:rPr>
          <w:color w:val="auto"/>
        </w:rPr>
        <w:t>Quality Control</w:t>
      </w:r>
    </w:p>
    <w:p w14:paraId="2B27F7BA" w14:textId="77777777" w:rsidR="006D6B6E" w:rsidRPr="00045F85" w:rsidRDefault="006D6B6E" w:rsidP="006D6B6E">
      <w:pPr>
        <w:outlineLvl w:val="0"/>
        <w:rPr>
          <w:rFonts w:cs="Arial"/>
          <w:i/>
        </w:rPr>
      </w:pPr>
      <w:r w:rsidRPr="00045F85">
        <w:rPr>
          <w:rFonts w:cs="Arial"/>
          <w:i/>
        </w:rPr>
        <w:t>Prerequisites</w:t>
      </w:r>
    </w:p>
    <w:p w14:paraId="375763DA" w14:textId="5D3910CC" w:rsidR="006D6B6E" w:rsidRPr="00045F85" w:rsidRDefault="006D6B6E" w:rsidP="00C97AB2">
      <w:pPr>
        <w:pStyle w:val="Listenabsatz"/>
        <w:numPr>
          <w:ilvl w:val="0"/>
          <w:numId w:val="9"/>
        </w:numPr>
        <w:rPr>
          <w:i/>
          <w:color w:val="auto"/>
        </w:rPr>
      </w:pPr>
      <w:r w:rsidRPr="00045F85">
        <w:rPr>
          <w:color w:val="auto"/>
        </w:rPr>
        <w:lastRenderedPageBreak/>
        <w:t xml:space="preserve">All SPECT systems should be subjected to a quality control </w:t>
      </w:r>
      <w:r w:rsidR="007C49DC" w:rsidRPr="00045F85">
        <w:rPr>
          <w:color w:val="auto"/>
        </w:rPr>
        <w:t>program</w:t>
      </w:r>
      <w:r w:rsidRPr="00045F85">
        <w:rPr>
          <w:color w:val="auto"/>
        </w:rPr>
        <w:t xml:space="preserve"> (AAPM (In press), EANM 2010,</w:t>
      </w:r>
      <w:r w:rsidR="007C4297" w:rsidRPr="00045F85">
        <w:rPr>
          <w:color w:val="auto"/>
        </w:rPr>
        <w:t xml:space="preserve"> IAEA 2009) [52,53</w:t>
      </w:r>
      <w:r w:rsidRPr="00045F85">
        <w:rPr>
          <w:color w:val="auto"/>
        </w:rPr>
        <w:t>]</w:t>
      </w:r>
    </w:p>
    <w:p w14:paraId="2E9E6E66" w14:textId="55B95434" w:rsidR="006D6B6E" w:rsidRPr="00045F85" w:rsidRDefault="006D6B6E" w:rsidP="00C97AB2">
      <w:pPr>
        <w:pStyle w:val="Listenabsatz"/>
        <w:numPr>
          <w:ilvl w:val="0"/>
          <w:numId w:val="9"/>
        </w:numPr>
        <w:rPr>
          <w:i/>
          <w:color w:val="auto"/>
        </w:rPr>
      </w:pPr>
      <w:r w:rsidRPr="00045F85">
        <w:rPr>
          <w:color w:val="auto"/>
        </w:rPr>
        <w:t>For SPECT/CT systems, CT sub-systems should also be under a quality control program (IAEA 2012) and have additional</w:t>
      </w:r>
      <w:r w:rsidR="007C4297" w:rsidRPr="00045F85">
        <w:rPr>
          <w:color w:val="auto"/>
        </w:rPr>
        <w:t xml:space="preserve"> SPECT/CT QC tests performed [53</w:t>
      </w:r>
      <w:r w:rsidRPr="00045F85">
        <w:rPr>
          <w:color w:val="auto"/>
        </w:rPr>
        <w:t>]</w:t>
      </w:r>
    </w:p>
    <w:p w14:paraId="0EFE0E7B" w14:textId="404CBCDB" w:rsidR="006D6B6E" w:rsidRPr="00045F85" w:rsidRDefault="006D6B6E" w:rsidP="00C97AB2">
      <w:pPr>
        <w:pStyle w:val="Listenabsatz"/>
        <w:numPr>
          <w:ilvl w:val="0"/>
          <w:numId w:val="9"/>
        </w:numPr>
        <w:rPr>
          <w:color w:val="auto"/>
        </w:rPr>
      </w:pPr>
      <w:r w:rsidRPr="00045F85">
        <w:rPr>
          <w:color w:val="auto"/>
        </w:rPr>
        <w:t xml:space="preserve">The SPECT system must be set up and calibrated for imaging </w:t>
      </w:r>
      <w:r w:rsidR="00AA39F9" w:rsidRPr="00045F85">
        <w:rPr>
          <w:color w:val="auto"/>
          <w:vertAlign w:val="superscript"/>
        </w:rPr>
        <w:t>123</w:t>
      </w:r>
      <w:r w:rsidR="00AA39F9" w:rsidRPr="00045F85">
        <w:rPr>
          <w:color w:val="auto"/>
        </w:rPr>
        <w:t>I</w:t>
      </w:r>
      <w:r w:rsidRPr="00045F85">
        <w:rPr>
          <w:color w:val="auto"/>
        </w:rPr>
        <w:t>.</w:t>
      </w:r>
    </w:p>
    <w:p w14:paraId="437E4CD7" w14:textId="77777777" w:rsidR="006D6B6E" w:rsidRPr="00045F85" w:rsidRDefault="006D6B6E" w:rsidP="00C97AB2">
      <w:pPr>
        <w:pStyle w:val="Listenabsatz"/>
        <w:numPr>
          <w:ilvl w:val="0"/>
          <w:numId w:val="9"/>
        </w:numPr>
        <w:rPr>
          <w:color w:val="auto"/>
        </w:rPr>
      </w:pPr>
      <w:r w:rsidRPr="00045F85">
        <w:rPr>
          <w:color w:val="auto"/>
        </w:rPr>
        <w:t xml:space="preserve">Given the small structures in the basal ganglia, reconstructed SPECT spatial resolution should be </w:t>
      </w:r>
      <w:r w:rsidRPr="00045F85">
        <w:rPr>
          <w:rFonts w:ascii="Symbol" w:eastAsia="Symbol" w:hAnsi="Symbol" w:cs="Symbol"/>
          <w:color w:val="auto"/>
        </w:rPr>
        <w:t></w:t>
      </w:r>
      <w:r w:rsidRPr="00045F85">
        <w:rPr>
          <w:color w:val="auto"/>
        </w:rPr>
        <w:t xml:space="preserve"> 10 mm (FWHM).</w:t>
      </w:r>
    </w:p>
    <w:p w14:paraId="5F56AADF" w14:textId="6AEEF05A" w:rsidR="006D6B6E" w:rsidRPr="00045F85" w:rsidRDefault="006D6B6E" w:rsidP="00C97AB2">
      <w:pPr>
        <w:pStyle w:val="Listenabsatz"/>
        <w:numPr>
          <w:ilvl w:val="0"/>
          <w:numId w:val="9"/>
        </w:numPr>
        <w:rPr>
          <w:color w:val="auto"/>
        </w:rPr>
      </w:pPr>
      <w:r w:rsidRPr="00045F85">
        <w:rPr>
          <w:color w:val="auto"/>
        </w:rPr>
        <w:t xml:space="preserve">If using Chang attenuation correction, </w:t>
      </w:r>
      <w:r w:rsidR="00AA39F9" w:rsidRPr="00045F85">
        <w:rPr>
          <w:color w:val="auto"/>
          <w:vertAlign w:val="superscript"/>
        </w:rPr>
        <w:t>123</w:t>
      </w:r>
      <w:r w:rsidR="00AA39F9" w:rsidRPr="00045F85">
        <w:rPr>
          <w:color w:val="auto"/>
        </w:rPr>
        <w:t xml:space="preserve">I </w:t>
      </w:r>
      <w:r w:rsidRPr="00045F85">
        <w:rPr>
          <w:color w:val="auto"/>
        </w:rPr>
        <w:t>SPECT uniformity using the reconstruction and corrections for clinical imaging should be checked to ensure that an appropriate linear attenuation factor is being used.</w:t>
      </w:r>
    </w:p>
    <w:p w14:paraId="1AE613E4" w14:textId="73541F8B" w:rsidR="006D6B6E" w:rsidRPr="00045F85" w:rsidRDefault="006D6B6E" w:rsidP="00C97AB2">
      <w:pPr>
        <w:pStyle w:val="Listenabsatz"/>
        <w:numPr>
          <w:ilvl w:val="0"/>
          <w:numId w:val="9"/>
        </w:numPr>
        <w:rPr>
          <w:color w:val="auto"/>
        </w:rPr>
      </w:pPr>
      <w:r w:rsidRPr="00045F85">
        <w:rPr>
          <w:color w:val="auto"/>
        </w:rPr>
        <w:t xml:space="preserve">It can be helpful to image an anthropomorphic striatal phantom to assess SPECT image quality using </w:t>
      </w:r>
      <w:r w:rsidR="00DE717A" w:rsidRPr="00045F85">
        <w:rPr>
          <w:color w:val="auto"/>
        </w:rPr>
        <w:t>clinical</w:t>
      </w:r>
      <w:r w:rsidRPr="00045F85">
        <w:rPr>
          <w:color w:val="auto"/>
        </w:rPr>
        <w:t xml:space="preserve"> acquisition and reconstruction parameters.</w:t>
      </w:r>
    </w:p>
    <w:p w14:paraId="0795D45E" w14:textId="77777777" w:rsidR="006D6B6E" w:rsidRPr="00045F85" w:rsidRDefault="006D6B6E" w:rsidP="00FB5C7A">
      <w:pPr>
        <w:outlineLvl w:val="0"/>
        <w:rPr>
          <w:rFonts w:cs="Arial"/>
        </w:rPr>
      </w:pPr>
    </w:p>
    <w:p w14:paraId="04EC7EB0" w14:textId="1DBA7FBA" w:rsidR="00FB5C7A" w:rsidRPr="00045F85" w:rsidRDefault="00FB5C7A" w:rsidP="00FB5C7A">
      <w:pPr>
        <w:outlineLvl w:val="0"/>
        <w:rPr>
          <w:rFonts w:cs="Arial"/>
          <w:i/>
        </w:rPr>
      </w:pPr>
      <w:r w:rsidRPr="00045F85">
        <w:rPr>
          <w:rFonts w:cs="Arial"/>
          <w:i/>
        </w:rPr>
        <w:t>Periodic Quality Control</w:t>
      </w:r>
      <w:r w:rsidR="009F0D51" w:rsidRPr="00045F85">
        <w:rPr>
          <w:rFonts w:cs="Arial"/>
          <w:i/>
        </w:rPr>
        <w:t xml:space="preserve"> (QC)</w:t>
      </w:r>
    </w:p>
    <w:p w14:paraId="7DB9F8B1" w14:textId="4035D552" w:rsidR="00DD6680" w:rsidRPr="00045F85" w:rsidRDefault="005B2260" w:rsidP="00C97AB2">
      <w:pPr>
        <w:pStyle w:val="Listenabsatz"/>
        <w:numPr>
          <w:ilvl w:val="0"/>
          <w:numId w:val="10"/>
        </w:numPr>
        <w:rPr>
          <w:i/>
          <w:color w:val="auto"/>
        </w:rPr>
      </w:pPr>
      <w:r w:rsidRPr="00045F85">
        <w:rPr>
          <w:color w:val="auto"/>
        </w:rPr>
        <w:t xml:space="preserve">Intrinsic (without the collimator) uniformity </w:t>
      </w:r>
      <w:r w:rsidR="00DD6680" w:rsidRPr="00045F85">
        <w:rPr>
          <w:color w:val="auto"/>
        </w:rPr>
        <w:t xml:space="preserve">to </w:t>
      </w:r>
      <w:r w:rsidR="00DE717A" w:rsidRPr="00045F85">
        <w:rPr>
          <w:color w:val="auto"/>
          <w:vertAlign w:val="superscript"/>
        </w:rPr>
        <w:t>123</w:t>
      </w:r>
      <w:r w:rsidR="00DE717A" w:rsidRPr="00045F85">
        <w:rPr>
          <w:color w:val="auto"/>
        </w:rPr>
        <w:t xml:space="preserve">I </w:t>
      </w:r>
      <w:r w:rsidR="00DD6680" w:rsidRPr="00045F85">
        <w:rPr>
          <w:color w:val="auto"/>
        </w:rPr>
        <w:t>should be checked.</w:t>
      </w:r>
    </w:p>
    <w:p w14:paraId="62868C5E" w14:textId="3C8B329A" w:rsidR="00DD6680" w:rsidRPr="00045F85" w:rsidRDefault="00DD6680" w:rsidP="00C97AB2">
      <w:pPr>
        <w:pStyle w:val="Listenabsatz"/>
        <w:numPr>
          <w:ilvl w:val="0"/>
          <w:numId w:val="10"/>
        </w:numPr>
        <w:rPr>
          <w:i/>
          <w:color w:val="auto"/>
        </w:rPr>
      </w:pPr>
      <w:r w:rsidRPr="00045F85">
        <w:rPr>
          <w:color w:val="auto"/>
        </w:rPr>
        <w:t xml:space="preserve">Centre of rotation checks </w:t>
      </w:r>
      <w:r w:rsidR="00C52216" w:rsidRPr="00045F85">
        <w:rPr>
          <w:color w:val="auto"/>
        </w:rPr>
        <w:t>with the collimators used for DA</w:t>
      </w:r>
      <w:r w:rsidRPr="00045F85">
        <w:rPr>
          <w:color w:val="auto"/>
        </w:rPr>
        <w:t>T SPECT should be assessed.</w:t>
      </w:r>
    </w:p>
    <w:p w14:paraId="5EC3EBE8" w14:textId="3F54A4D0" w:rsidR="00DD6680" w:rsidRPr="00045F85" w:rsidRDefault="00DD6680" w:rsidP="00C97AB2">
      <w:pPr>
        <w:pStyle w:val="Listenabsatz"/>
        <w:numPr>
          <w:ilvl w:val="0"/>
          <w:numId w:val="10"/>
        </w:numPr>
        <w:rPr>
          <w:i/>
          <w:color w:val="auto"/>
        </w:rPr>
      </w:pPr>
      <w:r w:rsidRPr="00045F85">
        <w:rPr>
          <w:color w:val="auto"/>
        </w:rPr>
        <w:t xml:space="preserve">If using SPECT/CT systems, the alignment/registration of SPECT and CT should be checked to ensure good </w:t>
      </w:r>
      <w:r w:rsidR="00DE717A" w:rsidRPr="00045F85">
        <w:rPr>
          <w:color w:val="auto"/>
        </w:rPr>
        <w:t>localization</w:t>
      </w:r>
      <w:r w:rsidRPr="00045F85">
        <w:rPr>
          <w:color w:val="auto"/>
        </w:rPr>
        <w:t xml:space="preserve"> and attenuation correction.</w:t>
      </w:r>
    </w:p>
    <w:p w14:paraId="1D3E037E" w14:textId="77777777" w:rsidR="00DD6680" w:rsidRPr="00045F85" w:rsidRDefault="00DD6680" w:rsidP="00DD6680">
      <w:pPr>
        <w:rPr>
          <w:rFonts w:cs="Arial"/>
        </w:rPr>
      </w:pPr>
    </w:p>
    <w:p w14:paraId="6F18B4F0" w14:textId="6818C600" w:rsidR="00DD6680" w:rsidRPr="00045F85" w:rsidRDefault="00C52216" w:rsidP="00DD6680">
      <w:pPr>
        <w:outlineLvl w:val="0"/>
        <w:rPr>
          <w:rFonts w:cs="Arial"/>
          <w:i/>
        </w:rPr>
      </w:pPr>
      <w:r w:rsidRPr="00045F85">
        <w:rPr>
          <w:rFonts w:cs="Arial"/>
          <w:i/>
        </w:rPr>
        <w:t>QC on the day of DA</w:t>
      </w:r>
      <w:r w:rsidR="00DD6680" w:rsidRPr="00045F85">
        <w:rPr>
          <w:rFonts w:cs="Arial"/>
          <w:i/>
        </w:rPr>
        <w:t>T SPECT</w:t>
      </w:r>
    </w:p>
    <w:p w14:paraId="21E255EC" w14:textId="77777777" w:rsidR="00DD6680" w:rsidRPr="00045F85" w:rsidRDefault="00DD6680" w:rsidP="00C97AB2">
      <w:pPr>
        <w:pStyle w:val="Listenabsatz"/>
        <w:numPr>
          <w:ilvl w:val="0"/>
          <w:numId w:val="11"/>
        </w:numPr>
        <w:rPr>
          <w:color w:val="auto"/>
        </w:rPr>
      </w:pPr>
      <w:r w:rsidRPr="00045F85">
        <w:rPr>
          <w:color w:val="auto"/>
        </w:rPr>
        <w:t>Uniformity (intrinsic or system) of detector response should be checked daily prior to patient injection.</w:t>
      </w:r>
    </w:p>
    <w:p w14:paraId="03070698" w14:textId="348A6DDC" w:rsidR="00DD6680" w:rsidRPr="00045F85" w:rsidRDefault="00DD6680" w:rsidP="00C97AB2">
      <w:pPr>
        <w:pStyle w:val="Listenabsatz"/>
        <w:numPr>
          <w:ilvl w:val="0"/>
          <w:numId w:val="11"/>
        </w:numPr>
        <w:rPr>
          <w:color w:val="auto"/>
        </w:rPr>
      </w:pPr>
      <w:r w:rsidRPr="00045F85">
        <w:rPr>
          <w:color w:val="auto"/>
        </w:rPr>
        <w:t xml:space="preserve">The collimators should be checked for mechanical damage. </w:t>
      </w:r>
      <w:r w:rsidR="00ED5338" w:rsidRPr="00045F85">
        <w:rPr>
          <w:color w:val="auto"/>
        </w:rPr>
        <w:t>A high-count extrinsic uniformity test should be performed i</w:t>
      </w:r>
      <w:r w:rsidRPr="00045F85">
        <w:rPr>
          <w:color w:val="auto"/>
        </w:rPr>
        <w:t xml:space="preserve">f </w:t>
      </w:r>
      <w:r w:rsidR="00ED5338" w:rsidRPr="00045F85">
        <w:rPr>
          <w:color w:val="auto"/>
        </w:rPr>
        <w:t xml:space="preserve">collimators </w:t>
      </w:r>
      <w:r w:rsidRPr="00045F85">
        <w:rPr>
          <w:color w:val="auto"/>
        </w:rPr>
        <w:t xml:space="preserve">damage </w:t>
      </w:r>
      <w:r w:rsidR="00ED5338" w:rsidRPr="00045F85">
        <w:rPr>
          <w:color w:val="auto"/>
        </w:rPr>
        <w:t>is suspected.</w:t>
      </w:r>
    </w:p>
    <w:p w14:paraId="3F94B01D" w14:textId="3AB35170" w:rsidR="00DD6680" w:rsidRPr="00045F85" w:rsidRDefault="00DD6680" w:rsidP="00C97AB2">
      <w:pPr>
        <w:pStyle w:val="Listenabsatz"/>
        <w:numPr>
          <w:ilvl w:val="0"/>
          <w:numId w:val="11"/>
        </w:numPr>
        <w:rPr>
          <w:color w:val="auto"/>
        </w:rPr>
      </w:pPr>
      <w:r w:rsidRPr="00045F85">
        <w:rPr>
          <w:color w:val="auto"/>
        </w:rPr>
        <w:t xml:space="preserve">The peaking of the camera to </w:t>
      </w:r>
      <w:r w:rsidR="00E20F6F" w:rsidRPr="00045F85">
        <w:rPr>
          <w:color w:val="auto"/>
          <w:vertAlign w:val="superscript"/>
        </w:rPr>
        <w:t>123</w:t>
      </w:r>
      <w:r w:rsidR="00E20F6F" w:rsidRPr="00045F85">
        <w:rPr>
          <w:color w:val="auto"/>
        </w:rPr>
        <w:t xml:space="preserve">I </w:t>
      </w:r>
      <w:r w:rsidRPr="00045F85">
        <w:rPr>
          <w:color w:val="auto"/>
        </w:rPr>
        <w:t>should be checked with the patient on the scanner.</w:t>
      </w:r>
    </w:p>
    <w:p w14:paraId="4020EAF1" w14:textId="77777777" w:rsidR="00E32514" w:rsidRPr="00045F85" w:rsidRDefault="00E32514" w:rsidP="00E32514">
      <w:pPr>
        <w:rPr>
          <w:rFonts w:cs="Arial"/>
        </w:rPr>
      </w:pPr>
    </w:p>
    <w:p w14:paraId="49E1EBFA" w14:textId="77777777" w:rsidR="0091415D" w:rsidRPr="00045F85" w:rsidRDefault="0091415D" w:rsidP="0091415D">
      <w:pPr>
        <w:rPr>
          <w:rFonts w:cs="Arial"/>
        </w:rPr>
      </w:pPr>
    </w:p>
    <w:p w14:paraId="7B26BA25" w14:textId="79A4DFD0" w:rsidR="00752A69" w:rsidRPr="00045F85" w:rsidRDefault="0091415D" w:rsidP="009D6B35">
      <w:pPr>
        <w:pStyle w:val="berschrift2"/>
        <w:numPr>
          <w:ilvl w:val="0"/>
          <w:numId w:val="24"/>
        </w:numPr>
        <w:rPr>
          <w:color w:val="auto"/>
        </w:rPr>
      </w:pPr>
      <w:r w:rsidRPr="00045F85">
        <w:rPr>
          <w:color w:val="auto"/>
        </w:rPr>
        <w:t>Interpretation/Semiquantification</w:t>
      </w:r>
    </w:p>
    <w:p w14:paraId="59B9521C" w14:textId="1C86E267" w:rsidR="0013189B" w:rsidRPr="00045F85" w:rsidRDefault="0013189B" w:rsidP="0013189B">
      <w:pPr>
        <w:outlineLvl w:val="0"/>
        <w:rPr>
          <w:rFonts w:cs="Arial"/>
          <w:i/>
        </w:rPr>
      </w:pPr>
      <w:r w:rsidRPr="00045F85">
        <w:rPr>
          <w:rFonts w:cs="Arial"/>
          <w:i/>
        </w:rPr>
        <w:t>Reformatted sections</w:t>
      </w:r>
      <w:r w:rsidR="009D2C63" w:rsidRPr="00045F85">
        <w:rPr>
          <w:rFonts w:cs="Arial"/>
          <w:i/>
        </w:rPr>
        <w:t xml:space="preserve"> and reorientation</w:t>
      </w:r>
      <w:r w:rsidRPr="00045F85">
        <w:rPr>
          <w:rFonts w:cs="Arial"/>
          <w:i/>
        </w:rPr>
        <w:t>:</w:t>
      </w:r>
    </w:p>
    <w:p w14:paraId="5A9A51FE" w14:textId="02600704" w:rsidR="0013189B" w:rsidRPr="00045F85" w:rsidRDefault="003B4DB5" w:rsidP="0013189B">
      <w:pPr>
        <w:rPr>
          <w:rFonts w:cs="Arial"/>
        </w:rPr>
      </w:pPr>
      <w:r w:rsidRPr="00045F85">
        <w:rPr>
          <w:rFonts w:cs="Arial"/>
        </w:rPr>
        <w:t xml:space="preserve">Transaxial slices should be reformatted into three orthogonal planes for visual assessment. Generate transverse sections parallel to a given anatomic orientation (e.g. </w:t>
      </w:r>
      <w:r w:rsidR="009058C9" w:rsidRPr="00045F85">
        <w:rPr>
          <w:rFonts w:cs="Arial"/>
        </w:rPr>
        <w:t>anterior commissural to posterior c</w:t>
      </w:r>
      <w:r w:rsidR="007A237D" w:rsidRPr="00045F85">
        <w:rPr>
          <w:rFonts w:cs="Arial"/>
        </w:rPr>
        <w:t>ommissural</w:t>
      </w:r>
      <w:r w:rsidRPr="00045F85">
        <w:rPr>
          <w:rFonts w:cs="Arial"/>
        </w:rPr>
        <w:t xml:space="preserve"> line</w:t>
      </w:r>
      <w:r w:rsidR="007A237D" w:rsidRPr="00045F85">
        <w:rPr>
          <w:rFonts w:cs="Arial"/>
        </w:rPr>
        <w:t>; AC-PC</w:t>
      </w:r>
      <w:r w:rsidRPr="00045F85">
        <w:rPr>
          <w:rFonts w:cs="Arial"/>
        </w:rPr>
        <w:t xml:space="preserve">) ensuring a high degree of standardization in plane orientation. Create coronal and sagittal sections orthogonal to </w:t>
      </w:r>
      <w:r w:rsidR="00F51830" w:rsidRPr="00045F85">
        <w:rPr>
          <w:rFonts w:cs="Arial"/>
        </w:rPr>
        <w:t>the transverse sections.</w:t>
      </w:r>
    </w:p>
    <w:p w14:paraId="6D4855D6" w14:textId="77777777" w:rsidR="00752A69" w:rsidRPr="00045F85" w:rsidRDefault="00752A69" w:rsidP="00752A69">
      <w:pPr>
        <w:rPr>
          <w:rFonts w:cs="Arial"/>
          <w:i/>
        </w:rPr>
      </w:pPr>
      <w:r w:rsidRPr="00045F85">
        <w:rPr>
          <w:rFonts w:cs="Arial"/>
          <w:i/>
        </w:rPr>
        <w:t>Visual interpretation</w:t>
      </w:r>
    </w:p>
    <w:p w14:paraId="0B11E769" w14:textId="35D20880" w:rsidR="00752A69" w:rsidRPr="00045F85" w:rsidRDefault="00E10776" w:rsidP="00752A69">
      <w:pPr>
        <w:rPr>
          <w:rFonts w:cs="Arial"/>
        </w:rPr>
      </w:pPr>
      <w:r w:rsidRPr="00045F85">
        <w:rPr>
          <w:rFonts w:cs="Arial"/>
        </w:rPr>
        <w:lastRenderedPageBreak/>
        <w:t>P</w:t>
      </w:r>
      <w:r w:rsidR="00752A69" w:rsidRPr="00045F85">
        <w:rPr>
          <w:rFonts w:cs="Arial"/>
        </w:rPr>
        <w:t xml:space="preserve">atients </w:t>
      </w:r>
      <w:r w:rsidRPr="00045F85">
        <w:rPr>
          <w:rFonts w:cs="Arial"/>
        </w:rPr>
        <w:t>become</w:t>
      </w:r>
      <w:r w:rsidR="00752A69" w:rsidRPr="00045F85">
        <w:rPr>
          <w:rFonts w:cs="Arial"/>
        </w:rPr>
        <w:t xml:space="preserve"> symptomatic </w:t>
      </w:r>
      <w:r w:rsidRPr="00045F85">
        <w:rPr>
          <w:rFonts w:cs="Arial"/>
        </w:rPr>
        <w:t>after a</w:t>
      </w:r>
      <w:r w:rsidR="00752A69" w:rsidRPr="00045F85">
        <w:rPr>
          <w:rFonts w:cs="Arial"/>
        </w:rPr>
        <w:t xml:space="preserve"> </w:t>
      </w:r>
      <w:r w:rsidRPr="00045F85">
        <w:rPr>
          <w:rFonts w:cs="Arial"/>
        </w:rPr>
        <w:t>significant</w:t>
      </w:r>
      <w:r w:rsidR="00752A69" w:rsidRPr="00045F85">
        <w:rPr>
          <w:rFonts w:cs="Arial"/>
        </w:rPr>
        <w:t xml:space="preserve"> number of str</w:t>
      </w:r>
      <w:r w:rsidRPr="00045F85">
        <w:rPr>
          <w:rFonts w:cs="Arial"/>
        </w:rPr>
        <w:t xml:space="preserve">iatal synapses have degenerated. Accordingly, visual interpretation of images </w:t>
      </w:r>
      <w:r w:rsidR="00752A69" w:rsidRPr="00045F85">
        <w:rPr>
          <w:rFonts w:cs="Arial"/>
        </w:rPr>
        <w:t xml:space="preserve">is usually sufficient for clinical </w:t>
      </w:r>
      <w:r w:rsidRPr="00045F85">
        <w:rPr>
          <w:rFonts w:cs="Arial"/>
        </w:rPr>
        <w:t>report in the majority of cases</w:t>
      </w:r>
      <w:r w:rsidR="00752A69" w:rsidRPr="00045F85">
        <w:rPr>
          <w:rFonts w:cs="Arial"/>
        </w:rPr>
        <w:t xml:space="preserve">. </w:t>
      </w:r>
      <w:r w:rsidR="005850F6" w:rsidRPr="00045F85">
        <w:rPr>
          <w:rFonts w:cs="Arial"/>
        </w:rPr>
        <w:t>Accurate</w:t>
      </w:r>
      <w:r w:rsidR="00752A69" w:rsidRPr="00045F85">
        <w:rPr>
          <w:rFonts w:cs="Arial"/>
        </w:rPr>
        <w:t xml:space="preserve"> </w:t>
      </w:r>
      <w:r w:rsidR="005850F6" w:rsidRPr="00045F85">
        <w:rPr>
          <w:rFonts w:cs="Arial"/>
        </w:rPr>
        <w:t>reporting</w:t>
      </w:r>
      <w:r w:rsidR="00752A69" w:rsidRPr="00045F85">
        <w:rPr>
          <w:rFonts w:cs="Arial"/>
        </w:rPr>
        <w:t xml:space="preserve"> with trained readers </w:t>
      </w:r>
      <w:r w:rsidR="005850F6" w:rsidRPr="00045F85">
        <w:rPr>
          <w:rFonts w:cs="Arial"/>
        </w:rPr>
        <w:t xml:space="preserve">has been demonstrated </w:t>
      </w:r>
      <w:r w:rsidR="00752A69" w:rsidRPr="00045F85">
        <w:rPr>
          <w:rFonts w:cs="Arial"/>
        </w:rPr>
        <w:t>usin</w:t>
      </w:r>
      <w:r w:rsidR="0077383C" w:rsidRPr="00045F85">
        <w:rPr>
          <w:rFonts w:cs="Arial"/>
        </w:rPr>
        <w:t>g visual interpretation only [</w:t>
      </w:r>
      <w:r w:rsidR="007C4297" w:rsidRPr="00045F85">
        <w:rPr>
          <w:rFonts w:cs="Arial"/>
        </w:rPr>
        <w:t>15-18, 54, 55</w:t>
      </w:r>
      <w:r w:rsidR="00051AA5" w:rsidRPr="00045F85">
        <w:rPr>
          <w:rFonts w:cs="Arial"/>
        </w:rPr>
        <w:t>].</w:t>
      </w:r>
    </w:p>
    <w:p w14:paraId="6D7E2396" w14:textId="559CD524" w:rsidR="001755A1" w:rsidRPr="00045F85" w:rsidRDefault="00752A69" w:rsidP="00C97AB2">
      <w:pPr>
        <w:pStyle w:val="Listenabsatz"/>
        <w:numPr>
          <w:ilvl w:val="0"/>
          <w:numId w:val="14"/>
        </w:numPr>
        <w:rPr>
          <w:color w:val="auto"/>
        </w:rPr>
      </w:pPr>
      <w:r w:rsidRPr="00045F85">
        <w:rPr>
          <w:color w:val="auto"/>
        </w:rPr>
        <w:t xml:space="preserve">Readers are recommended to select one color scale </w:t>
      </w:r>
      <w:r w:rsidR="0018423A" w:rsidRPr="00045F85">
        <w:rPr>
          <w:color w:val="auto"/>
        </w:rPr>
        <w:t>for consistency</w:t>
      </w:r>
      <w:r w:rsidRPr="00045F85">
        <w:rPr>
          <w:color w:val="auto"/>
        </w:rPr>
        <w:t>.</w:t>
      </w:r>
      <w:r w:rsidR="00A81403" w:rsidRPr="00045F85">
        <w:rPr>
          <w:color w:val="auto"/>
        </w:rPr>
        <w:t xml:space="preserve"> Level of contrast and background subtraction should be carefully checked</w:t>
      </w:r>
      <w:r w:rsidR="000F2EC2" w:rsidRPr="00045F85">
        <w:rPr>
          <w:color w:val="auto"/>
        </w:rPr>
        <w:t xml:space="preserve"> as i</w:t>
      </w:r>
      <w:r w:rsidR="00A81403" w:rsidRPr="00045F85">
        <w:rPr>
          <w:color w:val="auto"/>
        </w:rPr>
        <w:t>nappropriate thresholding may result in artefacts.</w:t>
      </w:r>
    </w:p>
    <w:p w14:paraId="2F9A33EA" w14:textId="77777777" w:rsidR="00865FDD" w:rsidRPr="00045F85" w:rsidRDefault="00865FDD" w:rsidP="005850F6">
      <w:pPr>
        <w:pStyle w:val="Listenabsatz"/>
        <w:numPr>
          <w:ilvl w:val="0"/>
          <w:numId w:val="0"/>
        </w:numPr>
        <w:ind w:left="720"/>
        <w:rPr>
          <w:color w:val="auto"/>
        </w:rPr>
      </w:pPr>
    </w:p>
    <w:p w14:paraId="1B2834FE" w14:textId="2023813D" w:rsidR="001755A1" w:rsidRPr="00045F85" w:rsidRDefault="00752A69" w:rsidP="00C97AB2">
      <w:pPr>
        <w:pStyle w:val="Listenabsatz"/>
        <w:numPr>
          <w:ilvl w:val="0"/>
          <w:numId w:val="14"/>
        </w:numPr>
        <w:rPr>
          <w:color w:val="auto"/>
        </w:rPr>
      </w:pPr>
      <w:r w:rsidRPr="00045F85">
        <w:rPr>
          <w:color w:val="auto"/>
        </w:rPr>
        <w:t xml:space="preserve">Data evaluation should </w:t>
      </w:r>
      <w:r w:rsidR="003A0E02" w:rsidRPr="00045F85">
        <w:rPr>
          <w:color w:val="auto"/>
        </w:rPr>
        <w:t>consider</w:t>
      </w:r>
      <w:r w:rsidRPr="00045F85">
        <w:rPr>
          <w:color w:val="auto"/>
        </w:rPr>
        <w:t xml:space="preserve"> age and relevant morphological information (CT, MRI). </w:t>
      </w:r>
      <w:r w:rsidR="005850F6" w:rsidRPr="00045F85">
        <w:rPr>
          <w:color w:val="auto"/>
        </w:rPr>
        <w:t>S</w:t>
      </w:r>
      <w:r w:rsidRPr="00045F85">
        <w:rPr>
          <w:color w:val="auto"/>
        </w:rPr>
        <w:t>tructural lesions in the basal ganglia</w:t>
      </w:r>
      <w:r w:rsidR="00B872E1" w:rsidRPr="00045F85">
        <w:rPr>
          <w:color w:val="auto"/>
        </w:rPr>
        <w:t>, midbrain</w:t>
      </w:r>
      <w:r w:rsidRPr="00045F85">
        <w:rPr>
          <w:color w:val="auto"/>
        </w:rPr>
        <w:t xml:space="preserve"> </w:t>
      </w:r>
      <w:r w:rsidR="005850F6" w:rsidRPr="00045F85">
        <w:rPr>
          <w:color w:val="auto"/>
        </w:rPr>
        <w:t xml:space="preserve">should be considered with great attention especially when present in </w:t>
      </w:r>
      <w:r w:rsidRPr="00045F85">
        <w:rPr>
          <w:color w:val="auto"/>
        </w:rPr>
        <w:t xml:space="preserve">structures selected as reference region for semiquantitative evaluation. Review of </w:t>
      </w:r>
      <w:r w:rsidR="005850F6" w:rsidRPr="00045F85">
        <w:rPr>
          <w:color w:val="auto"/>
        </w:rPr>
        <w:t>previous brain</w:t>
      </w:r>
      <w:r w:rsidRPr="00045F85">
        <w:rPr>
          <w:color w:val="auto"/>
        </w:rPr>
        <w:t xml:space="preserve"> CT </w:t>
      </w:r>
      <w:r w:rsidR="005850F6" w:rsidRPr="00045F85">
        <w:rPr>
          <w:color w:val="auto"/>
        </w:rPr>
        <w:t>and</w:t>
      </w:r>
      <w:r w:rsidRPr="00045F85">
        <w:rPr>
          <w:color w:val="auto"/>
        </w:rPr>
        <w:t xml:space="preserve"> MRI </w:t>
      </w:r>
      <w:r w:rsidR="005850F6" w:rsidRPr="00045F85">
        <w:rPr>
          <w:color w:val="auto"/>
        </w:rPr>
        <w:t>is mandatory</w:t>
      </w:r>
      <w:r w:rsidRPr="00045F85">
        <w:rPr>
          <w:color w:val="auto"/>
        </w:rPr>
        <w:t xml:space="preserve">. </w:t>
      </w:r>
      <w:r w:rsidR="005850F6" w:rsidRPr="00045F85">
        <w:rPr>
          <w:color w:val="auto"/>
        </w:rPr>
        <w:t>In fact</w:t>
      </w:r>
      <w:r w:rsidRPr="00045F85">
        <w:rPr>
          <w:color w:val="auto"/>
        </w:rPr>
        <w:t xml:space="preserve"> anatomic lesions </w:t>
      </w:r>
      <w:r w:rsidR="00BB51D6" w:rsidRPr="00045F85">
        <w:rPr>
          <w:color w:val="auto"/>
        </w:rPr>
        <w:t xml:space="preserve">and central atrophy </w:t>
      </w:r>
      <w:r w:rsidRPr="00045F85">
        <w:rPr>
          <w:color w:val="auto"/>
        </w:rPr>
        <w:t xml:space="preserve">may alter the </w:t>
      </w:r>
      <w:r w:rsidR="00E75D2A" w:rsidRPr="00045F85">
        <w:rPr>
          <w:color w:val="auto"/>
        </w:rPr>
        <w:t xml:space="preserve">tracer binding, </w:t>
      </w:r>
      <w:r w:rsidRPr="00045F85">
        <w:rPr>
          <w:color w:val="auto"/>
        </w:rPr>
        <w:t xml:space="preserve">location or shape of the striatal structures. </w:t>
      </w:r>
    </w:p>
    <w:p w14:paraId="7085C5B8" w14:textId="77777777" w:rsidR="001755A1" w:rsidRPr="00045F85" w:rsidRDefault="001755A1" w:rsidP="005850F6">
      <w:pPr>
        <w:pStyle w:val="Listenabsatz"/>
        <w:numPr>
          <w:ilvl w:val="0"/>
          <w:numId w:val="0"/>
        </w:numPr>
        <w:ind w:left="720"/>
        <w:rPr>
          <w:color w:val="auto"/>
        </w:rPr>
      </w:pPr>
    </w:p>
    <w:p w14:paraId="11E3770B" w14:textId="73CFF9D8" w:rsidR="001755A1" w:rsidRPr="00045F85" w:rsidRDefault="000710F6" w:rsidP="00C97AB2">
      <w:pPr>
        <w:pStyle w:val="Listenabsatz"/>
        <w:numPr>
          <w:ilvl w:val="0"/>
          <w:numId w:val="14"/>
        </w:numPr>
        <w:rPr>
          <w:color w:val="auto"/>
        </w:rPr>
      </w:pPr>
      <w:r w:rsidRPr="00045F85">
        <w:rPr>
          <w:color w:val="auto"/>
        </w:rPr>
        <w:t>Visual assessment is usually sufficient for evaluating striatal left/right symmetry and striatal subregions</w:t>
      </w:r>
      <w:r w:rsidR="00752A69" w:rsidRPr="00045F85">
        <w:rPr>
          <w:color w:val="auto"/>
        </w:rPr>
        <w:t xml:space="preserve">.  </w:t>
      </w:r>
    </w:p>
    <w:p w14:paraId="77FA108A" w14:textId="77777777" w:rsidR="00824863" w:rsidRPr="00045F85" w:rsidRDefault="00824863" w:rsidP="00510D94">
      <w:pPr>
        <w:pStyle w:val="Listenabsatz"/>
        <w:numPr>
          <w:ilvl w:val="0"/>
          <w:numId w:val="0"/>
        </w:numPr>
        <w:ind w:left="720"/>
        <w:rPr>
          <w:color w:val="auto"/>
        </w:rPr>
      </w:pPr>
    </w:p>
    <w:p w14:paraId="0CB0DC24" w14:textId="77777777" w:rsidR="00824863" w:rsidRPr="00045F85" w:rsidRDefault="00824863" w:rsidP="00510D94">
      <w:pPr>
        <w:pStyle w:val="Listenabsatz"/>
        <w:numPr>
          <w:ilvl w:val="0"/>
          <w:numId w:val="0"/>
        </w:numPr>
        <w:ind w:left="720"/>
        <w:rPr>
          <w:color w:val="auto"/>
        </w:rPr>
      </w:pPr>
    </w:p>
    <w:p w14:paraId="1E1C3F20" w14:textId="32F50506" w:rsidR="00EB5C2A" w:rsidRPr="00045F85" w:rsidRDefault="008861E1" w:rsidP="00C97AB2">
      <w:pPr>
        <w:pStyle w:val="Listenabsatz"/>
        <w:numPr>
          <w:ilvl w:val="0"/>
          <w:numId w:val="14"/>
        </w:numPr>
        <w:rPr>
          <w:color w:val="auto"/>
        </w:rPr>
      </w:pPr>
      <w:r w:rsidRPr="00045F85">
        <w:rPr>
          <w:color w:val="auto"/>
        </w:rPr>
        <w:t>On transaxial images the normal striata</w:t>
      </w:r>
      <w:r w:rsidR="00EB5C2A" w:rsidRPr="00045F85">
        <w:rPr>
          <w:color w:val="auto"/>
        </w:rPr>
        <w:t xml:space="preserve"> should look </w:t>
      </w:r>
      <w:r w:rsidR="00D62780" w:rsidRPr="00045F85">
        <w:rPr>
          <w:color w:val="auto"/>
        </w:rPr>
        <w:t xml:space="preserve">as comma-shaped with </w:t>
      </w:r>
      <w:r w:rsidR="00EB5C2A" w:rsidRPr="00045F85">
        <w:rPr>
          <w:color w:val="auto"/>
        </w:rPr>
        <w:t>sym</w:t>
      </w:r>
      <w:r w:rsidR="00D62780" w:rsidRPr="00045F85">
        <w:rPr>
          <w:color w:val="auto"/>
        </w:rPr>
        <w:t xml:space="preserve">metric well-delineated borders (although </w:t>
      </w:r>
      <w:r w:rsidR="00EB5C2A" w:rsidRPr="00045F85">
        <w:rPr>
          <w:color w:val="auto"/>
        </w:rPr>
        <w:t xml:space="preserve">mild asymmetry may </w:t>
      </w:r>
      <w:r w:rsidR="00D62780" w:rsidRPr="00045F85">
        <w:rPr>
          <w:color w:val="auto"/>
        </w:rPr>
        <w:t>be present in also in normal controls).</w:t>
      </w:r>
    </w:p>
    <w:p w14:paraId="3CAE8145" w14:textId="59C8D56D" w:rsidR="00EB5C2A" w:rsidRPr="00045F85" w:rsidRDefault="00EB5C2A" w:rsidP="00510D94">
      <w:pPr>
        <w:pStyle w:val="Listenabsatz"/>
        <w:numPr>
          <w:ilvl w:val="0"/>
          <w:numId w:val="0"/>
        </w:numPr>
        <w:ind w:left="720"/>
        <w:rPr>
          <w:color w:val="auto"/>
        </w:rPr>
      </w:pPr>
    </w:p>
    <w:p w14:paraId="5E5A9332" w14:textId="1C2CF0D3" w:rsidR="001755A1" w:rsidRPr="00045F85" w:rsidRDefault="00AE517A" w:rsidP="00C97AB2">
      <w:pPr>
        <w:pStyle w:val="Listenabsatz"/>
        <w:numPr>
          <w:ilvl w:val="0"/>
          <w:numId w:val="14"/>
        </w:numPr>
        <w:rPr>
          <w:color w:val="auto"/>
        </w:rPr>
      </w:pPr>
      <w:r w:rsidRPr="00045F85">
        <w:rPr>
          <w:color w:val="auto"/>
        </w:rPr>
        <w:t xml:space="preserve">Care should be taken in the alignment of the head, particularly in the coronal plane, in order to avoid </w:t>
      </w:r>
      <w:r w:rsidR="004740A3" w:rsidRPr="00045F85">
        <w:rPr>
          <w:color w:val="auto"/>
        </w:rPr>
        <w:t xml:space="preserve">artifactual </w:t>
      </w:r>
      <w:r w:rsidRPr="00045F85">
        <w:rPr>
          <w:color w:val="auto"/>
        </w:rPr>
        <w:t xml:space="preserve">left-right asymmetry which may lead to visual misinterpretation of the scan. It is recommended, therefore, to visualize all the transaxial slices containing striatal signal so that real asymmetry can be differentiated from an insufficiently corrected </w:t>
      </w:r>
      <w:r w:rsidR="001F236E" w:rsidRPr="00045F85">
        <w:rPr>
          <w:color w:val="auto"/>
        </w:rPr>
        <w:t>head</w:t>
      </w:r>
      <w:r w:rsidRPr="00045F85">
        <w:rPr>
          <w:color w:val="auto"/>
        </w:rPr>
        <w:t xml:space="preserve"> tilt.</w:t>
      </w:r>
    </w:p>
    <w:p w14:paraId="53CDD9D4" w14:textId="77777777" w:rsidR="001755A1" w:rsidRPr="00045F85" w:rsidRDefault="001755A1" w:rsidP="00E46AE2">
      <w:pPr>
        <w:rPr>
          <w:rFonts w:cs="Arial"/>
        </w:rPr>
      </w:pPr>
    </w:p>
    <w:p w14:paraId="459A5684" w14:textId="0A363677" w:rsidR="001755A1" w:rsidRPr="00045F85" w:rsidRDefault="00D62780" w:rsidP="00E137A4">
      <w:pPr>
        <w:pStyle w:val="Listenabsatz"/>
        <w:numPr>
          <w:ilvl w:val="0"/>
          <w:numId w:val="14"/>
        </w:numPr>
        <w:rPr>
          <w:color w:val="auto"/>
        </w:rPr>
      </w:pPr>
      <w:r w:rsidRPr="00045F85">
        <w:rPr>
          <w:color w:val="auto"/>
        </w:rPr>
        <w:t>In abnormal scans,</w:t>
      </w:r>
      <w:r w:rsidR="00752A69" w:rsidRPr="00045F85">
        <w:rPr>
          <w:color w:val="auto"/>
        </w:rPr>
        <w:t xml:space="preserve"> striata </w:t>
      </w:r>
      <w:r w:rsidRPr="00045F85">
        <w:rPr>
          <w:color w:val="auto"/>
        </w:rPr>
        <w:t>present reduced</w:t>
      </w:r>
      <w:r w:rsidR="00752A69" w:rsidRPr="00045F85">
        <w:rPr>
          <w:color w:val="auto"/>
        </w:rPr>
        <w:t xml:space="preserve"> intensity on one or both sides, </w:t>
      </w:r>
      <w:r w:rsidRPr="00045F85">
        <w:rPr>
          <w:color w:val="auto"/>
        </w:rPr>
        <w:t>with</w:t>
      </w:r>
      <w:r w:rsidR="00E46AE2" w:rsidRPr="00045F85">
        <w:rPr>
          <w:color w:val="auto"/>
        </w:rPr>
        <w:t xml:space="preserve"> </w:t>
      </w:r>
      <w:r w:rsidRPr="00045F85">
        <w:rPr>
          <w:color w:val="auto"/>
        </w:rPr>
        <w:t xml:space="preserve">oval or </w:t>
      </w:r>
      <w:r w:rsidR="00D068A2" w:rsidRPr="00045F85">
        <w:rPr>
          <w:color w:val="auto"/>
        </w:rPr>
        <w:t xml:space="preserve">circular </w:t>
      </w:r>
      <w:r w:rsidR="00E46AE2" w:rsidRPr="00045F85">
        <w:rPr>
          <w:color w:val="auto"/>
        </w:rPr>
        <w:t>shape</w:t>
      </w:r>
      <w:r w:rsidR="00752A69" w:rsidRPr="00045F85">
        <w:rPr>
          <w:color w:val="auto"/>
        </w:rPr>
        <w:t>. The level of striatal activity should be compared with the background activity.</w:t>
      </w:r>
      <w:r w:rsidR="00707E38" w:rsidRPr="00045F85">
        <w:rPr>
          <w:color w:val="auto"/>
        </w:rPr>
        <w:t xml:space="preserve"> </w:t>
      </w:r>
    </w:p>
    <w:p w14:paraId="54DD3CE5" w14:textId="77777777" w:rsidR="00D62780" w:rsidRPr="00045F85" w:rsidRDefault="00D62780" w:rsidP="00D62780">
      <w:pPr>
        <w:pStyle w:val="Listenabsatz"/>
        <w:numPr>
          <w:ilvl w:val="0"/>
          <w:numId w:val="0"/>
        </w:numPr>
        <w:ind w:left="720"/>
        <w:rPr>
          <w:color w:val="auto"/>
        </w:rPr>
      </w:pPr>
    </w:p>
    <w:p w14:paraId="5CD43AB6" w14:textId="77777777" w:rsidR="00D62780" w:rsidRPr="00045F85" w:rsidRDefault="00D62780" w:rsidP="00D62780">
      <w:pPr>
        <w:pStyle w:val="Listenabsatz"/>
        <w:numPr>
          <w:ilvl w:val="0"/>
          <w:numId w:val="0"/>
        </w:numPr>
        <w:ind w:left="720"/>
        <w:rPr>
          <w:color w:val="auto"/>
        </w:rPr>
      </w:pPr>
    </w:p>
    <w:p w14:paraId="4CF5E736" w14:textId="0AB97EC1" w:rsidR="00D068A2" w:rsidRPr="00045F85" w:rsidRDefault="0013189B" w:rsidP="00C97AB2">
      <w:pPr>
        <w:pStyle w:val="Listenabsatz"/>
        <w:numPr>
          <w:ilvl w:val="0"/>
          <w:numId w:val="14"/>
        </w:numPr>
        <w:rPr>
          <w:color w:val="auto"/>
        </w:rPr>
      </w:pPr>
      <w:r w:rsidRPr="00045F85">
        <w:rPr>
          <w:color w:val="auto"/>
        </w:rPr>
        <w:t xml:space="preserve">Common patterns for abnormalities: in </w:t>
      </w:r>
      <w:r w:rsidR="00C50694" w:rsidRPr="00045F85">
        <w:rPr>
          <w:color w:val="auto"/>
        </w:rPr>
        <w:t>IPD</w:t>
      </w:r>
      <w:r w:rsidRPr="00045F85">
        <w:rPr>
          <w:color w:val="auto"/>
        </w:rPr>
        <w:t xml:space="preserve">, the disease first becomes visible in the </w:t>
      </w:r>
      <w:r w:rsidR="00D62780" w:rsidRPr="00045F85">
        <w:rPr>
          <w:color w:val="auto"/>
        </w:rPr>
        <w:t>posterior</w:t>
      </w:r>
      <w:r w:rsidRPr="00045F85">
        <w:rPr>
          <w:color w:val="auto"/>
        </w:rPr>
        <w:t xml:space="preserve"> putamen contralateral to the neurologic </w:t>
      </w:r>
      <w:r w:rsidR="007C4297" w:rsidRPr="00045F85">
        <w:rPr>
          <w:color w:val="auto"/>
        </w:rPr>
        <w:t>signs [54, 55</w:t>
      </w:r>
      <w:r w:rsidR="00E46AE2" w:rsidRPr="00045F85">
        <w:rPr>
          <w:color w:val="auto"/>
        </w:rPr>
        <w:t>]</w:t>
      </w:r>
      <w:r w:rsidRPr="00045F85">
        <w:rPr>
          <w:color w:val="auto"/>
        </w:rPr>
        <w:t>.</w:t>
      </w:r>
      <w:r w:rsidR="008D3E35" w:rsidRPr="00045F85">
        <w:rPr>
          <w:color w:val="auto"/>
        </w:rPr>
        <w:t xml:space="preserve"> In fact</w:t>
      </w:r>
      <w:r w:rsidR="005E349A" w:rsidRPr="00045F85">
        <w:rPr>
          <w:color w:val="auto"/>
        </w:rPr>
        <w:t>,</w:t>
      </w:r>
      <w:r w:rsidR="008D3E35" w:rsidRPr="00045F85">
        <w:rPr>
          <w:color w:val="auto"/>
        </w:rPr>
        <w:t xml:space="preserve"> in early</w:t>
      </w:r>
      <w:r w:rsidRPr="00045F85">
        <w:rPr>
          <w:color w:val="auto"/>
        </w:rPr>
        <w:t xml:space="preserve"> </w:t>
      </w:r>
      <w:r w:rsidR="00C50694" w:rsidRPr="00045F85">
        <w:rPr>
          <w:color w:val="auto"/>
        </w:rPr>
        <w:t>IPD</w:t>
      </w:r>
      <w:r w:rsidRPr="00045F85">
        <w:rPr>
          <w:color w:val="auto"/>
        </w:rPr>
        <w:t xml:space="preserve">, the putamen is usually more </w:t>
      </w:r>
      <w:r w:rsidR="00C76744" w:rsidRPr="00045F85">
        <w:rPr>
          <w:color w:val="auto"/>
        </w:rPr>
        <w:t>markedly</w:t>
      </w:r>
      <w:r w:rsidRPr="00045F85">
        <w:rPr>
          <w:color w:val="auto"/>
        </w:rPr>
        <w:t xml:space="preserve"> affected than the caudate nucleus</w:t>
      </w:r>
      <w:r w:rsidR="000E1CAC" w:rsidRPr="00045F85">
        <w:rPr>
          <w:color w:val="auto"/>
        </w:rPr>
        <w:t>.</w:t>
      </w:r>
      <w:r w:rsidRPr="00045F85">
        <w:rPr>
          <w:color w:val="auto"/>
        </w:rPr>
        <w:t xml:space="preserve"> </w:t>
      </w:r>
      <w:r w:rsidR="000E1CAC" w:rsidRPr="00045F85">
        <w:rPr>
          <w:color w:val="auto"/>
        </w:rPr>
        <w:t>Furthermore t</w:t>
      </w:r>
      <w:r w:rsidRPr="00045F85">
        <w:rPr>
          <w:color w:val="auto"/>
        </w:rPr>
        <w:t xml:space="preserve">he putamen </w:t>
      </w:r>
      <w:r w:rsidR="00D068A2" w:rsidRPr="00045F85">
        <w:rPr>
          <w:color w:val="auto"/>
        </w:rPr>
        <w:t>of the less affected hemisphere</w:t>
      </w:r>
      <w:r w:rsidRPr="00045F85">
        <w:rPr>
          <w:color w:val="auto"/>
        </w:rPr>
        <w:t xml:space="preserve"> </w:t>
      </w:r>
      <w:r w:rsidR="000E1CAC" w:rsidRPr="00045F85">
        <w:rPr>
          <w:color w:val="auto"/>
        </w:rPr>
        <w:t>is also</w:t>
      </w:r>
      <w:r w:rsidRPr="00045F85">
        <w:rPr>
          <w:color w:val="auto"/>
        </w:rPr>
        <w:t xml:space="preserve"> early involved (</w:t>
      </w:r>
      <w:r w:rsidR="00D068A2" w:rsidRPr="00045F85">
        <w:rPr>
          <w:color w:val="auto"/>
        </w:rPr>
        <w:t xml:space="preserve">often </w:t>
      </w:r>
      <w:r w:rsidRPr="00045F85">
        <w:rPr>
          <w:color w:val="auto"/>
        </w:rPr>
        <w:t>before the caudate nucl</w:t>
      </w:r>
      <w:r w:rsidR="00E46AE2" w:rsidRPr="00045F85">
        <w:rPr>
          <w:color w:val="auto"/>
        </w:rPr>
        <w:t>eus of the most affected side</w:t>
      </w:r>
      <w:r w:rsidR="00E36576" w:rsidRPr="00045F85">
        <w:rPr>
          <w:color w:val="auto"/>
        </w:rPr>
        <w:t>).This pattern results i</w:t>
      </w:r>
      <w:r w:rsidRPr="00045F85">
        <w:rPr>
          <w:color w:val="auto"/>
        </w:rPr>
        <w:t xml:space="preserve">n the so-called </w:t>
      </w:r>
      <w:r w:rsidR="00E36576" w:rsidRPr="00045F85">
        <w:rPr>
          <w:color w:val="auto"/>
        </w:rPr>
        <w:t xml:space="preserve">dot-shape  </w:t>
      </w:r>
      <w:r w:rsidRPr="00045F85">
        <w:rPr>
          <w:color w:val="auto"/>
        </w:rPr>
        <w:t xml:space="preserve">(as opposed to the normal comma-shape) typical of </w:t>
      </w:r>
      <w:r w:rsidR="00C50694" w:rsidRPr="00045F85">
        <w:rPr>
          <w:color w:val="auto"/>
        </w:rPr>
        <w:t>IPD</w:t>
      </w:r>
      <w:r w:rsidRPr="00045F85">
        <w:rPr>
          <w:color w:val="auto"/>
        </w:rPr>
        <w:t xml:space="preserve"> </w:t>
      </w:r>
      <w:r w:rsidR="00F85246" w:rsidRPr="00045F85">
        <w:rPr>
          <w:color w:val="auto"/>
        </w:rPr>
        <w:t>in</w:t>
      </w:r>
      <w:r w:rsidRPr="00045F85">
        <w:rPr>
          <w:color w:val="auto"/>
        </w:rPr>
        <w:t xml:space="preserve"> the earliest stages of disease.</w:t>
      </w:r>
    </w:p>
    <w:p w14:paraId="10B3D39E" w14:textId="77777777" w:rsidR="00D068A2" w:rsidRPr="00045F85" w:rsidRDefault="00D068A2" w:rsidP="00D62780">
      <w:pPr>
        <w:ind w:left="360"/>
      </w:pPr>
    </w:p>
    <w:p w14:paraId="6058C5AE" w14:textId="14342159" w:rsidR="00DC4A1E" w:rsidRPr="00045F85" w:rsidRDefault="0013189B" w:rsidP="00C97AB2">
      <w:pPr>
        <w:pStyle w:val="Listenabsatz"/>
        <w:numPr>
          <w:ilvl w:val="0"/>
          <w:numId w:val="14"/>
        </w:numPr>
        <w:rPr>
          <w:color w:val="auto"/>
        </w:rPr>
      </w:pPr>
      <w:r w:rsidRPr="00045F85">
        <w:rPr>
          <w:color w:val="auto"/>
        </w:rPr>
        <w:t>The presence of a dot-shape with</w:t>
      </w:r>
      <w:r w:rsidR="005E349A" w:rsidRPr="00045F85">
        <w:rPr>
          <w:color w:val="auto"/>
        </w:rPr>
        <w:t xml:space="preserve"> uptake reduction in both putami</w:t>
      </w:r>
      <w:r w:rsidRPr="00045F85">
        <w:rPr>
          <w:color w:val="auto"/>
        </w:rPr>
        <w:t>n</w:t>
      </w:r>
      <w:r w:rsidR="000818C1" w:rsidRPr="00045F85">
        <w:rPr>
          <w:color w:val="auto"/>
        </w:rPr>
        <w:t>a</w:t>
      </w:r>
      <w:r w:rsidRPr="00045F85">
        <w:rPr>
          <w:color w:val="auto"/>
        </w:rPr>
        <w:t xml:space="preserve"> </w:t>
      </w:r>
      <w:r w:rsidR="00652266" w:rsidRPr="00045F85">
        <w:rPr>
          <w:color w:val="auto"/>
        </w:rPr>
        <w:t>has</w:t>
      </w:r>
      <w:r w:rsidRPr="00045F85">
        <w:rPr>
          <w:color w:val="auto"/>
        </w:rPr>
        <w:t xml:space="preserve"> been repeatedly described in both patients with hemiparkinsonism and </w:t>
      </w:r>
      <w:r w:rsidRPr="00045F85">
        <w:rPr>
          <w:color w:val="auto"/>
        </w:rPr>
        <w:lastRenderedPageBreak/>
        <w:t xml:space="preserve">even in patients with pre-motor PD (i.e. in clinical trials carried out in patients with anosmia and/or </w:t>
      </w:r>
      <w:r w:rsidR="001B38B4" w:rsidRPr="00045F85">
        <w:rPr>
          <w:color w:val="auto"/>
        </w:rPr>
        <w:t>REM</w:t>
      </w:r>
      <w:r w:rsidRPr="00045F85">
        <w:rPr>
          <w:color w:val="auto"/>
        </w:rPr>
        <w:t>-sleep behavior disorders</w:t>
      </w:r>
      <w:r w:rsidR="001553FA" w:rsidRPr="00045F85">
        <w:rPr>
          <w:color w:val="auto"/>
        </w:rPr>
        <w:t xml:space="preserve"> </w:t>
      </w:r>
      <w:r w:rsidR="00482F16" w:rsidRPr="00045F85">
        <w:rPr>
          <w:color w:val="auto"/>
        </w:rPr>
        <w:t>[</w:t>
      </w:r>
      <w:r w:rsidR="0051112C" w:rsidRPr="00045F85">
        <w:rPr>
          <w:color w:val="auto"/>
        </w:rPr>
        <w:t>24, 25</w:t>
      </w:r>
      <w:r w:rsidR="00CF7D13" w:rsidRPr="00045F85">
        <w:rPr>
          <w:color w:val="auto"/>
        </w:rPr>
        <w:t>,</w:t>
      </w:r>
      <w:r w:rsidR="00AF154C" w:rsidRPr="00045F85">
        <w:rPr>
          <w:color w:val="auto"/>
        </w:rPr>
        <w:t xml:space="preserve"> 56</w:t>
      </w:r>
      <w:r w:rsidR="00E476A1" w:rsidRPr="00045F85">
        <w:rPr>
          <w:color w:val="auto"/>
        </w:rPr>
        <w:t>,</w:t>
      </w:r>
      <w:r w:rsidR="00CF7D13" w:rsidRPr="00045F85">
        <w:rPr>
          <w:color w:val="auto"/>
        </w:rPr>
        <w:t xml:space="preserve"> </w:t>
      </w:r>
      <w:r w:rsidR="00AF154C" w:rsidRPr="00045F85">
        <w:rPr>
          <w:color w:val="auto"/>
        </w:rPr>
        <w:t>57</w:t>
      </w:r>
      <w:r w:rsidR="001B37F7" w:rsidRPr="00045F85">
        <w:rPr>
          <w:color w:val="auto"/>
        </w:rPr>
        <w:t>]</w:t>
      </w:r>
      <w:r w:rsidRPr="00045F85">
        <w:rPr>
          <w:color w:val="auto"/>
        </w:rPr>
        <w:t xml:space="preserve">. </w:t>
      </w:r>
      <w:r w:rsidR="008262B2" w:rsidRPr="00045F85">
        <w:rPr>
          <w:color w:val="auto"/>
        </w:rPr>
        <w:t>T</w:t>
      </w:r>
      <w:r w:rsidR="00DC4A1E" w:rsidRPr="00045F85">
        <w:rPr>
          <w:color w:val="auto"/>
        </w:rPr>
        <w:t xml:space="preserve">hese findings testify to the high sensitivity of DAT SPECT </w:t>
      </w:r>
      <w:r w:rsidR="00476D99" w:rsidRPr="00045F85">
        <w:rPr>
          <w:color w:val="auto"/>
        </w:rPr>
        <w:t xml:space="preserve">in the earliest stages of disease </w:t>
      </w:r>
      <w:r w:rsidR="00DC4A1E" w:rsidRPr="00045F85">
        <w:rPr>
          <w:color w:val="auto"/>
        </w:rPr>
        <w:t xml:space="preserve">and its high negative predictive value which still </w:t>
      </w:r>
      <w:r w:rsidR="008262B2" w:rsidRPr="00045F85">
        <w:rPr>
          <w:color w:val="auto"/>
        </w:rPr>
        <w:t>remains one of its main strengths</w:t>
      </w:r>
      <w:r w:rsidR="00E476A1" w:rsidRPr="00045F85">
        <w:rPr>
          <w:color w:val="auto"/>
        </w:rPr>
        <w:t>.</w:t>
      </w:r>
    </w:p>
    <w:p w14:paraId="46A63159" w14:textId="77777777" w:rsidR="00E476A1" w:rsidRPr="00045F85" w:rsidRDefault="00E476A1" w:rsidP="00070CDC">
      <w:pPr>
        <w:pStyle w:val="Listenabsatz"/>
        <w:numPr>
          <w:ilvl w:val="0"/>
          <w:numId w:val="0"/>
        </w:numPr>
        <w:ind w:left="720"/>
        <w:rPr>
          <w:color w:val="auto"/>
        </w:rPr>
      </w:pPr>
    </w:p>
    <w:p w14:paraId="0FEEFC01" w14:textId="1FDEC1A9" w:rsidR="00C20410" w:rsidRPr="00045F85" w:rsidRDefault="006C0713" w:rsidP="00C97AB2">
      <w:pPr>
        <w:pStyle w:val="Listenabsatz"/>
        <w:numPr>
          <w:ilvl w:val="0"/>
          <w:numId w:val="14"/>
        </w:numPr>
        <w:rPr>
          <w:color w:val="auto"/>
        </w:rPr>
      </w:pPr>
      <w:r w:rsidRPr="00045F85">
        <w:rPr>
          <w:color w:val="auto"/>
        </w:rPr>
        <w:t>I</w:t>
      </w:r>
      <w:r w:rsidR="00E476A1" w:rsidRPr="00045F85">
        <w:rPr>
          <w:color w:val="auto"/>
        </w:rPr>
        <w:t xml:space="preserve">n </w:t>
      </w:r>
      <w:r w:rsidR="00C50694" w:rsidRPr="00045F85">
        <w:rPr>
          <w:color w:val="auto"/>
        </w:rPr>
        <w:t>IPD</w:t>
      </w:r>
      <w:r w:rsidR="00E476A1" w:rsidRPr="00045F85">
        <w:rPr>
          <w:color w:val="auto"/>
        </w:rPr>
        <w:t xml:space="preserve"> the DAT binding is</w:t>
      </w:r>
      <w:r w:rsidR="006B3145" w:rsidRPr="00045F85">
        <w:rPr>
          <w:color w:val="auto"/>
        </w:rPr>
        <w:t xml:space="preserve"> often</w:t>
      </w:r>
      <w:r w:rsidR="00E476A1" w:rsidRPr="00045F85">
        <w:rPr>
          <w:color w:val="auto"/>
        </w:rPr>
        <w:t xml:space="preserve"> first reduced in the putamen contralateral to the </w:t>
      </w:r>
      <w:r w:rsidR="006B3145" w:rsidRPr="00045F85">
        <w:rPr>
          <w:color w:val="auto"/>
        </w:rPr>
        <w:t>side of the body showing the most severe signs of disease</w:t>
      </w:r>
      <w:r w:rsidR="00E476A1" w:rsidRPr="00045F85">
        <w:rPr>
          <w:color w:val="auto"/>
        </w:rPr>
        <w:t>, then the reduction</w:t>
      </w:r>
      <w:r w:rsidR="00594B2F" w:rsidRPr="00045F85">
        <w:rPr>
          <w:color w:val="auto"/>
        </w:rPr>
        <w:t xml:space="preserve"> in tracer uptake</w:t>
      </w:r>
      <w:r w:rsidR="00E476A1" w:rsidRPr="00045F85">
        <w:rPr>
          <w:color w:val="auto"/>
        </w:rPr>
        <w:t xml:space="preserve"> progresses to the contralateral putamen and anteriorly and ipsilaterally </w:t>
      </w:r>
      <w:r w:rsidR="00BE27B3" w:rsidRPr="00045F85">
        <w:rPr>
          <w:color w:val="auto"/>
        </w:rPr>
        <w:t>to</w:t>
      </w:r>
      <w:r w:rsidR="00E476A1" w:rsidRPr="00045F85">
        <w:rPr>
          <w:color w:val="auto"/>
        </w:rPr>
        <w:t xml:space="preserve"> the caudate over time. </w:t>
      </w:r>
      <w:r w:rsidR="00C20410" w:rsidRPr="00045F85">
        <w:rPr>
          <w:color w:val="auto"/>
        </w:rPr>
        <w:t xml:space="preserve">Correlation of scores/scales measuring severity of motor impairment and disability (UPDRIII and Hoehn and Yahr Scale) on one side and degree of DAT binding as assessed by DAT SPECT on the other have been demonstrated </w:t>
      </w:r>
      <w:r w:rsidR="00D65071" w:rsidRPr="00045F85">
        <w:rPr>
          <w:color w:val="auto"/>
        </w:rPr>
        <w:t xml:space="preserve">in early IPD </w:t>
      </w:r>
      <w:r w:rsidR="00C20410" w:rsidRPr="00045F85">
        <w:rPr>
          <w:color w:val="auto"/>
        </w:rPr>
        <w:t>[</w:t>
      </w:r>
      <w:r w:rsidR="00AF154C" w:rsidRPr="00045F85">
        <w:rPr>
          <w:color w:val="auto"/>
        </w:rPr>
        <w:t>58</w:t>
      </w:r>
      <w:r w:rsidR="00C20410" w:rsidRPr="00045F85">
        <w:rPr>
          <w:color w:val="auto"/>
        </w:rPr>
        <w:t>].</w:t>
      </w:r>
      <w:r w:rsidR="00D65071" w:rsidRPr="00045F85">
        <w:rPr>
          <w:color w:val="auto"/>
        </w:rPr>
        <w:t>H</w:t>
      </w:r>
      <w:r w:rsidR="00506BFA" w:rsidRPr="00045F85">
        <w:rPr>
          <w:color w:val="auto"/>
        </w:rPr>
        <w:t>owever, later on in the course of the disease, the striatal DAT measures reach a floor effect and correlation with ongoing disease progression is lost</w:t>
      </w:r>
      <w:r w:rsidR="00D2194A" w:rsidRPr="00045F85">
        <w:rPr>
          <w:color w:val="auto"/>
        </w:rPr>
        <w:t xml:space="preserve"> [59].</w:t>
      </w:r>
      <w:r w:rsidR="00506BFA" w:rsidRPr="00045F85">
        <w:rPr>
          <w:color w:val="auto"/>
        </w:rPr>
        <w:t xml:space="preserve"> </w:t>
      </w:r>
      <w:r w:rsidR="009D092B" w:rsidRPr="00045F85">
        <w:rPr>
          <w:color w:val="auto"/>
        </w:rPr>
        <w:t xml:space="preserve">In any case, </w:t>
      </w:r>
      <w:r w:rsidR="00C50694" w:rsidRPr="00045F85">
        <w:rPr>
          <w:color w:val="auto"/>
        </w:rPr>
        <w:t>IPD</w:t>
      </w:r>
      <w:r w:rsidR="00C20410" w:rsidRPr="00045F85">
        <w:rPr>
          <w:color w:val="auto"/>
        </w:rPr>
        <w:t xml:space="preserve"> usually is characterized by reduced uptake in all the basal ganglia structures only in advanced stages</w:t>
      </w:r>
      <w:r w:rsidR="00333CB7" w:rsidRPr="00045F85">
        <w:rPr>
          <w:color w:val="auto"/>
        </w:rPr>
        <w:t xml:space="preserve"> of disease</w:t>
      </w:r>
      <w:r w:rsidR="009D092B" w:rsidRPr="00045F85">
        <w:rPr>
          <w:color w:val="auto"/>
        </w:rPr>
        <w:t xml:space="preserve"> and the </w:t>
      </w:r>
      <w:r w:rsidR="00C20410" w:rsidRPr="00045F85">
        <w:rPr>
          <w:color w:val="auto"/>
        </w:rPr>
        <w:t xml:space="preserve">presence of strong decrease in signal-to noise-ratio in patients with very mild motor symptoms might be due to tracer </w:t>
      </w:r>
      <w:r w:rsidR="003358D0" w:rsidRPr="00045F85">
        <w:rPr>
          <w:color w:val="auto"/>
        </w:rPr>
        <w:t>extravasation</w:t>
      </w:r>
      <w:r w:rsidR="00C20410" w:rsidRPr="00045F85">
        <w:rPr>
          <w:color w:val="auto"/>
        </w:rPr>
        <w:t xml:space="preserve">. </w:t>
      </w:r>
    </w:p>
    <w:p w14:paraId="50869AB4" w14:textId="77777777" w:rsidR="00C20410" w:rsidRPr="00045F85" w:rsidRDefault="00C20410" w:rsidP="00070CDC">
      <w:pPr>
        <w:pStyle w:val="Listenabsatz"/>
        <w:numPr>
          <w:ilvl w:val="0"/>
          <w:numId w:val="0"/>
        </w:numPr>
        <w:ind w:left="720"/>
        <w:rPr>
          <w:color w:val="auto"/>
        </w:rPr>
      </w:pPr>
    </w:p>
    <w:p w14:paraId="0D46749B" w14:textId="6ABA89FE" w:rsidR="00E476A1" w:rsidRPr="00045F85" w:rsidRDefault="004B5ED5" w:rsidP="004B5ED5">
      <w:pPr>
        <w:pStyle w:val="Kommentartext"/>
        <w:numPr>
          <w:ilvl w:val="0"/>
          <w:numId w:val="14"/>
        </w:numPr>
      </w:pPr>
      <w:r w:rsidRPr="00045F85">
        <w:t>In DLB, early involvement of the caudate nucleus may cause the difference in tracer uptake between the putamen and the caudate to be less apparent than in PD.  This may result in images with "we</w:t>
      </w:r>
      <w:r w:rsidR="00D2194A" w:rsidRPr="00045F85">
        <w:t>ak commas" or "balanced loss" [60</w:t>
      </w:r>
      <w:r w:rsidR="00E476A1" w:rsidRPr="00045F85">
        <w:t xml:space="preserve">]. </w:t>
      </w:r>
      <w:r w:rsidR="00D05218" w:rsidRPr="00045F85">
        <w:t>In general, a</w:t>
      </w:r>
      <w:r w:rsidR="00E476A1" w:rsidRPr="00045F85">
        <w:t xml:space="preserve">typical </w:t>
      </w:r>
      <w:r w:rsidRPr="00045F85">
        <w:t>p</w:t>
      </w:r>
      <w:r w:rsidR="00504A08" w:rsidRPr="00045F85">
        <w:t>arkinsonian</w:t>
      </w:r>
      <w:r w:rsidR="00E476A1" w:rsidRPr="00045F85">
        <w:t xml:space="preserve"> syndromes</w:t>
      </w:r>
      <w:r w:rsidR="00D05218" w:rsidRPr="00045F85">
        <w:t xml:space="preserve"> </w:t>
      </w:r>
      <w:r w:rsidR="00E476A1" w:rsidRPr="00045F85">
        <w:t xml:space="preserve">tend to </w:t>
      </w:r>
      <w:r w:rsidR="00070CDC" w:rsidRPr="00045F85">
        <w:t>have a</w:t>
      </w:r>
      <w:r w:rsidR="00E476A1" w:rsidRPr="00045F85">
        <w:t xml:space="preserve"> more symmetric</w:t>
      </w:r>
      <w:r w:rsidR="00070CDC" w:rsidRPr="00045F85">
        <w:t xml:space="preserve">ally reduced uptake. The uptake of the caudatus is also reduced </w:t>
      </w:r>
      <w:r w:rsidR="00E476A1" w:rsidRPr="00045F85">
        <w:t xml:space="preserve">relatively earlier </w:t>
      </w:r>
      <w:r w:rsidR="00070CDC" w:rsidRPr="00045F85">
        <w:t>with respect to iPD</w:t>
      </w:r>
      <w:r w:rsidR="00E476A1" w:rsidRPr="00045F85">
        <w:t xml:space="preserve">. However, there is too much overlap between the disease patterns to allow for adequate discrimination between PD/DLB, MSA, PSP, and CBD on an individual level [18, </w:t>
      </w:r>
      <w:r w:rsidR="00D2194A" w:rsidRPr="00045F85">
        <w:t>60</w:t>
      </w:r>
      <w:r w:rsidR="00E476A1" w:rsidRPr="00045F85">
        <w:t xml:space="preserve">]. </w:t>
      </w:r>
    </w:p>
    <w:p w14:paraId="6E0AF646" w14:textId="77777777" w:rsidR="00DC4A1E" w:rsidRPr="00045F85" w:rsidRDefault="00DC4A1E" w:rsidP="00E476A1">
      <w:pPr>
        <w:ind w:left="360"/>
      </w:pPr>
    </w:p>
    <w:p w14:paraId="592DF9F5" w14:textId="221A898D" w:rsidR="001755A1" w:rsidRPr="00045F85" w:rsidRDefault="00CE3CF2" w:rsidP="00C97AB2">
      <w:pPr>
        <w:pStyle w:val="Listenabsatz"/>
        <w:numPr>
          <w:ilvl w:val="0"/>
          <w:numId w:val="14"/>
        </w:numPr>
        <w:rPr>
          <w:color w:val="auto"/>
        </w:rPr>
      </w:pPr>
      <w:r w:rsidRPr="00045F85">
        <w:rPr>
          <w:color w:val="auto"/>
        </w:rPr>
        <w:t>Since late 90’s, some patients (10% to 15</w:t>
      </w:r>
      <w:r w:rsidR="001553FA" w:rsidRPr="00045F85">
        <w:rPr>
          <w:color w:val="auto"/>
        </w:rPr>
        <w:t xml:space="preserve"> </w:t>
      </w:r>
      <w:r w:rsidRPr="00045F85">
        <w:rPr>
          <w:color w:val="auto"/>
        </w:rPr>
        <w:t xml:space="preserve">%) that were enrolled in PD clinical trials as having newly diagnosed PD, demonstrated normal DAT SPECT and were originally defined as subjects having a scan without evidence of dopaminergic deficit (SWEDD) </w:t>
      </w:r>
      <w:r w:rsidR="00D2194A" w:rsidRPr="00045F85">
        <w:rPr>
          <w:color w:val="auto"/>
        </w:rPr>
        <w:t>[</w:t>
      </w:r>
      <w:r w:rsidR="00401E5F" w:rsidRPr="00045F85">
        <w:rPr>
          <w:color w:val="auto"/>
        </w:rPr>
        <w:t>61</w:t>
      </w:r>
      <w:r w:rsidR="009129FE" w:rsidRPr="00045F85">
        <w:rPr>
          <w:color w:val="auto"/>
        </w:rPr>
        <w:t xml:space="preserve">]. </w:t>
      </w:r>
      <w:r w:rsidR="0013189B" w:rsidRPr="00045F85">
        <w:rPr>
          <w:color w:val="auto"/>
        </w:rPr>
        <w:t>The concept of SWEDD is</w:t>
      </w:r>
      <w:r w:rsidR="00D20E93" w:rsidRPr="00045F85">
        <w:rPr>
          <w:color w:val="auto"/>
        </w:rPr>
        <w:t>,</w:t>
      </w:r>
      <w:r w:rsidR="0013189B" w:rsidRPr="00045F85">
        <w:rPr>
          <w:color w:val="auto"/>
        </w:rPr>
        <w:t xml:space="preserve"> however</w:t>
      </w:r>
      <w:r w:rsidR="00D20E93" w:rsidRPr="00045F85">
        <w:rPr>
          <w:color w:val="auto"/>
        </w:rPr>
        <w:t>,</w:t>
      </w:r>
      <w:r w:rsidR="0013189B" w:rsidRPr="00045F85">
        <w:rPr>
          <w:color w:val="auto"/>
        </w:rPr>
        <w:t xml:space="preserve"> highly debated and controversial and represents a heterogenous entity presumably due to misdiagnosis </w:t>
      </w:r>
      <w:r w:rsidR="009129FE" w:rsidRPr="00045F85">
        <w:rPr>
          <w:color w:val="auto"/>
        </w:rPr>
        <w:t>and/or</w:t>
      </w:r>
      <w:r w:rsidR="00AA7CAE" w:rsidRPr="00045F85">
        <w:rPr>
          <w:color w:val="auto"/>
        </w:rPr>
        <w:t xml:space="preserve"> SPECT misinterpretation. </w:t>
      </w:r>
      <w:r w:rsidR="0013189B" w:rsidRPr="00045F85">
        <w:rPr>
          <w:color w:val="auto"/>
        </w:rPr>
        <w:t xml:space="preserve">Longitudinal assessment demonstrated that subjects with a SWEDD at baseline continue to have </w:t>
      </w:r>
      <w:r w:rsidR="009129FE" w:rsidRPr="00045F85">
        <w:rPr>
          <w:color w:val="auto"/>
        </w:rPr>
        <w:t>a SWEDD in follow-up scans</w:t>
      </w:r>
      <w:r w:rsidR="0013189B" w:rsidRPr="00045F85">
        <w:rPr>
          <w:color w:val="auto"/>
        </w:rPr>
        <w:t xml:space="preserve">. In fact, it was more recently demonstrated that they have minimal evidence of clinical or imaging PD progression. </w:t>
      </w:r>
      <w:r w:rsidR="0005604C" w:rsidRPr="00045F85">
        <w:rPr>
          <w:color w:val="auto"/>
        </w:rPr>
        <w:t xml:space="preserve">This new evidence strongly suggests that SWEDD subjects are unlikely to have </w:t>
      </w:r>
      <w:r w:rsidR="00C50694" w:rsidRPr="00045F85">
        <w:rPr>
          <w:color w:val="auto"/>
        </w:rPr>
        <w:t>IPD</w:t>
      </w:r>
      <w:r w:rsidR="0005604C" w:rsidRPr="00045F85">
        <w:rPr>
          <w:color w:val="auto"/>
        </w:rPr>
        <w:t xml:space="preserve"> </w:t>
      </w:r>
      <w:r w:rsidR="00445F5E" w:rsidRPr="00045F85">
        <w:rPr>
          <w:color w:val="auto"/>
        </w:rPr>
        <w:t>[</w:t>
      </w:r>
      <w:r w:rsidR="00401E5F" w:rsidRPr="00045F85">
        <w:rPr>
          <w:color w:val="auto"/>
        </w:rPr>
        <w:t>60</w:t>
      </w:r>
      <w:r w:rsidR="00445F5E" w:rsidRPr="00045F85">
        <w:rPr>
          <w:color w:val="auto"/>
        </w:rPr>
        <w:t xml:space="preserve">, </w:t>
      </w:r>
      <w:r w:rsidR="00401E5F" w:rsidRPr="00045F85">
        <w:rPr>
          <w:color w:val="auto"/>
        </w:rPr>
        <w:t>61</w:t>
      </w:r>
      <w:r w:rsidR="00AA7CAE" w:rsidRPr="00045F85">
        <w:rPr>
          <w:color w:val="auto"/>
        </w:rPr>
        <w:t>]</w:t>
      </w:r>
      <w:r w:rsidR="0013189B" w:rsidRPr="00045F85">
        <w:rPr>
          <w:color w:val="auto"/>
        </w:rPr>
        <w:t>.</w:t>
      </w:r>
    </w:p>
    <w:p w14:paraId="53DB17AD" w14:textId="77777777" w:rsidR="00AA7CAE" w:rsidRPr="00045F85" w:rsidRDefault="00AA7CAE" w:rsidP="00070CDC">
      <w:pPr>
        <w:pStyle w:val="Listenabsatz"/>
        <w:numPr>
          <w:ilvl w:val="0"/>
          <w:numId w:val="0"/>
        </w:numPr>
        <w:ind w:left="720"/>
        <w:rPr>
          <w:color w:val="auto"/>
        </w:rPr>
      </w:pPr>
    </w:p>
    <w:p w14:paraId="1728225D" w14:textId="0E80FA91" w:rsidR="00647AD6" w:rsidRPr="00045F85" w:rsidRDefault="00070CDC" w:rsidP="00C97AB2">
      <w:pPr>
        <w:pStyle w:val="Listenabsatz"/>
        <w:numPr>
          <w:ilvl w:val="0"/>
          <w:numId w:val="14"/>
        </w:numPr>
        <w:rPr>
          <w:color w:val="auto"/>
        </w:rPr>
      </w:pPr>
      <w:r w:rsidRPr="00045F85">
        <w:rPr>
          <w:color w:val="auto"/>
        </w:rPr>
        <w:t xml:space="preserve">DAT ligands binding is normal in </w:t>
      </w:r>
      <w:r w:rsidR="00752A69" w:rsidRPr="00045F85">
        <w:rPr>
          <w:color w:val="auto"/>
        </w:rPr>
        <w:t xml:space="preserve">essential tremor, </w:t>
      </w:r>
      <w:r w:rsidRPr="00045F85">
        <w:rPr>
          <w:color w:val="auto"/>
        </w:rPr>
        <w:t xml:space="preserve">drug-induced parkinsonism and psychogenic parkinsonism. This difference allaw an </w:t>
      </w:r>
      <w:r w:rsidR="00752A69" w:rsidRPr="00045F85">
        <w:rPr>
          <w:color w:val="auto"/>
        </w:rPr>
        <w:t>accurate differential diagnosis with respect to neurodegene</w:t>
      </w:r>
      <w:r w:rsidR="00AA7CAE" w:rsidRPr="00045F85">
        <w:rPr>
          <w:color w:val="auto"/>
        </w:rPr>
        <w:t>rative parkinsonian syndromes [</w:t>
      </w:r>
      <w:r w:rsidR="00923044" w:rsidRPr="00045F85">
        <w:rPr>
          <w:color w:val="auto"/>
        </w:rPr>
        <w:t xml:space="preserve">22, 23, </w:t>
      </w:r>
      <w:r w:rsidR="00401E5F" w:rsidRPr="00045F85">
        <w:rPr>
          <w:color w:val="auto"/>
        </w:rPr>
        <w:t>55</w:t>
      </w:r>
      <w:r w:rsidR="00AA7CAE" w:rsidRPr="00045F85">
        <w:rPr>
          <w:color w:val="auto"/>
        </w:rPr>
        <w:t>].</w:t>
      </w:r>
    </w:p>
    <w:p w14:paraId="79BB0D71" w14:textId="77777777" w:rsidR="00647AD6" w:rsidRPr="00045F85" w:rsidRDefault="00647AD6" w:rsidP="00070CDC">
      <w:pPr>
        <w:pStyle w:val="Listenabsatz"/>
        <w:numPr>
          <w:ilvl w:val="0"/>
          <w:numId w:val="0"/>
        </w:numPr>
        <w:ind w:left="720"/>
        <w:rPr>
          <w:color w:val="auto"/>
        </w:rPr>
      </w:pPr>
    </w:p>
    <w:p w14:paraId="46063603" w14:textId="3E04374D" w:rsidR="009A06AD" w:rsidRPr="00045F85" w:rsidRDefault="00813FD5" w:rsidP="00C97AB2">
      <w:pPr>
        <w:pStyle w:val="Listenabsatz"/>
        <w:numPr>
          <w:ilvl w:val="0"/>
          <w:numId w:val="14"/>
        </w:numPr>
        <w:rPr>
          <w:color w:val="auto"/>
        </w:rPr>
      </w:pPr>
      <w:r w:rsidRPr="00045F85">
        <w:rPr>
          <w:color w:val="auto"/>
        </w:rPr>
        <w:lastRenderedPageBreak/>
        <w:t>The term vascular parkinsonism is controversial and ill-defined. Basal ganglia vascular lesions are very common and will cause parkinsonism in only a minority of patients, and neither infarct site nor the size can predict the clinical presentation. In the literature</w:t>
      </w:r>
      <w:r w:rsidR="00EC1C76" w:rsidRPr="00045F85">
        <w:rPr>
          <w:color w:val="auto"/>
        </w:rPr>
        <w:t>,</w:t>
      </w:r>
      <w:r w:rsidRPr="00045F85">
        <w:rPr>
          <w:color w:val="auto"/>
        </w:rPr>
        <w:t xml:space="preserve"> DAT ligands binding has been described as normal or only slightly diminished, except when an infarct directly involves a striatal structure. Even then, a deficit from an infarct often g</w:t>
      </w:r>
      <w:r w:rsidR="00F71240" w:rsidRPr="00045F85">
        <w:rPr>
          <w:color w:val="auto"/>
        </w:rPr>
        <w:t>ives a “punched-out” appearance. The pattern</w:t>
      </w:r>
      <w:r w:rsidRPr="00045F85">
        <w:rPr>
          <w:color w:val="auto"/>
        </w:rPr>
        <w:t xml:space="preserve"> </w:t>
      </w:r>
      <w:r w:rsidR="00F71240" w:rsidRPr="00045F85">
        <w:rPr>
          <w:color w:val="auto"/>
        </w:rPr>
        <w:t>has a different</w:t>
      </w:r>
      <w:r w:rsidRPr="00045F85">
        <w:rPr>
          <w:color w:val="auto"/>
        </w:rPr>
        <w:t xml:space="preserve"> </w:t>
      </w:r>
      <w:r w:rsidR="00F71240" w:rsidRPr="00045F85">
        <w:rPr>
          <w:color w:val="auto"/>
        </w:rPr>
        <w:t>aspect with respect to the appearance of abnormal DAT SPECT in</w:t>
      </w:r>
      <w:r w:rsidR="00613D34" w:rsidRPr="00045F85">
        <w:rPr>
          <w:color w:val="auto"/>
        </w:rPr>
        <w:t xml:space="preserve"> typical presynaptic p</w:t>
      </w:r>
      <w:r w:rsidRPr="00045F85">
        <w:rPr>
          <w:color w:val="auto"/>
        </w:rPr>
        <w:t xml:space="preserve">arkinsonian syndrome deficit. </w:t>
      </w:r>
      <w:r w:rsidR="00F71240" w:rsidRPr="00045F85">
        <w:rPr>
          <w:color w:val="auto"/>
        </w:rPr>
        <w:t xml:space="preserve">Review of a </w:t>
      </w:r>
      <w:r w:rsidRPr="00045F85">
        <w:rPr>
          <w:color w:val="auto"/>
        </w:rPr>
        <w:t>recent MRI sca</w:t>
      </w:r>
      <w:r w:rsidR="00293343" w:rsidRPr="00045F85">
        <w:rPr>
          <w:color w:val="auto"/>
        </w:rPr>
        <w:t xml:space="preserve">n </w:t>
      </w:r>
      <w:r w:rsidR="00F71240" w:rsidRPr="00045F85">
        <w:rPr>
          <w:color w:val="auto"/>
        </w:rPr>
        <w:t>can be of help in this type of patients</w:t>
      </w:r>
      <w:r w:rsidR="00293343" w:rsidRPr="00045F85">
        <w:rPr>
          <w:color w:val="auto"/>
        </w:rPr>
        <w:t xml:space="preserve"> [62</w:t>
      </w:r>
      <w:r w:rsidR="00401E5F" w:rsidRPr="00045F85">
        <w:rPr>
          <w:color w:val="auto"/>
        </w:rPr>
        <w:t>-64</w:t>
      </w:r>
      <w:r w:rsidRPr="00045F85">
        <w:rPr>
          <w:color w:val="auto"/>
        </w:rPr>
        <w:t>]</w:t>
      </w:r>
      <w:r w:rsidR="005878FE" w:rsidRPr="00045F85">
        <w:rPr>
          <w:color w:val="auto"/>
        </w:rPr>
        <w:t xml:space="preserve">. </w:t>
      </w:r>
      <w:r w:rsidR="00287744" w:rsidRPr="00045F85">
        <w:rPr>
          <w:color w:val="auto"/>
        </w:rPr>
        <w:t xml:space="preserve">However, an infarct placed adjacently to striatal structures may give a more diffuse reduction through the PVE mimicking early </w:t>
      </w:r>
      <w:r w:rsidR="00C50694" w:rsidRPr="00045F85">
        <w:rPr>
          <w:color w:val="auto"/>
        </w:rPr>
        <w:t>IPD</w:t>
      </w:r>
      <w:r w:rsidR="00287744" w:rsidRPr="00045F85">
        <w:rPr>
          <w:color w:val="auto"/>
        </w:rPr>
        <w:t xml:space="preserve">. It should be noted that, </w:t>
      </w:r>
      <w:r w:rsidR="005878FE" w:rsidRPr="00045F85">
        <w:rPr>
          <w:color w:val="auto"/>
        </w:rPr>
        <w:t>vascular lesions in or near the basal ganglia are common in the typical age group scanned and is a rare cause of parkinsonism. Enlargement of perivascular spaces (Virchow–Robin spaces) are generally most prominent in the inferior basal ganglia, and may lead to a diffuse reduction in striatal uptake following the distribution of spaces [</w:t>
      </w:r>
      <w:r w:rsidR="005E40E8" w:rsidRPr="00045F85">
        <w:rPr>
          <w:color w:val="auto"/>
        </w:rPr>
        <w:t>65</w:t>
      </w:r>
      <w:r w:rsidR="005878FE" w:rsidRPr="00045F85">
        <w:rPr>
          <w:color w:val="auto"/>
        </w:rPr>
        <w:t>]. As “incidental” cerebrovas</w:t>
      </w:r>
      <w:r w:rsidR="00287744" w:rsidRPr="00045F85">
        <w:rPr>
          <w:color w:val="auto"/>
        </w:rPr>
        <w:t xml:space="preserve">cular lesions </w:t>
      </w:r>
      <w:r w:rsidR="00EC1C76" w:rsidRPr="00045F85">
        <w:rPr>
          <w:color w:val="auto"/>
        </w:rPr>
        <w:t>are</w:t>
      </w:r>
      <w:r w:rsidR="00287744" w:rsidRPr="00045F85">
        <w:rPr>
          <w:color w:val="auto"/>
        </w:rPr>
        <w:t xml:space="preserve"> found in 20-30</w:t>
      </w:r>
      <w:r w:rsidR="005878FE" w:rsidRPr="00045F85">
        <w:rPr>
          <w:color w:val="auto"/>
        </w:rPr>
        <w:t xml:space="preserve">% of patients with histologically confirmed </w:t>
      </w:r>
      <w:r w:rsidR="00C50694" w:rsidRPr="00045F85">
        <w:rPr>
          <w:color w:val="auto"/>
        </w:rPr>
        <w:t>IPD</w:t>
      </w:r>
      <w:r w:rsidR="005878FE" w:rsidRPr="00045F85">
        <w:rPr>
          <w:color w:val="auto"/>
        </w:rPr>
        <w:t>, the basal ganglia structural lesions are not uncommonly combined with a true nigro-striatal dysfunction [</w:t>
      </w:r>
      <w:r w:rsidR="005E40E8" w:rsidRPr="00045F85">
        <w:rPr>
          <w:color w:val="auto"/>
        </w:rPr>
        <w:t>66</w:t>
      </w:r>
      <w:r w:rsidR="005878FE" w:rsidRPr="00045F85">
        <w:rPr>
          <w:color w:val="auto"/>
        </w:rPr>
        <w:t>].</w:t>
      </w:r>
    </w:p>
    <w:p w14:paraId="440592E2" w14:textId="77777777" w:rsidR="001755A1" w:rsidRPr="00045F85" w:rsidRDefault="001755A1" w:rsidP="00CD199F">
      <w:pPr>
        <w:pStyle w:val="Listenabsatz"/>
        <w:numPr>
          <w:ilvl w:val="0"/>
          <w:numId w:val="0"/>
        </w:numPr>
        <w:ind w:left="720"/>
        <w:rPr>
          <w:color w:val="auto"/>
        </w:rPr>
      </w:pPr>
    </w:p>
    <w:p w14:paraId="24E0B44E" w14:textId="0D597E3D" w:rsidR="001755A1" w:rsidRPr="00045F85" w:rsidRDefault="00AB1382" w:rsidP="00C97AB2">
      <w:pPr>
        <w:pStyle w:val="Listenabsatz"/>
        <w:numPr>
          <w:ilvl w:val="0"/>
          <w:numId w:val="14"/>
        </w:numPr>
        <w:rPr>
          <w:color w:val="auto"/>
        </w:rPr>
      </w:pPr>
      <w:r w:rsidRPr="00045F85">
        <w:rPr>
          <w:color w:val="auto"/>
        </w:rPr>
        <w:t>DAT SPECT</w:t>
      </w:r>
      <w:r w:rsidR="007E781C" w:rsidRPr="00045F85">
        <w:rPr>
          <w:color w:val="auto"/>
        </w:rPr>
        <w:t xml:space="preserve"> </w:t>
      </w:r>
      <w:r w:rsidR="00CD199F" w:rsidRPr="00045F85">
        <w:rPr>
          <w:color w:val="auto"/>
        </w:rPr>
        <w:t xml:space="preserve">ia an accurate way to </w:t>
      </w:r>
      <w:r w:rsidR="00752A69" w:rsidRPr="00045F85">
        <w:rPr>
          <w:color w:val="auto"/>
        </w:rPr>
        <w:t xml:space="preserve">differentiates between Alzheimer’s disease (AD) and DLB </w:t>
      </w:r>
      <w:r w:rsidR="00805116" w:rsidRPr="00045F85">
        <w:rPr>
          <w:color w:val="auto"/>
        </w:rPr>
        <w:t>[20</w:t>
      </w:r>
      <w:r w:rsidR="003A3905" w:rsidRPr="00045F85">
        <w:rPr>
          <w:color w:val="auto"/>
        </w:rPr>
        <w:t>]</w:t>
      </w:r>
      <w:r w:rsidR="00752A69" w:rsidRPr="00045F85">
        <w:rPr>
          <w:color w:val="auto"/>
        </w:rPr>
        <w:t>. In fact, striatal binding is usually normal or only mildly diminished in AD and is signif</w:t>
      </w:r>
      <w:r w:rsidR="00CD11F1" w:rsidRPr="00045F85">
        <w:rPr>
          <w:color w:val="auto"/>
        </w:rPr>
        <w:t>icantly decreased in DLB [19-20</w:t>
      </w:r>
      <w:r w:rsidR="003A3905" w:rsidRPr="00045F85">
        <w:rPr>
          <w:color w:val="auto"/>
        </w:rPr>
        <w:t>]</w:t>
      </w:r>
      <w:r w:rsidR="00752A69" w:rsidRPr="00045F85">
        <w:rPr>
          <w:color w:val="auto"/>
        </w:rPr>
        <w:t xml:space="preserve">. </w:t>
      </w:r>
      <w:r w:rsidR="00E52B74" w:rsidRPr="00045F85">
        <w:rPr>
          <w:color w:val="auto"/>
        </w:rPr>
        <w:t xml:space="preserve">In particular, given its high specificity (20% higher with respect to clinical diagnosis), </w:t>
      </w:r>
      <w:r w:rsidR="002A630C" w:rsidRPr="00045F85">
        <w:rPr>
          <w:color w:val="auto"/>
        </w:rPr>
        <w:t xml:space="preserve">the </w:t>
      </w:r>
      <w:r w:rsidR="00E52B74" w:rsidRPr="00045F85">
        <w:rPr>
          <w:color w:val="auto"/>
        </w:rPr>
        <w:t xml:space="preserve">revised criteria for the diagnosis of DLB further reinforced the role of DAT SPECT considering it as a diagnostic biomarker </w:t>
      </w:r>
      <w:r w:rsidR="00CD11F1" w:rsidRPr="00045F85">
        <w:rPr>
          <w:color w:val="auto"/>
        </w:rPr>
        <w:t>[20</w:t>
      </w:r>
      <w:r w:rsidR="003A3905" w:rsidRPr="00045F85">
        <w:rPr>
          <w:color w:val="auto"/>
        </w:rPr>
        <w:t>]</w:t>
      </w:r>
      <w:r w:rsidR="000F0E23" w:rsidRPr="00045F85">
        <w:rPr>
          <w:color w:val="auto"/>
        </w:rPr>
        <w:t>.</w:t>
      </w:r>
      <w:r w:rsidR="003A3905" w:rsidRPr="00045F85">
        <w:rPr>
          <w:color w:val="auto"/>
        </w:rPr>
        <w:t xml:space="preserve"> </w:t>
      </w:r>
      <w:r w:rsidR="00E52B74" w:rsidRPr="00045F85">
        <w:rPr>
          <w:color w:val="auto"/>
        </w:rPr>
        <w:t>It should be noted</w:t>
      </w:r>
      <w:r w:rsidR="004720D3" w:rsidRPr="00045F85">
        <w:rPr>
          <w:color w:val="auto"/>
        </w:rPr>
        <w:t>,</w:t>
      </w:r>
      <w:r w:rsidR="00E52B74" w:rsidRPr="00045F85">
        <w:rPr>
          <w:color w:val="auto"/>
        </w:rPr>
        <w:t xml:space="preserve"> however that </w:t>
      </w:r>
      <w:r w:rsidR="00EF3C78" w:rsidRPr="00045F85">
        <w:rPr>
          <w:color w:val="auto"/>
        </w:rPr>
        <w:t>approximately</w:t>
      </w:r>
      <w:r w:rsidR="00E52B74" w:rsidRPr="00045F85">
        <w:rPr>
          <w:color w:val="auto"/>
        </w:rPr>
        <w:t xml:space="preserve"> 10% of patients who met pathologic criteria for DLB </w:t>
      </w:r>
      <w:r w:rsidR="00393B92" w:rsidRPr="00045F85">
        <w:rPr>
          <w:color w:val="auto"/>
        </w:rPr>
        <w:t xml:space="preserve">can </w:t>
      </w:r>
      <w:r w:rsidR="00E52B74" w:rsidRPr="00045F85">
        <w:rPr>
          <w:color w:val="auto"/>
        </w:rPr>
        <w:t xml:space="preserve">show a normal </w:t>
      </w:r>
      <w:r w:rsidR="00751A3E" w:rsidRPr="00045F85">
        <w:rPr>
          <w:color w:val="auto"/>
        </w:rPr>
        <w:t>DAT SPECT</w:t>
      </w:r>
      <w:r w:rsidR="00E52B74" w:rsidRPr="00045F85">
        <w:rPr>
          <w:color w:val="auto"/>
        </w:rPr>
        <w:t xml:space="preserve"> at the time of the clinical diagnosis (possibly beco</w:t>
      </w:r>
      <w:r w:rsidR="005D55FE" w:rsidRPr="00045F85">
        <w:rPr>
          <w:color w:val="auto"/>
        </w:rPr>
        <w:t>ming abnormal after 1.5-2 years)</w:t>
      </w:r>
      <w:r w:rsidR="00E52B74" w:rsidRPr="00045F85">
        <w:rPr>
          <w:color w:val="auto"/>
        </w:rPr>
        <w:t xml:space="preserve"> </w:t>
      </w:r>
      <w:r w:rsidR="005E40E8" w:rsidRPr="00045F85">
        <w:rPr>
          <w:color w:val="auto"/>
        </w:rPr>
        <w:t>[67, 68</w:t>
      </w:r>
      <w:r w:rsidR="005D55FE" w:rsidRPr="00045F85">
        <w:rPr>
          <w:color w:val="auto"/>
        </w:rPr>
        <w:t>].</w:t>
      </w:r>
      <w:r w:rsidR="00E52B74" w:rsidRPr="00045F85">
        <w:rPr>
          <w:color w:val="auto"/>
        </w:rPr>
        <w:t xml:space="preserve"> In a recent </w:t>
      </w:r>
      <w:r w:rsidR="00BC7219" w:rsidRPr="00045F85">
        <w:rPr>
          <w:color w:val="auto"/>
        </w:rPr>
        <w:t xml:space="preserve">autopsy </w:t>
      </w:r>
      <w:r w:rsidR="00E52B74" w:rsidRPr="00045F85">
        <w:rPr>
          <w:color w:val="auto"/>
        </w:rPr>
        <w:t>study</w:t>
      </w:r>
      <w:r w:rsidR="003224FC" w:rsidRPr="00045F85">
        <w:rPr>
          <w:color w:val="auto"/>
        </w:rPr>
        <w:t>,</w:t>
      </w:r>
      <w:r w:rsidR="00E52B74" w:rsidRPr="00045F85">
        <w:rPr>
          <w:color w:val="auto"/>
        </w:rPr>
        <w:t xml:space="preserve"> this finding was related to topographical heterogeneity of</w:t>
      </w:r>
      <w:r w:rsidR="003A3905" w:rsidRPr="00045F85">
        <w:rPr>
          <w:color w:val="auto"/>
        </w:rPr>
        <w:t xml:space="preserve"> </w:t>
      </w:r>
      <w:r w:rsidR="006B41AC" w:rsidRPr="00045F85">
        <w:rPr>
          <w:color w:val="auto"/>
        </w:rPr>
        <w:t>α</w:t>
      </w:r>
      <w:r w:rsidR="00BB14A5" w:rsidRPr="00045F85">
        <w:rPr>
          <w:color w:val="auto"/>
        </w:rPr>
        <w:t>-</w:t>
      </w:r>
      <w:r w:rsidR="003A3905" w:rsidRPr="00045F85">
        <w:rPr>
          <w:color w:val="auto"/>
        </w:rPr>
        <w:t>synuclein deposition [</w:t>
      </w:r>
      <w:r w:rsidR="0041342A" w:rsidRPr="00045F85">
        <w:rPr>
          <w:color w:val="auto"/>
        </w:rPr>
        <w:t>19</w:t>
      </w:r>
      <w:r w:rsidR="003A3905" w:rsidRPr="00045F85">
        <w:rPr>
          <w:color w:val="auto"/>
        </w:rPr>
        <w:t>]</w:t>
      </w:r>
      <w:r w:rsidR="00E52B74" w:rsidRPr="00045F85">
        <w:rPr>
          <w:color w:val="auto"/>
        </w:rPr>
        <w:t xml:space="preserve">. In fact this subgroup of patients </w:t>
      </w:r>
      <w:r w:rsidR="001607EA" w:rsidRPr="00045F85">
        <w:rPr>
          <w:color w:val="auto"/>
        </w:rPr>
        <w:t>was</w:t>
      </w:r>
      <w:r w:rsidR="00E52B74" w:rsidRPr="00045F85">
        <w:rPr>
          <w:color w:val="auto"/>
        </w:rPr>
        <w:t xml:space="preserve"> characterized by only mild cell loss and α-synuclein pathology of low severity in the substantia nigra and moderate severity at </w:t>
      </w:r>
      <w:r w:rsidR="00DF5E08" w:rsidRPr="00045F85">
        <w:rPr>
          <w:color w:val="auto"/>
        </w:rPr>
        <w:t xml:space="preserve">the </w:t>
      </w:r>
      <w:r w:rsidR="00E52B74" w:rsidRPr="00045F85">
        <w:rPr>
          <w:color w:val="auto"/>
        </w:rPr>
        <w:t xml:space="preserve">cortical level. </w:t>
      </w:r>
    </w:p>
    <w:p w14:paraId="5B71E3C2" w14:textId="77777777" w:rsidR="001755A1" w:rsidRPr="00045F85" w:rsidRDefault="001755A1" w:rsidP="00CD199F">
      <w:pPr>
        <w:pStyle w:val="Listenabsatz"/>
        <w:numPr>
          <w:ilvl w:val="0"/>
          <w:numId w:val="0"/>
        </w:numPr>
        <w:ind w:left="720"/>
        <w:rPr>
          <w:color w:val="auto"/>
        </w:rPr>
      </w:pPr>
    </w:p>
    <w:p w14:paraId="3B3B77FF" w14:textId="0381E6EE" w:rsidR="001755A1" w:rsidRPr="00045F85" w:rsidRDefault="0082502E" w:rsidP="00C97AB2">
      <w:pPr>
        <w:pStyle w:val="Listenabsatz"/>
        <w:numPr>
          <w:ilvl w:val="0"/>
          <w:numId w:val="14"/>
        </w:numPr>
        <w:rPr>
          <w:color w:val="auto"/>
        </w:rPr>
      </w:pPr>
      <w:r w:rsidRPr="00045F85">
        <w:rPr>
          <w:color w:val="auto"/>
        </w:rPr>
        <w:t>Cons</w:t>
      </w:r>
      <w:r w:rsidR="002147E1" w:rsidRPr="00045F85">
        <w:rPr>
          <w:color w:val="auto"/>
        </w:rPr>
        <w:t xml:space="preserve">istent with </w:t>
      </w:r>
      <w:r w:rsidR="00E52B74" w:rsidRPr="00045F85">
        <w:rPr>
          <w:color w:val="auto"/>
        </w:rPr>
        <w:t xml:space="preserve">the clinical and </w:t>
      </w:r>
      <w:r w:rsidR="001F559C" w:rsidRPr="00045F85">
        <w:rPr>
          <w:color w:val="auto"/>
        </w:rPr>
        <w:t>neuro-radiological</w:t>
      </w:r>
      <w:r w:rsidR="00E52B74" w:rsidRPr="00045F85">
        <w:rPr>
          <w:color w:val="auto"/>
        </w:rPr>
        <w:t xml:space="preserve"> asymmetry characterizing CBD, a more asymmetric reduced uptake (inv</w:t>
      </w:r>
      <w:r w:rsidR="00C066C8" w:rsidRPr="00045F85">
        <w:rPr>
          <w:color w:val="auto"/>
        </w:rPr>
        <w:t>olving both putamen and caudate</w:t>
      </w:r>
      <w:r w:rsidR="00E52B74" w:rsidRPr="00045F85">
        <w:rPr>
          <w:color w:val="auto"/>
        </w:rPr>
        <w:t xml:space="preserve"> on the hemisphere contralateral to </w:t>
      </w:r>
      <w:r w:rsidR="001F0F96" w:rsidRPr="00045F85">
        <w:rPr>
          <w:color w:val="auto"/>
        </w:rPr>
        <w:t xml:space="preserve">the </w:t>
      </w:r>
      <w:r w:rsidR="00E52B74" w:rsidRPr="00045F85">
        <w:rPr>
          <w:color w:val="auto"/>
        </w:rPr>
        <w:t>most affected body side) has been rep</w:t>
      </w:r>
      <w:r w:rsidR="005E40E8" w:rsidRPr="00045F85">
        <w:rPr>
          <w:color w:val="auto"/>
        </w:rPr>
        <w:t>orted in patients with CBD [6</w:t>
      </w:r>
      <w:r w:rsidR="00351560" w:rsidRPr="00045F85">
        <w:rPr>
          <w:color w:val="auto"/>
        </w:rPr>
        <w:t>9]</w:t>
      </w:r>
      <w:r w:rsidR="00E52B74" w:rsidRPr="00045F85">
        <w:rPr>
          <w:color w:val="auto"/>
        </w:rPr>
        <w:t xml:space="preserve">. DAT SPECT is not </w:t>
      </w:r>
      <w:r w:rsidR="008E1257" w:rsidRPr="00045F85">
        <w:rPr>
          <w:color w:val="auto"/>
        </w:rPr>
        <w:t xml:space="preserve">sufficiently </w:t>
      </w:r>
      <w:r w:rsidR="00E52B74" w:rsidRPr="00045F85">
        <w:rPr>
          <w:color w:val="auto"/>
        </w:rPr>
        <w:t xml:space="preserve">accurate to support the differential diagnosis between </w:t>
      </w:r>
      <w:r w:rsidR="00C50694" w:rsidRPr="00045F85">
        <w:rPr>
          <w:color w:val="auto"/>
        </w:rPr>
        <w:t>IPD</w:t>
      </w:r>
      <w:r w:rsidR="00E52B74" w:rsidRPr="00045F85">
        <w:rPr>
          <w:color w:val="auto"/>
        </w:rPr>
        <w:t xml:space="preserve"> and CBD</w:t>
      </w:r>
      <w:r w:rsidR="000D2750" w:rsidRPr="00045F85">
        <w:rPr>
          <w:color w:val="auto"/>
        </w:rPr>
        <w:t>. However,</w:t>
      </w:r>
      <w:r w:rsidR="00E52B74" w:rsidRPr="00045F85">
        <w:rPr>
          <w:color w:val="auto"/>
        </w:rPr>
        <w:t xml:space="preserve"> a markedly asymmetric</w:t>
      </w:r>
      <w:r w:rsidR="008E1257" w:rsidRPr="00045F85">
        <w:rPr>
          <w:color w:val="auto"/>
        </w:rPr>
        <w:t>al</w:t>
      </w:r>
      <w:r w:rsidR="00E52B74" w:rsidRPr="00045F85">
        <w:rPr>
          <w:color w:val="auto"/>
        </w:rPr>
        <w:t xml:space="preserve"> pattern of DAT binding reduction should be specifically </w:t>
      </w:r>
      <w:r w:rsidR="008E1257" w:rsidRPr="00045F85">
        <w:rPr>
          <w:color w:val="auto"/>
        </w:rPr>
        <w:t xml:space="preserve">emphasized </w:t>
      </w:r>
      <w:r w:rsidR="00E52B74" w:rsidRPr="00045F85">
        <w:rPr>
          <w:color w:val="auto"/>
        </w:rPr>
        <w:t xml:space="preserve">in the final report if the clinical suspicion is CBD in order to guide the subsequent diagnostic </w:t>
      </w:r>
      <w:r w:rsidR="000D2750" w:rsidRPr="00045F85">
        <w:rPr>
          <w:color w:val="auto"/>
        </w:rPr>
        <w:t xml:space="preserve">workout </w:t>
      </w:r>
      <w:r w:rsidR="00744BF3" w:rsidRPr="00045F85">
        <w:rPr>
          <w:color w:val="auto"/>
        </w:rPr>
        <w:t xml:space="preserve">(i.e. </w:t>
      </w:r>
      <w:r w:rsidR="00744BF3" w:rsidRPr="00045F85">
        <w:rPr>
          <w:color w:val="auto"/>
          <w:vertAlign w:val="superscript"/>
        </w:rPr>
        <w:t>123</w:t>
      </w:r>
      <w:r w:rsidR="00744BF3" w:rsidRPr="00045F85">
        <w:rPr>
          <w:color w:val="auto"/>
        </w:rPr>
        <w:t>I-m</w:t>
      </w:r>
      <w:r w:rsidR="00E52B74" w:rsidRPr="00045F85">
        <w:rPr>
          <w:color w:val="auto"/>
        </w:rPr>
        <w:t xml:space="preserve">IBG and </w:t>
      </w:r>
      <w:r w:rsidR="00D84CB4" w:rsidRPr="00045F85">
        <w:rPr>
          <w:color w:val="auto"/>
        </w:rPr>
        <w:t>[</w:t>
      </w:r>
      <w:r w:rsidR="00D84CB4" w:rsidRPr="00045F85">
        <w:rPr>
          <w:rFonts w:cs="Arial"/>
          <w:color w:val="auto"/>
          <w:vertAlign w:val="superscript"/>
        </w:rPr>
        <w:t>18</w:t>
      </w:r>
      <w:r w:rsidR="00D84CB4" w:rsidRPr="00045F85">
        <w:rPr>
          <w:rFonts w:cs="Arial"/>
          <w:color w:val="auto"/>
        </w:rPr>
        <w:t>F</w:t>
      </w:r>
      <w:r w:rsidR="00D84CB4" w:rsidRPr="00045F85">
        <w:rPr>
          <w:color w:val="auto"/>
        </w:rPr>
        <w:t>]F</w:t>
      </w:r>
      <w:r w:rsidR="00E52B74" w:rsidRPr="00045F85">
        <w:rPr>
          <w:color w:val="auto"/>
        </w:rPr>
        <w:t>DG PET might be useful in this scenario)</w:t>
      </w:r>
      <w:r w:rsidR="00351560" w:rsidRPr="00045F85">
        <w:rPr>
          <w:color w:val="auto"/>
        </w:rPr>
        <w:t xml:space="preserve"> [</w:t>
      </w:r>
      <w:r w:rsidR="005E40E8" w:rsidRPr="00045F85">
        <w:rPr>
          <w:color w:val="auto"/>
        </w:rPr>
        <w:t>70</w:t>
      </w:r>
      <w:r w:rsidR="00FD78F0" w:rsidRPr="00045F85">
        <w:rPr>
          <w:color w:val="auto"/>
        </w:rPr>
        <w:t xml:space="preserve">, </w:t>
      </w:r>
      <w:r w:rsidR="005E40E8" w:rsidRPr="00045F85">
        <w:rPr>
          <w:color w:val="auto"/>
        </w:rPr>
        <w:t>71</w:t>
      </w:r>
      <w:r w:rsidR="00FD78F0" w:rsidRPr="00045F85">
        <w:rPr>
          <w:color w:val="auto"/>
        </w:rPr>
        <w:t>]</w:t>
      </w:r>
      <w:r w:rsidR="00356CA6" w:rsidRPr="00045F85">
        <w:rPr>
          <w:color w:val="auto"/>
        </w:rPr>
        <w:t xml:space="preserve">. </w:t>
      </w:r>
      <w:r w:rsidR="00305995" w:rsidRPr="00045F85">
        <w:rPr>
          <w:color w:val="auto"/>
        </w:rPr>
        <w:t>Unexpectedly,</w:t>
      </w:r>
      <w:r w:rsidR="006E4FAB" w:rsidRPr="00045F85">
        <w:rPr>
          <w:color w:val="auto"/>
        </w:rPr>
        <w:t xml:space="preserve"> </w:t>
      </w:r>
      <w:r w:rsidR="00305995" w:rsidRPr="00045F85">
        <w:rPr>
          <w:color w:val="auto"/>
        </w:rPr>
        <w:t xml:space="preserve">normal </w:t>
      </w:r>
      <w:r w:rsidR="006E4FAB" w:rsidRPr="00045F85">
        <w:rPr>
          <w:color w:val="auto"/>
        </w:rPr>
        <w:t xml:space="preserve">DAT SPECT </w:t>
      </w:r>
      <w:r w:rsidR="00305995" w:rsidRPr="00045F85">
        <w:rPr>
          <w:color w:val="auto"/>
        </w:rPr>
        <w:t xml:space="preserve">findings </w:t>
      </w:r>
      <w:r w:rsidR="006E4FAB" w:rsidRPr="00045F85">
        <w:rPr>
          <w:color w:val="auto"/>
        </w:rPr>
        <w:t>might also occur in patients with clinical corticobasal syndrome (CBS). This finding is likely to be related to an underlying etiology different from CBD (AD, fronto-temporal dementia)</w:t>
      </w:r>
      <w:r w:rsidR="004927EF" w:rsidRPr="00045F85">
        <w:rPr>
          <w:color w:val="auto"/>
        </w:rPr>
        <w:t xml:space="preserve"> [</w:t>
      </w:r>
      <w:r w:rsidR="005E40E8" w:rsidRPr="00045F85">
        <w:rPr>
          <w:color w:val="auto"/>
        </w:rPr>
        <w:t>72</w:t>
      </w:r>
      <w:r w:rsidR="00356CA6" w:rsidRPr="00045F85">
        <w:rPr>
          <w:color w:val="auto"/>
        </w:rPr>
        <w:t>]</w:t>
      </w:r>
      <w:r w:rsidR="006E4FAB" w:rsidRPr="00045F85">
        <w:rPr>
          <w:color w:val="auto"/>
        </w:rPr>
        <w:t>. However this issue need</w:t>
      </w:r>
      <w:r w:rsidR="003B7EED" w:rsidRPr="00045F85">
        <w:rPr>
          <w:color w:val="auto"/>
        </w:rPr>
        <w:t>s</w:t>
      </w:r>
      <w:r w:rsidR="006E4FAB" w:rsidRPr="00045F85">
        <w:rPr>
          <w:color w:val="auto"/>
        </w:rPr>
        <w:t xml:space="preserve"> further clarification that might be provided by further studies based on multi-</w:t>
      </w:r>
      <w:r w:rsidR="006E4FAB" w:rsidRPr="00045F85">
        <w:rPr>
          <w:color w:val="auto"/>
        </w:rPr>
        <w:lastRenderedPageBreak/>
        <w:t>modal biomarker (CSF, amyloid PET and possibly TAU PET</w:t>
      </w:r>
      <w:r w:rsidR="00356CA6" w:rsidRPr="00045F85">
        <w:rPr>
          <w:color w:val="auto"/>
        </w:rPr>
        <w:t>) in patients with CBS/CBD</w:t>
      </w:r>
      <w:r w:rsidR="006E4FAB" w:rsidRPr="00045F85">
        <w:rPr>
          <w:color w:val="auto"/>
        </w:rPr>
        <w:t>.</w:t>
      </w:r>
    </w:p>
    <w:p w14:paraId="73774867" w14:textId="77777777" w:rsidR="001755A1" w:rsidRPr="00045F85" w:rsidRDefault="001755A1" w:rsidP="00CD199F">
      <w:pPr>
        <w:pStyle w:val="Listenabsatz"/>
        <w:numPr>
          <w:ilvl w:val="0"/>
          <w:numId w:val="0"/>
        </w:numPr>
        <w:ind w:left="720"/>
        <w:rPr>
          <w:color w:val="auto"/>
        </w:rPr>
      </w:pPr>
    </w:p>
    <w:p w14:paraId="42217E4B" w14:textId="08C357C6" w:rsidR="00752A69" w:rsidRPr="00045F85" w:rsidRDefault="00E52B74" w:rsidP="00C97AB2">
      <w:pPr>
        <w:pStyle w:val="Listenabsatz"/>
        <w:numPr>
          <w:ilvl w:val="0"/>
          <w:numId w:val="14"/>
        </w:numPr>
        <w:rPr>
          <w:color w:val="auto"/>
        </w:rPr>
      </w:pPr>
      <w:r w:rsidRPr="00045F85">
        <w:rPr>
          <w:color w:val="auto"/>
        </w:rPr>
        <w:t xml:space="preserve">DAT SPECT is </w:t>
      </w:r>
      <w:r w:rsidR="002F5269" w:rsidRPr="00045F85">
        <w:rPr>
          <w:color w:val="auto"/>
        </w:rPr>
        <w:t>ab</w:t>
      </w:r>
      <w:r w:rsidRPr="00045F85">
        <w:rPr>
          <w:color w:val="auto"/>
        </w:rPr>
        <w:t xml:space="preserve">normal in </w:t>
      </w:r>
      <w:r w:rsidR="002F5269" w:rsidRPr="00045F85">
        <w:rPr>
          <w:color w:val="auto"/>
        </w:rPr>
        <w:t>3</w:t>
      </w:r>
      <w:r w:rsidR="00890B64" w:rsidRPr="00045F85">
        <w:rPr>
          <w:color w:val="auto"/>
        </w:rPr>
        <w:t>0-60</w:t>
      </w:r>
      <w:r w:rsidR="00CC126A" w:rsidRPr="00045F85">
        <w:rPr>
          <w:color w:val="auto"/>
        </w:rPr>
        <w:t xml:space="preserve">% </w:t>
      </w:r>
      <w:r w:rsidR="002F5269" w:rsidRPr="00045F85">
        <w:rPr>
          <w:color w:val="auto"/>
        </w:rPr>
        <w:t xml:space="preserve">of </w:t>
      </w:r>
      <w:r w:rsidRPr="00045F85">
        <w:rPr>
          <w:color w:val="auto"/>
        </w:rPr>
        <w:t xml:space="preserve">patients with </w:t>
      </w:r>
      <w:r w:rsidR="00CC126A" w:rsidRPr="00045F85">
        <w:rPr>
          <w:color w:val="auto"/>
        </w:rPr>
        <w:t xml:space="preserve">sporadic </w:t>
      </w:r>
      <w:r w:rsidRPr="00045F85">
        <w:rPr>
          <w:color w:val="auto"/>
        </w:rPr>
        <w:t xml:space="preserve">fronto-temporal </w:t>
      </w:r>
      <w:r w:rsidR="002F5269" w:rsidRPr="00045F85">
        <w:rPr>
          <w:color w:val="auto"/>
        </w:rPr>
        <w:t xml:space="preserve">dementia </w:t>
      </w:r>
      <w:r w:rsidRPr="00045F85">
        <w:rPr>
          <w:color w:val="auto"/>
        </w:rPr>
        <w:t>(FTD)</w:t>
      </w:r>
      <w:r w:rsidR="00CC126A" w:rsidRPr="00045F85">
        <w:rPr>
          <w:color w:val="auto"/>
        </w:rPr>
        <w:t>, but usually less pronounced than in DLB/</w:t>
      </w:r>
      <w:r w:rsidR="00C50694" w:rsidRPr="00045F85">
        <w:rPr>
          <w:color w:val="auto"/>
        </w:rPr>
        <w:t>IPD</w:t>
      </w:r>
      <w:r w:rsidR="005E40E8" w:rsidRPr="00045F85">
        <w:rPr>
          <w:color w:val="auto"/>
        </w:rPr>
        <w:t xml:space="preserve"> [72-75</w:t>
      </w:r>
      <w:r w:rsidR="004E7154" w:rsidRPr="00045F85">
        <w:rPr>
          <w:color w:val="auto"/>
        </w:rPr>
        <w:t>]</w:t>
      </w:r>
      <w:r w:rsidRPr="00045F85">
        <w:rPr>
          <w:color w:val="auto"/>
        </w:rPr>
        <w:t>. However</w:t>
      </w:r>
      <w:r w:rsidR="00FB7C16" w:rsidRPr="00045F85">
        <w:rPr>
          <w:color w:val="auto"/>
        </w:rPr>
        <w:t>,</w:t>
      </w:r>
      <w:r w:rsidRPr="00045F85">
        <w:rPr>
          <w:color w:val="auto"/>
        </w:rPr>
        <w:t xml:space="preserve"> some cases with</w:t>
      </w:r>
      <w:r w:rsidR="00CC126A" w:rsidRPr="00045F85">
        <w:rPr>
          <w:color w:val="auto"/>
        </w:rPr>
        <w:t xml:space="preserve"> marked</w:t>
      </w:r>
      <w:r w:rsidRPr="00045F85">
        <w:rPr>
          <w:color w:val="auto"/>
        </w:rPr>
        <w:t xml:space="preserve"> abnormal DAT SPECT have been reported in specific subtypes of FTD (i.e. familial FTD with parkinsonism linke</w:t>
      </w:r>
      <w:r w:rsidR="00CE0A06" w:rsidRPr="00045F85">
        <w:rPr>
          <w:color w:val="auto"/>
        </w:rPr>
        <w:t>d to chromosome 17q (FTDP-17)</w:t>
      </w:r>
      <w:r w:rsidR="001553FA" w:rsidRPr="00045F85">
        <w:rPr>
          <w:color w:val="auto"/>
        </w:rPr>
        <w:t xml:space="preserve"> </w:t>
      </w:r>
      <w:r w:rsidR="005E40E8" w:rsidRPr="00045F85">
        <w:rPr>
          <w:color w:val="auto"/>
        </w:rPr>
        <w:t>[72-75</w:t>
      </w:r>
      <w:r w:rsidR="00CE0A06" w:rsidRPr="00045F85">
        <w:rPr>
          <w:color w:val="auto"/>
        </w:rPr>
        <w:t>].</w:t>
      </w:r>
      <w:r w:rsidRPr="00045F85">
        <w:rPr>
          <w:color w:val="auto"/>
        </w:rPr>
        <w:t xml:space="preserve"> DAT SPECT is not a direct marker of </w:t>
      </w:r>
      <w:r w:rsidR="00F87A0C" w:rsidRPr="00045F85">
        <w:rPr>
          <w:color w:val="auto"/>
        </w:rPr>
        <w:t>α-</w:t>
      </w:r>
      <w:r w:rsidRPr="00045F85">
        <w:rPr>
          <w:color w:val="auto"/>
        </w:rPr>
        <w:t>synuclein pathology but only a measure of its effect on</w:t>
      </w:r>
      <w:r w:rsidR="00CC126A" w:rsidRPr="00045F85">
        <w:rPr>
          <w:color w:val="auto"/>
        </w:rPr>
        <w:t xml:space="preserve"> nigrostriatal</w:t>
      </w:r>
      <w:r w:rsidRPr="00045F85">
        <w:rPr>
          <w:color w:val="auto"/>
        </w:rPr>
        <w:t xml:space="preserve"> neurons, which can be damaged by other pathology</w:t>
      </w:r>
      <w:r w:rsidR="00B16129" w:rsidRPr="00045F85">
        <w:rPr>
          <w:color w:val="auto"/>
        </w:rPr>
        <w:t xml:space="preserve"> [</w:t>
      </w:r>
      <w:r w:rsidR="005E40E8" w:rsidRPr="00045F85">
        <w:rPr>
          <w:color w:val="auto"/>
        </w:rPr>
        <w:t>76</w:t>
      </w:r>
      <w:r w:rsidR="00B16129" w:rsidRPr="00045F85">
        <w:rPr>
          <w:color w:val="auto"/>
        </w:rPr>
        <w:t>]</w:t>
      </w:r>
      <w:r w:rsidRPr="00045F85">
        <w:rPr>
          <w:color w:val="auto"/>
        </w:rPr>
        <w:t xml:space="preserve">. </w:t>
      </w:r>
    </w:p>
    <w:p w14:paraId="19F6EC39" w14:textId="77777777" w:rsidR="00051AA5" w:rsidRPr="00045F85" w:rsidRDefault="00051AA5" w:rsidP="00CD199F">
      <w:pPr>
        <w:pStyle w:val="Listenabsatz"/>
        <w:numPr>
          <w:ilvl w:val="0"/>
          <w:numId w:val="0"/>
        </w:numPr>
        <w:ind w:left="720"/>
        <w:rPr>
          <w:color w:val="auto"/>
        </w:rPr>
      </w:pPr>
    </w:p>
    <w:p w14:paraId="0D7309EF" w14:textId="77777777" w:rsidR="00C70590" w:rsidRPr="00045F85" w:rsidRDefault="00051AA5" w:rsidP="00752A69">
      <w:pPr>
        <w:rPr>
          <w:rFonts w:cs="Arial"/>
        </w:rPr>
      </w:pPr>
      <w:r w:rsidRPr="00045F85">
        <w:rPr>
          <w:rFonts w:cs="Arial"/>
        </w:rPr>
        <w:t xml:space="preserve"> A schematic summary of expected DAT SPECT findings in the most frequent clinical entities included in the differential diagnosis </w:t>
      </w:r>
      <w:r w:rsidR="007561B2" w:rsidRPr="00045F85">
        <w:rPr>
          <w:rFonts w:cs="Arial"/>
        </w:rPr>
        <w:t xml:space="preserve">of parkinsonism is </w:t>
      </w:r>
      <w:r w:rsidR="00485372" w:rsidRPr="00045F85">
        <w:rPr>
          <w:rFonts w:cs="Arial"/>
        </w:rPr>
        <w:t xml:space="preserve">provided </w:t>
      </w:r>
      <w:r w:rsidR="007561B2" w:rsidRPr="00045F85">
        <w:rPr>
          <w:rFonts w:cs="Arial"/>
        </w:rPr>
        <w:t>in T</w:t>
      </w:r>
      <w:r w:rsidRPr="00045F85">
        <w:rPr>
          <w:rFonts w:cs="Arial"/>
        </w:rPr>
        <w:t>able 2.</w:t>
      </w:r>
    </w:p>
    <w:p w14:paraId="101205FE" w14:textId="1150D631" w:rsidR="00752A69" w:rsidRPr="00045F85" w:rsidRDefault="00752A69" w:rsidP="00752A69">
      <w:pPr>
        <w:rPr>
          <w:rFonts w:cs="Arial"/>
          <w:i/>
        </w:rPr>
      </w:pPr>
      <w:r w:rsidRPr="00045F85">
        <w:rPr>
          <w:rFonts w:cs="Arial"/>
          <w:i/>
        </w:rPr>
        <w:t>Semi-quantification</w:t>
      </w:r>
    </w:p>
    <w:p w14:paraId="1E7C9833" w14:textId="2095B596" w:rsidR="00F339DB" w:rsidRPr="00045F85" w:rsidRDefault="00F32FC9" w:rsidP="00752A69">
      <w:pPr>
        <w:rPr>
          <w:rFonts w:cs="Arial"/>
          <w:kern w:val="24"/>
        </w:rPr>
      </w:pPr>
      <w:r w:rsidRPr="00045F85">
        <w:rPr>
          <w:rFonts w:cs="Arial"/>
          <w:kern w:val="24"/>
        </w:rPr>
        <w:t>The output images from image r</w:t>
      </w:r>
      <w:r w:rsidR="00752A69" w:rsidRPr="00045F85">
        <w:rPr>
          <w:rFonts w:cs="Arial"/>
          <w:kern w:val="24"/>
        </w:rPr>
        <w:t>econstructio</w:t>
      </w:r>
      <w:r w:rsidRPr="00045F85">
        <w:rPr>
          <w:rFonts w:cs="Arial"/>
          <w:kern w:val="24"/>
        </w:rPr>
        <w:t>n are considered the input for image a</w:t>
      </w:r>
      <w:r w:rsidR="00752A69" w:rsidRPr="00045F85">
        <w:rPr>
          <w:rFonts w:cs="Arial"/>
          <w:kern w:val="24"/>
        </w:rPr>
        <w:t xml:space="preserve">nalysis. </w:t>
      </w:r>
    </w:p>
    <w:p w14:paraId="2CE79579" w14:textId="25111420" w:rsidR="00F339DB" w:rsidRPr="00045F85" w:rsidRDefault="00434EA0" w:rsidP="00C97AB2">
      <w:pPr>
        <w:pStyle w:val="Listenabsatz"/>
        <w:numPr>
          <w:ilvl w:val="0"/>
          <w:numId w:val="15"/>
        </w:numPr>
        <w:rPr>
          <w:color w:val="auto"/>
        </w:rPr>
      </w:pPr>
      <w:r w:rsidRPr="00045F85">
        <w:rPr>
          <w:color w:val="auto"/>
        </w:rPr>
        <w:t>In the clinical setting, semiquantitative analysis can be an adjunct to visual interpretation.  Some studies have shown the addition of quantitative information results in improved diagnostic performance [50, 77, 78].  In research settings, semiquantitative methods are considered to provide a more precise assessment of dopamine transporter density, allowing for more reproducible measurements of disease and response to therapy.</w:t>
      </w:r>
    </w:p>
    <w:p w14:paraId="44666C1A" w14:textId="77777777" w:rsidR="00890B64" w:rsidRPr="00045F85" w:rsidRDefault="00890B64" w:rsidP="00A70046">
      <w:pPr>
        <w:pStyle w:val="Listenabsatz"/>
        <w:numPr>
          <w:ilvl w:val="0"/>
          <w:numId w:val="0"/>
        </w:numPr>
        <w:ind w:left="720"/>
        <w:rPr>
          <w:color w:val="auto"/>
        </w:rPr>
      </w:pPr>
    </w:p>
    <w:p w14:paraId="7D12DCCD" w14:textId="35EB781A" w:rsidR="002977BA" w:rsidRPr="00045F85" w:rsidRDefault="002977BA" w:rsidP="00C97AB2">
      <w:pPr>
        <w:pStyle w:val="Listenabsatz"/>
        <w:numPr>
          <w:ilvl w:val="0"/>
          <w:numId w:val="15"/>
        </w:numPr>
        <w:rPr>
          <w:color w:val="auto"/>
        </w:rPr>
      </w:pPr>
      <w:r w:rsidRPr="00045F85">
        <w:rPr>
          <w:color w:val="auto"/>
        </w:rPr>
        <w:t xml:space="preserve">The most commonly used semi-quantitative outcome measure in both research and clinical settings is the specific binding ratio (SBR) calculated as </w:t>
      </w:r>
      <w:r w:rsidR="003D7493" w:rsidRPr="00045F85">
        <w:rPr>
          <w:color w:val="auto"/>
        </w:rPr>
        <w:t>the striatal target-to-</w:t>
      </w:r>
      <w:r w:rsidRPr="00045F85">
        <w:rPr>
          <w:color w:val="auto"/>
        </w:rPr>
        <w:t xml:space="preserve">background ratio </w:t>
      </w:r>
      <w:r w:rsidR="00B32431" w:rsidRPr="00045F85">
        <w:rPr>
          <w:color w:val="auto"/>
        </w:rPr>
        <w:t>[79, 80</w:t>
      </w:r>
      <w:r w:rsidRPr="00045F85">
        <w:rPr>
          <w:color w:val="auto"/>
        </w:rPr>
        <w:t>]</w:t>
      </w:r>
      <w:r w:rsidR="00C35DAC" w:rsidRPr="00045F85">
        <w:rPr>
          <w:color w:val="auto"/>
        </w:rPr>
        <w:t>.</w:t>
      </w:r>
      <w:r w:rsidR="00EA2BDD" w:rsidRPr="00045F85">
        <w:rPr>
          <w:color w:val="auto"/>
        </w:rPr>
        <w:t xml:space="preserve"> </w:t>
      </w:r>
      <w:r w:rsidR="00606CEC" w:rsidRPr="00045F85">
        <w:rPr>
          <w:color w:val="auto"/>
        </w:rPr>
        <w:t>SBR is related to, but not a specific measure of the density of dopamine t</w:t>
      </w:r>
      <w:r w:rsidR="002C5FD1" w:rsidRPr="00045F85">
        <w:rPr>
          <w:color w:val="auto"/>
        </w:rPr>
        <w:t xml:space="preserve">ransporters; </w:t>
      </w:r>
      <w:r w:rsidR="005E1FE0" w:rsidRPr="00045F85">
        <w:rPr>
          <w:color w:val="auto"/>
        </w:rPr>
        <w:t>however</w:t>
      </w:r>
      <w:r w:rsidR="002C5FD1" w:rsidRPr="00045F85">
        <w:rPr>
          <w:color w:val="auto"/>
        </w:rPr>
        <w:t>,</w:t>
      </w:r>
      <w:r w:rsidR="00606CEC" w:rsidRPr="00045F85">
        <w:rPr>
          <w:color w:val="auto"/>
        </w:rPr>
        <w:t xml:space="preserve"> is not a direct measure of DAT density (Bmax), synaptic density, or neuronal number. Many factors which are unrelated to the density of dopamine transporters influence the determination of SBR (Tables 3 reports both biological and technical factors affecting SBR).</w:t>
      </w:r>
    </w:p>
    <w:p w14:paraId="3D3696F3" w14:textId="3984665F" w:rsidR="00606CEC" w:rsidRPr="00045F85" w:rsidRDefault="00606CEC" w:rsidP="00A70046">
      <w:pPr>
        <w:pStyle w:val="Listenabsatz"/>
        <w:numPr>
          <w:ilvl w:val="0"/>
          <w:numId w:val="0"/>
        </w:numPr>
        <w:ind w:left="720"/>
        <w:rPr>
          <w:color w:val="auto"/>
        </w:rPr>
      </w:pPr>
    </w:p>
    <w:p w14:paraId="4D949440" w14:textId="3808611A" w:rsidR="00053AC6" w:rsidRPr="00045F85" w:rsidRDefault="00A70046" w:rsidP="0089256B">
      <w:pPr>
        <w:pStyle w:val="Listenabsatz"/>
        <w:numPr>
          <w:ilvl w:val="0"/>
          <w:numId w:val="15"/>
        </w:numPr>
        <w:rPr>
          <w:color w:val="auto"/>
        </w:rPr>
      </w:pPr>
      <w:r w:rsidRPr="00045F85">
        <w:rPr>
          <w:color w:val="auto"/>
        </w:rPr>
        <w:t>It should be noted that</w:t>
      </w:r>
      <w:r w:rsidR="00752A69" w:rsidRPr="00045F85">
        <w:rPr>
          <w:color w:val="auto"/>
        </w:rPr>
        <w:t xml:space="preserve"> inter</w:t>
      </w:r>
      <w:r w:rsidR="00E3100A" w:rsidRPr="00045F85">
        <w:rPr>
          <w:color w:val="auto"/>
        </w:rPr>
        <w:t>-</w:t>
      </w:r>
      <w:r w:rsidR="00752A69" w:rsidRPr="00045F85">
        <w:rPr>
          <w:color w:val="auto"/>
        </w:rPr>
        <w:t xml:space="preserve">observer variation and errors </w:t>
      </w:r>
      <w:r w:rsidRPr="00045F85">
        <w:rPr>
          <w:color w:val="auto"/>
        </w:rPr>
        <w:t xml:space="preserve">can be considerable during </w:t>
      </w:r>
      <w:r w:rsidR="00752A69" w:rsidRPr="00045F85">
        <w:rPr>
          <w:color w:val="auto"/>
        </w:rPr>
        <w:t>the placement of the regions of interest (ROIs)</w:t>
      </w:r>
      <w:r w:rsidRPr="00045F85">
        <w:rPr>
          <w:color w:val="auto"/>
        </w:rPr>
        <w:t xml:space="preserve"> for semiquantification. Variability in the reorientation of the brain </w:t>
      </w:r>
      <w:r w:rsidR="000E4061" w:rsidRPr="00045F85">
        <w:rPr>
          <w:color w:val="auto"/>
        </w:rPr>
        <w:t>can</w:t>
      </w:r>
      <w:r w:rsidR="00752A69" w:rsidRPr="00045F85">
        <w:rPr>
          <w:color w:val="auto"/>
        </w:rPr>
        <w:t xml:space="preserve"> </w:t>
      </w:r>
      <w:r w:rsidRPr="00045F85">
        <w:rPr>
          <w:color w:val="auto"/>
        </w:rPr>
        <w:t>also affect the</w:t>
      </w:r>
      <w:r w:rsidR="00167B16" w:rsidRPr="00045F85">
        <w:rPr>
          <w:color w:val="auto"/>
        </w:rPr>
        <w:t xml:space="preserve"> </w:t>
      </w:r>
      <w:r w:rsidR="00F339DB" w:rsidRPr="00045F85">
        <w:rPr>
          <w:color w:val="auto"/>
        </w:rPr>
        <w:t>interpretation</w:t>
      </w:r>
      <w:r w:rsidR="00167B16" w:rsidRPr="00045F85">
        <w:rPr>
          <w:color w:val="auto"/>
        </w:rPr>
        <w:t>.</w:t>
      </w:r>
      <w:r w:rsidR="00F74E8F" w:rsidRPr="00045F85">
        <w:rPr>
          <w:color w:val="auto"/>
        </w:rPr>
        <w:t xml:space="preserve"> </w:t>
      </w:r>
    </w:p>
    <w:p w14:paraId="1096C301" w14:textId="77777777" w:rsidR="00C94D25" w:rsidRPr="00045F85" w:rsidRDefault="00C94D25" w:rsidP="00E137A4">
      <w:pPr>
        <w:pStyle w:val="Listenabsatz"/>
        <w:numPr>
          <w:ilvl w:val="0"/>
          <w:numId w:val="0"/>
        </w:numPr>
        <w:ind w:left="720"/>
        <w:rPr>
          <w:color w:val="auto"/>
        </w:rPr>
      </w:pPr>
    </w:p>
    <w:p w14:paraId="04CCC367" w14:textId="188E8051" w:rsidR="001D146C" w:rsidRPr="00045F85" w:rsidRDefault="00C94D25" w:rsidP="0089256B">
      <w:pPr>
        <w:pStyle w:val="Listenabsatz"/>
        <w:numPr>
          <w:ilvl w:val="0"/>
          <w:numId w:val="15"/>
        </w:numPr>
        <w:rPr>
          <w:color w:val="auto"/>
        </w:rPr>
      </w:pPr>
      <w:r w:rsidRPr="00045F85">
        <w:rPr>
          <w:color w:val="auto"/>
        </w:rPr>
        <w:t>S</w:t>
      </w:r>
      <w:r w:rsidR="00752A69" w:rsidRPr="00045F85">
        <w:rPr>
          <w:color w:val="auto"/>
        </w:rPr>
        <w:t xml:space="preserve">emiquantification </w:t>
      </w:r>
      <w:r w:rsidRPr="00045F85">
        <w:rPr>
          <w:color w:val="auto"/>
        </w:rPr>
        <w:t>allow</w:t>
      </w:r>
      <w:r w:rsidR="00752A69" w:rsidRPr="00045F85">
        <w:rPr>
          <w:color w:val="auto"/>
        </w:rPr>
        <w:t xml:space="preserve"> more objective measurement</w:t>
      </w:r>
      <w:r w:rsidR="00ED532C" w:rsidRPr="00045F85">
        <w:rPr>
          <w:color w:val="auto"/>
        </w:rPr>
        <w:t>s</w:t>
      </w:r>
      <w:r w:rsidR="00752A69" w:rsidRPr="00045F85">
        <w:rPr>
          <w:color w:val="auto"/>
        </w:rPr>
        <w:t xml:space="preserve"> of </w:t>
      </w:r>
      <w:r w:rsidR="00ED532C" w:rsidRPr="00045F85">
        <w:rPr>
          <w:color w:val="auto"/>
        </w:rPr>
        <w:t>SBR</w:t>
      </w:r>
      <w:r w:rsidR="00752A69" w:rsidRPr="00045F85">
        <w:rPr>
          <w:color w:val="auto"/>
        </w:rPr>
        <w:t xml:space="preserve"> </w:t>
      </w:r>
      <w:r w:rsidR="00A51033" w:rsidRPr="00045F85">
        <w:rPr>
          <w:color w:val="auto"/>
        </w:rPr>
        <w:t>(with improved inter-reader a</w:t>
      </w:r>
      <w:r w:rsidRPr="00045F85">
        <w:rPr>
          <w:color w:val="auto"/>
        </w:rPr>
        <w:t>greement and reader confidence). The potential correlation between clinical variables</w:t>
      </w:r>
      <w:r w:rsidR="00752A69" w:rsidRPr="00045F85">
        <w:rPr>
          <w:color w:val="auto"/>
        </w:rPr>
        <w:t xml:space="preserve"> </w:t>
      </w:r>
      <w:r w:rsidRPr="00045F85">
        <w:rPr>
          <w:color w:val="auto"/>
        </w:rPr>
        <w:t>and semiquantitative parameters</w:t>
      </w:r>
      <w:r w:rsidR="00752A69" w:rsidRPr="00045F85">
        <w:rPr>
          <w:color w:val="auto"/>
        </w:rPr>
        <w:t xml:space="preserve"> </w:t>
      </w:r>
      <w:r w:rsidRPr="00045F85">
        <w:rPr>
          <w:color w:val="auto"/>
        </w:rPr>
        <w:t xml:space="preserve">expressing </w:t>
      </w:r>
      <w:r w:rsidR="00752A69" w:rsidRPr="00045F85">
        <w:rPr>
          <w:color w:val="auto"/>
        </w:rPr>
        <w:t>loss of presyn</w:t>
      </w:r>
      <w:r w:rsidR="00F339DB" w:rsidRPr="00045F85">
        <w:rPr>
          <w:color w:val="auto"/>
        </w:rPr>
        <w:t>aptic dopaminergic neurons</w:t>
      </w:r>
      <w:r w:rsidRPr="00045F85">
        <w:rPr>
          <w:color w:val="auto"/>
        </w:rPr>
        <w:t xml:space="preserve"> is a further added value</w:t>
      </w:r>
      <w:r w:rsidR="00670C95" w:rsidRPr="00045F85">
        <w:rPr>
          <w:color w:val="auto"/>
        </w:rPr>
        <w:t xml:space="preserve"> [</w:t>
      </w:r>
      <w:r w:rsidR="00895C65" w:rsidRPr="00045F85">
        <w:rPr>
          <w:color w:val="auto"/>
        </w:rPr>
        <w:t>81</w:t>
      </w:r>
      <w:r w:rsidR="00670C95" w:rsidRPr="00045F85">
        <w:rPr>
          <w:color w:val="auto"/>
        </w:rPr>
        <w:t>]</w:t>
      </w:r>
      <w:r w:rsidR="00752A69" w:rsidRPr="00045F85">
        <w:rPr>
          <w:color w:val="auto"/>
        </w:rPr>
        <w:t xml:space="preserve">. </w:t>
      </w:r>
    </w:p>
    <w:p w14:paraId="55383FF1" w14:textId="77777777" w:rsidR="00CB6494" w:rsidRPr="00045F85" w:rsidRDefault="00CB6494" w:rsidP="00E137A4">
      <w:pPr>
        <w:pStyle w:val="Listenabsatz"/>
        <w:numPr>
          <w:ilvl w:val="0"/>
          <w:numId w:val="0"/>
        </w:numPr>
        <w:ind w:left="720"/>
        <w:rPr>
          <w:color w:val="auto"/>
        </w:rPr>
      </w:pPr>
    </w:p>
    <w:p w14:paraId="6276AB79" w14:textId="69FDB58C" w:rsidR="001D146C" w:rsidRPr="00045F85" w:rsidRDefault="008C21CE" w:rsidP="00C97AB2">
      <w:pPr>
        <w:pStyle w:val="Listenabsatz"/>
        <w:numPr>
          <w:ilvl w:val="0"/>
          <w:numId w:val="15"/>
        </w:numPr>
        <w:rPr>
          <w:color w:val="auto"/>
        </w:rPr>
      </w:pPr>
      <w:r w:rsidRPr="00045F85">
        <w:rPr>
          <w:color w:val="auto"/>
        </w:rPr>
        <w:lastRenderedPageBreak/>
        <w:t>R</w:t>
      </w:r>
      <w:r w:rsidR="00752A69" w:rsidRPr="00045F85">
        <w:rPr>
          <w:color w:val="auto"/>
        </w:rPr>
        <w:t xml:space="preserve">OI-based techniques </w:t>
      </w:r>
      <w:r w:rsidR="00EA276F" w:rsidRPr="00045F85">
        <w:rPr>
          <w:color w:val="auto"/>
        </w:rPr>
        <w:t>can</w:t>
      </w:r>
      <w:r w:rsidR="00752A69" w:rsidRPr="00045F85">
        <w:rPr>
          <w:color w:val="auto"/>
        </w:rPr>
        <w:t xml:space="preserve"> be used to assess specific DAT binding in the s</w:t>
      </w:r>
      <w:r w:rsidR="00CB6494" w:rsidRPr="00045F85">
        <w:rPr>
          <w:color w:val="auto"/>
        </w:rPr>
        <w:t>triatum and striatal subregions.</w:t>
      </w:r>
      <w:r w:rsidR="00325E3F" w:rsidRPr="00045F85">
        <w:rPr>
          <w:color w:val="auto"/>
        </w:rPr>
        <w:t xml:space="preserve"> </w:t>
      </w:r>
      <w:r w:rsidR="00CB6494" w:rsidRPr="00045F85">
        <w:rPr>
          <w:color w:val="auto"/>
        </w:rPr>
        <w:t xml:space="preserve">Transverse </w:t>
      </w:r>
      <w:r w:rsidR="00325E3F" w:rsidRPr="00045F85">
        <w:rPr>
          <w:color w:val="auto"/>
        </w:rPr>
        <w:t xml:space="preserve">slices are </w:t>
      </w:r>
      <w:r w:rsidR="00CB6494" w:rsidRPr="00045F85">
        <w:rPr>
          <w:color w:val="auto"/>
        </w:rPr>
        <w:t xml:space="preserve">generally </w:t>
      </w:r>
      <w:r w:rsidR="00325E3F" w:rsidRPr="00045F85">
        <w:rPr>
          <w:color w:val="auto"/>
        </w:rPr>
        <w:t xml:space="preserve">selected </w:t>
      </w:r>
      <w:r w:rsidR="00CB6494" w:rsidRPr="00045F85">
        <w:rPr>
          <w:color w:val="auto"/>
        </w:rPr>
        <w:t xml:space="preserve">and the </w:t>
      </w:r>
      <w:r w:rsidR="00752A69" w:rsidRPr="00045F85">
        <w:rPr>
          <w:color w:val="auto"/>
        </w:rPr>
        <w:t xml:space="preserve">slices with the highest striatal </w:t>
      </w:r>
      <w:r w:rsidR="00CB6494" w:rsidRPr="00045F85">
        <w:rPr>
          <w:color w:val="auto"/>
        </w:rPr>
        <w:t>uptake</w:t>
      </w:r>
      <w:r w:rsidR="00752A69" w:rsidRPr="00045F85">
        <w:rPr>
          <w:color w:val="auto"/>
        </w:rPr>
        <w:t xml:space="preserve"> or the entire striatal volume </w:t>
      </w:r>
      <w:r w:rsidR="00CB6494" w:rsidRPr="00045F85">
        <w:rPr>
          <w:color w:val="auto"/>
        </w:rPr>
        <w:t>can be considered to draw manual ROIs</w:t>
      </w:r>
      <w:r w:rsidR="00752A69" w:rsidRPr="00045F85">
        <w:rPr>
          <w:color w:val="auto"/>
        </w:rPr>
        <w:t>.</w:t>
      </w:r>
      <w:r w:rsidRPr="00045F85">
        <w:rPr>
          <w:color w:val="auto"/>
        </w:rPr>
        <w:t xml:space="preserve"> The use of standardized R</w:t>
      </w:r>
      <w:r w:rsidR="001D146C" w:rsidRPr="00045F85">
        <w:rPr>
          <w:color w:val="auto"/>
        </w:rPr>
        <w:t>OIs is helpful in limiting operator-variability to the positioning t</w:t>
      </w:r>
      <w:r w:rsidRPr="00045F85">
        <w:rPr>
          <w:color w:val="auto"/>
        </w:rPr>
        <w:t>ask. The shape of the template R</w:t>
      </w:r>
      <w:r w:rsidR="001D146C" w:rsidRPr="00045F85">
        <w:rPr>
          <w:color w:val="auto"/>
        </w:rPr>
        <w:t>OIs could be either geometrical or anatomical, the size sh</w:t>
      </w:r>
      <w:r w:rsidR="00AB12BC" w:rsidRPr="00045F85">
        <w:rPr>
          <w:color w:val="auto"/>
        </w:rPr>
        <w:t>ould be at least twice the FWHM.</w:t>
      </w:r>
    </w:p>
    <w:p w14:paraId="4C342F59" w14:textId="77777777" w:rsidR="00AB12BC" w:rsidRPr="00045F85" w:rsidRDefault="00AB12BC" w:rsidP="00CB6494"/>
    <w:p w14:paraId="2C87C582" w14:textId="23A18AAB" w:rsidR="001D146C" w:rsidRPr="00045F85" w:rsidRDefault="00752A69" w:rsidP="00C97AB2">
      <w:pPr>
        <w:pStyle w:val="Listenabsatz"/>
        <w:numPr>
          <w:ilvl w:val="0"/>
          <w:numId w:val="15"/>
        </w:numPr>
        <w:rPr>
          <w:color w:val="auto"/>
        </w:rPr>
      </w:pPr>
      <w:r w:rsidRPr="00045F85">
        <w:rPr>
          <w:color w:val="auto"/>
        </w:rPr>
        <w:t xml:space="preserve">Reference regions with absent (or low) DAT density are used to assess nonspecific binding. The reference region is ideally the cerebellum, as it contains no known dopaminergic </w:t>
      </w:r>
      <w:r w:rsidR="00761263" w:rsidRPr="00045F85">
        <w:rPr>
          <w:color w:val="auto"/>
        </w:rPr>
        <w:t>neurons</w:t>
      </w:r>
      <w:r w:rsidR="00C67693" w:rsidRPr="00045F85">
        <w:rPr>
          <w:color w:val="auto"/>
        </w:rPr>
        <w:t>. The o</w:t>
      </w:r>
      <w:r w:rsidRPr="00045F85">
        <w:rPr>
          <w:color w:val="auto"/>
        </w:rPr>
        <w:t>ccipital cortex can be also used particularly when the axial field of view is limited.</w:t>
      </w:r>
      <w:r w:rsidR="00E47E49" w:rsidRPr="00045F85">
        <w:rPr>
          <w:color w:val="auto"/>
        </w:rPr>
        <w:t xml:space="preserve"> The methodology used for defining the reference region should be consistent across all patients measured.  It is particularly important when comparing measurements at different time points in the same patient. </w:t>
      </w:r>
    </w:p>
    <w:p w14:paraId="7910AD1A" w14:textId="77777777" w:rsidR="00AB12BC" w:rsidRPr="00045F85" w:rsidRDefault="00AB12BC" w:rsidP="0028742B">
      <w:pPr>
        <w:pStyle w:val="Listenabsatz"/>
        <w:numPr>
          <w:ilvl w:val="0"/>
          <w:numId w:val="0"/>
        </w:numPr>
        <w:ind w:left="720"/>
        <w:rPr>
          <w:color w:val="auto"/>
        </w:rPr>
      </w:pPr>
    </w:p>
    <w:p w14:paraId="6753131A" w14:textId="77777777" w:rsidR="00AB12BC" w:rsidRPr="00045F85" w:rsidRDefault="00AB12BC" w:rsidP="0028742B">
      <w:pPr>
        <w:pStyle w:val="Listenabsatz"/>
        <w:numPr>
          <w:ilvl w:val="0"/>
          <w:numId w:val="0"/>
        </w:numPr>
        <w:ind w:left="720"/>
        <w:rPr>
          <w:color w:val="auto"/>
        </w:rPr>
      </w:pPr>
    </w:p>
    <w:p w14:paraId="746974DA" w14:textId="595D7BDE" w:rsidR="006201D5" w:rsidRPr="00045F85" w:rsidRDefault="00C64FAE" w:rsidP="0028742B">
      <w:pPr>
        <w:pStyle w:val="Listenabsatz"/>
        <w:numPr>
          <w:ilvl w:val="0"/>
          <w:numId w:val="15"/>
        </w:numPr>
        <w:rPr>
          <w:color w:val="auto"/>
        </w:rPr>
      </w:pPr>
      <w:r w:rsidRPr="00045F85">
        <w:rPr>
          <w:color w:val="auto"/>
        </w:rPr>
        <w:t>If anatomical scans (MRI or CT) are available, volumetric regions encompassing the anatomic extent of the basal ganglia can be used.</w:t>
      </w:r>
      <w:r w:rsidR="00B46AC3" w:rsidRPr="00045F85">
        <w:rPr>
          <w:color w:val="auto"/>
        </w:rPr>
        <w:t xml:space="preserve"> </w:t>
      </w:r>
      <w:r w:rsidR="008C75C4" w:rsidRPr="00045F85">
        <w:rPr>
          <w:color w:val="auto"/>
        </w:rPr>
        <w:t xml:space="preserve">This </w:t>
      </w:r>
      <w:r w:rsidR="00752A69" w:rsidRPr="00045F85">
        <w:rPr>
          <w:color w:val="auto"/>
        </w:rPr>
        <w:t>is particularly important when low specific binding is expected (e.g. in case of a severe loss or blockade of the DAT)</w:t>
      </w:r>
      <w:r w:rsidR="005969F2" w:rsidRPr="00045F85">
        <w:rPr>
          <w:color w:val="auto"/>
        </w:rPr>
        <w:t>, especially</w:t>
      </w:r>
      <w:r w:rsidR="00CA1397" w:rsidRPr="00045F85">
        <w:rPr>
          <w:color w:val="auto"/>
        </w:rPr>
        <w:t xml:space="preserve"> in the absence of an automated </w:t>
      </w:r>
      <w:r w:rsidR="005969F2" w:rsidRPr="00045F85">
        <w:rPr>
          <w:color w:val="auto"/>
        </w:rPr>
        <w:t xml:space="preserve">method. </w:t>
      </w:r>
    </w:p>
    <w:p w14:paraId="16978814" w14:textId="77777777" w:rsidR="001D146C" w:rsidRPr="00045F85" w:rsidRDefault="001D146C" w:rsidP="0028742B">
      <w:pPr>
        <w:pStyle w:val="Listenabsatz"/>
        <w:numPr>
          <w:ilvl w:val="0"/>
          <w:numId w:val="0"/>
        </w:numPr>
        <w:ind w:left="720"/>
        <w:rPr>
          <w:color w:val="auto"/>
        </w:rPr>
      </w:pPr>
    </w:p>
    <w:p w14:paraId="03B68704" w14:textId="558EAEA3" w:rsidR="009C4A02" w:rsidRPr="00045F85" w:rsidRDefault="009C4A02" w:rsidP="00C97AB2">
      <w:pPr>
        <w:pStyle w:val="Listenabsatz"/>
        <w:numPr>
          <w:ilvl w:val="0"/>
          <w:numId w:val="15"/>
        </w:numPr>
        <w:rPr>
          <w:color w:val="auto"/>
        </w:rPr>
      </w:pPr>
      <w:r w:rsidRPr="00045F85">
        <w:rPr>
          <w:color w:val="auto"/>
        </w:rPr>
        <w:t xml:space="preserve">Once the </w:t>
      </w:r>
      <w:r w:rsidR="00790CBC" w:rsidRPr="00045F85">
        <w:rPr>
          <w:color w:val="auto"/>
        </w:rPr>
        <w:t>Volumetric ROI (</w:t>
      </w:r>
      <w:r w:rsidRPr="00045F85">
        <w:rPr>
          <w:color w:val="auto"/>
        </w:rPr>
        <w:t>VOI</w:t>
      </w:r>
      <w:r w:rsidR="00790CBC" w:rsidRPr="00045F85">
        <w:rPr>
          <w:color w:val="auto"/>
        </w:rPr>
        <w:t>)</w:t>
      </w:r>
      <w:r w:rsidRPr="00045F85">
        <w:rPr>
          <w:color w:val="auto"/>
        </w:rPr>
        <w:t xml:space="preserve"> are placed, SBR values are generally obtained as: </w:t>
      </w:r>
    </w:p>
    <w:p w14:paraId="7EBB2638" w14:textId="62F419DF" w:rsidR="00FA13D0" w:rsidRPr="00045F85" w:rsidRDefault="00FA13D0" w:rsidP="0028742B">
      <w:pPr>
        <w:pStyle w:val="Listenabsatz"/>
        <w:numPr>
          <w:ilvl w:val="0"/>
          <w:numId w:val="0"/>
        </w:numPr>
        <w:ind w:left="720"/>
        <w:rPr>
          <w:color w:val="auto"/>
        </w:rPr>
      </w:pPr>
    </w:p>
    <w:p w14:paraId="0EF07BA7" w14:textId="277DC1D2" w:rsidR="00122997" w:rsidRPr="00045F85" w:rsidRDefault="00821BE2" w:rsidP="006F09D9">
      <w:r w:rsidRPr="00045F85">
        <w:t>(Mean C</w:t>
      </w:r>
      <w:r w:rsidR="006201D5" w:rsidRPr="00045F85">
        <w:t xml:space="preserve">ounts of striatal VOI </w:t>
      </w:r>
      <w:r w:rsidRPr="00045F85">
        <w:t>–</w:t>
      </w:r>
      <w:r w:rsidR="00C920D7" w:rsidRPr="00045F85">
        <w:t xml:space="preserve"> </w:t>
      </w:r>
      <w:r w:rsidRPr="00045F85">
        <w:t xml:space="preserve">Mean </w:t>
      </w:r>
      <w:r w:rsidR="00C920D7" w:rsidRPr="00045F85">
        <w:t>Counts of background</w:t>
      </w:r>
      <w:r w:rsidRPr="00045F85">
        <w:t xml:space="preserve"> </w:t>
      </w:r>
      <w:r w:rsidR="006201D5" w:rsidRPr="00045F85">
        <w:t>VOI)/(</w:t>
      </w:r>
      <w:r w:rsidRPr="00045F85">
        <w:t xml:space="preserve">Mean </w:t>
      </w:r>
      <w:r w:rsidR="006201D5" w:rsidRPr="00045F85">
        <w:t>Counts of the background VOI)</w:t>
      </w:r>
    </w:p>
    <w:p w14:paraId="6D3F7D6E" w14:textId="77777777" w:rsidR="006201D5" w:rsidRPr="00045F85" w:rsidRDefault="006201D5" w:rsidP="0028742B">
      <w:pPr>
        <w:pStyle w:val="Listenabsatz"/>
        <w:numPr>
          <w:ilvl w:val="0"/>
          <w:numId w:val="0"/>
        </w:numPr>
        <w:ind w:left="720"/>
        <w:rPr>
          <w:color w:val="auto"/>
        </w:rPr>
      </w:pPr>
    </w:p>
    <w:p w14:paraId="7C2FD57F" w14:textId="5B1CFBA6" w:rsidR="008C21CE" w:rsidRPr="00045F85" w:rsidRDefault="008C21CE" w:rsidP="00C97AB2">
      <w:pPr>
        <w:pStyle w:val="Listenabsatz"/>
        <w:numPr>
          <w:ilvl w:val="0"/>
          <w:numId w:val="15"/>
        </w:numPr>
        <w:rPr>
          <w:color w:val="auto"/>
        </w:rPr>
      </w:pPr>
      <w:r w:rsidRPr="00045F85">
        <w:rPr>
          <w:color w:val="auto"/>
        </w:rPr>
        <w:t>Automated-semiquantification</w:t>
      </w:r>
    </w:p>
    <w:p w14:paraId="722D006A" w14:textId="77777777" w:rsidR="00122997" w:rsidRPr="00045F85" w:rsidRDefault="00122997" w:rsidP="0028742B">
      <w:pPr>
        <w:pStyle w:val="Listenabsatz"/>
        <w:numPr>
          <w:ilvl w:val="0"/>
          <w:numId w:val="0"/>
        </w:numPr>
        <w:ind w:left="720"/>
        <w:rPr>
          <w:color w:val="auto"/>
        </w:rPr>
      </w:pPr>
    </w:p>
    <w:p w14:paraId="1C36B57D" w14:textId="0E606BD7" w:rsidR="00122997" w:rsidRPr="00045F85" w:rsidRDefault="00122997" w:rsidP="00267DA0">
      <w:pPr>
        <w:pStyle w:val="Listenabsatz"/>
        <w:numPr>
          <w:ilvl w:val="0"/>
          <w:numId w:val="0"/>
        </w:numPr>
        <w:ind w:left="720"/>
        <w:rPr>
          <w:color w:val="auto"/>
        </w:rPr>
      </w:pPr>
      <w:r w:rsidRPr="00045F85">
        <w:rPr>
          <w:color w:val="auto"/>
        </w:rPr>
        <w:t>Several approaches have been proposed to perform semiquantification of DAT SPECT</w:t>
      </w:r>
      <w:r w:rsidR="00BE6E3E" w:rsidRPr="00045F85">
        <w:rPr>
          <w:color w:val="auto"/>
        </w:rPr>
        <w:t>,</w:t>
      </w:r>
      <w:r w:rsidRPr="00045F85">
        <w:rPr>
          <w:color w:val="auto"/>
        </w:rPr>
        <w:t xml:space="preserve"> and several commercial and freeware software are available.</w:t>
      </w:r>
    </w:p>
    <w:p w14:paraId="79DD36B3" w14:textId="7265DB92" w:rsidR="00122997" w:rsidRPr="00045F85" w:rsidRDefault="00122997" w:rsidP="0028742B">
      <w:pPr>
        <w:pStyle w:val="Listenabsatz"/>
        <w:numPr>
          <w:ilvl w:val="0"/>
          <w:numId w:val="0"/>
        </w:numPr>
        <w:ind w:left="720"/>
        <w:rPr>
          <w:color w:val="auto"/>
        </w:rPr>
      </w:pPr>
    </w:p>
    <w:p w14:paraId="36887D5E" w14:textId="04E7A0B8" w:rsidR="00122997" w:rsidRPr="00045F85" w:rsidRDefault="00122997" w:rsidP="00267DA0">
      <w:pPr>
        <w:pStyle w:val="Listenabsatz"/>
        <w:numPr>
          <w:ilvl w:val="0"/>
          <w:numId w:val="0"/>
        </w:numPr>
        <w:ind w:left="720"/>
        <w:rPr>
          <w:color w:val="auto"/>
        </w:rPr>
      </w:pPr>
      <w:r w:rsidRPr="00045F85">
        <w:rPr>
          <w:color w:val="auto"/>
        </w:rPr>
        <w:t>Some of them include a one or two step-based fully automated registration of the patient SPECT scan to a template or to an averaged, spatially normalized brain volume. Predefined VOIs are then automatically placed on the striata</w:t>
      </w:r>
      <w:r w:rsidR="00341040" w:rsidRPr="00045F85">
        <w:rPr>
          <w:color w:val="auto"/>
        </w:rPr>
        <w:t>l and the background regions [82-88</w:t>
      </w:r>
      <w:r w:rsidRPr="00045F85">
        <w:rPr>
          <w:color w:val="auto"/>
        </w:rPr>
        <w:t xml:space="preserve">] </w:t>
      </w:r>
    </w:p>
    <w:p w14:paraId="2D3E613B" w14:textId="77777777" w:rsidR="00122997" w:rsidRPr="00045F85" w:rsidRDefault="00122997" w:rsidP="00861AB6">
      <w:pPr>
        <w:pStyle w:val="Listenabsatz"/>
        <w:numPr>
          <w:ilvl w:val="0"/>
          <w:numId w:val="0"/>
        </w:numPr>
        <w:ind w:left="720"/>
        <w:rPr>
          <w:color w:val="auto"/>
        </w:rPr>
      </w:pPr>
    </w:p>
    <w:p w14:paraId="4D24E55B" w14:textId="117B28F5" w:rsidR="00122997" w:rsidRPr="00045F85" w:rsidRDefault="00122997" w:rsidP="00267DA0">
      <w:pPr>
        <w:pStyle w:val="Listenabsatz"/>
        <w:numPr>
          <w:ilvl w:val="0"/>
          <w:numId w:val="0"/>
        </w:numPr>
        <w:ind w:left="720"/>
        <w:rPr>
          <w:color w:val="auto"/>
        </w:rPr>
      </w:pPr>
      <w:r w:rsidRPr="00045F85">
        <w:rPr>
          <w:color w:val="auto"/>
        </w:rPr>
        <w:t xml:space="preserve">  VOIs can also be defined for striatal substructures, allowing to quantify the SBR for caudate and putamen, as well</w:t>
      </w:r>
      <w:r w:rsidR="006D32D5" w:rsidRPr="00045F85">
        <w:rPr>
          <w:color w:val="auto"/>
        </w:rPr>
        <w:t xml:space="preserve"> as other parameters such as </w:t>
      </w:r>
      <w:r w:rsidRPr="00045F85">
        <w:rPr>
          <w:color w:val="auto"/>
        </w:rPr>
        <w:t xml:space="preserve">asymmetry between left and right putamen and caudate, putamen-to-caudate ratio (PCR), and caudate-putamen ratio (CPR). </w:t>
      </w:r>
    </w:p>
    <w:p w14:paraId="5BDE3678" w14:textId="77777777" w:rsidR="00267DA0" w:rsidRPr="00045F85" w:rsidRDefault="00122997" w:rsidP="00267DA0">
      <w:pPr>
        <w:pStyle w:val="Listenabsatz"/>
        <w:numPr>
          <w:ilvl w:val="0"/>
          <w:numId w:val="0"/>
        </w:numPr>
        <w:ind w:left="720"/>
        <w:rPr>
          <w:color w:val="auto"/>
        </w:rPr>
      </w:pPr>
      <w:r w:rsidRPr="00045F85">
        <w:rPr>
          <w:color w:val="auto"/>
        </w:rPr>
        <w:t>The availability of these parameters can be useful in complex or borderline cases. In particular PCR is most sensitive in borderline and early stage cases, because of a higher degree of independence on camera, reconstruction algorithm, and background region. Some studies have reported a mild reduction of PCR with age</w:t>
      </w:r>
      <w:r w:rsidR="008858F1" w:rsidRPr="00045F85">
        <w:rPr>
          <w:color w:val="auto"/>
        </w:rPr>
        <w:t>,</w:t>
      </w:r>
      <w:r w:rsidRPr="00045F85">
        <w:rPr>
          <w:color w:val="auto"/>
        </w:rPr>
        <w:t xml:space="preserve"> but there are conflicting </w:t>
      </w:r>
      <w:r w:rsidRPr="00045F85">
        <w:rPr>
          <w:color w:val="auto"/>
        </w:rPr>
        <w:lastRenderedPageBreak/>
        <w:t>data in the literature on this topic (possibly due to the number and age range of included subjects, and th</w:t>
      </w:r>
      <w:r w:rsidR="00341040" w:rsidRPr="00045F85">
        <w:rPr>
          <w:color w:val="auto"/>
        </w:rPr>
        <w:t>e modalities of VOI drawing) [87</w:t>
      </w:r>
      <w:r w:rsidRPr="00045F85">
        <w:rPr>
          <w:color w:val="auto"/>
        </w:rPr>
        <w:t xml:space="preserve">]. Evaluation of asymmetry between left and right sides is also useful in </w:t>
      </w:r>
      <w:r w:rsidR="00184D62" w:rsidRPr="00045F85">
        <w:rPr>
          <w:color w:val="auto"/>
        </w:rPr>
        <w:t>the earliest stages</w:t>
      </w:r>
      <w:r w:rsidRPr="00045F85">
        <w:rPr>
          <w:color w:val="auto"/>
        </w:rPr>
        <w:t>, although mild asymmetry between striata or striatal subregions may occur in no</w:t>
      </w:r>
      <w:r w:rsidR="00341040" w:rsidRPr="00045F85">
        <w:rPr>
          <w:color w:val="auto"/>
        </w:rPr>
        <w:t>rmal subjects [88</w:t>
      </w:r>
      <w:r w:rsidRPr="00045F85">
        <w:rPr>
          <w:color w:val="auto"/>
        </w:rPr>
        <w:t>].</w:t>
      </w:r>
    </w:p>
    <w:p w14:paraId="04EB9C7B" w14:textId="77777777" w:rsidR="00267DA0" w:rsidRPr="00045F85" w:rsidRDefault="00267DA0" w:rsidP="00267DA0">
      <w:pPr>
        <w:pStyle w:val="Listenabsatz"/>
        <w:numPr>
          <w:ilvl w:val="0"/>
          <w:numId w:val="0"/>
        </w:numPr>
        <w:ind w:left="720"/>
        <w:rPr>
          <w:color w:val="auto"/>
        </w:rPr>
      </w:pPr>
    </w:p>
    <w:p w14:paraId="55454AD6" w14:textId="76DC851D" w:rsidR="00122997" w:rsidRPr="00045F85" w:rsidRDefault="00267DA0" w:rsidP="00267DA0">
      <w:pPr>
        <w:pStyle w:val="Listenabsatz"/>
        <w:numPr>
          <w:ilvl w:val="0"/>
          <w:numId w:val="0"/>
        </w:numPr>
        <w:ind w:left="720"/>
        <w:rPr>
          <w:color w:val="auto"/>
        </w:rPr>
      </w:pPr>
      <w:r w:rsidRPr="00045F85">
        <w:rPr>
          <w:color w:val="auto"/>
        </w:rPr>
        <w:t xml:space="preserve"> </w:t>
      </w:r>
      <w:r w:rsidR="00122997" w:rsidRPr="00045F85">
        <w:rPr>
          <w:color w:val="auto"/>
        </w:rPr>
        <w:t>All the numeric parameters are dependent on acquisition and reconstruction parameters an</w:t>
      </w:r>
      <w:r w:rsidR="00341040" w:rsidRPr="00045F85">
        <w:rPr>
          <w:color w:val="auto"/>
        </w:rPr>
        <w:t>d on the corrections applied [49, 50</w:t>
      </w:r>
      <w:r w:rsidR="00122997" w:rsidRPr="00045F85">
        <w:rPr>
          <w:color w:val="auto"/>
        </w:rPr>
        <w:t>]. As a result, there are no universal (age-dependent) cut</w:t>
      </w:r>
      <w:r w:rsidR="00341040" w:rsidRPr="00045F85">
        <w:rPr>
          <w:color w:val="auto"/>
        </w:rPr>
        <w:t>offs for normal vs. abnormal [89</w:t>
      </w:r>
      <w:r w:rsidR="00703D92" w:rsidRPr="00045F85">
        <w:rPr>
          <w:color w:val="auto"/>
        </w:rPr>
        <w:t>-91</w:t>
      </w:r>
      <w:r w:rsidR="00122997" w:rsidRPr="00045F85">
        <w:rPr>
          <w:color w:val="auto"/>
        </w:rPr>
        <w:t xml:space="preserve">]. Accordingly, each site would ideally need to establish its own reference </w:t>
      </w:r>
      <w:r w:rsidR="00861AB6" w:rsidRPr="00045F85">
        <w:rPr>
          <w:color w:val="auto"/>
        </w:rPr>
        <w:t xml:space="preserve">using an </w:t>
      </w:r>
      <w:r w:rsidR="00122997" w:rsidRPr="00045F85">
        <w:rPr>
          <w:color w:val="auto"/>
        </w:rPr>
        <w:t xml:space="preserve">healthy controls </w:t>
      </w:r>
      <w:r w:rsidR="00861AB6" w:rsidRPr="00045F85">
        <w:rPr>
          <w:color w:val="auto"/>
        </w:rPr>
        <w:t xml:space="preserve">group. If a local normal subjects database is not available, calibration of the </w:t>
      </w:r>
      <w:r w:rsidR="00122997" w:rsidRPr="00045F85">
        <w:rPr>
          <w:color w:val="auto"/>
        </w:rPr>
        <w:t xml:space="preserve">procedure with the characteristics of normal controls databases </w:t>
      </w:r>
      <w:r w:rsidR="00861AB6" w:rsidRPr="00045F85">
        <w:rPr>
          <w:color w:val="auto"/>
        </w:rPr>
        <w:t xml:space="preserve">is needed </w:t>
      </w:r>
      <w:r w:rsidR="00122997" w:rsidRPr="00045F85">
        <w:rPr>
          <w:color w:val="auto"/>
        </w:rPr>
        <w:t xml:space="preserve">(see below). </w:t>
      </w:r>
    </w:p>
    <w:p w14:paraId="5E54E2EF" w14:textId="77777777" w:rsidR="00122997" w:rsidRPr="00045F85" w:rsidRDefault="00122997" w:rsidP="00861AB6">
      <w:pPr>
        <w:pStyle w:val="Listenabsatz"/>
        <w:numPr>
          <w:ilvl w:val="0"/>
          <w:numId w:val="0"/>
        </w:numPr>
        <w:ind w:left="720"/>
        <w:rPr>
          <w:color w:val="auto"/>
        </w:rPr>
      </w:pPr>
    </w:p>
    <w:p w14:paraId="0835F174" w14:textId="25DB2EE6" w:rsidR="00122997" w:rsidRPr="00045F85" w:rsidRDefault="00122997" w:rsidP="00267DA0">
      <w:pPr>
        <w:pStyle w:val="Listenabsatz"/>
        <w:numPr>
          <w:ilvl w:val="0"/>
          <w:numId w:val="0"/>
        </w:numPr>
        <w:ind w:left="720"/>
        <w:rPr>
          <w:color w:val="auto"/>
        </w:rPr>
      </w:pPr>
      <w:r w:rsidRPr="00045F85">
        <w:rPr>
          <w:color w:val="auto"/>
        </w:rPr>
        <w:t>Differences in SBR also occur as the result of VOI strategy, with two approaches commonly employed. The first incorporates regions for the caudate and putamen on left and right sides which tries to capture the anatomic bounds of these structures. The second approach utilizes small regions of interest sampling the tracer uptake in the caudate, mid-putamen, and posterior putam</w:t>
      </w:r>
      <w:r w:rsidR="008020E8" w:rsidRPr="00045F85">
        <w:rPr>
          <w:color w:val="auto"/>
        </w:rPr>
        <w:t xml:space="preserve">en on the right and left sides </w:t>
      </w:r>
      <w:r w:rsidRPr="00045F85">
        <w:rPr>
          <w:color w:val="auto"/>
        </w:rPr>
        <w:t>[</w:t>
      </w:r>
      <w:r w:rsidR="00703D92" w:rsidRPr="00045F85">
        <w:rPr>
          <w:color w:val="auto"/>
        </w:rPr>
        <w:t>92</w:t>
      </w:r>
      <w:r w:rsidR="008020E8" w:rsidRPr="00045F85">
        <w:rPr>
          <w:color w:val="auto"/>
        </w:rPr>
        <w:t xml:space="preserve">, </w:t>
      </w:r>
      <w:r w:rsidR="00703D92" w:rsidRPr="00045F85">
        <w:rPr>
          <w:color w:val="auto"/>
        </w:rPr>
        <w:t>93</w:t>
      </w:r>
      <w:r w:rsidRPr="00045F85">
        <w:rPr>
          <w:color w:val="auto"/>
        </w:rPr>
        <w:t xml:space="preserve">]. </w:t>
      </w:r>
    </w:p>
    <w:p w14:paraId="4C73302B" w14:textId="77777777" w:rsidR="008020E8" w:rsidRPr="00045F85" w:rsidRDefault="008020E8" w:rsidP="00267DA0">
      <w:pPr>
        <w:pStyle w:val="Listenabsatz"/>
        <w:numPr>
          <w:ilvl w:val="0"/>
          <w:numId w:val="0"/>
        </w:numPr>
        <w:ind w:left="720"/>
        <w:rPr>
          <w:color w:val="auto"/>
        </w:rPr>
      </w:pPr>
    </w:p>
    <w:p w14:paraId="187C9C40" w14:textId="1794A811" w:rsidR="00122997" w:rsidRPr="00045F85" w:rsidRDefault="00122997" w:rsidP="00267DA0">
      <w:pPr>
        <w:pStyle w:val="Listenabsatz"/>
        <w:numPr>
          <w:ilvl w:val="0"/>
          <w:numId w:val="0"/>
        </w:numPr>
        <w:ind w:left="720"/>
        <w:rPr>
          <w:color w:val="auto"/>
        </w:rPr>
      </w:pPr>
      <w:r w:rsidRPr="00045F85">
        <w:rPr>
          <w:color w:val="auto"/>
        </w:rPr>
        <w:t>A different approach for determining the SBR is used in the so-called Southampton method [</w:t>
      </w:r>
      <w:r w:rsidR="00703D92" w:rsidRPr="00045F85">
        <w:rPr>
          <w:color w:val="auto"/>
        </w:rPr>
        <w:t>93</w:t>
      </w:r>
      <w:r w:rsidRPr="00045F85">
        <w:rPr>
          <w:color w:val="auto"/>
        </w:rPr>
        <w:t xml:space="preserve">], based on the measurement of total counts from each striatum. It uses striatal VOIs of geometrical shape, sufficiently large to capture all counts </w:t>
      </w:r>
      <w:r w:rsidR="003C515C" w:rsidRPr="00045F85">
        <w:rPr>
          <w:color w:val="auto"/>
        </w:rPr>
        <w:t>originating</w:t>
      </w:r>
      <w:r w:rsidRPr="00045F85">
        <w:rPr>
          <w:color w:val="auto"/>
        </w:rPr>
        <w:t xml:space="preserve"> from the striatum including those detected outside its anatomical boundaries, and a background region derived from the whole brain minus</w:t>
      </w:r>
      <w:r w:rsidR="009F5F95" w:rsidRPr="00045F85">
        <w:rPr>
          <w:color w:val="auto"/>
        </w:rPr>
        <w:t xml:space="preserve"> </w:t>
      </w:r>
      <w:r w:rsidRPr="00045F85">
        <w:rPr>
          <w:color w:val="auto"/>
        </w:rPr>
        <w:t>the striatal VOIs. The SBR is then calculated as follows:</w:t>
      </w:r>
    </w:p>
    <w:p w14:paraId="7F83040F" w14:textId="77777777" w:rsidR="00122997" w:rsidRPr="00045F85" w:rsidRDefault="00122997" w:rsidP="00267DA0">
      <w:pPr>
        <w:pStyle w:val="Listenabsatz"/>
        <w:numPr>
          <w:ilvl w:val="0"/>
          <w:numId w:val="0"/>
        </w:numPr>
        <w:ind w:left="720"/>
        <w:rPr>
          <w:color w:val="auto"/>
        </w:rPr>
      </w:pPr>
    </w:p>
    <w:p w14:paraId="1353FD36" w14:textId="2CB46AD8" w:rsidR="008F5EAC" w:rsidRPr="00045F85" w:rsidRDefault="008F5EAC" w:rsidP="00267DA0">
      <w:pPr>
        <w:pStyle w:val="Listenabsatz"/>
        <w:numPr>
          <w:ilvl w:val="0"/>
          <w:numId w:val="0"/>
        </w:numPr>
        <w:ind w:left="720"/>
        <w:rPr>
          <w:color w:val="auto"/>
        </w:rPr>
      </w:pPr>
      <w:r w:rsidRPr="00045F85">
        <w:rPr>
          <w:color w:val="auto"/>
        </w:rPr>
        <w:t xml:space="preserve">   Vol</w:t>
      </w:r>
      <w:r w:rsidRPr="00045F85">
        <w:rPr>
          <w:color w:val="auto"/>
          <w:vertAlign w:val="subscript"/>
        </w:rPr>
        <w:t>StrVOI</w:t>
      </w:r>
      <w:r w:rsidRPr="00045F85">
        <w:rPr>
          <w:color w:val="auto"/>
        </w:rPr>
        <w:t>/Vol</w:t>
      </w:r>
      <w:r w:rsidRPr="00045F85">
        <w:rPr>
          <w:color w:val="auto"/>
          <w:vertAlign w:val="subscript"/>
        </w:rPr>
        <w:t>Str</w:t>
      </w:r>
      <w:r w:rsidRPr="00045F85">
        <w:rPr>
          <w:color w:val="auto"/>
        </w:rPr>
        <w:t>*(Counts</w:t>
      </w:r>
      <w:r w:rsidRPr="00045F85">
        <w:rPr>
          <w:color w:val="auto"/>
          <w:vertAlign w:val="subscript"/>
        </w:rPr>
        <w:t>StrVOI</w:t>
      </w:r>
      <w:r w:rsidRPr="00045F85">
        <w:rPr>
          <w:color w:val="auto"/>
        </w:rPr>
        <w:t>/counts per voxel</w:t>
      </w:r>
      <w:r w:rsidRPr="00045F85">
        <w:rPr>
          <w:color w:val="auto"/>
          <w:vertAlign w:val="subscript"/>
        </w:rPr>
        <w:t xml:space="preserve">bkg </w:t>
      </w:r>
      <w:r w:rsidRPr="00045F85">
        <w:rPr>
          <w:color w:val="auto"/>
        </w:rPr>
        <w:t>* Vol</w:t>
      </w:r>
      <w:r w:rsidRPr="00045F85">
        <w:rPr>
          <w:color w:val="auto"/>
          <w:vertAlign w:val="subscript"/>
        </w:rPr>
        <w:t>StrVOI</w:t>
      </w:r>
      <w:r w:rsidRPr="00045F85">
        <w:rPr>
          <w:color w:val="auto"/>
        </w:rPr>
        <w:t xml:space="preserve"> -1)</w:t>
      </w:r>
    </w:p>
    <w:p w14:paraId="13C8A484" w14:textId="77777777" w:rsidR="00EE57D9" w:rsidRPr="00045F85" w:rsidRDefault="00EE57D9" w:rsidP="00267DA0">
      <w:pPr>
        <w:pStyle w:val="Listenabsatz"/>
        <w:numPr>
          <w:ilvl w:val="0"/>
          <w:numId w:val="0"/>
        </w:numPr>
        <w:ind w:left="720"/>
        <w:rPr>
          <w:color w:val="auto"/>
        </w:rPr>
      </w:pPr>
    </w:p>
    <w:p w14:paraId="1598D969" w14:textId="77777777" w:rsidR="00267DA0" w:rsidRPr="00045F85" w:rsidRDefault="00EE57D9" w:rsidP="00267DA0">
      <w:pPr>
        <w:pStyle w:val="Listenabsatz"/>
        <w:numPr>
          <w:ilvl w:val="0"/>
          <w:numId w:val="0"/>
        </w:numPr>
        <w:ind w:left="720"/>
        <w:rPr>
          <w:color w:val="auto"/>
        </w:rPr>
      </w:pPr>
      <w:r w:rsidRPr="00045F85">
        <w:rPr>
          <w:color w:val="auto"/>
        </w:rPr>
        <w:t>Individual computed tomography (CT) or MRI-guided methods [</w:t>
      </w:r>
      <w:r w:rsidR="00703D92" w:rsidRPr="00045F85">
        <w:rPr>
          <w:color w:val="auto"/>
        </w:rPr>
        <w:t>94</w:t>
      </w:r>
      <w:r w:rsidRPr="00045F85">
        <w:rPr>
          <w:color w:val="auto"/>
        </w:rPr>
        <w:t>] and, more recently, machine-learning techniques for pattern recognition as well as parametrization of textural patterns have also been proposed as user-independent methods for DAT SPECT results classification. These methods still remain in the realm of promising research [</w:t>
      </w:r>
      <w:r w:rsidR="00703D92" w:rsidRPr="00045F85">
        <w:rPr>
          <w:color w:val="auto"/>
        </w:rPr>
        <w:t>95</w:t>
      </w:r>
      <w:r w:rsidRPr="00045F85">
        <w:rPr>
          <w:color w:val="auto"/>
        </w:rPr>
        <w:t xml:space="preserve">, </w:t>
      </w:r>
      <w:r w:rsidR="00703D92" w:rsidRPr="00045F85">
        <w:rPr>
          <w:color w:val="auto"/>
        </w:rPr>
        <w:t>96</w:t>
      </w:r>
      <w:r w:rsidRPr="00045F85">
        <w:rPr>
          <w:color w:val="auto"/>
        </w:rPr>
        <w:t xml:space="preserve">]. </w:t>
      </w:r>
    </w:p>
    <w:p w14:paraId="6526D706" w14:textId="77777777" w:rsidR="00267DA0" w:rsidRPr="00045F85" w:rsidRDefault="00267DA0" w:rsidP="00267DA0">
      <w:pPr>
        <w:pStyle w:val="Listenabsatz"/>
        <w:numPr>
          <w:ilvl w:val="0"/>
          <w:numId w:val="0"/>
        </w:numPr>
        <w:ind w:left="720"/>
        <w:rPr>
          <w:color w:val="auto"/>
        </w:rPr>
      </w:pPr>
    </w:p>
    <w:p w14:paraId="0DF97E7F" w14:textId="23D95F39" w:rsidR="00EE57D9" w:rsidRPr="00045F85" w:rsidRDefault="00EE57D9" w:rsidP="00267DA0">
      <w:pPr>
        <w:pStyle w:val="Listenabsatz"/>
        <w:numPr>
          <w:ilvl w:val="0"/>
          <w:numId w:val="0"/>
        </w:numPr>
        <w:ind w:left="720"/>
        <w:rPr>
          <w:color w:val="auto"/>
        </w:rPr>
      </w:pPr>
      <w:r w:rsidRPr="00045F85">
        <w:rPr>
          <w:color w:val="auto"/>
        </w:rPr>
        <w:t>Some studies have applied PVE in the process of binding computation of the caudate nucleus, putamen and background</w:t>
      </w:r>
      <w:r w:rsidR="004879AB" w:rsidRPr="00045F85">
        <w:rPr>
          <w:color w:val="auto"/>
        </w:rPr>
        <w:t>,</w:t>
      </w:r>
      <w:r w:rsidRPr="00045F85">
        <w:rPr>
          <w:color w:val="auto"/>
        </w:rPr>
        <w:t xml:space="preserve"> but the added value of PVE in this settings </w:t>
      </w:r>
      <w:r w:rsidR="00CA09F1" w:rsidRPr="00045F85">
        <w:rPr>
          <w:color w:val="auto"/>
        </w:rPr>
        <w:t>has</w:t>
      </w:r>
      <w:r w:rsidRPr="00045F85">
        <w:rPr>
          <w:color w:val="auto"/>
        </w:rPr>
        <w:t xml:space="preserve"> not been systematically investigated and is not recommended in routine clinical practice.</w:t>
      </w:r>
    </w:p>
    <w:p w14:paraId="135C10A1" w14:textId="77777777" w:rsidR="00EE57D9" w:rsidRPr="00045F85" w:rsidRDefault="00EE57D9" w:rsidP="00267DA0">
      <w:pPr>
        <w:pStyle w:val="Listenabsatz"/>
        <w:numPr>
          <w:ilvl w:val="0"/>
          <w:numId w:val="0"/>
        </w:numPr>
        <w:ind w:left="720"/>
        <w:rPr>
          <w:color w:val="auto"/>
        </w:rPr>
      </w:pPr>
    </w:p>
    <w:p w14:paraId="05C516B6" w14:textId="77777777" w:rsidR="006201D5" w:rsidRPr="00045F85" w:rsidRDefault="006201D5" w:rsidP="004F7626"/>
    <w:p w14:paraId="39E23777" w14:textId="114A7350" w:rsidR="002C44A2" w:rsidRPr="00045F85" w:rsidRDefault="00752A69" w:rsidP="00C97AB2">
      <w:pPr>
        <w:pStyle w:val="Listenabsatz"/>
        <w:numPr>
          <w:ilvl w:val="0"/>
          <w:numId w:val="15"/>
        </w:numPr>
        <w:rPr>
          <w:color w:val="auto"/>
        </w:rPr>
      </w:pPr>
      <w:r w:rsidRPr="00045F85">
        <w:rPr>
          <w:color w:val="auto"/>
        </w:rPr>
        <w:t>Availa</w:t>
      </w:r>
      <w:r w:rsidR="002C44A2" w:rsidRPr="00045F85">
        <w:rPr>
          <w:color w:val="auto"/>
        </w:rPr>
        <w:t>ble healthy subjects’ database</w:t>
      </w:r>
    </w:p>
    <w:p w14:paraId="72891DD5" w14:textId="77777777" w:rsidR="00122997" w:rsidRPr="00045F85" w:rsidRDefault="00122997" w:rsidP="00267DA0">
      <w:pPr>
        <w:pStyle w:val="Listenabsatz"/>
        <w:numPr>
          <w:ilvl w:val="0"/>
          <w:numId w:val="0"/>
        </w:numPr>
        <w:ind w:left="720"/>
        <w:rPr>
          <w:color w:val="auto"/>
        </w:rPr>
      </w:pPr>
    </w:p>
    <w:p w14:paraId="306F89C0" w14:textId="21C9BC42" w:rsidR="00122997" w:rsidRPr="00045F85" w:rsidRDefault="00122997" w:rsidP="00267DA0">
      <w:pPr>
        <w:pStyle w:val="Listenabsatz"/>
        <w:numPr>
          <w:ilvl w:val="0"/>
          <w:numId w:val="0"/>
        </w:numPr>
        <w:ind w:left="720"/>
        <w:rPr>
          <w:color w:val="auto"/>
        </w:rPr>
      </w:pPr>
      <w:r w:rsidRPr="00045F85">
        <w:rPr>
          <w:color w:val="auto"/>
        </w:rPr>
        <w:t xml:space="preserve">As </w:t>
      </w:r>
      <w:r w:rsidR="00000DA2" w:rsidRPr="00045F85">
        <w:rPr>
          <w:color w:val="auto"/>
        </w:rPr>
        <w:t xml:space="preserve">previously </w:t>
      </w:r>
      <w:r w:rsidRPr="00045F85">
        <w:rPr>
          <w:color w:val="auto"/>
        </w:rPr>
        <w:t xml:space="preserve">mentioned, great caution must be exercised when using SBR data from the literature as differences </w:t>
      </w:r>
      <w:r w:rsidR="000C4F13" w:rsidRPr="00045F85">
        <w:rPr>
          <w:color w:val="auto"/>
        </w:rPr>
        <w:t>regarding</w:t>
      </w:r>
      <w:r w:rsidRPr="00045F85">
        <w:rPr>
          <w:color w:val="auto"/>
        </w:rPr>
        <w:t xml:space="preserve"> to the camera system how the images were acquired, processed, and analyzed will result in different</w:t>
      </w:r>
      <w:r w:rsidR="00B537D1" w:rsidRPr="00045F85">
        <w:rPr>
          <w:color w:val="auto"/>
        </w:rPr>
        <w:t xml:space="preserve"> values [</w:t>
      </w:r>
      <w:r w:rsidR="00CD5BFB" w:rsidRPr="00045F85">
        <w:rPr>
          <w:color w:val="auto"/>
        </w:rPr>
        <w:t xml:space="preserve">50, </w:t>
      </w:r>
      <w:r w:rsidR="00B537D1" w:rsidRPr="00045F85">
        <w:rPr>
          <w:color w:val="auto"/>
        </w:rPr>
        <w:t>87, 97, 98</w:t>
      </w:r>
      <w:r w:rsidRPr="00045F85">
        <w:rPr>
          <w:color w:val="auto"/>
        </w:rPr>
        <w:t xml:space="preserve">]. </w:t>
      </w:r>
    </w:p>
    <w:p w14:paraId="449057FD" w14:textId="77777777" w:rsidR="00122997" w:rsidRPr="00045F85" w:rsidRDefault="00122997" w:rsidP="00267DA0">
      <w:pPr>
        <w:pStyle w:val="Listenabsatz"/>
        <w:numPr>
          <w:ilvl w:val="0"/>
          <w:numId w:val="0"/>
        </w:numPr>
        <w:ind w:left="720"/>
        <w:rPr>
          <w:color w:val="auto"/>
        </w:rPr>
      </w:pPr>
    </w:p>
    <w:p w14:paraId="420465E7" w14:textId="12E332FE" w:rsidR="00122997" w:rsidRPr="00045F85" w:rsidRDefault="00122997" w:rsidP="00267DA0">
      <w:pPr>
        <w:pStyle w:val="Listenabsatz"/>
        <w:numPr>
          <w:ilvl w:val="0"/>
          <w:numId w:val="0"/>
        </w:numPr>
        <w:ind w:left="720"/>
        <w:rPr>
          <w:color w:val="auto"/>
        </w:rPr>
      </w:pPr>
      <w:r w:rsidRPr="00045F85">
        <w:rPr>
          <w:color w:val="auto"/>
        </w:rPr>
        <w:t>Calibrations across cameras have been described using anthropomorphic phantoms to develop relative correction factors for standar</w:t>
      </w:r>
      <w:r w:rsidR="00B537D1" w:rsidRPr="00045F85">
        <w:rPr>
          <w:color w:val="auto"/>
        </w:rPr>
        <w:t>dization between instruments [</w:t>
      </w:r>
      <w:r w:rsidR="00F146DB" w:rsidRPr="00045F85">
        <w:rPr>
          <w:color w:val="auto"/>
        </w:rPr>
        <w:t xml:space="preserve">46, </w:t>
      </w:r>
      <w:r w:rsidR="00B537D1" w:rsidRPr="00045F85">
        <w:rPr>
          <w:color w:val="auto"/>
        </w:rPr>
        <w:t>87, 99</w:t>
      </w:r>
      <w:r w:rsidRPr="00045F85">
        <w:rPr>
          <w:color w:val="auto"/>
        </w:rPr>
        <w:t>]. The QIBA of the RSNA is developing a protocol for quantitative standardization of [</w:t>
      </w:r>
      <w:r w:rsidRPr="00045F85">
        <w:rPr>
          <w:color w:val="auto"/>
          <w:vertAlign w:val="superscript"/>
        </w:rPr>
        <w:t>123</w:t>
      </w:r>
      <w:r w:rsidRPr="00045F85">
        <w:rPr>
          <w:color w:val="auto"/>
        </w:rPr>
        <w:t>I]-FP-CIT SPECT analysis which will detail a validated protocol for imaging centers to apply in order to obtain the high reproducibility [</w:t>
      </w:r>
      <w:r w:rsidR="00B537D1" w:rsidRPr="00045F85">
        <w:rPr>
          <w:color w:val="auto"/>
        </w:rPr>
        <w:t>45</w:t>
      </w:r>
      <w:r w:rsidRPr="00045F85">
        <w:rPr>
          <w:color w:val="auto"/>
        </w:rPr>
        <w:t>].</w:t>
      </w:r>
    </w:p>
    <w:p w14:paraId="3DC61444" w14:textId="77777777" w:rsidR="00122997" w:rsidRPr="00045F85" w:rsidRDefault="00122997" w:rsidP="00267DA0">
      <w:pPr>
        <w:pStyle w:val="Listenabsatz"/>
        <w:numPr>
          <w:ilvl w:val="0"/>
          <w:numId w:val="0"/>
        </w:numPr>
        <w:ind w:left="720"/>
        <w:rPr>
          <w:color w:val="auto"/>
        </w:rPr>
      </w:pPr>
    </w:p>
    <w:p w14:paraId="73043F7B" w14:textId="40921E5E" w:rsidR="00122997" w:rsidRPr="00045F85" w:rsidRDefault="00122997" w:rsidP="00267DA0">
      <w:pPr>
        <w:pStyle w:val="Listenabsatz"/>
        <w:numPr>
          <w:ilvl w:val="0"/>
          <w:numId w:val="0"/>
        </w:numPr>
        <w:ind w:left="720"/>
        <w:rPr>
          <w:color w:val="auto"/>
        </w:rPr>
      </w:pPr>
      <w:r w:rsidRPr="00045F85">
        <w:rPr>
          <w:color w:val="auto"/>
        </w:rPr>
        <w:t>In recent years</w:t>
      </w:r>
      <w:r w:rsidR="000510A5" w:rsidRPr="00045F85">
        <w:rPr>
          <w:color w:val="auto"/>
        </w:rPr>
        <w:t>,</w:t>
      </w:r>
      <w:r w:rsidRPr="00045F85">
        <w:rPr>
          <w:color w:val="auto"/>
        </w:rPr>
        <w:t xml:space="preserve"> two normative database have been provided:</w:t>
      </w:r>
    </w:p>
    <w:p w14:paraId="0504362B" w14:textId="77777777" w:rsidR="00122997" w:rsidRPr="00045F85" w:rsidRDefault="00122997" w:rsidP="00267DA0">
      <w:pPr>
        <w:pStyle w:val="Listenabsatz"/>
        <w:numPr>
          <w:ilvl w:val="0"/>
          <w:numId w:val="0"/>
        </w:numPr>
        <w:ind w:left="720"/>
        <w:rPr>
          <w:color w:val="auto"/>
        </w:rPr>
      </w:pPr>
    </w:p>
    <w:p w14:paraId="0D9EB311" w14:textId="3E702B98" w:rsidR="00122997" w:rsidRPr="00045F85" w:rsidRDefault="00122997" w:rsidP="00267DA0">
      <w:pPr>
        <w:pStyle w:val="Listenabsatz"/>
        <w:numPr>
          <w:ilvl w:val="0"/>
          <w:numId w:val="0"/>
        </w:numPr>
        <w:ind w:left="720"/>
        <w:rPr>
          <w:color w:val="auto"/>
        </w:rPr>
      </w:pPr>
      <w:r w:rsidRPr="00045F85">
        <w:rPr>
          <w:color w:val="auto"/>
        </w:rPr>
        <w:t xml:space="preserve">The ENC-DAT (European Normal Control Database of DaTSCAN) database was developed from 2009. The study </w:t>
      </w:r>
      <w:r w:rsidR="00E375D1" w:rsidRPr="00045F85">
        <w:rPr>
          <w:color w:val="auto"/>
        </w:rPr>
        <w:t xml:space="preserve">was </w:t>
      </w:r>
      <w:r w:rsidRPr="00045F85">
        <w:rPr>
          <w:color w:val="auto"/>
        </w:rPr>
        <w:t xml:space="preserve">promoted by the </w:t>
      </w:r>
      <w:r w:rsidR="000D50CC" w:rsidRPr="00045F85">
        <w:rPr>
          <w:color w:val="auto"/>
        </w:rPr>
        <w:t xml:space="preserve">EANM Neuroimaging Committee, </w:t>
      </w:r>
      <w:r w:rsidR="00917DC6" w:rsidRPr="00045F85">
        <w:rPr>
          <w:color w:val="auto"/>
        </w:rPr>
        <w:t>in the framework of a</w:t>
      </w:r>
      <w:r w:rsidR="000D50CC" w:rsidRPr="00045F85">
        <w:rPr>
          <w:color w:val="auto"/>
        </w:rPr>
        <w:t xml:space="preserve"> cooperative effort among </w:t>
      </w:r>
      <w:r w:rsidR="00917DC6" w:rsidRPr="00045F85">
        <w:rPr>
          <w:color w:val="auto"/>
        </w:rPr>
        <w:t>european</w:t>
      </w:r>
      <w:r w:rsidR="000D50CC" w:rsidRPr="00045F85">
        <w:rPr>
          <w:color w:val="auto"/>
        </w:rPr>
        <w:t xml:space="preserve"> </w:t>
      </w:r>
      <w:r w:rsidR="00917DC6" w:rsidRPr="00045F85">
        <w:rPr>
          <w:color w:val="auto"/>
        </w:rPr>
        <w:t>Nuclear Medicine</w:t>
      </w:r>
      <w:r w:rsidR="000D50CC" w:rsidRPr="00045F85">
        <w:rPr>
          <w:color w:val="auto"/>
        </w:rPr>
        <w:t xml:space="preserve"> centers. </w:t>
      </w:r>
      <w:r w:rsidR="00917DC6" w:rsidRPr="00045F85">
        <w:rPr>
          <w:color w:val="auto"/>
        </w:rPr>
        <w:t>This</w:t>
      </w:r>
      <w:r w:rsidR="000D50CC" w:rsidRPr="00045F85">
        <w:rPr>
          <w:color w:val="auto"/>
        </w:rPr>
        <w:t xml:space="preserve"> multicenter project </w:t>
      </w:r>
      <w:r w:rsidR="00917DC6" w:rsidRPr="00045F85">
        <w:rPr>
          <w:color w:val="auto"/>
        </w:rPr>
        <w:t>aimed</w:t>
      </w:r>
      <w:r w:rsidR="000D50CC" w:rsidRPr="00045F85">
        <w:rPr>
          <w:color w:val="auto"/>
        </w:rPr>
        <w:t xml:space="preserve"> to collect a large number of [</w:t>
      </w:r>
      <w:r w:rsidR="000D50CC" w:rsidRPr="00045F85">
        <w:rPr>
          <w:color w:val="auto"/>
          <w:vertAlign w:val="superscript"/>
        </w:rPr>
        <w:t>123</w:t>
      </w:r>
      <w:r w:rsidR="000D50CC" w:rsidRPr="00045F85">
        <w:rPr>
          <w:color w:val="auto"/>
        </w:rPr>
        <w:t>I]FP-CIT S</w:t>
      </w:r>
      <w:r w:rsidR="003C0651" w:rsidRPr="00045F85">
        <w:rPr>
          <w:color w:val="auto"/>
        </w:rPr>
        <w:t xml:space="preserve">PECT scans of healthy controls </w:t>
      </w:r>
      <w:r w:rsidR="00917DC6" w:rsidRPr="00045F85">
        <w:rPr>
          <w:color w:val="auto"/>
        </w:rPr>
        <w:t xml:space="preserve">thus providing </w:t>
      </w:r>
      <w:r w:rsidR="000D50CC" w:rsidRPr="00045F85">
        <w:rPr>
          <w:color w:val="auto"/>
        </w:rPr>
        <w:t xml:space="preserve"> reference images and values of DAT availability measures </w:t>
      </w:r>
      <w:r w:rsidR="00917DC6" w:rsidRPr="00045F85">
        <w:rPr>
          <w:color w:val="auto"/>
        </w:rPr>
        <w:t>across a wide age range of both genders</w:t>
      </w:r>
      <w:r w:rsidRPr="00045F85">
        <w:rPr>
          <w:color w:val="auto"/>
        </w:rPr>
        <w:t xml:space="preserve">. The final database included SPECT data from 139 healthy controls (74 men, 65 women; age range 20–83 years, mean 53 years) acquired in 13 different </w:t>
      </w:r>
      <w:r w:rsidR="002F0041" w:rsidRPr="00045F85">
        <w:rPr>
          <w:color w:val="auto"/>
        </w:rPr>
        <w:t>centers</w:t>
      </w:r>
      <w:r w:rsidRPr="00045F85">
        <w:rPr>
          <w:color w:val="auto"/>
        </w:rPr>
        <w:t xml:space="preserve"> [</w:t>
      </w:r>
      <w:r w:rsidR="0054417E" w:rsidRPr="00045F85">
        <w:rPr>
          <w:color w:val="auto"/>
        </w:rPr>
        <w:t>100</w:t>
      </w:r>
      <w:r w:rsidRPr="00045F85">
        <w:rPr>
          <w:color w:val="auto"/>
        </w:rPr>
        <w:t>].</w:t>
      </w:r>
    </w:p>
    <w:p w14:paraId="365442A5" w14:textId="77777777" w:rsidR="00122997" w:rsidRPr="00045F85" w:rsidRDefault="00122997" w:rsidP="00267DA0">
      <w:pPr>
        <w:pStyle w:val="Listenabsatz"/>
        <w:numPr>
          <w:ilvl w:val="0"/>
          <w:numId w:val="0"/>
        </w:numPr>
        <w:ind w:left="720"/>
        <w:rPr>
          <w:color w:val="auto"/>
        </w:rPr>
      </w:pPr>
      <w:r w:rsidRPr="00045F85">
        <w:rPr>
          <w:color w:val="auto"/>
        </w:rPr>
        <w:t xml:space="preserve"> </w:t>
      </w:r>
    </w:p>
    <w:p w14:paraId="1C48436F" w14:textId="663A235D" w:rsidR="00122997" w:rsidRPr="00045F85" w:rsidRDefault="00122997" w:rsidP="00267DA0">
      <w:pPr>
        <w:pStyle w:val="Listenabsatz"/>
        <w:numPr>
          <w:ilvl w:val="0"/>
          <w:numId w:val="0"/>
        </w:numPr>
        <w:ind w:left="720"/>
        <w:rPr>
          <w:color w:val="auto"/>
        </w:rPr>
      </w:pPr>
      <w:r w:rsidRPr="00045F85">
        <w:rPr>
          <w:color w:val="auto"/>
        </w:rPr>
        <w:t xml:space="preserve">The second database of healthy controls was collected in the framework </w:t>
      </w:r>
      <w:r w:rsidR="00B603AB" w:rsidRPr="00045F85">
        <w:rPr>
          <w:color w:val="auto"/>
        </w:rPr>
        <w:t xml:space="preserve">of the Parkinson’s Progression Marker Initiative (PPMI) which </w:t>
      </w:r>
      <w:r w:rsidRPr="00045F85">
        <w:rPr>
          <w:color w:val="auto"/>
        </w:rPr>
        <w:t xml:space="preserve">is a multicenter, international, longitudinal study evaluating clinical, biochemical, and imaging measures of PD progression. PPMI </w:t>
      </w:r>
      <w:r w:rsidR="00917DC6" w:rsidRPr="00045F85">
        <w:rPr>
          <w:color w:val="auto"/>
        </w:rPr>
        <w:t xml:space="preserve">aimed to; 1) </w:t>
      </w:r>
      <w:r w:rsidRPr="00045F85">
        <w:rPr>
          <w:color w:val="auto"/>
        </w:rPr>
        <w:t xml:space="preserve">to confirm the presence or absence of a DAT deficit for </w:t>
      </w:r>
      <w:r w:rsidR="00AF669F" w:rsidRPr="00045F85">
        <w:rPr>
          <w:color w:val="auto"/>
        </w:rPr>
        <w:t>PD and healthy volunteers enrolled in the study</w:t>
      </w:r>
      <w:r w:rsidRPr="00045F85">
        <w:rPr>
          <w:color w:val="auto"/>
        </w:rPr>
        <w:t xml:space="preserve"> 2) </w:t>
      </w:r>
      <w:r w:rsidR="00AF669F" w:rsidRPr="00045F85">
        <w:rPr>
          <w:color w:val="auto"/>
        </w:rPr>
        <w:t xml:space="preserve">to aquire DAT SPECT data with </w:t>
      </w:r>
      <w:r w:rsidRPr="00045F85">
        <w:rPr>
          <w:color w:val="auto"/>
        </w:rPr>
        <w:t>rigorous standardized acquisition protocols, and 3)</w:t>
      </w:r>
      <w:r w:rsidR="00AF669F" w:rsidRPr="00045F85">
        <w:rPr>
          <w:color w:val="auto"/>
        </w:rPr>
        <w:t xml:space="preserve"> to process images thorugh a</w:t>
      </w:r>
      <w:r w:rsidRPr="00045F85">
        <w:rPr>
          <w:color w:val="auto"/>
        </w:rPr>
        <w:t xml:space="preserve"> central core lab reconstruction of raw projection data for subsequent uniform analyses to be made available to the investigator community. PPMI includes 423 progressing P</w:t>
      </w:r>
      <w:r w:rsidR="001508E4" w:rsidRPr="00045F85">
        <w:rPr>
          <w:color w:val="auto"/>
        </w:rPr>
        <w:t>arkinson’s patients and 196 age-</w:t>
      </w:r>
      <w:r w:rsidRPr="00045F85">
        <w:rPr>
          <w:color w:val="auto"/>
        </w:rPr>
        <w:t>matched controls studied over 3 to 4 years with serial [</w:t>
      </w:r>
      <w:r w:rsidRPr="00045F85">
        <w:rPr>
          <w:color w:val="auto"/>
          <w:vertAlign w:val="superscript"/>
        </w:rPr>
        <w:t>123</w:t>
      </w:r>
      <w:r w:rsidRPr="00045F85">
        <w:rPr>
          <w:color w:val="auto"/>
        </w:rPr>
        <w:t>I]-FP-CIT SPECT imaging and other clinical, imaging, and fluid biomarkers [</w:t>
      </w:r>
      <w:r w:rsidR="0054417E" w:rsidRPr="00045F85">
        <w:rPr>
          <w:color w:val="auto"/>
        </w:rPr>
        <w:t>101</w:t>
      </w:r>
      <w:r w:rsidRPr="00045F85">
        <w:rPr>
          <w:color w:val="auto"/>
        </w:rPr>
        <w:t xml:space="preserve">]. </w:t>
      </w:r>
    </w:p>
    <w:p w14:paraId="2D2C21C1" w14:textId="77777777" w:rsidR="00122997" w:rsidRPr="00045F85" w:rsidRDefault="00122997" w:rsidP="00267DA0">
      <w:pPr>
        <w:pStyle w:val="Listenabsatz"/>
        <w:numPr>
          <w:ilvl w:val="0"/>
          <w:numId w:val="0"/>
        </w:numPr>
        <w:ind w:left="720"/>
        <w:rPr>
          <w:color w:val="auto"/>
        </w:rPr>
      </w:pPr>
    </w:p>
    <w:p w14:paraId="1B4FABE7" w14:textId="30CACE69" w:rsidR="00122997" w:rsidRPr="00045F85" w:rsidRDefault="00122997" w:rsidP="00267DA0">
      <w:pPr>
        <w:pStyle w:val="Listenabsatz"/>
        <w:numPr>
          <w:ilvl w:val="0"/>
          <w:numId w:val="0"/>
        </w:numPr>
        <w:ind w:left="720"/>
        <w:rPr>
          <w:color w:val="auto"/>
        </w:rPr>
      </w:pPr>
      <w:r w:rsidRPr="00045F85">
        <w:rPr>
          <w:color w:val="auto"/>
        </w:rPr>
        <w:t>Normative data provided by these two multicenter initiatives demonstrated that normal aging is associated with about 5.5-6% signal loss per decade (0.6%/y). Gender had also an effect on SBR in the caudate and putamen (often not considered in the software available for c</w:t>
      </w:r>
      <w:r w:rsidR="001508E4" w:rsidRPr="00045F85">
        <w:rPr>
          <w:color w:val="auto"/>
        </w:rPr>
        <w:t>omparison) [81, 94, 96]. D</w:t>
      </w:r>
      <w:r w:rsidRPr="00045F85">
        <w:rPr>
          <w:color w:val="auto"/>
        </w:rPr>
        <w:t>ependency of DAT on BMI, handedness, circadian rhythm or</w:t>
      </w:r>
      <w:r w:rsidR="0054417E" w:rsidRPr="00045F85">
        <w:rPr>
          <w:color w:val="auto"/>
        </w:rPr>
        <w:t xml:space="preserve"> season </w:t>
      </w:r>
      <w:r w:rsidR="003713A9" w:rsidRPr="00045F85">
        <w:rPr>
          <w:color w:val="auto"/>
        </w:rPr>
        <w:t>were</w:t>
      </w:r>
      <w:r w:rsidR="0054417E" w:rsidRPr="00045F85">
        <w:rPr>
          <w:color w:val="auto"/>
        </w:rPr>
        <w:t xml:space="preserve"> not demonstrated [87</w:t>
      </w:r>
      <w:r w:rsidRPr="00045F85">
        <w:rPr>
          <w:color w:val="auto"/>
        </w:rPr>
        <w:t xml:space="preserve">, </w:t>
      </w:r>
      <w:r w:rsidR="0054417E" w:rsidRPr="00045F85">
        <w:rPr>
          <w:color w:val="auto"/>
        </w:rPr>
        <w:t>100</w:t>
      </w:r>
      <w:r w:rsidRPr="00045F85">
        <w:rPr>
          <w:color w:val="auto"/>
        </w:rPr>
        <w:t xml:space="preserve">, </w:t>
      </w:r>
      <w:r w:rsidR="0054417E" w:rsidRPr="00045F85">
        <w:rPr>
          <w:color w:val="auto"/>
        </w:rPr>
        <w:t>102</w:t>
      </w:r>
      <w:r w:rsidRPr="00045F85">
        <w:rPr>
          <w:color w:val="auto"/>
        </w:rPr>
        <w:t>].</w:t>
      </w:r>
    </w:p>
    <w:p w14:paraId="543503A0" w14:textId="77777777" w:rsidR="00122997" w:rsidRPr="00045F85" w:rsidRDefault="00122997" w:rsidP="00267DA0">
      <w:pPr>
        <w:pStyle w:val="Listenabsatz"/>
        <w:numPr>
          <w:ilvl w:val="0"/>
          <w:numId w:val="0"/>
        </w:numPr>
        <w:ind w:left="720"/>
        <w:rPr>
          <w:color w:val="auto"/>
        </w:rPr>
      </w:pPr>
    </w:p>
    <w:p w14:paraId="6A8EDAD8" w14:textId="086232B8" w:rsidR="00DE5854" w:rsidRPr="00045F85" w:rsidRDefault="00122997" w:rsidP="00267DA0">
      <w:pPr>
        <w:pStyle w:val="Listenabsatz"/>
        <w:numPr>
          <w:ilvl w:val="0"/>
          <w:numId w:val="0"/>
        </w:numPr>
        <w:ind w:left="720"/>
        <w:rPr>
          <w:color w:val="auto"/>
        </w:rPr>
      </w:pPr>
      <w:r w:rsidRPr="00045F85">
        <w:rPr>
          <w:color w:val="auto"/>
        </w:rPr>
        <w:t>SPECT/CT: Very few studies tested the use of CT images acquired on the SPECT/CT system to derive either warping parameters for VOI or for regional SBR assessment</w:t>
      </w:r>
      <w:r w:rsidR="0066265A" w:rsidRPr="00045F85">
        <w:rPr>
          <w:color w:val="auto"/>
        </w:rPr>
        <w:t>,</w:t>
      </w:r>
      <w:r w:rsidRPr="00045F85">
        <w:rPr>
          <w:color w:val="auto"/>
        </w:rPr>
        <w:t xml:space="preserve"> and the anatomical information provided by CT did not demonstrate a relevant impact on diagnostic performance [</w:t>
      </w:r>
      <w:r w:rsidR="0054417E" w:rsidRPr="00045F85">
        <w:rPr>
          <w:color w:val="auto"/>
        </w:rPr>
        <w:t>103</w:t>
      </w:r>
      <w:r w:rsidRPr="00045F85">
        <w:rPr>
          <w:color w:val="auto"/>
        </w:rPr>
        <w:t xml:space="preserve">]. </w:t>
      </w:r>
    </w:p>
    <w:p w14:paraId="30510D14" w14:textId="77777777" w:rsidR="00122997" w:rsidRPr="00045F85" w:rsidRDefault="00122997" w:rsidP="00267DA0">
      <w:pPr>
        <w:pStyle w:val="Listenabsatz"/>
        <w:numPr>
          <w:ilvl w:val="0"/>
          <w:numId w:val="0"/>
        </w:numPr>
        <w:ind w:left="720"/>
        <w:rPr>
          <w:color w:val="auto"/>
        </w:rPr>
      </w:pPr>
    </w:p>
    <w:p w14:paraId="43722289" w14:textId="1FEF2D6A" w:rsidR="00D87A45" w:rsidRPr="00045F85" w:rsidRDefault="00752A69" w:rsidP="00C97AB2">
      <w:pPr>
        <w:pStyle w:val="Listenabsatz"/>
        <w:numPr>
          <w:ilvl w:val="0"/>
          <w:numId w:val="15"/>
        </w:numPr>
        <w:rPr>
          <w:color w:val="auto"/>
        </w:rPr>
      </w:pPr>
      <w:r w:rsidRPr="00045F85">
        <w:rPr>
          <w:color w:val="auto"/>
        </w:rPr>
        <w:t>Longitudinal data</w:t>
      </w:r>
      <w:r w:rsidR="00D87A45" w:rsidRPr="00045F85">
        <w:rPr>
          <w:color w:val="auto"/>
        </w:rPr>
        <w:t xml:space="preserve"> </w:t>
      </w:r>
    </w:p>
    <w:p w14:paraId="5B192A5A" w14:textId="77777777" w:rsidR="00DE5854" w:rsidRPr="00045F85" w:rsidRDefault="00DE5854" w:rsidP="00DE5854">
      <w:pPr>
        <w:rPr>
          <w:rFonts w:cs="Arial"/>
        </w:rPr>
      </w:pPr>
    </w:p>
    <w:p w14:paraId="2337FF2C" w14:textId="77777777" w:rsidR="00137D0C" w:rsidRPr="00045F85" w:rsidRDefault="00DE5854" w:rsidP="00267DA0">
      <w:pPr>
        <w:pStyle w:val="Listenabsatz"/>
        <w:numPr>
          <w:ilvl w:val="0"/>
          <w:numId w:val="0"/>
        </w:numPr>
        <w:ind w:left="720"/>
        <w:rPr>
          <w:color w:val="auto"/>
        </w:rPr>
      </w:pPr>
      <w:r w:rsidRPr="00045F85">
        <w:rPr>
          <w:color w:val="auto"/>
        </w:rPr>
        <w:lastRenderedPageBreak/>
        <w:t>Serial imaging within the individual patient in order to track disease progression by visual or semiquantitative analysis might be clinically useful only once it has been demonstrated that signal size is able to capture the slow prog</w:t>
      </w:r>
      <w:r w:rsidR="00137D0C" w:rsidRPr="00045F85">
        <w:rPr>
          <w:color w:val="auto"/>
        </w:rPr>
        <w:t>ression of the disease process.</w:t>
      </w:r>
    </w:p>
    <w:p w14:paraId="0D9F74FE" w14:textId="77777777" w:rsidR="00137D0C" w:rsidRPr="00045F85" w:rsidRDefault="00137D0C" w:rsidP="00267DA0">
      <w:pPr>
        <w:pStyle w:val="Listenabsatz"/>
        <w:numPr>
          <w:ilvl w:val="0"/>
          <w:numId w:val="0"/>
        </w:numPr>
        <w:ind w:left="720"/>
        <w:rPr>
          <w:color w:val="auto"/>
        </w:rPr>
      </w:pPr>
    </w:p>
    <w:p w14:paraId="45680532" w14:textId="3957DC36" w:rsidR="00DE5854" w:rsidRPr="00045F85" w:rsidRDefault="00137D0C" w:rsidP="00267DA0">
      <w:pPr>
        <w:pStyle w:val="Listenabsatz"/>
        <w:numPr>
          <w:ilvl w:val="0"/>
          <w:numId w:val="0"/>
        </w:numPr>
        <w:ind w:left="720"/>
        <w:rPr>
          <w:color w:val="auto"/>
        </w:rPr>
      </w:pPr>
      <w:r w:rsidRPr="00045F85">
        <w:rPr>
          <w:color w:val="auto"/>
        </w:rPr>
        <w:t xml:space="preserve">Besides providing a healthy subjects database, the PPMI initiative has provided an assessment of within-subject changes of SPECT imaging in a PD patient cohort followed longitudinally over 3-5 years. The aim is to understand the utility of DAT SPECT as a putative biomarker of PD progression after early motor signs of PD appear [104]. </w:t>
      </w:r>
      <w:r w:rsidR="00DE5854" w:rsidRPr="00045F85">
        <w:rPr>
          <w:color w:val="auto"/>
        </w:rPr>
        <w:t>In fact if intraindividual comparison is performed (i.e. baseline vs. follow-up for therapy control or assessment of disease progression)</w:t>
      </w:r>
      <w:r w:rsidRPr="00045F85">
        <w:rPr>
          <w:color w:val="auto"/>
        </w:rPr>
        <w:t>,</w:t>
      </w:r>
      <w:r w:rsidR="00DE5854" w:rsidRPr="00045F85">
        <w:rPr>
          <w:color w:val="auto"/>
        </w:rPr>
        <w:t xml:space="preserve"> more subtle changes might need to be highlighted. </w:t>
      </w:r>
    </w:p>
    <w:p w14:paraId="7C2080DD" w14:textId="77777777" w:rsidR="00267DA0" w:rsidRPr="00045F85" w:rsidRDefault="00267DA0" w:rsidP="00267DA0">
      <w:pPr>
        <w:pStyle w:val="Listenabsatz"/>
        <w:numPr>
          <w:ilvl w:val="0"/>
          <w:numId w:val="0"/>
        </w:numPr>
        <w:ind w:left="720"/>
        <w:rPr>
          <w:color w:val="auto"/>
        </w:rPr>
      </w:pPr>
    </w:p>
    <w:p w14:paraId="6890125A" w14:textId="2CA73FE6" w:rsidR="00DE5854" w:rsidRPr="00045F85" w:rsidRDefault="00DE5854" w:rsidP="00267DA0">
      <w:pPr>
        <w:pStyle w:val="Listenabsatz"/>
        <w:numPr>
          <w:ilvl w:val="0"/>
          <w:numId w:val="0"/>
        </w:numPr>
        <w:ind w:left="720"/>
        <w:rPr>
          <w:rFonts w:cs="Arial"/>
          <w:color w:val="auto"/>
        </w:rPr>
      </w:pPr>
      <w:r w:rsidRPr="00045F85">
        <w:rPr>
          <w:color w:val="auto"/>
        </w:rPr>
        <w:t xml:space="preserve">In the PPMI study, regional SBR were measured in ipsilateral and contralateral caudate, anterior putamen, and posterior putamen at baseline and 1, 2, and 4 years during the follow up of </w:t>
      </w:r>
      <w:r w:rsidR="00C50694" w:rsidRPr="00045F85">
        <w:rPr>
          <w:color w:val="auto"/>
        </w:rPr>
        <w:t>IPD</w:t>
      </w:r>
      <w:r w:rsidR="00596F44" w:rsidRPr="00045F85">
        <w:rPr>
          <w:color w:val="auto"/>
        </w:rPr>
        <w:t xml:space="preserve"> patients. During the 4 years</w:t>
      </w:r>
      <w:r w:rsidR="00182D71" w:rsidRPr="00045F85">
        <w:rPr>
          <w:color w:val="auto"/>
        </w:rPr>
        <w:t>,</w:t>
      </w:r>
      <w:r w:rsidR="00596F44" w:rsidRPr="00045F85">
        <w:rPr>
          <w:color w:val="auto"/>
        </w:rPr>
        <w:t xml:space="preserve"> </w:t>
      </w:r>
      <w:r w:rsidRPr="00045F85">
        <w:rPr>
          <w:color w:val="auto"/>
        </w:rPr>
        <w:t>there was a significant longitudinal change in dopamine transporter binding in all striatal regions [</w:t>
      </w:r>
      <w:r w:rsidR="0054417E" w:rsidRPr="00045F85">
        <w:rPr>
          <w:color w:val="auto"/>
        </w:rPr>
        <w:t>104</w:t>
      </w:r>
      <w:r w:rsidRPr="00045F85">
        <w:rPr>
          <w:color w:val="auto"/>
        </w:rPr>
        <w:t>]. Available analyses seem to suggest that given the size of signal change in an early PD cohort, [</w:t>
      </w:r>
      <w:r w:rsidRPr="00045F85">
        <w:rPr>
          <w:color w:val="auto"/>
          <w:vertAlign w:val="superscript"/>
        </w:rPr>
        <w:t>123</w:t>
      </w:r>
      <w:r w:rsidRPr="00045F85">
        <w:rPr>
          <w:color w:val="auto"/>
        </w:rPr>
        <w:t xml:space="preserve">I]FP-CIT SPECT might be a suitable biomarker of PD progression. </w:t>
      </w:r>
      <w:r w:rsidR="00700BEC" w:rsidRPr="00045F85">
        <w:rPr>
          <w:color w:val="auto"/>
        </w:rPr>
        <w:t>In fact, initial longitudinal data suggest SBR reductions over one year are approximately 20 times the rate of signal loss seen in normal aging [104].</w:t>
      </w:r>
    </w:p>
    <w:p w14:paraId="7DAAE3B9" w14:textId="77777777" w:rsidR="00122997" w:rsidRPr="00045F85" w:rsidRDefault="00122997" w:rsidP="00CB28B5">
      <w:pPr>
        <w:pStyle w:val="Listenabsatz"/>
        <w:numPr>
          <w:ilvl w:val="0"/>
          <w:numId w:val="0"/>
        </w:numPr>
        <w:ind w:left="720"/>
        <w:rPr>
          <w:color w:val="auto"/>
        </w:rPr>
      </w:pPr>
    </w:p>
    <w:p w14:paraId="4E65CE2D" w14:textId="41B666EB" w:rsidR="00D45363" w:rsidRPr="00045F85" w:rsidRDefault="00D13925" w:rsidP="00A74180">
      <w:pPr>
        <w:outlineLvl w:val="0"/>
        <w:rPr>
          <w:rFonts w:cs="Arial"/>
          <w:sz w:val="26"/>
          <w:szCs w:val="26"/>
        </w:rPr>
      </w:pPr>
      <w:r w:rsidRPr="00045F85">
        <w:rPr>
          <w:rFonts w:cs="Arial"/>
          <w:sz w:val="26"/>
          <w:szCs w:val="26"/>
        </w:rPr>
        <w:t>H</w:t>
      </w:r>
      <w:r w:rsidR="00DA444E" w:rsidRPr="00045F85">
        <w:rPr>
          <w:rFonts w:cs="Arial"/>
          <w:sz w:val="26"/>
          <w:szCs w:val="26"/>
        </w:rPr>
        <w:t xml:space="preserve">. </w:t>
      </w:r>
      <w:r w:rsidR="00FB02A9" w:rsidRPr="00045F85">
        <w:rPr>
          <w:rFonts w:cs="Arial"/>
          <w:sz w:val="26"/>
          <w:szCs w:val="26"/>
        </w:rPr>
        <w:t>Multi-center</w:t>
      </w:r>
      <w:r w:rsidR="00D45363" w:rsidRPr="00045F85">
        <w:rPr>
          <w:rFonts w:cs="Arial"/>
          <w:sz w:val="26"/>
          <w:szCs w:val="26"/>
        </w:rPr>
        <w:t xml:space="preserve"> trial </w:t>
      </w:r>
      <w:r w:rsidR="004E59ED" w:rsidRPr="00045F85">
        <w:rPr>
          <w:rFonts w:cs="Arial"/>
          <w:sz w:val="26"/>
          <w:szCs w:val="26"/>
        </w:rPr>
        <w:t>harmonization</w:t>
      </w:r>
    </w:p>
    <w:p w14:paraId="32A375E8" w14:textId="729DA822" w:rsidR="00D45363" w:rsidRPr="00045F85" w:rsidRDefault="00B868E9" w:rsidP="00D45363">
      <w:pPr>
        <w:rPr>
          <w:rFonts w:cs="Arial"/>
        </w:rPr>
      </w:pPr>
      <w:r w:rsidRPr="00045F85">
        <w:rPr>
          <w:rFonts w:cs="Arial"/>
        </w:rPr>
        <w:t>In order to harmoniz</w:t>
      </w:r>
      <w:r w:rsidR="00D45363" w:rsidRPr="00045F85">
        <w:rPr>
          <w:rFonts w:cs="Arial"/>
        </w:rPr>
        <w:t>e im</w:t>
      </w:r>
      <w:r w:rsidR="004E59ED" w:rsidRPr="00045F85">
        <w:rPr>
          <w:rFonts w:cs="Arial"/>
        </w:rPr>
        <w:t>aging equipment sites for multicenter</w:t>
      </w:r>
      <w:r w:rsidR="00D45363" w:rsidRPr="00045F85">
        <w:rPr>
          <w:rFonts w:cs="Arial"/>
        </w:rPr>
        <w:t xml:space="preserve"> research or trials there are several areas t</w:t>
      </w:r>
      <w:r w:rsidR="002E6676" w:rsidRPr="00045F85">
        <w:rPr>
          <w:rFonts w:cs="Arial"/>
        </w:rPr>
        <w:t>o be considered [105</w:t>
      </w:r>
      <w:r w:rsidR="001A139E" w:rsidRPr="00045F85">
        <w:rPr>
          <w:rFonts w:cs="Arial"/>
        </w:rPr>
        <w:t>].</w:t>
      </w:r>
    </w:p>
    <w:p w14:paraId="44A41B4D" w14:textId="3E0F40E0" w:rsidR="00D45363" w:rsidRPr="00045F85" w:rsidRDefault="00D45363" w:rsidP="00C97AB2">
      <w:pPr>
        <w:pStyle w:val="Listenabsatz"/>
        <w:numPr>
          <w:ilvl w:val="0"/>
          <w:numId w:val="29"/>
        </w:numPr>
        <w:rPr>
          <w:color w:val="auto"/>
        </w:rPr>
      </w:pPr>
      <w:r w:rsidRPr="00045F85">
        <w:rPr>
          <w:color w:val="auto"/>
        </w:rPr>
        <w:t>Data acquisition</w:t>
      </w:r>
      <w:r w:rsidR="0082633D" w:rsidRPr="00045F85">
        <w:rPr>
          <w:color w:val="auto"/>
        </w:rPr>
        <w:t>: t</w:t>
      </w:r>
      <w:r w:rsidRPr="00045F85">
        <w:rPr>
          <w:color w:val="auto"/>
        </w:rPr>
        <w:t xml:space="preserve">he acquisition protocol should be </w:t>
      </w:r>
      <w:r w:rsidR="00B868E9" w:rsidRPr="00045F85">
        <w:rPr>
          <w:color w:val="auto"/>
        </w:rPr>
        <w:t>harmonized</w:t>
      </w:r>
      <w:r w:rsidRPr="00045F85">
        <w:rPr>
          <w:color w:val="auto"/>
        </w:rPr>
        <w:t xml:space="preserve"> as much as possible. Collimators, energy windows, pixel sizes and required number of counts are key considerations. During this process, attention should be given to manufacturer specific requirements e.g. energy </w:t>
      </w:r>
      <w:r w:rsidR="00741AC2" w:rsidRPr="00045F85">
        <w:rPr>
          <w:color w:val="auto"/>
        </w:rPr>
        <w:t>windows for scatter correction.</w:t>
      </w:r>
    </w:p>
    <w:p w14:paraId="41CD3AE4" w14:textId="1DC214D5" w:rsidR="00047F4F" w:rsidRPr="00045F85" w:rsidRDefault="00D45363" w:rsidP="00C97AB2">
      <w:pPr>
        <w:pStyle w:val="Listenabsatz"/>
        <w:numPr>
          <w:ilvl w:val="0"/>
          <w:numId w:val="29"/>
        </w:numPr>
        <w:rPr>
          <w:color w:val="auto"/>
        </w:rPr>
      </w:pPr>
      <w:r w:rsidRPr="00045F85">
        <w:rPr>
          <w:color w:val="auto"/>
        </w:rPr>
        <w:t>Image reconstruction and filtering</w:t>
      </w:r>
      <w:r w:rsidR="0082633D" w:rsidRPr="00045F85">
        <w:rPr>
          <w:color w:val="auto"/>
        </w:rPr>
        <w:t xml:space="preserve">: </w:t>
      </w:r>
      <w:r w:rsidRPr="00045F85">
        <w:rPr>
          <w:color w:val="auto"/>
        </w:rPr>
        <w:t xml:space="preserve">The choice of reconstruction and filtering is very important in </w:t>
      </w:r>
      <w:r w:rsidR="007D1929" w:rsidRPr="00045F85">
        <w:rPr>
          <w:color w:val="auto"/>
        </w:rPr>
        <w:t>harmonization</w:t>
      </w:r>
      <w:r w:rsidRPr="00045F85">
        <w:rPr>
          <w:color w:val="auto"/>
        </w:rPr>
        <w:t xml:space="preserve"> particularly given that semiquantification is strongly dependent on the approach taken and the corrections included. Variability in reconstruction algorithms and functionality across </w:t>
      </w:r>
      <w:r w:rsidR="007D1929" w:rsidRPr="00045F85">
        <w:rPr>
          <w:color w:val="auto"/>
        </w:rPr>
        <w:t>centers</w:t>
      </w:r>
      <w:r w:rsidRPr="00045F85">
        <w:rPr>
          <w:color w:val="auto"/>
        </w:rPr>
        <w:t xml:space="preserve"> may drive the choice of reconstruction to an approach that is comparable and achievable by </w:t>
      </w:r>
      <w:r w:rsidR="009F3BDB" w:rsidRPr="00045F85">
        <w:rPr>
          <w:color w:val="auto"/>
        </w:rPr>
        <w:t>centers,</w:t>
      </w:r>
      <w:r w:rsidRPr="00045F85">
        <w:rPr>
          <w:color w:val="auto"/>
        </w:rPr>
        <w:t xml:space="preserve"> i.e. typically one with no corrections. Alternatively, to overcome this variability, reconstruction </w:t>
      </w:r>
      <w:r w:rsidR="009F3BDB" w:rsidRPr="00045F85">
        <w:rPr>
          <w:color w:val="auto"/>
        </w:rPr>
        <w:t xml:space="preserve">at a central </w:t>
      </w:r>
      <w:r w:rsidRPr="00045F85">
        <w:rPr>
          <w:color w:val="auto"/>
        </w:rPr>
        <w:t>core lab using a generic</w:t>
      </w:r>
      <w:r w:rsidR="00741AC2" w:rsidRPr="00045F85">
        <w:rPr>
          <w:color w:val="auto"/>
        </w:rPr>
        <w:t xml:space="preserve"> algorithm could be considered.</w:t>
      </w:r>
    </w:p>
    <w:p w14:paraId="6B991AD7" w14:textId="2DA62A17" w:rsidR="00D45363" w:rsidRPr="00045F85" w:rsidRDefault="00D45363" w:rsidP="00C97AB2">
      <w:pPr>
        <w:pStyle w:val="Listenabsatz"/>
        <w:numPr>
          <w:ilvl w:val="0"/>
          <w:numId w:val="29"/>
        </w:numPr>
        <w:rPr>
          <w:color w:val="auto"/>
        </w:rPr>
      </w:pPr>
      <w:r w:rsidRPr="00045F85">
        <w:rPr>
          <w:color w:val="auto"/>
        </w:rPr>
        <w:t>Comparability of system performance</w:t>
      </w:r>
      <w:r w:rsidR="0082633D" w:rsidRPr="00045F85">
        <w:rPr>
          <w:color w:val="auto"/>
        </w:rPr>
        <w:t>: t</w:t>
      </w:r>
      <w:r w:rsidRPr="00045F85">
        <w:rPr>
          <w:color w:val="auto"/>
        </w:rPr>
        <w:t>he use of an anthropomorphic striatal phantom can help assess comparability of visual and semiquantitative performance across sites/scanners and is</w:t>
      </w:r>
      <w:r w:rsidR="009F3BDB" w:rsidRPr="00045F85">
        <w:rPr>
          <w:color w:val="auto"/>
        </w:rPr>
        <w:t>,</w:t>
      </w:r>
      <w:r w:rsidRPr="00045F85">
        <w:rPr>
          <w:color w:val="auto"/>
        </w:rPr>
        <w:t xml:space="preserve"> therefore</w:t>
      </w:r>
      <w:r w:rsidR="009F3BDB" w:rsidRPr="00045F85">
        <w:rPr>
          <w:color w:val="auto"/>
        </w:rPr>
        <w:t>,</w:t>
      </w:r>
      <w:r w:rsidRPr="00045F85">
        <w:rPr>
          <w:color w:val="auto"/>
        </w:rPr>
        <w:t xml:space="preserve"> recommended </w:t>
      </w:r>
      <w:r w:rsidR="00CB6776" w:rsidRPr="00045F85">
        <w:rPr>
          <w:color w:val="auto"/>
        </w:rPr>
        <w:t>[</w:t>
      </w:r>
      <w:r w:rsidR="00B63E2C" w:rsidRPr="00045F85">
        <w:rPr>
          <w:color w:val="auto"/>
        </w:rPr>
        <w:t>46</w:t>
      </w:r>
      <w:r w:rsidR="002929BD" w:rsidRPr="00045F85">
        <w:rPr>
          <w:color w:val="auto"/>
        </w:rPr>
        <w:t>].</w:t>
      </w:r>
      <w:r w:rsidRPr="00045F85">
        <w:rPr>
          <w:color w:val="auto"/>
        </w:rPr>
        <w:t xml:space="preserve"> One or more data acquisitions with varying filling ratios is suggested to determine the relationship between scanner semiquantitative performance over a range of </w:t>
      </w:r>
      <w:r w:rsidR="002929BD" w:rsidRPr="00045F85">
        <w:rPr>
          <w:color w:val="auto"/>
        </w:rPr>
        <w:t>SBRs.</w:t>
      </w:r>
    </w:p>
    <w:p w14:paraId="6BA79A6C" w14:textId="77777777" w:rsidR="00C34DDA" w:rsidRPr="00045F85" w:rsidRDefault="00C34DDA" w:rsidP="005E0F6E">
      <w:pPr>
        <w:ind w:left="360"/>
      </w:pPr>
    </w:p>
    <w:p w14:paraId="42E1194F" w14:textId="33A91C11" w:rsidR="00114404" w:rsidRPr="00045F85" w:rsidRDefault="00114404" w:rsidP="00144018">
      <w:pPr>
        <w:rPr>
          <w:b/>
          <w:sz w:val="26"/>
          <w:szCs w:val="26"/>
        </w:rPr>
      </w:pPr>
      <w:r w:rsidRPr="00045F85">
        <w:rPr>
          <w:b/>
          <w:sz w:val="26"/>
          <w:szCs w:val="26"/>
        </w:rPr>
        <w:t xml:space="preserve">Presynaptic dopaminergic imaging with PET using </w:t>
      </w:r>
      <w:r w:rsidR="001553FA" w:rsidRPr="00045F85">
        <w:rPr>
          <w:b/>
          <w:sz w:val="26"/>
          <w:szCs w:val="26"/>
        </w:rPr>
        <w:t>[</w:t>
      </w:r>
      <w:r w:rsidRPr="00045F85">
        <w:rPr>
          <w:b/>
          <w:sz w:val="26"/>
          <w:szCs w:val="26"/>
          <w:vertAlign w:val="superscript"/>
        </w:rPr>
        <w:t>18</w:t>
      </w:r>
      <w:r w:rsidRPr="00045F85">
        <w:rPr>
          <w:b/>
          <w:sz w:val="26"/>
          <w:szCs w:val="26"/>
        </w:rPr>
        <w:t>F</w:t>
      </w:r>
      <w:r w:rsidR="001553FA" w:rsidRPr="00045F85">
        <w:rPr>
          <w:b/>
          <w:sz w:val="26"/>
          <w:szCs w:val="26"/>
        </w:rPr>
        <w:t>]</w:t>
      </w:r>
      <w:r w:rsidR="001F2077" w:rsidRPr="00045F85">
        <w:rPr>
          <w:b/>
          <w:sz w:val="26"/>
          <w:szCs w:val="26"/>
        </w:rPr>
        <w:t>fluorodopa</w:t>
      </w:r>
    </w:p>
    <w:p w14:paraId="6ED9C706" w14:textId="34093780" w:rsidR="00C34DDA" w:rsidRPr="00045F85" w:rsidRDefault="00C34DDA" w:rsidP="009D6B35">
      <w:pPr>
        <w:pStyle w:val="berschrift2"/>
        <w:numPr>
          <w:ilvl w:val="0"/>
          <w:numId w:val="30"/>
        </w:numPr>
        <w:rPr>
          <w:color w:val="auto"/>
        </w:rPr>
      </w:pPr>
      <w:r w:rsidRPr="00045F85">
        <w:rPr>
          <w:color w:val="auto"/>
        </w:rPr>
        <w:t>Preparation of the radiopharmaceuticals</w:t>
      </w:r>
    </w:p>
    <w:p w14:paraId="33B525EB" w14:textId="76C82368" w:rsidR="00284F45" w:rsidRPr="00045F85" w:rsidRDefault="001C1BEE" w:rsidP="00284F45">
      <w:pPr>
        <w:spacing w:after="0"/>
        <w:ind w:left="708"/>
        <w:rPr>
          <w:rFonts w:cs="Arial"/>
        </w:rPr>
      </w:pPr>
      <w:r w:rsidRPr="00045F85">
        <w:rPr>
          <w:rFonts w:cs="Arial"/>
        </w:rPr>
        <w:t>[</w:t>
      </w:r>
      <w:r w:rsidRPr="00045F85">
        <w:rPr>
          <w:rFonts w:cs="Arial"/>
          <w:vertAlign w:val="superscript"/>
        </w:rPr>
        <w:t>18</w:t>
      </w:r>
      <w:r w:rsidRPr="00045F85">
        <w:rPr>
          <w:rFonts w:cs="Arial"/>
        </w:rPr>
        <w:t xml:space="preserve">F]fluorodopa as all radiopharmaceuticals </w:t>
      </w:r>
      <w:r w:rsidR="00284F45" w:rsidRPr="00045F85">
        <w:rPr>
          <w:rFonts w:cs="Arial"/>
        </w:rPr>
        <w:t xml:space="preserve">must be produced by qualified personnel according to </w:t>
      </w:r>
      <w:r w:rsidR="001553FA" w:rsidRPr="00045F85">
        <w:rPr>
          <w:rFonts w:cs="Arial"/>
        </w:rPr>
        <w:t>c</w:t>
      </w:r>
      <w:r w:rsidR="00284F45" w:rsidRPr="00045F85">
        <w:rPr>
          <w:rFonts w:cs="Arial"/>
        </w:rPr>
        <w:t>GMP</w:t>
      </w:r>
      <w:r w:rsidR="001553FA" w:rsidRPr="00045F85">
        <w:rPr>
          <w:rFonts w:cs="Arial"/>
        </w:rPr>
        <w:t>, or using GMP-</w:t>
      </w:r>
      <w:r w:rsidR="00284F45" w:rsidRPr="00045F85">
        <w:rPr>
          <w:rFonts w:cs="Arial"/>
        </w:rPr>
        <w:t xml:space="preserve">compliant methods that conform to regulatory requirements. </w:t>
      </w:r>
      <w:r w:rsidR="00CB28B5" w:rsidRPr="00045F85">
        <w:rPr>
          <w:rFonts w:cs="Arial"/>
        </w:rPr>
        <w:t>The</w:t>
      </w:r>
      <w:r w:rsidR="001553FA" w:rsidRPr="00045F85">
        <w:rPr>
          <w:rFonts w:cs="Arial"/>
        </w:rPr>
        <w:t xml:space="preserve"> q</w:t>
      </w:r>
      <w:r w:rsidR="00284F45" w:rsidRPr="00045F85">
        <w:rPr>
          <w:rFonts w:cs="Arial"/>
        </w:rPr>
        <w:t>uality control is carried out by the manufacturer prior t</w:t>
      </w:r>
      <w:r w:rsidR="00CB28B5" w:rsidRPr="00045F85">
        <w:rPr>
          <w:rFonts w:cs="Arial"/>
        </w:rPr>
        <w:t>o delivery of the final product when the radiopharmaceutical is delivered ready to use.</w:t>
      </w:r>
    </w:p>
    <w:p w14:paraId="477C8236" w14:textId="77777777" w:rsidR="006B55E8" w:rsidRPr="00045F85" w:rsidRDefault="006B55E8" w:rsidP="00CB28B5">
      <w:pPr>
        <w:pStyle w:val="Listenabsatz"/>
        <w:numPr>
          <w:ilvl w:val="0"/>
          <w:numId w:val="0"/>
        </w:numPr>
        <w:ind w:left="720"/>
        <w:rPr>
          <w:color w:val="auto"/>
        </w:rPr>
      </w:pPr>
    </w:p>
    <w:p w14:paraId="0E9C234B" w14:textId="785771F1" w:rsidR="00C34DDA" w:rsidRPr="00045F85" w:rsidRDefault="00C34DDA" w:rsidP="00C97AB2">
      <w:pPr>
        <w:pStyle w:val="Listenabsatz"/>
        <w:numPr>
          <w:ilvl w:val="0"/>
          <w:numId w:val="30"/>
        </w:numPr>
        <w:rPr>
          <w:color w:val="auto"/>
        </w:rPr>
      </w:pPr>
      <w:r w:rsidRPr="00045F85">
        <w:rPr>
          <w:color w:val="auto"/>
        </w:rPr>
        <w:t>Patient preparation and precautions</w:t>
      </w:r>
    </w:p>
    <w:p w14:paraId="7B44896E" w14:textId="77777777" w:rsidR="00B947B3" w:rsidRPr="00045F85" w:rsidRDefault="00B947B3" w:rsidP="00CB28B5">
      <w:pPr>
        <w:pStyle w:val="Listenabsatz"/>
        <w:numPr>
          <w:ilvl w:val="0"/>
          <w:numId w:val="0"/>
        </w:numPr>
        <w:ind w:left="720"/>
        <w:rPr>
          <w:color w:val="auto"/>
        </w:rPr>
      </w:pPr>
    </w:p>
    <w:p w14:paraId="5BD7F6A7" w14:textId="3FFD7FCD" w:rsidR="00284F45" w:rsidRPr="00045F85" w:rsidRDefault="00C34DDA" w:rsidP="00FF1F7A">
      <w:pPr>
        <w:rPr>
          <w:rFonts w:cs="Arial"/>
          <w:i/>
        </w:rPr>
      </w:pPr>
      <w:r w:rsidRPr="00045F85">
        <w:rPr>
          <w:rFonts w:cs="Arial"/>
          <w:i/>
        </w:rPr>
        <w:t>Prearrival</w:t>
      </w:r>
      <w:r w:rsidR="00B4648A" w:rsidRPr="00045F85">
        <w:rPr>
          <w:rFonts w:cs="Arial"/>
          <w:i/>
        </w:rPr>
        <w:t xml:space="preserve"> </w:t>
      </w:r>
    </w:p>
    <w:p w14:paraId="6BD3D7F6" w14:textId="193C86C4" w:rsidR="00FF1F7A" w:rsidRPr="00045F85" w:rsidRDefault="00444966" w:rsidP="00C97AB2">
      <w:pPr>
        <w:pStyle w:val="Listenabsatz"/>
        <w:numPr>
          <w:ilvl w:val="0"/>
          <w:numId w:val="5"/>
        </w:numPr>
        <w:rPr>
          <w:color w:val="auto"/>
          <w:lang w:eastAsia="nl-NL"/>
        </w:rPr>
      </w:pPr>
      <w:r w:rsidRPr="00045F85">
        <w:rPr>
          <w:color w:val="auto"/>
          <w:lang w:eastAsia="nl-NL"/>
        </w:rPr>
        <w:t>Anti-p</w:t>
      </w:r>
      <w:r w:rsidR="00FF1F7A" w:rsidRPr="00045F85">
        <w:rPr>
          <w:color w:val="auto"/>
          <w:lang w:eastAsia="nl-NL"/>
        </w:rPr>
        <w:t>arkinsonian drugs (L-dihydroxyphenylalanine (L-DOPA), dopamine agonists, monoamine oxidase B inhibitors, N-methyl-D-aspartate receptor blockers, and amantadine) do not significantly interfere with visual interpretation. However a discontinuation of L-DOPA by at least 12 hours should be considered as it has been recommended by manufacturers and applied in published studies to improve image quality</w:t>
      </w:r>
      <w:r w:rsidR="00907E2F" w:rsidRPr="00045F85">
        <w:rPr>
          <w:color w:val="auto"/>
          <w:lang w:eastAsia="nl-NL"/>
        </w:rPr>
        <w:t xml:space="preserve"> (although it should not interfere visual interpretation significantly)</w:t>
      </w:r>
      <w:r w:rsidR="00FF1F7A" w:rsidRPr="00045F85">
        <w:rPr>
          <w:color w:val="auto"/>
          <w:lang w:eastAsia="nl-NL"/>
        </w:rPr>
        <w:t>. Neuroleptics have a limited effect on [</w:t>
      </w:r>
      <w:r w:rsidR="00D84CB4" w:rsidRPr="00045F85">
        <w:rPr>
          <w:rFonts w:cs="Arial"/>
          <w:color w:val="auto"/>
          <w:vertAlign w:val="superscript"/>
        </w:rPr>
        <w:t>18</w:t>
      </w:r>
      <w:r w:rsidR="00D84CB4" w:rsidRPr="00045F85">
        <w:rPr>
          <w:rFonts w:cs="Arial"/>
          <w:color w:val="auto"/>
        </w:rPr>
        <w:t>F</w:t>
      </w:r>
      <w:r w:rsidR="00FF1F7A" w:rsidRPr="00045F85">
        <w:rPr>
          <w:color w:val="auto"/>
          <w:lang w:eastAsia="nl-NL"/>
        </w:rPr>
        <w:t xml:space="preserve">]fluorodopa kinetics and do </w:t>
      </w:r>
      <w:r w:rsidR="00CB6776" w:rsidRPr="00045F85">
        <w:rPr>
          <w:color w:val="auto"/>
          <w:lang w:eastAsia="nl-NL"/>
        </w:rPr>
        <w:t>not need to be discontinued [106</w:t>
      </w:r>
      <w:r w:rsidR="00FF1F7A" w:rsidRPr="00045F85">
        <w:rPr>
          <w:color w:val="auto"/>
          <w:lang w:eastAsia="nl-NL"/>
        </w:rPr>
        <w:t>].</w:t>
      </w:r>
    </w:p>
    <w:p w14:paraId="592E6107" w14:textId="77777777" w:rsidR="00FF1F7A" w:rsidRPr="00045F85" w:rsidRDefault="00FF1F7A" w:rsidP="005E0F6E">
      <w:pPr>
        <w:pStyle w:val="Listenabsatz"/>
        <w:numPr>
          <w:ilvl w:val="0"/>
          <w:numId w:val="0"/>
        </w:numPr>
        <w:ind w:left="720"/>
        <w:rPr>
          <w:color w:val="auto"/>
          <w:lang w:eastAsia="nl-NL"/>
        </w:rPr>
      </w:pPr>
    </w:p>
    <w:p w14:paraId="31F428FF" w14:textId="55F402D8" w:rsidR="00C34DDA" w:rsidRPr="00045F85" w:rsidRDefault="00284F45" w:rsidP="00C97AB2">
      <w:pPr>
        <w:pStyle w:val="Listenabsatz"/>
        <w:numPr>
          <w:ilvl w:val="0"/>
          <w:numId w:val="5"/>
        </w:numPr>
        <w:rPr>
          <w:color w:val="auto"/>
          <w:lang w:eastAsia="nl-NL"/>
        </w:rPr>
      </w:pPr>
      <w:r w:rsidRPr="00045F85">
        <w:rPr>
          <w:color w:val="auto"/>
          <w:lang w:eastAsia="nl-NL"/>
        </w:rPr>
        <w:t xml:space="preserve">Food intake affects </w:t>
      </w:r>
      <w:r w:rsidR="001F2077" w:rsidRPr="00045F85">
        <w:rPr>
          <w:color w:val="auto"/>
        </w:rPr>
        <w:t>[</w:t>
      </w:r>
      <w:r w:rsidR="001F2077" w:rsidRPr="00045F85">
        <w:rPr>
          <w:color w:val="auto"/>
          <w:vertAlign w:val="superscript"/>
        </w:rPr>
        <w:t>18</w:t>
      </w:r>
      <w:r w:rsidR="001F2077" w:rsidRPr="00045F85">
        <w:rPr>
          <w:color w:val="auto"/>
        </w:rPr>
        <w:t xml:space="preserve">F]fluorodopa </w:t>
      </w:r>
      <w:r w:rsidR="00C34DDA" w:rsidRPr="00045F85">
        <w:rPr>
          <w:color w:val="auto"/>
          <w:lang w:eastAsia="nl-NL"/>
        </w:rPr>
        <w:t>kinetics</w:t>
      </w:r>
      <w:r w:rsidR="001B6814" w:rsidRPr="00045F85">
        <w:rPr>
          <w:color w:val="auto"/>
          <w:lang w:eastAsia="nl-NL"/>
        </w:rPr>
        <w:t>,</w:t>
      </w:r>
      <w:r w:rsidR="00C34DDA" w:rsidRPr="00045F85">
        <w:rPr>
          <w:color w:val="auto"/>
          <w:lang w:eastAsia="nl-NL"/>
        </w:rPr>
        <w:t xml:space="preserve"> since dietary large ne</w:t>
      </w:r>
      <w:r w:rsidR="000D5C7B" w:rsidRPr="00045F85">
        <w:rPr>
          <w:color w:val="auto"/>
          <w:lang w:eastAsia="nl-NL"/>
        </w:rPr>
        <w:t xml:space="preserve">utral amino acids compete with </w:t>
      </w:r>
      <w:r w:rsidR="001F2077" w:rsidRPr="00045F85">
        <w:rPr>
          <w:color w:val="auto"/>
        </w:rPr>
        <w:t>[</w:t>
      </w:r>
      <w:r w:rsidR="001F2077" w:rsidRPr="00045F85">
        <w:rPr>
          <w:color w:val="auto"/>
          <w:vertAlign w:val="superscript"/>
        </w:rPr>
        <w:t>18</w:t>
      </w:r>
      <w:r w:rsidR="001F2077" w:rsidRPr="00045F85">
        <w:rPr>
          <w:color w:val="auto"/>
        </w:rPr>
        <w:t xml:space="preserve">F]fluorodopa </w:t>
      </w:r>
      <w:r w:rsidR="00C34DDA" w:rsidRPr="00045F85">
        <w:rPr>
          <w:color w:val="auto"/>
          <w:lang w:eastAsia="nl-NL"/>
        </w:rPr>
        <w:t>for transfer by a common carrier through the blood b</w:t>
      </w:r>
      <w:r w:rsidR="00F94151" w:rsidRPr="00045F85">
        <w:rPr>
          <w:color w:val="auto"/>
          <w:lang w:eastAsia="nl-NL"/>
        </w:rPr>
        <w:t>rain barrier [</w:t>
      </w:r>
      <w:r w:rsidR="00CB6776" w:rsidRPr="00045F85">
        <w:rPr>
          <w:color w:val="auto"/>
          <w:lang w:eastAsia="nl-NL"/>
        </w:rPr>
        <w:t>107</w:t>
      </w:r>
      <w:r w:rsidR="00F94151" w:rsidRPr="00045F85">
        <w:rPr>
          <w:color w:val="auto"/>
          <w:lang w:eastAsia="nl-NL"/>
        </w:rPr>
        <w:t>]</w:t>
      </w:r>
      <w:r w:rsidR="00C34DDA" w:rsidRPr="00045F85">
        <w:rPr>
          <w:color w:val="auto"/>
          <w:lang w:eastAsia="nl-NL"/>
        </w:rPr>
        <w:t xml:space="preserve">. Therefore, it is recommended that patients should not </w:t>
      </w:r>
      <w:r w:rsidR="001525CD" w:rsidRPr="00045F85">
        <w:rPr>
          <w:color w:val="auto"/>
          <w:lang w:eastAsia="nl-NL"/>
        </w:rPr>
        <w:t>in</w:t>
      </w:r>
      <w:r w:rsidR="00C34DDA" w:rsidRPr="00045F85">
        <w:rPr>
          <w:color w:val="auto"/>
          <w:lang w:eastAsia="nl-NL"/>
        </w:rPr>
        <w:t xml:space="preserve">take any amino-acid containing </w:t>
      </w:r>
      <w:r w:rsidR="000427A9" w:rsidRPr="00045F85">
        <w:rPr>
          <w:color w:val="auto"/>
          <w:lang w:eastAsia="nl-NL"/>
        </w:rPr>
        <w:t xml:space="preserve">foods </w:t>
      </w:r>
      <w:r w:rsidR="00F41734" w:rsidRPr="00045F85">
        <w:rPr>
          <w:color w:val="auto"/>
          <w:lang w:eastAsia="nl-NL"/>
        </w:rPr>
        <w:t>4</w:t>
      </w:r>
      <w:r w:rsidR="000427A9" w:rsidRPr="00045F85">
        <w:rPr>
          <w:color w:val="auto"/>
          <w:lang w:eastAsia="nl-NL"/>
        </w:rPr>
        <w:t xml:space="preserve"> h</w:t>
      </w:r>
      <w:r w:rsidR="00564BEE" w:rsidRPr="00045F85">
        <w:rPr>
          <w:color w:val="auto"/>
          <w:lang w:eastAsia="nl-NL"/>
        </w:rPr>
        <w:t xml:space="preserve"> </w:t>
      </w:r>
      <w:r w:rsidR="00C34DDA" w:rsidRPr="00045F85">
        <w:rPr>
          <w:color w:val="auto"/>
          <w:lang w:eastAsia="nl-NL"/>
        </w:rPr>
        <w:t xml:space="preserve">prior to the procedure. </w:t>
      </w:r>
    </w:p>
    <w:p w14:paraId="265B6C61" w14:textId="1D412F83" w:rsidR="00220EB6" w:rsidRPr="00045F85" w:rsidRDefault="00220EB6" w:rsidP="00A65138">
      <w:pPr>
        <w:numPr>
          <w:ilvl w:val="0"/>
          <w:numId w:val="5"/>
        </w:numPr>
        <w:autoSpaceDE w:val="0"/>
        <w:autoSpaceDN w:val="0"/>
        <w:adjustRightInd w:val="0"/>
        <w:spacing w:after="0"/>
        <w:jc w:val="left"/>
        <w:rPr>
          <w:rFonts w:cs="Arial"/>
          <w:lang w:eastAsia="nl-NL"/>
        </w:rPr>
      </w:pPr>
      <w:r w:rsidRPr="00045F85">
        <w:rPr>
          <w:rFonts w:cs="Arial"/>
          <w:lang w:eastAsia="nl-NL"/>
        </w:rPr>
        <w:t xml:space="preserve">Smoking probably does not interfere significantly with </w:t>
      </w:r>
      <w:r w:rsidR="001553FA" w:rsidRPr="00045F85">
        <w:rPr>
          <w:rFonts w:cs="Arial"/>
          <w:lang w:eastAsia="nl-NL"/>
        </w:rPr>
        <w:t xml:space="preserve">fluorodopa </w:t>
      </w:r>
      <w:r w:rsidRPr="00045F85">
        <w:rPr>
          <w:rFonts w:cs="Arial"/>
          <w:lang w:eastAsia="nl-NL"/>
        </w:rPr>
        <w:t>kinetics</w:t>
      </w:r>
      <w:r w:rsidR="00F41734" w:rsidRPr="00045F85">
        <w:rPr>
          <w:rFonts w:cs="Arial"/>
          <w:lang w:eastAsia="nl-NL"/>
        </w:rPr>
        <w:t xml:space="preserve"> (although </w:t>
      </w:r>
      <w:r w:rsidR="00F41734" w:rsidRPr="00045F85">
        <w:rPr>
          <w:rFonts w:cs="Arial"/>
        </w:rPr>
        <w:t>dopamine synthesis capacity seems to be increased in heavy smokers)</w:t>
      </w:r>
      <w:r w:rsidR="00CB6776" w:rsidRPr="00045F85">
        <w:rPr>
          <w:rFonts w:cs="Arial"/>
        </w:rPr>
        <w:t xml:space="preserve"> [108</w:t>
      </w:r>
      <w:r w:rsidR="006F4FEC" w:rsidRPr="00045F85">
        <w:rPr>
          <w:rFonts w:cs="Arial"/>
        </w:rPr>
        <w:t>].</w:t>
      </w:r>
    </w:p>
    <w:p w14:paraId="5FAC9DBE" w14:textId="77777777" w:rsidR="001A53EA" w:rsidRPr="00045F85" w:rsidRDefault="001A53EA" w:rsidP="00A65138">
      <w:pPr>
        <w:numPr>
          <w:ilvl w:val="0"/>
          <w:numId w:val="5"/>
        </w:numPr>
        <w:autoSpaceDE w:val="0"/>
        <w:autoSpaceDN w:val="0"/>
        <w:adjustRightInd w:val="0"/>
        <w:spacing w:after="0"/>
        <w:jc w:val="left"/>
        <w:rPr>
          <w:rFonts w:cs="Arial"/>
          <w:lang w:eastAsia="nl-NL"/>
        </w:rPr>
      </w:pPr>
      <w:r w:rsidRPr="00045F85">
        <w:rPr>
          <w:rFonts w:cs="Arial"/>
          <w:lang w:eastAsia="nl-NL"/>
        </w:rPr>
        <w:t>Recent use of recreational drugs that directly act on the dopaminergic system (cocaine, amphetamine) should be noted.</w:t>
      </w:r>
    </w:p>
    <w:p w14:paraId="3FFC3863" w14:textId="77777777" w:rsidR="00C34DDA" w:rsidRPr="00045F85" w:rsidRDefault="00C34DDA" w:rsidP="00C34DDA">
      <w:pPr>
        <w:autoSpaceDE w:val="0"/>
        <w:autoSpaceDN w:val="0"/>
        <w:adjustRightInd w:val="0"/>
        <w:spacing w:after="0"/>
        <w:ind w:left="720"/>
        <w:jc w:val="left"/>
        <w:rPr>
          <w:rFonts w:cs="Arial"/>
          <w:lang w:eastAsia="nl-NL"/>
        </w:rPr>
      </w:pPr>
    </w:p>
    <w:p w14:paraId="4A0BF90B" w14:textId="2E0B1B3A" w:rsidR="00C34DDA" w:rsidRPr="00045F85" w:rsidRDefault="008E43D0" w:rsidP="00C34DDA">
      <w:pPr>
        <w:rPr>
          <w:rFonts w:cs="Arial"/>
          <w:i/>
        </w:rPr>
      </w:pPr>
      <w:r w:rsidRPr="00045F85">
        <w:rPr>
          <w:rFonts w:cs="Arial"/>
          <w:i/>
        </w:rPr>
        <w:t>Pre</w:t>
      </w:r>
      <w:r w:rsidR="00C34DDA" w:rsidRPr="00045F85">
        <w:rPr>
          <w:rFonts w:cs="Arial"/>
          <w:i/>
        </w:rPr>
        <w:t>injection</w:t>
      </w:r>
    </w:p>
    <w:p w14:paraId="0FBA7C5E" w14:textId="0EBA3B62" w:rsidR="00776CCE" w:rsidRPr="00045F85" w:rsidRDefault="00776CCE" w:rsidP="00C97AB2">
      <w:pPr>
        <w:pStyle w:val="Listenabsatz"/>
        <w:numPr>
          <w:ilvl w:val="0"/>
          <w:numId w:val="18"/>
        </w:numPr>
        <w:rPr>
          <w:color w:val="auto"/>
          <w:lang w:eastAsia="nl-NL"/>
        </w:rPr>
      </w:pPr>
      <w:r w:rsidRPr="00045F85">
        <w:rPr>
          <w:color w:val="auto"/>
          <w:lang w:eastAsia="nl-NL"/>
        </w:rPr>
        <w:t xml:space="preserve">Prehydration is important to reduce the radiation </w:t>
      </w:r>
      <w:r w:rsidR="003226BB" w:rsidRPr="00045F85">
        <w:rPr>
          <w:color w:val="auto"/>
          <w:lang w:eastAsia="nl-NL"/>
        </w:rPr>
        <w:t>exposure</w:t>
      </w:r>
      <w:r w:rsidRPr="00045F85">
        <w:rPr>
          <w:color w:val="auto"/>
          <w:lang w:eastAsia="nl-NL"/>
        </w:rPr>
        <w:t xml:space="preserve"> of [</w:t>
      </w:r>
      <w:r w:rsidR="00D84CB4" w:rsidRPr="00045F85">
        <w:rPr>
          <w:rFonts w:cs="Arial"/>
          <w:color w:val="auto"/>
          <w:vertAlign w:val="superscript"/>
        </w:rPr>
        <w:t>18</w:t>
      </w:r>
      <w:r w:rsidR="00D84CB4" w:rsidRPr="00045F85">
        <w:rPr>
          <w:rFonts w:cs="Arial"/>
          <w:color w:val="auto"/>
        </w:rPr>
        <w:t>F</w:t>
      </w:r>
      <w:r w:rsidRPr="00045F85">
        <w:rPr>
          <w:color w:val="auto"/>
          <w:lang w:eastAsia="nl-NL"/>
        </w:rPr>
        <w:t xml:space="preserve">]fluorodopa by stimulating bladder voiding. Patients should be encouraged to drink sufficient amounts </w:t>
      </w:r>
      <w:r w:rsidR="00C15AAF" w:rsidRPr="00045F85">
        <w:rPr>
          <w:color w:val="auto"/>
          <w:lang w:eastAsia="nl-NL"/>
        </w:rPr>
        <w:t xml:space="preserve">of water </w:t>
      </w:r>
      <w:r w:rsidRPr="00045F85">
        <w:rPr>
          <w:color w:val="auto"/>
          <w:lang w:eastAsia="nl-NL"/>
        </w:rPr>
        <w:t>and to empty their bladder prior to</w:t>
      </w:r>
      <w:r w:rsidR="00C15AAF" w:rsidRPr="00045F85">
        <w:rPr>
          <w:color w:val="auto"/>
          <w:lang w:eastAsia="nl-NL"/>
        </w:rPr>
        <w:t xml:space="preserve"> and after the PET examination</w:t>
      </w:r>
      <w:r w:rsidRPr="00045F85">
        <w:rPr>
          <w:color w:val="auto"/>
          <w:lang w:eastAsia="nl-NL"/>
        </w:rPr>
        <w:t>.</w:t>
      </w:r>
    </w:p>
    <w:p w14:paraId="13AB2159" w14:textId="77777777" w:rsidR="00776CCE" w:rsidRPr="00045F85" w:rsidRDefault="00776CCE" w:rsidP="005E0F6E">
      <w:pPr>
        <w:pStyle w:val="Listenabsatz"/>
        <w:numPr>
          <w:ilvl w:val="0"/>
          <w:numId w:val="0"/>
        </w:numPr>
        <w:ind w:left="720"/>
        <w:rPr>
          <w:color w:val="auto"/>
          <w:lang w:eastAsia="nl-NL"/>
        </w:rPr>
      </w:pPr>
    </w:p>
    <w:p w14:paraId="0041E2BE" w14:textId="11B226B1" w:rsidR="00776CCE" w:rsidRPr="00045F85" w:rsidRDefault="00776CCE" w:rsidP="00C97AB2">
      <w:pPr>
        <w:pStyle w:val="Listenabsatz"/>
        <w:numPr>
          <w:ilvl w:val="0"/>
          <w:numId w:val="18"/>
        </w:numPr>
        <w:rPr>
          <w:color w:val="auto"/>
          <w:lang w:eastAsia="nl-NL"/>
        </w:rPr>
      </w:pPr>
      <w:r w:rsidRPr="00045F85">
        <w:rPr>
          <w:color w:val="auto"/>
          <w:lang w:eastAsia="nl-NL"/>
        </w:rPr>
        <w:t>Pretreatment with the peripheral dopa decarboxylase inhibitor carbidopa (150mg or 2mg/kg up to 150mg, orally) or catechol-O-methyltransferase (COMT) inhibitor entacapone (200 mg, orally) 60-90 minutes prior to [</w:t>
      </w:r>
      <w:r w:rsidR="00D84CB4" w:rsidRPr="00045F85">
        <w:rPr>
          <w:rFonts w:cs="Arial"/>
          <w:color w:val="auto"/>
          <w:vertAlign w:val="superscript"/>
        </w:rPr>
        <w:t>18</w:t>
      </w:r>
      <w:r w:rsidR="00D84CB4" w:rsidRPr="00045F85">
        <w:rPr>
          <w:rFonts w:cs="Arial"/>
          <w:color w:val="auto"/>
        </w:rPr>
        <w:t>F</w:t>
      </w:r>
      <w:r w:rsidRPr="00045F85">
        <w:rPr>
          <w:color w:val="auto"/>
          <w:lang w:eastAsia="nl-NL"/>
        </w:rPr>
        <w:t xml:space="preserve">]fluorodopa  injection is a common practice that increases the availability of DOPA to the brain and reduces </w:t>
      </w:r>
      <w:r w:rsidR="00ED6C7C" w:rsidRPr="00045F85">
        <w:rPr>
          <w:color w:val="auto"/>
          <w:lang w:eastAsia="nl-NL"/>
        </w:rPr>
        <w:t>absorbed dose to the</w:t>
      </w:r>
      <w:r w:rsidRPr="00045F85">
        <w:rPr>
          <w:color w:val="auto"/>
          <w:lang w:eastAsia="nl-NL"/>
        </w:rPr>
        <w:t xml:space="preserve"> bladder and kidneys [</w:t>
      </w:r>
      <w:r w:rsidR="00CB6776" w:rsidRPr="00045F85">
        <w:rPr>
          <w:color w:val="auto"/>
          <w:lang w:eastAsia="nl-NL"/>
        </w:rPr>
        <w:t>109-111</w:t>
      </w:r>
      <w:r w:rsidRPr="00045F85">
        <w:rPr>
          <w:color w:val="auto"/>
          <w:lang w:eastAsia="nl-NL"/>
        </w:rPr>
        <w:t>].</w:t>
      </w:r>
    </w:p>
    <w:p w14:paraId="3B929AAE" w14:textId="77777777" w:rsidR="00957D3B" w:rsidRPr="00045F85" w:rsidRDefault="00957D3B" w:rsidP="00957D3B">
      <w:pPr>
        <w:spacing w:after="0"/>
        <w:rPr>
          <w:rFonts w:cs="Arial"/>
          <w:highlight w:val="magenta"/>
        </w:rPr>
      </w:pPr>
    </w:p>
    <w:p w14:paraId="0244D430" w14:textId="783A4020" w:rsidR="00957D3B" w:rsidRPr="00045F85" w:rsidRDefault="00561053" w:rsidP="009D6B35">
      <w:pPr>
        <w:pStyle w:val="berschrift2"/>
        <w:numPr>
          <w:ilvl w:val="0"/>
          <w:numId w:val="30"/>
        </w:numPr>
        <w:rPr>
          <w:color w:val="auto"/>
        </w:rPr>
      </w:pPr>
      <w:r w:rsidRPr="00045F85">
        <w:rPr>
          <w:color w:val="auto"/>
        </w:rPr>
        <w:lastRenderedPageBreak/>
        <w:t>Injection</w:t>
      </w:r>
    </w:p>
    <w:p w14:paraId="2C654CF0" w14:textId="770701B5" w:rsidR="00F67506" w:rsidRPr="00045F85" w:rsidRDefault="00B45284" w:rsidP="005E0F6E">
      <w:pPr>
        <w:pStyle w:val="Listenabsatz"/>
        <w:numPr>
          <w:ilvl w:val="0"/>
          <w:numId w:val="0"/>
        </w:numPr>
        <w:ind w:left="720"/>
        <w:rPr>
          <w:color w:val="auto"/>
          <w:highlight w:val="magenta"/>
        </w:rPr>
      </w:pPr>
      <w:r w:rsidRPr="00045F85">
        <w:rPr>
          <w:color w:val="auto"/>
        </w:rPr>
        <w:t>The recommended injected activity for brain imaging i</w:t>
      </w:r>
      <w:r w:rsidR="00B346F9" w:rsidRPr="00045F85">
        <w:rPr>
          <w:color w:val="auto"/>
        </w:rPr>
        <w:t xml:space="preserve">n adults for PET-CT is 185 MBq. </w:t>
      </w:r>
      <w:r w:rsidRPr="00045F85">
        <w:rPr>
          <w:color w:val="auto"/>
        </w:rPr>
        <w:t>If no carbidopa is given ahead of  [</w:t>
      </w:r>
      <w:r w:rsidR="0015131D" w:rsidRPr="00045F85">
        <w:rPr>
          <w:rFonts w:cs="Arial"/>
          <w:color w:val="auto"/>
          <w:vertAlign w:val="superscript"/>
        </w:rPr>
        <w:t>18</w:t>
      </w:r>
      <w:r w:rsidR="0015131D" w:rsidRPr="00045F85">
        <w:rPr>
          <w:rFonts w:cs="Arial"/>
          <w:color w:val="auto"/>
        </w:rPr>
        <w:t>F</w:t>
      </w:r>
      <w:r w:rsidRPr="00045F85">
        <w:rPr>
          <w:color w:val="auto"/>
        </w:rPr>
        <w:t>]fluorodopa higher doses may be necessary. [</w:t>
      </w:r>
      <w:r w:rsidR="0015131D" w:rsidRPr="00045F85">
        <w:rPr>
          <w:rFonts w:cs="Arial"/>
          <w:color w:val="auto"/>
          <w:vertAlign w:val="superscript"/>
        </w:rPr>
        <w:t>18</w:t>
      </w:r>
      <w:r w:rsidR="0015131D" w:rsidRPr="00045F85">
        <w:rPr>
          <w:rFonts w:cs="Arial"/>
          <w:color w:val="auto"/>
        </w:rPr>
        <w:t>F</w:t>
      </w:r>
      <w:r w:rsidRPr="00045F85">
        <w:rPr>
          <w:color w:val="auto"/>
        </w:rPr>
        <w:t>]fluorodopa should be injected as a bolus.</w:t>
      </w:r>
    </w:p>
    <w:p w14:paraId="45456875" w14:textId="0D25C7D7" w:rsidR="00D2307C" w:rsidRPr="00045F85" w:rsidRDefault="005208E5" w:rsidP="009D6B35">
      <w:pPr>
        <w:pStyle w:val="berschrift2"/>
        <w:numPr>
          <w:ilvl w:val="0"/>
          <w:numId w:val="30"/>
        </w:numPr>
        <w:rPr>
          <w:color w:val="auto"/>
        </w:rPr>
      </w:pPr>
      <w:r w:rsidRPr="00045F85">
        <w:rPr>
          <w:color w:val="auto"/>
        </w:rPr>
        <w:t>Image</w:t>
      </w:r>
      <w:r w:rsidR="008F0ACC" w:rsidRPr="00045F85">
        <w:rPr>
          <w:color w:val="auto"/>
        </w:rPr>
        <w:t xml:space="preserve"> </w:t>
      </w:r>
      <w:r w:rsidR="00D2307C" w:rsidRPr="00045F85">
        <w:rPr>
          <w:color w:val="auto"/>
        </w:rPr>
        <w:t xml:space="preserve">Acquisition </w:t>
      </w:r>
    </w:p>
    <w:p w14:paraId="12C51F1B" w14:textId="0A0F4CD4" w:rsidR="00E6084D" w:rsidRPr="00045F85" w:rsidRDefault="00C17BC9" w:rsidP="005E0F6E">
      <w:pPr>
        <w:pStyle w:val="Listenabsatz"/>
        <w:numPr>
          <w:ilvl w:val="0"/>
          <w:numId w:val="0"/>
        </w:numPr>
        <w:ind w:left="720"/>
        <w:rPr>
          <w:color w:val="auto"/>
        </w:rPr>
      </w:pPr>
      <w:r w:rsidRPr="00045F85">
        <w:rPr>
          <w:color w:val="auto"/>
        </w:rPr>
        <w:t>Positioning</w:t>
      </w:r>
    </w:p>
    <w:p w14:paraId="2F47170A" w14:textId="77777777" w:rsidR="00E6084D" w:rsidRPr="00045F85" w:rsidRDefault="00E6084D" w:rsidP="005E0F6E">
      <w:pPr>
        <w:pStyle w:val="Listenabsatz"/>
        <w:numPr>
          <w:ilvl w:val="0"/>
          <w:numId w:val="0"/>
        </w:numPr>
        <w:ind w:left="720"/>
        <w:rPr>
          <w:color w:val="auto"/>
        </w:rPr>
      </w:pPr>
    </w:p>
    <w:p w14:paraId="7161A701" w14:textId="3E0BDE9C" w:rsidR="001D4377" w:rsidRPr="00045F85" w:rsidRDefault="005E0F6E" w:rsidP="00363EC9">
      <w:pPr>
        <w:rPr>
          <w:rFonts w:cs="Arial"/>
        </w:rPr>
      </w:pPr>
      <w:r w:rsidRPr="00045F85">
        <w:rPr>
          <w:rFonts w:cs="Arial"/>
        </w:rPr>
        <w:t>T</w:t>
      </w:r>
      <w:r w:rsidR="00C15AAF" w:rsidRPr="00045F85">
        <w:rPr>
          <w:rFonts w:cs="Arial"/>
        </w:rPr>
        <w:t xml:space="preserve">he patient </w:t>
      </w:r>
      <w:r w:rsidRPr="00045F85">
        <w:rPr>
          <w:rFonts w:cs="Arial"/>
        </w:rPr>
        <w:t xml:space="preserve">should be </w:t>
      </w:r>
      <w:r w:rsidR="00C15AAF" w:rsidRPr="00045F85">
        <w:rPr>
          <w:rFonts w:cs="Arial"/>
        </w:rPr>
        <w:t xml:space="preserve">in supine position, </w:t>
      </w:r>
      <w:r w:rsidR="001D4377" w:rsidRPr="00045F85">
        <w:rPr>
          <w:rFonts w:cs="Arial"/>
        </w:rPr>
        <w:t xml:space="preserve">with the head in a dedicated holder, and arms along the body. </w:t>
      </w:r>
      <w:r w:rsidRPr="00045F85">
        <w:rPr>
          <w:rFonts w:cs="Arial"/>
        </w:rPr>
        <w:t>Ensure to have the</w:t>
      </w:r>
      <w:r w:rsidR="001D4377" w:rsidRPr="00045F85">
        <w:rPr>
          <w:rFonts w:cs="Arial"/>
        </w:rPr>
        <w:t xml:space="preserve"> </w:t>
      </w:r>
      <w:r w:rsidRPr="00045F85">
        <w:rPr>
          <w:rFonts w:cs="Arial"/>
        </w:rPr>
        <w:t>whole</w:t>
      </w:r>
      <w:r w:rsidR="001D4377" w:rsidRPr="00045F85">
        <w:rPr>
          <w:rFonts w:cs="Arial"/>
        </w:rPr>
        <w:t xml:space="preserve"> brain </w:t>
      </w:r>
      <w:r w:rsidRPr="00045F85">
        <w:rPr>
          <w:rFonts w:cs="Arial"/>
        </w:rPr>
        <w:t>(including the cerebellum) in the field of view</w:t>
      </w:r>
      <w:r w:rsidR="001D4377" w:rsidRPr="00045F85">
        <w:rPr>
          <w:rFonts w:cs="Arial"/>
        </w:rPr>
        <w:t xml:space="preserve">. </w:t>
      </w:r>
      <w:r w:rsidR="00C42397" w:rsidRPr="00045F85">
        <w:rPr>
          <w:rFonts w:cs="Arial"/>
        </w:rPr>
        <w:t>E</w:t>
      </w:r>
      <w:r w:rsidR="001D4377" w:rsidRPr="00045F85">
        <w:rPr>
          <w:rFonts w:cs="Arial"/>
        </w:rPr>
        <w:t>xt</w:t>
      </w:r>
      <w:r w:rsidR="00C42397" w:rsidRPr="00045F85">
        <w:rPr>
          <w:rFonts w:cs="Arial"/>
        </w:rPr>
        <w:t>reme neck extension or flexion should be avoided.</w:t>
      </w:r>
    </w:p>
    <w:p w14:paraId="77BE3860" w14:textId="77777777" w:rsidR="005865A9" w:rsidRPr="00045F85" w:rsidRDefault="005865A9" w:rsidP="005E0F6E">
      <w:pPr>
        <w:pStyle w:val="Listenabsatz"/>
        <w:numPr>
          <w:ilvl w:val="0"/>
          <w:numId w:val="0"/>
        </w:numPr>
        <w:ind w:left="720"/>
        <w:rPr>
          <w:color w:val="auto"/>
        </w:rPr>
      </w:pPr>
    </w:p>
    <w:p w14:paraId="1C171732" w14:textId="06C23011" w:rsidR="006556DE" w:rsidRPr="00045F85" w:rsidRDefault="00D2307C" w:rsidP="00C97AB2">
      <w:pPr>
        <w:pStyle w:val="Listenabsatz"/>
        <w:numPr>
          <w:ilvl w:val="0"/>
          <w:numId w:val="12"/>
        </w:numPr>
        <w:rPr>
          <w:color w:val="auto"/>
        </w:rPr>
      </w:pPr>
      <w:r w:rsidRPr="00045F85">
        <w:rPr>
          <w:color w:val="auto"/>
        </w:rPr>
        <w:t>H</w:t>
      </w:r>
      <w:r w:rsidR="00C17BC9" w:rsidRPr="00045F85">
        <w:rPr>
          <w:color w:val="auto"/>
        </w:rPr>
        <w:t>ead stability</w:t>
      </w:r>
    </w:p>
    <w:p w14:paraId="3CE19482" w14:textId="7B5C2B98" w:rsidR="006556DE" w:rsidRPr="00045F85" w:rsidRDefault="006556DE" w:rsidP="005E0F6E">
      <w:pPr>
        <w:pStyle w:val="Listenabsatz"/>
        <w:numPr>
          <w:ilvl w:val="0"/>
          <w:numId w:val="0"/>
        </w:numPr>
        <w:ind w:left="720"/>
        <w:rPr>
          <w:color w:val="auto"/>
        </w:rPr>
      </w:pPr>
    </w:p>
    <w:p w14:paraId="680CBA98" w14:textId="6FD3E5B4" w:rsidR="005E0F6E" w:rsidRPr="00045F85" w:rsidRDefault="0018438E" w:rsidP="005E0F6E">
      <w:pPr>
        <w:pStyle w:val="Listenabsatz"/>
        <w:numPr>
          <w:ilvl w:val="0"/>
          <w:numId w:val="0"/>
        </w:numPr>
        <w:ind w:left="720"/>
        <w:rPr>
          <w:color w:val="auto"/>
        </w:rPr>
      </w:pPr>
      <w:r w:rsidRPr="00045F85">
        <w:rPr>
          <w:color w:val="auto"/>
        </w:rPr>
        <w:t>To avoid head movements during the examination, t</w:t>
      </w:r>
      <w:r w:rsidR="00D2307C" w:rsidRPr="00045F85">
        <w:rPr>
          <w:color w:val="auto"/>
        </w:rPr>
        <w:t xml:space="preserve">he patient should be informed immediately before </w:t>
      </w:r>
      <w:r w:rsidRPr="00045F85">
        <w:rPr>
          <w:color w:val="auto"/>
        </w:rPr>
        <w:t>starting</w:t>
      </w:r>
      <w:r w:rsidR="00AB10B4" w:rsidRPr="00045F85">
        <w:rPr>
          <w:color w:val="auto"/>
        </w:rPr>
        <w:t xml:space="preserve"> the acquisition (the same precautions described for DAT SPECT images acquisition should be used).</w:t>
      </w:r>
    </w:p>
    <w:p w14:paraId="1FD7655F" w14:textId="77777777" w:rsidR="005E0F6E" w:rsidRPr="00045F85" w:rsidRDefault="005E0F6E" w:rsidP="005E0F6E">
      <w:pPr>
        <w:pStyle w:val="Listenabsatz"/>
        <w:numPr>
          <w:ilvl w:val="0"/>
          <w:numId w:val="0"/>
        </w:numPr>
        <w:ind w:left="720"/>
        <w:rPr>
          <w:color w:val="auto"/>
        </w:rPr>
      </w:pPr>
    </w:p>
    <w:p w14:paraId="1CD5D47B" w14:textId="77777777" w:rsidR="006206BC" w:rsidRPr="00045F85" w:rsidRDefault="006206BC" w:rsidP="00E6084D">
      <w:pPr>
        <w:ind w:left="360" w:hanging="360"/>
        <w:rPr>
          <w:rFonts w:cs="Arial"/>
        </w:rPr>
      </w:pPr>
    </w:p>
    <w:p w14:paraId="52453FC9" w14:textId="5EDBFD5F" w:rsidR="00E6084D" w:rsidRPr="00045F85" w:rsidRDefault="00E6084D" w:rsidP="00F71128">
      <w:pPr>
        <w:ind w:left="360" w:hanging="360"/>
        <w:rPr>
          <w:rStyle w:val="shorttext"/>
          <w:rFonts w:cs="Arial"/>
          <w:i/>
        </w:rPr>
      </w:pPr>
      <w:r w:rsidRPr="00045F85">
        <w:rPr>
          <w:rFonts w:cs="Arial"/>
          <w:i/>
        </w:rPr>
        <w:t>Acquisition protocol</w:t>
      </w:r>
      <w:r w:rsidR="0058723A" w:rsidRPr="00045F85">
        <w:rPr>
          <w:rFonts w:cs="Arial"/>
          <w:i/>
        </w:rPr>
        <w:t xml:space="preserve"> for PET/CT systems</w:t>
      </w:r>
      <w:r w:rsidR="005267C7" w:rsidRPr="00045F85">
        <w:rPr>
          <w:rFonts w:cs="Arial"/>
          <w:i/>
        </w:rPr>
        <w:t xml:space="preserve"> [112, 113</w:t>
      </w:r>
      <w:r w:rsidR="0099185F" w:rsidRPr="00045F85">
        <w:rPr>
          <w:rFonts w:cs="Arial"/>
          <w:i/>
        </w:rPr>
        <w:t>]</w:t>
      </w:r>
    </w:p>
    <w:p w14:paraId="45ACD856" w14:textId="5280F353" w:rsidR="00D2307C" w:rsidRPr="00045F85" w:rsidRDefault="00D2307C" w:rsidP="00C97AB2">
      <w:pPr>
        <w:pStyle w:val="Listenabsatz"/>
        <w:numPr>
          <w:ilvl w:val="0"/>
          <w:numId w:val="37"/>
        </w:numPr>
        <w:rPr>
          <w:color w:val="auto"/>
        </w:rPr>
      </w:pPr>
      <w:r w:rsidRPr="00045F85">
        <w:rPr>
          <w:color w:val="auto"/>
        </w:rPr>
        <w:t>The preferred sequence of PET imaging is:</w:t>
      </w:r>
    </w:p>
    <w:p w14:paraId="72E4C275" w14:textId="77777777" w:rsidR="003077A8" w:rsidRPr="00045F85" w:rsidRDefault="00D2307C" w:rsidP="003077A8">
      <w:pPr>
        <w:ind w:left="360"/>
        <w:rPr>
          <w:lang w:val="en-GB"/>
        </w:rPr>
      </w:pPr>
      <w:r w:rsidRPr="00045F85">
        <w:rPr>
          <w:lang w:val="en-GB"/>
        </w:rPr>
        <w:t>CT scout topogram for PET</w:t>
      </w:r>
      <w:r w:rsidR="003E29BB" w:rsidRPr="00045F85">
        <w:rPr>
          <w:lang w:val="en-GB"/>
        </w:rPr>
        <w:t>(</w:t>
      </w:r>
      <w:r w:rsidRPr="00045F85">
        <w:rPr>
          <w:lang w:val="en-GB"/>
        </w:rPr>
        <w:t>/CT</w:t>
      </w:r>
      <w:r w:rsidR="003E29BB" w:rsidRPr="00045F85">
        <w:rPr>
          <w:lang w:val="en-GB"/>
        </w:rPr>
        <w:t>)</w:t>
      </w:r>
      <w:r w:rsidR="003077A8" w:rsidRPr="00045F85">
        <w:rPr>
          <w:lang w:val="en-GB"/>
        </w:rPr>
        <w:t xml:space="preserve"> to setup field of view. </w:t>
      </w:r>
    </w:p>
    <w:p w14:paraId="29A2AD5E" w14:textId="4D04FAB0" w:rsidR="00D2307C" w:rsidRPr="00045F85" w:rsidRDefault="00D2307C" w:rsidP="003077A8">
      <w:pPr>
        <w:ind w:left="360"/>
        <w:rPr>
          <w:lang w:val="en-GB"/>
        </w:rPr>
      </w:pPr>
      <w:r w:rsidRPr="00045F85">
        <w:rPr>
          <w:lang w:val="en-GB"/>
        </w:rPr>
        <w:t xml:space="preserve">For attenuation correction: </w:t>
      </w:r>
      <w:r w:rsidR="00F71128" w:rsidRPr="00045F85">
        <w:rPr>
          <w:lang w:val="en-GB"/>
        </w:rPr>
        <w:t xml:space="preserve">Low-dose </w:t>
      </w:r>
      <w:r w:rsidRPr="00045F85">
        <w:rPr>
          <w:lang w:val="en-GB"/>
        </w:rPr>
        <w:t>CT scan</w:t>
      </w:r>
      <w:r w:rsidR="007C4494" w:rsidRPr="00045F85">
        <w:rPr>
          <w:lang w:val="en-GB"/>
        </w:rPr>
        <w:t xml:space="preserve"> (see before paragraphs on </w:t>
      </w:r>
      <w:r w:rsidR="000F0EB8" w:rsidRPr="00045F85">
        <w:rPr>
          <w:lang w:val="en-GB"/>
        </w:rPr>
        <w:t xml:space="preserve">     </w:t>
      </w:r>
      <w:r w:rsidR="007C4494" w:rsidRPr="00045F85">
        <w:rPr>
          <w:lang w:val="en-GB"/>
        </w:rPr>
        <w:t>SPECT/CT)</w:t>
      </w:r>
      <w:r w:rsidRPr="00045F85">
        <w:rPr>
          <w:lang w:val="en-GB"/>
        </w:rPr>
        <w:t xml:space="preserve">, or transmission scan. </w:t>
      </w:r>
      <w:r w:rsidR="000F0EB8" w:rsidRPr="00045F85">
        <w:rPr>
          <w:lang w:val="en-GB"/>
        </w:rPr>
        <w:t xml:space="preserve">If a PET/MRI system is used, an </w:t>
      </w:r>
      <w:r w:rsidR="0005599E" w:rsidRPr="00045F85">
        <w:t>MR-AC scan for MR-</w:t>
      </w:r>
      <w:r w:rsidR="000F0EB8" w:rsidRPr="00045F85">
        <w:t>based attenuation correction</w:t>
      </w:r>
      <w:r w:rsidR="00DD5D1D" w:rsidRPr="00045F85">
        <w:t xml:space="preserve"> should be </w:t>
      </w:r>
      <w:r w:rsidR="003856AD" w:rsidRPr="00045F85">
        <w:t>acquired</w:t>
      </w:r>
      <w:r w:rsidR="000F0EB8" w:rsidRPr="00045F85">
        <w:t>.</w:t>
      </w:r>
      <w:r w:rsidR="003077A8" w:rsidRPr="00045F85">
        <w:rPr>
          <w:lang w:val="en-GB"/>
        </w:rPr>
        <w:t xml:space="preserve"> </w:t>
      </w:r>
      <w:r w:rsidRPr="00045F85">
        <w:rPr>
          <w:lang w:val="en-GB"/>
        </w:rPr>
        <w:t>Static or dynamic single Field of View (FOV) PET acquisition</w:t>
      </w:r>
    </w:p>
    <w:p w14:paraId="60E1C6F6" w14:textId="77777777" w:rsidR="00E6084D" w:rsidRPr="00045F85" w:rsidRDefault="00E6084D" w:rsidP="003077A8">
      <w:pPr>
        <w:pStyle w:val="Listenabsatz"/>
        <w:numPr>
          <w:ilvl w:val="0"/>
          <w:numId w:val="0"/>
        </w:numPr>
        <w:ind w:left="720"/>
        <w:rPr>
          <w:color w:val="auto"/>
          <w:lang w:val="en-GB"/>
        </w:rPr>
      </w:pPr>
    </w:p>
    <w:p w14:paraId="7E6DFA26" w14:textId="482F72D7" w:rsidR="003E29BB" w:rsidRPr="00045F85" w:rsidRDefault="003E29BB" w:rsidP="00C97AB2">
      <w:pPr>
        <w:pStyle w:val="Listenabsatz"/>
        <w:numPr>
          <w:ilvl w:val="0"/>
          <w:numId w:val="37"/>
        </w:numPr>
        <w:rPr>
          <w:color w:val="auto"/>
          <w:lang w:val="en-GB"/>
        </w:rPr>
      </w:pPr>
      <w:r w:rsidRPr="00045F85">
        <w:rPr>
          <w:color w:val="auto"/>
        </w:rPr>
        <w:t>Image acquisition should be performed in 3D data acquisition mode</w:t>
      </w:r>
      <w:r w:rsidR="0005599E" w:rsidRPr="00045F85">
        <w:rPr>
          <w:color w:val="auto"/>
        </w:rPr>
        <w:t>,</w:t>
      </w:r>
      <w:r w:rsidRPr="00045F85">
        <w:rPr>
          <w:color w:val="auto"/>
        </w:rPr>
        <w:t xml:space="preserve"> and attenuation correction</w:t>
      </w:r>
      <w:r w:rsidR="0005599E" w:rsidRPr="00045F85">
        <w:rPr>
          <w:color w:val="auto"/>
        </w:rPr>
        <w:t xml:space="preserve"> should be based on low-dose CT</w:t>
      </w:r>
      <w:r w:rsidRPr="00045F85">
        <w:rPr>
          <w:color w:val="auto"/>
        </w:rPr>
        <w:t xml:space="preserve"> or on a 511keV-transmission scan. If 511keV-transmission scanning is used, the transmission images should be acquired before tracer injection. CT parameters should always be chosen to ensure the lowest radiation </w:t>
      </w:r>
      <w:r w:rsidR="00EF75CE" w:rsidRPr="00045F85">
        <w:rPr>
          <w:color w:val="auto"/>
        </w:rPr>
        <w:t>exposure</w:t>
      </w:r>
      <w:r w:rsidRPr="00045F85">
        <w:rPr>
          <w:color w:val="auto"/>
        </w:rPr>
        <w:t xml:space="preserve"> to the patient that is compatible with this purpose.</w:t>
      </w:r>
    </w:p>
    <w:p w14:paraId="5C2276F8" w14:textId="115BBFBC" w:rsidR="003E29BB" w:rsidRPr="00045F85" w:rsidRDefault="003E29BB" w:rsidP="00C97AB2">
      <w:pPr>
        <w:pStyle w:val="Listenabsatz"/>
        <w:numPr>
          <w:ilvl w:val="0"/>
          <w:numId w:val="37"/>
        </w:numPr>
        <w:rPr>
          <w:color w:val="auto"/>
        </w:rPr>
      </w:pPr>
      <w:r w:rsidRPr="00045F85">
        <w:rPr>
          <w:color w:val="auto"/>
        </w:rPr>
        <w:t xml:space="preserve">A fixed time for the start of image acquisition should be taken. </w:t>
      </w:r>
    </w:p>
    <w:p w14:paraId="004F27BA" w14:textId="3ADB131A" w:rsidR="00662806" w:rsidRPr="00045F85" w:rsidRDefault="00B45284" w:rsidP="00C97AB2">
      <w:pPr>
        <w:pStyle w:val="Listenabsatz"/>
        <w:numPr>
          <w:ilvl w:val="0"/>
          <w:numId w:val="37"/>
        </w:numPr>
        <w:rPr>
          <w:color w:val="auto"/>
        </w:rPr>
      </w:pPr>
      <w:r w:rsidRPr="00045F85">
        <w:rPr>
          <w:color w:val="auto"/>
        </w:rPr>
        <w:t>Static acquisition: 10-20 min static image acquisition obtained 70-90 minutes po</w:t>
      </w:r>
      <w:r w:rsidR="0005599E" w:rsidRPr="00045F85">
        <w:rPr>
          <w:color w:val="auto"/>
        </w:rPr>
        <w:t>st-</w:t>
      </w:r>
      <w:r w:rsidR="005267C7" w:rsidRPr="00045F85">
        <w:rPr>
          <w:color w:val="auto"/>
        </w:rPr>
        <w:t>injection is recommended [114, 115</w:t>
      </w:r>
      <w:r w:rsidRPr="00045F85">
        <w:rPr>
          <w:color w:val="auto"/>
        </w:rPr>
        <w:t>].</w:t>
      </w:r>
      <w:r w:rsidR="00435D15" w:rsidRPr="00045F85">
        <w:rPr>
          <w:color w:val="auto"/>
        </w:rPr>
        <w:t xml:space="preserve"> </w:t>
      </w:r>
      <w:r w:rsidR="00662806" w:rsidRPr="00045F85">
        <w:rPr>
          <w:color w:val="auto"/>
        </w:rPr>
        <w:t xml:space="preserve">If movement </w:t>
      </w:r>
      <w:r w:rsidR="0005599E" w:rsidRPr="00045F85">
        <w:rPr>
          <w:color w:val="auto"/>
        </w:rPr>
        <w:t xml:space="preserve">artifacts </w:t>
      </w:r>
      <w:r w:rsidR="00662806" w:rsidRPr="00045F85">
        <w:rPr>
          <w:color w:val="auto"/>
        </w:rPr>
        <w:t>are expected, it can be helpful to acquire the static time window dynamically e.g. in 5-min frames, or in list-mode, check the sinograms, and use only the sinograms of the properly acquired motion-free time period for reconstruction.</w:t>
      </w:r>
    </w:p>
    <w:p w14:paraId="1429C4C2" w14:textId="78437856" w:rsidR="00D2307C" w:rsidRPr="00045F85" w:rsidRDefault="00BC4FB1" w:rsidP="00C97AB2">
      <w:pPr>
        <w:pStyle w:val="Listenabsatz"/>
        <w:numPr>
          <w:ilvl w:val="0"/>
          <w:numId w:val="37"/>
        </w:numPr>
        <w:rPr>
          <w:color w:val="auto"/>
        </w:rPr>
      </w:pPr>
      <w:r w:rsidRPr="00045F85">
        <w:rPr>
          <w:color w:val="auto"/>
        </w:rPr>
        <w:t>Dynamic or lis</w:t>
      </w:r>
      <w:r w:rsidR="005267C7" w:rsidRPr="00045F85">
        <w:rPr>
          <w:color w:val="auto"/>
        </w:rPr>
        <w:t>t-mode acquisition</w:t>
      </w:r>
      <w:r w:rsidR="0005599E" w:rsidRPr="00045F85">
        <w:rPr>
          <w:color w:val="auto"/>
        </w:rPr>
        <w:t xml:space="preserve"> </w:t>
      </w:r>
      <w:r w:rsidR="005267C7" w:rsidRPr="00045F85">
        <w:rPr>
          <w:color w:val="auto"/>
        </w:rPr>
        <w:t>[115, 116</w:t>
      </w:r>
      <w:r w:rsidRPr="00045F85">
        <w:rPr>
          <w:color w:val="auto"/>
        </w:rPr>
        <w:t xml:space="preserve">]: a protocol of at least 90 minutes acquisition is required for the calculation of the </w:t>
      </w:r>
      <w:r w:rsidR="00AA6302" w:rsidRPr="00045F85">
        <w:rPr>
          <w:color w:val="auto"/>
        </w:rPr>
        <w:t xml:space="preserve">[18F]fluorodopa </w:t>
      </w:r>
      <w:r w:rsidRPr="00045F85">
        <w:rPr>
          <w:color w:val="auto"/>
        </w:rPr>
        <w:t xml:space="preserve"> influx constant (Ki). The acquisition starts </w:t>
      </w:r>
      <w:r w:rsidR="000E45C8" w:rsidRPr="00045F85">
        <w:rPr>
          <w:color w:val="auto"/>
        </w:rPr>
        <w:t>at the time of</w:t>
      </w:r>
      <w:r w:rsidRPr="00045F85">
        <w:rPr>
          <w:color w:val="auto"/>
        </w:rPr>
        <w:t xml:space="preserve"> injection using </w:t>
      </w:r>
      <w:r w:rsidRPr="00045F85">
        <w:rPr>
          <w:color w:val="auto"/>
        </w:rPr>
        <w:lastRenderedPageBreak/>
        <w:t xml:space="preserve">short 30 second time frames that progressively increase to 5 minutes in duration. During the first 10 minutes post injection, the following image acquisition frames </w:t>
      </w:r>
      <w:r w:rsidR="005770BF" w:rsidRPr="00045F85">
        <w:rPr>
          <w:color w:val="auto"/>
        </w:rPr>
        <w:t>can</w:t>
      </w:r>
      <w:r w:rsidRPr="00045F85">
        <w:rPr>
          <w:color w:val="auto"/>
        </w:rPr>
        <w:t xml:space="preserve"> be used: 6 frames of 30 seconds and 2 frames of 210 seconds allowing to precisely obtain information of the tracer uptake phase. During the remaining 80 minutes, frames of 5 minutes </w:t>
      </w:r>
      <w:r w:rsidR="00296B90" w:rsidRPr="00045F85">
        <w:rPr>
          <w:color w:val="auto"/>
        </w:rPr>
        <w:t xml:space="preserve">(or even 10 minutes) </w:t>
      </w:r>
      <w:r w:rsidRPr="00045F85">
        <w:rPr>
          <w:color w:val="auto"/>
        </w:rPr>
        <w:t xml:space="preserve">are used for the evaluation of </w:t>
      </w:r>
      <w:r w:rsidR="00AA6302" w:rsidRPr="00045F85">
        <w:rPr>
          <w:color w:val="auto"/>
        </w:rPr>
        <w:t>[</w:t>
      </w:r>
      <w:r w:rsidR="0015131D" w:rsidRPr="00045F85">
        <w:rPr>
          <w:rFonts w:cs="Arial"/>
          <w:color w:val="auto"/>
          <w:vertAlign w:val="superscript"/>
        </w:rPr>
        <w:t>18</w:t>
      </w:r>
      <w:r w:rsidR="0015131D" w:rsidRPr="00045F85">
        <w:rPr>
          <w:rFonts w:cs="Arial"/>
          <w:color w:val="auto"/>
        </w:rPr>
        <w:t>F</w:t>
      </w:r>
      <w:r w:rsidR="00AA6302" w:rsidRPr="00045F85">
        <w:rPr>
          <w:color w:val="auto"/>
        </w:rPr>
        <w:t xml:space="preserve">]fluorodopa </w:t>
      </w:r>
      <w:r w:rsidRPr="00045F85">
        <w:rPr>
          <w:color w:val="auto"/>
        </w:rPr>
        <w:t xml:space="preserve"> conversion to </w:t>
      </w:r>
      <w:r w:rsidR="0015131D" w:rsidRPr="00045F85">
        <w:rPr>
          <w:rFonts w:cs="Arial"/>
          <w:color w:val="auto"/>
          <w:vertAlign w:val="superscript"/>
        </w:rPr>
        <w:t>18</w:t>
      </w:r>
      <w:r w:rsidR="0015131D" w:rsidRPr="00045F85">
        <w:rPr>
          <w:rFonts w:cs="Arial"/>
          <w:color w:val="auto"/>
        </w:rPr>
        <w:t>F</w:t>
      </w:r>
      <w:r w:rsidR="0015131D" w:rsidRPr="00045F85">
        <w:rPr>
          <w:color w:val="auto"/>
        </w:rPr>
        <w:t xml:space="preserve"> </w:t>
      </w:r>
      <w:r w:rsidRPr="00045F85">
        <w:rPr>
          <w:color w:val="auto"/>
        </w:rPr>
        <w:t>-fluorodopamine by ar</w:t>
      </w:r>
      <w:r w:rsidR="00265F3F" w:rsidRPr="00045F85">
        <w:rPr>
          <w:color w:val="auto"/>
        </w:rPr>
        <w:t>omatic amino acid decarboxylase</w:t>
      </w:r>
      <w:r w:rsidRPr="00045F85">
        <w:rPr>
          <w:color w:val="auto"/>
        </w:rPr>
        <w:t xml:space="preserve"> and uptake and trapping of </w:t>
      </w:r>
      <w:r w:rsidR="0015131D" w:rsidRPr="00045F85">
        <w:rPr>
          <w:rFonts w:cs="Arial"/>
          <w:color w:val="auto"/>
          <w:vertAlign w:val="superscript"/>
        </w:rPr>
        <w:t>18</w:t>
      </w:r>
      <w:r w:rsidR="0015131D" w:rsidRPr="00045F85">
        <w:rPr>
          <w:rFonts w:cs="Arial"/>
          <w:color w:val="auto"/>
        </w:rPr>
        <w:t>F</w:t>
      </w:r>
      <w:r w:rsidR="0015131D" w:rsidRPr="00045F85">
        <w:rPr>
          <w:color w:val="auto"/>
        </w:rPr>
        <w:t xml:space="preserve"> </w:t>
      </w:r>
      <w:r w:rsidRPr="00045F85">
        <w:rPr>
          <w:color w:val="auto"/>
        </w:rPr>
        <w:t>-fluorodopamine into synaptic vesicles.</w:t>
      </w:r>
    </w:p>
    <w:p w14:paraId="216DF4C9" w14:textId="77777777" w:rsidR="00957D3B" w:rsidRPr="00045F85" w:rsidRDefault="00DD15B6" w:rsidP="009D6B35">
      <w:pPr>
        <w:pStyle w:val="berschrift2"/>
        <w:numPr>
          <w:ilvl w:val="0"/>
          <w:numId w:val="30"/>
        </w:numPr>
        <w:rPr>
          <w:color w:val="auto"/>
        </w:rPr>
      </w:pPr>
      <w:r w:rsidRPr="00045F85">
        <w:rPr>
          <w:color w:val="auto"/>
        </w:rPr>
        <w:t>I</w:t>
      </w:r>
      <w:r w:rsidR="00957D3B" w:rsidRPr="00045F85">
        <w:rPr>
          <w:color w:val="auto"/>
        </w:rPr>
        <w:t>mage reconstruction</w:t>
      </w:r>
    </w:p>
    <w:p w14:paraId="1254803D" w14:textId="3FCED6D7" w:rsidR="004A3026" w:rsidRPr="00045F85" w:rsidRDefault="004A3026" w:rsidP="00C97AB2">
      <w:pPr>
        <w:pStyle w:val="Listenabsatz"/>
        <w:numPr>
          <w:ilvl w:val="1"/>
          <w:numId w:val="30"/>
        </w:numPr>
        <w:rPr>
          <w:color w:val="auto"/>
          <w:lang w:val="en-GB"/>
        </w:rPr>
      </w:pPr>
      <w:r w:rsidRPr="00045F85">
        <w:rPr>
          <w:color w:val="auto"/>
          <w:lang w:val="en-GB"/>
        </w:rPr>
        <w:t>Iterative reconstructions are currently the standard. When</w:t>
      </w:r>
      <w:r w:rsidR="006360AE" w:rsidRPr="00045F85">
        <w:rPr>
          <w:color w:val="auto"/>
          <w:lang w:val="en-GB"/>
        </w:rPr>
        <w:t xml:space="preserve"> Ordered-Subsets Expectation Maximization</w:t>
      </w:r>
      <w:r w:rsidRPr="00045F85">
        <w:rPr>
          <w:color w:val="auto"/>
          <w:lang w:val="en-GB"/>
        </w:rPr>
        <w:t xml:space="preserve"> </w:t>
      </w:r>
      <w:r w:rsidR="006360AE" w:rsidRPr="00045F85">
        <w:rPr>
          <w:color w:val="auto"/>
          <w:lang w:val="en-GB"/>
        </w:rPr>
        <w:t>(</w:t>
      </w:r>
      <w:r w:rsidRPr="00045F85">
        <w:rPr>
          <w:color w:val="auto"/>
          <w:lang w:val="en-GB"/>
        </w:rPr>
        <w:t>OSEM</w:t>
      </w:r>
      <w:r w:rsidR="006360AE" w:rsidRPr="00045F85">
        <w:rPr>
          <w:color w:val="auto"/>
          <w:lang w:val="en-GB"/>
        </w:rPr>
        <w:t>)</w:t>
      </w:r>
      <w:r w:rsidRPr="00045F85">
        <w:rPr>
          <w:color w:val="auto"/>
          <w:lang w:val="en-GB"/>
        </w:rPr>
        <w:t xml:space="preserve"> type methods are used the number of iterations depends on the equipment characteristics, the injected activity, the acquisition duration as well as on the corrections included in the reconstruction process. </w:t>
      </w:r>
    </w:p>
    <w:p w14:paraId="592E82EA" w14:textId="21AB51E6" w:rsidR="009F3E51" w:rsidRPr="00045F85" w:rsidRDefault="00C81248" w:rsidP="00C97AB2">
      <w:pPr>
        <w:pStyle w:val="Listenabsatz"/>
        <w:numPr>
          <w:ilvl w:val="1"/>
          <w:numId w:val="30"/>
        </w:numPr>
        <w:rPr>
          <w:color w:val="auto"/>
          <w:lang w:val="en-GB"/>
        </w:rPr>
      </w:pPr>
      <w:r w:rsidRPr="00045F85">
        <w:rPr>
          <w:color w:val="auto"/>
          <w:lang w:val="en-GB"/>
        </w:rPr>
        <w:t>M</w:t>
      </w:r>
      <w:r w:rsidR="004A3026" w:rsidRPr="00045F85">
        <w:rPr>
          <w:color w:val="auto"/>
          <w:lang w:val="en-GB"/>
        </w:rPr>
        <w:t xml:space="preserve">atrix sizes and zoom factors during reconstruction should </w:t>
      </w:r>
      <w:r w:rsidR="006360AE" w:rsidRPr="00045F85">
        <w:rPr>
          <w:color w:val="auto"/>
          <w:lang w:val="en-GB"/>
        </w:rPr>
        <w:t>consider</w:t>
      </w:r>
      <w:r w:rsidRPr="00045F85">
        <w:rPr>
          <w:color w:val="auto"/>
          <w:lang w:val="en-GB"/>
        </w:rPr>
        <w:t xml:space="preserve"> the small size of the caudate and putamen. When possible, matrix sizes and zoom factors during reconstruction should be </w:t>
      </w:r>
      <w:r w:rsidR="004A3026" w:rsidRPr="00045F85">
        <w:rPr>
          <w:color w:val="auto"/>
          <w:lang w:val="en-GB"/>
        </w:rPr>
        <w:t>large enough in order that reconstructed voxel sizes are within</w:t>
      </w:r>
      <w:r w:rsidR="009F3E51" w:rsidRPr="00045F85">
        <w:rPr>
          <w:color w:val="auto"/>
          <w:lang w:val="en-GB"/>
        </w:rPr>
        <w:t xml:space="preserve"> 2.0 – 3.0 mm in any direction.</w:t>
      </w:r>
    </w:p>
    <w:p w14:paraId="5788DCE6" w14:textId="077BCA71" w:rsidR="00D356FA" w:rsidRPr="00045F85" w:rsidRDefault="00D356FA" w:rsidP="00C97AB2">
      <w:pPr>
        <w:pStyle w:val="Listenabsatz"/>
        <w:numPr>
          <w:ilvl w:val="1"/>
          <w:numId w:val="30"/>
        </w:numPr>
        <w:rPr>
          <w:color w:val="auto"/>
          <w:lang w:val="en-GB"/>
        </w:rPr>
      </w:pPr>
      <w:r w:rsidRPr="00045F85">
        <w:rPr>
          <w:color w:val="auto"/>
          <w:lang w:val="en-GB"/>
        </w:rPr>
        <w:t>Regular corrections are necessary before or during image reconstruction such as attenuation, scatter, random, dead time and decay corrections and sensitivity normalizatio</w:t>
      </w:r>
      <w:r w:rsidR="00765A54" w:rsidRPr="00045F85">
        <w:rPr>
          <w:color w:val="auto"/>
          <w:lang w:val="en-GB"/>
        </w:rPr>
        <w:t>n. To date, the benefit of time-of-</w:t>
      </w:r>
      <w:r w:rsidRPr="00045F85">
        <w:rPr>
          <w:color w:val="auto"/>
          <w:lang w:val="en-GB"/>
        </w:rPr>
        <w:t>flight correction has been mo</w:t>
      </w:r>
      <w:r w:rsidR="005267C7" w:rsidRPr="00045F85">
        <w:rPr>
          <w:color w:val="auto"/>
          <w:lang w:val="en-GB"/>
        </w:rPr>
        <w:t>dest, but it can be applied [117, 118</w:t>
      </w:r>
      <w:r w:rsidRPr="00045F85">
        <w:rPr>
          <w:color w:val="auto"/>
          <w:lang w:val="en-GB"/>
        </w:rPr>
        <w:t xml:space="preserve">].   </w:t>
      </w:r>
    </w:p>
    <w:p w14:paraId="64FAF69F" w14:textId="60D8B1A9" w:rsidR="00BF36FB" w:rsidRPr="00045F85" w:rsidRDefault="000E45C8" w:rsidP="00C97AB2">
      <w:pPr>
        <w:pStyle w:val="Listenabsatz"/>
        <w:numPr>
          <w:ilvl w:val="1"/>
          <w:numId w:val="30"/>
        </w:numPr>
        <w:rPr>
          <w:color w:val="auto"/>
          <w:lang w:val="en-GB"/>
        </w:rPr>
      </w:pPr>
      <w:r w:rsidRPr="00045F85">
        <w:rPr>
          <w:color w:val="auto"/>
          <w:lang w:val="en-GB"/>
        </w:rPr>
        <w:t>Resolution modelling duri</w:t>
      </w:r>
      <w:r w:rsidR="00B806C6" w:rsidRPr="00045F85">
        <w:rPr>
          <w:color w:val="auto"/>
          <w:lang w:val="en-GB"/>
        </w:rPr>
        <w:t>ng reconstruction, called point-</w:t>
      </w:r>
      <w:r w:rsidRPr="00045F85">
        <w:rPr>
          <w:color w:val="auto"/>
          <w:lang w:val="en-GB"/>
        </w:rPr>
        <w:t xml:space="preserve">spread function (PSF) reconstruction deserves specific consideration. Resolution modelling has been developed to compensate for cross-contamination between adjacent functional regions with distinct activities, referred to as PVE </w:t>
      </w:r>
      <w:r w:rsidR="005267C7" w:rsidRPr="00045F85">
        <w:rPr>
          <w:color w:val="auto"/>
          <w:lang w:val="en-GB"/>
        </w:rPr>
        <w:t>[119</w:t>
      </w:r>
      <w:r w:rsidR="00BF36FB" w:rsidRPr="00045F85">
        <w:rPr>
          <w:color w:val="auto"/>
          <w:lang w:val="en-GB"/>
        </w:rPr>
        <w:t>]. In theory, given the size of the striatal structures, it would be beneficial to reconstruct the exact activity distribution using this correction. However, there is a limit to the recovery achievable by PSF correction, even at high iterations due to the loss of high frequency informat</w:t>
      </w:r>
      <w:r w:rsidR="005267C7" w:rsidRPr="00045F85">
        <w:rPr>
          <w:color w:val="auto"/>
          <w:lang w:val="en-GB"/>
        </w:rPr>
        <w:t>ion during data acquisition [119</w:t>
      </w:r>
      <w:r w:rsidR="00BF36FB" w:rsidRPr="00045F85">
        <w:rPr>
          <w:color w:val="auto"/>
          <w:lang w:val="en-GB"/>
        </w:rPr>
        <w:t>]. The application of PSF correction modifies the noise structure and it pr</w:t>
      </w:r>
      <w:r w:rsidR="005267C7" w:rsidRPr="00045F85">
        <w:rPr>
          <w:color w:val="auto"/>
          <w:lang w:val="en-GB"/>
        </w:rPr>
        <w:t>oduces a “lumpiness” aspect [120</w:t>
      </w:r>
      <w:r w:rsidR="00BF36FB" w:rsidRPr="00045F85">
        <w:rPr>
          <w:color w:val="auto"/>
          <w:lang w:val="en-GB"/>
        </w:rPr>
        <w:t xml:space="preserve">] (referred to as the Gibbs phenomenon). Therefore, PSF reconstruction </w:t>
      </w:r>
      <w:r w:rsidR="00D5054A" w:rsidRPr="00045F85">
        <w:rPr>
          <w:color w:val="auto"/>
          <w:lang w:val="en-GB"/>
        </w:rPr>
        <w:t>artefact</w:t>
      </w:r>
      <w:r w:rsidR="00BF36FB" w:rsidRPr="00045F85">
        <w:rPr>
          <w:color w:val="auto"/>
          <w:lang w:val="en-GB"/>
        </w:rPr>
        <w:t>s can lead to misinterpretations</w:t>
      </w:r>
      <w:r w:rsidR="00B806C6" w:rsidRPr="00045F85">
        <w:rPr>
          <w:color w:val="auto"/>
          <w:lang w:val="en-GB"/>
        </w:rPr>
        <w:t xml:space="preserve"> when used to analyse small sub</w:t>
      </w:r>
      <w:r w:rsidR="00BF36FB" w:rsidRPr="00045F85">
        <w:rPr>
          <w:color w:val="auto"/>
          <w:lang w:val="en-GB"/>
        </w:rPr>
        <w:t>centimeter structures and is currently not recommended for striatal imaging</w:t>
      </w:r>
    </w:p>
    <w:p w14:paraId="6ACB7D40" w14:textId="4CB6179D" w:rsidR="00EA3BF7" w:rsidRPr="00045F85" w:rsidRDefault="00791F14" w:rsidP="00C97AB2">
      <w:pPr>
        <w:pStyle w:val="Listenabsatz"/>
        <w:numPr>
          <w:ilvl w:val="1"/>
          <w:numId w:val="30"/>
        </w:numPr>
        <w:rPr>
          <w:rFonts w:eastAsiaTheme="majorEastAsia"/>
          <w:color w:val="auto"/>
        </w:rPr>
      </w:pPr>
      <w:r w:rsidRPr="00045F85">
        <w:rPr>
          <w:color w:val="auto"/>
          <w:lang w:val="en-GB"/>
        </w:rPr>
        <w:t>Spatial filters applied during or after reconstruction should be selected as not to impair the spatial resolution needed for striatal imaging. However, the choice is highly dependent on the acquisition data (noise) and the entire reconstruction process. Ideally the final reconstructed spatial resolution should aim at a FW</w:t>
      </w:r>
      <w:r w:rsidR="004A0D60" w:rsidRPr="00045F85">
        <w:rPr>
          <w:color w:val="auto"/>
          <w:lang w:val="en-GB"/>
        </w:rPr>
        <w:t>HM</w:t>
      </w:r>
      <w:r w:rsidRPr="00045F85">
        <w:rPr>
          <w:color w:val="auto"/>
          <w:lang w:val="en-GB"/>
        </w:rPr>
        <w:t xml:space="preserve"> &lt; 6 mm.</w:t>
      </w:r>
    </w:p>
    <w:p w14:paraId="24275B56" w14:textId="7BDD0C3F" w:rsidR="00EA3BF7" w:rsidRPr="00045F85" w:rsidRDefault="00EA3BF7" w:rsidP="00C97AB2">
      <w:pPr>
        <w:pStyle w:val="Listenabsatz"/>
        <w:numPr>
          <w:ilvl w:val="1"/>
          <w:numId w:val="30"/>
        </w:numPr>
        <w:rPr>
          <w:color w:val="auto"/>
          <w:lang w:val="en-GB"/>
        </w:rPr>
      </w:pPr>
      <w:r w:rsidRPr="00045F85">
        <w:rPr>
          <w:color w:val="auto"/>
          <w:lang w:val="en-GB"/>
        </w:rPr>
        <w:t xml:space="preserve">Head-movement correction can be performed if the acquisition is performed in list mode or multi frame setting (dynamic scans). </w:t>
      </w:r>
      <w:r w:rsidRPr="00045F85">
        <w:rPr>
          <w:color w:val="auto"/>
          <w:lang w:val="en-GB"/>
        </w:rPr>
        <w:lastRenderedPageBreak/>
        <w:t xml:space="preserve">Data acquired during patient movement can be discarded before reconstruction or corrected post reconstruction with dynamic or list mode acquisitions. </w:t>
      </w:r>
    </w:p>
    <w:p w14:paraId="376E1261" w14:textId="6F0423C7" w:rsidR="00752E5E" w:rsidRPr="00045F85" w:rsidRDefault="00E65E2A" w:rsidP="009D6B35">
      <w:pPr>
        <w:pStyle w:val="berschrift2"/>
        <w:numPr>
          <w:ilvl w:val="0"/>
          <w:numId w:val="30"/>
        </w:numPr>
        <w:rPr>
          <w:color w:val="auto"/>
        </w:rPr>
      </w:pPr>
      <w:r w:rsidRPr="00045F85">
        <w:rPr>
          <w:color w:val="auto"/>
        </w:rPr>
        <w:t xml:space="preserve"> Interpretation/Semiquantification</w:t>
      </w:r>
    </w:p>
    <w:p w14:paraId="3648F94C" w14:textId="50462C87" w:rsidR="00D27C71" w:rsidRPr="00045F85" w:rsidRDefault="00D27C71" w:rsidP="00D27C71">
      <w:pPr>
        <w:pStyle w:val="Default"/>
        <w:ind w:right="6"/>
        <w:rPr>
          <w:rFonts w:ascii="Arial" w:hAnsi="Arial" w:cs="Arial"/>
          <w:color w:val="auto"/>
          <w:sz w:val="24"/>
          <w:szCs w:val="24"/>
          <w:lang w:val="en-US"/>
        </w:rPr>
      </w:pPr>
      <w:r w:rsidRPr="00045F85">
        <w:rPr>
          <w:rFonts w:ascii="Arial" w:hAnsi="Arial" w:cs="Arial"/>
          <w:color w:val="auto"/>
          <w:sz w:val="24"/>
          <w:szCs w:val="24"/>
          <w:lang w:val="en-US"/>
        </w:rPr>
        <w:t xml:space="preserve">The uptake of </w:t>
      </w:r>
      <w:r w:rsidRPr="00045F85">
        <w:rPr>
          <w:rFonts w:ascii="Arial" w:hAnsi="Arial" w:cs="Arial"/>
          <w:color w:val="auto"/>
          <w:sz w:val="24"/>
          <w:szCs w:val="24"/>
        </w:rPr>
        <w:t>[</w:t>
      </w:r>
      <w:r w:rsidRPr="00045F85">
        <w:rPr>
          <w:rFonts w:ascii="Arial" w:hAnsi="Arial" w:cs="Arial"/>
          <w:color w:val="auto"/>
          <w:sz w:val="24"/>
          <w:szCs w:val="24"/>
          <w:vertAlign w:val="superscript"/>
        </w:rPr>
        <w:t>18</w:t>
      </w:r>
      <w:r w:rsidRPr="00045F85">
        <w:rPr>
          <w:rFonts w:ascii="Arial" w:hAnsi="Arial" w:cs="Arial"/>
          <w:color w:val="auto"/>
          <w:sz w:val="24"/>
          <w:szCs w:val="24"/>
        </w:rPr>
        <w:t>F]fluorodopa</w:t>
      </w:r>
      <w:r w:rsidRPr="00045F85" w:rsidDel="001553FA">
        <w:rPr>
          <w:rFonts w:ascii="Arial" w:hAnsi="Arial" w:cs="Arial"/>
          <w:color w:val="auto"/>
          <w:sz w:val="24"/>
          <w:szCs w:val="24"/>
          <w:vertAlign w:val="superscript"/>
          <w:lang w:val="en-US"/>
        </w:rPr>
        <w:t xml:space="preserve"> </w:t>
      </w:r>
      <w:r w:rsidRPr="00045F85">
        <w:rPr>
          <w:rFonts w:ascii="Arial" w:hAnsi="Arial" w:cs="Arial"/>
          <w:color w:val="auto"/>
          <w:sz w:val="24"/>
          <w:szCs w:val="24"/>
          <w:lang w:val="en-US"/>
        </w:rPr>
        <w:t>over the first 90 minutes into the striatum primarily reflects influx and decarboxylation of the tracer to [</w:t>
      </w:r>
      <w:r w:rsidRPr="00045F85">
        <w:rPr>
          <w:rFonts w:ascii="Arial" w:hAnsi="Arial" w:cs="Arial"/>
          <w:color w:val="auto"/>
          <w:sz w:val="24"/>
          <w:szCs w:val="24"/>
          <w:vertAlign w:val="superscript"/>
          <w:lang w:val="en-US"/>
        </w:rPr>
        <w:t>18</w:t>
      </w:r>
      <w:r w:rsidRPr="00045F85">
        <w:rPr>
          <w:rFonts w:ascii="Arial" w:hAnsi="Arial" w:cs="Arial"/>
          <w:color w:val="auto"/>
          <w:sz w:val="24"/>
          <w:szCs w:val="24"/>
          <w:lang w:val="en-US"/>
        </w:rPr>
        <w:t>F]fluorodopamine [121].</w:t>
      </w:r>
    </w:p>
    <w:p w14:paraId="21AE4991" w14:textId="77777777" w:rsidR="00D27C71" w:rsidRPr="00045F85" w:rsidRDefault="00D27C71" w:rsidP="00D27C71"/>
    <w:p w14:paraId="3C9CF1AC" w14:textId="6BF0254E" w:rsidR="00DC316D" w:rsidRPr="00045F85" w:rsidRDefault="00DC316D" w:rsidP="00DC316D">
      <w:pPr>
        <w:rPr>
          <w:rFonts w:cs="Arial"/>
          <w:i/>
        </w:rPr>
      </w:pPr>
      <w:r w:rsidRPr="00045F85">
        <w:rPr>
          <w:rFonts w:cs="Arial"/>
          <w:i/>
        </w:rPr>
        <w:t>Visual Analysis</w:t>
      </w:r>
    </w:p>
    <w:p w14:paraId="30BBCEED" w14:textId="6A2BCA77" w:rsidR="005866C2" w:rsidRPr="00045F85" w:rsidRDefault="003326AA" w:rsidP="005866C2">
      <w:pPr>
        <w:rPr>
          <w:rFonts w:cs="Arial"/>
        </w:rPr>
      </w:pPr>
      <w:r w:rsidRPr="00045F85">
        <w:rPr>
          <w:rFonts w:cs="Arial"/>
        </w:rPr>
        <w:t xml:space="preserve">General concepts already </w:t>
      </w:r>
      <w:r w:rsidR="003A541E" w:rsidRPr="00045F85">
        <w:rPr>
          <w:rFonts w:cs="Arial"/>
        </w:rPr>
        <w:t>discussed</w:t>
      </w:r>
      <w:r w:rsidRPr="00045F85">
        <w:rPr>
          <w:rFonts w:cs="Arial"/>
        </w:rPr>
        <w:t xml:space="preserve"> for visual analysis and interpretation of [</w:t>
      </w:r>
      <w:r w:rsidRPr="00045F85">
        <w:rPr>
          <w:rFonts w:cs="Arial"/>
          <w:vertAlign w:val="superscript"/>
        </w:rPr>
        <w:t>123</w:t>
      </w:r>
      <w:r w:rsidRPr="00045F85">
        <w:rPr>
          <w:rFonts w:cs="Arial"/>
        </w:rPr>
        <w:t>]FP-CIT SPECT also apply to [</w:t>
      </w:r>
      <w:r w:rsidRPr="00045F85">
        <w:rPr>
          <w:rFonts w:cs="Arial"/>
          <w:vertAlign w:val="superscript"/>
        </w:rPr>
        <w:t>18</w:t>
      </w:r>
      <w:r w:rsidRPr="00045F85">
        <w:rPr>
          <w:rFonts w:cs="Arial"/>
        </w:rPr>
        <w:t>F]fluorodopa PET images. See below further details and corresponding references specifically related to [</w:t>
      </w:r>
      <w:r w:rsidRPr="00045F85">
        <w:rPr>
          <w:rFonts w:cs="Arial"/>
          <w:vertAlign w:val="superscript"/>
        </w:rPr>
        <w:t>18</w:t>
      </w:r>
      <w:r w:rsidR="00D61D99" w:rsidRPr="00045F85">
        <w:rPr>
          <w:rFonts w:cs="Arial"/>
        </w:rPr>
        <w:t>F]fluorodopa.</w:t>
      </w:r>
    </w:p>
    <w:p w14:paraId="0E42BF7C" w14:textId="77777777" w:rsidR="005866C2" w:rsidRPr="00045F85" w:rsidRDefault="005866C2" w:rsidP="005866C2">
      <w:pPr>
        <w:pStyle w:val="Default"/>
        <w:ind w:left="630" w:right="6"/>
        <w:rPr>
          <w:rFonts w:ascii="Arial" w:hAnsi="Arial" w:cs="Arial"/>
          <w:color w:val="auto"/>
          <w:sz w:val="24"/>
          <w:szCs w:val="24"/>
          <w:lang w:val="en-US"/>
        </w:rPr>
      </w:pPr>
    </w:p>
    <w:p w14:paraId="1E7075F3" w14:textId="0C962861" w:rsidR="00EF7305" w:rsidRPr="00045F85" w:rsidRDefault="00EF7305" w:rsidP="00C97AB2">
      <w:pPr>
        <w:pStyle w:val="Listenabsatz"/>
        <w:numPr>
          <w:ilvl w:val="0"/>
          <w:numId w:val="13"/>
        </w:numPr>
        <w:rPr>
          <w:color w:val="auto"/>
        </w:rPr>
      </w:pPr>
      <w:r w:rsidRPr="00045F85">
        <w:rPr>
          <w:color w:val="auto"/>
        </w:rPr>
        <w:t>Images should be read on the computer screen</w:t>
      </w:r>
      <w:r w:rsidR="00A21767" w:rsidRPr="00045F85">
        <w:rPr>
          <w:color w:val="auto"/>
        </w:rPr>
        <w:t>,</w:t>
      </w:r>
      <w:r w:rsidRPr="00045F85">
        <w:rPr>
          <w:color w:val="auto"/>
        </w:rPr>
        <w:t xml:space="preserve"> since it is of paramount importance to adjust the color scale appropriately. Indeed, the first step of visual reading is the setting of the maximum color scale value. The reader should look for the voxel of maximal value within the striatum and select this value as the maximum of the chosen color scale. The position of this maximal uptake is important for</w:t>
      </w:r>
      <w:r w:rsidR="00606293" w:rsidRPr="00045F85">
        <w:rPr>
          <w:color w:val="auto"/>
        </w:rPr>
        <w:t xml:space="preserve"> the interpretation (see below).</w:t>
      </w:r>
    </w:p>
    <w:p w14:paraId="21440455" w14:textId="77777777" w:rsidR="005866C2" w:rsidRPr="00045F85" w:rsidRDefault="005866C2" w:rsidP="00C97AB2">
      <w:pPr>
        <w:pStyle w:val="Listenabsatz"/>
        <w:numPr>
          <w:ilvl w:val="0"/>
          <w:numId w:val="13"/>
        </w:numPr>
        <w:rPr>
          <w:color w:val="auto"/>
        </w:rPr>
      </w:pPr>
      <w:r w:rsidRPr="00045F85">
        <w:rPr>
          <w:color w:val="auto"/>
        </w:rPr>
        <w:t>Care should be taken in the 3D alignment of images to insure the proper appreciation of real uptake asymmetry. It is recommended to visualize all the transaxial slices containing striatal uptake as well as those including midbrain in order to be able to detect extra-striatal uptake.</w:t>
      </w:r>
    </w:p>
    <w:p w14:paraId="57E69F25" w14:textId="77777777" w:rsidR="00C52951" w:rsidRPr="00045F85" w:rsidRDefault="00C52951" w:rsidP="00C52951">
      <w:pPr>
        <w:pStyle w:val="Listenabsatz"/>
        <w:numPr>
          <w:ilvl w:val="0"/>
          <w:numId w:val="0"/>
        </w:numPr>
        <w:ind w:left="630"/>
        <w:rPr>
          <w:color w:val="auto"/>
        </w:rPr>
      </w:pPr>
    </w:p>
    <w:p w14:paraId="5F8FEDAC" w14:textId="36B4F9F9" w:rsidR="005866C2" w:rsidRPr="00045F85" w:rsidRDefault="005866C2" w:rsidP="00C52951">
      <w:pPr>
        <w:pStyle w:val="Default"/>
        <w:numPr>
          <w:ilvl w:val="0"/>
          <w:numId w:val="13"/>
        </w:numPr>
        <w:spacing w:after="240"/>
        <w:ind w:left="720" w:right="6"/>
        <w:rPr>
          <w:rFonts w:ascii="Arial" w:hAnsi="Arial" w:cs="Arial"/>
          <w:color w:val="auto"/>
          <w:sz w:val="24"/>
          <w:szCs w:val="24"/>
          <w:lang w:val="en-US"/>
        </w:rPr>
      </w:pPr>
      <w:r w:rsidRPr="00045F85">
        <w:rPr>
          <w:rFonts w:ascii="Arial" w:hAnsi="Arial" w:cs="Arial"/>
          <w:color w:val="auto"/>
          <w:sz w:val="24"/>
          <w:szCs w:val="24"/>
        </w:rPr>
        <w:t>Normal [</w:t>
      </w:r>
      <w:r w:rsidRPr="00045F85">
        <w:rPr>
          <w:rFonts w:ascii="Arial" w:hAnsi="Arial" w:cs="Arial"/>
          <w:color w:val="auto"/>
          <w:sz w:val="24"/>
          <w:szCs w:val="24"/>
          <w:vertAlign w:val="superscript"/>
        </w:rPr>
        <w:t>18</w:t>
      </w:r>
      <w:r w:rsidRPr="00045F85">
        <w:rPr>
          <w:rFonts w:ascii="Arial" w:hAnsi="Arial" w:cs="Arial"/>
          <w:color w:val="auto"/>
          <w:sz w:val="24"/>
          <w:szCs w:val="24"/>
        </w:rPr>
        <w:t>F]fluorodopa</w:t>
      </w:r>
      <w:r w:rsidRPr="00045F85">
        <w:rPr>
          <w:rFonts w:ascii="Arial" w:hAnsi="Arial" w:cs="Arial"/>
          <w:color w:val="auto"/>
          <w:sz w:val="24"/>
          <w:szCs w:val="24"/>
          <w:lang w:val="en-US"/>
        </w:rPr>
        <w:t xml:space="preserve"> striatal uptake is much less dependent on age than DAT tracers. </w:t>
      </w:r>
    </w:p>
    <w:p w14:paraId="37DD0A6A" w14:textId="02EBFBF8" w:rsidR="005866C2" w:rsidRPr="00045F85" w:rsidRDefault="005866C2" w:rsidP="00C97AB2">
      <w:pPr>
        <w:pStyle w:val="Listenabsatz"/>
        <w:numPr>
          <w:ilvl w:val="0"/>
          <w:numId w:val="13"/>
        </w:numPr>
        <w:rPr>
          <w:color w:val="auto"/>
        </w:rPr>
      </w:pPr>
      <w:r w:rsidRPr="00045F85">
        <w:rPr>
          <w:color w:val="auto"/>
        </w:rPr>
        <w:t xml:space="preserve">In normal subjects, the striatal uptake is homogeneous within the striatum and symmetrical. It is important to know that the local maximum of striatal uptake is normally located in the putamen. </w:t>
      </w:r>
      <w:r w:rsidR="00D1326E" w:rsidRPr="00045F85">
        <w:rPr>
          <w:color w:val="auto"/>
        </w:rPr>
        <w:t>Extra-s</w:t>
      </w:r>
      <w:r w:rsidRPr="00045F85">
        <w:rPr>
          <w:color w:val="auto"/>
        </w:rPr>
        <w:t>triatal uptake of [</w:t>
      </w:r>
      <w:r w:rsidRPr="00045F85">
        <w:rPr>
          <w:color w:val="auto"/>
          <w:vertAlign w:val="superscript"/>
        </w:rPr>
        <w:t>18</w:t>
      </w:r>
      <w:r w:rsidRPr="00045F85">
        <w:rPr>
          <w:color w:val="auto"/>
        </w:rPr>
        <w:t>F]fluorodopa due to monoaminergic innervation is low and normally undetectable.</w:t>
      </w:r>
    </w:p>
    <w:p w14:paraId="2B5CAF06" w14:textId="77777777" w:rsidR="005866C2" w:rsidRPr="00045F85" w:rsidRDefault="005866C2" w:rsidP="00842EB1">
      <w:pPr>
        <w:ind w:right="6"/>
        <w:rPr>
          <w:rFonts w:cs="Arial"/>
        </w:rPr>
      </w:pPr>
    </w:p>
    <w:p w14:paraId="3141F0BA" w14:textId="243E22DE" w:rsidR="005866C2" w:rsidRPr="00045F85" w:rsidRDefault="005866C2" w:rsidP="00C97AB2">
      <w:pPr>
        <w:pStyle w:val="Listenabsatz"/>
        <w:numPr>
          <w:ilvl w:val="0"/>
          <w:numId w:val="13"/>
        </w:numPr>
        <w:rPr>
          <w:color w:val="auto"/>
        </w:rPr>
      </w:pPr>
      <w:r w:rsidRPr="00045F85">
        <w:rPr>
          <w:color w:val="auto"/>
        </w:rPr>
        <w:t>The presence of an asymmetric pattern of reduced putamen and preserved caudate uptake is</w:t>
      </w:r>
      <w:r w:rsidR="007060D6" w:rsidRPr="00045F85">
        <w:rPr>
          <w:color w:val="auto"/>
        </w:rPr>
        <w:t xml:space="preserve"> visually characteristic of PD, </w:t>
      </w:r>
      <w:r w:rsidRPr="00045F85">
        <w:rPr>
          <w:color w:val="auto"/>
        </w:rPr>
        <w:t xml:space="preserve">the low uptake level in the most affected putamen accurately separates </w:t>
      </w:r>
      <w:r w:rsidR="00C50694" w:rsidRPr="00045F85">
        <w:rPr>
          <w:color w:val="auto"/>
        </w:rPr>
        <w:t>IPD</w:t>
      </w:r>
      <w:r w:rsidRPr="00045F85">
        <w:rPr>
          <w:color w:val="auto"/>
        </w:rPr>
        <w:t xml:space="preserve"> cases from healthy controls in published series </w:t>
      </w:r>
      <w:r w:rsidRPr="00045F85">
        <w:rPr>
          <w:rFonts w:eastAsia="Helvetica"/>
          <w:color w:val="auto"/>
        </w:rPr>
        <w:fldChar w:fldCharType="begin"/>
      </w:r>
      <w:r w:rsidRPr="00045F85">
        <w:rPr>
          <w:rFonts w:eastAsia="Helvetica"/>
          <w:color w:val="auto"/>
        </w:rPr>
        <w:instrText xml:space="preserve"> ADDIN EN.CITE &lt;EndNote&gt;&lt;Cite  &gt;&lt;Author&gt;Sawle,G.V.; Playford,E.D.; Burn,D.J.; Cunningham,V.J.; Henderson,B.T.; Brooks,D.J.&lt;/Author&gt;&lt;Year&gt;1994&lt;/Year&gt;&lt;Prefix&gt;&lt;/Prefix&gt;&lt;Suffix&gt;&lt;/Suffix&gt;&lt;Pages&gt;&lt;/Pages&gt;&lt;DisplayText&gt;[1, 2]&lt;/DisplayText&gt;&lt;record&gt;&lt;database name="david.enl" path="/Users/au462907/Documents/Endnote/david.enl"&gt;david.enl&lt;/database&gt;&lt;source-app name="EndNote" version="18.1"&gt;EndNote&lt;/source-app&gt;&lt;rec-number&gt;2313&lt;/rec-number&gt;&lt;foreign-keys&gt;&lt;key app="EN" db-id="vss0ewepy5fzvmea0wevv0w10sa2af9xpxww"&gt;2313&lt;/key&gt;&lt;/foreign-keys&gt;&lt;ref-type name="Journal Article"&gt;17&lt;/ref-type&gt;&lt;contributors&gt;&lt;authors&gt;&lt;author&gt;&lt;style face="normal" font="default" size="100%"&gt;Sawle,G.V.&lt;/style&gt;&lt;/author&gt;&lt;author&gt;&lt;style face="normal" font="default" size="100%"&gt;Playford,E.D.&lt;/style&gt;&lt;/author&gt;&lt;author&gt;&lt;style face="normal" font="default" size="100%"&gt;Burn,D.J.&lt;/style&gt;&lt;/author&gt;&lt;author&gt;&lt;style face="normal" font="default" size="100%"&gt;Cunningham,V.J.&lt;/style&gt;&lt;/author&gt;&lt;author&gt;&lt;style face="normal" font="default" size="100%"&gt;Henderson,B.T.&lt;/style&gt;&lt;/author&gt;&lt;author&gt;&lt;style face="normal" font="default" size="100%"&gt;Brooks,D.J.&lt;/style&gt;&lt;/author&gt;&lt;/authors&gt;&lt;/contributors&gt;&lt;titles&gt;&lt;title&gt;&lt;style face="normal" font="default" size="100%"&gt;Separating Parkinson’s disease from normality: Discriminant function analysis of [18F]Dopa PET data.&lt;/style&gt;&lt;/title&gt;&lt;secondary-title&gt;&lt;style face="normal" font="default" size="100%"&gt;Arch.Neurol.&lt;/style&gt;&lt;/secondary-title&gt;&lt;/titles&gt;&lt;pages&gt;&lt;style face="normal" font="default" size="100%"&gt;237-243&lt;/style&gt;&lt;/pages&gt;&lt;volume&gt;&lt;style face="normal" font="default" size="100%"&gt;51&lt;/style&gt;&lt;/volume&gt;&lt;keywords&gt;&lt;keyword&gt;&lt;style face="normal" font="default" size="100%"&gt;Parkinson's disease/PD/18F-dopa/PET&lt;/style&gt;&lt;/keyword&gt;&lt;/keywords&gt;&lt;dates&gt;&lt;year&gt;&lt;style face="normal" font="default" size="100%"&gt;1994&lt;/style&gt;&lt;/year&gt;&lt;/dates&gt;&lt;label&gt;&lt;style face="normal" font="default" size="100%"&gt;PBS Record: 2293&lt;/style&gt;&lt;/label&gt;&lt;notes&gt;&lt;style face="normal" font="default" size="100%"&gt;(12) Not In File&lt;/style&gt;&lt;/notes&gt;&lt;urls&gt;&lt;/urls&gt;&lt;/record&gt;&lt;/Cite&gt;&lt;Cite  &gt;&lt;Author&gt;Takikawa, S.; Dhawan, V.; Chaly, T.; Robeson, W.; Dahl, R.; Zanzi, I.; Mandel, F.; Spetsieris, P.; Eidelberg, D.&lt;/Author&gt;&lt;Year&gt;1994&lt;/Year&gt;&lt;RecNum&gt;7437&lt;/RecNum&gt;&lt;Prefix&gt;&lt;/Prefix&gt;&lt;Suffix&gt;&lt;/Suffix&gt;&lt;Pages&gt;&lt;/Pages&gt;&lt;record&gt;&lt;database name="david.enl" path="/Users/au462907/Documents/Endnote/david.enl"&gt;david.enl&lt;/database&gt;&lt;source-app name="EndNote" version="18.1"&gt;EndNote&lt;/source-app&gt;&lt;rec-number&gt;7437&lt;/rec-number&gt;&lt;foreign-keys&gt;&lt;key app="EN" db-id="vss0ewepy5fzvmea0wevv0w10sa2af9xpxww"&gt;7437&lt;/key&gt;&lt;/foreign-keys&gt;&lt;ref-type name="Journal Article"&gt;17&lt;/ref-type&gt;&lt;contributors&gt;&lt;authors&gt;&lt;author&gt;&lt;style face="normal" font="default" size="100%"&gt;Takikawa, S.&lt;/style&gt;&lt;/author&gt;&lt;author&gt;&lt;style face="normal" font="default" size="100%"&gt;Dhawan, V.&lt;/style&gt;&lt;/author&gt;&lt;author&gt;&lt;style face="normal" font="default" size="100%"&gt;Chaly, T.&lt;/style&gt;&lt;/author&gt;&lt;author&gt;&lt;style face="normal" font="default" size="100%"&gt;Robeson, W.&lt;/style&gt;&lt;/author&gt;&lt;author&gt;&lt;style face="normal" font="default" size="100%"&gt;Dahl, R.&lt;/style&gt;&lt;/author&gt;&lt;author&gt;&lt;style face="normal" font="default" size="100%"&gt;Zanzi, I.&lt;/style&gt;&lt;/author&gt;&lt;author&gt;&lt;style face="normal" font="default" size="100%"&gt;Mandel, F.&lt;/style&gt;&lt;/author&gt;&lt;author&gt;&lt;style face="normal" font="default" size="100%"&gt;Spetsieris, P.&lt;/style&gt;&lt;/author&gt;&lt;author&gt;&lt;style face="normal" font="default" size="100%"&gt;Eidelberg, D.&lt;/style&gt;&lt;/author&gt;&lt;/authors&gt;&lt;/contributors&gt;&lt;auth-address&gt;&lt;style face="normal" font="default" size="100%"&gt;Department of Neurology, North Shore University Hospital/Cornell University Medical College, Manhasset, New York 11030.&lt;/style&gt;&lt;/auth-address&gt;&lt;titles&gt;&lt;title&gt;&lt;style face="normal" font="default" size="100%"&gt;Input functions for 6-[fluorine-18]fluorodopa quantitation in parkinsonism: comparative studies and clinical correlations&lt;/style&gt;&lt;/title&gt;&lt;secondary-title&gt;&lt;style face="normal" font="default" size="100%"&gt;J Nucl Med&lt;/style&gt;&lt;/secondary-title&gt;&lt;/titles&gt;&lt;periodical&gt;&lt;full-title&gt;&lt;style face="normal" font="default" size="100%"&gt;J Nucl Med&lt;/style&gt;&lt;/full-title&gt;&lt;/periodical&gt;&lt;pages&gt;&lt;style face="normal" font="default" size="100%"&gt;955-63&lt;/style&gt;&lt;/pages&gt;&lt;volume&gt;&lt;style face="normal" font="default" size="100%"&gt;35&lt;/style&gt;&lt;/volume&gt;&lt;number&gt;&lt;style face="normal" font="default" size="100%"&gt;6&lt;/style&gt;&lt;/number&gt;&lt;keywords&gt;&lt;keyword&gt;&lt;style face="normal" font="default" size="100%"&gt;Adult&lt;/style&gt;&lt;/keyword&gt;&lt;keyword&gt;&lt;style face="normal" font="default" size="100%"&gt;Aged&lt;/style&gt;&lt;/keyword&gt;&lt;keyword&gt;&lt;style face="normal" font="default" size="100%"&gt;Brain/*diagnostic imaging&lt;/style&gt;&lt;/keyword&gt;&lt;keyword&gt;&lt;style face="normal" font="default" size="100%"&gt;Dihydroxyphenylalanine/*analogs &amp;amp; derivatives/pharmacokinetics&lt;/style&gt;&lt;/keyword&gt;&lt;keyword&gt;&lt;style face="normal" font="default" size="100%"&gt;Female&lt;/style&gt;&lt;/keyword&gt;&lt;keyword&gt;&lt;style face="normal" font="default" size="100%"&gt;*Fluorine Radioisotopes&lt;/style&gt;&lt;/keyword&gt;&lt;keyword&gt;&lt;style face="normal" font="default" size="100%"&gt;Humans&lt;/style&gt;&lt;/keyword&gt;&lt;keyword&gt;&lt;style face="normal" font="default" size="100%"&gt;Male&lt;/style&gt;&lt;/keyword&gt;&lt;keyword&gt;&lt;style face="normal" font="default" size="100%"&gt;Middle Aged&lt;/style&gt;&lt;/keyword&gt;&lt;keyword&gt;&lt;style face="normal" font="default" size="100%"&gt;Parkinson Disease/*diagnostic imaging&lt;/style&gt;&lt;/keyword&gt;&lt;keyword&gt;&lt;style face="normal" font="default" size="100%"&gt;*Tomography, Emission-Computed&lt;/style&gt;&lt;/keyword&gt;&lt;/keywords&gt;&lt;dates&gt;&lt;year&gt;&lt;style face="normal" font="default" size="100%"&gt;1994&lt;/style&gt;&lt;/year&gt;&lt;pub-dates&gt;&lt;date&gt;&lt;style face="normal" font="default" size="100%"&gt;Jun&lt;/style&gt;&lt;/date&gt;&lt;/pub-dates&gt;&lt;/dates&gt;&lt;isbn&gt;&lt;style face="normal" font="default" size="100%"&gt;0161-5505 (Print) 0161-5505 (Linking)&lt;/style&gt;&lt;/isbn&gt;&lt;accession-num&gt;&lt;style face="normal" font="default" size="100%"&gt;8195882&lt;/style&gt;&lt;/accession-num&gt;&lt;abstract&gt;&lt;style face="normal" font="default" size="100%"&gt;UNLABELLED: PET has been used to quantify striatal 6-[18F]fluoro-L-dopa (FDOPA) uptake as a measure of presynaptic dopaminergic function. Striatal FDOPA uptake rate constants (Ki) can be calculated using dynamic PET imaging with measurements of the plasma FDOPA input function determined either directly or by several estimation procedures. METHODS: We assessed the comparative clinical utility of these methods by calculating the striato-occipital ratio (SOR) and striatal Ki values in 12 patients with mild to moderate PD and 12 age-matched normal volunteers. The plasma FDOPA time-activity curve (KiFD); the plasma 18F time-activity curve (KiP); the occipital time-activity curve (KiOCC); and a simplified population-derived FDOPA input function (KiEFD) were used to calculate striatal Ki. RESULTS: Mean values for all striatal Ki estimates and SOR were significantly lower in the PD group. Although all measured parameters discriminated PD patients from normals, KiFD and KiEFD provided the best between-group separation. KiFD, KiEFD and KiOCC measures correlated significantly with quantitative disease severity ratings, although KiFD predicted quantitative clinical disability most accurately. CONCLUSION: These results suggest that KiFD may be an optimal marker of the parkinsonian disease process. KiEFD may be a useful alternative to KiFD for most clinical research applications.&lt;/style&gt;&lt;/abstract&gt;&lt;notes&gt;&lt;style face="normal" font="default" size="100%"&gt;Takikawa, S Dhawan, V Chaly, T Robeson, W Dahl, R Zanzi, I Mandel, F Spetsieris, P Eidelberg, D eng Comparative Study Research Support, Non-U.S. Gov't 1994/06/01 J Nucl Med. 1994 Jun;35(6):955-63.&lt;/style&gt;&lt;/notes&gt;&lt;urls&gt;&lt;related-urls&gt;&lt;url&gt;&lt;style face="normal" font="default" size="100%"&gt;https://www.ncbi.nlm.nih.gov/pubmed/8195882&lt;/style&gt;&lt;/url&gt;&lt;/related-urls&gt;&lt;/urls&gt;&lt;/record&gt;&lt;/Cite&gt;&lt;/EndNote&gt;</w:instrText>
      </w:r>
      <w:r w:rsidRPr="00045F85">
        <w:rPr>
          <w:rFonts w:eastAsia="Helvetica"/>
          <w:color w:val="auto"/>
        </w:rPr>
        <w:fldChar w:fldCharType="separate"/>
      </w:r>
      <w:r w:rsidR="001556D7" w:rsidRPr="00045F85">
        <w:rPr>
          <w:color w:val="auto"/>
          <w:lang w:val="pt-PT"/>
        </w:rPr>
        <w:t>[122</w:t>
      </w:r>
      <w:r w:rsidRPr="00045F85">
        <w:rPr>
          <w:color w:val="auto"/>
          <w:lang w:val="pt-PT"/>
        </w:rPr>
        <w:t>]</w:t>
      </w:r>
      <w:r w:rsidRPr="00045F85">
        <w:rPr>
          <w:rFonts w:eastAsia="Helvetica"/>
          <w:color w:val="auto"/>
        </w:rPr>
        <w:fldChar w:fldCharType="end"/>
      </w:r>
      <w:r w:rsidRPr="00045F85">
        <w:rPr>
          <w:color w:val="auto"/>
        </w:rPr>
        <w:t>. Putamen uptake reduction starts from the its posterior part creating a posterior-anterior gradient.  It is very useful to identify the local maximum of striatal uptake which is located in the caudate in that case.</w:t>
      </w:r>
    </w:p>
    <w:p w14:paraId="528FA9D2" w14:textId="77777777" w:rsidR="00405234" w:rsidRPr="00045F85" w:rsidRDefault="00405234" w:rsidP="00C52951">
      <w:pPr>
        <w:pStyle w:val="Listenabsatz"/>
        <w:numPr>
          <w:ilvl w:val="0"/>
          <w:numId w:val="0"/>
        </w:numPr>
        <w:ind w:left="720"/>
        <w:rPr>
          <w:color w:val="auto"/>
        </w:rPr>
      </w:pPr>
    </w:p>
    <w:p w14:paraId="49BCE3B7" w14:textId="5C1CFFA3" w:rsidR="005866C2" w:rsidRPr="00045F85" w:rsidRDefault="005866C2" w:rsidP="009D6B35">
      <w:pPr>
        <w:pStyle w:val="Default"/>
        <w:numPr>
          <w:ilvl w:val="0"/>
          <w:numId w:val="13"/>
        </w:numPr>
        <w:spacing w:after="240"/>
        <w:ind w:left="720" w:right="6"/>
        <w:jc w:val="both"/>
        <w:rPr>
          <w:rFonts w:ascii="Arial" w:hAnsi="Arial" w:cs="Arial"/>
          <w:color w:val="auto"/>
          <w:sz w:val="24"/>
          <w:szCs w:val="24"/>
          <w:lang w:val="en-US"/>
        </w:rPr>
      </w:pPr>
      <w:r w:rsidRPr="00045F85">
        <w:rPr>
          <w:rFonts w:ascii="Arial" w:hAnsi="Arial" w:cs="Arial"/>
          <w:color w:val="auto"/>
          <w:sz w:val="24"/>
          <w:szCs w:val="24"/>
          <w:lang w:val="en-US"/>
        </w:rPr>
        <w:t xml:space="preserve">In case of nigrostriatal </w:t>
      </w:r>
      <w:r w:rsidR="002A09F5" w:rsidRPr="00045F85">
        <w:rPr>
          <w:rFonts w:ascii="Arial" w:hAnsi="Arial" w:cs="Arial"/>
          <w:color w:val="auto"/>
          <w:sz w:val="24"/>
          <w:szCs w:val="24"/>
          <w:lang w:val="en-US"/>
        </w:rPr>
        <w:t>degeneration, the mid-</w:t>
      </w:r>
      <w:r w:rsidRPr="00045F85">
        <w:rPr>
          <w:rFonts w:ascii="Arial" w:hAnsi="Arial" w:cs="Arial"/>
          <w:color w:val="auto"/>
          <w:sz w:val="24"/>
          <w:szCs w:val="24"/>
          <w:lang w:val="en-US"/>
        </w:rPr>
        <w:t>brain extra</w:t>
      </w:r>
      <w:r w:rsidR="00CA7581" w:rsidRPr="00045F85">
        <w:rPr>
          <w:rFonts w:ascii="Arial" w:hAnsi="Arial" w:cs="Arial"/>
          <w:color w:val="auto"/>
          <w:sz w:val="24"/>
          <w:szCs w:val="24"/>
          <w:lang w:val="en-US"/>
        </w:rPr>
        <w:t>-</w:t>
      </w:r>
      <w:r w:rsidRPr="00045F85">
        <w:rPr>
          <w:rFonts w:ascii="Arial" w:hAnsi="Arial" w:cs="Arial"/>
          <w:color w:val="auto"/>
          <w:sz w:val="24"/>
          <w:szCs w:val="24"/>
          <w:lang w:val="en-US"/>
        </w:rPr>
        <w:t xml:space="preserve">striatal uptake becomes more visible due to global reduction of striatal </w:t>
      </w:r>
      <w:r w:rsidRPr="00045F85">
        <w:rPr>
          <w:rFonts w:ascii="Arial" w:hAnsi="Arial" w:cs="Arial"/>
          <w:color w:val="auto"/>
          <w:sz w:val="24"/>
          <w:szCs w:val="24"/>
        </w:rPr>
        <w:t>[</w:t>
      </w:r>
      <w:r w:rsidRPr="00045F85">
        <w:rPr>
          <w:rFonts w:ascii="Arial" w:hAnsi="Arial" w:cs="Arial"/>
          <w:color w:val="auto"/>
          <w:sz w:val="24"/>
          <w:szCs w:val="24"/>
          <w:vertAlign w:val="superscript"/>
        </w:rPr>
        <w:t>18</w:t>
      </w:r>
      <w:r w:rsidRPr="00045F85">
        <w:rPr>
          <w:rFonts w:ascii="Arial" w:hAnsi="Arial" w:cs="Arial"/>
          <w:color w:val="auto"/>
          <w:sz w:val="24"/>
          <w:szCs w:val="24"/>
        </w:rPr>
        <w:t xml:space="preserve">F]fluorodopa </w:t>
      </w:r>
      <w:r w:rsidRPr="00045F85">
        <w:rPr>
          <w:rFonts w:ascii="Arial" w:hAnsi="Arial" w:cs="Arial"/>
          <w:color w:val="auto"/>
          <w:sz w:val="24"/>
          <w:szCs w:val="24"/>
          <w:lang w:val="en-US"/>
        </w:rPr>
        <w:t xml:space="preserve">uptake. Catecholaminergic (locus ceruleus) and dopaminergic </w:t>
      </w:r>
      <w:r w:rsidRPr="00045F85">
        <w:rPr>
          <w:rFonts w:ascii="Arial" w:hAnsi="Arial" w:cs="Arial"/>
          <w:color w:val="auto"/>
          <w:sz w:val="24"/>
          <w:szCs w:val="24"/>
          <w:lang w:val="en-US"/>
        </w:rPr>
        <w:lastRenderedPageBreak/>
        <w:t xml:space="preserve">(substantia nigra) nuclei </w:t>
      </w:r>
      <w:r w:rsidR="006F4BE1" w:rsidRPr="00045F85">
        <w:rPr>
          <w:rFonts w:ascii="Arial" w:hAnsi="Arial" w:cs="Arial"/>
          <w:color w:val="auto"/>
          <w:sz w:val="24"/>
          <w:szCs w:val="24"/>
          <w:lang w:val="en-US"/>
        </w:rPr>
        <w:t>may demonstrate</w:t>
      </w:r>
      <w:r w:rsidRPr="00045F85">
        <w:rPr>
          <w:rFonts w:ascii="Arial" w:hAnsi="Arial" w:cs="Arial"/>
          <w:color w:val="auto"/>
          <w:sz w:val="24"/>
          <w:szCs w:val="24"/>
          <w:lang w:val="en-US"/>
        </w:rPr>
        <w:t xml:space="preserve"> a “Mickey M</w:t>
      </w:r>
      <w:r w:rsidR="001556D7" w:rsidRPr="00045F85">
        <w:rPr>
          <w:rFonts w:ascii="Arial" w:hAnsi="Arial" w:cs="Arial"/>
          <w:color w:val="auto"/>
          <w:sz w:val="24"/>
          <w:szCs w:val="24"/>
          <w:lang w:val="en-US"/>
        </w:rPr>
        <w:t>ouse” shape in the mid</w:t>
      </w:r>
      <w:r w:rsidR="006F4BE1" w:rsidRPr="00045F85">
        <w:rPr>
          <w:rFonts w:ascii="Arial" w:hAnsi="Arial" w:cs="Arial"/>
          <w:color w:val="auto"/>
          <w:sz w:val="24"/>
          <w:szCs w:val="24"/>
          <w:lang w:val="en-US"/>
        </w:rPr>
        <w:t>-</w:t>
      </w:r>
      <w:r w:rsidR="001556D7" w:rsidRPr="00045F85">
        <w:rPr>
          <w:rFonts w:ascii="Arial" w:hAnsi="Arial" w:cs="Arial"/>
          <w:color w:val="auto"/>
          <w:sz w:val="24"/>
          <w:szCs w:val="24"/>
          <w:lang w:val="en-US"/>
        </w:rPr>
        <w:t>brain [123</w:t>
      </w:r>
      <w:r w:rsidRPr="00045F85">
        <w:rPr>
          <w:rFonts w:ascii="Arial" w:hAnsi="Arial" w:cs="Arial"/>
          <w:color w:val="auto"/>
          <w:sz w:val="24"/>
          <w:szCs w:val="24"/>
          <w:lang w:val="en-US"/>
        </w:rPr>
        <w:t>].</w:t>
      </w:r>
    </w:p>
    <w:p w14:paraId="6E78BCA5" w14:textId="782239D1" w:rsidR="005866C2" w:rsidRPr="00045F85" w:rsidRDefault="005866C2" w:rsidP="00C97AB2">
      <w:pPr>
        <w:pStyle w:val="Listenabsatz"/>
        <w:numPr>
          <w:ilvl w:val="0"/>
          <w:numId w:val="13"/>
        </w:numPr>
        <w:rPr>
          <w:color w:val="auto"/>
          <w:lang w:val="en-GB"/>
        </w:rPr>
      </w:pPr>
      <w:r w:rsidRPr="00045F85">
        <w:rPr>
          <w:color w:val="auto"/>
          <w:lang w:val="en-GB"/>
        </w:rPr>
        <w:t xml:space="preserve">In most of the cases, atypical parkinsonian syndromes cannot be separated from </w:t>
      </w:r>
      <w:r w:rsidR="00C50694" w:rsidRPr="00045F85">
        <w:rPr>
          <w:color w:val="auto"/>
          <w:lang w:val="en-GB"/>
        </w:rPr>
        <w:t>IPD</w:t>
      </w:r>
      <w:r w:rsidRPr="00045F85">
        <w:rPr>
          <w:color w:val="auto"/>
          <w:lang w:val="en-GB"/>
        </w:rPr>
        <w:t xml:space="preserve">. However, it is noteworthy, that in CBD and in PSP, the caudate sparing which is characteristic of </w:t>
      </w:r>
      <w:r w:rsidR="00C50694" w:rsidRPr="00045F85">
        <w:rPr>
          <w:color w:val="auto"/>
          <w:lang w:val="en-GB"/>
        </w:rPr>
        <w:t>IPD</w:t>
      </w:r>
      <w:r w:rsidRPr="00045F85">
        <w:rPr>
          <w:color w:val="auto"/>
          <w:lang w:val="en-GB"/>
        </w:rPr>
        <w:t xml:space="preserve"> is often lost. In cases of vascular origin, localized defects corresponding to micro-infarctions can be detectable. Direct registration side-by-side reading with MRI scan help interpretation by showing the spatial correspondence of MR striatal lacunae and localized </w:t>
      </w:r>
      <w:r w:rsidRPr="00045F85">
        <w:rPr>
          <w:rFonts w:cs="Arial"/>
          <w:color w:val="auto"/>
        </w:rPr>
        <w:t>[</w:t>
      </w:r>
      <w:r w:rsidRPr="00045F85">
        <w:rPr>
          <w:rFonts w:cs="Arial"/>
          <w:color w:val="auto"/>
          <w:vertAlign w:val="superscript"/>
        </w:rPr>
        <w:t>18</w:t>
      </w:r>
      <w:r w:rsidRPr="00045F85">
        <w:rPr>
          <w:rFonts w:cs="Arial"/>
          <w:color w:val="auto"/>
        </w:rPr>
        <w:t>F]fluorodopa</w:t>
      </w:r>
      <w:r w:rsidRPr="00045F85">
        <w:rPr>
          <w:color w:val="auto"/>
          <w:lang w:val="en-GB"/>
        </w:rPr>
        <w:t xml:space="preserve"> defects.</w:t>
      </w:r>
    </w:p>
    <w:p w14:paraId="28E9E5A0" w14:textId="77777777" w:rsidR="005866C2" w:rsidRPr="00045F85" w:rsidRDefault="005866C2" w:rsidP="006C307B">
      <w:pPr>
        <w:pStyle w:val="Listenabsatz"/>
        <w:numPr>
          <w:ilvl w:val="0"/>
          <w:numId w:val="0"/>
        </w:numPr>
        <w:ind w:left="720"/>
        <w:rPr>
          <w:color w:val="auto"/>
          <w:lang w:val="en-GB"/>
        </w:rPr>
      </w:pPr>
    </w:p>
    <w:p w14:paraId="301B0351" w14:textId="292F7172" w:rsidR="005866C2" w:rsidRPr="00045F85" w:rsidRDefault="005866C2" w:rsidP="00C97AB2">
      <w:pPr>
        <w:pStyle w:val="Listenabsatz"/>
        <w:numPr>
          <w:ilvl w:val="0"/>
          <w:numId w:val="13"/>
        </w:numPr>
        <w:rPr>
          <w:color w:val="auto"/>
        </w:rPr>
      </w:pPr>
      <w:r w:rsidRPr="00045F85">
        <w:rPr>
          <w:color w:val="auto"/>
        </w:rPr>
        <w:t xml:space="preserve">In essential tremor, psychogenic parkinsonism and drug-induced parkinsonism, </w:t>
      </w:r>
      <w:r w:rsidRPr="00045F85">
        <w:rPr>
          <w:rFonts w:cs="Arial"/>
          <w:color w:val="auto"/>
        </w:rPr>
        <w:t>[</w:t>
      </w:r>
      <w:r w:rsidRPr="00045F85">
        <w:rPr>
          <w:rFonts w:cs="Arial"/>
          <w:color w:val="auto"/>
          <w:vertAlign w:val="superscript"/>
        </w:rPr>
        <w:t>18</w:t>
      </w:r>
      <w:r w:rsidRPr="00045F85">
        <w:rPr>
          <w:rFonts w:cs="Arial"/>
          <w:color w:val="auto"/>
        </w:rPr>
        <w:t xml:space="preserve">F]fluorodopa uptake </w:t>
      </w:r>
      <w:r w:rsidRPr="00045F85">
        <w:rPr>
          <w:color w:val="auto"/>
        </w:rPr>
        <w:t>is normal.</w:t>
      </w:r>
    </w:p>
    <w:p w14:paraId="0789706C" w14:textId="77777777" w:rsidR="00842EB1" w:rsidRPr="00045F85" w:rsidRDefault="00842EB1" w:rsidP="0010441C">
      <w:pPr>
        <w:pStyle w:val="Default"/>
        <w:ind w:left="720" w:right="6"/>
        <w:rPr>
          <w:rFonts w:ascii="Arial" w:hAnsi="Arial" w:cs="Arial"/>
          <w:color w:val="auto"/>
          <w:sz w:val="24"/>
          <w:szCs w:val="24"/>
          <w:lang w:val="en-US"/>
        </w:rPr>
      </w:pPr>
    </w:p>
    <w:p w14:paraId="35063A97" w14:textId="4B0291B7" w:rsidR="00DC316D" w:rsidRPr="00045F85" w:rsidRDefault="00DC316D" w:rsidP="0010441C">
      <w:pPr>
        <w:pStyle w:val="Default"/>
        <w:ind w:left="720" w:right="6"/>
        <w:rPr>
          <w:rFonts w:ascii="Arial" w:hAnsi="Arial" w:cs="Arial"/>
          <w:i/>
          <w:color w:val="auto"/>
          <w:sz w:val="24"/>
          <w:szCs w:val="24"/>
          <w:lang w:val="en-US"/>
        </w:rPr>
      </w:pPr>
      <w:r w:rsidRPr="00045F85">
        <w:rPr>
          <w:rFonts w:ascii="Arial" w:hAnsi="Arial" w:cs="Arial"/>
          <w:i/>
          <w:color w:val="auto"/>
          <w:sz w:val="24"/>
          <w:szCs w:val="24"/>
          <w:lang w:val="en-US"/>
        </w:rPr>
        <w:t>Semiquantification</w:t>
      </w:r>
    </w:p>
    <w:p w14:paraId="79574863" w14:textId="77777777" w:rsidR="001D25D4" w:rsidRPr="00045F85" w:rsidRDefault="001D25D4" w:rsidP="0010441C">
      <w:pPr>
        <w:pStyle w:val="Default"/>
        <w:ind w:left="720" w:right="6"/>
        <w:rPr>
          <w:rFonts w:ascii="Arial" w:hAnsi="Arial" w:cs="Arial"/>
          <w:color w:val="auto"/>
          <w:sz w:val="24"/>
          <w:szCs w:val="24"/>
          <w:lang w:val="en-US"/>
        </w:rPr>
      </w:pPr>
    </w:p>
    <w:p w14:paraId="5B5D1666" w14:textId="2DC0FDED" w:rsidR="004148E5" w:rsidRPr="00045F85" w:rsidRDefault="00752E5E" w:rsidP="009D6B35">
      <w:pPr>
        <w:pStyle w:val="Default"/>
        <w:numPr>
          <w:ilvl w:val="0"/>
          <w:numId w:val="17"/>
        </w:numPr>
        <w:ind w:right="6"/>
        <w:rPr>
          <w:rFonts w:ascii="Arial" w:hAnsi="Arial" w:cs="Arial"/>
          <w:color w:val="auto"/>
          <w:sz w:val="24"/>
          <w:szCs w:val="24"/>
          <w:lang w:val="en-US"/>
        </w:rPr>
      </w:pPr>
      <w:r w:rsidRPr="00045F85">
        <w:rPr>
          <w:rFonts w:ascii="Arial" w:hAnsi="Arial" w:cs="Arial"/>
          <w:color w:val="auto"/>
          <w:sz w:val="24"/>
          <w:szCs w:val="24"/>
          <w:lang w:val="en-US"/>
        </w:rPr>
        <w:t xml:space="preserve">A simple approach for quantitating tracer uptake is to compare the striatal signal </w:t>
      </w:r>
      <w:r w:rsidR="001A772D" w:rsidRPr="00045F85">
        <w:rPr>
          <w:rFonts w:ascii="Arial" w:hAnsi="Arial" w:cs="Arial"/>
          <w:color w:val="auto"/>
          <w:sz w:val="24"/>
          <w:szCs w:val="24"/>
          <w:lang w:val="en-US"/>
        </w:rPr>
        <w:t xml:space="preserve">to the </w:t>
      </w:r>
      <w:r w:rsidRPr="00045F85">
        <w:rPr>
          <w:rFonts w:ascii="Arial" w:hAnsi="Arial" w:cs="Arial"/>
          <w:color w:val="auto"/>
          <w:sz w:val="24"/>
          <w:szCs w:val="24"/>
          <w:lang w:val="en-US"/>
        </w:rPr>
        <w:t xml:space="preserve">signal in the occipital (SOR) or cerebellar cortex where little decarboxylation occurs </w:t>
      </w:r>
      <w:r w:rsidR="007829EA" w:rsidRPr="00045F85">
        <w:rPr>
          <w:rFonts w:ascii="Arial" w:eastAsia="Helvetica" w:hAnsi="Arial" w:cs="Arial"/>
          <w:color w:val="auto"/>
          <w:sz w:val="24"/>
          <w:szCs w:val="24"/>
        </w:rPr>
        <w:fldChar w:fldCharType="begin"/>
      </w:r>
      <w:r w:rsidRPr="00045F85">
        <w:rPr>
          <w:rFonts w:ascii="Arial" w:eastAsia="Helvetica" w:hAnsi="Arial" w:cs="Arial"/>
          <w:color w:val="auto"/>
          <w:sz w:val="24"/>
          <w:szCs w:val="24"/>
          <w:lang w:val="en-US"/>
        </w:rPr>
        <w:instrText xml:space="preserve"> ADDIN EN.CITE &lt;EndNote&gt;&lt;Cite  &gt;&lt;Author&gt;Takikawa, S.; Dhawan, V.; Chaly, T.; Robeson, W.; Dahl, R.; Zanzi, I.; Mandel, F.; Spetsieris, P.; Eidelberg, D.&lt;/Author&gt;&lt;Year&gt;1994&lt;/Year&gt;&lt;RecNum&gt;7437&lt;/RecNum&gt;&lt;Prefix&gt;&lt;/Prefix&gt;&lt;Suffix&gt;&lt;/Suffix&gt;&lt;Pages&gt;&lt;/Pages&gt;&lt;DisplayText&gt;[1]&lt;/DisplayText&gt;&lt;record&gt;&lt;database name="david.enl" path="/Users/au462907/Documents/Endnote/david.enl"&gt;david.enl&lt;/database&gt;&lt;source-app name="EndNote" version="18.1"&gt;EndNote&lt;/source-app&gt;&lt;rec-number&gt;7437&lt;/rec-number&gt;&lt;foreign-keys&gt;&lt;key app="EN" db-id="vss0ewepy5fzvmea0wevv0w10sa2af9xpxww"&gt;7437&lt;/key&gt;&lt;/foreign-keys&gt;&lt;ref-type name="Journal Article"&gt;17&lt;/ref-type&gt;&lt;contributors&gt;&lt;authors&gt;&lt;author&gt;&lt;style face="normal" font="default" size="100%"&gt;Takikawa, S.&lt;/style&gt;&lt;/author&gt;&lt;author&gt;&lt;style face="normal" font="default" size="100%"&gt;Dhawan, V.&lt;/style&gt;&lt;/author&gt;&lt;author&gt;&lt;style face="normal" font="default" size="100%"&gt;Chaly, T.&lt;/style&gt;&lt;/author&gt;&lt;author&gt;&lt;style face="normal" font="default" size="100%"&gt;Robeson, W.&lt;/style&gt;&lt;/author&gt;&lt;author&gt;&lt;style face="normal" font="default" size="100%"&gt;Dahl, R.&lt;/style&gt;&lt;/author&gt;&lt;author&gt;&lt;style face="normal" font="default" size="100%"&gt;Zanzi, I.&lt;/style&gt;&lt;/author&gt;&lt;author&gt;&lt;style face="normal" font="default" size="100%"&gt;Mandel, F.&lt;/style&gt;&lt;/author&gt;&lt;author&gt;&lt;style face="normal" font="default" size="100%"&gt;Spetsieris, P.&lt;/style&gt;&lt;/author&gt;&lt;author&gt;&lt;style face="normal" font="default" size="100%"&gt;Eidelberg, D.&lt;/style&gt;&lt;/author&gt;&lt;/authors&gt;&lt;/contributors&gt;&lt;auth-address&gt;&lt;style face="normal" font="default" size="100%"&gt;Department of Neurology, North Shore University Hospital/Cornell University Medical College, Manhasset, New York 11030.&lt;/style&gt;&lt;/auth-address&gt;&lt;titles&gt;&lt;title&gt;&lt;style face="normal" font="default" size="100%"&gt;Input functions for 6-[fluorine-18]fluorodopa quantitation in parkinsonism: comparative studies and clinical correlations&lt;/style&gt;&lt;/title&gt;&lt;secondary-title&gt;&lt;style face="normal" font="default" size="100%"&gt;J Nucl Med&lt;/style&gt;&lt;/secondary-title&gt;&lt;/titles&gt;&lt;periodical&gt;&lt;full-title&gt;&lt;style face="normal" font="default" size="100%"&gt;J Nucl Med&lt;/style&gt;&lt;/full-title&gt;&lt;/periodical&gt;&lt;pages&gt;&lt;style face="normal" font="default" size="100%"&gt;955-63&lt;/style&gt;&lt;/pages&gt;&lt;volume&gt;&lt;style face="normal" font="default" size="100%"&gt;35&lt;/style&gt;&lt;/volume&gt;&lt;number&gt;&lt;style face="normal" font="default" size="100%"&gt;6&lt;/style&gt;&lt;/number&gt;&lt;keywords&gt;&lt;keyword&gt;&lt;style face="normal" font="default" size="100%"&gt;Adult&lt;/style&gt;&lt;/keyword&gt;&lt;keyword&gt;&lt;style face="normal" font="default" size="100%"&gt;Aged&lt;/style&gt;&lt;/keyword&gt;&lt;keyword&gt;&lt;style face="normal" font="default" size="100%"&gt;Brain/*diagnostic imaging&lt;/style&gt;&lt;/keyword&gt;&lt;keyword&gt;&lt;style face="normal" font="default" size="100%"&gt;Dihydroxyphenylalanine/*analogs &amp;a</w:instrText>
      </w:r>
      <w:r w:rsidR="007829EA" w:rsidRPr="00045F85">
        <w:rPr>
          <w:rFonts w:ascii="Arial" w:eastAsia="Helvetica" w:hAnsi="Arial" w:cs="Arial"/>
          <w:color w:val="auto"/>
          <w:sz w:val="24"/>
          <w:szCs w:val="24"/>
          <w:lang w:val="en-US"/>
        </w:rPr>
        <w:instrText>mp; derivatives/pharmacokinetics&lt;/style&gt;&lt;/keyword&gt;&lt;keyword&gt;&lt;style face="normal" font="default" size="100%"&gt;Female&lt;/style&gt;&lt;/keyword&gt;&lt;keyword&gt;&lt;</w:instrText>
      </w:r>
      <w:r w:rsidRPr="00045F85">
        <w:rPr>
          <w:rFonts w:ascii="Arial" w:eastAsia="Helvetica" w:hAnsi="Arial" w:cs="Arial"/>
          <w:color w:val="auto"/>
          <w:sz w:val="24"/>
          <w:szCs w:val="24"/>
        </w:rPr>
        <w:instrText xml:space="preserve">style face="normal" font="default" size="100%"&gt;*Fluorine Radioisotopes&lt;/style&gt;&lt;/keyword&gt;&lt;keyword&gt;&lt;style face="normal" font="default" size="100%"&gt;Humans&lt;/style&gt;&lt;/keyword&gt;&lt;keyword&gt;&lt;style face="normal" font="default" size="100%"&gt;Male&lt;/style&gt;&lt;/keyword&gt;&lt;keyword&gt;&lt;style face="normal" font="default" size="100%"&gt;Middle Aged&lt;/style&gt;&lt;/keyword&gt;&lt;keyword&gt;&lt;style face="normal" font="default" size="100%"&gt;Parkinson Disease/*diagnostic imaging&lt;/style&gt;&lt;/keyword&gt;&lt;keyword&gt;&lt;style face="normal" font="default" size="100%"&gt;*Tomography, Emission-Computed&lt;/style&gt;&lt;/keyword&gt;&lt;/keywords&gt;&lt;dates&gt;&lt;year&gt;&lt;style face="normal" font="default" size="100%"&gt;1994&lt;/style&gt;&lt;/year&gt;&lt;pub-dates&gt;&lt;date&gt;&lt;style face="normal" font="default" size="100%"&gt;Jun&lt;/style&gt;&lt;/date&gt;&lt;/pub-dates&gt;&lt;/dates&gt;&lt;isbn&gt;&lt;style face="normal" font="default" size="100%"&gt;0161-5505 (Print) 0161-5505 (Linking)&lt;/style&gt;&lt;/isbn&gt;&lt;accession-num&gt;&lt;style face="normal" font="default" size="100%"&gt;8195882&lt;/style&gt;&lt;/accession-num&gt;&lt;abstract&gt;&lt;style face="normal" font="default" size="100%"&gt;UNLABELLED: PET has been used to quantify striatal 6-[18F]fluoro-L-dopa (FDOPA) uptake as a measure of presynaptic dopaminergic function. Striatal FDOPA uptake rate constants (Ki) can be calculated using dynamic PET imaging with measurements of the plasma FDOPA input function determined either directly or by several estimation procedures. METHODS: We </w:instrText>
      </w:r>
      <w:r w:rsidRPr="00045F85">
        <w:rPr>
          <w:rFonts w:ascii="Arial" w:eastAsia="Helvetica" w:hAnsi="Arial" w:cs="Arial"/>
          <w:color w:val="auto"/>
          <w:sz w:val="24"/>
          <w:szCs w:val="24"/>
          <w:lang w:val="en-US"/>
        </w:rPr>
        <w:instrText>assessed the comparative clinical utility of these methods by calculating the striato-occipital ratio (SOR) and striatal Ki values in 12 patients with mild to moderate PD and 12 age-matched normal volunteers. The plasma FDOPA time-activity curve (KiFD); the plasma 18F time-activity curve (KiP); the occipital time-activity curve (KiOCC); and a simplified population-derived FDOPA input function (KiEFD) were used to calculate striatal Ki. RESULTS: Mean values for all striatal Ki estimates and SOR were significantly lower in the PD group. Although all measured parameters discriminated PD patients from normals, KiFD and KiEFD provided the best between-group separation. KiFD, KiEFD and KiOCC measures correlated significantly with quantitative disease severity ratings, although KiFD predicted quantitative clinical disability most accurately. CONCLUSION: These results suggest that KiFD may be an optimal marker of the parkinsonian disease process. KiEFD may be a useful alternative to KiFD for most clinical research applications.&lt;/style&gt;&lt;/abstract&gt;&lt;notes&gt;&lt;style face="normal" font="default" size="100%"&gt;Takikawa, S Dhawan, V Chaly, T Robeson, W Dahl, R Zanzi, I Mandel, F Spetsieris, P Eidelberg, D eng Comparative Study Research Support, Non-U.S. Gov't 1994/06/01 J Nucl Med. 1994 Jun;35(6):955-63.&lt;/style&gt;&lt;/notes&gt;&lt;urls&gt;&lt;related-urls&gt;&lt;url&gt;&lt;style face="normal" font="default" size="100%"&gt;https://www.ncbi.nlm.nih.gov/pubmed/8195882&lt;/style&gt;&lt;/url&gt;&lt;/related-urls&gt;&lt;/urls&gt;&lt;/record&gt;&lt;/Cite&gt;&lt;/EndNote&gt;</w:instrText>
      </w:r>
      <w:r w:rsidR="007829EA" w:rsidRPr="00045F85">
        <w:rPr>
          <w:rFonts w:ascii="Arial" w:eastAsia="Helvetica" w:hAnsi="Arial" w:cs="Arial"/>
          <w:color w:val="auto"/>
          <w:sz w:val="24"/>
          <w:szCs w:val="24"/>
        </w:rPr>
        <w:fldChar w:fldCharType="separate"/>
      </w:r>
      <w:r w:rsidR="001556D7" w:rsidRPr="00045F85">
        <w:rPr>
          <w:rFonts w:ascii="Arial" w:hAnsi="Arial" w:cs="Arial"/>
          <w:color w:val="auto"/>
          <w:sz w:val="24"/>
          <w:szCs w:val="24"/>
          <w:lang w:val="en-US"/>
        </w:rPr>
        <w:t>[122</w:t>
      </w:r>
      <w:r w:rsidRPr="00045F85">
        <w:rPr>
          <w:rFonts w:ascii="Arial" w:hAnsi="Arial" w:cs="Arial"/>
          <w:color w:val="auto"/>
          <w:sz w:val="24"/>
          <w:szCs w:val="24"/>
          <w:lang w:val="en-US"/>
        </w:rPr>
        <w:t>]</w:t>
      </w:r>
      <w:r w:rsidR="007829EA" w:rsidRPr="00045F85">
        <w:rPr>
          <w:rFonts w:ascii="Arial" w:eastAsia="Helvetica" w:hAnsi="Arial" w:cs="Arial"/>
          <w:color w:val="auto"/>
          <w:sz w:val="24"/>
          <w:szCs w:val="24"/>
        </w:rPr>
        <w:fldChar w:fldCharType="end"/>
      </w:r>
      <w:r w:rsidRPr="00045F85">
        <w:rPr>
          <w:rFonts w:ascii="Arial" w:hAnsi="Arial" w:cs="Arial"/>
          <w:color w:val="auto"/>
          <w:sz w:val="24"/>
          <w:szCs w:val="24"/>
          <w:lang w:val="en-US"/>
        </w:rPr>
        <w:t xml:space="preserve">. This approach has been shown to sensitively detect the asymmetric putamen </w:t>
      </w:r>
      <w:r w:rsidR="00C4056C" w:rsidRPr="00045F85">
        <w:rPr>
          <w:rFonts w:ascii="Arial" w:hAnsi="Arial" w:cs="Arial"/>
          <w:color w:val="auto"/>
          <w:sz w:val="24"/>
          <w:szCs w:val="24"/>
        </w:rPr>
        <w:t>[</w:t>
      </w:r>
      <w:r w:rsidR="00C4056C" w:rsidRPr="00045F85">
        <w:rPr>
          <w:rFonts w:ascii="Arial" w:hAnsi="Arial" w:cs="Arial"/>
          <w:color w:val="auto"/>
          <w:sz w:val="24"/>
          <w:szCs w:val="24"/>
          <w:vertAlign w:val="superscript"/>
        </w:rPr>
        <w:t>18</w:t>
      </w:r>
      <w:r w:rsidR="00C4056C" w:rsidRPr="00045F85">
        <w:rPr>
          <w:rFonts w:ascii="Arial" w:hAnsi="Arial" w:cs="Arial"/>
          <w:color w:val="auto"/>
          <w:sz w:val="24"/>
          <w:szCs w:val="24"/>
        </w:rPr>
        <w:t>F]fluorodopa</w:t>
      </w:r>
      <w:r w:rsidR="00C4056C" w:rsidRPr="00045F85" w:rsidDel="001553FA">
        <w:rPr>
          <w:rFonts w:ascii="Arial" w:hAnsi="Arial" w:cs="Arial"/>
          <w:color w:val="auto"/>
          <w:sz w:val="24"/>
          <w:szCs w:val="24"/>
          <w:vertAlign w:val="superscript"/>
          <w:lang w:val="en-US"/>
        </w:rPr>
        <w:t xml:space="preserve"> </w:t>
      </w:r>
      <w:r w:rsidRPr="00045F85">
        <w:rPr>
          <w:rFonts w:ascii="Arial" w:hAnsi="Arial" w:cs="Arial"/>
          <w:color w:val="auto"/>
          <w:sz w:val="24"/>
          <w:szCs w:val="24"/>
          <w:lang w:val="en-US"/>
        </w:rPr>
        <w:t xml:space="preserve">reductions present in </w:t>
      </w:r>
      <w:r w:rsidR="00C50694" w:rsidRPr="00045F85">
        <w:rPr>
          <w:rFonts w:ascii="Arial" w:hAnsi="Arial" w:cs="Arial"/>
          <w:color w:val="auto"/>
          <w:sz w:val="24"/>
          <w:szCs w:val="24"/>
          <w:lang w:val="en-US"/>
        </w:rPr>
        <w:t>IPD</w:t>
      </w:r>
      <w:r w:rsidRPr="00045F85">
        <w:rPr>
          <w:rFonts w:ascii="Arial" w:hAnsi="Arial" w:cs="Arial"/>
          <w:color w:val="auto"/>
          <w:sz w:val="24"/>
          <w:szCs w:val="24"/>
          <w:lang w:val="en-US"/>
        </w:rPr>
        <w:t xml:space="preserve"> and the SOR reductions correlate with ratings of disability. </w:t>
      </w:r>
    </w:p>
    <w:p w14:paraId="0584CC4B" w14:textId="77777777" w:rsidR="004148E5" w:rsidRPr="00045F85" w:rsidRDefault="004148E5" w:rsidP="00293DE8">
      <w:pPr>
        <w:pStyle w:val="Default"/>
        <w:ind w:left="720" w:right="6"/>
        <w:rPr>
          <w:rFonts w:ascii="Arial" w:hAnsi="Arial" w:cs="Arial"/>
          <w:color w:val="auto"/>
          <w:sz w:val="24"/>
          <w:szCs w:val="24"/>
          <w:lang w:val="en-US"/>
        </w:rPr>
      </w:pPr>
    </w:p>
    <w:p w14:paraId="71B5F26E" w14:textId="45451619" w:rsidR="004148E5" w:rsidRPr="00045F85" w:rsidRDefault="004148E5" w:rsidP="009D6B35">
      <w:pPr>
        <w:pStyle w:val="Default"/>
        <w:numPr>
          <w:ilvl w:val="0"/>
          <w:numId w:val="17"/>
        </w:numPr>
        <w:ind w:right="6"/>
        <w:rPr>
          <w:rFonts w:ascii="Arial" w:hAnsi="Arial" w:cs="Arial"/>
          <w:color w:val="auto"/>
          <w:sz w:val="24"/>
          <w:szCs w:val="24"/>
          <w:lang w:val="en-US"/>
        </w:rPr>
      </w:pPr>
      <w:r w:rsidRPr="00045F85">
        <w:rPr>
          <w:rFonts w:ascii="Arial" w:hAnsi="Arial" w:cs="Arial"/>
          <w:color w:val="auto"/>
          <w:sz w:val="24"/>
          <w:szCs w:val="24"/>
        </w:rPr>
        <w:t>When a dynamic acquisition is performed, it is possible to compute [</w:t>
      </w:r>
      <w:r w:rsidR="0015131D" w:rsidRPr="00045F85">
        <w:rPr>
          <w:rFonts w:cs="Arial"/>
          <w:color w:val="auto"/>
          <w:vertAlign w:val="superscript"/>
        </w:rPr>
        <w:t>18</w:t>
      </w:r>
      <w:r w:rsidR="0015131D" w:rsidRPr="00045F85">
        <w:rPr>
          <w:rFonts w:cs="Arial"/>
          <w:color w:val="auto"/>
        </w:rPr>
        <w:t>F</w:t>
      </w:r>
      <w:r w:rsidRPr="00045F85">
        <w:rPr>
          <w:rFonts w:ascii="Arial" w:hAnsi="Arial" w:cs="Arial"/>
          <w:color w:val="auto"/>
          <w:sz w:val="24"/>
          <w:szCs w:val="24"/>
        </w:rPr>
        <w:t>]fluorodopa influx con</w:t>
      </w:r>
      <w:r w:rsidR="000110CE" w:rsidRPr="00045F85">
        <w:rPr>
          <w:rFonts w:ascii="Arial" w:hAnsi="Arial" w:cs="Arial"/>
          <w:color w:val="auto"/>
          <w:sz w:val="24"/>
          <w:szCs w:val="24"/>
        </w:rPr>
        <w:t>stants (Ki) from the brain time-</w:t>
      </w:r>
      <w:r w:rsidRPr="00045F85">
        <w:rPr>
          <w:rFonts w:ascii="Arial" w:hAnsi="Arial" w:cs="Arial"/>
          <w:color w:val="auto"/>
          <w:sz w:val="24"/>
          <w:szCs w:val="24"/>
        </w:rPr>
        <w:t>activity curves (TACs). In fact Parametric images of specific [</w:t>
      </w:r>
      <w:r w:rsidR="0015131D" w:rsidRPr="00045F85">
        <w:rPr>
          <w:rFonts w:cs="Arial"/>
          <w:color w:val="auto"/>
          <w:vertAlign w:val="superscript"/>
        </w:rPr>
        <w:t>18</w:t>
      </w:r>
      <w:r w:rsidR="0015131D" w:rsidRPr="00045F85">
        <w:rPr>
          <w:rFonts w:cs="Arial"/>
          <w:color w:val="auto"/>
        </w:rPr>
        <w:t>F</w:t>
      </w:r>
      <w:r w:rsidRPr="00045F85">
        <w:rPr>
          <w:rFonts w:ascii="Arial" w:hAnsi="Arial" w:cs="Arial"/>
          <w:color w:val="auto"/>
          <w:sz w:val="24"/>
          <w:szCs w:val="24"/>
        </w:rPr>
        <w:t xml:space="preserve">]fluorodopa influx constants (Ki maps) can be  created at a voxel level for the whole brain using linear graphical analysis of </w:t>
      </w:r>
      <w:r w:rsidR="0054084D" w:rsidRPr="00045F85">
        <w:rPr>
          <w:rFonts w:ascii="Arial" w:hAnsi="Arial" w:cs="Arial"/>
          <w:color w:val="auto"/>
          <w:sz w:val="24"/>
          <w:szCs w:val="24"/>
        </w:rPr>
        <w:t>TACs</w:t>
      </w:r>
      <w:r w:rsidRPr="00045F85">
        <w:rPr>
          <w:rFonts w:ascii="Arial" w:hAnsi="Arial" w:cs="Arial"/>
          <w:color w:val="auto"/>
          <w:sz w:val="24"/>
          <w:szCs w:val="24"/>
        </w:rPr>
        <w:t xml:space="preserve"> with an occipital cortex non-specif</w:t>
      </w:r>
      <w:r w:rsidR="00FE0C80" w:rsidRPr="00045F85">
        <w:rPr>
          <w:rFonts w:ascii="Arial" w:hAnsi="Arial" w:cs="Arial"/>
          <w:color w:val="auto"/>
          <w:sz w:val="24"/>
          <w:szCs w:val="24"/>
        </w:rPr>
        <w:t>ic reference input function [124, 125</w:t>
      </w:r>
      <w:r w:rsidRPr="00045F85">
        <w:rPr>
          <w:rFonts w:ascii="Arial" w:hAnsi="Arial" w:cs="Arial"/>
          <w:color w:val="auto"/>
          <w:sz w:val="24"/>
          <w:szCs w:val="24"/>
        </w:rPr>
        <w:t xml:space="preserve">]. The Ki </w:t>
      </w:r>
      <w:r w:rsidR="009D0297" w:rsidRPr="00045F85">
        <w:rPr>
          <w:rFonts w:ascii="Arial" w:hAnsi="Arial" w:cs="Arial"/>
          <w:color w:val="auto"/>
          <w:sz w:val="24"/>
          <w:szCs w:val="24"/>
        </w:rPr>
        <w:t xml:space="preserve">is the product of the free </w:t>
      </w:r>
      <w:r w:rsidR="004E213C" w:rsidRPr="00045F85">
        <w:rPr>
          <w:rFonts w:ascii="Arial" w:hAnsi="Arial" w:cs="Arial"/>
          <w:color w:val="auto"/>
          <w:sz w:val="24"/>
          <w:szCs w:val="24"/>
        </w:rPr>
        <w:t>[</w:t>
      </w:r>
      <w:r w:rsidR="0015131D" w:rsidRPr="00045F85">
        <w:rPr>
          <w:rFonts w:cs="Arial"/>
          <w:color w:val="auto"/>
          <w:vertAlign w:val="superscript"/>
        </w:rPr>
        <w:t>18</w:t>
      </w:r>
      <w:r w:rsidR="0015131D" w:rsidRPr="00045F85">
        <w:rPr>
          <w:rFonts w:cs="Arial"/>
          <w:color w:val="auto"/>
        </w:rPr>
        <w:t>F</w:t>
      </w:r>
      <w:r w:rsidR="004E213C" w:rsidRPr="00045F85">
        <w:rPr>
          <w:rFonts w:ascii="Arial" w:hAnsi="Arial" w:cs="Arial"/>
          <w:color w:val="auto"/>
          <w:sz w:val="24"/>
          <w:szCs w:val="24"/>
        </w:rPr>
        <w:t xml:space="preserve">]fluorodopa </w:t>
      </w:r>
      <w:r w:rsidR="009D0297" w:rsidRPr="00045F85">
        <w:rPr>
          <w:rFonts w:ascii="Arial" w:hAnsi="Arial" w:cs="Arial"/>
          <w:color w:val="auto"/>
          <w:sz w:val="24"/>
          <w:szCs w:val="24"/>
        </w:rPr>
        <w:t>brain volume of distribution (Vd) at equilibrium</w:t>
      </w:r>
      <w:r w:rsidR="007672B2" w:rsidRPr="00045F85">
        <w:rPr>
          <w:rFonts w:ascii="Arial" w:hAnsi="Arial" w:cs="Arial"/>
          <w:color w:val="auto"/>
          <w:sz w:val="24"/>
          <w:szCs w:val="24"/>
        </w:rPr>
        <w:t>,</w:t>
      </w:r>
      <w:r w:rsidR="009D0297" w:rsidRPr="00045F85">
        <w:rPr>
          <w:rFonts w:ascii="Arial" w:hAnsi="Arial" w:cs="Arial"/>
          <w:color w:val="auto"/>
          <w:sz w:val="24"/>
          <w:szCs w:val="24"/>
        </w:rPr>
        <w:t xml:space="preserve"> and the decarboxylation rate constant k</w:t>
      </w:r>
      <w:r w:rsidR="009D0297" w:rsidRPr="00045F85">
        <w:rPr>
          <w:rFonts w:ascii="Arial" w:hAnsi="Arial" w:cs="Arial"/>
          <w:color w:val="auto"/>
          <w:sz w:val="24"/>
          <w:szCs w:val="24"/>
          <w:vertAlign w:val="subscript"/>
        </w:rPr>
        <w:t>3</w:t>
      </w:r>
      <w:r w:rsidR="000E7979" w:rsidRPr="00045F85">
        <w:rPr>
          <w:rFonts w:ascii="Arial" w:hAnsi="Arial" w:cs="Arial"/>
          <w:color w:val="auto"/>
          <w:sz w:val="24"/>
          <w:szCs w:val="24"/>
          <w:vertAlign w:val="subscript"/>
        </w:rPr>
        <w:t xml:space="preserve"> </w:t>
      </w:r>
      <w:r w:rsidR="000E7979" w:rsidRPr="00045F85">
        <w:rPr>
          <w:rFonts w:ascii="Arial" w:hAnsi="Arial" w:cs="Arial"/>
          <w:color w:val="auto"/>
          <w:sz w:val="24"/>
          <w:szCs w:val="24"/>
        </w:rPr>
        <w:t>[126, 127]</w:t>
      </w:r>
      <w:r w:rsidR="009D0297" w:rsidRPr="00045F85">
        <w:rPr>
          <w:rFonts w:ascii="Arial" w:hAnsi="Arial" w:cs="Arial"/>
          <w:color w:val="auto"/>
          <w:sz w:val="24"/>
          <w:szCs w:val="24"/>
        </w:rPr>
        <w:t>.</w:t>
      </w:r>
      <w:r w:rsidR="009D0297" w:rsidRPr="00045F85">
        <w:rPr>
          <w:rFonts w:ascii="Arial" w:hAnsi="Arial" w:cs="Arial"/>
          <w:color w:val="auto"/>
          <w:sz w:val="24"/>
          <w:szCs w:val="24"/>
          <w:vertAlign w:val="subscript"/>
        </w:rPr>
        <w:t xml:space="preserve"> </w:t>
      </w:r>
      <w:r w:rsidR="009D0297" w:rsidRPr="00045F85">
        <w:rPr>
          <w:rFonts w:ascii="Arial" w:hAnsi="Arial" w:cs="Arial"/>
          <w:color w:val="auto"/>
          <w:sz w:val="24"/>
          <w:szCs w:val="24"/>
        </w:rPr>
        <w:t xml:space="preserve">Basically, </w:t>
      </w:r>
      <w:r w:rsidR="00C83166" w:rsidRPr="00045F85">
        <w:rPr>
          <w:rFonts w:ascii="Arial" w:hAnsi="Arial" w:cs="Arial"/>
          <w:color w:val="auto"/>
          <w:sz w:val="24"/>
          <w:szCs w:val="24"/>
        </w:rPr>
        <w:t>K1</w:t>
      </w:r>
      <w:r w:rsidRPr="00045F85">
        <w:rPr>
          <w:rFonts w:ascii="Arial" w:hAnsi="Arial" w:cs="Arial"/>
          <w:color w:val="auto"/>
          <w:sz w:val="24"/>
          <w:szCs w:val="24"/>
        </w:rPr>
        <w:t xml:space="preserve"> </w:t>
      </w:r>
      <w:r w:rsidR="00C83166" w:rsidRPr="00045F85">
        <w:rPr>
          <w:rFonts w:ascii="Arial" w:hAnsi="Arial" w:cs="Arial"/>
          <w:color w:val="auto"/>
          <w:sz w:val="24"/>
          <w:szCs w:val="24"/>
        </w:rPr>
        <w:t xml:space="preserve">is </w:t>
      </w:r>
      <w:r w:rsidRPr="00045F85">
        <w:rPr>
          <w:rFonts w:ascii="Arial" w:hAnsi="Arial" w:cs="Arial"/>
          <w:color w:val="auto"/>
          <w:sz w:val="24"/>
          <w:szCs w:val="24"/>
        </w:rPr>
        <w:t>thought to reflect [</w:t>
      </w:r>
      <w:r w:rsidR="0015131D" w:rsidRPr="00045F85">
        <w:rPr>
          <w:rFonts w:cs="Arial"/>
          <w:color w:val="auto"/>
          <w:vertAlign w:val="superscript"/>
        </w:rPr>
        <w:t>18</w:t>
      </w:r>
      <w:r w:rsidR="0015131D" w:rsidRPr="00045F85">
        <w:rPr>
          <w:rFonts w:cs="Arial"/>
          <w:color w:val="auto"/>
        </w:rPr>
        <w:t>F</w:t>
      </w:r>
      <w:r w:rsidRPr="00045F85">
        <w:rPr>
          <w:rFonts w:ascii="Arial" w:hAnsi="Arial" w:cs="Arial"/>
          <w:color w:val="auto"/>
          <w:sz w:val="24"/>
          <w:szCs w:val="24"/>
        </w:rPr>
        <w:t xml:space="preserve">]fluorodopa transport from arterial plasma over the blood brain barrier into the dopaminergic neurons and the </w:t>
      </w:r>
      <w:r w:rsidR="00962BF9" w:rsidRPr="00045F85">
        <w:rPr>
          <w:rFonts w:ascii="Arial" w:hAnsi="Arial" w:cs="Arial"/>
          <w:color w:val="auto"/>
          <w:sz w:val="24"/>
          <w:szCs w:val="24"/>
          <w:lang w:val="en-US"/>
        </w:rPr>
        <w:t xml:space="preserve">decarboxylation </w:t>
      </w:r>
      <w:r w:rsidRPr="00045F85">
        <w:rPr>
          <w:rFonts w:ascii="Arial" w:hAnsi="Arial" w:cs="Arial"/>
          <w:color w:val="auto"/>
          <w:sz w:val="24"/>
          <w:szCs w:val="24"/>
        </w:rPr>
        <w:t>of [</w:t>
      </w:r>
      <w:r w:rsidR="0015131D" w:rsidRPr="00045F85">
        <w:rPr>
          <w:rFonts w:cs="Arial"/>
          <w:color w:val="auto"/>
          <w:vertAlign w:val="superscript"/>
        </w:rPr>
        <w:t>18</w:t>
      </w:r>
      <w:r w:rsidR="0015131D" w:rsidRPr="00045F85">
        <w:rPr>
          <w:rFonts w:cs="Arial"/>
          <w:color w:val="auto"/>
        </w:rPr>
        <w:t>F</w:t>
      </w:r>
      <w:r w:rsidRPr="00045F85">
        <w:rPr>
          <w:rFonts w:ascii="Arial" w:hAnsi="Arial" w:cs="Arial"/>
          <w:color w:val="auto"/>
          <w:sz w:val="24"/>
          <w:szCs w:val="24"/>
        </w:rPr>
        <w:t>]fluo</w:t>
      </w:r>
      <w:r w:rsidR="00FE0C80" w:rsidRPr="00045F85">
        <w:rPr>
          <w:rFonts w:ascii="Arial" w:hAnsi="Arial" w:cs="Arial"/>
          <w:color w:val="auto"/>
          <w:sz w:val="24"/>
          <w:szCs w:val="24"/>
        </w:rPr>
        <w:t>rodopa to [</w:t>
      </w:r>
      <w:r w:rsidR="0015131D" w:rsidRPr="00045F85">
        <w:rPr>
          <w:rFonts w:cs="Arial"/>
          <w:color w:val="auto"/>
          <w:vertAlign w:val="superscript"/>
        </w:rPr>
        <w:t>18</w:t>
      </w:r>
      <w:r w:rsidR="0015131D" w:rsidRPr="00045F85">
        <w:rPr>
          <w:rFonts w:cs="Arial"/>
          <w:color w:val="auto"/>
        </w:rPr>
        <w:t>F</w:t>
      </w:r>
      <w:r w:rsidR="00FE0C80" w:rsidRPr="00045F85">
        <w:rPr>
          <w:rFonts w:ascii="Arial" w:hAnsi="Arial" w:cs="Arial"/>
          <w:color w:val="auto"/>
          <w:sz w:val="24"/>
          <w:szCs w:val="24"/>
        </w:rPr>
        <w:t>]-Dopamine  [126</w:t>
      </w:r>
      <w:r w:rsidR="005A6865" w:rsidRPr="00045F85">
        <w:rPr>
          <w:rFonts w:ascii="Arial" w:hAnsi="Arial" w:cs="Arial"/>
          <w:color w:val="auto"/>
          <w:sz w:val="24"/>
          <w:szCs w:val="24"/>
        </w:rPr>
        <w:t>, 127</w:t>
      </w:r>
      <w:r w:rsidRPr="00045F85">
        <w:rPr>
          <w:rFonts w:ascii="Arial" w:hAnsi="Arial" w:cs="Arial"/>
          <w:color w:val="auto"/>
          <w:sz w:val="24"/>
          <w:szCs w:val="24"/>
        </w:rPr>
        <w:t>].</w:t>
      </w:r>
      <w:r w:rsidR="00023592" w:rsidRPr="00045F85">
        <w:rPr>
          <w:rFonts w:ascii="Arial" w:hAnsi="Arial" w:cs="Arial"/>
          <w:color w:val="auto"/>
          <w:sz w:val="24"/>
          <w:szCs w:val="24"/>
        </w:rPr>
        <w:t xml:space="preserve"> </w:t>
      </w:r>
      <w:r w:rsidR="0037628F" w:rsidRPr="00045F85">
        <w:rPr>
          <w:rFonts w:ascii="Arial" w:hAnsi="Arial" w:cs="Arial"/>
          <w:color w:val="auto"/>
          <w:sz w:val="24"/>
          <w:szCs w:val="24"/>
        </w:rPr>
        <w:t xml:space="preserve">Ki is the product of the free </w:t>
      </w:r>
      <w:r w:rsidR="004E213C" w:rsidRPr="00045F85">
        <w:rPr>
          <w:rFonts w:ascii="Arial" w:hAnsi="Arial" w:cs="Arial"/>
          <w:color w:val="auto"/>
          <w:sz w:val="24"/>
          <w:szCs w:val="24"/>
        </w:rPr>
        <w:t>[</w:t>
      </w:r>
      <w:r w:rsidR="0015131D" w:rsidRPr="00045F85">
        <w:rPr>
          <w:rFonts w:cs="Arial"/>
          <w:color w:val="auto"/>
          <w:vertAlign w:val="superscript"/>
        </w:rPr>
        <w:t>18</w:t>
      </w:r>
      <w:r w:rsidR="0015131D" w:rsidRPr="00045F85">
        <w:rPr>
          <w:rFonts w:cs="Arial"/>
          <w:color w:val="auto"/>
        </w:rPr>
        <w:t>F</w:t>
      </w:r>
      <w:r w:rsidR="004E213C" w:rsidRPr="00045F85">
        <w:rPr>
          <w:rFonts w:ascii="Arial" w:hAnsi="Arial" w:cs="Arial"/>
          <w:color w:val="auto"/>
          <w:sz w:val="24"/>
          <w:szCs w:val="24"/>
        </w:rPr>
        <w:t xml:space="preserve">]fluorodopa </w:t>
      </w:r>
      <w:r w:rsidR="0037628F" w:rsidRPr="00045F85">
        <w:rPr>
          <w:rFonts w:ascii="Arial" w:hAnsi="Arial" w:cs="Arial"/>
          <w:color w:val="auto"/>
          <w:sz w:val="24"/>
          <w:szCs w:val="24"/>
        </w:rPr>
        <w:t>brain volume of distribution (Vd) at equilibrium and the decarboxylation rate constant k</w:t>
      </w:r>
      <w:r w:rsidR="0037628F" w:rsidRPr="00045F85">
        <w:rPr>
          <w:rFonts w:ascii="Arial" w:hAnsi="Arial" w:cs="Arial"/>
          <w:color w:val="auto"/>
          <w:sz w:val="24"/>
          <w:szCs w:val="24"/>
          <w:vertAlign w:val="subscript"/>
        </w:rPr>
        <w:t xml:space="preserve">3 </w:t>
      </w:r>
      <w:r w:rsidR="0037628F" w:rsidRPr="00045F85">
        <w:rPr>
          <w:rFonts w:ascii="Arial" w:hAnsi="Arial" w:cs="Arial"/>
          <w:color w:val="auto"/>
          <w:sz w:val="24"/>
          <w:szCs w:val="24"/>
        </w:rPr>
        <w:t>[127</w:t>
      </w:r>
      <w:r w:rsidR="0037628F" w:rsidRPr="00045F85">
        <w:rPr>
          <w:rFonts w:ascii="Arial" w:eastAsia="Helvetica" w:hAnsi="Arial" w:cs="Arial"/>
          <w:color w:val="auto"/>
          <w:sz w:val="24"/>
          <w:szCs w:val="24"/>
          <w:vertAlign w:val="subscript"/>
        </w:rPr>
        <w:fldChar w:fldCharType="begin"/>
      </w:r>
      <w:r w:rsidR="0037628F" w:rsidRPr="00045F85">
        <w:rPr>
          <w:rFonts w:ascii="Arial" w:eastAsia="Helvetica" w:hAnsi="Arial" w:cs="Arial"/>
          <w:color w:val="auto"/>
          <w:sz w:val="24"/>
          <w:szCs w:val="24"/>
          <w:vertAlign w:val="subscript"/>
        </w:rPr>
        <w:instrText xml:space="preserve"> ADDIN EN.CITE &lt;EndNote&gt;&lt;Cite  &gt;&lt;Author&gt;Patlak,C.S.; Blasberg,R.G.; Fenstermacher,J.D.&lt;/Author&gt;&lt;Year&gt;1983&lt;/Year&gt;&lt;Prefix&gt;&lt;/Prefix&gt;&lt;Suffix&gt;&lt;/Suffix&gt;&lt;Pages&gt;&lt;/Pages&gt;&lt;DisplayText&gt;[3]&lt;/DisplayText&gt;&lt;record&gt;&lt;database name="david.enl" path="/Users/au462907/Documents/Endnote/david.enl"&gt;david.enl&lt;/database&gt;&lt;source-app name="EndNote" version="18.1"&gt;EndNote&lt;/source-app&gt;&lt;rec-number&gt;164&lt;/rec-number&gt;&lt;foreign-keys&gt;&lt;key app="EN" db-id="vss0ewepy5fzvmea0wevv0w10sa2af9xpxww"&gt;164&lt;/key&gt;&lt;/foreign-keys&gt;&lt;ref-type name="Journal Article"&gt;17&lt;/ref-type&gt;&lt;contributors&gt;&lt;authors&gt;&lt;author&gt;&lt;style face="normal" font="default" size="100%"&gt;Patlak,C.S.&lt;/style&gt;&lt;/author&gt;&lt;author&gt;&lt;style face="normal" font="default" size="100%"&gt;Blasberg,R.G.&lt;/style&gt;&lt;/author&gt;&lt;author&gt;&lt;style face="normal" font="default" size="100%"&gt;Fenstermacher,J.D.&lt;/style&gt;&lt;/author&gt;&lt;/authors&gt;&lt;/contributors&gt;&lt;titles&gt;&lt;title&gt;&lt;style face="normal" font="default" size="100%"&gt;Graphical evaluation of blood-to-brain transfer constants from multiple-time uptake data&lt;/style&gt;&lt;/title&gt;&lt;secondary-title&gt;&lt;style face="normal" font="default" size="100%"&gt;J.Cereb.Blood.Flow.Metab.&lt;/style&gt;&lt;/secondary-title&gt;&lt;/titles&gt;&lt;pages&gt;&lt;style face="normal" font="default" size="100%"&gt;1-7&lt;/style&gt;&lt;/pages&gt;&lt;volume&gt;&lt;style face="normal" font="default" size="100%"&gt;3&lt;/style&gt;&lt;/volume&gt;&lt;keywords&gt;&lt;keyword&gt;&lt;style face="normal" font="default" size="100%"&gt;Modelling/MTGA/Fluorodopa&lt;/style&gt;&lt;/keyword&gt;&lt;/keywords&gt;&lt;dates&gt;&lt;year&gt;&lt;style face="normal" font="default" size="100%"&gt;1983&lt;/style&gt;&lt;/year&gt;&lt;/dates&gt;&lt;label&gt;&lt;style face="normal" font="default" size="100%"&gt;PBS Record: 164&lt;/style&gt;&lt;/label&gt;&lt;notes&gt;&lt;style face="normal" font="default" size="100%"&gt;(12) Not In File (42) MTGA analysis made easy (!) Original plasma model. Plot Am(t&amp;gt;t*) vs ∫Cpdt/Cp: starts at origin, later becoming a straight line with slope = ki&lt;/style&gt;&lt;/notes&gt;&lt;urls&gt;&lt;/urls&gt;&lt;/record&gt;&lt;/Cite&gt;&lt;/EndNote&gt;</w:instrText>
      </w:r>
      <w:r w:rsidR="0037628F" w:rsidRPr="00045F85">
        <w:rPr>
          <w:rFonts w:ascii="Arial" w:eastAsia="Helvetica" w:hAnsi="Arial" w:cs="Arial"/>
          <w:color w:val="auto"/>
          <w:sz w:val="24"/>
          <w:szCs w:val="24"/>
          <w:vertAlign w:val="subscript"/>
        </w:rPr>
        <w:fldChar w:fldCharType="separate"/>
      </w:r>
      <w:r w:rsidR="0037628F" w:rsidRPr="00045F85">
        <w:rPr>
          <w:rFonts w:ascii="Arial" w:hAnsi="Arial" w:cs="Arial"/>
          <w:color w:val="auto"/>
          <w:sz w:val="24"/>
          <w:szCs w:val="24"/>
        </w:rPr>
        <w:t>]</w:t>
      </w:r>
      <w:r w:rsidR="0037628F" w:rsidRPr="00045F85">
        <w:rPr>
          <w:rFonts w:ascii="Arial" w:eastAsia="Helvetica" w:hAnsi="Arial" w:cs="Arial"/>
          <w:color w:val="auto"/>
          <w:sz w:val="24"/>
          <w:szCs w:val="24"/>
          <w:vertAlign w:val="subscript"/>
        </w:rPr>
        <w:fldChar w:fldCharType="end"/>
      </w:r>
      <w:r w:rsidR="0037628F" w:rsidRPr="00045F85">
        <w:rPr>
          <w:rFonts w:ascii="Arial" w:hAnsi="Arial" w:cs="Arial"/>
          <w:color w:val="auto"/>
          <w:sz w:val="24"/>
          <w:szCs w:val="24"/>
        </w:rPr>
        <w:t xml:space="preserve">. </w:t>
      </w:r>
      <w:r w:rsidR="00023592" w:rsidRPr="00045F85">
        <w:rPr>
          <w:rFonts w:ascii="Arial" w:hAnsi="Arial" w:cs="Arial"/>
          <w:color w:val="auto"/>
          <w:sz w:val="24"/>
          <w:szCs w:val="24"/>
        </w:rPr>
        <w:t xml:space="preserve">Ideally, this graphical approach requires a metabolite corrected plasma input function. </w:t>
      </w:r>
      <w:r w:rsidRPr="00045F85">
        <w:rPr>
          <w:rFonts w:ascii="Arial" w:hAnsi="Arial" w:cs="Arial"/>
          <w:color w:val="auto"/>
          <w:sz w:val="24"/>
          <w:szCs w:val="24"/>
        </w:rPr>
        <w:t>Nevertheless, a reference</w:t>
      </w:r>
      <w:r w:rsidR="000A1824" w:rsidRPr="00045F85">
        <w:rPr>
          <w:rFonts w:ascii="Arial" w:hAnsi="Arial" w:cs="Arial"/>
          <w:color w:val="auto"/>
          <w:sz w:val="24"/>
          <w:szCs w:val="24"/>
        </w:rPr>
        <w:t xml:space="preserve"> region like occipital cortex (</w:t>
      </w:r>
      <w:r w:rsidRPr="00045F85">
        <w:rPr>
          <w:rFonts w:ascii="Arial" w:hAnsi="Arial" w:cs="Arial"/>
          <w:color w:val="auto"/>
          <w:sz w:val="24"/>
          <w:szCs w:val="24"/>
        </w:rPr>
        <w:t>or cerebellum) where only minimal amounts of specific [</w:t>
      </w:r>
      <w:r w:rsidR="0015131D" w:rsidRPr="00045F85">
        <w:rPr>
          <w:rFonts w:cs="Arial"/>
          <w:color w:val="auto"/>
          <w:vertAlign w:val="superscript"/>
        </w:rPr>
        <w:t>18</w:t>
      </w:r>
      <w:r w:rsidR="0015131D" w:rsidRPr="00045F85">
        <w:rPr>
          <w:rFonts w:cs="Arial"/>
          <w:color w:val="auto"/>
        </w:rPr>
        <w:t>F</w:t>
      </w:r>
      <w:r w:rsidRPr="00045F85">
        <w:rPr>
          <w:rFonts w:ascii="Arial" w:hAnsi="Arial" w:cs="Arial"/>
          <w:color w:val="auto"/>
          <w:sz w:val="24"/>
          <w:szCs w:val="24"/>
        </w:rPr>
        <w:t>]fluorodopa metabolites are assumed to exist (due negligible decarboxylation) can be used as a measure of plasma free [</w:t>
      </w:r>
      <w:r w:rsidR="0015131D" w:rsidRPr="00045F85">
        <w:rPr>
          <w:rFonts w:cs="Arial"/>
          <w:color w:val="auto"/>
          <w:vertAlign w:val="superscript"/>
        </w:rPr>
        <w:t>18</w:t>
      </w:r>
      <w:r w:rsidR="0015131D" w:rsidRPr="00045F85">
        <w:rPr>
          <w:rFonts w:cs="Arial"/>
          <w:color w:val="auto"/>
        </w:rPr>
        <w:t>F</w:t>
      </w:r>
      <w:r w:rsidRPr="00045F85">
        <w:rPr>
          <w:rFonts w:ascii="Arial" w:hAnsi="Arial" w:cs="Arial"/>
          <w:color w:val="auto"/>
          <w:sz w:val="24"/>
          <w:szCs w:val="24"/>
        </w:rPr>
        <w:t>]fluorodopa sig</w:t>
      </w:r>
      <w:r w:rsidR="005A6865" w:rsidRPr="00045F85">
        <w:rPr>
          <w:rFonts w:ascii="Arial" w:hAnsi="Arial" w:cs="Arial"/>
          <w:color w:val="auto"/>
          <w:sz w:val="24"/>
          <w:szCs w:val="24"/>
        </w:rPr>
        <w:t>nal avoiding blood sampling [128</w:t>
      </w:r>
      <w:r w:rsidRPr="00045F85">
        <w:rPr>
          <w:rFonts w:ascii="Arial" w:hAnsi="Arial" w:cs="Arial"/>
          <w:color w:val="auto"/>
          <w:sz w:val="24"/>
          <w:szCs w:val="24"/>
        </w:rPr>
        <w:t>]. The non specific activity concentration is further assumed to be identical in the striatum and in the occipital cortex.</w:t>
      </w:r>
      <w:r w:rsidR="008B5EC1" w:rsidRPr="00045F85">
        <w:rPr>
          <w:rFonts w:ascii="Arial" w:hAnsi="Arial" w:cs="Arial"/>
          <w:color w:val="auto"/>
          <w:sz w:val="24"/>
          <w:szCs w:val="24"/>
        </w:rPr>
        <w:t xml:space="preserve"> </w:t>
      </w:r>
      <w:r w:rsidRPr="00045F85">
        <w:rPr>
          <w:rFonts w:ascii="Arial" w:hAnsi="Arial" w:cs="Arial"/>
          <w:color w:val="auto"/>
          <w:sz w:val="24"/>
          <w:szCs w:val="24"/>
        </w:rPr>
        <w:t>The reference tissue derived influx constant K</w:t>
      </w:r>
      <w:r w:rsidRPr="00045F85">
        <w:rPr>
          <w:rFonts w:ascii="Arial" w:hAnsi="Arial" w:cs="Arial"/>
          <w:color w:val="auto"/>
          <w:sz w:val="24"/>
          <w:szCs w:val="24"/>
          <w:vertAlign w:val="subscript"/>
        </w:rPr>
        <w:t>i</w:t>
      </w:r>
      <w:r w:rsidR="0037628F" w:rsidRPr="00045F85">
        <w:rPr>
          <w:rFonts w:ascii="Arial" w:hAnsi="Arial" w:cs="Arial"/>
          <w:color w:val="auto"/>
          <w:sz w:val="24"/>
          <w:szCs w:val="24"/>
        </w:rPr>
        <w:t xml:space="preserve"> from brain </w:t>
      </w:r>
      <w:r w:rsidRPr="00045F85">
        <w:rPr>
          <w:rFonts w:ascii="Arial" w:hAnsi="Arial" w:cs="Arial"/>
          <w:color w:val="auto"/>
          <w:sz w:val="24"/>
          <w:szCs w:val="24"/>
        </w:rPr>
        <w:t>uptake over 30-90 minutes then becomes the product of the [</w:t>
      </w:r>
      <w:r w:rsidR="0015131D" w:rsidRPr="00045F85">
        <w:rPr>
          <w:rFonts w:cs="Arial"/>
          <w:color w:val="auto"/>
          <w:vertAlign w:val="superscript"/>
        </w:rPr>
        <w:t>18</w:t>
      </w:r>
      <w:r w:rsidR="0015131D" w:rsidRPr="00045F85">
        <w:rPr>
          <w:rFonts w:cs="Arial"/>
          <w:color w:val="auto"/>
        </w:rPr>
        <w:t>F</w:t>
      </w:r>
      <w:r w:rsidRPr="00045F85">
        <w:rPr>
          <w:rFonts w:ascii="Arial" w:hAnsi="Arial" w:cs="Arial"/>
          <w:color w:val="auto"/>
          <w:sz w:val="24"/>
          <w:szCs w:val="24"/>
        </w:rPr>
        <w:t xml:space="preserve">]fluorodopa decarboxylation rate </w:t>
      </w:r>
      <w:r w:rsidRPr="00045F85">
        <w:rPr>
          <w:rFonts w:ascii="Arial" w:hAnsi="Arial" w:cs="Arial"/>
          <w:color w:val="auto"/>
          <w:sz w:val="24"/>
          <w:szCs w:val="24"/>
        </w:rPr>
        <w:lastRenderedPageBreak/>
        <w:t>constant k3 and the ratio of free brain [</w:t>
      </w:r>
      <w:r w:rsidR="0015131D" w:rsidRPr="00045F85">
        <w:rPr>
          <w:rFonts w:cs="Arial"/>
          <w:color w:val="auto"/>
          <w:vertAlign w:val="superscript"/>
        </w:rPr>
        <w:t>18</w:t>
      </w:r>
      <w:r w:rsidR="0015131D" w:rsidRPr="00045F85">
        <w:rPr>
          <w:rFonts w:cs="Arial"/>
          <w:color w:val="auto"/>
        </w:rPr>
        <w:t>F</w:t>
      </w:r>
      <w:r w:rsidRPr="00045F85">
        <w:rPr>
          <w:rFonts w:ascii="Arial" w:hAnsi="Arial" w:cs="Arial"/>
          <w:color w:val="auto"/>
          <w:sz w:val="24"/>
          <w:szCs w:val="24"/>
        </w:rPr>
        <w:t>]fluorodopa / ([</w:t>
      </w:r>
      <w:r w:rsidR="0015131D" w:rsidRPr="00045F85">
        <w:rPr>
          <w:rFonts w:cs="Arial"/>
          <w:color w:val="auto"/>
          <w:vertAlign w:val="superscript"/>
        </w:rPr>
        <w:t>18</w:t>
      </w:r>
      <w:r w:rsidR="0015131D" w:rsidRPr="00045F85">
        <w:rPr>
          <w:rFonts w:cs="Arial"/>
          <w:color w:val="auto"/>
        </w:rPr>
        <w:t>F</w:t>
      </w:r>
      <w:r w:rsidRPr="00045F85">
        <w:rPr>
          <w:rFonts w:ascii="Arial" w:hAnsi="Arial" w:cs="Arial"/>
          <w:color w:val="auto"/>
          <w:sz w:val="24"/>
          <w:szCs w:val="24"/>
        </w:rPr>
        <w:t xml:space="preserve">]fluorodopa </w:t>
      </w:r>
      <w:r w:rsidR="00EB48E4" w:rsidRPr="00045F85">
        <w:rPr>
          <w:rFonts w:ascii="Arial" w:hAnsi="Arial" w:cs="Arial"/>
          <w:color w:val="auto"/>
          <w:sz w:val="24"/>
          <w:szCs w:val="24"/>
        </w:rPr>
        <w:t>+[</w:t>
      </w:r>
      <w:r w:rsidR="0015131D" w:rsidRPr="00045F85">
        <w:rPr>
          <w:rFonts w:cs="Arial"/>
          <w:color w:val="auto"/>
          <w:vertAlign w:val="superscript"/>
        </w:rPr>
        <w:t>18</w:t>
      </w:r>
      <w:r w:rsidR="0015131D" w:rsidRPr="00045F85">
        <w:rPr>
          <w:rFonts w:cs="Arial"/>
          <w:color w:val="auto"/>
        </w:rPr>
        <w:t>F</w:t>
      </w:r>
      <w:r w:rsidR="00EB48E4" w:rsidRPr="00045F85">
        <w:rPr>
          <w:rFonts w:ascii="Arial" w:hAnsi="Arial" w:cs="Arial"/>
          <w:color w:val="auto"/>
          <w:sz w:val="24"/>
          <w:szCs w:val="24"/>
        </w:rPr>
        <w:t>]fluoromethyldopa) Vd</w:t>
      </w:r>
      <w:r w:rsidRPr="00045F85">
        <w:rPr>
          <w:rFonts w:cs="Arial"/>
          <w:color w:val="auto"/>
        </w:rPr>
        <w:t xml:space="preserve">. </w:t>
      </w:r>
    </w:p>
    <w:p w14:paraId="177A45F9" w14:textId="77777777" w:rsidR="003C2514" w:rsidRPr="00045F85" w:rsidRDefault="003C2514" w:rsidP="00752E5E">
      <w:pPr>
        <w:pStyle w:val="Default"/>
        <w:ind w:right="6"/>
        <w:rPr>
          <w:rFonts w:ascii="Arial" w:eastAsia="Helvetica" w:hAnsi="Arial" w:cs="Arial"/>
          <w:color w:val="auto"/>
          <w:sz w:val="24"/>
          <w:szCs w:val="24"/>
          <w:lang w:val="en-US"/>
        </w:rPr>
      </w:pPr>
    </w:p>
    <w:p w14:paraId="48DB1708" w14:textId="48EC171C" w:rsidR="00CC7511" w:rsidRPr="00045F85" w:rsidRDefault="000E3943" w:rsidP="0037628F">
      <w:pPr>
        <w:pStyle w:val="Default"/>
        <w:numPr>
          <w:ilvl w:val="0"/>
          <w:numId w:val="17"/>
        </w:numPr>
        <w:ind w:right="6"/>
        <w:rPr>
          <w:rFonts w:ascii="Arial" w:hAnsi="Arial" w:cs="Arial"/>
          <w:color w:val="auto"/>
          <w:sz w:val="24"/>
          <w:szCs w:val="24"/>
          <w:lang w:val="en-US"/>
        </w:rPr>
      </w:pPr>
      <w:r w:rsidRPr="00045F85">
        <w:rPr>
          <w:rFonts w:ascii="Arial" w:hAnsi="Arial" w:cs="Arial"/>
          <w:color w:val="auto"/>
          <w:sz w:val="24"/>
          <w:szCs w:val="24"/>
          <w:lang w:val="en-US"/>
        </w:rPr>
        <w:t>In practice</w:t>
      </w:r>
      <w:r w:rsidR="00E55E72" w:rsidRPr="00045F85">
        <w:rPr>
          <w:rFonts w:ascii="Arial" w:hAnsi="Arial" w:cs="Arial"/>
          <w:color w:val="auto"/>
          <w:sz w:val="24"/>
          <w:szCs w:val="24"/>
          <w:lang w:val="en-US"/>
        </w:rPr>
        <w:t>,</w:t>
      </w:r>
      <w:r w:rsidRPr="00045F85">
        <w:rPr>
          <w:rFonts w:ascii="Arial" w:hAnsi="Arial" w:cs="Arial"/>
          <w:color w:val="auto"/>
          <w:sz w:val="24"/>
          <w:szCs w:val="24"/>
          <w:lang w:val="en-US"/>
        </w:rPr>
        <w:t xml:space="preserve"> K</w:t>
      </w:r>
      <w:r w:rsidRPr="00045F85">
        <w:rPr>
          <w:rFonts w:ascii="Arial" w:hAnsi="Arial" w:cs="Arial"/>
          <w:color w:val="auto"/>
          <w:sz w:val="24"/>
          <w:szCs w:val="24"/>
          <w:vertAlign w:val="subscript"/>
          <w:lang w:val="en-US"/>
        </w:rPr>
        <w:t xml:space="preserve">i </w:t>
      </w:r>
      <w:r w:rsidR="00752E5E" w:rsidRPr="00045F85">
        <w:rPr>
          <w:rFonts w:ascii="Arial" w:hAnsi="Arial" w:cs="Arial"/>
          <w:color w:val="auto"/>
          <w:sz w:val="24"/>
          <w:szCs w:val="24"/>
          <w:lang w:val="en-US"/>
        </w:rPr>
        <w:t xml:space="preserve">derived </w:t>
      </w:r>
      <w:r w:rsidR="0037628F" w:rsidRPr="00045F85">
        <w:rPr>
          <w:rFonts w:ascii="Arial" w:hAnsi="Arial" w:cs="Arial"/>
          <w:color w:val="auto"/>
          <w:sz w:val="24"/>
          <w:szCs w:val="24"/>
          <w:lang w:val="en-US"/>
        </w:rPr>
        <w:t>using</w:t>
      </w:r>
      <w:r w:rsidR="00752E5E" w:rsidRPr="00045F85">
        <w:rPr>
          <w:rFonts w:ascii="Arial" w:hAnsi="Arial" w:cs="Arial"/>
          <w:color w:val="auto"/>
          <w:sz w:val="24"/>
          <w:szCs w:val="24"/>
          <w:lang w:val="en-US"/>
        </w:rPr>
        <w:t xml:space="preserve"> the reference region approach and simple ratios of striatal / occipital </w:t>
      </w:r>
      <w:r w:rsidR="001553FA" w:rsidRPr="00045F85">
        <w:rPr>
          <w:rFonts w:ascii="Arial" w:hAnsi="Arial" w:cs="Arial"/>
          <w:color w:val="auto"/>
          <w:sz w:val="24"/>
          <w:szCs w:val="24"/>
        </w:rPr>
        <w:t>fluorine-18</w:t>
      </w:r>
      <w:r w:rsidR="00752E5E" w:rsidRPr="00045F85">
        <w:rPr>
          <w:rFonts w:ascii="Arial" w:hAnsi="Arial" w:cs="Arial"/>
          <w:color w:val="auto"/>
          <w:sz w:val="24"/>
          <w:szCs w:val="24"/>
          <w:lang w:val="en-US"/>
        </w:rPr>
        <w:t xml:space="preserve"> </w:t>
      </w:r>
      <w:r w:rsidR="004932A8" w:rsidRPr="00045F85">
        <w:rPr>
          <w:rFonts w:ascii="Arial" w:hAnsi="Arial" w:cs="Arial"/>
          <w:color w:val="auto"/>
          <w:sz w:val="24"/>
          <w:szCs w:val="24"/>
          <w:lang w:val="en-US"/>
        </w:rPr>
        <w:t xml:space="preserve">uptake </w:t>
      </w:r>
      <w:r w:rsidR="00752E5E" w:rsidRPr="00045F85">
        <w:rPr>
          <w:rFonts w:ascii="Arial" w:hAnsi="Arial" w:cs="Arial"/>
          <w:color w:val="auto"/>
          <w:sz w:val="24"/>
          <w:szCs w:val="24"/>
          <w:lang w:val="en-US"/>
        </w:rPr>
        <w:t>at 90 minutes are highly correlated</w:t>
      </w:r>
      <w:r w:rsidR="005828FF" w:rsidRPr="00045F85">
        <w:rPr>
          <w:rFonts w:ascii="Arial" w:hAnsi="Arial" w:cs="Arial"/>
          <w:color w:val="auto"/>
          <w:sz w:val="24"/>
          <w:szCs w:val="24"/>
          <w:lang w:val="en-US"/>
        </w:rPr>
        <w:t>,</w:t>
      </w:r>
      <w:r w:rsidR="00752E5E" w:rsidRPr="00045F85">
        <w:rPr>
          <w:rFonts w:ascii="Arial" w:hAnsi="Arial" w:cs="Arial"/>
          <w:color w:val="auto"/>
          <w:sz w:val="24"/>
          <w:szCs w:val="24"/>
          <w:lang w:val="en-US"/>
        </w:rPr>
        <w:t xml:space="preserve"> and both approaches </w:t>
      </w:r>
      <w:r w:rsidR="005828FF" w:rsidRPr="00045F85">
        <w:rPr>
          <w:rFonts w:ascii="Arial" w:hAnsi="Arial" w:cs="Arial"/>
          <w:color w:val="auto"/>
          <w:sz w:val="24"/>
          <w:szCs w:val="24"/>
          <w:lang w:val="en-US"/>
        </w:rPr>
        <w:t>differentiate</w:t>
      </w:r>
      <w:r w:rsidR="00752E5E" w:rsidRPr="00045F85">
        <w:rPr>
          <w:rFonts w:ascii="Arial" w:hAnsi="Arial" w:cs="Arial"/>
          <w:color w:val="auto"/>
          <w:sz w:val="24"/>
          <w:szCs w:val="24"/>
          <w:lang w:val="en-US"/>
        </w:rPr>
        <w:t xml:space="preserve"> early PD </w:t>
      </w:r>
      <w:r w:rsidR="00D74E88" w:rsidRPr="00045F85">
        <w:rPr>
          <w:rFonts w:ascii="Arial" w:hAnsi="Arial" w:cs="Arial"/>
          <w:color w:val="auto"/>
          <w:sz w:val="24"/>
          <w:szCs w:val="24"/>
          <w:lang w:val="en-US"/>
        </w:rPr>
        <w:t>from</w:t>
      </w:r>
      <w:r w:rsidR="00DB4647" w:rsidRPr="00045F85">
        <w:rPr>
          <w:rFonts w:ascii="Arial" w:hAnsi="Arial" w:cs="Arial"/>
          <w:color w:val="auto"/>
          <w:sz w:val="24"/>
          <w:szCs w:val="24"/>
          <w:lang w:val="en-US"/>
        </w:rPr>
        <w:t xml:space="preserve"> healthy controls. E</w:t>
      </w:r>
      <w:r w:rsidR="00752E5E" w:rsidRPr="00045F85">
        <w:rPr>
          <w:rFonts w:ascii="Arial" w:hAnsi="Arial" w:cs="Arial"/>
          <w:color w:val="auto"/>
          <w:sz w:val="24"/>
          <w:szCs w:val="24"/>
          <w:lang w:val="en-US"/>
        </w:rPr>
        <w:t xml:space="preserve">ither approach can be </w:t>
      </w:r>
      <w:r w:rsidR="00E47564" w:rsidRPr="00045F85">
        <w:rPr>
          <w:rFonts w:ascii="Arial" w:hAnsi="Arial" w:cs="Arial"/>
          <w:color w:val="auto"/>
          <w:sz w:val="24"/>
          <w:szCs w:val="24"/>
          <w:lang w:val="en-US"/>
        </w:rPr>
        <w:t>used for quantitation</w:t>
      </w:r>
      <w:r w:rsidR="0037628F" w:rsidRPr="00045F85">
        <w:rPr>
          <w:rFonts w:ascii="Arial" w:hAnsi="Arial" w:cs="Arial"/>
          <w:color w:val="auto"/>
          <w:sz w:val="24"/>
          <w:szCs w:val="24"/>
          <w:lang w:val="en-US"/>
        </w:rPr>
        <w:t xml:space="preserve"> although</w:t>
      </w:r>
      <w:r w:rsidR="0037628F" w:rsidRPr="00045F85">
        <w:rPr>
          <w:rFonts w:ascii="Arial" w:hAnsi="Arial" w:cs="Arial"/>
          <w:color w:val="auto"/>
          <w:sz w:val="24"/>
          <w:szCs w:val="24"/>
        </w:rPr>
        <w:t xml:space="preserve"> only few studies have to-date </w:t>
      </w:r>
      <w:r w:rsidR="0037628F" w:rsidRPr="00045F85">
        <w:rPr>
          <w:rFonts w:ascii="Arial" w:hAnsi="Arial" w:cs="Arial"/>
          <w:color w:val="auto"/>
          <w:sz w:val="24"/>
          <w:szCs w:val="24"/>
          <w:lang w:val="en-US"/>
        </w:rPr>
        <w:t>simplified Ki method with full kinetic analysis.</w:t>
      </w:r>
    </w:p>
    <w:p w14:paraId="180F62E1" w14:textId="77777777" w:rsidR="00CC7511" w:rsidRPr="00045F85" w:rsidRDefault="00CC7511" w:rsidP="00752E5E">
      <w:pPr>
        <w:pStyle w:val="Default"/>
        <w:ind w:right="6"/>
        <w:rPr>
          <w:rFonts w:ascii="Arial" w:hAnsi="Arial" w:cs="Arial"/>
          <w:color w:val="auto"/>
          <w:sz w:val="24"/>
          <w:szCs w:val="24"/>
          <w:lang w:val="en-US"/>
        </w:rPr>
      </w:pPr>
    </w:p>
    <w:p w14:paraId="21510478" w14:textId="7248BF0E" w:rsidR="003C2514" w:rsidRPr="00045F85" w:rsidRDefault="003C2514" w:rsidP="009D6B35">
      <w:pPr>
        <w:pStyle w:val="Default"/>
        <w:numPr>
          <w:ilvl w:val="0"/>
          <w:numId w:val="17"/>
        </w:numPr>
        <w:ind w:right="6"/>
        <w:rPr>
          <w:rFonts w:ascii="Arial" w:eastAsia="Helvetica" w:hAnsi="Arial" w:cs="Arial"/>
          <w:color w:val="auto"/>
          <w:sz w:val="24"/>
          <w:szCs w:val="24"/>
          <w:lang w:val="en-US"/>
        </w:rPr>
      </w:pPr>
      <w:r w:rsidRPr="00045F85">
        <w:rPr>
          <w:rFonts w:ascii="Arial" w:hAnsi="Arial" w:cs="Arial"/>
          <w:color w:val="auto"/>
          <w:sz w:val="24"/>
          <w:szCs w:val="24"/>
          <w:lang w:val="en-US"/>
        </w:rPr>
        <w:t xml:space="preserve"> </w:t>
      </w:r>
      <w:r w:rsidR="00752E5E" w:rsidRPr="00045F85">
        <w:rPr>
          <w:rFonts w:ascii="Arial" w:hAnsi="Arial" w:cs="Arial"/>
          <w:color w:val="auto"/>
          <w:sz w:val="24"/>
          <w:szCs w:val="24"/>
          <w:lang w:val="en-US"/>
        </w:rPr>
        <w:t xml:space="preserve">An advantage of the </w:t>
      </w:r>
      <w:r w:rsidR="000E3943" w:rsidRPr="00045F85">
        <w:rPr>
          <w:rFonts w:ascii="Arial" w:hAnsi="Arial" w:cs="Arial"/>
          <w:color w:val="auto"/>
          <w:sz w:val="24"/>
          <w:szCs w:val="24"/>
          <w:lang w:val="en-US"/>
        </w:rPr>
        <w:t>K</w:t>
      </w:r>
      <w:r w:rsidR="000E3943" w:rsidRPr="00045F85">
        <w:rPr>
          <w:rFonts w:ascii="Arial" w:hAnsi="Arial" w:cs="Arial"/>
          <w:color w:val="auto"/>
          <w:sz w:val="24"/>
          <w:szCs w:val="24"/>
          <w:vertAlign w:val="subscript"/>
          <w:lang w:val="en-US"/>
        </w:rPr>
        <w:t>i</w:t>
      </w:r>
      <w:r w:rsidR="00752E5E" w:rsidRPr="00045F85">
        <w:rPr>
          <w:rFonts w:ascii="Arial" w:hAnsi="Arial" w:cs="Arial"/>
          <w:color w:val="auto"/>
          <w:sz w:val="24"/>
          <w:szCs w:val="24"/>
          <w:lang w:val="en-US"/>
        </w:rPr>
        <w:t xml:space="preserve"> over the ratio approach is that it provides a more direct measure of the </w:t>
      </w:r>
      <w:r w:rsidR="00631E23" w:rsidRPr="00045F85">
        <w:rPr>
          <w:rFonts w:ascii="Arial" w:hAnsi="Arial" w:cs="Arial"/>
          <w:color w:val="auto"/>
          <w:sz w:val="24"/>
          <w:szCs w:val="24"/>
        </w:rPr>
        <w:t>[</w:t>
      </w:r>
      <w:r w:rsidR="00631E23" w:rsidRPr="00045F85">
        <w:rPr>
          <w:rFonts w:ascii="Arial" w:hAnsi="Arial" w:cs="Arial"/>
          <w:color w:val="auto"/>
          <w:sz w:val="24"/>
          <w:szCs w:val="24"/>
          <w:vertAlign w:val="superscript"/>
        </w:rPr>
        <w:t>18</w:t>
      </w:r>
      <w:r w:rsidR="00631E23" w:rsidRPr="00045F85">
        <w:rPr>
          <w:rFonts w:ascii="Arial" w:hAnsi="Arial" w:cs="Arial"/>
          <w:color w:val="auto"/>
          <w:sz w:val="24"/>
          <w:szCs w:val="24"/>
        </w:rPr>
        <w:t xml:space="preserve">F]fluorodopa </w:t>
      </w:r>
      <w:r w:rsidR="00752E5E" w:rsidRPr="00045F85">
        <w:rPr>
          <w:rFonts w:ascii="Arial" w:hAnsi="Arial" w:cs="Arial"/>
          <w:color w:val="auto"/>
          <w:sz w:val="24"/>
          <w:szCs w:val="24"/>
          <w:lang w:val="en-US"/>
        </w:rPr>
        <w:t xml:space="preserve">decarboxylation rate constant. </w:t>
      </w:r>
    </w:p>
    <w:p w14:paraId="3C2521F2" w14:textId="77777777" w:rsidR="003C2514" w:rsidRPr="00045F85" w:rsidRDefault="003C2514" w:rsidP="006C307B">
      <w:pPr>
        <w:pStyle w:val="Listenabsatz"/>
        <w:numPr>
          <w:ilvl w:val="0"/>
          <w:numId w:val="0"/>
        </w:numPr>
        <w:ind w:left="720"/>
        <w:rPr>
          <w:color w:val="auto"/>
        </w:rPr>
      </w:pPr>
    </w:p>
    <w:p w14:paraId="77941D26" w14:textId="1D83174D" w:rsidR="003C2514" w:rsidRPr="00045F85" w:rsidRDefault="00DE2092" w:rsidP="009D6B35">
      <w:pPr>
        <w:pStyle w:val="Default"/>
        <w:numPr>
          <w:ilvl w:val="0"/>
          <w:numId w:val="17"/>
        </w:numPr>
        <w:ind w:right="6"/>
        <w:rPr>
          <w:rFonts w:ascii="Arial" w:eastAsia="Helvetica" w:hAnsi="Arial" w:cs="Arial"/>
          <w:color w:val="auto"/>
          <w:sz w:val="24"/>
          <w:szCs w:val="24"/>
          <w:lang w:val="en-US"/>
        </w:rPr>
      </w:pPr>
      <w:r w:rsidRPr="00045F85">
        <w:rPr>
          <w:rFonts w:ascii="Arial" w:hAnsi="Arial" w:cs="Arial"/>
          <w:color w:val="auto"/>
          <w:sz w:val="24"/>
          <w:szCs w:val="24"/>
          <w:lang w:val="en-US"/>
        </w:rPr>
        <w:t>P</w:t>
      </w:r>
      <w:r w:rsidRPr="00045F85">
        <w:rPr>
          <w:rFonts w:ascii="Arial" w:hAnsi="Arial" w:cs="Arial"/>
          <w:color w:val="auto"/>
          <w:sz w:val="24"/>
          <w:szCs w:val="24"/>
          <w:lang w:val="pt-PT"/>
        </w:rPr>
        <w:t xml:space="preserve">art of </w:t>
      </w:r>
      <w:r w:rsidR="001553FA" w:rsidRPr="00045F85">
        <w:rPr>
          <w:rFonts w:ascii="Arial" w:hAnsi="Arial" w:cs="Arial"/>
          <w:color w:val="auto"/>
          <w:sz w:val="24"/>
          <w:szCs w:val="24"/>
          <w:lang w:val="pt-PT"/>
        </w:rPr>
        <w:t>[</w:t>
      </w:r>
      <w:r w:rsidR="00752E5E" w:rsidRPr="00045F85">
        <w:rPr>
          <w:rFonts w:ascii="Arial" w:hAnsi="Arial" w:cs="Arial"/>
          <w:color w:val="auto"/>
          <w:sz w:val="24"/>
          <w:szCs w:val="24"/>
          <w:vertAlign w:val="superscript"/>
          <w:lang w:val="en-US"/>
        </w:rPr>
        <w:t>18</w:t>
      </w:r>
      <w:r w:rsidR="00752E5E" w:rsidRPr="00045F85">
        <w:rPr>
          <w:rFonts w:ascii="Arial" w:hAnsi="Arial" w:cs="Arial"/>
          <w:color w:val="auto"/>
          <w:sz w:val="24"/>
          <w:szCs w:val="24"/>
          <w:lang w:val="en-US"/>
        </w:rPr>
        <w:t>F</w:t>
      </w:r>
      <w:r w:rsidR="001553FA" w:rsidRPr="00045F85">
        <w:rPr>
          <w:rFonts w:ascii="Arial" w:hAnsi="Arial" w:cs="Arial"/>
          <w:color w:val="auto"/>
          <w:sz w:val="24"/>
          <w:szCs w:val="24"/>
          <w:lang w:val="en-US"/>
        </w:rPr>
        <w:t>]fluoro</w:t>
      </w:r>
      <w:r w:rsidR="00752E5E" w:rsidRPr="00045F85">
        <w:rPr>
          <w:rFonts w:ascii="Arial" w:hAnsi="Arial" w:cs="Arial"/>
          <w:color w:val="auto"/>
          <w:sz w:val="24"/>
          <w:szCs w:val="24"/>
          <w:lang w:val="en-US"/>
        </w:rPr>
        <w:t xml:space="preserve">dopamine is subsequently metabolised  to </w:t>
      </w:r>
      <w:r w:rsidR="009F7961" w:rsidRPr="00045F85">
        <w:rPr>
          <w:rFonts w:ascii="Arial" w:hAnsi="Arial" w:cs="Arial"/>
          <w:color w:val="auto"/>
          <w:sz w:val="24"/>
          <w:szCs w:val="24"/>
          <w:lang w:val="en-US"/>
        </w:rPr>
        <w:t>[</w:t>
      </w:r>
      <w:r w:rsidR="00752E5E" w:rsidRPr="00045F85">
        <w:rPr>
          <w:rFonts w:ascii="Arial" w:hAnsi="Arial" w:cs="Arial"/>
          <w:color w:val="auto"/>
          <w:sz w:val="24"/>
          <w:szCs w:val="24"/>
          <w:vertAlign w:val="superscript"/>
          <w:lang w:val="en-US"/>
        </w:rPr>
        <w:t>18</w:t>
      </w:r>
      <w:r w:rsidR="00752E5E" w:rsidRPr="00045F85">
        <w:rPr>
          <w:rFonts w:ascii="Arial" w:hAnsi="Arial" w:cs="Arial"/>
          <w:color w:val="auto"/>
          <w:sz w:val="24"/>
          <w:szCs w:val="24"/>
          <w:lang w:val="en-US"/>
        </w:rPr>
        <w:t>F</w:t>
      </w:r>
      <w:r w:rsidR="009F7961" w:rsidRPr="00045F85">
        <w:rPr>
          <w:rFonts w:ascii="Arial" w:hAnsi="Arial" w:cs="Arial"/>
          <w:color w:val="auto"/>
          <w:sz w:val="24"/>
          <w:szCs w:val="24"/>
          <w:lang w:val="en-US"/>
        </w:rPr>
        <w:t>]FHVA (6-[</w:t>
      </w:r>
      <w:r w:rsidR="009F7961" w:rsidRPr="00045F85">
        <w:rPr>
          <w:rFonts w:ascii="Arial" w:hAnsi="Arial" w:cs="Arial"/>
          <w:color w:val="auto"/>
          <w:sz w:val="24"/>
          <w:szCs w:val="24"/>
          <w:vertAlign w:val="superscript"/>
          <w:lang w:val="en-US"/>
        </w:rPr>
        <w:t>18</w:t>
      </w:r>
      <w:r w:rsidR="009F7961" w:rsidRPr="00045F85">
        <w:rPr>
          <w:rFonts w:ascii="Arial" w:hAnsi="Arial" w:cs="Arial"/>
          <w:color w:val="auto"/>
          <w:sz w:val="24"/>
          <w:szCs w:val="24"/>
          <w:lang w:val="en-US"/>
        </w:rPr>
        <w:t xml:space="preserve">F]fluorohomovanilic acid) </w:t>
      </w:r>
      <w:r w:rsidR="00752E5E" w:rsidRPr="00045F85">
        <w:rPr>
          <w:rFonts w:ascii="Arial" w:hAnsi="Arial" w:cs="Arial"/>
          <w:color w:val="auto"/>
          <w:sz w:val="24"/>
          <w:szCs w:val="24"/>
          <w:lang w:val="en-US"/>
        </w:rPr>
        <w:t xml:space="preserve">and </w:t>
      </w:r>
      <w:r w:rsidR="00435601" w:rsidRPr="00045F85">
        <w:rPr>
          <w:rFonts w:ascii="Arial" w:hAnsi="Arial" w:cs="Arial"/>
          <w:color w:val="auto"/>
          <w:sz w:val="24"/>
          <w:szCs w:val="24"/>
          <w:lang w:val="en-US"/>
        </w:rPr>
        <w:t>[</w:t>
      </w:r>
      <w:r w:rsidR="00752E5E" w:rsidRPr="00045F85">
        <w:rPr>
          <w:rFonts w:ascii="Arial" w:hAnsi="Arial" w:cs="Arial"/>
          <w:color w:val="auto"/>
          <w:sz w:val="24"/>
          <w:szCs w:val="24"/>
          <w:vertAlign w:val="superscript"/>
          <w:lang w:val="en-US"/>
        </w:rPr>
        <w:t>18</w:t>
      </w:r>
      <w:r w:rsidR="00752E5E" w:rsidRPr="00045F85">
        <w:rPr>
          <w:rFonts w:ascii="Arial" w:hAnsi="Arial" w:cs="Arial"/>
          <w:color w:val="auto"/>
          <w:sz w:val="24"/>
          <w:szCs w:val="24"/>
          <w:lang w:val="en-US"/>
        </w:rPr>
        <w:t>F</w:t>
      </w:r>
      <w:r w:rsidR="00435601" w:rsidRPr="00045F85">
        <w:rPr>
          <w:rFonts w:ascii="Arial" w:hAnsi="Arial" w:cs="Arial"/>
          <w:color w:val="auto"/>
          <w:sz w:val="24"/>
          <w:szCs w:val="24"/>
          <w:lang w:val="en-US"/>
        </w:rPr>
        <w:t>]F</w:t>
      </w:r>
      <w:r w:rsidR="00752E5E" w:rsidRPr="00045F85">
        <w:rPr>
          <w:rFonts w:ascii="Arial" w:hAnsi="Arial" w:cs="Arial"/>
          <w:color w:val="auto"/>
          <w:sz w:val="24"/>
          <w:szCs w:val="24"/>
          <w:lang w:val="en-US"/>
        </w:rPr>
        <w:t>DOPAC</w:t>
      </w:r>
      <w:r w:rsidR="009F7961" w:rsidRPr="00045F85">
        <w:rPr>
          <w:rFonts w:ascii="Arial" w:hAnsi="Arial" w:cs="Arial"/>
          <w:color w:val="auto"/>
          <w:sz w:val="24"/>
          <w:szCs w:val="24"/>
          <w:lang w:val="en-US"/>
        </w:rPr>
        <w:t xml:space="preserve"> (3,4-hidroxy-6-[</w:t>
      </w:r>
      <w:r w:rsidR="009F7961" w:rsidRPr="00045F85">
        <w:rPr>
          <w:rFonts w:ascii="Arial" w:hAnsi="Arial" w:cs="Arial"/>
          <w:color w:val="auto"/>
          <w:sz w:val="24"/>
          <w:szCs w:val="24"/>
          <w:vertAlign w:val="superscript"/>
          <w:lang w:val="en-US"/>
        </w:rPr>
        <w:t>18</w:t>
      </w:r>
      <w:r w:rsidR="009F7961" w:rsidRPr="00045F85">
        <w:rPr>
          <w:rFonts w:ascii="Arial" w:hAnsi="Arial" w:cs="Arial"/>
          <w:color w:val="auto"/>
          <w:sz w:val="24"/>
          <w:szCs w:val="24"/>
          <w:lang w:val="en-US"/>
        </w:rPr>
        <w:t>F]fluoro</w:t>
      </w:r>
      <w:r w:rsidR="00435601" w:rsidRPr="00045F85">
        <w:rPr>
          <w:rFonts w:ascii="Arial" w:hAnsi="Arial" w:cs="Arial"/>
          <w:color w:val="auto"/>
          <w:sz w:val="24"/>
          <w:szCs w:val="24"/>
          <w:lang w:val="en-US"/>
        </w:rPr>
        <w:t>phenylacetic acid)</w:t>
      </w:r>
      <w:r w:rsidR="0037628F" w:rsidRPr="00045F85">
        <w:rPr>
          <w:rFonts w:ascii="Arial" w:hAnsi="Arial" w:cs="Arial"/>
          <w:color w:val="auto"/>
          <w:sz w:val="24"/>
          <w:szCs w:val="24"/>
          <w:lang w:val="en-US"/>
        </w:rPr>
        <w:t xml:space="preserve">. Accordingly, </w:t>
      </w:r>
      <w:r w:rsidR="004023C3" w:rsidRPr="00045F85">
        <w:rPr>
          <w:rFonts w:ascii="Arial" w:hAnsi="Arial" w:cs="Arial"/>
          <w:color w:val="auto"/>
          <w:sz w:val="24"/>
          <w:szCs w:val="24"/>
          <w:lang w:val="en-US"/>
        </w:rPr>
        <w:t xml:space="preserve">a dynamic PET scan at 3-4 hours after </w:t>
      </w:r>
      <w:r w:rsidR="00AA6302" w:rsidRPr="00045F85">
        <w:rPr>
          <w:rFonts w:ascii="Arial" w:hAnsi="Arial" w:cs="Arial"/>
          <w:color w:val="auto"/>
          <w:sz w:val="24"/>
          <w:szCs w:val="24"/>
          <w:lang w:val="en-US"/>
        </w:rPr>
        <w:t xml:space="preserve">[18F]fluorodopa </w:t>
      </w:r>
      <w:r w:rsidR="004023C3" w:rsidRPr="00045F85">
        <w:rPr>
          <w:rFonts w:ascii="Arial" w:hAnsi="Arial" w:cs="Arial"/>
          <w:color w:val="auto"/>
          <w:sz w:val="24"/>
          <w:szCs w:val="24"/>
          <w:lang w:val="en-US"/>
        </w:rPr>
        <w:t xml:space="preserve"> administration reflects signal washout after 90 minutes due to combined MAOB and central COMT activity.  PET can</w:t>
      </w:r>
      <w:r w:rsidR="00413EE8" w:rsidRPr="00045F85">
        <w:rPr>
          <w:rFonts w:ascii="Arial" w:hAnsi="Arial" w:cs="Arial"/>
          <w:color w:val="auto"/>
          <w:sz w:val="24"/>
          <w:szCs w:val="24"/>
          <w:lang w:val="en-US"/>
        </w:rPr>
        <w:t>,</w:t>
      </w:r>
      <w:r w:rsidR="004023C3" w:rsidRPr="00045F85">
        <w:rPr>
          <w:rFonts w:ascii="Arial" w:hAnsi="Arial" w:cs="Arial"/>
          <w:color w:val="auto"/>
          <w:sz w:val="24"/>
          <w:szCs w:val="24"/>
          <w:lang w:val="en-US"/>
        </w:rPr>
        <w:t xml:space="preserve"> therefore be used to measure dopamine turnover in the striatum as a ratio of signal </w:t>
      </w:r>
      <w:r w:rsidR="004023C3" w:rsidRPr="00045F85">
        <w:rPr>
          <w:rFonts w:ascii="Arial" w:hAnsi="Arial" w:cs="Arial"/>
          <w:color w:val="auto"/>
          <w:sz w:val="24"/>
          <w:szCs w:val="24"/>
          <w:vertAlign w:val="superscript"/>
          <w:lang w:val="en-US"/>
        </w:rPr>
        <w:t>18</w:t>
      </w:r>
      <w:r w:rsidR="004023C3" w:rsidRPr="00045F85">
        <w:rPr>
          <w:rFonts w:ascii="Arial" w:hAnsi="Arial" w:cs="Arial"/>
          <w:color w:val="auto"/>
          <w:sz w:val="24"/>
          <w:szCs w:val="24"/>
          <w:lang w:val="en-US"/>
        </w:rPr>
        <w:t>F loss (k</w:t>
      </w:r>
      <w:r w:rsidR="004023C3" w:rsidRPr="00045F85">
        <w:rPr>
          <w:rFonts w:ascii="Arial" w:hAnsi="Arial" w:cs="Arial"/>
          <w:color w:val="auto"/>
          <w:sz w:val="24"/>
          <w:szCs w:val="24"/>
          <w:vertAlign w:val="subscript"/>
          <w:lang w:val="en-US"/>
        </w:rPr>
        <w:t>loss</w:t>
      </w:r>
      <w:r w:rsidR="004023C3" w:rsidRPr="00045F85">
        <w:rPr>
          <w:rFonts w:ascii="Arial" w:hAnsi="Arial" w:cs="Arial"/>
          <w:color w:val="auto"/>
          <w:sz w:val="24"/>
          <w:szCs w:val="24"/>
          <w:lang w:val="en-US"/>
        </w:rPr>
        <w:t xml:space="preserve">) to influx </w:t>
      </w:r>
      <w:r w:rsidR="000E3943" w:rsidRPr="00045F85">
        <w:rPr>
          <w:rFonts w:ascii="Arial" w:hAnsi="Arial" w:cs="Arial"/>
          <w:color w:val="auto"/>
          <w:sz w:val="24"/>
          <w:szCs w:val="24"/>
          <w:lang w:val="en-US"/>
        </w:rPr>
        <w:t>K</w:t>
      </w:r>
      <w:r w:rsidR="000E3943" w:rsidRPr="00045F85">
        <w:rPr>
          <w:rFonts w:ascii="Arial" w:hAnsi="Arial" w:cs="Arial"/>
          <w:color w:val="auto"/>
          <w:sz w:val="24"/>
          <w:szCs w:val="24"/>
          <w:vertAlign w:val="subscript"/>
          <w:lang w:val="en-US"/>
        </w:rPr>
        <w:t>i</w:t>
      </w:r>
      <w:r w:rsidR="004023C3" w:rsidRPr="00045F85">
        <w:rPr>
          <w:rFonts w:ascii="Arial" w:hAnsi="Arial" w:cs="Arial"/>
          <w:color w:val="auto"/>
          <w:sz w:val="24"/>
          <w:szCs w:val="24"/>
          <w:lang w:val="en-US"/>
        </w:rPr>
        <w:t xml:space="preserve"> </w:t>
      </w:r>
      <w:r w:rsidR="007829EA" w:rsidRPr="00045F85">
        <w:rPr>
          <w:rFonts w:ascii="Arial" w:eastAsia="Helvetica" w:hAnsi="Arial" w:cs="Arial"/>
          <w:color w:val="auto"/>
          <w:sz w:val="24"/>
          <w:szCs w:val="24"/>
        </w:rPr>
        <w:fldChar w:fldCharType="begin"/>
      </w:r>
      <w:r w:rsidR="00752E5E" w:rsidRPr="00045F85">
        <w:rPr>
          <w:rFonts w:ascii="Arial" w:eastAsia="Helvetica" w:hAnsi="Arial" w:cs="Arial"/>
          <w:color w:val="auto"/>
          <w:sz w:val="24"/>
          <w:szCs w:val="24"/>
          <w:lang w:val="en-US"/>
        </w:rPr>
        <w:instrText xml:space="preserve"> ADDIN EN.CITE &lt;EndNote&gt;&lt;Cite  &gt;&lt;Author&gt;Sossi, V.; de La Fuente-Fernandez, R.; Holden, J. E.; Doudet, D. J.; McKenzie, J.; Stoessl, A. J.; Ruth, T. J.&lt;/Author&gt;&lt;Year&gt;2002 Feb&lt;/Year&gt;&lt;RecNum&gt;3416&lt;/RecNum&gt;&lt;Prefix&gt;&lt;/Prefix&gt;&lt;Suffix&gt;&lt;/Suffix&gt;&lt;Pages&gt;&lt;/Pages&gt;&lt;DisplayText&gt;[5]&lt;/DisplayText&gt;&lt;record&gt;&lt;database name="david.enl" path="/Users/au462907/Documents/Endnote/david.enl"&gt;david.enl&lt;/database&gt;&lt;source-app name="EndNote" version="18.1"&gt;EndNote&lt;/source-app&gt;&lt;rec-number&gt;3416&lt;/rec-number&gt;&lt;foreign-keys&gt;&lt;key app="EN" db-id="vss0ewepy5fzvmea0wevv0w10sa2af9xpxww"&gt;3416&lt;/key&gt;&lt;/foreign-keys&gt;&lt;ref-type name="Journal Article"&gt;17&lt;/ref-type&gt;&lt;contributors&gt;&lt;authors&gt;&lt;author&gt;&lt;style face="normal" font="default" size="100%"&gt;Sossi, V.&lt;/style&gt;&lt;/author&gt;&lt;author&gt;&lt;style face="normal" font="default" size="100%"&gt;de La Fuente-Fernandez, R.&lt;/style&gt;&lt;/author&gt;&lt;author&gt;&lt;style face="normal" font="default" size="100%"&gt;Holden, J. E.&lt;/style&gt;&lt;/author&gt;&lt;author&gt;&lt;style face="normal" font="default" size="100%"&gt;Doudet, D. J.&lt;/style&gt;&lt;/author&gt;&lt;author&gt;&lt;style face="normal" font="default" size="100%"&gt;McKenzie, J.&lt;/style&gt;&lt;/author&gt;&lt;author&gt;&lt;style face="normal" font="default" size="100%"&gt;Stoessl, A. J.&lt;/style&gt;&lt;/author&gt;&lt;author&gt;&lt;style face="normal" font="default" size="100%"&gt;Ruth, T. J.&lt;/style&gt;&lt;/author&gt;&lt;/authors&gt;&lt;/contributors&gt;&lt;titles&gt;&lt;title&gt;&lt;style face="normal" font="default" size="100%"&gt;Increase in dopamine turnover occurs early in Parkinson's disease: evidence from a new modeling approach to PET 18 F-fluorodopa data&lt;/style&gt;&lt;/title&gt;&lt;secondary-title&gt;&lt;style face="normal" font="default" size="100%"&gt;J Cereb Blood Flow Metab&lt;/style&gt;&lt;/secondary-title&gt;&lt;/titles&gt;&lt;periodical&gt;&lt;full-title&gt;&lt;style face="normal" font="default" size="100%"&gt;J Cereb Blood Flow Metab&lt;/style&gt;&lt;/full-title&gt;&lt;/periodical&gt;&lt;pages&gt;&lt;style face="normal" font="default" size="100%"&gt;232-9&lt;/style&gt;&lt;/pages&gt;&lt;volume&gt;&lt;style face="normal" font="default" size="100%"&gt;22&lt;/style&gt;&lt;/volume&gt;&lt;number&gt;&lt;style face="normal" font="default" size="100%"&gt;2&lt;/style&gt;&lt;/number&gt;&lt;keywords&gt;&lt;keyword&gt;&lt;style face="normal" font="default" size="100%"&gt;Aged&lt;/style&gt;&lt;/keyword&gt;&lt;/keywords&gt;&lt;dates&gt;&lt;year&gt;&lt;style face="normal" font="default" size="100%"&gt;2002 Feb&lt;/style&gt;&lt;/year&gt;&lt;/dates&gt;&lt;isbn&gt;&lt;style face="normal" font="default" size="100%"&gt;0271-678X&lt;/style&gt;&lt;/isbn&gt;&lt;abstract&gt;&lt;style face="normal" font="default" size="100%"&gt;An increase in dopamine turnover has been hypothesized to occur early in Parkinson's disease (PD) as a compensatory mechanism for dopaminergic neuronal loss. A new approach to the determination of dopamine turnover was developed using 4-hour-long 18 F-fluorodopa (FD) positron emission tomography (PET) data. An effective dopamine turnover, an estimate of dopamine turnover, has been measured using its inverse, the effective dopamine distribution volume (EDV). This new method is based on a reversible tracer approach and determines the EDV using a graphical method. Six healthy subjects and 10 subjects with very early PD underwent a 4-hour-long FD scan. The EDV and the plasma uptake rate constant K(i), a marker of dopamine synthesis and storage, were compared according to their ability to separate the PD group from the healthy group. The EDV was the better discriminator (93.8% correct classification versus 81.3% for K(i)). Effective dopamine distribution volume decreased by 65% in the PD group relative to the healthy group, whereas the decrease in K(i) was 39%. These results show that changes in EDV are measurable with PET earlier than changes in the dopamine synthesis and storage rate, indicating that EDV is a sensitive marker for early PD and that a dopamine turnover increase likely serves as an early compensatory mechanism.&lt;/style&gt;&lt;/abstract&gt;&lt;label&gt;&lt;style face="normal" font="default" size="100%"&gt;PBS Record: 3419&lt;/style&gt;&lt;/label&gt;&lt;notes&gt;&lt;style face="normal" font="default" size="100%"&gt;(35) eng (37) University of British Columbia/TRIUMF, University of British Columbia, Vancouver, Canada.&lt;/style&gt;&lt;/notes&gt;&lt;urls&gt;&lt;related-urls&gt;&lt;url&gt;&lt;style face="normal" font="default" size="100%"&gt;11823721&lt;/style&gt;&lt;/url&gt;&lt;/related-urls&gt;&lt;/urls&gt;&lt;/record&gt;&lt;/Cite&gt;&lt;/EndNote&gt;</w:instrText>
      </w:r>
      <w:r w:rsidR="007829EA" w:rsidRPr="00045F85">
        <w:rPr>
          <w:rFonts w:ascii="Arial" w:eastAsia="Helvetica" w:hAnsi="Arial" w:cs="Arial"/>
          <w:color w:val="auto"/>
          <w:sz w:val="24"/>
          <w:szCs w:val="24"/>
        </w:rPr>
        <w:fldChar w:fldCharType="separate"/>
      </w:r>
      <w:r w:rsidR="002F4B45" w:rsidRPr="00045F85">
        <w:rPr>
          <w:rFonts w:ascii="Arial" w:hAnsi="Arial" w:cs="Arial"/>
          <w:color w:val="auto"/>
          <w:sz w:val="24"/>
          <w:szCs w:val="24"/>
          <w:lang w:val="en-US"/>
        </w:rPr>
        <w:t>[128</w:t>
      </w:r>
      <w:r w:rsidR="00752E5E" w:rsidRPr="00045F85">
        <w:rPr>
          <w:rFonts w:ascii="Arial" w:hAnsi="Arial" w:cs="Arial"/>
          <w:color w:val="auto"/>
          <w:sz w:val="24"/>
          <w:szCs w:val="24"/>
          <w:lang w:val="en-US"/>
        </w:rPr>
        <w:t>]</w:t>
      </w:r>
      <w:r w:rsidR="007829EA" w:rsidRPr="00045F85">
        <w:rPr>
          <w:rFonts w:ascii="Arial" w:eastAsia="Helvetica" w:hAnsi="Arial" w:cs="Arial"/>
          <w:color w:val="auto"/>
          <w:sz w:val="24"/>
          <w:szCs w:val="24"/>
        </w:rPr>
        <w:fldChar w:fldCharType="end"/>
      </w:r>
      <w:r w:rsidR="00752E5E" w:rsidRPr="00045F85">
        <w:rPr>
          <w:rFonts w:ascii="Arial" w:hAnsi="Arial" w:cs="Arial"/>
          <w:color w:val="auto"/>
          <w:sz w:val="24"/>
          <w:szCs w:val="24"/>
          <w:lang w:val="en-US"/>
        </w:rPr>
        <w:t xml:space="preserve">. This approach, while potentially more sensitive than isolated </w:t>
      </w:r>
      <w:r w:rsidR="000E3943" w:rsidRPr="00045F85">
        <w:rPr>
          <w:rFonts w:ascii="Arial" w:hAnsi="Arial" w:cs="Arial"/>
          <w:color w:val="auto"/>
          <w:sz w:val="24"/>
          <w:szCs w:val="24"/>
          <w:lang w:val="en-US"/>
        </w:rPr>
        <w:t>K</w:t>
      </w:r>
      <w:r w:rsidR="000E3943" w:rsidRPr="00045F85">
        <w:rPr>
          <w:rFonts w:ascii="Arial" w:hAnsi="Arial" w:cs="Arial"/>
          <w:color w:val="auto"/>
          <w:sz w:val="24"/>
          <w:szCs w:val="24"/>
          <w:vertAlign w:val="subscript"/>
          <w:lang w:val="en-US"/>
        </w:rPr>
        <w:t>i</w:t>
      </w:r>
      <w:r w:rsidR="00752E5E" w:rsidRPr="00045F85">
        <w:rPr>
          <w:rFonts w:ascii="Arial" w:hAnsi="Arial" w:cs="Arial"/>
          <w:color w:val="auto"/>
          <w:sz w:val="24"/>
          <w:szCs w:val="24"/>
          <w:lang w:val="en-US"/>
        </w:rPr>
        <w:t xml:space="preserve"> or SOR ratio measurements, requires scans at 90 minutes and again 3-4 hours for the subject so is currently a research rather than a clinical</w:t>
      </w:r>
      <w:r w:rsidR="006B3C91" w:rsidRPr="00045F85">
        <w:rPr>
          <w:rFonts w:ascii="Arial" w:hAnsi="Arial" w:cs="Arial"/>
          <w:color w:val="auto"/>
          <w:sz w:val="24"/>
          <w:szCs w:val="24"/>
          <w:lang w:val="en-US"/>
        </w:rPr>
        <w:t xml:space="preserve"> </w:t>
      </w:r>
      <w:r w:rsidR="000B2CD7" w:rsidRPr="00045F85">
        <w:rPr>
          <w:rFonts w:ascii="Arial" w:hAnsi="Arial" w:cs="Arial"/>
          <w:color w:val="auto"/>
          <w:sz w:val="24"/>
          <w:szCs w:val="24"/>
          <w:lang w:val="en-US"/>
        </w:rPr>
        <w:t>tool</w:t>
      </w:r>
      <w:r w:rsidR="008F7972" w:rsidRPr="00045F85">
        <w:rPr>
          <w:rFonts w:ascii="Arial" w:hAnsi="Arial" w:cs="Arial"/>
          <w:color w:val="auto"/>
          <w:sz w:val="24"/>
          <w:szCs w:val="24"/>
          <w:lang w:val="en-US"/>
        </w:rPr>
        <w:t xml:space="preserve"> </w:t>
      </w:r>
      <w:r w:rsidR="002F4B45" w:rsidRPr="00045F85">
        <w:rPr>
          <w:rFonts w:ascii="Arial" w:hAnsi="Arial" w:cs="Arial"/>
          <w:color w:val="auto"/>
          <w:sz w:val="24"/>
          <w:szCs w:val="24"/>
          <w:lang w:val="en-US"/>
        </w:rPr>
        <w:t>[129]</w:t>
      </w:r>
      <w:r w:rsidR="007829EA" w:rsidRPr="00045F85">
        <w:rPr>
          <w:rFonts w:ascii="Arial" w:hAnsi="Arial" w:cs="Arial"/>
          <w:color w:val="auto"/>
          <w:sz w:val="24"/>
          <w:szCs w:val="24"/>
          <w:lang w:val="en-US"/>
        </w:rPr>
        <w:t xml:space="preserve">. </w:t>
      </w:r>
    </w:p>
    <w:p w14:paraId="082F2BA7" w14:textId="77777777" w:rsidR="00F535B0" w:rsidRPr="00045F85" w:rsidRDefault="00F535B0" w:rsidP="00CC7511">
      <w:pPr>
        <w:pStyle w:val="Default"/>
        <w:ind w:right="6"/>
        <w:rPr>
          <w:rFonts w:ascii="Arial" w:hAnsi="Arial" w:cs="Arial"/>
          <w:color w:val="auto"/>
          <w:sz w:val="24"/>
          <w:szCs w:val="24"/>
          <w:lang w:val="en-US"/>
        </w:rPr>
      </w:pPr>
    </w:p>
    <w:p w14:paraId="14AA4810" w14:textId="52B800E2" w:rsidR="00F535B0" w:rsidRPr="00045F85" w:rsidRDefault="00F535B0" w:rsidP="009D6B35">
      <w:pPr>
        <w:pStyle w:val="berschrift2"/>
        <w:numPr>
          <w:ilvl w:val="0"/>
          <w:numId w:val="30"/>
        </w:numPr>
        <w:rPr>
          <w:color w:val="auto"/>
        </w:rPr>
      </w:pPr>
      <w:r w:rsidRPr="00045F85">
        <w:rPr>
          <w:color w:val="auto"/>
        </w:rPr>
        <w:t>Equipment Specifications</w:t>
      </w:r>
    </w:p>
    <w:p w14:paraId="10168A74" w14:textId="77777777" w:rsidR="00D60075" w:rsidRPr="00045F85" w:rsidRDefault="000216CE" w:rsidP="00C97AB2">
      <w:pPr>
        <w:pStyle w:val="Listenabsatz"/>
        <w:numPr>
          <w:ilvl w:val="1"/>
          <w:numId w:val="30"/>
        </w:numPr>
        <w:rPr>
          <w:color w:val="auto"/>
          <w:lang w:val="en-GB"/>
        </w:rPr>
      </w:pPr>
      <w:r w:rsidRPr="00045F85">
        <w:rPr>
          <w:color w:val="auto"/>
          <w:lang w:val="en-GB"/>
        </w:rPr>
        <w:t>State-of-the-</w:t>
      </w:r>
      <w:r w:rsidR="00F535B0" w:rsidRPr="00045F85">
        <w:rPr>
          <w:color w:val="auto"/>
          <w:lang w:val="en-GB"/>
        </w:rPr>
        <w:t xml:space="preserve">art </w:t>
      </w:r>
      <w:r w:rsidR="00D60075" w:rsidRPr="00045F85">
        <w:rPr>
          <w:color w:val="auto"/>
          <w:lang w:val="en-GB"/>
        </w:rPr>
        <w:t>3D PET/CT or PET/MRI systems should preferably be used. The equipment should allow for the acquisition of data needed for attenuation and scatter correction. Low dose CT is the preferred option, although PET/MRI can use MRI sequences dedicated to attenuation and scatter correction of PET emission data. Transmission sources are also capable of producing adequate attenuation maps on dedicated brain PET only systems.</w:t>
      </w:r>
    </w:p>
    <w:p w14:paraId="58498CDA" w14:textId="4BCA3F09" w:rsidR="00F535B0" w:rsidRPr="00045F85" w:rsidRDefault="00F535B0" w:rsidP="00C97AB2">
      <w:pPr>
        <w:pStyle w:val="Listenabsatz"/>
        <w:numPr>
          <w:ilvl w:val="1"/>
          <w:numId w:val="30"/>
        </w:numPr>
        <w:rPr>
          <w:color w:val="auto"/>
          <w:lang w:val="en-GB"/>
        </w:rPr>
      </w:pPr>
      <w:r w:rsidRPr="00045F85">
        <w:rPr>
          <w:color w:val="auto"/>
          <w:lang w:val="en-GB"/>
        </w:rPr>
        <w:t>The equipment should have an axial field of view</w:t>
      </w:r>
      <w:r w:rsidR="00BE33D9" w:rsidRPr="00045F85">
        <w:rPr>
          <w:color w:val="auto"/>
          <w:lang w:val="en-GB"/>
        </w:rPr>
        <w:t xml:space="preserve"> &gt;15</w:t>
      </w:r>
      <w:r w:rsidRPr="00045F85">
        <w:rPr>
          <w:color w:val="auto"/>
          <w:lang w:val="en-GB"/>
        </w:rPr>
        <w:t xml:space="preserve"> cm to assure sufficient coverage of the entire brain, including </w:t>
      </w:r>
      <w:r w:rsidR="0056717D" w:rsidRPr="00045F85">
        <w:rPr>
          <w:color w:val="auto"/>
          <w:lang w:val="en-GB"/>
        </w:rPr>
        <w:t xml:space="preserve">the </w:t>
      </w:r>
      <w:r w:rsidRPr="00045F85">
        <w:rPr>
          <w:color w:val="auto"/>
          <w:lang w:val="en-GB"/>
        </w:rPr>
        <w:t xml:space="preserve">cerebellum and brain stem.   </w:t>
      </w:r>
    </w:p>
    <w:p w14:paraId="18AD7318" w14:textId="6F8C12FB" w:rsidR="00F535B0" w:rsidRPr="00045F85" w:rsidRDefault="00F535B0" w:rsidP="00C97AB2">
      <w:pPr>
        <w:pStyle w:val="Listenabsatz"/>
        <w:numPr>
          <w:ilvl w:val="1"/>
          <w:numId w:val="30"/>
        </w:numPr>
        <w:rPr>
          <w:color w:val="auto"/>
          <w:lang w:val="en-GB"/>
        </w:rPr>
      </w:pPr>
      <w:r w:rsidRPr="00045F85">
        <w:rPr>
          <w:color w:val="auto"/>
          <w:lang w:val="en-GB"/>
        </w:rPr>
        <w:t xml:space="preserve">The PET camera should be able to acquire both static and dynamic, frame or list mode PET emission data in 3D mode. </w:t>
      </w:r>
    </w:p>
    <w:p w14:paraId="512528C6" w14:textId="77777777" w:rsidR="00F535B0" w:rsidRPr="00045F85" w:rsidRDefault="00F535B0" w:rsidP="00F535B0">
      <w:pPr>
        <w:rPr>
          <w:rFonts w:cs="Arial"/>
          <w:lang w:val="en-GB"/>
        </w:rPr>
      </w:pPr>
    </w:p>
    <w:p w14:paraId="199A1198" w14:textId="6BE6BA38" w:rsidR="00F535B0" w:rsidRPr="00045F85" w:rsidRDefault="00F535B0" w:rsidP="009D6B35">
      <w:pPr>
        <w:pStyle w:val="berschrift2"/>
        <w:numPr>
          <w:ilvl w:val="0"/>
          <w:numId w:val="30"/>
        </w:numPr>
        <w:rPr>
          <w:color w:val="auto"/>
        </w:rPr>
      </w:pPr>
      <w:r w:rsidRPr="00045F85">
        <w:rPr>
          <w:color w:val="auto"/>
        </w:rPr>
        <w:t>Quality control and Interinstitutional PET system performance harmonization</w:t>
      </w:r>
    </w:p>
    <w:p w14:paraId="2EF5B6E3" w14:textId="51D456D2" w:rsidR="00A00420" w:rsidRPr="00045F85" w:rsidRDefault="00A00420" w:rsidP="00A00420">
      <w:pPr>
        <w:rPr>
          <w:rFonts w:cs="Arial"/>
        </w:rPr>
      </w:pPr>
      <w:r w:rsidRPr="00045F85">
        <w:rPr>
          <w:rFonts w:cs="Arial"/>
        </w:rPr>
        <w:t xml:space="preserve">The present guidelines are focused on the </w:t>
      </w:r>
      <w:r w:rsidR="002D7B40" w:rsidRPr="00045F85">
        <w:rPr>
          <w:rFonts w:cs="Arial"/>
        </w:rPr>
        <w:t>use of dopaminergic imaging in p</w:t>
      </w:r>
      <w:r w:rsidRPr="00045F85">
        <w:rPr>
          <w:rFonts w:cs="Arial"/>
        </w:rPr>
        <w:t xml:space="preserve">arkinsonian syndromes. However, there are both technical and imaging physics related uncertainties that apply to any PET examination regardless of radiotracer or specific application. These aspects have been detailed in previous guidelines [130]. </w:t>
      </w:r>
      <w:r w:rsidR="00285724" w:rsidRPr="00045F85">
        <w:rPr>
          <w:rFonts w:cs="Arial"/>
        </w:rPr>
        <w:t xml:space="preserve">These recommendations should be </w:t>
      </w:r>
      <w:r w:rsidR="002D7B40" w:rsidRPr="00045F85">
        <w:rPr>
          <w:rFonts w:cs="Arial"/>
        </w:rPr>
        <w:t>considered</w:t>
      </w:r>
      <w:r w:rsidR="00285724" w:rsidRPr="00045F85">
        <w:rPr>
          <w:rFonts w:cs="Arial"/>
        </w:rPr>
        <w:t xml:space="preserve"> for </w:t>
      </w:r>
      <w:r w:rsidR="00285724" w:rsidRPr="00045F85">
        <w:rPr>
          <w:rFonts w:cs="Arial"/>
        </w:rPr>
        <w:lastRenderedPageBreak/>
        <w:t>the use of brain PET examinations in multicenter studies and/or when data are compared to a reference database or disease patterns. In order to guarantee sufficient image quality, quantitative performance</w:t>
      </w:r>
      <w:r w:rsidR="00815497" w:rsidRPr="00045F85">
        <w:rPr>
          <w:rFonts w:cs="Arial"/>
        </w:rPr>
        <w:t>,</w:t>
      </w:r>
      <w:r w:rsidR="00285724" w:rsidRPr="00045F85">
        <w:rPr>
          <w:rFonts w:cs="Arial"/>
        </w:rPr>
        <w:t xml:space="preserve"> and image harmonization</w:t>
      </w:r>
      <w:r w:rsidR="00815497" w:rsidRPr="00045F85">
        <w:rPr>
          <w:rFonts w:cs="Arial"/>
        </w:rPr>
        <w:t>,</w:t>
      </w:r>
      <w:r w:rsidR="00285724" w:rsidRPr="00045F85">
        <w:rPr>
          <w:rFonts w:cs="Arial"/>
        </w:rPr>
        <w:t xml:space="preserve"> the correct performance of the PET syst</w:t>
      </w:r>
      <w:r w:rsidR="00815497" w:rsidRPr="00045F85">
        <w:rPr>
          <w:rFonts w:cs="Arial"/>
        </w:rPr>
        <w:t>em</w:t>
      </w:r>
      <w:r w:rsidR="00285724" w:rsidRPr="00045F85">
        <w:rPr>
          <w:rFonts w:cs="Arial"/>
        </w:rPr>
        <w:t xml:space="preserve"> must be regularly checked by several QC experiments that have also already previously listed in EANM and joint EANM/SNMMI guidelines.</w:t>
      </w:r>
      <w:r w:rsidRPr="00045F85">
        <w:rPr>
          <w:rFonts w:cs="Arial"/>
        </w:rPr>
        <w:t xml:space="preserve"> </w:t>
      </w:r>
      <w:r w:rsidR="00912EBB" w:rsidRPr="00045F85">
        <w:rPr>
          <w:rFonts w:cs="Arial"/>
        </w:rPr>
        <w:t>Cross-calibration of the PET(/CT) system against the locally used dose calibrator to prepare and measure patient-specific radiotracer activities</w:t>
      </w:r>
      <w:r w:rsidRPr="00045F85">
        <w:rPr>
          <w:rFonts w:cs="Arial"/>
        </w:rPr>
        <w:t xml:space="preserve"> is needed</w:t>
      </w:r>
      <w:r w:rsidR="00912EBB" w:rsidRPr="00045F85">
        <w:rPr>
          <w:rFonts w:cs="Arial"/>
        </w:rPr>
        <w:t xml:space="preserve">. </w:t>
      </w:r>
      <w:r w:rsidRPr="00045F85">
        <w:rPr>
          <w:rFonts w:cs="Arial"/>
        </w:rPr>
        <w:t>Cross-calibrations should be performed following EARL recommendations and criteria</w:t>
      </w:r>
      <w:r w:rsidR="00E962F6" w:rsidRPr="00045F85">
        <w:rPr>
          <w:rFonts w:cs="Arial"/>
        </w:rPr>
        <w:t xml:space="preserve"> (http://earl.eanm.org).</w:t>
      </w:r>
    </w:p>
    <w:p w14:paraId="42F5E5F9" w14:textId="0404F8C6" w:rsidR="00F838E4" w:rsidRPr="00045F85" w:rsidRDefault="00657BF6" w:rsidP="00912EBB">
      <w:pPr>
        <w:rPr>
          <w:rFonts w:cs="Arial"/>
          <w:b/>
          <w:sz w:val="32"/>
          <w:szCs w:val="32"/>
        </w:rPr>
      </w:pPr>
      <w:r w:rsidRPr="00045F85">
        <w:rPr>
          <w:rFonts w:cs="Arial"/>
          <w:b/>
          <w:sz w:val="32"/>
          <w:szCs w:val="32"/>
        </w:rPr>
        <w:t>VII</w:t>
      </w:r>
      <w:r w:rsidR="009873E2" w:rsidRPr="00045F85">
        <w:rPr>
          <w:rFonts w:cs="Arial"/>
          <w:b/>
          <w:sz w:val="32"/>
          <w:szCs w:val="32"/>
        </w:rPr>
        <w:t xml:space="preserve">. </w:t>
      </w:r>
      <w:r w:rsidR="00957D3B" w:rsidRPr="00045F85">
        <w:rPr>
          <w:rFonts w:cs="Arial"/>
          <w:b/>
          <w:sz w:val="32"/>
          <w:szCs w:val="32"/>
        </w:rPr>
        <w:t>Documentation and reporting</w:t>
      </w:r>
      <w:r w:rsidR="00F838E4" w:rsidRPr="00045F85">
        <w:rPr>
          <w:rFonts w:cs="Arial"/>
          <w:b/>
          <w:sz w:val="32"/>
          <w:szCs w:val="32"/>
        </w:rPr>
        <w:t xml:space="preserve"> for presynaptic dopaminergic imaging with </w:t>
      </w:r>
      <w:r w:rsidR="00421504" w:rsidRPr="00045F85">
        <w:rPr>
          <w:rFonts w:cs="Arial"/>
          <w:b/>
          <w:sz w:val="32"/>
          <w:szCs w:val="32"/>
        </w:rPr>
        <w:t>either</w:t>
      </w:r>
      <w:r w:rsidR="006C2A2A" w:rsidRPr="00045F85">
        <w:rPr>
          <w:rFonts w:cs="Arial"/>
          <w:b/>
          <w:sz w:val="32"/>
          <w:szCs w:val="32"/>
        </w:rPr>
        <w:t xml:space="preserve"> </w:t>
      </w:r>
      <w:r w:rsidR="00F838E4" w:rsidRPr="00045F85">
        <w:rPr>
          <w:rFonts w:cs="Arial"/>
          <w:b/>
          <w:sz w:val="32"/>
          <w:szCs w:val="32"/>
        </w:rPr>
        <w:t xml:space="preserve">SPECT using </w:t>
      </w:r>
      <w:r w:rsidR="00435601" w:rsidRPr="00045F85">
        <w:rPr>
          <w:rFonts w:cs="Arial"/>
          <w:b/>
          <w:sz w:val="32"/>
          <w:szCs w:val="32"/>
        </w:rPr>
        <w:t>iodine-123-</w:t>
      </w:r>
      <w:r w:rsidR="00A97A02" w:rsidRPr="00045F85">
        <w:rPr>
          <w:rFonts w:cs="Arial"/>
          <w:b/>
          <w:sz w:val="32"/>
          <w:szCs w:val="32"/>
        </w:rPr>
        <w:t>l</w:t>
      </w:r>
      <w:r w:rsidR="00F838E4" w:rsidRPr="00045F85">
        <w:rPr>
          <w:rFonts w:cs="Arial"/>
          <w:b/>
          <w:sz w:val="32"/>
          <w:szCs w:val="32"/>
        </w:rPr>
        <w:t xml:space="preserve">abelled dopamine transporter ligands </w:t>
      </w:r>
      <w:r w:rsidR="00421504" w:rsidRPr="00045F85">
        <w:rPr>
          <w:rFonts w:cs="Arial"/>
          <w:b/>
          <w:sz w:val="32"/>
          <w:szCs w:val="32"/>
        </w:rPr>
        <w:t>or</w:t>
      </w:r>
      <w:r w:rsidR="00F838E4" w:rsidRPr="00045F85">
        <w:rPr>
          <w:rFonts w:cs="Arial"/>
          <w:b/>
          <w:sz w:val="32"/>
          <w:szCs w:val="32"/>
        </w:rPr>
        <w:t xml:space="preserve"> with PET using </w:t>
      </w:r>
      <w:r w:rsidR="00435601" w:rsidRPr="00045F85">
        <w:rPr>
          <w:rFonts w:cs="Arial"/>
          <w:b/>
          <w:sz w:val="32"/>
          <w:szCs w:val="32"/>
        </w:rPr>
        <w:t>[</w:t>
      </w:r>
      <w:r w:rsidR="00435601" w:rsidRPr="00045F85">
        <w:rPr>
          <w:rFonts w:cs="Arial"/>
          <w:b/>
          <w:sz w:val="32"/>
          <w:szCs w:val="32"/>
          <w:vertAlign w:val="superscript"/>
        </w:rPr>
        <w:t>18</w:t>
      </w:r>
      <w:r w:rsidR="00435601" w:rsidRPr="00045F85">
        <w:rPr>
          <w:rFonts w:cs="Arial"/>
          <w:b/>
          <w:sz w:val="32"/>
          <w:szCs w:val="32"/>
        </w:rPr>
        <w:t>F]fluorodopa</w:t>
      </w:r>
    </w:p>
    <w:p w14:paraId="6E8462C9" w14:textId="77777777" w:rsidR="006C2A2A" w:rsidRPr="00045F85" w:rsidRDefault="006C2A2A" w:rsidP="00912EBB">
      <w:pPr>
        <w:rPr>
          <w:rFonts w:cs="Arial"/>
        </w:rPr>
      </w:pPr>
    </w:p>
    <w:p w14:paraId="67CEB759" w14:textId="154C488E" w:rsidR="00F838E4" w:rsidRPr="00045F85" w:rsidRDefault="00F838E4" w:rsidP="003E65D6">
      <w:pPr>
        <w:rPr>
          <w:b/>
          <w:sz w:val="26"/>
          <w:szCs w:val="26"/>
        </w:rPr>
      </w:pPr>
      <w:r w:rsidRPr="00045F85">
        <w:rPr>
          <w:b/>
          <w:sz w:val="26"/>
          <w:szCs w:val="26"/>
        </w:rPr>
        <w:t>Reporting</w:t>
      </w:r>
    </w:p>
    <w:p w14:paraId="005CB4C4" w14:textId="3D4848B4" w:rsidR="00F838E4" w:rsidRPr="00045F85" w:rsidRDefault="006C307B" w:rsidP="00912EBB">
      <w:pPr>
        <w:rPr>
          <w:rFonts w:cs="Arial"/>
        </w:rPr>
      </w:pPr>
      <w:r w:rsidRPr="00045F85">
        <w:rPr>
          <w:rFonts w:cs="Arial"/>
        </w:rPr>
        <w:t>P</w:t>
      </w:r>
      <w:r w:rsidR="00F838E4" w:rsidRPr="00045F85">
        <w:rPr>
          <w:rFonts w:cs="Arial"/>
        </w:rPr>
        <w:t>atient</w:t>
      </w:r>
      <w:r w:rsidRPr="00045F85">
        <w:rPr>
          <w:rFonts w:cs="Arial"/>
        </w:rPr>
        <w:t>’s and other identifier (</w:t>
      </w:r>
      <w:r w:rsidR="00F838E4" w:rsidRPr="00045F85">
        <w:rPr>
          <w:rFonts w:cs="Arial"/>
        </w:rPr>
        <w:t>date of birth, name of the referring physician(s)</w:t>
      </w:r>
      <w:r w:rsidR="009B0EA3" w:rsidRPr="00045F85">
        <w:rPr>
          <w:rFonts w:cs="Arial"/>
        </w:rPr>
        <w:t>, type and date of examination</w:t>
      </w:r>
      <w:r w:rsidRPr="00045F85">
        <w:rPr>
          <w:rFonts w:cs="Arial"/>
        </w:rPr>
        <w:t>)</w:t>
      </w:r>
      <w:r w:rsidR="009B0EA3" w:rsidRPr="00045F85">
        <w:rPr>
          <w:rFonts w:cs="Arial"/>
        </w:rPr>
        <w:t xml:space="preserve"> and </w:t>
      </w:r>
      <w:r w:rsidR="00F838E4" w:rsidRPr="00045F85">
        <w:rPr>
          <w:rFonts w:cs="Arial"/>
        </w:rPr>
        <w:t>patient</w:t>
      </w:r>
      <w:r w:rsidRPr="00045F85">
        <w:rPr>
          <w:rFonts w:cs="Arial"/>
        </w:rPr>
        <w:t>’s</w:t>
      </w:r>
      <w:r w:rsidR="00F838E4" w:rsidRPr="00045F85">
        <w:rPr>
          <w:rFonts w:cs="Arial"/>
        </w:rPr>
        <w:t xml:space="preserve"> history including the </w:t>
      </w:r>
      <w:r w:rsidRPr="00045F85">
        <w:rPr>
          <w:rFonts w:cs="Arial"/>
        </w:rPr>
        <w:t>reason for requesting the study are mandatory parts of the report.</w:t>
      </w:r>
    </w:p>
    <w:p w14:paraId="7F8F7819" w14:textId="476932FE" w:rsidR="00F838E4" w:rsidRPr="00045F85" w:rsidRDefault="00F838E4" w:rsidP="00C97AB2">
      <w:pPr>
        <w:pStyle w:val="Listenabsatz"/>
        <w:numPr>
          <w:ilvl w:val="0"/>
          <w:numId w:val="21"/>
        </w:numPr>
        <w:rPr>
          <w:color w:val="auto"/>
        </w:rPr>
      </w:pPr>
      <w:r w:rsidRPr="00045F85">
        <w:rPr>
          <w:color w:val="auto"/>
        </w:rPr>
        <w:t>Body of the report</w:t>
      </w:r>
    </w:p>
    <w:p w14:paraId="09B5A0EA" w14:textId="77777777" w:rsidR="00FF7AF9" w:rsidRPr="00045F85" w:rsidRDefault="00FF7AF9" w:rsidP="00F838E4">
      <w:pPr>
        <w:rPr>
          <w:rFonts w:cs="Arial"/>
        </w:rPr>
      </w:pPr>
    </w:p>
    <w:p w14:paraId="3DFF606D" w14:textId="6DF0FB3A" w:rsidR="00F838E4" w:rsidRPr="00045F85" w:rsidRDefault="00F838E4" w:rsidP="00F838E4">
      <w:pPr>
        <w:rPr>
          <w:rFonts w:cs="Arial"/>
          <w:i/>
        </w:rPr>
      </w:pPr>
      <w:r w:rsidRPr="00045F85">
        <w:rPr>
          <w:rFonts w:cs="Arial"/>
          <w:i/>
        </w:rPr>
        <w:t>P</w:t>
      </w:r>
      <w:r w:rsidR="008F4878" w:rsidRPr="00045F85">
        <w:rPr>
          <w:rFonts w:cs="Arial"/>
          <w:i/>
        </w:rPr>
        <w:t>rocedures and materials</w:t>
      </w:r>
    </w:p>
    <w:p w14:paraId="09231BE1" w14:textId="5C0D9B7A" w:rsidR="00F838E4" w:rsidRPr="00045F85" w:rsidRDefault="006C307B" w:rsidP="00C97AB2">
      <w:pPr>
        <w:pStyle w:val="Listenabsatz"/>
        <w:numPr>
          <w:ilvl w:val="0"/>
          <w:numId w:val="26"/>
        </w:numPr>
        <w:rPr>
          <w:color w:val="auto"/>
        </w:rPr>
      </w:pPr>
      <w:r w:rsidRPr="00045F85">
        <w:rPr>
          <w:color w:val="auto"/>
        </w:rPr>
        <w:t>A</w:t>
      </w:r>
      <w:r w:rsidR="00F838E4" w:rsidRPr="00045F85">
        <w:rPr>
          <w:color w:val="auto"/>
        </w:rPr>
        <w:t xml:space="preserve"> brief description of the imaging procedure</w:t>
      </w:r>
      <w:r w:rsidRPr="00045F85">
        <w:rPr>
          <w:color w:val="auto"/>
        </w:rPr>
        <w:t xml:space="preserve"> needs to be included. Details to be provided: </w:t>
      </w:r>
      <w:r w:rsidR="00F838E4" w:rsidRPr="00045F85">
        <w:rPr>
          <w:color w:val="auto"/>
        </w:rPr>
        <w:t xml:space="preserve">radiopharmaceutical </w:t>
      </w:r>
      <w:r w:rsidRPr="00045F85">
        <w:rPr>
          <w:color w:val="auto"/>
        </w:rPr>
        <w:t>and</w:t>
      </w:r>
      <w:r w:rsidR="00F838E4" w:rsidRPr="00045F85">
        <w:rPr>
          <w:color w:val="auto"/>
        </w:rPr>
        <w:t xml:space="preserve"> administered activity, scan acquisition delay and quality </w:t>
      </w:r>
      <w:r w:rsidRPr="00045F85">
        <w:rPr>
          <w:color w:val="auto"/>
        </w:rPr>
        <w:t xml:space="preserve">of the scan </w:t>
      </w:r>
      <w:r w:rsidR="00F838E4" w:rsidRPr="00045F85">
        <w:rPr>
          <w:color w:val="auto"/>
        </w:rPr>
        <w:t>(</w:t>
      </w:r>
      <w:r w:rsidRPr="00045F85">
        <w:rPr>
          <w:color w:val="auto"/>
        </w:rPr>
        <w:t xml:space="preserve">the reson should be given </w:t>
      </w:r>
      <w:r w:rsidR="00F838E4" w:rsidRPr="00045F85">
        <w:rPr>
          <w:color w:val="auto"/>
        </w:rPr>
        <w:t xml:space="preserve">if </w:t>
      </w:r>
      <w:r w:rsidRPr="00045F85">
        <w:rPr>
          <w:color w:val="auto"/>
        </w:rPr>
        <w:t>the quality is suboptimal due to motion artefacts</w:t>
      </w:r>
      <w:r w:rsidR="00F838E4" w:rsidRPr="00045F85">
        <w:rPr>
          <w:color w:val="auto"/>
        </w:rPr>
        <w:t>).</w:t>
      </w:r>
    </w:p>
    <w:p w14:paraId="53049793" w14:textId="77777777" w:rsidR="006923CC" w:rsidRPr="00045F85" w:rsidRDefault="006923CC" w:rsidP="006C307B">
      <w:pPr>
        <w:pStyle w:val="Listenabsatz"/>
        <w:numPr>
          <w:ilvl w:val="0"/>
          <w:numId w:val="0"/>
        </w:numPr>
        <w:ind w:left="720"/>
        <w:rPr>
          <w:color w:val="auto"/>
        </w:rPr>
      </w:pPr>
    </w:p>
    <w:p w14:paraId="22F137E5" w14:textId="129E3BD4" w:rsidR="00F838E4" w:rsidRPr="00045F85" w:rsidRDefault="00F838E4" w:rsidP="00C97AB2">
      <w:pPr>
        <w:pStyle w:val="Listenabsatz"/>
        <w:numPr>
          <w:ilvl w:val="0"/>
          <w:numId w:val="26"/>
        </w:numPr>
        <w:rPr>
          <w:color w:val="auto"/>
        </w:rPr>
      </w:pPr>
      <w:r w:rsidRPr="00045F85">
        <w:rPr>
          <w:color w:val="auto"/>
        </w:rPr>
        <w:t xml:space="preserve">If </w:t>
      </w:r>
      <w:r w:rsidR="005C5C43" w:rsidRPr="00045F85">
        <w:rPr>
          <w:color w:val="auto"/>
        </w:rPr>
        <w:t xml:space="preserve">sedation </w:t>
      </w:r>
      <w:r w:rsidR="00CE0068" w:rsidRPr="00045F85">
        <w:rPr>
          <w:color w:val="auto"/>
        </w:rPr>
        <w:t>is performed a brief description with details on</w:t>
      </w:r>
      <w:r w:rsidRPr="00045F85">
        <w:rPr>
          <w:color w:val="auto"/>
        </w:rPr>
        <w:t xml:space="preserve"> type and time of medication </w:t>
      </w:r>
      <w:r w:rsidR="00CE0068" w:rsidRPr="00045F85">
        <w:rPr>
          <w:color w:val="auto"/>
        </w:rPr>
        <w:t>with respect to</w:t>
      </w:r>
      <w:r w:rsidRPr="00045F85">
        <w:rPr>
          <w:color w:val="auto"/>
        </w:rPr>
        <w:t xml:space="preserve"> radiotracer injection</w:t>
      </w:r>
      <w:r w:rsidR="00CE0068" w:rsidRPr="00045F85">
        <w:rPr>
          <w:color w:val="auto"/>
        </w:rPr>
        <w:t xml:space="preserve"> should be provided</w:t>
      </w:r>
      <w:r w:rsidR="006923CC" w:rsidRPr="00045F85">
        <w:rPr>
          <w:color w:val="auto"/>
        </w:rPr>
        <w:t xml:space="preserve"> (at least in theory, halogen based anesthetics and benzodiazepines can increase endogenous dopamine levels).</w:t>
      </w:r>
    </w:p>
    <w:p w14:paraId="0FAB0DEC" w14:textId="77777777" w:rsidR="006923CC" w:rsidRPr="00045F85" w:rsidRDefault="006923CC" w:rsidP="006C307B">
      <w:pPr>
        <w:pStyle w:val="Listenabsatz"/>
        <w:numPr>
          <w:ilvl w:val="0"/>
          <w:numId w:val="0"/>
        </w:numPr>
        <w:ind w:left="720"/>
        <w:rPr>
          <w:color w:val="auto"/>
        </w:rPr>
      </w:pPr>
    </w:p>
    <w:p w14:paraId="1AFA05AA" w14:textId="77777777" w:rsidR="00F838E4" w:rsidRPr="00045F85" w:rsidRDefault="00F838E4" w:rsidP="00F838E4">
      <w:pPr>
        <w:rPr>
          <w:rFonts w:cs="Arial"/>
          <w:i/>
        </w:rPr>
      </w:pPr>
      <w:r w:rsidRPr="00045F85">
        <w:rPr>
          <w:rFonts w:cs="Arial"/>
          <w:i/>
        </w:rPr>
        <w:t>Findings</w:t>
      </w:r>
    </w:p>
    <w:p w14:paraId="04B80A73" w14:textId="5CBA7863" w:rsidR="00990B35" w:rsidRPr="00045F85" w:rsidRDefault="00E137A4" w:rsidP="00C97AB2">
      <w:pPr>
        <w:pStyle w:val="Listenabsatz"/>
        <w:numPr>
          <w:ilvl w:val="0"/>
          <w:numId w:val="27"/>
        </w:numPr>
        <w:rPr>
          <w:color w:val="auto"/>
        </w:rPr>
      </w:pPr>
      <w:r w:rsidRPr="00045F85">
        <w:rPr>
          <w:color w:val="auto"/>
        </w:rPr>
        <w:t>V</w:t>
      </w:r>
      <w:r w:rsidR="00F838E4" w:rsidRPr="00045F85">
        <w:rPr>
          <w:color w:val="auto"/>
        </w:rPr>
        <w:t>isual impression of striatal binding compared with background activity</w:t>
      </w:r>
      <w:r w:rsidRPr="00045F85">
        <w:rPr>
          <w:color w:val="auto"/>
        </w:rPr>
        <w:t xml:space="preserve"> should be provided with details on </w:t>
      </w:r>
      <w:r w:rsidR="00F838E4" w:rsidRPr="00045F85">
        <w:rPr>
          <w:color w:val="auto"/>
        </w:rPr>
        <w:t xml:space="preserve">both the </w:t>
      </w:r>
      <w:r w:rsidRPr="00045F85">
        <w:rPr>
          <w:color w:val="auto"/>
        </w:rPr>
        <w:t xml:space="preserve">caudate nuclei and the putamina. </w:t>
      </w:r>
      <w:r w:rsidR="00F838E4" w:rsidRPr="00045F85">
        <w:rPr>
          <w:color w:val="auto"/>
        </w:rPr>
        <w:t xml:space="preserve">Note any significant asymmetries; mild asymmetry may occur in healthy individuals. If abnormalities are present, location and intensity of </w:t>
      </w:r>
      <w:r w:rsidRPr="00045F85">
        <w:rPr>
          <w:color w:val="auto"/>
        </w:rPr>
        <w:t>this reduction should be provided</w:t>
      </w:r>
      <w:r w:rsidR="00F838E4" w:rsidRPr="00045F85">
        <w:rPr>
          <w:color w:val="auto"/>
        </w:rPr>
        <w:t xml:space="preserve">. </w:t>
      </w:r>
      <w:r w:rsidR="00872E8D" w:rsidRPr="00045F85">
        <w:rPr>
          <w:color w:val="auto"/>
        </w:rPr>
        <w:t>S</w:t>
      </w:r>
      <w:r w:rsidR="00311FA3" w:rsidRPr="00045F85">
        <w:rPr>
          <w:color w:val="auto"/>
        </w:rPr>
        <w:t xml:space="preserve">ignal to noise ratio </w:t>
      </w:r>
      <w:r w:rsidR="00872E8D" w:rsidRPr="00045F85">
        <w:rPr>
          <w:color w:val="auto"/>
        </w:rPr>
        <w:t xml:space="preserve">has to be commented. The visualization of </w:t>
      </w:r>
      <w:r w:rsidR="00311FA3" w:rsidRPr="00045F85">
        <w:rPr>
          <w:color w:val="auto"/>
        </w:rPr>
        <w:t xml:space="preserve">extra-striatal uptake </w:t>
      </w:r>
      <w:r w:rsidR="00872E8D" w:rsidRPr="00045F85">
        <w:rPr>
          <w:color w:val="auto"/>
        </w:rPr>
        <w:t>should be</w:t>
      </w:r>
      <w:r w:rsidR="00311FA3" w:rsidRPr="00045F85">
        <w:rPr>
          <w:color w:val="auto"/>
        </w:rPr>
        <w:t xml:space="preserve"> </w:t>
      </w:r>
      <w:r w:rsidR="00872E8D" w:rsidRPr="00045F85">
        <w:rPr>
          <w:color w:val="auto"/>
        </w:rPr>
        <w:t>reported. C</w:t>
      </w:r>
      <w:r w:rsidR="00F838E4" w:rsidRPr="00045F85">
        <w:rPr>
          <w:color w:val="auto"/>
        </w:rPr>
        <w:t xml:space="preserve">riteria used for interpretation </w:t>
      </w:r>
      <w:r w:rsidR="00872E8D" w:rsidRPr="00045F85">
        <w:rPr>
          <w:color w:val="auto"/>
        </w:rPr>
        <w:t xml:space="preserve">should be described </w:t>
      </w:r>
      <w:r w:rsidR="00F838E4" w:rsidRPr="00045F85">
        <w:rPr>
          <w:color w:val="auto"/>
        </w:rPr>
        <w:t>(</w:t>
      </w:r>
      <w:r w:rsidR="00872E8D" w:rsidRPr="00045F85">
        <w:rPr>
          <w:color w:val="auto"/>
        </w:rPr>
        <w:t>visual versus semiquantitative assessment or comparison with normal dabase</w:t>
      </w:r>
      <w:r w:rsidR="00F838E4" w:rsidRPr="00045F85">
        <w:rPr>
          <w:color w:val="auto"/>
        </w:rPr>
        <w:t xml:space="preserve">). </w:t>
      </w:r>
    </w:p>
    <w:p w14:paraId="2375A064" w14:textId="77777777" w:rsidR="00990B35" w:rsidRPr="00045F85" w:rsidRDefault="00990B35" w:rsidP="007363C5">
      <w:pPr>
        <w:pStyle w:val="Listenabsatz"/>
        <w:numPr>
          <w:ilvl w:val="0"/>
          <w:numId w:val="0"/>
        </w:numPr>
        <w:ind w:left="720"/>
        <w:rPr>
          <w:color w:val="auto"/>
        </w:rPr>
      </w:pPr>
    </w:p>
    <w:p w14:paraId="7296E229" w14:textId="5E77EADB" w:rsidR="00184B94" w:rsidRPr="00045F85" w:rsidRDefault="00F838E4" w:rsidP="00C97AB2">
      <w:pPr>
        <w:pStyle w:val="Listenabsatz"/>
        <w:numPr>
          <w:ilvl w:val="0"/>
          <w:numId w:val="27"/>
        </w:numPr>
        <w:rPr>
          <w:color w:val="auto"/>
        </w:rPr>
      </w:pPr>
      <w:r w:rsidRPr="00045F85">
        <w:rPr>
          <w:color w:val="auto"/>
        </w:rPr>
        <w:lastRenderedPageBreak/>
        <w:t xml:space="preserve">If semiquantitative analysis </w:t>
      </w:r>
      <w:r w:rsidR="00E57903" w:rsidRPr="00045F85">
        <w:rPr>
          <w:color w:val="auto"/>
        </w:rPr>
        <w:t>for DAT SPECT is performed</w:t>
      </w:r>
      <w:r w:rsidRPr="00045F85">
        <w:rPr>
          <w:color w:val="auto"/>
        </w:rPr>
        <w:t>, report the values. If a normal database for patients’ value comparison, report reference range and/or z-score differences with respect to the database in case of abnormal findings (see discussion of utility and limits of database of healthy subjects in previous section</w:t>
      </w:r>
      <w:r w:rsidR="00932804" w:rsidRPr="00045F85">
        <w:rPr>
          <w:color w:val="auto"/>
        </w:rPr>
        <w:t>s</w:t>
      </w:r>
      <w:r w:rsidRPr="00045F85">
        <w:rPr>
          <w:color w:val="auto"/>
        </w:rPr>
        <w:t xml:space="preserve">). </w:t>
      </w:r>
    </w:p>
    <w:p w14:paraId="216F23D3" w14:textId="77777777" w:rsidR="00184B94" w:rsidRPr="00045F85" w:rsidRDefault="00184B94" w:rsidP="007363C5">
      <w:pPr>
        <w:pStyle w:val="Listenabsatz"/>
        <w:numPr>
          <w:ilvl w:val="0"/>
          <w:numId w:val="0"/>
        </w:numPr>
        <w:ind w:left="720"/>
        <w:rPr>
          <w:color w:val="auto"/>
        </w:rPr>
      </w:pPr>
    </w:p>
    <w:p w14:paraId="3FBE22E7" w14:textId="33E3631C" w:rsidR="00184B94" w:rsidRPr="00045F85" w:rsidRDefault="00F308AC" w:rsidP="00C97AB2">
      <w:pPr>
        <w:pStyle w:val="Listenabsatz"/>
        <w:numPr>
          <w:ilvl w:val="0"/>
          <w:numId w:val="27"/>
        </w:numPr>
        <w:rPr>
          <w:color w:val="auto"/>
        </w:rPr>
      </w:pPr>
      <w:r w:rsidRPr="00045F85">
        <w:rPr>
          <w:color w:val="auto"/>
        </w:rPr>
        <w:t>Comment</w:t>
      </w:r>
      <w:r w:rsidR="00F838E4" w:rsidRPr="00045F85">
        <w:rPr>
          <w:color w:val="auto"/>
        </w:rPr>
        <w:t xml:space="preserve"> findings </w:t>
      </w:r>
      <w:r w:rsidRPr="00045F85">
        <w:rPr>
          <w:color w:val="auto"/>
        </w:rPr>
        <w:t>on the light of</w:t>
      </w:r>
      <w:r w:rsidR="00F838E4" w:rsidRPr="00045F85">
        <w:rPr>
          <w:color w:val="auto"/>
        </w:rPr>
        <w:t xml:space="preserve"> relevant anatomic changes displayed </w:t>
      </w:r>
      <w:r w:rsidRPr="00045F85">
        <w:rPr>
          <w:color w:val="auto"/>
        </w:rPr>
        <w:t>on morphological imaging</w:t>
      </w:r>
      <w:r w:rsidR="00E57903" w:rsidRPr="00045F85">
        <w:rPr>
          <w:color w:val="auto"/>
        </w:rPr>
        <w:t xml:space="preserve"> </w:t>
      </w:r>
      <w:r w:rsidRPr="00045F85">
        <w:rPr>
          <w:color w:val="auto"/>
        </w:rPr>
        <w:t>(</w:t>
      </w:r>
      <w:r w:rsidR="00F838E4" w:rsidRPr="00045F85">
        <w:rPr>
          <w:color w:val="auto"/>
        </w:rPr>
        <w:t>CT or MRI scans</w:t>
      </w:r>
      <w:r w:rsidRPr="00045F85">
        <w:rPr>
          <w:color w:val="auto"/>
        </w:rPr>
        <w:t>).</w:t>
      </w:r>
    </w:p>
    <w:p w14:paraId="7C4DDC2B" w14:textId="77777777" w:rsidR="00184B94" w:rsidRPr="00045F85" w:rsidRDefault="00184B94" w:rsidP="007363C5">
      <w:pPr>
        <w:pStyle w:val="Listenabsatz"/>
        <w:numPr>
          <w:ilvl w:val="0"/>
          <w:numId w:val="0"/>
        </w:numPr>
        <w:ind w:left="720"/>
        <w:rPr>
          <w:color w:val="auto"/>
        </w:rPr>
      </w:pPr>
    </w:p>
    <w:p w14:paraId="52045F2C" w14:textId="7CCE0B9D" w:rsidR="00184B94" w:rsidRPr="00045F85" w:rsidRDefault="00F838E4" w:rsidP="00C97AB2">
      <w:pPr>
        <w:pStyle w:val="Listenabsatz"/>
        <w:numPr>
          <w:ilvl w:val="0"/>
          <w:numId w:val="27"/>
        </w:numPr>
        <w:rPr>
          <w:color w:val="auto"/>
        </w:rPr>
      </w:pPr>
      <w:r w:rsidRPr="00045F85">
        <w:rPr>
          <w:color w:val="auto"/>
        </w:rPr>
        <w:t>L</w:t>
      </w:r>
      <w:r w:rsidR="00184B94" w:rsidRPr="00045F85">
        <w:rPr>
          <w:color w:val="auto"/>
        </w:rPr>
        <w:t xml:space="preserve">imitations: </w:t>
      </w:r>
      <w:r w:rsidR="00F308AC" w:rsidRPr="00045F85">
        <w:rPr>
          <w:color w:val="auto"/>
        </w:rPr>
        <w:t>list</w:t>
      </w:r>
      <w:r w:rsidRPr="00045F85">
        <w:rPr>
          <w:color w:val="auto"/>
        </w:rPr>
        <w:t xml:space="preserve"> factors that could have limited </w:t>
      </w:r>
      <w:r w:rsidR="00F308AC" w:rsidRPr="00045F85">
        <w:rPr>
          <w:color w:val="auto"/>
        </w:rPr>
        <w:t>accuracy of</w:t>
      </w:r>
      <w:r w:rsidRPr="00045F85">
        <w:rPr>
          <w:color w:val="auto"/>
        </w:rPr>
        <w:t xml:space="preserve"> the examination</w:t>
      </w:r>
      <w:r w:rsidR="00F308AC" w:rsidRPr="00045F85">
        <w:rPr>
          <w:color w:val="auto"/>
        </w:rPr>
        <w:t xml:space="preserve"> in terms of sensitivy and specificity</w:t>
      </w:r>
      <w:r w:rsidRPr="00045F85">
        <w:rPr>
          <w:color w:val="auto"/>
        </w:rPr>
        <w:t xml:space="preserve"> (i.e. movement or concomitant medication). </w:t>
      </w:r>
      <w:r w:rsidR="00F308AC" w:rsidRPr="00045F85">
        <w:rPr>
          <w:color w:val="auto"/>
        </w:rPr>
        <w:t>Report potentantial interefence due to</w:t>
      </w:r>
      <w:r w:rsidRPr="00045F85">
        <w:rPr>
          <w:color w:val="auto"/>
        </w:rPr>
        <w:t xml:space="preserve"> drugs, </w:t>
      </w:r>
      <w:r w:rsidR="00F308AC" w:rsidRPr="00045F85">
        <w:rPr>
          <w:color w:val="auto"/>
        </w:rPr>
        <w:t>administered to the patients.</w:t>
      </w:r>
    </w:p>
    <w:p w14:paraId="0CC3F713" w14:textId="77777777" w:rsidR="00184B94" w:rsidRPr="00045F85" w:rsidRDefault="00184B94" w:rsidP="00184B94">
      <w:pPr>
        <w:ind w:left="270"/>
        <w:rPr>
          <w:rFonts w:cs="Arial"/>
        </w:rPr>
      </w:pPr>
    </w:p>
    <w:p w14:paraId="54EA5072" w14:textId="671B3AF7" w:rsidR="00F838E4" w:rsidRPr="00045F85" w:rsidRDefault="00F838E4" w:rsidP="00C97AB2">
      <w:pPr>
        <w:pStyle w:val="Listenabsatz"/>
        <w:numPr>
          <w:ilvl w:val="0"/>
          <w:numId w:val="27"/>
        </w:numPr>
        <w:rPr>
          <w:color w:val="auto"/>
        </w:rPr>
      </w:pPr>
      <w:r w:rsidRPr="00045F85">
        <w:rPr>
          <w:color w:val="auto"/>
        </w:rPr>
        <w:t>Clinical issues: The report should address or answer any pertinent clinical issues raised in the request for the imaging examination.</w:t>
      </w:r>
    </w:p>
    <w:p w14:paraId="56BAFF58" w14:textId="77777777" w:rsidR="00937F38" w:rsidRPr="00045F85" w:rsidRDefault="00937F38" w:rsidP="00F838E4">
      <w:pPr>
        <w:rPr>
          <w:rFonts w:cs="Arial"/>
        </w:rPr>
      </w:pPr>
    </w:p>
    <w:p w14:paraId="3E2041CE" w14:textId="061D8348" w:rsidR="00F838E4" w:rsidRPr="00045F85" w:rsidRDefault="008F4878" w:rsidP="00F838E4">
      <w:pPr>
        <w:rPr>
          <w:rFonts w:cs="Arial"/>
          <w:i/>
        </w:rPr>
      </w:pPr>
      <w:r w:rsidRPr="00045F85">
        <w:rPr>
          <w:rFonts w:cs="Arial"/>
          <w:i/>
        </w:rPr>
        <w:t>Comparative data</w:t>
      </w:r>
    </w:p>
    <w:p w14:paraId="5EE2BB7E" w14:textId="04DB76B2" w:rsidR="00937F38" w:rsidRPr="00045F85" w:rsidRDefault="00F838E4" w:rsidP="00F838E4">
      <w:pPr>
        <w:rPr>
          <w:rFonts w:cs="Arial"/>
        </w:rPr>
      </w:pPr>
      <w:r w:rsidRPr="00045F85">
        <w:rPr>
          <w:rFonts w:cs="Arial"/>
        </w:rPr>
        <w:t xml:space="preserve">Comparisons with previous examinations and reports, if available, should </w:t>
      </w:r>
      <w:r w:rsidR="00E57903" w:rsidRPr="00045F85">
        <w:rPr>
          <w:rFonts w:cs="Arial"/>
        </w:rPr>
        <w:t xml:space="preserve">be part of the report indicated. </w:t>
      </w:r>
      <w:r w:rsidRPr="00045F85">
        <w:rPr>
          <w:rFonts w:cs="Arial"/>
        </w:rPr>
        <w:t>However</w:t>
      </w:r>
      <w:r w:rsidR="00277183" w:rsidRPr="00045F85">
        <w:rPr>
          <w:rFonts w:cs="Arial"/>
        </w:rPr>
        <w:t>,</w:t>
      </w:r>
      <w:r w:rsidRPr="00045F85">
        <w:rPr>
          <w:rFonts w:cs="Arial"/>
        </w:rPr>
        <w:t xml:space="preserve"> </w:t>
      </w:r>
      <w:r w:rsidR="00BC2B27" w:rsidRPr="00045F85">
        <w:rPr>
          <w:rFonts w:cs="Arial"/>
        </w:rPr>
        <w:t>in view of</w:t>
      </w:r>
      <w:r w:rsidRPr="00045F85">
        <w:rPr>
          <w:rFonts w:cs="Arial"/>
        </w:rPr>
        <w:t xml:space="preserve"> the high sensitivity and early impairment characterizing presynaptic dopaminergic imaging, a follow up scan is rarely needed or indicated. </w:t>
      </w:r>
    </w:p>
    <w:p w14:paraId="16BD20F9" w14:textId="77777777" w:rsidR="00937F38" w:rsidRPr="00045F85" w:rsidRDefault="00937F38" w:rsidP="00F838E4">
      <w:pPr>
        <w:rPr>
          <w:rFonts w:cs="Arial"/>
        </w:rPr>
      </w:pPr>
    </w:p>
    <w:p w14:paraId="0CF6678B" w14:textId="5F8A4081" w:rsidR="00F838E4" w:rsidRPr="00045F85" w:rsidRDefault="00F838E4" w:rsidP="00C97AB2">
      <w:pPr>
        <w:pStyle w:val="Listenabsatz"/>
        <w:numPr>
          <w:ilvl w:val="0"/>
          <w:numId w:val="21"/>
        </w:numPr>
        <w:rPr>
          <w:color w:val="auto"/>
        </w:rPr>
      </w:pPr>
      <w:r w:rsidRPr="00045F85">
        <w:rPr>
          <w:color w:val="auto"/>
        </w:rPr>
        <w:t>Interpretation and conclusions</w:t>
      </w:r>
    </w:p>
    <w:p w14:paraId="3A8937C1" w14:textId="77777777" w:rsidR="00530DBA" w:rsidRPr="00045F85" w:rsidRDefault="00530DBA" w:rsidP="004D1C39">
      <w:pPr>
        <w:pStyle w:val="Listenabsatz"/>
        <w:numPr>
          <w:ilvl w:val="0"/>
          <w:numId w:val="0"/>
        </w:numPr>
        <w:ind w:left="720"/>
        <w:rPr>
          <w:color w:val="auto"/>
        </w:rPr>
      </w:pPr>
    </w:p>
    <w:p w14:paraId="55D7C011" w14:textId="77777777" w:rsidR="00F3693B" w:rsidRPr="00045F85" w:rsidRDefault="00F3693B" w:rsidP="00F838E4">
      <w:pPr>
        <w:rPr>
          <w:rFonts w:cs="Arial"/>
          <w:i/>
        </w:rPr>
      </w:pPr>
      <w:r w:rsidRPr="00045F85">
        <w:rPr>
          <w:rFonts w:cs="Arial"/>
          <w:i/>
        </w:rPr>
        <w:t>Conclusions</w:t>
      </w:r>
    </w:p>
    <w:p w14:paraId="63EEE57C" w14:textId="73CFD044" w:rsidR="00F838E4" w:rsidRPr="00045F85" w:rsidRDefault="00976EDD" w:rsidP="00F838E4">
      <w:pPr>
        <w:rPr>
          <w:rFonts w:cs="Arial"/>
          <w:lang w:val="en-GB"/>
        </w:rPr>
      </w:pPr>
      <w:r w:rsidRPr="00045F85">
        <w:rPr>
          <w:rFonts w:cs="Arial"/>
        </w:rPr>
        <w:t>The report should include conclusions</w:t>
      </w:r>
      <w:r w:rsidR="00F838E4" w:rsidRPr="00045F85">
        <w:rPr>
          <w:rFonts w:cs="Arial"/>
        </w:rPr>
        <w:t xml:space="preserve"> </w:t>
      </w:r>
      <w:r w:rsidRPr="00045F85">
        <w:rPr>
          <w:rFonts w:cs="Arial"/>
        </w:rPr>
        <w:t>stating if</w:t>
      </w:r>
      <w:r w:rsidR="00F838E4" w:rsidRPr="00045F85">
        <w:rPr>
          <w:rFonts w:cs="Arial"/>
        </w:rPr>
        <w:t xml:space="preserve"> a presynaptic dopaminergic deficit is present or absent. Abnormal findings indicate a presynapti</w:t>
      </w:r>
      <w:r w:rsidRPr="00045F85">
        <w:rPr>
          <w:rFonts w:cs="Arial"/>
        </w:rPr>
        <w:t>c striatal dopaminergic deficit. Ths finding might be due to</w:t>
      </w:r>
      <w:r w:rsidR="00F838E4" w:rsidRPr="00045F85">
        <w:rPr>
          <w:rFonts w:cs="Arial"/>
        </w:rPr>
        <w:t xml:space="preserve"> a variety of diagnoses, including </w:t>
      </w:r>
      <w:r w:rsidR="00C50694" w:rsidRPr="00045F85">
        <w:rPr>
          <w:rFonts w:cs="Arial"/>
        </w:rPr>
        <w:t>IPD</w:t>
      </w:r>
      <w:r w:rsidR="00F838E4" w:rsidRPr="00045F85">
        <w:rPr>
          <w:rFonts w:cs="Arial"/>
        </w:rPr>
        <w:t xml:space="preserve">, </w:t>
      </w:r>
      <w:r w:rsidR="008C3C81" w:rsidRPr="00045F85">
        <w:rPr>
          <w:rFonts w:cs="Arial"/>
        </w:rPr>
        <w:t>PSP</w:t>
      </w:r>
      <w:r w:rsidR="00F838E4" w:rsidRPr="00045F85">
        <w:rPr>
          <w:rFonts w:cs="Arial"/>
        </w:rPr>
        <w:t xml:space="preserve">, </w:t>
      </w:r>
      <w:r w:rsidR="008C3C81" w:rsidRPr="00045F85">
        <w:rPr>
          <w:rFonts w:cs="Arial"/>
        </w:rPr>
        <w:t>MSA</w:t>
      </w:r>
      <w:r w:rsidR="00F838E4" w:rsidRPr="00045F85">
        <w:rPr>
          <w:rFonts w:cs="Arial"/>
        </w:rPr>
        <w:t xml:space="preserve">, </w:t>
      </w:r>
      <w:r w:rsidR="00EE29F0" w:rsidRPr="00045F85">
        <w:rPr>
          <w:rFonts w:cs="Arial"/>
        </w:rPr>
        <w:t xml:space="preserve">CBD </w:t>
      </w:r>
      <w:r w:rsidR="00F838E4" w:rsidRPr="00045F85">
        <w:rPr>
          <w:rFonts w:cs="Arial"/>
        </w:rPr>
        <w:t xml:space="preserve">and </w:t>
      </w:r>
      <w:r w:rsidR="008C3C81" w:rsidRPr="00045F85">
        <w:rPr>
          <w:rFonts w:cs="Arial"/>
        </w:rPr>
        <w:t>DLB</w:t>
      </w:r>
      <w:r w:rsidR="00F838E4" w:rsidRPr="00045F85">
        <w:rPr>
          <w:rFonts w:cs="Arial"/>
        </w:rPr>
        <w:t xml:space="preserve">. </w:t>
      </w:r>
      <w:r w:rsidRPr="00045F85">
        <w:rPr>
          <w:rFonts w:cs="Arial"/>
        </w:rPr>
        <w:t>W</w:t>
      </w:r>
      <w:r w:rsidR="00AE30D6" w:rsidRPr="00045F85">
        <w:rPr>
          <w:rFonts w:cs="Arial"/>
          <w:lang w:val="en-GB"/>
        </w:rPr>
        <w:t>hen caudate spar</w:t>
      </w:r>
      <w:r w:rsidR="00BB5313" w:rsidRPr="00045F85">
        <w:rPr>
          <w:rFonts w:cs="Arial"/>
          <w:lang w:val="en-GB"/>
        </w:rPr>
        <w:t xml:space="preserve">ing characteristic of </w:t>
      </w:r>
      <w:r w:rsidR="00C50694" w:rsidRPr="00045F85">
        <w:rPr>
          <w:rFonts w:cs="Arial"/>
          <w:lang w:val="en-GB"/>
        </w:rPr>
        <w:t>IPD</w:t>
      </w:r>
      <w:r w:rsidR="00AE30D6" w:rsidRPr="00045F85">
        <w:rPr>
          <w:rFonts w:cs="Arial"/>
          <w:lang w:val="en-GB"/>
        </w:rPr>
        <w:t xml:space="preserve"> is lost, diagnoses of CBD or PSP can be suggested, especially with </w:t>
      </w:r>
      <w:r w:rsidR="00AE30D6" w:rsidRPr="00045F85">
        <w:rPr>
          <w:rFonts w:cs="Arial"/>
        </w:rPr>
        <w:t>[</w:t>
      </w:r>
      <w:r w:rsidR="00AE30D6" w:rsidRPr="00045F85">
        <w:rPr>
          <w:rFonts w:cs="Arial"/>
          <w:vertAlign w:val="superscript"/>
        </w:rPr>
        <w:t>18</w:t>
      </w:r>
      <w:r w:rsidR="00AE30D6" w:rsidRPr="00045F85">
        <w:rPr>
          <w:rFonts w:cs="Arial"/>
        </w:rPr>
        <w:t>F]fluorodopa</w:t>
      </w:r>
      <w:r w:rsidR="00AE30D6" w:rsidRPr="00045F85">
        <w:rPr>
          <w:rFonts w:cs="Arial"/>
          <w:lang w:val="en-GB"/>
        </w:rPr>
        <w:t xml:space="preserve"> which a</w:t>
      </w:r>
      <w:r w:rsidR="00336FE1" w:rsidRPr="00045F85">
        <w:rPr>
          <w:rFonts w:cs="Arial"/>
          <w:lang w:val="en-GB"/>
        </w:rPr>
        <w:t>llows higher spatial resolution.</w:t>
      </w:r>
      <w:r w:rsidR="00AE30D6" w:rsidRPr="00045F85">
        <w:rPr>
          <w:rFonts w:cs="Arial"/>
          <w:lang w:val="en-GB"/>
        </w:rPr>
        <w:t xml:space="preserve"> </w:t>
      </w:r>
      <w:r w:rsidR="00F838E4" w:rsidRPr="00045F85">
        <w:rPr>
          <w:rFonts w:cs="Arial"/>
        </w:rPr>
        <w:t xml:space="preserve">Normal findings could </w:t>
      </w:r>
      <w:r w:rsidRPr="00045F85">
        <w:rPr>
          <w:rFonts w:cs="Arial"/>
        </w:rPr>
        <w:t>support the diagnosis of</w:t>
      </w:r>
      <w:r w:rsidR="00F838E4" w:rsidRPr="00045F85">
        <w:rPr>
          <w:rFonts w:cs="Arial"/>
        </w:rPr>
        <w:t xml:space="preserve"> essential tremor, drug-induced parkinsonism, psychogenic parkinsonism, </w:t>
      </w:r>
      <w:r w:rsidR="008C3C81" w:rsidRPr="00045F85">
        <w:rPr>
          <w:rFonts w:cs="Arial"/>
        </w:rPr>
        <w:t>AD</w:t>
      </w:r>
      <w:r w:rsidR="00F838E4" w:rsidRPr="00045F85">
        <w:rPr>
          <w:rFonts w:cs="Arial"/>
        </w:rPr>
        <w:t xml:space="preserve">, or a state of health. To aid the referring clinician, descriptors such as mild, moderate, or severe can be used to characterize any deficits. A more comprehensive diagnostic comment taking advantage of the available results </w:t>
      </w:r>
      <w:r w:rsidR="003B4CCF" w:rsidRPr="00045F85">
        <w:rPr>
          <w:rFonts w:cs="Arial"/>
        </w:rPr>
        <w:t xml:space="preserve">of </w:t>
      </w:r>
      <w:r w:rsidR="00F838E4" w:rsidRPr="00045F85">
        <w:rPr>
          <w:rFonts w:cs="Arial"/>
        </w:rPr>
        <w:t>other previously performed molecul</w:t>
      </w:r>
      <w:r w:rsidR="003B4CCF" w:rsidRPr="00045F85">
        <w:rPr>
          <w:rFonts w:cs="Arial"/>
        </w:rPr>
        <w:t>ar</w:t>
      </w:r>
      <w:r w:rsidR="00FC716C" w:rsidRPr="00045F85">
        <w:rPr>
          <w:rFonts w:cs="Arial"/>
        </w:rPr>
        <w:t xml:space="preserve"> (i.e. </w:t>
      </w:r>
      <w:r w:rsidR="00435601" w:rsidRPr="00045F85">
        <w:rPr>
          <w:rFonts w:cs="Arial"/>
        </w:rPr>
        <w:t>([</w:t>
      </w:r>
      <w:r w:rsidR="00435601" w:rsidRPr="00045F85">
        <w:rPr>
          <w:rFonts w:cs="Arial"/>
          <w:vertAlign w:val="superscript"/>
        </w:rPr>
        <w:t>18</w:t>
      </w:r>
      <w:r w:rsidR="00435601" w:rsidRPr="00045F85">
        <w:rPr>
          <w:rFonts w:cs="Arial"/>
        </w:rPr>
        <w:t>F]</w:t>
      </w:r>
      <w:r w:rsidR="00FC716C" w:rsidRPr="00045F85">
        <w:rPr>
          <w:rFonts w:cs="Arial"/>
        </w:rPr>
        <w:t xml:space="preserve">FDG PET or </w:t>
      </w:r>
      <w:r w:rsidR="005D06B1" w:rsidRPr="00045F85">
        <w:rPr>
          <w:rFonts w:cs="Arial"/>
        </w:rPr>
        <w:t>[</w:t>
      </w:r>
      <w:r w:rsidR="005D06B1" w:rsidRPr="00045F85">
        <w:rPr>
          <w:rFonts w:cs="Arial"/>
          <w:vertAlign w:val="superscript"/>
        </w:rPr>
        <w:t>123</w:t>
      </w:r>
      <w:r w:rsidR="005D06B1" w:rsidRPr="00045F85">
        <w:rPr>
          <w:rFonts w:cs="Arial"/>
        </w:rPr>
        <w:t>I]mIBG</w:t>
      </w:r>
      <w:r w:rsidR="00FC716C" w:rsidRPr="00045F85">
        <w:rPr>
          <w:rFonts w:cs="Arial"/>
        </w:rPr>
        <w:t>) or structural</w:t>
      </w:r>
      <w:r w:rsidR="00F838E4" w:rsidRPr="00045F85">
        <w:rPr>
          <w:rFonts w:cs="Arial"/>
        </w:rPr>
        <w:t xml:space="preserve"> </w:t>
      </w:r>
      <w:r w:rsidR="008F4E98" w:rsidRPr="00045F85">
        <w:rPr>
          <w:rFonts w:cs="Arial"/>
        </w:rPr>
        <w:t xml:space="preserve">imaging studies </w:t>
      </w:r>
      <w:r w:rsidR="00FC716C" w:rsidRPr="00045F85">
        <w:rPr>
          <w:rFonts w:cs="Arial"/>
        </w:rPr>
        <w:t xml:space="preserve">(i.e. MRI with </w:t>
      </w:r>
      <w:r w:rsidR="00AE30D6" w:rsidRPr="00045F85">
        <w:rPr>
          <w:rFonts w:cs="Arial"/>
          <w:lang w:val="en-GB"/>
        </w:rPr>
        <w:t xml:space="preserve">a punched out appearance of </w:t>
      </w:r>
      <w:r w:rsidR="008A5A4E" w:rsidRPr="00045F85">
        <w:rPr>
          <w:rFonts w:cs="Arial"/>
          <w:lang w:val="en-GB"/>
        </w:rPr>
        <w:t xml:space="preserve">the </w:t>
      </w:r>
      <w:r w:rsidR="00AE30D6" w:rsidRPr="00045F85">
        <w:rPr>
          <w:rFonts w:cs="Arial"/>
          <w:lang w:val="en-GB"/>
        </w:rPr>
        <w:t>striatum</w:t>
      </w:r>
      <w:r w:rsidR="00FC716C" w:rsidRPr="00045F85">
        <w:rPr>
          <w:rFonts w:cs="Arial"/>
        </w:rPr>
        <w:t xml:space="preserve">) </w:t>
      </w:r>
      <w:r w:rsidR="00F838E4" w:rsidRPr="00045F85">
        <w:rPr>
          <w:rFonts w:cs="Arial"/>
        </w:rPr>
        <w:t>could be included in selected cases. Similarly, when appropriate, follow-up or additional studies (</w:t>
      </w:r>
      <w:r w:rsidR="00435601" w:rsidRPr="00045F85">
        <w:rPr>
          <w:rFonts w:cs="Arial"/>
        </w:rPr>
        <w:t>[</w:t>
      </w:r>
      <w:r w:rsidR="00F838E4" w:rsidRPr="00045F85">
        <w:rPr>
          <w:rFonts w:cs="Arial"/>
          <w:vertAlign w:val="superscript"/>
        </w:rPr>
        <w:t>18</w:t>
      </w:r>
      <w:r w:rsidR="00F838E4" w:rsidRPr="00045F85">
        <w:rPr>
          <w:rFonts w:cs="Arial"/>
        </w:rPr>
        <w:t>F</w:t>
      </w:r>
      <w:r w:rsidR="00435601" w:rsidRPr="00045F85">
        <w:rPr>
          <w:rFonts w:cs="Arial"/>
        </w:rPr>
        <w:t>]</w:t>
      </w:r>
      <w:r w:rsidR="00F838E4" w:rsidRPr="00045F85">
        <w:rPr>
          <w:rFonts w:cs="Arial"/>
        </w:rPr>
        <w:t xml:space="preserve">FDG PET, perfusion SPECT, cardiac </w:t>
      </w:r>
      <w:r w:rsidR="00435601" w:rsidRPr="00045F85">
        <w:rPr>
          <w:rFonts w:cs="Arial"/>
        </w:rPr>
        <w:t>[</w:t>
      </w:r>
      <w:r w:rsidR="00F838E4" w:rsidRPr="00045F85">
        <w:rPr>
          <w:rFonts w:cs="Arial"/>
          <w:vertAlign w:val="superscript"/>
        </w:rPr>
        <w:t>123</w:t>
      </w:r>
      <w:r w:rsidR="00F838E4" w:rsidRPr="00045F85">
        <w:rPr>
          <w:rFonts w:cs="Arial"/>
        </w:rPr>
        <w:t>I</w:t>
      </w:r>
      <w:r w:rsidR="00435601" w:rsidRPr="00045F85">
        <w:rPr>
          <w:rFonts w:cs="Arial"/>
        </w:rPr>
        <w:t>]</w:t>
      </w:r>
      <w:r w:rsidR="00932804" w:rsidRPr="00045F85">
        <w:rPr>
          <w:rFonts w:cs="Arial"/>
        </w:rPr>
        <w:t>mIBG scintigraphy</w:t>
      </w:r>
      <w:r w:rsidR="00C66FB0" w:rsidRPr="00045F85">
        <w:rPr>
          <w:rFonts w:cs="Arial"/>
        </w:rPr>
        <w:t xml:space="preserve"> or D2 imaging</w:t>
      </w:r>
      <w:r w:rsidR="00F838E4" w:rsidRPr="00045F85">
        <w:rPr>
          <w:rFonts w:cs="Arial"/>
        </w:rPr>
        <w:t xml:space="preserve">) can be recommended to clarify or confirm the suspected diagnosis. </w:t>
      </w:r>
    </w:p>
    <w:p w14:paraId="5EE6A368" w14:textId="104D0CD2" w:rsidR="00F838E4" w:rsidRPr="00045F85" w:rsidRDefault="00F838E4" w:rsidP="00F838E4">
      <w:pPr>
        <w:rPr>
          <w:rFonts w:cs="Arial"/>
          <w:i/>
        </w:rPr>
      </w:pPr>
      <w:r w:rsidRPr="00045F85">
        <w:rPr>
          <w:rFonts w:cs="Arial"/>
          <w:i/>
        </w:rPr>
        <w:t xml:space="preserve">Sources of error </w:t>
      </w:r>
      <w:r w:rsidR="00373435" w:rsidRPr="00045F85">
        <w:rPr>
          <w:rFonts w:cs="Arial"/>
          <w:i/>
        </w:rPr>
        <w:t>and Arti</w:t>
      </w:r>
      <w:r w:rsidR="00601C94" w:rsidRPr="00045F85">
        <w:rPr>
          <w:rFonts w:cs="Arial"/>
          <w:i/>
        </w:rPr>
        <w:t>facts</w:t>
      </w:r>
    </w:p>
    <w:p w14:paraId="5117B30F" w14:textId="2AFDBB5C" w:rsidR="00F838E4" w:rsidRPr="00045F85" w:rsidRDefault="00373435" w:rsidP="00C97AB2">
      <w:pPr>
        <w:pStyle w:val="Listenabsatz"/>
        <w:numPr>
          <w:ilvl w:val="0"/>
          <w:numId w:val="25"/>
        </w:numPr>
        <w:rPr>
          <w:color w:val="auto"/>
        </w:rPr>
      </w:pPr>
      <w:r w:rsidRPr="00045F85">
        <w:rPr>
          <w:color w:val="auto"/>
        </w:rPr>
        <w:lastRenderedPageBreak/>
        <w:t>Arti</w:t>
      </w:r>
      <w:r w:rsidR="00F838E4" w:rsidRPr="00045F85">
        <w:rPr>
          <w:color w:val="auto"/>
        </w:rPr>
        <w:t>facts (patient movement, camera-related, induced by inappropriate processing</w:t>
      </w:r>
      <w:r w:rsidR="00C20410" w:rsidRPr="00045F85">
        <w:rPr>
          <w:color w:val="auto"/>
        </w:rPr>
        <w:t>; tracer extravasations</w:t>
      </w:r>
      <w:r w:rsidR="00F838E4" w:rsidRPr="00045F85">
        <w:rPr>
          <w:color w:val="auto"/>
        </w:rPr>
        <w:t>).</w:t>
      </w:r>
    </w:p>
    <w:p w14:paraId="153D1DF8" w14:textId="4323136B" w:rsidR="00F838E4" w:rsidRPr="00045F85" w:rsidRDefault="00F838E4" w:rsidP="00C97AB2">
      <w:pPr>
        <w:pStyle w:val="Listenabsatz"/>
        <w:numPr>
          <w:ilvl w:val="0"/>
          <w:numId w:val="25"/>
        </w:numPr>
        <w:rPr>
          <w:color w:val="auto"/>
        </w:rPr>
      </w:pPr>
      <w:r w:rsidRPr="00045F85">
        <w:rPr>
          <w:color w:val="auto"/>
        </w:rPr>
        <w:t xml:space="preserve">Interference from </w:t>
      </w:r>
      <w:r w:rsidR="00C20410" w:rsidRPr="00045F85">
        <w:rPr>
          <w:color w:val="auto"/>
        </w:rPr>
        <w:t>medications</w:t>
      </w:r>
      <w:r w:rsidRPr="00045F85">
        <w:rPr>
          <w:color w:val="auto"/>
        </w:rPr>
        <w:t xml:space="preserve"> </w:t>
      </w:r>
      <w:r w:rsidR="00C20410" w:rsidRPr="00045F85">
        <w:rPr>
          <w:color w:val="auto"/>
        </w:rPr>
        <w:t xml:space="preserve">(although interactions should affect </w:t>
      </w:r>
      <w:r w:rsidR="00F979DF" w:rsidRPr="00045F85">
        <w:rPr>
          <w:color w:val="auto"/>
        </w:rPr>
        <w:t>tracer</w:t>
      </w:r>
      <w:r w:rsidR="00C20410" w:rsidRPr="00045F85">
        <w:rPr>
          <w:color w:val="auto"/>
        </w:rPr>
        <w:t xml:space="preserve"> uptake the whole striatum and should not influence the presence of an asymmetrical pattern of reduced uptake).</w:t>
      </w:r>
    </w:p>
    <w:p w14:paraId="3058F6C3" w14:textId="7965D8BC" w:rsidR="005A6B14" w:rsidRPr="00045F85" w:rsidRDefault="001264AD" w:rsidP="004D1C39">
      <w:pPr>
        <w:pStyle w:val="berschrift1"/>
        <w:rPr>
          <w:color w:val="auto"/>
        </w:rPr>
      </w:pPr>
      <w:r w:rsidRPr="00045F85">
        <w:rPr>
          <w:color w:val="auto"/>
        </w:rPr>
        <w:t>New</w:t>
      </w:r>
      <w:r w:rsidR="005A6B14" w:rsidRPr="00045F85">
        <w:rPr>
          <w:color w:val="auto"/>
        </w:rPr>
        <w:t xml:space="preserve"> Tracers for Dopaminergic Imaging in Parkinsonian Syndromes</w:t>
      </w:r>
    </w:p>
    <w:p w14:paraId="26C98B91" w14:textId="77777777" w:rsidR="00B2450E" w:rsidRPr="00045F85" w:rsidRDefault="00B2450E" w:rsidP="00363EC9">
      <w:pPr>
        <w:ind w:left="360"/>
        <w:rPr>
          <w:rFonts w:cs="Arial"/>
          <w:b/>
          <w:sz w:val="26"/>
          <w:szCs w:val="26"/>
        </w:rPr>
      </w:pPr>
      <w:r w:rsidRPr="00045F85">
        <w:rPr>
          <w:rFonts w:cs="Arial"/>
          <w:b/>
          <w:sz w:val="26"/>
          <w:szCs w:val="26"/>
        </w:rPr>
        <w:t xml:space="preserve">PET imaging of DAT using </w:t>
      </w:r>
      <w:r w:rsidRPr="00045F85">
        <w:rPr>
          <w:rFonts w:cs="Arial"/>
          <w:b/>
          <w:sz w:val="26"/>
          <w:szCs w:val="26"/>
          <w:vertAlign w:val="superscript"/>
        </w:rPr>
        <w:t>11</w:t>
      </w:r>
      <w:r w:rsidRPr="00045F85">
        <w:rPr>
          <w:rFonts w:cs="Arial"/>
          <w:b/>
          <w:sz w:val="26"/>
          <w:szCs w:val="26"/>
        </w:rPr>
        <w:t xml:space="preserve">C-PE2I and </w:t>
      </w:r>
      <w:r w:rsidRPr="00045F85">
        <w:rPr>
          <w:rFonts w:cs="Arial"/>
          <w:b/>
          <w:sz w:val="26"/>
          <w:szCs w:val="26"/>
          <w:vertAlign w:val="superscript"/>
        </w:rPr>
        <w:t>18</w:t>
      </w:r>
      <w:r w:rsidRPr="00045F85">
        <w:rPr>
          <w:rFonts w:cs="Arial"/>
          <w:b/>
          <w:sz w:val="26"/>
          <w:szCs w:val="26"/>
        </w:rPr>
        <w:t>F-FE-PE2I</w:t>
      </w:r>
    </w:p>
    <w:p w14:paraId="094CFDA3" w14:textId="77777777" w:rsidR="007B1B58" w:rsidRPr="00045F85" w:rsidRDefault="007B1B58" w:rsidP="007B1B58">
      <w:pPr>
        <w:pStyle w:val="Body"/>
        <w:outlineLvl w:val="0"/>
        <w:rPr>
          <w:rFonts w:ascii="Arial" w:hAnsi="Arial" w:cs="Arial"/>
          <w:color w:val="auto"/>
          <w:sz w:val="24"/>
          <w:szCs w:val="24"/>
        </w:rPr>
      </w:pPr>
    </w:p>
    <w:p w14:paraId="69AB0BB6" w14:textId="13A87A87" w:rsidR="007B1B58" w:rsidRPr="00045F85" w:rsidRDefault="007B1B58" w:rsidP="005865A9">
      <w:pPr>
        <w:jc w:val="left"/>
        <w:rPr>
          <w:rFonts w:cs="Arial"/>
          <w:lang w:val="nl-NL"/>
        </w:rPr>
      </w:pPr>
      <w:r w:rsidRPr="00045F85">
        <w:rPr>
          <w:rFonts w:cs="Arial"/>
        </w:rPr>
        <w:t>Among several DAT radioligand</w:t>
      </w:r>
      <w:r w:rsidR="00F3481E" w:rsidRPr="00045F85">
        <w:rPr>
          <w:rFonts w:cs="Arial"/>
        </w:rPr>
        <w:t>s available for PET imaging,</w:t>
      </w:r>
      <w:r w:rsidRPr="00045F85">
        <w:rPr>
          <w:rFonts w:cs="Arial"/>
        </w:rPr>
        <w:t xml:space="preserve"> </w:t>
      </w:r>
      <w:r w:rsidR="002B0DDA" w:rsidRPr="00045F85">
        <w:rPr>
          <w:rFonts w:cs="Arial"/>
          <w:lang w:val="nl-NL"/>
        </w:rPr>
        <w:t>[</w:t>
      </w:r>
      <w:r w:rsidR="002B0DDA" w:rsidRPr="00045F85">
        <w:rPr>
          <w:rFonts w:cs="Arial"/>
          <w:vertAlign w:val="superscript"/>
          <w:lang w:val="nl-NL"/>
        </w:rPr>
        <w:t>11</w:t>
      </w:r>
      <w:r w:rsidR="00FD2C66" w:rsidRPr="00045F85">
        <w:rPr>
          <w:rFonts w:cs="Arial"/>
          <w:lang w:val="nl-NL"/>
        </w:rPr>
        <w:t>C]-PE2I</w:t>
      </w:r>
      <w:r w:rsidR="002B0DDA" w:rsidRPr="00045F85">
        <w:rPr>
          <w:rFonts w:cs="Arial"/>
          <w:shd w:val="clear" w:color="auto" w:fill="FFFFFF"/>
          <w:lang w:val="nl-NL"/>
        </w:rPr>
        <w:t xml:space="preserve"> </w:t>
      </w:r>
      <w:r w:rsidR="00FD2C66" w:rsidRPr="00045F85">
        <w:rPr>
          <w:rFonts w:cs="Arial"/>
          <w:shd w:val="clear" w:color="auto" w:fill="FFFFFF"/>
          <w:lang w:val="nl-NL"/>
        </w:rPr>
        <w:t>(</w:t>
      </w:r>
      <w:r w:rsidR="002B0DDA" w:rsidRPr="00045F85">
        <w:rPr>
          <w:rFonts w:eastAsia="Times New Roman" w:cs="Arial"/>
          <w:shd w:val="clear" w:color="auto" w:fill="FFFFFF"/>
          <w:lang w:val="nl-NL" w:eastAsia="es-ES_tradnl"/>
        </w:rPr>
        <w:t>N</w:t>
      </w:r>
      <w:r w:rsidR="002B0DDA" w:rsidRPr="00045F85">
        <w:rPr>
          <w:rFonts w:ascii="Cambria Math" w:eastAsia="Times New Roman" w:hAnsi="Cambria Math" w:cs="Cambria Math"/>
          <w:shd w:val="clear" w:color="auto" w:fill="FFFFFF"/>
          <w:lang w:val="nl-NL" w:eastAsia="es-ES_tradnl"/>
        </w:rPr>
        <w:t>‐</w:t>
      </w:r>
      <w:r w:rsidR="002B0DDA" w:rsidRPr="00045F85">
        <w:rPr>
          <w:rFonts w:eastAsia="Times New Roman" w:cs="Arial"/>
          <w:shd w:val="clear" w:color="auto" w:fill="FFFFFF"/>
          <w:lang w:val="nl-NL" w:eastAsia="es-ES_tradnl"/>
        </w:rPr>
        <w:t>(3</w:t>
      </w:r>
      <w:r w:rsidR="002B0DDA" w:rsidRPr="00045F85">
        <w:rPr>
          <w:rFonts w:ascii="Cambria Math" w:eastAsia="Times New Roman" w:hAnsi="Cambria Math" w:cs="Cambria Math"/>
          <w:shd w:val="clear" w:color="auto" w:fill="FFFFFF"/>
          <w:lang w:val="nl-NL" w:eastAsia="es-ES_tradnl"/>
        </w:rPr>
        <w:t>‐</w:t>
      </w:r>
      <w:r w:rsidR="002B0DDA" w:rsidRPr="00045F85">
        <w:rPr>
          <w:rFonts w:eastAsia="Times New Roman" w:cs="Arial"/>
          <w:shd w:val="clear" w:color="auto" w:fill="FFFFFF"/>
          <w:lang w:val="nl-NL" w:eastAsia="es-ES_tradnl"/>
        </w:rPr>
        <w:t>iodopro</w:t>
      </w:r>
      <w:r w:rsidR="002B0DDA" w:rsidRPr="00045F85">
        <w:rPr>
          <w:rFonts w:ascii="Cambria Math" w:eastAsia="Times New Roman" w:hAnsi="Cambria Math" w:cs="Cambria Math"/>
          <w:shd w:val="clear" w:color="auto" w:fill="FFFFFF"/>
          <w:lang w:val="nl-NL" w:eastAsia="es-ES_tradnl"/>
        </w:rPr>
        <w:t>‐</w:t>
      </w:r>
      <w:r w:rsidR="002B0DDA" w:rsidRPr="00045F85">
        <w:rPr>
          <w:rFonts w:eastAsia="Times New Roman" w:cs="Arial"/>
          <w:shd w:val="clear" w:color="auto" w:fill="FFFFFF"/>
          <w:lang w:val="nl-NL" w:eastAsia="es-ES_tradnl"/>
        </w:rPr>
        <w:t>2</w:t>
      </w:r>
      <w:r w:rsidR="002B0DDA" w:rsidRPr="00045F85">
        <w:rPr>
          <w:rFonts w:eastAsia="Times New Roman" w:cs="Arial"/>
          <w:i/>
          <w:iCs/>
          <w:shd w:val="clear" w:color="auto" w:fill="FFFFFF"/>
          <w:lang w:val="nl-NL" w:eastAsia="es-ES_tradnl"/>
        </w:rPr>
        <w:t>E</w:t>
      </w:r>
      <w:r w:rsidR="002B0DDA" w:rsidRPr="00045F85">
        <w:rPr>
          <w:rFonts w:ascii="Cambria Math" w:eastAsia="Times New Roman" w:hAnsi="Cambria Math" w:cs="Cambria Math"/>
          <w:shd w:val="clear" w:color="auto" w:fill="FFFFFF"/>
          <w:lang w:val="nl-NL" w:eastAsia="es-ES_tradnl"/>
        </w:rPr>
        <w:t>‐</w:t>
      </w:r>
      <w:r w:rsidR="002B0DDA" w:rsidRPr="00045F85">
        <w:rPr>
          <w:rFonts w:eastAsia="Times New Roman" w:cs="Arial"/>
          <w:shd w:val="clear" w:color="auto" w:fill="FFFFFF"/>
          <w:lang w:val="nl-NL" w:eastAsia="es-ES_tradnl"/>
        </w:rPr>
        <w:t>enyl)</w:t>
      </w:r>
      <w:r w:rsidR="002B0DDA" w:rsidRPr="00045F85">
        <w:rPr>
          <w:rFonts w:ascii="Cambria Math" w:eastAsia="Times New Roman" w:hAnsi="Cambria Math" w:cs="Cambria Math"/>
          <w:shd w:val="clear" w:color="auto" w:fill="FFFFFF"/>
          <w:lang w:val="nl-NL" w:eastAsia="es-ES_tradnl"/>
        </w:rPr>
        <w:t>‐</w:t>
      </w:r>
      <w:r w:rsidR="002B0DDA" w:rsidRPr="00045F85">
        <w:rPr>
          <w:rFonts w:eastAsia="Times New Roman" w:cs="Arial"/>
          <w:shd w:val="clear" w:color="auto" w:fill="FFFFFF"/>
          <w:lang w:val="nl-NL" w:eastAsia="es-ES_tradnl"/>
        </w:rPr>
        <w:t>2</w:t>
      </w:r>
      <w:r w:rsidR="002B0DDA" w:rsidRPr="00045F85">
        <w:rPr>
          <w:rFonts w:eastAsia="Times New Roman" w:cs="Arial"/>
          <w:shd w:val="clear" w:color="auto" w:fill="FFFFFF"/>
          <w:lang w:val="es-ES" w:eastAsia="es-ES_tradnl"/>
        </w:rPr>
        <w:t>β</w:t>
      </w:r>
      <w:r w:rsidR="002B0DDA" w:rsidRPr="00045F85">
        <w:rPr>
          <w:rFonts w:ascii="Cambria Math" w:eastAsia="Times New Roman" w:hAnsi="Cambria Math" w:cs="Cambria Math"/>
          <w:shd w:val="clear" w:color="auto" w:fill="FFFFFF"/>
          <w:lang w:val="nl-NL" w:eastAsia="es-ES_tradnl"/>
        </w:rPr>
        <w:t>‐</w:t>
      </w:r>
      <w:r w:rsidR="002B0DDA" w:rsidRPr="00045F85">
        <w:rPr>
          <w:rFonts w:eastAsia="Times New Roman" w:cs="Arial"/>
          <w:shd w:val="clear" w:color="auto" w:fill="FFFFFF"/>
          <w:lang w:val="nl-NL" w:eastAsia="es-ES_tradnl"/>
        </w:rPr>
        <w:t>carbo[</w:t>
      </w:r>
      <w:r w:rsidR="002B0DDA" w:rsidRPr="00045F85">
        <w:rPr>
          <w:rFonts w:eastAsia="Times New Roman" w:cs="Arial"/>
          <w:shd w:val="clear" w:color="auto" w:fill="FFFFFF"/>
          <w:vertAlign w:val="superscript"/>
          <w:lang w:val="nl-NL" w:eastAsia="es-ES_tradnl"/>
        </w:rPr>
        <w:t>11</w:t>
      </w:r>
      <w:r w:rsidR="002B0DDA" w:rsidRPr="00045F85">
        <w:rPr>
          <w:rFonts w:eastAsia="Times New Roman" w:cs="Arial"/>
          <w:shd w:val="clear" w:color="auto" w:fill="FFFFFF"/>
          <w:lang w:val="nl-NL" w:eastAsia="es-ES_tradnl"/>
        </w:rPr>
        <w:t>C]methoxy</w:t>
      </w:r>
      <w:r w:rsidR="002B0DDA" w:rsidRPr="00045F85">
        <w:rPr>
          <w:rFonts w:ascii="Cambria Math" w:eastAsia="Times New Roman" w:hAnsi="Cambria Math" w:cs="Cambria Math"/>
          <w:shd w:val="clear" w:color="auto" w:fill="FFFFFF"/>
          <w:lang w:val="nl-NL" w:eastAsia="es-ES_tradnl"/>
        </w:rPr>
        <w:t>‐</w:t>
      </w:r>
      <w:r w:rsidR="002B0DDA" w:rsidRPr="00045F85">
        <w:rPr>
          <w:rFonts w:eastAsia="Times New Roman" w:cs="Arial"/>
          <w:shd w:val="clear" w:color="auto" w:fill="FFFFFF"/>
          <w:lang w:val="nl-NL" w:eastAsia="es-ES_tradnl"/>
        </w:rPr>
        <w:t>3</w:t>
      </w:r>
      <w:r w:rsidR="002B0DDA" w:rsidRPr="00045F85">
        <w:rPr>
          <w:rFonts w:eastAsia="Times New Roman" w:cs="Arial"/>
          <w:shd w:val="clear" w:color="auto" w:fill="FFFFFF"/>
          <w:lang w:val="es-ES" w:eastAsia="es-ES_tradnl"/>
        </w:rPr>
        <w:t>β</w:t>
      </w:r>
      <w:r w:rsidR="002B0DDA" w:rsidRPr="00045F85">
        <w:rPr>
          <w:rFonts w:ascii="Cambria Math" w:eastAsia="Times New Roman" w:hAnsi="Cambria Math" w:cs="Cambria Math"/>
          <w:shd w:val="clear" w:color="auto" w:fill="FFFFFF"/>
          <w:lang w:val="nl-NL" w:eastAsia="es-ES_tradnl"/>
        </w:rPr>
        <w:t>‐</w:t>
      </w:r>
      <w:r w:rsidR="002B0DDA" w:rsidRPr="00045F85">
        <w:rPr>
          <w:rFonts w:eastAsia="Times New Roman" w:cs="Arial"/>
          <w:shd w:val="clear" w:color="auto" w:fill="FFFFFF"/>
          <w:lang w:val="nl-NL" w:eastAsia="es-ES_tradnl"/>
        </w:rPr>
        <w:t>(4′</w:t>
      </w:r>
      <w:r w:rsidR="002B0DDA" w:rsidRPr="00045F85">
        <w:rPr>
          <w:rFonts w:ascii="Cambria Math" w:eastAsia="Times New Roman" w:hAnsi="Cambria Math" w:cs="Cambria Math"/>
          <w:shd w:val="clear" w:color="auto" w:fill="FFFFFF"/>
          <w:lang w:val="nl-NL" w:eastAsia="es-ES_tradnl"/>
        </w:rPr>
        <w:t>‐</w:t>
      </w:r>
      <w:r w:rsidR="002B0DDA" w:rsidRPr="00045F85">
        <w:rPr>
          <w:rFonts w:eastAsia="Times New Roman" w:cs="Arial"/>
          <w:shd w:val="clear" w:color="auto" w:fill="FFFFFF"/>
          <w:lang w:val="nl-NL" w:eastAsia="es-ES_tradnl"/>
        </w:rPr>
        <w:t>methylphenyl)nortropane</w:t>
      </w:r>
      <w:r w:rsidR="00FD2C66" w:rsidRPr="00045F85">
        <w:rPr>
          <w:rFonts w:eastAsia="Times New Roman" w:cs="Arial"/>
          <w:shd w:val="clear" w:color="auto" w:fill="FFFFFF"/>
          <w:lang w:val="nl-NL" w:eastAsia="es-ES_tradnl"/>
        </w:rPr>
        <w:t>)</w:t>
      </w:r>
      <w:r w:rsidR="002B0DDA" w:rsidRPr="00045F85">
        <w:rPr>
          <w:rFonts w:eastAsia="Times New Roman" w:cs="Arial"/>
          <w:shd w:val="clear" w:color="auto" w:fill="FFFFFF"/>
          <w:lang w:val="nl-NL" w:eastAsia="es-ES_tradnl"/>
        </w:rPr>
        <w:t xml:space="preserve"> </w:t>
      </w:r>
      <w:r w:rsidR="00F87367" w:rsidRPr="00045F85">
        <w:rPr>
          <w:rFonts w:cs="Arial"/>
        </w:rPr>
        <w:t xml:space="preserve">was developed in early 2000 </w:t>
      </w:r>
      <w:r w:rsidR="00F3481E" w:rsidRPr="00045F85">
        <w:rPr>
          <w:rFonts w:cs="Arial"/>
        </w:rPr>
        <w:t>i</w:t>
      </w:r>
      <w:r w:rsidRPr="00045F85">
        <w:rPr>
          <w:rFonts w:cs="Arial"/>
        </w:rPr>
        <w:t>n order to image and quantify the DAT not only in the striatum, but also in extrastriatal regions, s</w:t>
      </w:r>
      <w:r w:rsidR="00F3481E" w:rsidRPr="00045F85">
        <w:rPr>
          <w:rFonts w:cs="Arial"/>
        </w:rPr>
        <w:t xml:space="preserve">uch as the substantia nigra </w:t>
      </w:r>
      <w:r w:rsidR="002B0DDA" w:rsidRPr="00045F85">
        <w:rPr>
          <w:rFonts w:cs="Arial"/>
        </w:rPr>
        <w:t>[</w:t>
      </w:r>
      <w:r w:rsidR="00F3481E" w:rsidRPr="00045F85">
        <w:rPr>
          <w:rFonts w:cs="Arial"/>
        </w:rPr>
        <w:t>131-133</w:t>
      </w:r>
      <w:r w:rsidR="002B0DDA" w:rsidRPr="00045F85">
        <w:rPr>
          <w:rFonts w:cs="Arial"/>
        </w:rPr>
        <w:t>]</w:t>
      </w:r>
      <w:r w:rsidR="00F3481E" w:rsidRPr="00045F85">
        <w:rPr>
          <w:rFonts w:cs="Arial"/>
        </w:rPr>
        <w:t>.</w:t>
      </w:r>
      <w:r w:rsidRPr="00045F85">
        <w:rPr>
          <w:rFonts w:cs="Arial"/>
        </w:rPr>
        <w:t xml:space="preserve"> </w:t>
      </w:r>
      <w:r w:rsidR="002B0DDA" w:rsidRPr="00045F85">
        <w:rPr>
          <w:rFonts w:cs="Arial"/>
        </w:rPr>
        <w:t>[</w:t>
      </w:r>
      <w:r w:rsidRPr="00045F85">
        <w:rPr>
          <w:rFonts w:cs="Arial"/>
          <w:vertAlign w:val="superscript"/>
        </w:rPr>
        <w:t>11</w:t>
      </w:r>
      <w:r w:rsidRPr="00045F85">
        <w:rPr>
          <w:rFonts w:cs="Arial"/>
        </w:rPr>
        <w:t>C</w:t>
      </w:r>
      <w:r w:rsidR="002B0DDA" w:rsidRPr="00045F85">
        <w:rPr>
          <w:rFonts w:cs="Arial"/>
        </w:rPr>
        <w:t>]</w:t>
      </w:r>
      <w:r w:rsidRPr="00045F85">
        <w:rPr>
          <w:rFonts w:cs="Arial"/>
        </w:rPr>
        <w:t xml:space="preserve">PE2I is highly selective for the DAT, displays high target-to-background ratio and </w:t>
      </w:r>
      <w:r w:rsidR="00170942" w:rsidRPr="00045F85">
        <w:rPr>
          <w:rFonts w:cs="Arial"/>
        </w:rPr>
        <w:t xml:space="preserve">good test-retest reliability </w:t>
      </w:r>
      <w:r w:rsidR="00923855" w:rsidRPr="00045F85">
        <w:rPr>
          <w:rFonts w:cs="Arial"/>
        </w:rPr>
        <w:t>[</w:t>
      </w:r>
      <w:r w:rsidR="00170942" w:rsidRPr="00045F85">
        <w:rPr>
          <w:rFonts w:cs="Arial"/>
        </w:rPr>
        <w:t>134]</w:t>
      </w:r>
      <w:r w:rsidRPr="00045F85">
        <w:rPr>
          <w:rFonts w:cs="Arial"/>
        </w:rPr>
        <w:t xml:space="preserve">. It has been </w:t>
      </w:r>
      <w:r w:rsidR="00ED2CB3" w:rsidRPr="00045F85">
        <w:rPr>
          <w:rFonts w:cs="Arial"/>
        </w:rPr>
        <w:t>already used in the context of</w:t>
      </w:r>
      <w:r w:rsidRPr="00045F85">
        <w:rPr>
          <w:rFonts w:cs="Arial"/>
        </w:rPr>
        <w:t xml:space="preserve"> clinical trials and PET studies in patien</w:t>
      </w:r>
      <w:r w:rsidR="00170942" w:rsidRPr="00045F85">
        <w:rPr>
          <w:rFonts w:cs="Arial"/>
        </w:rPr>
        <w:t xml:space="preserve">ts with </w:t>
      </w:r>
      <w:r w:rsidR="00455870" w:rsidRPr="00045F85">
        <w:rPr>
          <w:rFonts w:cs="Arial"/>
        </w:rPr>
        <w:t>PD</w:t>
      </w:r>
      <w:r w:rsidR="00170942" w:rsidRPr="00045F85">
        <w:rPr>
          <w:rFonts w:cs="Arial"/>
        </w:rPr>
        <w:t xml:space="preserve"> </w:t>
      </w:r>
      <w:r w:rsidR="002B0DDA" w:rsidRPr="00045F85">
        <w:rPr>
          <w:rFonts w:cs="Arial"/>
        </w:rPr>
        <w:t>a</w:t>
      </w:r>
      <w:r w:rsidRPr="00045F85">
        <w:rPr>
          <w:rFonts w:cs="Arial"/>
        </w:rPr>
        <w:t>nd in a</w:t>
      </w:r>
      <w:r w:rsidR="00170942" w:rsidRPr="00045F85">
        <w:rPr>
          <w:rFonts w:cs="Arial"/>
        </w:rPr>
        <w:t>nimal models of parkinsonism [135-139].</w:t>
      </w:r>
    </w:p>
    <w:p w14:paraId="61ED397B" w14:textId="7FCC8CBF" w:rsidR="007B1B58" w:rsidRPr="00045F85" w:rsidRDefault="007B1B58" w:rsidP="007B1B58">
      <w:pPr>
        <w:pStyle w:val="Body"/>
        <w:rPr>
          <w:rFonts w:ascii="Arial" w:hAnsi="Arial" w:cs="Arial"/>
          <w:color w:val="auto"/>
          <w:sz w:val="24"/>
          <w:szCs w:val="24"/>
        </w:rPr>
      </w:pPr>
      <w:r w:rsidRPr="00045F85">
        <w:rPr>
          <w:rFonts w:ascii="Arial" w:hAnsi="Arial" w:cs="Arial"/>
          <w:color w:val="auto"/>
          <w:sz w:val="24"/>
          <w:szCs w:val="24"/>
        </w:rPr>
        <w:t xml:space="preserve">Despite the suitable properties as </w:t>
      </w:r>
      <w:r w:rsidR="00691D86" w:rsidRPr="00045F85">
        <w:rPr>
          <w:rFonts w:ascii="Arial" w:hAnsi="Arial" w:cs="Arial"/>
          <w:color w:val="auto"/>
          <w:sz w:val="24"/>
          <w:szCs w:val="24"/>
        </w:rPr>
        <w:t xml:space="preserve">a </w:t>
      </w:r>
      <w:r w:rsidRPr="00045F85">
        <w:rPr>
          <w:rFonts w:ascii="Arial" w:hAnsi="Arial" w:cs="Arial"/>
          <w:color w:val="auto"/>
          <w:sz w:val="24"/>
          <w:szCs w:val="24"/>
        </w:rPr>
        <w:t>PET radioligand for the DAT, absolute quantification requires long duration of imaging for at least 90 min, due to slow wash-ou</w:t>
      </w:r>
      <w:r w:rsidR="00170942" w:rsidRPr="00045F85">
        <w:rPr>
          <w:rFonts w:ascii="Arial" w:hAnsi="Arial" w:cs="Arial"/>
          <w:color w:val="auto"/>
          <w:sz w:val="24"/>
          <w:szCs w:val="24"/>
        </w:rPr>
        <w:t xml:space="preserve">t from the brain [140]. </w:t>
      </w:r>
      <w:r w:rsidRPr="00045F85">
        <w:rPr>
          <w:rFonts w:ascii="Arial" w:hAnsi="Arial" w:cs="Arial"/>
          <w:color w:val="auto"/>
          <w:sz w:val="24"/>
          <w:szCs w:val="24"/>
        </w:rPr>
        <w:t xml:space="preserve">In addition, a radioactive metabolite of </w:t>
      </w:r>
      <w:r w:rsidR="002B0DDA" w:rsidRPr="00045F85">
        <w:rPr>
          <w:rFonts w:ascii="Arial" w:hAnsi="Arial" w:cs="Arial"/>
          <w:color w:val="auto"/>
          <w:sz w:val="24"/>
          <w:szCs w:val="24"/>
        </w:rPr>
        <w:t>[</w:t>
      </w:r>
      <w:r w:rsidRPr="00045F85">
        <w:rPr>
          <w:rFonts w:ascii="Arial" w:hAnsi="Arial" w:cs="Arial"/>
          <w:color w:val="auto"/>
          <w:sz w:val="24"/>
          <w:szCs w:val="24"/>
          <w:vertAlign w:val="superscript"/>
        </w:rPr>
        <w:t>11</w:t>
      </w:r>
      <w:r w:rsidRPr="00045F85">
        <w:rPr>
          <w:rFonts w:ascii="Arial" w:hAnsi="Arial" w:cs="Arial"/>
          <w:color w:val="auto"/>
          <w:sz w:val="24"/>
          <w:szCs w:val="24"/>
        </w:rPr>
        <w:t>C</w:t>
      </w:r>
      <w:r w:rsidR="002B0DDA" w:rsidRPr="00045F85">
        <w:rPr>
          <w:rFonts w:ascii="Arial" w:hAnsi="Arial" w:cs="Arial"/>
          <w:color w:val="auto"/>
          <w:sz w:val="24"/>
          <w:szCs w:val="24"/>
        </w:rPr>
        <w:t>]</w:t>
      </w:r>
      <w:r w:rsidRPr="00045F85">
        <w:rPr>
          <w:rFonts w:ascii="Arial" w:hAnsi="Arial" w:cs="Arial"/>
          <w:color w:val="auto"/>
          <w:sz w:val="24"/>
          <w:szCs w:val="24"/>
        </w:rPr>
        <w:t>PE2I ha</w:t>
      </w:r>
      <w:r w:rsidR="00E33B2B" w:rsidRPr="00045F85">
        <w:rPr>
          <w:rFonts w:ascii="Arial" w:hAnsi="Arial" w:cs="Arial"/>
          <w:color w:val="auto"/>
          <w:sz w:val="24"/>
          <w:szCs w:val="24"/>
        </w:rPr>
        <w:t>s been found to cross the blood-</w:t>
      </w:r>
      <w:r w:rsidRPr="00045F85">
        <w:rPr>
          <w:rFonts w:ascii="Arial" w:hAnsi="Arial" w:cs="Arial"/>
          <w:color w:val="auto"/>
          <w:sz w:val="24"/>
          <w:szCs w:val="24"/>
        </w:rPr>
        <w:t xml:space="preserve">brain barrier and accumulate </w:t>
      </w:r>
      <w:r w:rsidR="00BB7E8E" w:rsidRPr="00045F85">
        <w:rPr>
          <w:rFonts w:ascii="Arial" w:hAnsi="Arial" w:cs="Arial"/>
          <w:color w:val="auto"/>
          <w:sz w:val="24"/>
          <w:szCs w:val="24"/>
        </w:rPr>
        <w:t>in the striatum in rodents</w:t>
      </w:r>
      <w:r w:rsidRPr="00045F85">
        <w:rPr>
          <w:rFonts w:ascii="Arial" w:hAnsi="Arial" w:cs="Arial"/>
          <w:color w:val="auto"/>
          <w:sz w:val="24"/>
          <w:szCs w:val="24"/>
        </w:rPr>
        <w:t xml:space="preserve">. Therefore, further efforts have been made in order to develop an analog of </w:t>
      </w:r>
      <w:r w:rsidR="002B0DDA" w:rsidRPr="00045F85">
        <w:rPr>
          <w:rFonts w:ascii="Arial" w:hAnsi="Arial" w:cs="Arial"/>
          <w:color w:val="auto"/>
          <w:sz w:val="24"/>
          <w:szCs w:val="24"/>
        </w:rPr>
        <w:t>[</w:t>
      </w:r>
      <w:r w:rsidRPr="00045F85">
        <w:rPr>
          <w:rFonts w:ascii="Arial" w:hAnsi="Arial" w:cs="Arial"/>
          <w:color w:val="auto"/>
          <w:sz w:val="24"/>
          <w:szCs w:val="24"/>
          <w:vertAlign w:val="superscript"/>
        </w:rPr>
        <w:t>11</w:t>
      </w:r>
      <w:r w:rsidRPr="00045F85">
        <w:rPr>
          <w:rFonts w:ascii="Arial" w:hAnsi="Arial" w:cs="Arial"/>
          <w:color w:val="auto"/>
          <w:sz w:val="24"/>
          <w:szCs w:val="24"/>
        </w:rPr>
        <w:t>C</w:t>
      </w:r>
      <w:r w:rsidR="002B0DDA" w:rsidRPr="00045F85">
        <w:rPr>
          <w:rFonts w:ascii="Arial" w:hAnsi="Arial" w:cs="Arial"/>
          <w:color w:val="auto"/>
          <w:sz w:val="24"/>
          <w:szCs w:val="24"/>
        </w:rPr>
        <w:t>]</w:t>
      </w:r>
      <w:r w:rsidRPr="00045F85">
        <w:rPr>
          <w:rFonts w:ascii="Arial" w:hAnsi="Arial" w:cs="Arial"/>
          <w:color w:val="auto"/>
          <w:sz w:val="24"/>
          <w:szCs w:val="24"/>
        </w:rPr>
        <w:t xml:space="preserve">PE2I with improved imaging properties.  </w:t>
      </w:r>
      <w:r w:rsidR="002B0DDA" w:rsidRPr="00045F85">
        <w:rPr>
          <w:rFonts w:ascii="Arial" w:hAnsi="Arial" w:cs="Arial"/>
          <w:color w:val="auto"/>
          <w:sz w:val="24"/>
          <w:szCs w:val="24"/>
          <w:lang w:val="nl-NL"/>
        </w:rPr>
        <w:t>[</w:t>
      </w:r>
      <w:r w:rsidR="002B0DDA" w:rsidRPr="00045F85">
        <w:rPr>
          <w:rFonts w:ascii="Arial" w:hAnsi="Arial" w:cs="Arial"/>
          <w:color w:val="auto"/>
          <w:sz w:val="24"/>
          <w:szCs w:val="24"/>
          <w:vertAlign w:val="superscript"/>
          <w:lang w:val="nl-NL"/>
        </w:rPr>
        <w:t>18</w:t>
      </w:r>
      <w:r w:rsidR="002B0DDA" w:rsidRPr="00045F85">
        <w:rPr>
          <w:rFonts w:ascii="Arial" w:hAnsi="Arial" w:cs="Arial"/>
          <w:color w:val="auto"/>
          <w:sz w:val="24"/>
          <w:szCs w:val="24"/>
          <w:lang w:val="nl-NL"/>
        </w:rPr>
        <w:t>F]FE-PE2I (N-(3-iodoprop-2E-enyl)-2β-carbo[</w:t>
      </w:r>
      <w:r w:rsidR="002B0DDA" w:rsidRPr="00045F85">
        <w:rPr>
          <w:rFonts w:ascii="Arial" w:hAnsi="Arial" w:cs="Arial"/>
          <w:color w:val="auto"/>
          <w:sz w:val="24"/>
          <w:szCs w:val="24"/>
          <w:vertAlign w:val="superscript"/>
          <w:lang w:val="nl-NL"/>
        </w:rPr>
        <w:t>18</w:t>
      </w:r>
      <w:r w:rsidR="002B0DDA" w:rsidRPr="00045F85">
        <w:rPr>
          <w:rFonts w:ascii="Arial" w:hAnsi="Arial" w:cs="Arial"/>
          <w:color w:val="auto"/>
          <w:sz w:val="24"/>
          <w:szCs w:val="24"/>
          <w:lang w:val="nl-NL"/>
        </w:rPr>
        <w:t>F]fluoroethoxy-3β-(4-methylphenyl)-nortropane)</w:t>
      </w:r>
      <w:r w:rsidR="002B0DDA" w:rsidRPr="00045F85">
        <w:rPr>
          <w:rFonts w:ascii="Arial" w:hAnsi="Arial" w:cs="Arial"/>
          <w:color w:val="auto"/>
          <w:sz w:val="24"/>
          <w:szCs w:val="24"/>
          <w:vertAlign w:val="superscript"/>
        </w:rPr>
        <w:t xml:space="preserve"> </w:t>
      </w:r>
      <w:r w:rsidRPr="00045F85">
        <w:rPr>
          <w:rFonts w:ascii="Arial" w:hAnsi="Arial" w:cs="Arial"/>
          <w:color w:val="auto"/>
          <w:sz w:val="24"/>
          <w:szCs w:val="24"/>
        </w:rPr>
        <w:t xml:space="preserve">is a fluoro-ethyl analog of </w:t>
      </w:r>
      <w:r w:rsidR="002B0DDA" w:rsidRPr="00045F85">
        <w:rPr>
          <w:rFonts w:ascii="Arial" w:hAnsi="Arial" w:cs="Arial"/>
          <w:color w:val="auto"/>
          <w:sz w:val="24"/>
          <w:szCs w:val="24"/>
        </w:rPr>
        <w:t>[</w:t>
      </w:r>
      <w:r w:rsidRPr="00045F85">
        <w:rPr>
          <w:rFonts w:ascii="Arial" w:hAnsi="Arial" w:cs="Arial"/>
          <w:color w:val="auto"/>
          <w:sz w:val="24"/>
          <w:szCs w:val="24"/>
          <w:vertAlign w:val="superscript"/>
        </w:rPr>
        <w:t>11</w:t>
      </w:r>
      <w:r w:rsidRPr="00045F85">
        <w:rPr>
          <w:rFonts w:ascii="Arial" w:hAnsi="Arial" w:cs="Arial"/>
          <w:color w:val="auto"/>
          <w:sz w:val="24"/>
          <w:szCs w:val="24"/>
        </w:rPr>
        <w:t>C</w:t>
      </w:r>
      <w:r w:rsidR="002B0DDA" w:rsidRPr="00045F85">
        <w:rPr>
          <w:rFonts w:ascii="Arial" w:hAnsi="Arial" w:cs="Arial"/>
          <w:color w:val="auto"/>
          <w:sz w:val="24"/>
          <w:szCs w:val="24"/>
        </w:rPr>
        <w:t>]</w:t>
      </w:r>
      <w:r w:rsidRPr="00045F85">
        <w:rPr>
          <w:rFonts w:ascii="Arial" w:hAnsi="Arial" w:cs="Arial"/>
          <w:color w:val="auto"/>
          <w:sz w:val="24"/>
          <w:szCs w:val="24"/>
        </w:rPr>
        <w:t xml:space="preserve">PE2I developed at Karolinska </w:t>
      </w:r>
      <w:r w:rsidR="00AD7438" w:rsidRPr="00045F85">
        <w:rPr>
          <w:rFonts w:ascii="Arial" w:hAnsi="Arial" w:cs="Arial"/>
          <w:color w:val="auto"/>
          <w:sz w:val="24"/>
          <w:szCs w:val="24"/>
        </w:rPr>
        <w:t>Institute</w:t>
      </w:r>
      <w:r w:rsidR="00A52C97" w:rsidRPr="00045F85">
        <w:rPr>
          <w:rFonts w:ascii="Arial" w:hAnsi="Arial" w:cs="Arial"/>
          <w:color w:val="auto"/>
          <w:sz w:val="24"/>
          <w:szCs w:val="24"/>
        </w:rPr>
        <w:t xml:space="preserve"> and</w:t>
      </w:r>
      <w:r w:rsidRPr="00045F85">
        <w:rPr>
          <w:rFonts w:ascii="Arial" w:hAnsi="Arial" w:cs="Arial"/>
          <w:color w:val="auto"/>
          <w:sz w:val="24"/>
          <w:szCs w:val="24"/>
        </w:rPr>
        <w:t xml:space="preserve"> highly selective for the DAT with improved pharmacokinetic properties compared with </w:t>
      </w:r>
      <w:r w:rsidR="002B0DDA" w:rsidRPr="00045F85">
        <w:rPr>
          <w:rFonts w:ascii="Arial" w:hAnsi="Arial" w:cs="Arial"/>
          <w:color w:val="auto"/>
          <w:sz w:val="24"/>
          <w:szCs w:val="24"/>
        </w:rPr>
        <w:t>[</w:t>
      </w:r>
      <w:r w:rsidRPr="00045F85">
        <w:rPr>
          <w:rFonts w:ascii="Arial" w:hAnsi="Arial" w:cs="Arial"/>
          <w:color w:val="auto"/>
          <w:sz w:val="24"/>
          <w:szCs w:val="24"/>
          <w:vertAlign w:val="superscript"/>
        </w:rPr>
        <w:t>11</w:t>
      </w:r>
      <w:r w:rsidRPr="00045F85">
        <w:rPr>
          <w:rFonts w:ascii="Arial" w:hAnsi="Arial" w:cs="Arial"/>
          <w:color w:val="auto"/>
          <w:sz w:val="24"/>
          <w:szCs w:val="24"/>
        </w:rPr>
        <w:t>C</w:t>
      </w:r>
      <w:r w:rsidR="002B0DDA" w:rsidRPr="00045F85">
        <w:rPr>
          <w:rFonts w:ascii="Arial" w:hAnsi="Arial" w:cs="Arial"/>
          <w:color w:val="auto"/>
          <w:sz w:val="24"/>
          <w:szCs w:val="24"/>
        </w:rPr>
        <w:t>]</w:t>
      </w:r>
      <w:r w:rsidRPr="00045F85">
        <w:rPr>
          <w:rFonts w:ascii="Arial" w:hAnsi="Arial" w:cs="Arial"/>
          <w:color w:val="auto"/>
          <w:sz w:val="24"/>
          <w:szCs w:val="24"/>
        </w:rPr>
        <w:t>PE2I: i) faster washout from the brain and ii) lower production of a radiometabolite (&lt;</w:t>
      </w:r>
      <w:r w:rsidR="002B0DDA" w:rsidRPr="00045F85">
        <w:rPr>
          <w:rFonts w:ascii="Arial" w:hAnsi="Arial" w:cs="Arial"/>
          <w:color w:val="auto"/>
          <w:sz w:val="24"/>
          <w:szCs w:val="24"/>
        </w:rPr>
        <w:t xml:space="preserve"> </w:t>
      </w:r>
      <w:r w:rsidRPr="00045F85">
        <w:rPr>
          <w:rFonts w:ascii="Arial" w:hAnsi="Arial" w:cs="Arial"/>
          <w:color w:val="auto"/>
          <w:sz w:val="24"/>
          <w:szCs w:val="24"/>
        </w:rPr>
        <w:t xml:space="preserve">2% of plasma radioactivity) that crosses the blood-brain barrier </w:t>
      </w:r>
      <w:r w:rsidRPr="00045F85">
        <w:rPr>
          <w:rFonts w:ascii="Arial" w:hAnsi="Arial" w:cs="Arial"/>
          <w:color w:val="auto"/>
          <w:sz w:val="24"/>
          <w:szCs w:val="24"/>
        </w:rPr>
        <w:fldChar w:fldCharType="begin">
          <w:fldData xml:space="preserve">PEVuZE5vdGU+PENpdGU+PEF1dGhvcj5WYXJyb25lPC9BdXRob3I+PFllYXI+MjAwOTwvWWVhcj48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</w:fldData>
        </w:fldChar>
      </w:r>
      <w:r w:rsidRPr="00045F85">
        <w:rPr>
          <w:rFonts w:ascii="Arial" w:hAnsi="Arial" w:cs="Arial"/>
          <w:color w:val="auto"/>
          <w:sz w:val="24"/>
          <w:szCs w:val="24"/>
        </w:rPr>
        <w:instrText xml:space="preserve"> ADDIN EN.CITE </w:instrText>
      </w:r>
      <w:r w:rsidRPr="00045F85">
        <w:rPr>
          <w:rFonts w:ascii="Arial" w:hAnsi="Arial" w:cs="Arial"/>
          <w:color w:val="auto"/>
          <w:sz w:val="24"/>
          <w:szCs w:val="24"/>
        </w:rPr>
        <w:fldChar w:fldCharType="begin">
          <w:fldData xml:space="preserve">PEVuZE5vdGU+PENpdGU+PEF1dGhvcj5WYXJyb25lPC9BdXRob3I+PFllYXI+MjAwOTwvWWVhcj48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</w:fldData>
        </w:fldChar>
      </w:r>
      <w:r w:rsidRPr="00045F85">
        <w:rPr>
          <w:rFonts w:ascii="Arial" w:hAnsi="Arial" w:cs="Arial"/>
          <w:color w:val="auto"/>
          <w:sz w:val="24"/>
          <w:szCs w:val="24"/>
        </w:rPr>
        <w:instrText xml:space="preserve"> ADDIN EN.CITE.DATA </w:instrText>
      </w:r>
      <w:r w:rsidRPr="00045F85">
        <w:rPr>
          <w:rFonts w:ascii="Arial" w:hAnsi="Arial" w:cs="Arial"/>
          <w:color w:val="auto"/>
          <w:sz w:val="24"/>
          <w:szCs w:val="24"/>
        </w:rPr>
      </w:r>
      <w:r w:rsidRPr="00045F85">
        <w:rPr>
          <w:rFonts w:ascii="Arial" w:hAnsi="Arial" w:cs="Arial"/>
          <w:color w:val="auto"/>
          <w:sz w:val="24"/>
          <w:szCs w:val="24"/>
        </w:rPr>
        <w:fldChar w:fldCharType="end"/>
      </w:r>
      <w:r w:rsidRPr="00045F85">
        <w:rPr>
          <w:rFonts w:ascii="Arial" w:hAnsi="Arial" w:cs="Arial"/>
          <w:color w:val="auto"/>
          <w:sz w:val="24"/>
          <w:szCs w:val="24"/>
        </w:rPr>
      </w:r>
      <w:r w:rsidRPr="00045F85">
        <w:rPr>
          <w:rFonts w:ascii="Arial" w:hAnsi="Arial" w:cs="Arial"/>
          <w:color w:val="auto"/>
          <w:sz w:val="24"/>
          <w:szCs w:val="24"/>
        </w:rPr>
        <w:fldChar w:fldCharType="separate"/>
      </w:r>
      <w:r w:rsidR="00212D90" w:rsidRPr="00045F85">
        <w:rPr>
          <w:rFonts w:ascii="Arial" w:hAnsi="Arial" w:cs="Arial"/>
          <w:noProof/>
          <w:color w:val="auto"/>
          <w:sz w:val="24"/>
          <w:szCs w:val="24"/>
        </w:rPr>
        <w:t>[141</w:t>
      </w:r>
      <w:r w:rsidR="00BB7E8E" w:rsidRPr="00045F85">
        <w:rPr>
          <w:rFonts w:ascii="Arial" w:hAnsi="Arial" w:cs="Arial"/>
          <w:noProof/>
          <w:color w:val="auto"/>
          <w:sz w:val="24"/>
          <w:szCs w:val="24"/>
        </w:rPr>
        <w:t>-144</w:t>
      </w:r>
      <w:r w:rsidRPr="00045F85">
        <w:rPr>
          <w:rFonts w:ascii="Arial" w:hAnsi="Arial" w:cs="Arial"/>
          <w:noProof/>
          <w:color w:val="auto"/>
          <w:sz w:val="24"/>
          <w:szCs w:val="24"/>
        </w:rPr>
        <w:t>]</w:t>
      </w:r>
      <w:r w:rsidRPr="00045F85">
        <w:rPr>
          <w:rFonts w:ascii="Arial" w:hAnsi="Arial" w:cs="Arial"/>
          <w:color w:val="auto"/>
          <w:sz w:val="24"/>
          <w:szCs w:val="24"/>
        </w:rPr>
        <w:fldChar w:fldCharType="end"/>
      </w:r>
      <w:r w:rsidRPr="00045F85">
        <w:rPr>
          <w:rFonts w:ascii="Arial" w:hAnsi="Arial" w:cs="Arial"/>
          <w:color w:val="auto"/>
          <w:sz w:val="24"/>
          <w:szCs w:val="24"/>
        </w:rPr>
        <w:t>.</w:t>
      </w:r>
    </w:p>
    <w:p w14:paraId="1934AF3C" w14:textId="3448670E" w:rsidR="00653135" w:rsidRPr="00045F85" w:rsidRDefault="00653135" w:rsidP="00653135">
      <w:pPr>
        <w:pStyle w:val="Body"/>
        <w:rPr>
          <w:rFonts w:ascii="Arial" w:hAnsi="Arial" w:cs="Arial"/>
          <w:color w:val="auto"/>
          <w:sz w:val="24"/>
          <w:szCs w:val="24"/>
        </w:rPr>
      </w:pPr>
      <w:r w:rsidRPr="00045F85">
        <w:rPr>
          <w:rFonts w:ascii="Arial" w:hAnsi="Arial" w:cs="Arial"/>
          <w:color w:val="auto"/>
          <w:sz w:val="24"/>
          <w:szCs w:val="24"/>
        </w:rPr>
        <w:t xml:space="preserve">The quantification can be done using the cerebellum as reference region </w:t>
      </w:r>
      <w:r w:rsidR="007829EA" w:rsidRPr="00045F85">
        <w:rPr>
          <w:rFonts w:ascii="Arial" w:hAnsi="Arial" w:cs="Arial"/>
          <w:color w:val="auto"/>
          <w:sz w:val="24"/>
          <w:szCs w:val="24"/>
        </w:rPr>
        <w:fldChar w:fldCharType="begin">
          <w:fldData xml:space="preserve">PEVuZE5vdGU+PENpdGU+PEF1dGhvcj5GYXppbzwvQXV0aG9yPjxZZWFyPjIwMTU8L1llYXI+PFJl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</w:fldData>
        </w:fldChar>
      </w:r>
      <w:r w:rsidRPr="00045F85">
        <w:rPr>
          <w:rFonts w:ascii="Arial" w:hAnsi="Arial" w:cs="Arial"/>
          <w:color w:val="auto"/>
          <w:sz w:val="24"/>
          <w:szCs w:val="24"/>
        </w:rPr>
        <w:instrText xml:space="preserve"> ADDIN EN.CITE </w:instrText>
      </w:r>
      <w:r w:rsidR="007829EA" w:rsidRPr="00045F85">
        <w:rPr>
          <w:rFonts w:ascii="Arial" w:hAnsi="Arial" w:cs="Arial"/>
          <w:color w:val="auto"/>
          <w:sz w:val="24"/>
          <w:szCs w:val="24"/>
        </w:rPr>
        <w:fldChar w:fldCharType="begin">
          <w:fldData xml:space="preserve">PEVuZE5vdGU+PENpdGU+PEF1dGhvcj5GYXppbzwvQXV0aG9yPjxZZWFyPjIwMTU8L1llYXI+PFJl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</w:fldData>
        </w:fldChar>
      </w:r>
      <w:r w:rsidRPr="00045F85">
        <w:rPr>
          <w:rFonts w:ascii="Arial" w:hAnsi="Arial" w:cs="Arial"/>
          <w:color w:val="auto"/>
          <w:sz w:val="24"/>
          <w:szCs w:val="24"/>
        </w:rPr>
        <w:instrText xml:space="preserve"> ADDIN EN.CITE.DATA </w:instrText>
      </w:r>
      <w:r w:rsidR="007829EA" w:rsidRPr="00045F85">
        <w:rPr>
          <w:rFonts w:ascii="Arial" w:hAnsi="Arial" w:cs="Arial"/>
          <w:color w:val="auto"/>
          <w:sz w:val="24"/>
          <w:szCs w:val="24"/>
        </w:rPr>
      </w:r>
      <w:r w:rsidR="007829EA" w:rsidRPr="00045F85">
        <w:rPr>
          <w:rFonts w:ascii="Arial" w:hAnsi="Arial" w:cs="Arial"/>
          <w:color w:val="auto"/>
          <w:sz w:val="24"/>
          <w:szCs w:val="24"/>
        </w:rPr>
        <w:fldChar w:fldCharType="end"/>
      </w:r>
      <w:r w:rsidR="007829EA" w:rsidRPr="00045F85">
        <w:rPr>
          <w:rFonts w:ascii="Arial" w:hAnsi="Arial" w:cs="Arial"/>
          <w:color w:val="auto"/>
          <w:sz w:val="24"/>
          <w:szCs w:val="24"/>
        </w:rPr>
      </w:r>
      <w:r w:rsidR="007829EA" w:rsidRPr="00045F85">
        <w:rPr>
          <w:rFonts w:ascii="Arial" w:hAnsi="Arial" w:cs="Arial"/>
          <w:color w:val="auto"/>
          <w:sz w:val="24"/>
          <w:szCs w:val="24"/>
        </w:rPr>
        <w:fldChar w:fldCharType="separate"/>
      </w:r>
      <w:r w:rsidRPr="00045F85">
        <w:rPr>
          <w:rFonts w:ascii="Arial" w:hAnsi="Arial" w:cs="Arial"/>
          <w:noProof/>
          <w:color w:val="auto"/>
          <w:sz w:val="24"/>
          <w:szCs w:val="24"/>
        </w:rPr>
        <w:t>[</w:t>
      </w:r>
      <w:r w:rsidR="00BB7E8E" w:rsidRPr="00045F85">
        <w:rPr>
          <w:rFonts w:ascii="Arial" w:hAnsi="Arial" w:cs="Arial"/>
          <w:noProof/>
          <w:color w:val="auto"/>
          <w:sz w:val="24"/>
          <w:szCs w:val="24"/>
        </w:rPr>
        <w:t>144</w:t>
      </w:r>
      <w:r w:rsidRPr="00045F85">
        <w:rPr>
          <w:rFonts w:ascii="Arial" w:hAnsi="Arial" w:cs="Arial"/>
          <w:noProof/>
          <w:color w:val="auto"/>
          <w:sz w:val="24"/>
          <w:szCs w:val="24"/>
        </w:rPr>
        <w:t>]</w:t>
      </w:r>
      <w:r w:rsidR="007829EA" w:rsidRPr="00045F85">
        <w:rPr>
          <w:rFonts w:ascii="Arial" w:hAnsi="Arial" w:cs="Arial"/>
          <w:color w:val="auto"/>
          <w:sz w:val="24"/>
          <w:szCs w:val="24"/>
        </w:rPr>
        <w:fldChar w:fldCharType="end"/>
      </w:r>
      <w:r w:rsidRPr="00045F85">
        <w:rPr>
          <w:rFonts w:ascii="Arial" w:hAnsi="Arial" w:cs="Arial"/>
          <w:color w:val="auto"/>
          <w:sz w:val="24"/>
          <w:szCs w:val="24"/>
        </w:rPr>
        <w:t xml:space="preserve">. A simplified method for the quantification of the </w:t>
      </w:r>
      <w:r w:rsidR="000C2CF3" w:rsidRPr="00045F85">
        <w:rPr>
          <w:rFonts w:ascii="Arial" w:hAnsi="Arial" w:cs="Arial"/>
          <w:color w:val="auto"/>
          <w:sz w:val="24"/>
          <w:szCs w:val="24"/>
        </w:rPr>
        <w:t>SBR</w:t>
      </w:r>
      <w:r w:rsidRPr="00045F85">
        <w:rPr>
          <w:rFonts w:ascii="Arial" w:hAnsi="Arial" w:cs="Arial"/>
          <w:color w:val="auto"/>
          <w:sz w:val="24"/>
          <w:szCs w:val="24"/>
        </w:rPr>
        <w:t xml:space="preserve"> can also be used by acquiring a static image around the peak specific binding between 16.5 and 42 min after injection </w:t>
      </w:r>
      <w:r w:rsidR="007829EA" w:rsidRPr="00045F85">
        <w:rPr>
          <w:rFonts w:ascii="Arial" w:hAnsi="Arial" w:cs="Arial"/>
          <w:color w:val="auto"/>
          <w:sz w:val="24"/>
          <w:szCs w:val="24"/>
        </w:rPr>
        <w:fldChar w:fldCharType="begin">
          <w:fldData xml:space="preserve">PEVuZE5vdGU+PENpdGU+PEF1dGhvcj5Tb25uaTwvQXV0aG9yPjxZZWFyPjIwMTY8L1llYXI+PFJl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</w:fldData>
        </w:fldChar>
      </w:r>
      <w:r w:rsidRPr="00045F85">
        <w:rPr>
          <w:rFonts w:ascii="Arial" w:hAnsi="Arial" w:cs="Arial"/>
          <w:color w:val="auto"/>
          <w:sz w:val="24"/>
          <w:szCs w:val="24"/>
        </w:rPr>
        <w:instrText xml:space="preserve"> ADDIN EN.CITE </w:instrText>
      </w:r>
      <w:r w:rsidR="007829EA" w:rsidRPr="00045F85">
        <w:rPr>
          <w:rFonts w:ascii="Arial" w:hAnsi="Arial" w:cs="Arial"/>
          <w:color w:val="auto"/>
          <w:sz w:val="24"/>
          <w:szCs w:val="24"/>
        </w:rPr>
        <w:fldChar w:fldCharType="begin">
          <w:fldData xml:space="preserve">PEVuZE5vdGU+PENpdGU+PEF1dGhvcj5Tb25uaTwvQXV0aG9yPjxZZWFyPjIwMTY8L1llYXI+PFJl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</w:fldData>
        </w:fldChar>
      </w:r>
      <w:r w:rsidRPr="00045F85">
        <w:rPr>
          <w:rFonts w:ascii="Arial" w:hAnsi="Arial" w:cs="Arial"/>
          <w:color w:val="auto"/>
          <w:sz w:val="24"/>
          <w:szCs w:val="24"/>
        </w:rPr>
        <w:instrText xml:space="preserve"> ADDIN EN.CITE.DATA </w:instrText>
      </w:r>
      <w:r w:rsidR="007829EA" w:rsidRPr="00045F85">
        <w:rPr>
          <w:rFonts w:ascii="Arial" w:hAnsi="Arial" w:cs="Arial"/>
          <w:color w:val="auto"/>
          <w:sz w:val="24"/>
          <w:szCs w:val="24"/>
        </w:rPr>
      </w:r>
      <w:r w:rsidR="007829EA" w:rsidRPr="00045F85">
        <w:rPr>
          <w:rFonts w:ascii="Arial" w:hAnsi="Arial" w:cs="Arial"/>
          <w:color w:val="auto"/>
          <w:sz w:val="24"/>
          <w:szCs w:val="24"/>
        </w:rPr>
        <w:fldChar w:fldCharType="end"/>
      </w:r>
      <w:r w:rsidR="007829EA" w:rsidRPr="00045F85">
        <w:rPr>
          <w:rFonts w:ascii="Arial" w:hAnsi="Arial" w:cs="Arial"/>
          <w:color w:val="auto"/>
          <w:sz w:val="24"/>
          <w:szCs w:val="24"/>
        </w:rPr>
      </w:r>
      <w:r w:rsidR="007829EA" w:rsidRPr="00045F85">
        <w:rPr>
          <w:rFonts w:ascii="Arial" w:hAnsi="Arial" w:cs="Arial"/>
          <w:color w:val="auto"/>
          <w:sz w:val="24"/>
          <w:szCs w:val="24"/>
        </w:rPr>
        <w:fldChar w:fldCharType="separate"/>
      </w:r>
      <w:r w:rsidR="00CE16E8" w:rsidRPr="00045F85">
        <w:rPr>
          <w:rFonts w:ascii="Arial" w:hAnsi="Arial" w:cs="Arial"/>
          <w:noProof/>
          <w:color w:val="auto"/>
          <w:sz w:val="24"/>
          <w:szCs w:val="24"/>
        </w:rPr>
        <w:t>[145</w:t>
      </w:r>
      <w:r w:rsidRPr="00045F85">
        <w:rPr>
          <w:rFonts w:ascii="Arial" w:hAnsi="Arial" w:cs="Arial"/>
          <w:noProof/>
          <w:color w:val="auto"/>
          <w:sz w:val="24"/>
          <w:szCs w:val="24"/>
        </w:rPr>
        <w:t>]</w:t>
      </w:r>
      <w:r w:rsidR="007829EA" w:rsidRPr="00045F85">
        <w:rPr>
          <w:rFonts w:ascii="Arial" w:hAnsi="Arial" w:cs="Arial"/>
          <w:color w:val="auto"/>
          <w:sz w:val="24"/>
          <w:szCs w:val="24"/>
        </w:rPr>
        <w:fldChar w:fldCharType="end"/>
      </w:r>
      <w:r w:rsidRPr="00045F85">
        <w:rPr>
          <w:rFonts w:ascii="Arial" w:hAnsi="Arial" w:cs="Arial"/>
          <w:color w:val="auto"/>
          <w:sz w:val="24"/>
          <w:szCs w:val="24"/>
        </w:rPr>
        <w:t>.</w:t>
      </w:r>
    </w:p>
    <w:p w14:paraId="15334613" w14:textId="1DA0B0E3" w:rsidR="00653135" w:rsidRPr="00045F85" w:rsidRDefault="00653135" w:rsidP="00653135">
      <w:pPr>
        <w:pStyle w:val="Body"/>
        <w:rPr>
          <w:rFonts w:ascii="Arial" w:hAnsi="Arial" w:cs="Arial"/>
          <w:color w:val="auto"/>
          <w:sz w:val="24"/>
          <w:szCs w:val="24"/>
        </w:rPr>
      </w:pPr>
      <w:r w:rsidRPr="00045F85">
        <w:rPr>
          <w:rFonts w:ascii="Arial" w:hAnsi="Arial" w:cs="Arial"/>
          <w:color w:val="auto"/>
          <w:sz w:val="24"/>
          <w:szCs w:val="24"/>
        </w:rPr>
        <w:t xml:space="preserve">The affinity of </w:t>
      </w:r>
      <w:r w:rsidR="002B0DDA" w:rsidRPr="00045F85">
        <w:rPr>
          <w:rFonts w:ascii="Arial" w:hAnsi="Arial" w:cs="Arial"/>
          <w:color w:val="auto"/>
          <w:sz w:val="24"/>
          <w:szCs w:val="24"/>
        </w:rPr>
        <w:t>[</w:t>
      </w:r>
      <w:r w:rsidRPr="00045F85">
        <w:rPr>
          <w:rFonts w:ascii="Arial" w:hAnsi="Arial" w:cs="Arial"/>
          <w:color w:val="auto"/>
          <w:sz w:val="24"/>
          <w:szCs w:val="24"/>
          <w:vertAlign w:val="superscript"/>
        </w:rPr>
        <w:t>18</w:t>
      </w:r>
      <w:r w:rsidRPr="00045F85">
        <w:rPr>
          <w:rFonts w:ascii="Arial" w:hAnsi="Arial" w:cs="Arial"/>
          <w:color w:val="auto"/>
          <w:sz w:val="24"/>
          <w:szCs w:val="24"/>
        </w:rPr>
        <w:t>F</w:t>
      </w:r>
      <w:r w:rsidR="002B0DDA" w:rsidRPr="00045F85">
        <w:rPr>
          <w:rFonts w:ascii="Arial" w:hAnsi="Arial" w:cs="Arial"/>
          <w:color w:val="auto"/>
          <w:sz w:val="24"/>
          <w:szCs w:val="24"/>
        </w:rPr>
        <w:t>]</w:t>
      </w:r>
      <w:r w:rsidRPr="00045F85">
        <w:rPr>
          <w:rFonts w:ascii="Arial" w:hAnsi="Arial" w:cs="Arial"/>
          <w:color w:val="auto"/>
          <w:sz w:val="24"/>
          <w:szCs w:val="24"/>
        </w:rPr>
        <w:t>FE-PE2I for the DAT (</w:t>
      </w:r>
      <w:r w:rsidRPr="00045F85">
        <w:rPr>
          <w:rFonts w:ascii="Arial" w:hAnsi="Arial" w:cs="Arial"/>
          <w:i/>
          <w:color w:val="auto"/>
          <w:sz w:val="24"/>
          <w:szCs w:val="24"/>
        </w:rPr>
        <w:t>K</w:t>
      </w:r>
      <w:r w:rsidRPr="00045F85">
        <w:rPr>
          <w:rFonts w:ascii="Arial" w:hAnsi="Arial" w:cs="Arial"/>
          <w:color w:val="auto"/>
          <w:sz w:val="24"/>
          <w:szCs w:val="24"/>
          <w:vertAlign w:val="subscript"/>
        </w:rPr>
        <w:t>i</w:t>
      </w:r>
      <w:r w:rsidRPr="00045F85">
        <w:rPr>
          <w:rFonts w:ascii="Arial" w:hAnsi="Arial" w:cs="Arial"/>
          <w:color w:val="auto"/>
          <w:sz w:val="24"/>
          <w:szCs w:val="24"/>
        </w:rPr>
        <w:t xml:space="preserve">=12 nM) and the high target-to-background ratio permit to quantify the DAT in the striatum and in the substantia nigra </w:t>
      </w:r>
      <w:r w:rsidR="007829EA" w:rsidRPr="00045F85">
        <w:rPr>
          <w:rFonts w:ascii="Arial" w:hAnsi="Arial" w:cs="Arial"/>
          <w:color w:val="auto"/>
          <w:sz w:val="24"/>
          <w:szCs w:val="24"/>
        </w:rPr>
        <w:fldChar w:fldCharType="begin">
          <w:fldData xml:space="preserve">PEVuZE5vdGU+PENpdGU+PEF1dGhvcj5TYXNha2k8L0F1dGhvcj48WWVhcj4yMDEyPC9ZZWFyPjxS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</w:fldData>
        </w:fldChar>
      </w:r>
      <w:r w:rsidRPr="00045F85">
        <w:rPr>
          <w:rFonts w:ascii="Arial" w:hAnsi="Arial" w:cs="Arial"/>
          <w:color w:val="auto"/>
          <w:sz w:val="24"/>
          <w:szCs w:val="24"/>
        </w:rPr>
        <w:instrText xml:space="preserve"> ADDIN EN.CITE </w:instrText>
      </w:r>
      <w:r w:rsidR="007829EA" w:rsidRPr="00045F85">
        <w:rPr>
          <w:rFonts w:ascii="Arial" w:hAnsi="Arial" w:cs="Arial"/>
          <w:color w:val="auto"/>
          <w:sz w:val="24"/>
          <w:szCs w:val="24"/>
        </w:rPr>
        <w:fldChar w:fldCharType="begin">
          <w:fldData xml:space="preserve">PEVuZE5vdGU+PENpdGU+PEF1dGhvcj5TYXNha2k8L0F1dGhvcj48WWVhcj4yMDEyPC9ZZWFyPjxS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</w:fldData>
        </w:fldChar>
      </w:r>
      <w:r w:rsidRPr="00045F85">
        <w:rPr>
          <w:rFonts w:ascii="Arial" w:hAnsi="Arial" w:cs="Arial"/>
          <w:color w:val="auto"/>
          <w:sz w:val="24"/>
          <w:szCs w:val="24"/>
        </w:rPr>
        <w:instrText xml:space="preserve"> ADDIN EN.CITE.DATA </w:instrText>
      </w:r>
      <w:r w:rsidR="007829EA" w:rsidRPr="00045F85">
        <w:rPr>
          <w:rFonts w:ascii="Arial" w:hAnsi="Arial" w:cs="Arial"/>
          <w:color w:val="auto"/>
          <w:sz w:val="24"/>
          <w:szCs w:val="24"/>
        </w:rPr>
      </w:r>
      <w:r w:rsidR="007829EA" w:rsidRPr="00045F85">
        <w:rPr>
          <w:rFonts w:ascii="Arial" w:hAnsi="Arial" w:cs="Arial"/>
          <w:color w:val="auto"/>
          <w:sz w:val="24"/>
          <w:szCs w:val="24"/>
        </w:rPr>
        <w:fldChar w:fldCharType="end"/>
      </w:r>
      <w:r w:rsidR="007829EA" w:rsidRPr="00045F85">
        <w:rPr>
          <w:rFonts w:ascii="Arial" w:hAnsi="Arial" w:cs="Arial"/>
          <w:color w:val="auto"/>
          <w:sz w:val="24"/>
          <w:szCs w:val="24"/>
        </w:rPr>
      </w:r>
      <w:r w:rsidR="007829EA" w:rsidRPr="00045F85">
        <w:rPr>
          <w:rFonts w:ascii="Arial" w:hAnsi="Arial" w:cs="Arial"/>
          <w:color w:val="auto"/>
          <w:sz w:val="24"/>
          <w:szCs w:val="24"/>
        </w:rPr>
        <w:fldChar w:fldCharType="separate"/>
      </w:r>
      <w:r w:rsidR="00707305" w:rsidRPr="00045F85">
        <w:rPr>
          <w:rFonts w:ascii="Arial" w:hAnsi="Arial" w:cs="Arial"/>
          <w:noProof/>
          <w:color w:val="auto"/>
          <w:sz w:val="24"/>
          <w:szCs w:val="24"/>
        </w:rPr>
        <w:t>[143-146</w:t>
      </w:r>
      <w:r w:rsidRPr="00045F85">
        <w:rPr>
          <w:rFonts w:ascii="Arial" w:hAnsi="Arial" w:cs="Arial"/>
          <w:noProof/>
          <w:color w:val="auto"/>
          <w:sz w:val="24"/>
          <w:szCs w:val="24"/>
        </w:rPr>
        <w:t>]</w:t>
      </w:r>
      <w:r w:rsidR="007829EA" w:rsidRPr="00045F85">
        <w:rPr>
          <w:rFonts w:ascii="Arial" w:hAnsi="Arial" w:cs="Arial"/>
          <w:color w:val="auto"/>
          <w:sz w:val="24"/>
          <w:szCs w:val="24"/>
        </w:rPr>
        <w:fldChar w:fldCharType="end"/>
      </w:r>
      <w:r w:rsidRPr="00045F85">
        <w:rPr>
          <w:rFonts w:ascii="Arial" w:hAnsi="Arial" w:cs="Arial"/>
          <w:color w:val="auto"/>
          <w:sz w:val="24"/>
          <w:szCs w:val="24"/>
        </w:rPr>
        <w:t xml:space="preserve">. Compared with other tropane analogs including ß-CIT and FP-CIT, FE-PE2I is by far more selective for the DAT than for other monoamine transporters </w:t>
      </w:r>
      <w:r w:rsidR="007829EA" w:rsidRPr="00045F85">
        <w:rPr>
          <w:rFonts w:ascii="Arial" w:hAnsi="Arial" w:cs="Arial"/>
          <w:color w:val="auto"/>
          <w:sz w:val="24"/>
          <w:szCs w:val="24"/>
        </w:rPr>
        <w:fldChar w:fldCharType="begin"/>
      </w:r>
      <w:r w:rsidRPr="00045F85">
        <w:rPr>
          <w:rFonts w:ascii="Arial" w:hAnsi="Arial" w:cs="Arial"/>
          <w:color w:val="auto"/>
          <w:sz w:val="24"/>
          <w:szCs w:val="24"/>
        </w:rPr>
        <w:instrText xml:space="preserve"> ADDIN EN.CITE &lt;EndNote&gt;&lt;Cite&gt;&lt;Author&gt;Varrone&lt;/Author&gt;&lt;Year&gt;2012&lt;/Year&gt;&lt;RecNum&gt;129&lt;/RecNum&gt;&lt;record&gt;&lt;rec-number&gt;129&lt;/rec-number&gt;&lt;foreign-keys&gt;&lt;key app="EN" db-id="5r050v9s5xt9fherr24xpr5d5pxvpex9satz"&gt;129&lt;/key&gt;&lt;/foreign-keys&gt;&lt;ref-type name="Journal Article"&gt;17&lt;/ref-type&gt;&lt;contributors&gt;&lt;authors&gt;&lt;author&gt;Varrone, A.&lt;/author&gt;&lt;author&gt;Halldin, C.&lt;/author&gt;&lt;/authors&gt;&lt;/contributors&gt;&lt;auth-address&gt;Department of Clinical Neuroscience, Centre for Psychiatry Research, Karolinska Institutet, Stockholm, Sweden - andrea.varrone@ki.se.&lt;/auth-address&gt;&lt;titles&gt;&lt;title&gt;New developments of dopaminergic imaging in Parkinson&amp;apos;s disease&lt;/title&gt;&lt;secondary-title&gt;Q J Nucl Med Mol Imaging&lt;/secondary-title&gt;&lt;/titles&gt;&lt;periodical&gt;&lt;full-title&gt;Q J Nucl Med Mol Imaging&lt;/full-title&gt;&lt;/periodical&gt;&lt;edition&gt;2012/03/10&lt;/edition&gt;&lt;dates&gt;&lt;year&gt;2012&lt;/year&gt;&lt;pub-dates&gt;&lt;date&gt;Mar 9&lt;/date&gt;&lt;/pub-dates&gt;&lt;/dates&gt;&lt;isbn&gt;1824-4785 (Print)&amp;#xD;1824-4785 (Linking)&lt;/isbn&gt;&lt;accession-num&gt;22402820&lt;/accession-num&gt;&lt;urls&gt;&lt;related-urls&gt;&lt;url&gt;http://www.ncbi.nlm.nih.gov/entrez/query.fcgi?cmd=Retrieve&amp;amp;db=PubMed&amp;amp;dopt=Citation&amp;amp;list_uids=22402820&lt;/url&gt;&lt;/related-urls&gt;&lt;/urls&gt;&lt;electronic-resource-num&gt;R39122480 [pii]&lt;/electronic-resource-num&gt;&lt;language&gt;Eng&lt;/language&gt;&lt;/record&gt;&lt;/Cite&gt;&lt;/EndNote&gt;</w:instrText>
      </w:r>
      <w:r w:rsidR="007829EA" w:rsidRPr="00045F85">
        <w:rPr>
          <w:rFonts w:ascii="Arial" w:hAnsi="Arial" w:cs="Arial"/>
          <w:color w:val="auto"/>
          <w:sz w:val="24"/>
          <w:szCs w:val="24"/>
        </w:rPr>
        <w:fldChar w:fldCharType="separate"/>
      </w:r>
      <w:r w:rsidR="00A17F0E" w:rsidRPr="00045F85">
        <w:rPr>
          <w:rFonts w:ascii="Arial" w:hAnsi="Arial" w:cs="Arial"/>
          <w:noProof/>
          <w:color w:val="auto"/>
          <w:sz w:val="24"/>
          <w:szCs w:val="24"/>
        </w:rPr>
        <w:t>[131</w:t>
      </w:r>
      <w:r w:rsidRPr="00045F85">
        <w:rPr>
          <w:rFonts w:ascii="Arial" w:hAnsi="Arial" w:cs="Arial"/>
          <w:noProof/>
          <w:color w:val="auto"/>
          <w:sz w:val="24"/>
          <w:szCs w:val="24"/>
        </w:rPr>
        <w:t>]</w:t>
      </w:r>
      <w:r w:rsidR="007829EA" w:rsidRPr="00045F85">
        <w:rPr>
          <w:rFonts w:ascii="Arial" w:hAnsi="Arial" w:cs="Arial"/>
          <w:color w:val="auto"/>
          <w:sz w:val="24"/>
          <w:szCs w:val="24"/>
        </w:rPr>
        <w:fldChar w:fldCharType="end"/>
      </w:r>
      <w:r w:rsidRPr="00045F85">
        <w:rPr>
          <w:rFonts w:ascii="Arial" w:hAnsi="Arial" w:cs="Arial"/>
          <w:color w:val="auto"/>
          <w:sz w:val="24"/>
          <w:szCs w:val="24"/>
        </w:rPr>
        <w:t>.</w:t>
      </w:r>
    </w:p>
    <w:p w14:paraId="6B13FFFF" w14:textId="6081E99E" w:rsidR="00653135" w:rsidRPr="00045F85" w:rsidRDefault="00653135" w:rsidP="00653135">
      <w:pPr>
        <w:pStyle w:val="Body"/>
        <w:rPr>
          <w:rFonts w:ascii="Arial" w:hAnsi="Arial" w:cs="Arial"/>
          <w:color w:val="auto"/>
          <w:sz w:val="24"/>
          <w:szCs w:val="24"/>
        </w:rPr>
      </w:pPr>
      <w:r w:rsidRPr="00045F85">
        <w:rPr>
          <w:rFonts w:ascii="Arial" w:hAnsi="Arial" w:cs="Arial"/>
          <w:color w:val="auto"/>
          <w:sz w:val="24"/>
          <w:szCs w:val="24"/>
        </w:rPr>
        <w:t xml:space="preserve">Initial studies have shown that in early PD, DAT is decreased by approximately 70% in the putamen and 30% in the substantia nigra, indicating a preferential loss of the DAT in the axonal terminals </w:t>
      </w:r>
      <w:r w:rsidR="007829EA" w:rsidRPr="00045F85">
        <w:rPr>
          <w:rFonts w:ascii="Arial" w:hAnsi="Arial" w:cs="Arial"/>
          <w:color w:val="auto"/>
          <w:sz w:val="24"/>
          <w:szCs w:val="24"/>
        </w:rPr>
        <w:fldChar w:fldCharType="begin"/>
      </w:r>
      <w:r w:rsidRPr="00045F85">
        <w:rPr>
          <w:rFonts w:ascii="Arial" w:hAnsi="Arial" w:cs="Arial"/>
          <w:color w:val="auto"/>
          <w:sz w:val="24"/>
          <w:szCs w:val="24"/>
        </w:rPr>
        <w:instrText xml:space="preserve"> ADDIN EN.CITE &lt;EndNote&gt;&lt;Cite&gt;&lt;Author&gt;Fazio&lt;/Author&gt;&lt;Year&gt;2018&lt;/Year&gt;&lt;RecNum&gt;133&lt;/RecNum&gt;&lt;record&gt;&lt;rec-number&gt;133&lt;/rec-number&gt;&lt;foreign-keys&gt;&lt;key app="EN" db-id="5r050v9s5xt9fherr24xpr5d5pxvpex9satz"&gt;133&lt;/key&gt;&lt;/foreign-keys&gt;&lt;ref-type name="Journal Article"&gt;17&lt;/ref-type&gt;&lt;contributors&gt;&lt;authors&gt;&lt;author&gt;Fazio, P.&lt;/author&gt;&lt;author&gt;Svenningsson, P.&lt;/author&gt;&lt;author&gt;Cselenyi, Z.&lt;/author&gt;&lt;author&gt;Halldin, C.&lt;/author&gt;&lt;author&gt;Farde, L.&lt;/author&gt;&lt;author&gt;Varrone, A.&lt;/author&gt;&lt;/authors&gt;&lt;/contributors&gt;&lt;auth-address&gt;Department of Clinical Neuroscience, Centre for Psychiatry Research, Karolinska Institutet and Stockholm County Council, Stockholm, Sweden.&amp;#xD;Department of Clinical Neuroscience, Centre for Molecular Medicine, Karolinska Institutet, Stockholm, Sweden.&amp;#xD;PET Science Centre, Precision Medicine and Genomics, Innovative Medicine &amp;amp; Early Development (IMED) Biotech Unit, AstraZeneca, Karolinska Institutet, Sweden.&lt;/auth-address&gt;&lt;titles&gt;&lt;title&gt;Nigrostriatal dopamine transporter availability in early Parkinson&amp;apos;s disease&lt;/title&gt;&lt;secondary-title&gt;Mov Disord&lt;/secondary-title&gt;&lt;/titles&gt;&lt;periodical&gt;&lt;full-title&gt;Mov Disord&lt;/full-title&gt;&lt;/periodical&gt;&lt;pages&gt;592-599&lt;/pages&gt;&lt;volume&gt;33&lt;/volume&gt;&lt;number&gt;4&lt;/number&gt;&lt;edition&gt;2018/02/14&lt;/edition&gt;&lt;dates&gt;&lt;year&gt;2018&lt;/year&gt;&lt;pub-dates&gt;&lt;date&gt;Apr&lt;/date&gt;&lt;/pub-dates&gt;&lt;/dates&gt;&lt;isbn&gt;1531-8257 (Electronic)&amp;#xD;0885-3185 (Linking)&lt;/isbn&gt;&lt;accession-num&gt;29436751&lt;/accession-num&gt;&lt;urls&gt;&lt;related-urls&gt;&lt;url&gt;http://www.ncbi.nlm.nih.gov/entrez/query.fcgi?cmd=Retrieve&amp;amp;db=PubMed&amp;amp;dopt=Citation&amp;amp;list_uids=29436751&lt;/url&gt;&lt;/related-urls&gt;&lt;/urls&gt;&lt;electronic-resource-num&gt;10.1002/mds.27316&lt;/electronic-resource-num&gt;&lt;language&gt;eng&lt;/language&gt;&lt;/record&gt;&lt;/Cite&gt;&lt;/EndNote&gt;</w:instrText>
      </w:r>
      <w:r w:rsidR="007829EA" w:rsidRPr="00045F85">
        <w:rPr>
          <w:rFonts w:ascii="Arial" w:hAnsi="Arial" w:cs="Arial"/>
          <w:color w:val="auto"/>
          <w:sz w:val="24"/>
          <w:szCs w:val="24"/>
        </w:rPr>
        <w:fldChar w:fldCharType="separate"/>
      </w:r>
      <w:r w:rsidR="00153EF1" w:rsidRPr="00045F85">
        <w:rPr>
          <w:rFonts w:ascii="Arial" w:hAnsi="Arial" w:cs="Arial"/>
          <w:noProof/>
          <w:color w:val="auto"/>
          <w:sz w:val="24"/>
          <w:szCs w:val="24"/>
        </w:rPr>
        <w:t>[146</w:t>
      </w:r>
      <w:r w:rsidRPr="00045F85">
        <w:rPr>
          <w:rFonts w:ascii="Arial" w:hAnsi="Arial" w:cs="Arial"/>
          <w:noProof/>
          <w:color w:val="auto"/>
          <w:sz w:val="24"/>
          <w:szCs w:val="24"/>
        </w:rPr>
        <w:t>]</w:t>
      </w:r>
      <w:r w:rsidR="007829EA" w:rsidRPr="00045F85">
        <w:rPr>
          <w:rFonts w:ascii="Arial" w:hAnsi="Arial" w:cs="Arial"/>
          <w:color w:val="auto"/>
          <w:sz w:val="24"/>
          <w:szCs w:val="24"/>
        </w:rPr>
        <w:fldChar w:fldCharType="end"/>
      </w:r>
      <w:r w:rsidRPr="00045F85">
        <w:rPr>
          <w:rFonts w:ascii="Arial" w:hAnsi="Arial" w:cs="Arial"/>
          <w:color w:val="auto"/>
          <w:sz w:val="24"/>
          <w:szCs w:val="24"/>
        </w:rPr>
        <w:t>.</w:t>
      </w:r>
    </w:p>
    <w:p w14:paraId="7950C335" w14:textId="38AEC0BE" w:rsidR="00653135" w:rsidRPr="00045F85" w:rsidRDefault="00653135" w:rsidP="00653135">
      <w:pPr>
        <w:pStyle w:val="Body"/>
        <w:rPr>
          <w:rFonts w:ascii="Arial" w:hAnsi="Arial" w:cs="Arial"/>
          <w:color w:val="auto"/>
          <w:sz w:val="24"/>
          <w:szCs w:val="24"/>
        </w:rPr>
      </w:pPr>
      <w:r w:rsidRPr="00045F85">
        <w:rPr>
          <w:rFonts w:ascii="Arial" w:hAnsi="Arial" w:cs="Arial"/>
          <w:color w:val="auto"/>
          <w:sz w:val="24"/>
          <w:szCs w:val="24"/>
        </w:rPr>
        <w:t xml:space="preserve">The dosimetry of </w:t>
      </w:r>
      <w:r w:rsidR="00DC25FF" w:rsidRPr="00045F85">
        <w:rPr>
          <w:rFonts w:ascii="Arial" w:hAnsi="Arial" w:cs="Arial"/>
          <w:color w:val="auto"/>
          <w:sz w:val="24"/>
          <w:szCs w:val="24"/>
        </w:rPr>
        <w:t>[</w:t>
      </w:r>
      <w:r w:rsidRPr="00045F85">
        <w:rPr>
          <w:rFonts w:ascii="Arial" w:hAnsi="Arial" w:cs="Arial"/>
          <w:color w:val="auto"/>
          <w:sz w:val="24"/>
          <w:szCs w:val="24"/>
          <w:vertAlign w:val="superscript"/>
        </w:rPr>
        <w:t>18</w:t>
      </w:r>
      <w:r w:rsidRPr="00045F85">
        <w:rPr>
          <w:rFonts w:ascii="Arial" w:hAnsi="Arial" w:cs="Arial"/>
          <w:color w:val="auto"/>
          <w:sz w:val="24"/>
          <w:szCs w:val="24"/>
        </w:rPr>
        <w:t>F</w:t>
      </w:r>
      <w:r w:rsidR="00DC25FF" w:rsidRPr="00045F85">
        <w:rPr>
          <w:rFonts w:ascii="Arial" w:hAnsi="Arial" w:cs="Arial"/>
          <w:color w:val="auto"/>
          <w:sz w:val="24"/>
          <w:szCs w:val="24"/>
        </w:rPr>
        <w:t>]</w:t>
      </w:r>
      <w:r w:rsidRPr="00045F85">
        <w:rPr>
          <w:rFonts w:ascii="Arial" w:hAnsi="Arial" w:cs="Arial"/>
          <w:color w:val="auto"/>
          <w:sz w:val="24"/>
          <w:szCs w:val="24"/>
        </w:rPr>
        <w:t xml:space="preserve">FE-PE2I has been estimated in </w:t>
      </w:r>
      <w:r w:rsidR="006F1911" w:rsidRPr="00045F85">
        <w:rPr>
          <w:rFonts w:ascii="Arial" w:hAnsi="Arial" w:cs="Arial"/>
          <w:color w:val="auto"/>
          <w:sz w:val="24"/>
          <w:szCs w:val="24"/>
        </w:rPr>
        <w:t>non-human primates</w:t>
      </w:r>
      <w:r w:rsidRPr="00045F85">
        <w:rPr>
          <w:rFonts w:ascii="Arial" w:hAnsi="Arial" w:cs="Arial"/>
          <w:color w:val="auto"/>
          <w:sz w:val="24"/>
          <w:szCs w:val="24"/>
        </w:rPr>
        <w:t xml:space="preserve"> and human subjects </w:t>
      </w:r>
      <w:r w:rsidR="007829EA" w:rsidRPr="00045F85">
        <w:rPr>
          <w:rFonts w:ascii="Arial" w:hAnsi="Arial" w:cs="Arial"/>
          <w:color w:val="auto"/>
          <w:sz w:val="24"/>
          <w:szCs w:val="24"/>
        </w:rPr>
        <w:fldChar w:fldCharType="begin">
          <w:fldData xml:space="preserve">PEVuZE5vdGU+PENpdGU+PEF1dGhvcj5WYXJyb25lPC9BdXRob3I+PFllYXI+MjAxMjwvWWVhcj48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</w:fldData>
        </w:fldChar>
      </w:r>
      <w:r w:rsidRPr="00045F85">
        <w:rPr>
          <w:rFonts w:ascii="Arial" w:hAnsi="Arial" w:cs="Arial"/>
          <w:color w:val="auto"/>
          <w:sz w:val="24"/>
          <w:szCs w:val="24"/>
        </w:rPr>
        <w:instrText xml:space="preserve"> ADDIN EN.CITE </w:instrText>
      </w:r>
      <w:r w:rsidR="007829EA" w:rsidRPr="00045F85">
        <w:rPr>
          <w:rFonts w:ascii="Arial" w:hAnsi="Arial" w:cs="Arial"/>
          <w:color w:val="auto"/>
          <w:sz w:val="24"/>
          <w:szCs w:val="24"/>
        </w:rPr>
        <w:fldChar w:fldCharType="begin">
          <w:fldData xml:space="preserve">PEVuZE5vdGU+PENpdGU+PEF1dGhvcj5WYXJyb25lPC9BdXRob3I+PFllYXI+MjAxMjwvWWVhcj48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</w:fldData>
        </w:fldChar>
      </w:r>
      <w:r w:rsidRPr="00045F85">
        <w:rPr>
          <w:rFonts w:ascii="Arial" w:hAnsi="Arial" w:cs="Arial"/>
          <w:color w:val="auto"/>
          <w:sz w:val="24"/>
          <w:szCs w:val="24"/>
        </w:rPr>
        <w:instrText xml:space="preserve"> ADDIN EN.CITE.DATA </w:instrText>
      </w:r>
      <w:r w:rsidR="007829EA" w:rsidRPr="00045F85">
        <w:rPr>
          <w:rFonts w:ascii="Arial" w:hAnsi="Arial" w:cs="Arial"/>
          <w:color w:val="auto"/>
          <w:sz w:val="24"/>
          <w:szCs w:val="24"/>
        </w:rPr>
      </w:r>
      <w:r w:rsidR="007829EA" w:rsidRPr="00045F85">
        <w:rPr>
          <w:rFonts w:ascii="Arial" w:hAnsi="Arial" w:cs="Arial"/>
          <w:color w:val="auto"/>
          <w:sz w:val="24"/>
          <w:szCs w:val="24"/>
        </w:rPr>
        <w:fldChar w:fldCharType="end"/>
      </w:r>
      <w:r w:rsidR="007829EA" w:rsidRPr="00045F85">
        <w:rPr>
          <w:rFonts w:ascii="Arial" w:hAnsi="Arial" w:cs="Arial"/>
          <w:color w:val="auto"/>
          <w:sz w:val="24"/>
          <w:szCs w:val="24"/>
        </w:rPr>
      </w:r>
      <w:r w:rsidR="007829EA" w:rsidRPr="00045F85">
        <w:rPr>
          <w:rFonts w:ascii="Arial" w:hAnsi="Arial" w:cs="Arial"/>
          <w:color w:val="auto"/>
          <w:sz w:val="24"/>
          <w:szCs w:val="24"/>
        </w:rPr>
        <w:fldChar w:fldCharType="separate"/>
      </w:r>
      <w:r w:rsidR="00153EF1" w:rsidRPr="00045F85">
        <w:rPr>
          <w:rFonts w:ascii="Arial" w:hAnsi="Arial" w:cs="Arial"/>
          <w:noProof/>
          <w:color w:val="auto"/>
          <w:sz w:val="24"/>
          <w:szCs w:val="24"/>
        </w:rPr>
        <w:t>[147, 148</w:t>
      </w:r>
      <w:r w:rsidRPr="00045F85">
        <w:rPr>
          <w:rFonts w:ascii="Arial" w:hAnsi="Arial" w:cs="Arial"/>
          <w:noProof/>
          <w:color w:val="auto"/>
          <w:sz w:val="24"/>
          <w:szCs w:val="24"/>
        </w:rPr>
        <w:t>]</w:t>
      </w:r>
      <w:r w:rsidR="007829EA" w:rsidRPr="00045F85">
        <w:rPr>
          <w:rFonts w:ascii="Arial" w:hAnsi="Arial" w:cs="Arial"/>
          <w:color w:val="auto"/>
          <w:sz w:val="24"/>
          <w:szCs w:val="24"/>
        </w:rPr>
        <w:fldChar w:fldCharType="end"/>
      </w:r>
      <w:r w:rsidRPr="00045F85">
        <w:rPr>
          <w:rFonts w:ascii="Arial" w:hAnsi="Arial" w:cs="Arial"/>
          <w:color w:val="auto"/>
          <w:sz w:val="24"/>
          <w:szCs w:val="24"/>
        </w:rPr>
        <w:t xml:space="preserve">. The estimated </w:t>
      </w:r>
      <w:r w:rsidR="00DC25FF" w:rsidRPr="00045F85">
        <w:rPr>
          <w:rFonts w:ascii="Arial" w:hAnsi="Arial" w:cs="Arial"/>
          <w:color w:val="auto"/>
          <w:sz w:val="24"/>
          <w:szCs w:val="24"/>
        </w:rPr>
        <w:t>effective dose (</w:t>
      </w:r>
      <w:r w:rsidRPr="00045F85">
        <w:rPr>
          <w:rFonts w:ascii="Arial" w:hAnsi="Arial" w:cs="Arial"/>
          <w:color w:val="auto"/>
          <w:sz w:val="24"/>
          <w:szCs w:val="24"/>
        </w:rPr>
        <w:t>ED</w:t>
      </w:r>
      <w:r w:rsidR="00DC25FF" w:rsidRPr="00045F85">
        <w:rPr>
          <w:rFonts w:ascii="Arial" w:hAnsi="Arial" w:cs="Arial"/>
          <w:color w:val="auto"/>
          <w:sz w:val="24"/>
          <w:szCs w:val="24"/>
        </w:rPr>
        <w:t>)</w:t>
      </w:r>
      <w:r w:rsidRPr="00045F85">
        <w:rPr>
          <w:rFonts w:ascii="Arial" w:hAnsi="Arial" w:cs="Arial"/>
          <w:color w:val="auto"/>
          <w:sz w:val="24"/>
          <w:szCs w:val="24"/>
        </w:rPr>
        <w:t xml:space="preserve"> is 0.023 mSv/MBq, which is similar to </w:t>
      </w:r>
      <w:r w:rsidR="00BC0400" w:rsidRPr="00045F85">
        <w:rPr>
          <w:rFonts w:ascii="Arial" w:hAnsi="Arial" w:cs="Arial"/>
          <w:color w:val="auto"/>
          <w:sz w:val="24"/>
          <w:szCs w:val="24"/>
        </w:rPr>
        <w:t xml:space="preserve">that of </w:t>
      </w:r>
      <w:r w:rsidRPr="00045F85">
        <w:rPr>
          <w:rFonts w:ascii="Arial" w:hAnsi="Arial" w:cs="Arial"/>
          <w:color w:val="auto"/>
          <w:sz w:val="24"/>
          <w:szCs w:val="24"/>
        </w:rPr>
        <w:t xml:space="preserve">other </w:t>
      </w:r>
      <w:r w:rsidRPr="00045F85">
        <w:rPr>
          <w:rFonts w:ascii="Arial" w:hAnsi="Arial" w:cs="Arial"/>
          <w:color w:val="auto"/>
          <w:sz w:val="24"/>
          <w:szCs w:val="24"/>
          <w:vertAlign w:val="superscript"/>
        </w:rPr>
        <w:t>18</w:t>
      </w:r>
      <w:r w:rsidRPr="00045F85">
        <w:rPr>
          <w:rFonts w:ascii="Arial" w:hAnsi="Arial" w:cs="Arial"/>
          <w:color w:val="auto"/>
          <w:sz w:val="24"/>
          <w:szCs w:val="24"/>
        </w:rPr>
        <w:t xml:space="preserve">F-labeled radioligands for brain imaging </w:t>
      </w:r>
      <w:r w:rsidR="007829EA" w:rsidRPr="00045F85">
        <w:rPr>
          <w:rFonts w:ascii="Arial" w:hAnsi="Arial" w:cs="Arial"/>
          <w:color w:val="auto"/>
          <w:sz w:val="24"/>
          <w:szCs w:val="24"/>
        </w:rPr>
        <w:fldChar w:fldCharType="begin"/>
      </w:r>
      <w:r w:rsidRPr="00045F85">
        <w:rPr>
          <w:rFonts w:ascii="Arial" w:hAnsi="Arial" w:cs="Arial"/>
          <w:color w:val="auto"/>
          <w:sz w:val="24"/>
          <w:szCs w:val="24"/>
        </w:rPr>
        <w:instrText xml:space="preserve"> ADDIN EN.CITE &lt;EndNote&gt;&lt;Cite&gt;&lt;Author&gt;Lizana&lt;/Author&gt;&lt;Year&gt;2018&lt;/Year&gt;&lt;RecNum&gt;132&lt;/RecNum&gt;&lt;record&gt;&lt;rec-number&gt;132&lt;/rec-number&gt;&lt;foreign-keys&gt;&lt;key app="EN" db-id="5r050v9s5xt9fherr24xpr5d5pxvpex9satz"&gt;132&lt;/key&gt;&lt;/foreign-keys&gt;&lt;ref-type name="Journal Article"&gt;17&lt;/ref-type&gt;&lt;contributors&gt;&lt;authors&gt;&lt;author&gt;Lizana, H.&lt;/author&gt;&lt;author&gt;Johansson, L.&lt;/author&gt;&lt;author&gt;Axelsson, J.&lt;/author&gt;&lt;author&gt;Larsson, A.&lt;/author&gt;&lt;author&gt;Ogren, M.&lt;/author&gt;&lt;author&gt;Linder, J.&lt;/author&gt;&lt;author&gt;Halldin, C.&lt;/author&gt;&lt;author&gt;Varrone, A.&lt;/author&gt;&lt;author&gt;Mo, S. J.&lt;/author&gt;&lt;/authors&gt;&lt;/contributors&gt;&lt;auth-address&gt;Radiation Physics, Department of Radiation Sciences, Umea University, Umea, Sweden helena.lizana@vll.se.&amp;#xD;Radiation Physics, Department of Radiation Sciences, Umea University, Umea, Sweden.&amp;#xD;Diagnostic Radiology, Department of Radiation Sciences, Umea University, Umea, Sweden.&amp;#xD;Clinical Neuroscience, Department of Pharmacology and Clinical Neuroscience, Umea University, Umea, Sweden; and.&amp;#xD;Centre for Psychiatry Research, Department of Clinical Neuroscience, Karolinska Institutet, Stockholm, Sweden.&lt;/auth-address&gt;&lt;titles&gt;&lt;title&gt;Whole-Body Biodistribution and Dosimetry of the Dopamine Transporter Radioligand (18)F-FE-PE2I in Human Subjects&lt;/title&gt;&lt;secondary-title&gt;J Nucl Med&lt;/secondary-title&gt;&lt;/titles&gt;&lt;periodical&gt;&lt;full-title&gt;J Nucl Med&lt;/full-title&gt;&lt;/periodical&gt;&lt;pages&gt;1275-1280&lt;/pages&gt;&lt;volume&gt;59&lt;/volume&gt;&lt;number&gt;8&lt;/number&gt;&lt;edition&gt;2018/01/20&lt;/edition&gt;&lt;dates&gt;&lt;year&gt;2018&lt;/year&gt;&lt;pub-dates&gt;&lt;date&gt;Aug&lt;/date&gt;&lt;/pub-dates&gt;&lt;/dates&gt;&lt;isbn&gt;1535-5667 (Electronic)&amp;#xD;0161-5505 (Linking)&lt;/isbn&gt;&lt;accession-num&gt;29348315&lt;/accession-num&gt;&lt;urls&gt;&lt;related-urls&gt;&lt;url&gt;http://www.ncbi.nlm.nih.gov/entrez/query.fcgi?cmd=Retrieve&amp;amp;db=PubMed&amp;amp;dopt=Citation&amp;amp;list_uids=29348315&lt;/url&gt;&lt;/related-urls&gt;&lt;/urls&gt;&lt;electronic-resource-num&gt;jnumed.117.197186 [pii]&amp;#xD;10.2967/jnumed.117.197186&lt;/electronic-resource-num&gt;&lt;language&gt;eng&lt;/language&gt;&lt;/record&gt;&lt;/Cite&gt;&lt;/EndNote&gt;</w:instrText>
      </w:r>
      <w:r w:rsidR="007829EA" w:rsidRPr="00045F85">
        <w:rPr>
          <w:rFonts w:ascii="Arial" w:hAnsi="Arial" w:cs="Arial"/>
          <w:color w:val="auto"/>
          <w:sz w:val="24"/>
          <w:szCs w:val="24"/>
        </w:rPr>
        <w:fldChar w:fldCharType="separate"/>
      </w:r>
      <w:r w:rsidR="00153EF1" w:rsidRPr="00045F85">
        <w:rPr>
          <w:rFonts w:ascii="Arial" w:hAnsi="Arial" w:cs="Arial"/>
          <w:noProof/>
          <w:color w:val="auto"/>
          <w:sz w:val="24"/>
          <w:szCs w:val="24"/>
        </w:rPr>
        <w:t>[149</w:t>
      </w:r>
      <w:r w:rsidRPr="00045F85">
        <w:rPr>
          <w:rFonts w:ascii="Arial" w:hAnsi="Arial" w:cs="Arial"/>
          <w:noProof/>
          <w:color w:val="auto"/>
          <w:sz w:val="24"/>
          <w:szCs w:val="24"/>
        </w:rPr>
        <w:t>]</w:t>
      </w:r>
      <w:r w:rsidR="007829EA" w:rsidRPr="00045F85">
        <w:rPr>
          <w:rFonts w:ascii="Arial" w:hAnsi="Arial" w:cs="Arial"/>
          <w:color w:val="auto"/>
          <w:sz w:val="24"/>
          <w:szCs w:val="24"/>
        </w:rPr>
        <w:fldChar w:fldCharType="end"/>
      </w:r>
      <w:r w:rsidRPr="00045F85">
        <w:rPr>
          <w:rFonts w:ascii="Arial" w:hAnsi="Arial" w:cs="Arial"/>
          <w:color w:val="auto"/>
          <w:sz w:val="24"/>
          <w:szCs w:val="24"/>
        </w:rPr>
        <w:t>.</w:t>
      </w:r>
    </w:p>
    <w:p w14:paraId="6049982E" w14:textId="787ECD60" w:rsidR="00F11253" w:rsidRPr="00045F85" w:rsidRDefault="00B95709" w:rsidP="00653135">
      <w:pPr>
        <w:pStyle w:val="Body"/>
        <w:rPr>
          <w:rFonts w:ascii="Arial" w:hAnsi="Arial" w:cs="Arial"/>
          <w:color w:val="auto"/>
          <w:sz w:val="24"/>
          <w:szCs w:val="24"/>
        </w:rPr>
      </w:pPr>
      <w:r w:rsidRPr="00045F85">
        <w:rPr>
          <w:rFonts w:ascii="Arial" w:hAnsi="Arial" w:cs="Arial"/>
          <w:color w:val="auto"/>
          <w:sz w:val="24"/>
          <w:szCs w:val="24"/>
        </w:rPr>
        <w:lastRenderedPageBreak/>
        <w:t xml:space="preserve">Further studies with </w:t>
      </w:r>
      <w:r w:rsidR="00DC25FF" w:rsidRPr="00045F85">
        <w:rPr>
          <w:rFonts w:ascii="Arial" w:hAnsi="Arial" w:cs="Arial"/>
          <w:color w:val="auto"/>
          <w:sz w:val="24"/>
          <w:szCs w:val="24"/>
        </w:rPr>
        <w:t>[</w:t>
      </w:r>
      <w:r w:rsidRPr="00045F85">
        <w:rPr>
          <w:rFonts w:ascii="Arial" w:hAnsi="Arial" w:cs="Arial"/>
          <w:color w:val="auto"/>
          <w:sz w:val="24"/>
          <w:szCs w:val="24"/>
          <w:vertAlign w:val="superscript"/>
        </w:rPr>
        <w:t>18</w:t>
      </w:r>
      <w:r w:rsidRPr="00045F85">
        <w:rPr>
          <w:rFonts w:ascii="Arial" w:hAnsi="Arial" w:cs="Arial"/>
          <w:color w:val="auto"/>
          <w:sz w:val="24"/>
          <w:szCs w:val="24"/>
        </w:rPr>
        <w:t>F</w:t>
      </w:r>
      <w:r w:rsidR="00DC25FF" w:rsidRPr="00045F85">
        <w:rPr>
          <w:rFonts w:ascii="Arial" w:hAnsi="Arial" w:cs="Arial"/>
          <w:color w:val="auto"/>
          <w:sz w:val="24"/>
          <w:szCs w:val="24"/>
        </w:rPr>
        <w:t>]</w:t>
      </w:r>
      <w:r w:rsidRPr="00045F85">
        <w:rPr>
          <w:rFonts w:ascii="Arial" w:hAnsi="Arial" w:cs="Arial"/>
          <w:color w:val="auto"/>
          <w:sz w:val="24"/>
          <w:szCs w:val="24"/>
        </w:rPr>
        <w:t xml:space="preserve">FE-PE2I are ongoing to examine the DAT loss across different stages of </w:t>
      </w:r>
      <w:r w:rsidR="00C50694" w:rsidRPr="00045F85">
        <w:rPr>
          <w:rFonts w:ascii="Arial" w:hAnsi="Arial" w:cs="Arial"/>
          <w:color w:val="auto"/>
          <w:sz w:val="24"/>
          <w:szCs w:val="24"/>
        </w:rPr>
        <w:t>IPD</w:t>
      </w:r>
      <w:r w:rsidRPr="00045F85">
        <w:rPr>
          <w:rFonts w:ascii="Arial" w:hAnsi="Arial" w:cs="Arial"/>
          <w:color w:val="auto"/>
          <w:sz w:val="24"/>
          <w:szCs w:val="24"/>
        </w:rPr>
        <w:t xml:space="preserve">, the test-retest reliability, clinical most appropriate imaging interval and the longitudinal assessment in </w:t>
      </w:r>
      <w:r w:rsidR="00C50694" w:rsidRPr="00045F85">
        <w:rPr>
          <w:rFonts w:ascii="Arial" w:hAnsi="Arial" w:cs="Arial"/>
          <w:color w:val="auto"/>
          <w:sz w:val="24"/>
          <w:szCs w:val="24"/>
        </w:rPr>
        <w:t>IPD</w:t>
      </w:r>
      <w:r w:rsidRPr="00045F85">
        <w:rPr>
          <w:rFonts w:ascii="Arial" w:hAnsi="Arial" w:cs="Arial"/>
          <w:color w:val="auto"/>
          <w:sz w:val="24"/>
          <w:szCs w:val="24"/>
        </w:rPr>
        <w:t xml:space="preserve"> patients. Head-to-head comparative studies with </w:t>
      </w:r>
      <w:r w:rsidR="00DC25FF" w:rsidRPr="00045F85">
        <w:rPr>
          <w:rFonts w:ascii="Arial" w:hAnsi="Arial" w:cs="Arial"/>
          <w:color w:val="auto"/>
          <w:sz w:val="24"/>
          <w:szCs w:val="24"/>
        </w:rPr>
        <w:t>[</w:t>
      </w:r>
      <w:r w:rsidR="008F7C6B" w:rsidRPr="00045F85">
        <w:rPr>
          <w:rFonts w:ascii="Arial" w:hAnsi="Arial" w:cs="Arial"/>
          <w:color w:val="auto"/>
          <w:sz w:val="24"/>
          <w:szCs w:val="24"/>
          <w:vertAlign w:val="superscript"/>
        </w:rPr>
        <w:t>123</w:t>
      </w:r>
      <w:r w:rsidR="008F7C6B" w:rsidRPr="00045F85">
        <w:rPr>
          <w:rFonts w:ascii="Arial" w:hAnsi="Arial" w:cs="Arial"/>
          <w:color w:val="auto"/>
          <w:sz w:val="24"/>
          <w:szCs w:val="24"/>
        </w:rPr>
        <w:t>I</w:t>
      </w:r>
      <w:r w:rsidR="00DC25FF" w:rsidRPr="00045F85">
        <w:rPr>
          <w:rFonts w:ascii="Arial" w:hAnsi="Arial" w:cs="Arial"/>
          <w:color w:val="auto"/>
          <w:sz w:val="24"/>
          <w:szCs w:val="24"/>
        </w:rPr>
        <w:t>]</w:t>
      </w:r>
      <w:r w:rsidR="008F7C6B" w:rsidRPr="00045F85">
        <w:rPr>
          <w:rFonts w:ascii="Arial" w:hAnsi="Arial" w:cs="Arial"/>
          <w:color w:val="auto"/>
          <w:sz w:val="24"/>
          <w:szCs w:val="24"/>
        </w:rPr>
        <w:t xml:space="preserve">FP-CIT </w:t>
      </w:r>
      <w:r w:rsidRPr="00045F85">
        <w:rPr>
          <w:rFonts w:ascii="Arial" w:hAnsi="Arial" w:cs="Arial"/>
          <w:color w:val="auto"/>
          <w:sz w:val="24"/>
          <w:szCs w:val="24"/>
        </w:rPr>
        <w:t xml:space="preserve">are also ongoing to examine the relative performance of </w:t>
      </w:r>
      <w:r w:rsidR="00DC25FF" w:rsidRPr="00045F85">
        <w:rPr>
          <w:rFonts w:ascii="Arial" w:hAnsi="Arial" w:cs="Arial"/>
          <w:color w:val="auto"/>
          <w:sz w:val="24"/>
          <w:szCs w:val="24"/>
        </w:rPr>
        <w:t>[</w:t>
      </w:r>
      <w:r w:rsidRPr="00045F85">
        <w:rPr>
          <w:rFonts w:ascii="Arial" w:hAnsi="Arial" w:cs="Arial"/>
          <w:color w:val="auto"/>
          <w:sz w:val="24"/>
          <w:szCs w:val="24"/>
          <w:vertAlign w:val="superscript"/>
        </w:rPr>
        <w:t>18</w:t>
      </w:r>
      <w:r w:rsidRPr="00045F85">
        <w:rPr>
          <w:rFonts w:ascii="Arial" w:hAnsi="Arial" w:cs="Arial"/>
          <w:color w:val="auto"/>
          <w:sz w:val="24"/>
          <w:szCs w:val="24"/>
        </w:rPr>
        <w:t>F</w:t>
      </w:r>
      <w:r w:rsidR="00DC25FF" w:rsidRPr="00045F85">
        <w:rPr>
          <w:rFonts w:ascii="Arial" w:hAnsi="Arial" w:cs="Arial"/>
          <w:color w:val="auto"/>
          <w:sz w:val="24"/>
          <w:szCs w:val="24"/>
        </w:rPr>
        <w:t>]</w:t>
      </w:r>
      <w:r w:rsidRPr="00045F85">
        <w:rPr>
          <w:rFonts w:ascii="Arial" w:hAnsi="Arial" w:cs="Arial"/>
          <w:color w:val="auto"/>
          <w:sz w:val="24"/>
          <w:szCs w:val="24"/>
        </w:rPr>
        <w:t xml:space="preserve">FE-PE2I in differentiating </w:t>
      </w:r>
      <w:r w:rsidR="00C50694" w:rsidRPr="00045F85">
        <w:rPr>
          <w:rFonts w:ascii="Arial" w:hAnsi="Arial" w:cs="Arial"/>
          <w:color w:val="auto"/>
          <w:sz w:val="24"/>
          <w:szCs w:val="24"/>
        </w:rPr>
        <w:t>IPD</w:t>
      </w:r>
      <w:r w:rsidRPr="00045F85">
        <w:rPr>
          <w:rFonts w:ascii="Arial" w:hAnsi="Arial" w:cs="Arial"/>
          <w:color w:val="auto"/>
          <w:sz w:val="24"/>
          <w:szCs w:val="24"/>
        </w:rPr>
        <w:t xml:space="preserve"> from controls.</w:t>
      </w:r>
      <w:r w:rsidR="00BD1DED" w:rsidRPr="00045F85">
        <w:rPr>
          <w:rFonts w:ascii="Arial" w:hAnsi="Arial" w:cs="Arial"/>
          <w:color w:val="auto"/>
          <w:sz w:val="24"/>
          <w:szCs w:val="24"/>
        </w:rPr>
        <w:t xml:space="preserve"> The first published comparative study reported that binding potential (</w:t>
      </w:r>
      <w:r w:rsidR="00BD1DED" w:rsidRPr="00045F85">
        <w:rPr>
          <w:rFonts w:ascii="Arial" w:hAnsi="Arial" w:cs="Arial"/>
          <w:i/>
          <w:color w:val="auto"/>
          <w:sz w:val="24"/>
          <w:szCs w:val="24"/>
        </w:rPr>
        <w:t>BP</w:t>
      </w:r>
      <w:r w:rsidR="00BD1DED" w:rsidRPr="00045F85">
        <w:rPr>
          <w:rFonts w:ascii="Arial" w:hAnsi="Arial" w:cs="Arial"/>
          <w:color w:val="auto"/>
          <w:sz w:val="24"/>
          <w:szCs w:val="24"/>
          <w:vertAlign w:val="subscript"/>
        </w:rPr>
        <w:t>ND</w:t>
      </w:r>
      <w:r w:rsidR="00BD1DED" w:rsidRPr="00045F85">
        <w:rPr>
          <w:rFonts w:ascii="Arial" w:hAnsi="Arial" w:cs="Arial"/>
          <w:color w:val="auto"/>
          <w:sz w:val="24"/>
          <w:szCs w:val="24"/>
        </w:rPr>
        <w:t xml:space="preserve">) of </w:t>
      </w:r>
      <w:r w:rsidR="00DC25FF" w:rsidRPr="00045F85">
        <w:rPr>
          <w:rFonts w:ascii="Arial" w:hAnsi="Arial" w:cs="Arial"/>
          <w:color w:val="auto"/>
          <w:sz w:val="24"/>
          <w:szCs w:val="24"/>
        </w:rPr>
        <w:t>[</w:t>
      </w:r>
      <w:r w:rsidR="00BD1DED" w:rsidRPr="00045F85">
        <w:rPr>
          <w:rFonts w:ascii="Arial" w:hAnsi="Arial" w:cs="Arial"/>
          <w:color w:val="auto"/>
          <w:sz w:val="24"/>
          <w:szCs w:val="24"/>
          <w:vertAlign w:val="superscript"/>
        </w:rPr>
        <w:t>18</w:t>
      </w:r>
      <w:r w:rsidR="00BD1DED" w:rsidRPr="00045F85">
        <w:rPr>
          <w:rFonts w:ascii="Arial" w:hAnsi="Arial" w:cs="Arial"/>
          <w:color w:val="auto"/>
          <w:sz w:val="24"/>
          <w:szCs w:val="24"/>
        </w:rPr>
        <w:t>F</w:t>
      </w:r>
      <w:r w:rsidR="00DC25FF" w:rsidRPr="00045F85">
        <w:rPr>
          <w:rFonts w:ascii="Arial" w:hAnsi="Arial" w:cs="Arial"/>
          <w:color w:val="auto"/>
          <w:sz w:val="24"/>
          <w:szCs w:val="24"/>
        </w:rPr>
        <w:t>]</w:t>
      </w:r>
      <w:r w:rsidR="00BD1DED" w:rsidRPr="00045F85">
        <w:rPr>
          <w:rFonts w:ascii="Arial" w:hAnsi="Arial" w:cs="Arial"/>
          <w:color w:val="auto"/>
          <w:sz w:val="24"/>
          <w:szCs w:val="24"/>
        </w:rPr>
        <w:t>FE-</w:t>
      </w:r>
      <w:r w:rsidR="002D0C10" w:rsidRPr="00045F85">
        <w:rPr>
          <w:rFonts w:ascii="Arial" w:hAnsi="Arial" w:cs="Arial"/>
          <w:color w:val="auto"/>
          <w:sz w:val="24"/>
          <w:szCs w:val="24"/>
        </w:rPr>
        <w:t>PE2I was highly correlated with</w:t>
      </w:r>
      <w:r w:rsidR="00BD1DED" w:rsidRPr="00045F85">
        <w:rPr>
          <w:rFonts w:ascii="Arial" w:hAnsi="Arial" w:cs="Arial"/>
          <w:color w:val="auto"/>
          <w:sz w:val="24"/>
          <w:szCs w:val="24"/>
        </w:rPr>
        <w:t xml:space="preserve"> </w:t>
      </w:r>
      <w:r w:rsidR="00DC25FF" w:rsidRPr="00045F85">
        <w:rPr>
          <w:rFonts w:ascii="Arial" w:hAnsi="Arial" w:cs="Arial"/>
          <w:color w:val="auto"/>
          <w:sz w:val="24"/>
          <w:szCs w:val="24"/>
        </w:rPr>
        <w:t>[</w:t>
      </w:r>
      <w:r w:rsidR="00BD1DED" w:rsidRPr="00045F85">
        <w:rPr>
          <w:rFonts w:ascii="Arial" w:hAnsi="Arial" w:cs="Arial"/>
          <w:color w:val="auto"/>
          <w:sz w:val="24"/>
          <w:szCs w:val="24"/>
          <w:vertAlign w:val="superscript"/>
        </w:rPr>
        <w:t>123</w:t>
      </w:r>
      <w:r w:rsidR="00BD1DED" w:rsidRPr="00045F85">
        <w:rPr>
          <w:rFonts w:ascii="Arial" w:hAnsi="Arial" w:cs="Arial"/>
          <w:color w:val="auto"/>
          <w:sz w:val="24"/>
          <w:szCs w:val="24"/>
        </w:rPr>
        <w:t>I</w:t>
      </w:r>
      <w:r w:rsidR="00DC25FF" w:rsidRPr="00045F85">
        <w:rPr>
          <w:rFonts w:ascii="Arial" w:hAnsi="Arial" w:cs="Arial"/>
          <w:color w:val="auto"/>
          <w:sz w:val="24"/>
          <w:szCs w:val="24"/>
        </w:rPr>
        <w:t>]</w:t>
      </w:r>
      <w:r w:rsidR="00BD1DED" w:rsidRPr="00045F85">
        <w:rPr>
          <w:rFonts w:ascii="Arial" w:hAnsi="Arial" w:cs="Arial"/>
          <w:color w:val="auto"/>
          <w:sz w:val="24"/>
          <w:szCs w:val="24"/>
        </w:rPr>
        <w:t>FP-CIT</w:t>
      </w:r>
      <w:r w:rsidR="002D0C10" w:rsidRPr="00045F85">
        <w:rPr>
          <w:rFonts w:ascii="Arial" w:hAnsi="Arial" w:cs="Arial"/>
          <w:color w:val="auto"/>
          <w:sz w:val="24"/>
          <w:szCs w:val="24"/>
        </w:rPr>
        <w:t xml:space="preserve"> data</w:t>
      </w:r>
      <w:r w:rsidR="00BD1DED" w:rsidRPr="00045F85">
        <w:rPr>
          <w:rFonts w:ascii="Arial" w:hAnsi="Arial" w:cs="Arial"/>
          <w:color w:val="auto"/>
          <w:sz w:val="24"/>
          <w:szCs w:val="24"/>
        </w:rPr>
        <w:t xml:space="preserve">, with intraclass correlation coefficients </w:t>
      </w:r>
      <w:r w:rsidR="00785837" w:rsidRPr="00045F85">
        <w:rPr>
          <w:rFonts w:ascii="Arial" w:hAnsi="Arial" w:cs="Arial"/>
          <w:color w:val="auto"/>
          <w:sz w:val="24"/>
          <w:szCs w:val="24"/>
        </w:rPr>
        <w:t>&gt;0.9 [149</w:t>
      </w:r>
      <w:r w:rsidR="00B44F28" w:rsidRPr="00045F85">
        <w:rPr>
          <w:rFonts w:ascii="Arial" w:hAnsi="Arial" w:cs="Arial"/>
          <w:color w:val="auto"/>
          <w:sz w:val="24"/>
          <w:szCs w:val="24"/>
        </w:rPr>
        <w:t>]</w:t>
      </w:r>
      <w:r w:rsidR="00BD1DED" w:rsidRPr="00045F85">
        <w:rPr>
          <w:rFonts w:ascii="Arial" w:hAnsi="Arial" w:cs="Arial"/>
          <w:color w:val="auto"/>
          <w:sz w:val="24"/>
          <w:szCs w:val="24"/>
        </w:rPr>
        <w:t xml:space="preserve">. Similar effect sizes were reported for both radioligands, indicating that </w:t>
      </w:r>
      <w:r w:rsidR="00DC25FF" w:rsidRPr="00045F85">
        <w:rPr>
          <w:rFonts w:ascii="Arial" w:hAnsi="Arial" w:cs="Arial"/>
          <w:color w:val="auto"/>
          <w:sz w:val="24"/>
          <w:szCs w:val="24"/>
        </w:rPr>
        <w:t>[</w:t>
      </w:r>
      <w:r w:rsidR="00BD1DED" w:rsidRPr="00045F85">
        <w:rPr>
          <w:rFonts w:ascii="Arial" w:hAnsi="Arial" w:cs="Arial"/>
          <w:color w:val="auto"/>
          <w:sz w:val="24"/>
          <w:szCs w:val="24"/>
          <w:vertAlign w:val="superscript"/>
        </w:rPr>
        <w:t>18</w:t>
      </w:r>
      <w:r w:rsidR="00BD1DED" w:rsidRPr="00045F85">
        <w:rPr>
          <w:rFonts w:ascii="Arial" w:hAnsi="Arial" w:cs="Arial"/>
          <w:color w:val="auto"/>
          <w:sz w:val="24"/>
          <w:szCs w:val="24"/>
        </w:rPr>
        <w:t>F</w:t>
      </w:r>
      <w:r w:rsidR="00DC25FF" w:rsidRPr="00045F85">
        <w:rPr>
          <w:rFonts w:ascii="Arial" w:hAnsi="Arial" w:cs="Arial"/>
          <w:color w:val="auto"/>
          <w:sz w:val="24"/>
          <w:szCs w:val="24"/>
        </w:rPr>
        <w:t>]</w:t>
      </w:r>
      <w:r w:rsidR="00BD1DED" w:rsidRPr="00045F85">
        <w:rPr>
          <w:rFonts w:ascii="Arial" w:hAnsi="Arial" w:cs="Arial"/>
          <w:color w:val="auto"/>
          <w:sz w:val="24"/>
          <w:szCs w:val="24"/>
        </w:rPr>
        <w:t xml:space="preserve">FE-PE2I has similar capability to differentiate patients with parkinsonism from controls as </w:t>
      </w:r>
      <w:r w:rsidR="00DC25FF" w:rsidRPr="00045F85">
        <w:rPr>
          <w:rFonts w:ascii="Arial" w:hAnsi="Arial" w:cs="Arial"/>
          <w:color w:val="auto"/>
          <w:sz w:val="24"/>
          <w:szCs w:val="24"/>
        </w:rPr>
        <w:t>[</w:t>
      </w:r>
      <w:r w:rsidR="00BD1DED" w:rsidRPr="00045F85">
        <w:rPr>
          <w:rFonts w:ascii="Arial" w:hAnsi="Arial" w:cs="Arial"/>
          <w:color w:val="auto"/>
          <w:sz w:val="24"/>
          <w:szCs w:val="24"/>
          <w:vertAlign w:val="superscript"/>
        </w:rPr>
        <w:t>123</w:t>
      </w:r>
      <w:r w:rsidR="00BD1DED" w:rsidRPr="00045F85">
        <w:rPr>
          <w:rFonts w:ascii="Arial" w:hAnsi="Arial" w:cs="Arial"/>
          <w:color w:val="auto"/>
          <w:sz w:val="24"/>
          <w:szCs w:val="24"/>
        </w:rPr>
        <w:t>I</w:t>
      </w:r>
      <w:r w:rsidR="00DC25FF" w:rsidRPr="00045F85">
        <w:rPr>
          <w:rFonts w:ascii="Arial" w:hAnsi="Arial" w:cs="Arial"/>
          <w:color w:val="auto"/>
          <w:sz w:val="24"/>
          <w:szCs w:val="24"/>
        </w:rPr>
        <w:t>]</w:t>
      </w:r>
      <w:r w:rsidR="00BD1DED" w:rsidRPr="00045F85">
        <w:rPr>
          <w:rFonts w:ascii="Arial" w:hAnsi="Arial" w:cs="Arial"/>
          <w:color w:val="auto"/>
          <w:sz w:val="24"/>
          <w:szCs w:val="24"/>
        </w:rPr>
        <w:t xml:space="preserve">FP-CIT </w:t>
      </w:r>
      <w:r w:rsidR="007A7FA8" w:rsidRPr="00045F85">
        <w:rPr>
          <w:rFonts w:ascii="Arial" w:hAnsi="Arial" w:cs="Arial"/>
          <w:color w:val="auto"/>
          <w:sz w:val="24"/>
          <w:szCs w:val="24"/>
        </w:rPr>
        <w:t>[149]</w:t>
      </w:r>
      <w:r w:rsidR="00BD1DED" w:rsidRPr="00045F85">
        <w:rPr>
          <w:rFonts w:ascii="Arial" w:hAnsi="Arial" w:cs="Arial"/>
          <w:color w:val="auto"/>
          <w:sz w:val="24"/>
          <w:szCs w:val="24"/>
        </w:rPr>
        <w:t>.</w:t>
      </w:r>
      <w:r w:rsidR="00F11253" w:rsidRPr="00045F85" w:rsidDel="00F11253">
        <w:rPr>
          <w:rFonts w:ascii="Arial" w:hAnsi="Arial" w:cs="Arial"/>
          <w:color w:val="auto"/>
          <w:sz w:val="24"/>
          <w:szCs w:val="24"/>
        </w:rPr>
        <w:t xml:space="preserve"> </w:t>
      </w:r>
    </w:p>
    <w:p w14:paraId="2C82988D" w14:textId="0CFC09C2" w:rsidR="00F82005" w:rsidRPr="00045F85" w:rsidRDefault="00FF3FCA" w:rsidP="00FF3FCA">
      <w:pPr>
        <w:pStyle w:val="Body"/>
        <w:rPr>
          <w:rFonts w:ascii="Arial" w:hAnsi="Arial" w:cs="Arial"/>
          <w:color w:val="auto"/>
          <w:sz w:val="24"/>
          <w:szCs w:val="24"/>
        </w:rPr>
      </w:pPr>
      <w:r w:rsidRPr="00045F85">
        <w:rPr>
          <w:rFonts w:ascii="Arial" w:hAnsi="Arial" w:cs="Arial"/>
          <w:color w:val="auto"/>
          <w:sz w:val="24"/>
          <w:szCs w:val="24"/>
        </w:rPr>
        <w:t xml:space="preserve"> </w:t>
      </w:r>
      <w:r w:rsidR="00F82005" w:rsidRPr="00045F85">
        <w:rPr>
          <w:rFonts w:ascii="Arial" w:hAnsi="Arial" w:cs="Arial"/>
          <w:color w:val="auto"/>
          <w:sz w:val="24"/>
          <w:szCs w:val="24"/>
        </w:rPr>
        <w:t xml:space="preserve">Further studies (and probably long term follow up) will be needed to assess if patients with uncertain borderline </w:t>
      </w:r>
      <w:r w:rsidR="00DC25FF" w:rsidRPr="00045F85">
        <w:rPr>
          <w:rFonts w:ascii="Arial" w:hAnsi="Arial" w:cs="Arial"/>
          <w:color w:val="auto"/>
          <w:sz w:val="24"/>
          <w:szCs w:val="24"/>
        </w:rPr>
        <w:t>[</w:t>
      </w:r>
      <w:r w:rsidR="00F82005" w:rsidRPr="00045F85">
        <w:rPr>
          <w:rFonts w:ascii="Arial" w:hAnsi="Arial" w:cs="Arial"/>
          <w:color w:val="auto"/>
          <w:sz w:val="24"/>
          <w:szCs w:val="24"/>
          <w:vertAlign w:val="superscript"/>
        </w:rPr>
        <w:t>18</w:t>
      </w:r>
      <w:r w:rsidR="00F82005" w:rsidRPr="00045F85">
        <w:rPr>
          <w:rFonts w:ascii="Arial" w:hAnsi="Arial" w:cs="Arial"/>
          <w:color w:val="auto"/>
          <w:sz w:val="24"/>
          <w:szCs w:val="24"/>
        </w:rPr>
        <w:t>F</w:t>
      </w:r>
      <w:r w:rsidR="00DC25FF" w:rsidRPr="00045F85">
        <w:rPr>
          <w:rFonts w:ascii="Arial" w:hAnsi="Arial" w:cs="Arial"/>
          <w:color w:val="auto"/>
          <w:sz w:val="24"/>
          <w:szCs w:val="24"/>
        </w:rPr>
        <w:t>]</w:t>
      </w:r>
      <w:r w:rsidR="00F82005" w:rsidRPr="00045F85">
        <w:rPr>
          <w:rFonts w:ascii="Arial" w:hAnsi="Arial" w:cs="Arial"/>
          <w:color w:val="auto"/>
          <w:sz w:val="24"/>
          <w:szCs w:val="24"/>
        </w:rPr>
        <w:t>FE-PE2I  PET that cannot be explained by structural change/lesions can be better separated based on high or low uptake in the substantia nigra.</w:t>
      </w:r>
    </w:p>
    <w:p w14:paraId="592EDCCB" w14:textId="79889182" w:rsidR="00653135" w:rsidRPr="00045F85" w:rsidRDefault="00FF3FCA" w:rsidP="00653135">
      <w:pPr>
        <w:pStyle w:val="Body"/>
        <w:rPr>
          <w:rFonts w:ascii="Arial" w:hAnsi="Arial" w:cs="Arial"/>
          <w:color w:val="auto"/>
          <w:sz w:val="24"/>
          <w:szCs w:val="24"/>
        </w:rPr>
      </w:pPr>
      <w:r w:rsidRPr="00045F85">
        <w:rPr>
          <w:rFonts w:ascii="Arial" w:hAnsi="Arial" w:cs="Arial"/>
          <w:color w:val="auto"/>
          <w:sz w:val="24"/>
          <w:szCs w:val="24"/>
        </w:rPr>
        <w:t xml:space="preserve">The primary clinical benefits compared to DAT SPECT </w:t>
      </w:r>
      <w:r w:rsidR="002578E0" w:rsidRPr="00045F85">
        <w:rPr>
          <w:rFonts w:ascii="Arial" w:hAnsi="Arial" w:cs="Arial"/>
          <w:color w:val="auto"/>
          <w:sz w:val="24"/>
          <w:szCs w:val="24"/>
        </w:rPr>
        <w:t>include the improved resolution of PET, an improved clinical workflow, patient and caregiver convenience as a thyroid-blocking agent is not required, and shorter injection-to-scan and acquisition times.</w:t>
      </w:r>
    </w:p>
    <w:p w14:paraId="193DF910" w14:textId="77777777" w:rsidR="002578E0" w:rsidRPr="00045F85" w:rsidRDefault="002578E0" w:rsidP="00653135">
      <w:pPr>
        <w:pStyle w:val="Body"/>
        <w:rPr>
          <w:rFonts w:ascii="Arial" w:hAnsi="Arial" w:cs="Arial"/>
          <w:color w:val="auto"/>
          <w:sz w:val="24"/>
          <w:szCs w:val="24"/>
        </w:rPr>
      </w:pPr>
    </w:p>
    <w:p w14:paraId="48E9CD4A" w14:textId="77777777" w:rsidR="00F11253" w:rsidRPr="00045F85" w:rsidRDefault="00F11253" w:rsidP="00F11253">
      <w:pPr>
        <w:pStyle w:val="Body"/>
        <w:rPr>
          <w:rFonts w:ascii="Arial" w:hAnsi="Arial" w:cs="Arial"/>
          <w:color w:val="auto"/>
          <w:sz w:val="24"/>
          <w:szCs w:val="24"/>
        </w:rPr>
      </w:pPr>
      <w:r w:rsidRPr="00045F85">
        <w:rPr>
          <w:rFonts w:ascii="Arial" w:hAnsi="Arial" w:cs="Arial"/>
          <w:color w:val="auto"/>
          <w:sz w:val="24"/>
          <w:szCs w:val="24"/>
        </w:rPr>
        <w:t>Radiopharmaceutical´s characteristics</w:t>
      </w:r>
    </w:p>
    <w:p w14:paraId="4C757004" w14:textId="77777777" w:rsidR="00F11253" w:rsidRPr="00045F85" w:rsidRDefault="00F11253" w:rsidP="00C97AB2">
      <w:pPr>
        <w:pStyle w:val="Listenabsatz"/>
        <w:numPr>
          <w:ilvl w:val="0"/>
          <w:numId w:val="6"/>
        </w:numPr>
        <w:rPr>
          <w:color w:val="auto"/>
        </w:rPr>
      </w:pPr>
      <w:r w:rsidRPr="00045F85">
        <w:rPr>
          <w:color w:val="auto"/>
        </w:rPr>
        <w:t xml:space="preserve">Administered activity to adults: 100–250 MBq (typically 200 MBq) </w:t>
      </w:r>
    </w:p>
    <w:p w14:paraId="3A33E2F2" w14:textId="77777777" w:rsidR="00F11253" w:rsidRPr="00045F85" w:rsidRDefault="00F11253" w:rsidP="00C97AB2">
      <w:pPr>
        <w:pStyle w:val="Listenabsatz"/>
        <w:numPr>
          <w:ilvl w:val="0"/>
          <w:numId w:val="6"/>
        </w:numPr>
        <w:rPr>
          <w:color w:val="auto"/>
        </w:rPr>
      </w:pPr>
      <w:r w:rsidRPr="00045F85">
        <w:rPr>
          <w:color w:val="auto"/>
        </w:rPr>
        <w:t xml:space="preserve">PET data acquisition: </w:t>
      </w:r>
    </w:p>
    <w:p w14:paraId="7396253E" w14:textId="658F57F1" w:rsidR="00F11253" w:rsidRPr="00045F85" w:rsidRDefault="00F11253" w:rsidP="00AA36B5">
      <w:pPr>
        <w:pStyle w:val="Listenabsatz"/>
        <w:numPr>
          <w:ilvl w:val="0"/>
          <w:numId w:val="0"/>
        </w:numPr>
        <w:ind w:left="720"/>
        <w:rPr>
          <w:color w:val="auto"/>
        </w:rPr>
      </w:pPr>
      <w:r w:rsidRPr="00045F85">
        <w:rPr>
          <w:color w:val="auto"/>
        </w:rPr>
        <w:t>Suggested dynamic acquisition for estimation of binding potential (</w:t>
      </w:r>
      <w:r w:rsidRPr="00045F85">
        <w:rPr>
          <w:i/>
          <w:color w:val="auto"/>
        </w:rPr>
        <w:t>BP</w:t>
      </w:r>
      <w:r w:rsidRPr="00045F85">
        <w:rPr>
          <w:color w:val="auto"/>
          <w:vertAlign w:val="subscript"/>
        </w:rPr>
        <w:t>ND</w:t>
      </w:r>
      <w:r w:rsidR="0036369A" w:rsidRPr="00045F85">
        <w:rPr>
          <w:color w:val="auto"/>
        </w:rPr>
        <w:t>): duration, 60 min</w:t>
      </w:r>
    </w:p>
    <w:p w14:paraId="451F9828" w14:textId="472DB455" w:rsidR="00F11253" w:rsidRPr="00045F85" w:rsidRDefault="00F11253" w:rsidP="00AA36B5">
      <w:pPr>
        <w:pStyle w:val="Listenabsatz"/>
        <w:numPr>
          <w:ilvl w:val="0"/>
          <w:numId w:val="0"/>
        </w:numPr>
        <w:ind w:left="720"/>
        <w:rPr>
          <w:color w:val="auto"/>
        </w:rPr>
      </w:pPr>
      <w:r w:rsidRPr="00045F85">
        <w:rPr>
          <w:color w:val="auto"/>
        </w:rPr>
        <w:t>Suggested static acquisitions</w:t>
      </w:r>
      <w:r w:rsidR="00252D1D" w:rsidRPr="00045F85">
        <w:rPr>
          <w:color w:val="auto"/>
        </w:rPr>
        <w:t>: f</w:t>
      </w:r>
      <w:r w:rsidRPr="00045F85">
        <w:rPr>
          <w:color w:val="auto"/>
        </w:rPr>
        <w:t>or best simplified estimation of specific binding ratios: 25 min from 17 to 42 min.</w:t>
      </w:r>
      <w:r w:rsidR="00252D1D" w:rsidRPr="00045F85">
        <w:rPr>
          <w:color w:val="auto"/>
        </w:rPr>
        <w:t xml:space="preserve">; </w:t>
      </w:r>
      <w:r w:rsidRPr="00045F85">
        <w:rPr>
          <w:color w:val="auto"/>
        </w:rPr>
        <w:t>For routine clinical use: 10 min from 30 to 40 min</w:t>
      </w:r>
    </w:p>
    <w:p w14:paraId="681D1829" w14:textId="77777777" w:rsidR="00F11253" w:rsidRPr="00045F85" w:rsidRDefault="00F11253" w:rsidP="00C97AB2">
      <w:pPr>
        <w:pStyle w:val="Listenabsatz"/>
        <w:numPr>
          <w:ilvl w:val="0"/>
          <w:numId w:val="6"/>
        </w:numPr>
        <w:rPr>
          <w:color w:val="auto"/>
        </w:rPr>
      </w:pPr>
      <w:r w:rsidRPr="00045F85">
        <w:rPr>
          <w:color w:val="auto"/>
        </w:rPr>
        <w:t>Image processing:</w:t>
      </w:r>
    </w:p>
    <w:p w14:paraId="538AC2A6" w14:textId="77777777" w:rsidR="00AA36B5" w:rsidRPr="00045F85" w:rsidRDefault="00F11253" w:rsidP="00AA36B5">
      <w:pPr>
        <w:ind w:left="360"/>
      </w:pPr>
      <w:r w:rsidRPr="00045F85">
        <w:t>Measured or CT attenuation correction</w:t>
      </w:r>
    </w:p>
    <w:p w14:paraId="265C63A2" w14:textId="506B7342" w:rsidR="00F11253" w:rsidRPr="00045F85" w:rsidRDefault="00AB434C" w:rsidP="00AA36B5">
      <w:pPr>
        <w:ind w:left="360"/>
      </w:pPr>
      <w:r w:rsidRPr="00045F85">
        <w:t xml:space="preserve">OSEM reconstruction- Resolution/PSF modelling not </w:t>
      </w:r>
      <w:r w:rsidR="00805C8F" w:rsidRPr="00045F85">
        <w:t>needed</w:t>
      </w:r>
      <w:r w:rsidRPr="00045F85">
        <w:t xml:space="preserve"> for routine clinical use</w:t>
      </w:r>
      <w:r w:rsidR="00AA36B5" w:rsidRPr="00045F85">
        <w:t xml:space="preserve">. </w:t>
      </w:r>
      <w:r w:rsidR="00F11253" w:rsidRPr="00045F85">
        <w:t>Final image resolution: 5-8 mm</w:t>
      </w:r>
    </w:p>
    <w:p w14:paraId="41670F39" w14:textId="77777777" w:rsidR="00F11253" w:rsidRPr="00045F85" w:rsidRDefault="00F11253" w:rsidP="00C97AB2">
      <w:pPr>
        <w:pStyle w:val="Listenabsatz"/>
        <w:numPr>
          <w:ilvl w:val="0"/>
          <w:numId w:val="6"/>
        </w:numPr>
        <w:rPr>
          <w:color w:val="auto"/>
          <w:lang w:val="da-DK"/>
        </w:rPr>
      </w:pPr>
      <w:r w:rsidRPr="00045F85">
        <w:rPr>
          <w:color w:val="auto"/>
          <w:lang w:val="da-DK"/>
        </w:rPr>
        <w:t>Quantification</w:t>
      </w:r>
    </w:p>
    <w:p w14:paraId="29BFE197" w14:textId="31348004" w:rsidR="00F11253" w:rsidRPr="00045F85" w:rsidRDefault="00F11253" w:rsidP="00AA36B5">
      <w:pPr>
        <w:ind w:left="360"/>
      </w:pPr>
      <w:r w:rsidRPr="00045F85">
        <w:t>Binding potential (</w:t>
      </w:r>
      <w:r w:rsidRPr="00045F85">
        <w:rPr>
          <w:i/>
        </w:rPr>
        <w:t>BP</w:t>
      </w:r>
      <w:r w:rsidRPr="00045F85">
        <w:rPr>
          <w:vertAlign w:val="subscript"/>
        </w:rPr>
        <w:t>ND</w:t>
      </w:r>
      <w:r w:rsidRPr="00045F85">
        <w:t xml:space="preserve">) estimated with simplified reference tissue method or Logan graphical analysis using cerebellum as reference region </w:t>
      </w:r>
      <w:r w:rsidRPr="00045F85">
        <w:rPr>
          <w:lang w:val="da-DK"/>
        </w:rPr>
        <w:fldChar w:fldCharType="begin">
          <w:fldData xml:space="preserve">PEVuZE5vdGU+PENpdGU+PEF1dGhvcj5GYXppbzwvQXV0aG9yPjxZZWFyPjIwMTU8L1llYXI+PFJl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</w:fldData>
        </w:fldChar>
      </w:r>
      <w:r w:rsidRPr="00045F85">
        <w:instrText xml:space="preserve"> ADDIN EN.CITE </w:instrText>
      </w:r>
      <w:r w:rsidRPr="00045F85">
        <w:rPr>
          <w:lang w:val="da-DK"/>
        </w:rPr>
        <w:fldChar w:fldCharType="begin">
          <w:fldData xml:space="preserve">PEVuZE5vdGU+PENpdGU+PEF1dGhvcj5GYXppbzwvQXV0aG9yPjxZZWFyPjIwMTU8L1llYXI+PFJl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</w:fldData>
        </w:fldChar>
      </w:r>
      <w:r w:rsidRPr="00045F85">
        <w:instrText xml:space="preserve"> ADDIN EN.CITE.DATA </w:instrText>
      </w:r>
      <w:r w:rsidRPr="00045F85">
        <w:rPr>
          <w:lang w:val="da-DK"/>
        </w:rPr>
      </w:r>
      <w:r w:rsidRPr="00045F85">
        <w:rPr>
          <w:lang w:val="da-DK"/>
        </w:rPr>
        <w:fldChar w:fldCharType="end"/>
      </w:r>
      <w:r w:rsidRPr="00045F85">
        <w:rPr>
          <w:lang w:val="da-DK"/>
        </w:rPr>
      </w:r>
      <w:r w:rsidRPr="00045F85">
        <w:rPr>
          <w:lang w:val="da-DK"/>
        </w:rPr>
        <w:fldChar w:fldCharType="separate"/>
      </w:r>
      <w:r w:rsidR="00C4196D" w:rsidRPr="00045F85">
        <w:rPr>
          <w:noProof/>
        </w:rPr>
        <w:t>[144</w:t>
      </w:r>
      <w:r w:rsidRPr="00045F85">
        <w:rPr>
          <w:noProof/>
        </w:rPr>
        <w:t>]</w:t>
      </w:r>
      <w:r w:rsidRPr="00045F85">
        <w:rPr>
          <w:lang w:val="da-DK"/>
        </w:rPr>
        <w:fldChar w:fldCharType="end"/>
      </w:r>
      <w:r w:rsidRPr="00045F85">
        <w:t>.</w:t>
      </w:r>
    </w:p>
    <w:p w14:paraId="413E1634" w14:textId="77777777" w:rsidR="00F11253" w:rsidRPr="00045F85" w:rsidRDefault="00F11253" w:rsidP="00C97AB2">
      <w:pPr>
        <w:pStyle w:val="Listenabsatz"/>
        <w:numPr>
          <w:ilvl w:val="0"/>
          <w:numId w:val="6"/>
        </w:numPr>
        <w:rPr>
          <w:color w:val="auto"/>
          <w:lang w:val="da-DK"/>
        </w:rPr>
      </w:pPr>
      <w:r w:rsidRPr="00045F85">
        <w:rPr>
          <w:color w:val="auto"/>
          <w:lang w:val="da-DK"/>
        </w:rPr>
        <w:t>Semiquantification</w:t>
      </w:r>
    </w:p>
    <w:p w14:paraId="58F05727" w14:textId="446925F5" w:rsidR="00F11253" w:rsidRPr="00045F85" w:rsidRDefault="00F11253" w:rsidP="00AA36B5">
      <w:pPr>
        <w:ind w:left="360"/>
      </w:pPr>
      <w:r w:rsidRPr="00045F85">
        <w:t xml:space="preserve">SBR calculated with cerebellar grey matter as reference. Target metrics: </w:t>
      </w:r>
      <w:r w:rsidRPr="00045F85">
        <w:rPr>
          <w:lang w:val="sv-SE"/>
        </w:rPr>
        <w:t>SBR Caudate, SBR Putamen, SBR Striatum</w:t>
      </w:r>
      <w:r w:rsidR="00FF7AF9" w:rsidRPr="00045F85">
        <w:rPr>
          <w:lang w:val="sv-SE"/>
        </w:rPr>
        <w:t xml:space="preserve">; </w:t>
      </w:r>
      <w:r w:rsidRPr="00045F85">
        <w:t>Putamen/Caudate ratio</w:t>
      </w:r>
      <w:r w:rsidR="00FF7AF9" w:rsidRPr="00045F85">
        <w:t xml:space="preserve">; </w:t>
      </w:r>
      <w:r w:rsidRPr="00045F85">
        <w:t>Hemisphere asymmetry index = (R−L)/(R+L)</w:t>
      </w:r>
    </w:p>
    <w:p w14:paraId="7348A447" w14:textId="77777777" w:rsidR="00334EE4" w:rsidRPr="00045F85" w:rsidRDefault="00334EE4" w:rsidP="005A6B14">
      <w:pPr>
        <w:rPr>
          <w:rFonts w:cs="Arial"/>
        </w:rPr>
      </w:pPr>
    </w:p>
    <w:p w14:paraId="44D32D81" w14:textId="7B596838" w:rsidR="00334EE4" w:rsidRPr="00045F85" w:rsidRDefault="00AC4F33" w:rsidP="00FF7AF9">
      <w:pPr>
        <w:pStyle w:val="NurText"/>
        <w:rPr>
          <w:rFonts w:ascii="Arial" w:hAnsi="Arial" w:cs="Arial"/>
          <w:b/>
          <w:sz w:val="26"/>
          <w:szCs w:val="26"/>
        </w:rPr>
      </w:pPr>
      <w:r w:rsidRPr="00045F85">
        <w:rPr>
          <w:rFonts w:ascii="Arial" w:hAnsi="Arial" w:cs="Arial"/>
          <w:b/>
          <w:sz w:val="26"/>
          <w:szCs w:val="26"/>
        </w:rPr>
        <w:t>PET imaging of v</w:t>
      </w:r>
      <w:r w:rsidR="00334EE4" w:rsidRPr="00045F85">
        <w:rPr>
          <w:rFonts w:ascii="Arial" w:hAnsi="Arial" w:cs="Arial"/>
          <w:b/>
          <w:sz w:val="26"/>
          <w:szCs w:val="26"/>
        </w:rPr>
        <w:t>esicular monoamine transpo</w:t>
      </w:r>
      <w:r w:rsidR="005B004B" w:rsidRPr="00045F85">
        <w:rPr>
          <w:rFonts w:ascii="Arial" w:hAnsi="Arial" w:cs="Arial"/>
          <w:b/>
          <w:sz w:val="26"/>
          <w:szCs w:val="26"/>
        </w:rPr>
        <w:t xml:space="preserve">rter type-2 (VMAT2) </w:t>
      </w:r>
    </w:p>
    <w:p w14:paraId="7485957C" w14:textId="77777777" w:rsidR="005B004B" w:rsidRPr="00045F85" w:rsidRDefault="005B004B" w:rsidP="005B004B">
      <w:pPr>
        <w:pStyle w:val="NurText"/>
        <w:ind w:left="720"/>
        <w:rPr>
          <w:rFonts w:ascii="Arial" w:hAnsi="Arial" w:cs="Arial"/>
          <w:sz w:val="24"/>
          <w:szCs w:val="24"/>
        </w:rPr>
      </w:pPr>
    </w:p>
    <w:p w14:paraId="43C4BE44" w14:textId="0ADA4034" w:rsidR="00334EE4" w:rsidRPr="00045F85" w:rsidRDefault="00DB0B69" w:rsidP="005B004B">
      <w:pPr>
        <w:pStyle w:val="NurText"/>
        <w:jc w:val="both"/>
        <w:rPr>
          <w:rFonts w:ascii="Arial" w:hAnsi="Arial" w:cs="Arial"/>
          <w:sz w:val="24"/>
          <w:szCs w:val="24"/>
        </w:rPr>
      </w:pPr>
      <w:r w:rsidRPr="00045F85">
        <w:rPr>
          <w:rFonts w:ascii="Arial" w:hAnsi="Arial" w:cs="Arial"/>
          <w:sz w:val="24"/>
          <w:szCs w:val="24"/>
        </w:rPr>
        <w:t>A</w:t>
      </w:r>
      <w:r w:rsidR="00334EE4" w:rsidRPr="00045F85">
        <w:rPr>
          <w:rFonts w:ascii="Arial" w:hAnsi="Arial" w:cs="Arial"/>
          <w:sz w:val="24"/>
          <w:szCs w:val="24"/>
        </w:rPr>
        <w:t xml:space="preserve">fter synthesis, monoaminergic neurotransmitters are concentrated in synaptic vesicles for exocytotic release.  The vesicular monoamine transporter type-2 (VMAT2) is expressed by all monoaminergic </w:t>
      </w:r>
      <w:r w:rsidR="00B82422" w:rsidRPr="00045F85">
        <w:rPr>
          <w:rFonts w:ascii="Arial" w:hAnsi="Arial" w:cs="Arial"/>
          <w:sz w:val="24"/>
          <w:szCs w:val="24"/>
        </w:rPr>
        <w:t>neurons and</w:t>
      </w:r>
      <w:r w:rsidR="00334EE4" w:rsidRPr="00045F85">
        <w:rPr>
          <w:rFonts w:ascii="Arial" w:hAnsi="Arial" w:cs="Arial"/>
          <w:sz w:val="24"/>
          <w:szCs w:val="24"/>
        </w:rPr>
        <w:t xml:space="preserve"> serves to transport transmitter from cytoplasm into vesicles</w:t>
      </w:r>
      <w:r w:rsidR="00C821FC" w:rsidRPr="00045F85">
        <w:rPr>
          <w:rFonts w:ascii="Arial" w:hAnsi="Arial" w:cs="Arial"/>
          <w:sz w:val="24"/>
          <w:szCs w:val="24"/>
        </w:rPr>
        <w:t xml:space="preserve"> [150</w:t>
      </w:r>
      <w:r w:rsidR="00A61079" w:rsidRPr="00045F85">
        <w:rPr>
          <w:rFonts w:ascii="Arial" w:hAnsi="Arial" w:cs="Arial"/>
          <w:sz w:val="24"/>
          <w:szCs w:val="24"/>
        </w:rPr>
        <w:t>]</w:t>
      </w:r>
      <w:r w:rsidR="00334EE4" w:rsidRPr="00045F85">
        <w:rPr>
          <w:rFonts w:ascii="Arial" w:hAnsi="Arial" w:cs="Arial"/>
          <w:sz w:val="24"/>
          <w:szCs w:val="24"/>
        </w:rPr>
        <w:t xml:space="preserve">.  In the CNS, VMAT2 is expressed exclusively by monoaminergic (dopaminergic, serotonergic, </w:t>
      </w:r>
      <w:r w:rsidR="00334EE4" w:rsidRPr="00045F85">
        <w:rPr>
          <w:rFonts w:ascii="Arial" w:hAnsi="Arial" w:cs="Arial"/>
          <w:sz w:val="24"/>
          <w:szCs w:val="24"/>
        </w:rPr>
        <w:lastRenderedPageBreak/>
        <w:t>norepinephrinergic, or histaminergic) neurons</w:t>
      </w:r>
      <w:r w:rsidR="00C821FC" w:rsidRPr="00045F85">
        <w:rPr>
          <w:rFonts w:ascii="Arial" w:hAnsi="Arial" w:cs="Arial"/>
          <w:sz w:val="24"/>
          <w:szCs w:val="24"/>
        </w:rPr>
        <w:t xml:space="preserve"> [151</w:t>
      </w:r>
      <w:r w:rsidR="00A61079" w:rsidRPr="00045F85">
        <w:rPr>
          <w:rFonts w:ascii="Arial" w:hAnsi="Arial" w:cs="Arial"/>
          <w:sz w:val="24"/>
          <w:szCs w:val="24"/>
        </w:rPr>
        <w:t>]</w:t>
      </w:r>
      <w:r w:rsidR="00334EE4" w:rsidRPr="00045F85">
        <w:rPr>
          <w:rFonts w:ascii="Arial" w:hAnsi="Arial" w:cs="Arial"/>
          <w:sz w:val="24"/>
          <w:szCs w:val="24"/>
        </w:rPr>
        <w:t>, albeit it is also expressed in pancreatic beta cells and several monoaminergic neurons of the human enteric nervous system</w:t>
      </w:r>
      <w:r w:rsidR="00777F2D" w:rsidRPr="00045F85">
        <w:rPr>
          <w:rFonts w:ascii="Arial" w:hAnsi="Arial" w:cs="Arial"/>
          <w:sz w:val="24"/>
          <w:szCs w:val="24"/>
        </w:rPr>
        <w:t xml:space="preserve"> [152</w:t>
      </w:r>
      <w:r w:rsidR="00703594" w:rsidRPr="00045F85">
        <w:rPr>
          <w:rFonts w:ascii="Arial" w:hAnsi="Arial" w:cs="Arial"/>
          <w:sz w:val="24"/>
          <w:szCs w:val="24"/>
        </w:rPr>
        <w:t>]</w:t>
      </w:r>
      <w:r w:rsidR="00334EE4" w:rsidRPr="00045F85">
        <w:rPr>
          <w:rFonts w:ascii="Arial" w:hAnsi="Arial" w:cs="Arial"/>
          <w:sz w:val="24"/>
          <w:szCs w:val="24"/>
        </w:rPr>
        <w:t>. Over 95% of striatal VMAT2 binding sites are associated with dopaminergic terminals</w:t>
      </w:r>
      <w:r w:rsidR="00777F2D" w:rsidRPr="00045F85">
        <w:rPr>
          <w:rFonts w:ascii="Arial" w:hAnsi="Arial" w:cs="Arial"/>
          <w:sz w:val="24"/>
          <w:szCs w:val="24"/>
        </w:rPr>
        <w:t xml:space="preserve"> [153</w:t>
      </w:r>
      <w:r w:rsidR="00703594" w:rsidRPr="00045F85">
        <w:rPr>
          <w:rFonts w:ascii="Arial" w:hAnsi="Arial" w:cs="Arial"/>
          <w:sz w:val="24"/>
          <w:szCs w:val="24"/>
        </w:rPr>
        <w:t>]</w:t>
      </w:r>
      <w:r w:rsidR="00334EE4" w:rsidRPr="00045F85">
        <w:rPr>
          <w:rFonts w:ascii="Arial" w:hAnsi="Arial" w:cs="Arial"/>
          <w:sz w:val="24"/>
          <w:szCs w:val="24"/>
        </w:rPr>
        <w:t xml:space="preserve">. </w:t>
      </w:r>
      <w:r w:rsidR="005B004B" w:rsidRPr="00045F85">
        <w:rPr>
          <w:rFonts w:ascii="Arial" w:hAnsi="Arial" w:cs="Arial"/>
          <w:sz w:val="24"/>
          <w:szCs w:val="24"/>
        </w:rPr>
        <w:t xml:space="preserve"> </w:t>
      </w:r>
      <w:r w:rsidR="00334EE4" w:rsidRPr="00045F85">
        <w:rPr>
          <w:rFonts w:ascii="Arial" w:hAnsi="Arial" w:cs="Arial"/>
          <w:sz w:val="24"/>
          <w:szCs w:val="24"/>
        </w:rPr>
        <w:t>In vivo imaging and quantification of VMAT2 has been reported for a series of radioligands based on the vesicle-depleting drug tetrabenazine. The most widely used ligand for research purposes is (+)-[</w:t>
      </w:r>
      <w:r w:rsidR="00334EE4" w:rsidRPr="00045F85">
        <w:rPr>
          <w:rFonts w:ascii="Arial" w:hAnsi="Arial" w:cs="Arial"/>
          <w:sz w:val="24"/>
          <w:szCs w:val="24"/>
          <w:vertAlign w:val="superscript"/>
        </w:rPr>
        <w:t>11</w:t>
      </w:r>
      <w:r w:rsidR="00334EE4" w:rsidRPr="00045F85">
        <w:rPr>
          <w:rFonts w:ascii="Arial" w:hAnsi="Arial" w:cs="Arial"/>
          <w:sz w:val="24"/>
          <w:szCs w:val="24"/>
        </w:rPr>
        <w:t>C]dihydrotetrabenazine (</w:t>
      </w:r>
      <w:r w:rsidR="00B82422" w:rsidRPr="00045F85">
        <w:rPr>
          <w:rFonts w:ascii="Arial" w:hAnsi="Arial" w:cs="Arial"/>
          <w:sz w:val="24"/>
          <w:szCs w:val="24"/>
        </w:rPr>
        <w:t>[</w:t>
      </w:r>
      <w:r w:rsidR="00B82422" w:rsidRPr="00045F85">
        <w:rPr>
          <w:rFonts w:ascii="Arial" w:hAnsi="Arial" w:cs="Arial"/>
          <w:sz w:val="24"/>
          <w:szCs w:val="24"/>
          <w:vertAlign w:val="superscript"/>
        </w:rPr>
        <w:t>11</w:t>
      </w:r>
      <w:r w:rsidR="00B82422" w:rsidRPr="00045F85">
        <w:rPr>
          <w:rFonts w:ascii="Arial" w:hAnsi="Arial" w:cs="Arial"/>
          <w:sz w:val="24"/>
          <w:szCs w:val="24"/>
        </w:rPr>
        <w:t>C]</w:t>
      </w:r>
      <w:r w:rsidR="00334EE4" w:rsidRPr="00045F85">
        <w:rPr>
          <w:rFonts w:ascii="Arial" w:hAnsi="Arial" w:cs="Arial"/>
          <w:sz w:val="24"/>
          <w:szCs w:val="24"/>
        </w:rPr>
        <w:t>DTBZ), which binds specifically and reversibly to VMAT2 and is amenable to quantification of striatal, diencephalic and brainste</w:t>
      </w:r>
      <w:r w:rsidR="00703594" w:rsidRPr="00045F85">
        <w:rPr>
          <w:rFonts w:ascii="Arial" w:hAnsi="Arial" w:cs="Arial"/>
          <w:sz w:val="24"/>
          <w:szCs w:val="24"/>
        </w:rPr>
        <w:t>m neu</w:t>
      </w:r>
      <w:r w:rsidR="00777F2D" w:rsidRPr="00045F85">
        <w:rPr>
          <w:rFonts w:ascii="Arial" w:hAnsi="Arial" w:cs="Arial"/>
          <w:sz w:val="24"/>
          <w:szCs w:val="24"/>
        </w:rPr>
        <w:t>rons and terminals with PET [154, 155</w:t>
      </w:r>
      <w:r w:rsidR="00703594" w:rsidRPr="00045F85">
        <w:rPr>
          <w:rFonts w:ascii="Arial" w:hAnsi="Arial" w:cs="Arial"/>
          <w:sz w:val="24"/>
          <w:szCs w:val="24"/>
        </w:rPr>
        <w:t>]</w:t>
      </w:r>
      <w:r w:rsidR="00334EE4" w:rsidRPr="00045F85">
        <w:rPr>
          <w:rFonts w:ascii="Arial" w:hAnsi="Arial" w:cs="Arial"/>
          <w:sz w:val="24"/>
          <w:szCs w:val="24"/>
        </w:rPr>
        <w:t xml:space="preserve">. As only the (+)-enantiomer binds specifically to VMAT2, use of the racemic tracer reduces specificity with ensuing lower </w:t>
      </w:r>
      <w:r w:rsidR="00631062" w:rsidRPr="00045F85">
        <w:rPr>
          <w:rFonts w:ascii="Arial" w:hAnsi="Arial" w:cs="Arial"/>
          <w:sz w:val="24"/>
          <w:szCs w:val="24"/>
        </w:rPr>
        <w:t xml:space="preserve">image contrast. </w:t>
      </w:r>
      <w:r w:rsidR="00334EE4" w:rsidRPr="00045F85">
        <w:rPr>
          <w:rFonts w:ascii="Arial" w:hAnsi="Arial" w:cs="Arial"/>
          <w:sz w:val="24"/>
          <w:szCs w:val="24"/>
        </w:rPr>
        <w:t>Despite the successful application of (+)-[</w:t>
      </w:r>
      <w:r w:rsidR="00334EE4" w:rsidRPr="00045F85">
        <w:rPr>
          <w:rFonts w:ascii="Arial" w:hAnsi="Arial" w:cs="Arial"/>
          <w:sz w:val="24"/>
          <w:szCs w:val="24"/>
          <w:vertAlign w:val="superscript"/>
        </w:rPr>
        <w:t>11</w:t>
      </w:r>
      <w:r w:rsidR="00334EE4" w:rsidRPr="00045F85">
        <w:rPr>
          <w:rFonts w:ascii="Arial" w:hAnsi="Arial" w:cs="Arial"/>
          <w:sz w:val="24"/>
          <w:szCs w:val="24"/>
        </w:rPr>
        <w:t>C]DTBZ for human studies, clinical utilization will likely require radioligands with longer half-</w:t>
      </w:r>
      <w:r w:rsidR="00856055" w:rsidRPr="00045F85">
        <w:rPr>
          <w:rFonts w:ascii="Arial" w:hAnsi="Arial" w:cs="Arial"/>
          <w:sz w:val="24"/>
          <w:szCs w:val="24"/>
        </w:rPr>
        <w:t>lives</w:t>
      </w:r>
      <w:r w:rsidR="00334EE4" w:rsidRPr="00045F85">
        <w:rPr>
          <w:rFonts w:ascii="Arial" w:hAnsi="Arial" w:cs="Arial"/>
          <w:sz w:val="24"/>
          <w:szCs w:val="24"/>
        </w:rPr>
        <w:t>. Fortunately, development of fluorine-18-labeled VMAT2 radioligands such as (+)-[</w:t>
      </w:r>
      <w:r w:rsidR="00334EE4" w:rsidRPr="00045F85">
        <w:rPr>
          <w:rFonts w:ascii="Arial" w:hAnsi="Arial" w:cs="Arial"/>
          <w:sz w:val="24"/>
          <w:szCs w:val="24"/>
          <w:vertAlign w:val="superscript"/>
        </w:rPr>
        <w:t>18</w:t>
      </w:r>
      <w:r w:rsidR="00334EE4" w:rsidRPr="00045F85">
        <w:rPr>
          <w:rFonts w:ascii="Arial" w:hAnsi="Arial" w:cs="Arial"/>
          <w:sz w:val="24"/>
          <w:szCs w:val="24"/>
        </w:rPr>
        <w:t>F]FP-DTBZ ((+)-α-9-O-(3-[</w:t>
      </w:r>
      <w:r w:rsidR="00334EE4" w:rsidRPr="00045F85">
        <w:rPr>
          <w:rFonts w:ascii="Arial" w:hAnsi="Arial" w:cs="Arial"/>
          <w:sz w:val="24"/>
          <w:szCs w:val="24"/>
          <w:vertAlign w:val="superscript"/>
        </w:rPr>
        <w:t>18</w:t>
      </w:r>
      <w:r w:rsidR="00334EE4" w:rsidRPr="00045F85">
        <w:rPr>
          <w:rFonts w:ascii="Arial" w:hAnsi="Arial" w:cs="Arial"/>
          <w:sz w:val="24"/>
          <w:szCs w:val="24"/>
        </w:rPr>
        <w:t>F]fluoropr</w:t>
      </w:r>
      <w:r w:rsidR="009D5E6C" w:rsidRPr="00045F85">
        <w:rPr>
          <w:rFonts w:ascii="Arial" w:hAnsi="Arial" w:cs="Arial"/>
          <w:sz w:val="24"/>
          <w:szCs w:val="24"/>
        </w:rPr>
        <w:t>opyl)DTBZ</w:t>
      </w:r>
      <w:r w:rsidR="00334EE4" w:rsidRPr="00045F85">
        <w:rPr>
          <w:rFonts w:ascii="Arial" w:hAnsi="Arial" w:cs="Arial"/>
          <w:sz w:val="24"/>
          <w:szCs w:val="24"/>
        </w:rPr>
        <w:t xml:space="preserve">) provides a </w:t>
      </w:r>
      <w:r w:rsidR="00334EE4" w:rsidRPr="00045F85">
        <w:rPr>
          <w:rFonts w:ascii="Arial" w:hAnsi="Arial" w:cs="Arial"/>
          <w:sz w:val="24"/>
          <w:szCs w:val="24"/>
          <w:vertAlign w:val="superscript"/>
        </w:rPr>
        <w:t>18</w:t>
      </w:r>
      <w:r w:rsidR="00334EE4" w:rsidRPr="00045F85">
        <w:rPr>
          <w:rFonts w:ascii="Arial" w:hAnsi="Arial" w:cs="Arial"/>
          <w:sz w:val="24"/>
          <w:szCs w:val="24"/>
        </w:rPr>
        <w:t xml:space="preserve">F-labeled VMAT2 ligand that will be more suitable for routine use in clinical practice </w:t>
      </w:r>
      <w:r w:rsidR="00F72381" w:rsidRPr="00045F85">
        <w:rPr>
          <w:rFonts w:ascii="Arial" w:hAnsi="Arial" w:cs="Arial"/>
          <w:sz w:val="24"/>
          <w:szCs w:val="24"/>
        </w:rPr>
        <w:t>[156</w:t>
      </w:r>
      <w:r w:rsidR="00703594" w:rsidRPr="00045F85">
        <w:rPr>
          <w:rFonts w:ascii="Arial" w:hAnsi="Arial" w:cs="Arial"/>
          <w:sz w:val="24"/>
          <w:szCs w:val="24"/>
        </w:rPr>
        <w:t>]</w:t>
      </w:r>
      <w:r w:rsidR="00334EE4" w:rsidRPr="00045F85">
        <w:rPr>
          <w:rFonts w:ascii="Arial" w:hAnsi="Arial" w:cs="Arial"/>
          <w:sz w:val="24"/>
          <w:szCs w:val="24"/>
        </w:rPr>
        <w:t>. When compared with (+)-[</w:t>
      </w:r>
      <w:r w:rsidR="00334EE4" w:rsidRPr="00045F85">
        <w:rPr>
          <w:rFonts w:ascii="Arial" w:hAnsi="Arial" w:cs="Arial"/>
          <w:sz w:val="24"/>
          <w:szCs w:val="24"/>
          <w:vertAlign w:val="superscript"/>
        </w:rPr>
        <w:t>11</w:t>
      </w:r>
      <w:r w:rsidR="00334EE4" w:rsidRPr="00045F85">
        <w:rPr>
          <w:rFonts w:ascii="Arial" w:hAnsi="Arial" w:cs="Arial"/>
          <w:sz w:val="24"/>
          <w:szCs w:val="24"/>
        </w:rPr>
        <w:t xml:space="preserve">C]DTBZ, it is not only more favorable due to the longer half-life fluorine-18 labelling, but also has higher affinity for the VMAT2 receptor (Ki=0,3 nM vs 0,1 nM). </w:t>
      </w:r>
    </w:p>
    <w:p w14:paraId="6DC4193B" w14:textId="77777777" w:rsidR="00631062" w:rsidRPr="00045F85" w:rsidRDefault="00631062" w:rsidP="005B004B">
      <w:pPr>
        <w:pStyle w:val="NurText"/>
        <w:jc w:val="both"/>
        <w:rPr>
          <w:rFonts w:ascii="Arial" w:hAnsi="Arial" w:cs="Arial"/>
          <w:sz w:val="24"/>
          <w:szCs w:val="24"/>
        </w:rPr>
      </w:pPr>
    </w:p>
    <w:p w14:paraId="1708E72B" w14:textId="77777777" w:rsidR="00631062" w:rsidRPr="00045F85" w:rsidRDefault="00631062" w:rsidP="005B004B">
      <w:pPr>
        <w:pStyle w:val="NurText"/>
        <w:jc w:val="both"/>
        <w:rPr>
          <w:rFonts w:ascii="Arial" w:hAnsi="Arial" w:cs="Arial"/>
          <w:sz w:val="24"/>
          <w:szCs w:val="24"/>
        </w:rPr>
      </w:pPr>
      <w:r w:rsidRPr="00045F85">
        <w:rPr>
          <w:rFonts w:ascii="Arial" w:hAnsi="Arial" w:cs="Arial"/>
          <w:sz w:val="24"/>
          <w:szCs w:val="24"/>
        </w:rPr>
        <w:t>Radiopharmaceutical´s characteristics</w:t>
      </w:r>
    </w:p>
    <w:p w14:paraId="497A89C8" w14:textId="3C2B6468" w:rsidR="00116F2F" w:rsidRPr="00045F85" w:rsidRDefault="00116F2F" w:rsidP="00116F2F">
      <w:pPr>
        <w:pStyle w:val="NurText"/>
        <w:rPr>
          <w:rFonts w:ascii="Arial" w:hAnsi="Arial" w:cs="Arial"/>
          <w:sz w:val="24"/>
          <w:szCs w:val="24"/>
        </w:rPr>
      </w:pPr>
      <w:r w:rsidRPr="00045F85">
        <w:rPr>
          <w:rFonts w:ascii="Arial" w:hAnsi="Arial" w:cs="Arial"/>
          <w:sz w:val="24"/>
          <w:szCs w:val="24"/>
        </w:rPr>
        <w:t>1.</w:t>
      </w:r>
      <w:r w:rsidR="00805C8F" w:rsidRPr="00045F85">
        <w:rPr>
          <w:rFonts w:ascii="Arial" w:hAnsi="Arial" w:cs="Arial"/>
          <w:sz w:val="24"/>
          <w:szCs w:val="24"/>
        </w:rPr>
        <w:t xml:space="preserve">Administered activity to adults: </w:t>
      </w:r>
      <w:r w:rsidR="002D0C10" w:rsidRPr="00045F85">
        <w:rPr>
          <w:rFonts w:ascii="Arial" w:hAnsi="Arial" w:cs="Arial"/>
          <w:sz w:val="24"/>
          <w:szCs w:val="24"/>
        </w:rPr>
        <w:t>300</w:t>
      </w:r>
      <w:r w:rsidR="00805C8F" w:rsidRPr="00045F85">
        <w:rPr>
          <w:rFonts w:ascii="Arial" w:hAnsi="Arial" w:cs="Arial"/>
          <w:sz w:val="24"/>
          <w:szCs w:val="24"/>
        </w:rPr>
        <w:t>-</w:t>
      </w:r>
      <w:r w:rsidR="002D0C10" w:rsidRPr="00045F85">
        <w:rPr>
          <w:rFonts w:ascii="Arial" w:hAnsi="Arial" w:cs="Arial"/>
          <w:sz w:val="24"/>
          <w:szCs w:val="24"/>
        </w:rPr>
        <w:t>450</w:t>
      </w:r>
      <w:r w:rsidRPr="00045F85">
        <w:rPr>
          <w:rFonts w:ascii="Arial" w:hAnsi="Arial" w:cs="Arial"/>
          <w:sz w:val="24"/>
          <w:szCs w:val="24"/>
        </w:rPr>
        <w:t xml:space="preserve"> MBq.</w:t>
      </w:r>
    </w:p>
    <w:p w14:paraId="18A4A716" w14:textId="77777777" w:rsidR="00116F2F" w:rsidRPr="00045F85" w:rsidRDefault="00116F2F" w:rsidP="00116F2F">
      <w:pPr>
        <w:pStyle w:val="NurText"/>
        <w:rPr>
          <w:rFonts w:ascii="Arial" w:hAnsi="Arial" w:cs="Arial"/>
          <w:sz w:val="24"/>
          <w:szCs w:val="24"/>
        </w:rPr>
      </w:pPr>
      <w:r w:rsidRPr="00045F85">
        <w:rPr>
          <w:rFonts w:ascii="Arial" w:hAnsi="Arial" w:cs="Arial"/>
          <w:sz w:val="24"/>
          <w:szCs w:val="24"/>
        </w:rPr>
        <w:t>2.</w:t>
      </w:r>
      <w:r w:rsidR="00805C8F" w:rsidRPr="00045F85">
        <w:rPr>
          <w:rFonts w:ascii="Arial" w:hAnsi="Arial" w:cs="Arial"/>
          <w:sz w:val="24"/>
          <w:szCs w:val="24"/>
        </w:rPr>
        <w:t xml:space="preserve">Radiation Dosimetry: </w:t>
      </w:r>
    </w:p>
    <w:p w14:paraId="1CA03352" w14:textId="50B4EEC7" w:rsidR="00763353" w:rsidRPr="00045F85" w:rsidRDefault="00763353" w:rsidP="00763353">
      <w:pPr>
        <w:pStyle w:val="NurText"/>
        <w:jc w:val="both"/>
        <w:rPr>
          <w:rFonts w:ascii="Arial" w:hAnsi="Arial" w:cs="Arial"/>
          <w:sz w:val="24"/>
          <w:szCs w:val="24"/>
        </w:rPr>
      </w:pPr>
      <w:r w:rsidRPr="00045F85">
        <w:rPr>
          <w:rFonts w:ascii="Arial" w:hAnsi="Arial" w:cs="Arial"/>
          <w:sz w:val="24"/>
          <w:szCs w:val="24"/>
        </w:rPr>
        <w:t xml:space="preserve">Radioactivity uptake in the brain is the highest at 7.5 ± 0.6% injected dose at 10 min after injection. High absorbed doses were found in pancreas, liver and upper large intestine wall. The highest-dosed organ, which received 153 ± 24 </w:t>
      </w:r>
      <w:r w:rsidRPr="00045F85">
        <w:rPr>
          <w:rFonts w:ascii="Symbol" w:eastAsia="Symbol" w:hAnsi="Symbol" w:cs="Symbol"/>
          <w:sz w:val="24"/>
          <w:szCs w:val="24"/>
        </w:rPr>
        <w:t></w:t>
      </w:r>
      <w:r w:rsidRPr="00045F85">
        <w:rPr>
          <w:rFonts w:ascii="Arial" w:hAnsi="Arial" w:cs="Arial"/>
          <w:sz w:val="24"/>
          <w:szCs w:val="24"/>
        </w:rPr>
        <w:t>Gy/MBq, was the pancreas. The effective dose for (+)-[</w:t>
      </w:r>
      <w:r w:rsidRPr="00045F85">
        <w:rPr>
          <w:rFonts w:ascii="Arial" w:hAnsi="Arial" w:cs="Arial"/>
          <w:sz w:val="24"/>
          <w:szCs w:val="24"/>
          <w:vertAlign w:val="superscript"/>
        </w:rPr>
        <w:t>18</w:t>
      </w:r>
      <w:r w:rsidRPr="00045F85">
        <w:rPr>
          <w:rFonts w:ascii="Arial" w:hAnsi="Arial" w:cs="Arial"/>
          <w:sz w:val="24"/>
          <w:szCs w:val="24"/>
        </w:rPr>
        <w:t xml:space="preserve">F]FP-DTBZ </w:t>
      </w:r>
      <w:r w:rsidR="00D7401A" w:rsidRPr="00045F85">
        <w:rPr>
          <w:rFonts w:ascii="Arial" w:hAnsi="Arial" w:cs="Arial"/>
          <w:sz w:val="24"/>
          <w:szCs w:val="24"/>
        </w:rPr>
        <w:t>was</w:t>
      </w:r>
      <w:r w:rsidRPr="00045F85">
        <w:rPr>
          <w:rFonts w:ascii="Arial" w:hAnsi="Arial" w:cs="Arial"/>
          <w:sz w:val="24"/>
          <w:szCs w:val="24"/>
        </w:rPr>
        <w:t xml:space="preserve"> 28 ± 3 </w:t>
      </w:r>
      <w:r w:rsidRPr="00045F85">
        <w:rPr>
          <w:rFonts w:ascii="Symbol" w:eastAsia="Symbol" w:hAnsi="Symbol" w:cs="Symbol"/>
          <w:sz w:val="24"/>
          <w:szCs w:val="24"/>
        </w:rPr>
        <w:t></w:t>
      </w:r>
      <w:r w:rsidR="00D7401A" w:rsidRPr="00045F85">
        <w:rPr>
          <w:rFonts w:ascii="Arial" w:hAnsi="Arial" w:cs="Arial"/>
          <w:sz w:val="24"/>
          <w:szCs w:val="24"/>
        </w:rPr>
        <w:t>Sv/MBq</w:t>
      </w:r>
      <w:r w:rsidRPr="00045F85">
        <w:rPr>
          <w:rFonts w:ascii="Arial" w:hAnsi="Arial" w:cs="Arial"/>
          <w:sz w:val="24"/>
          <w:szCs w:val="24"/>
        </w:rPr>
        <w:t>. These values are comparable with those reported for other fluorine-18 labeled radiopharmaceuticals [156].</w:t>
      </w:r>
    </w:p>
    <w:p w14:paraId="58E93CFD" w14:textId="77777777" w:rsidR="00805C8F" w:rsidRPr="00045F85" w:rsidRDefault="00631062" w:rsidP="00334EE4">
      <w:pPr>
        <w:pStyle w:val="NurText"/>
        <w:jc w:val="both"/>
        <w:rPr>
          <w:rFonts w:ascii="Arial" w:hAnsi="Arial" w:cs="Arial"/>
          <w:sz w:val="24"/>
          <w:szCs w:val="24"/>
        </w:rPr>
      </w:pPr>
      <w:r w:rsidRPr="00045F85">
        <w:rPr>
          <w:rFonts w:ascii="Arial" w:hAnsi="Arial" w:cs="Arial"/>
          <w:sz w:val="24"/>
          <w:szCs w:val="24"/>
        </w:rPr>
        <w:t>3.</w:t>
      </w:r>
      <w:r w:rsidR="00805C8F" w:rsidRPr="00045F85">
        <w:rPr>
          <w:rFonts w:ascii="Arial" w:hAnsi="Arial" w:cs="Arial"/>
          <w:sz w:val="24"/>
          <w:szCs w:val="24"/>
        </w:rPr>
        <w:t xml:space="preserve"> PET data acquisition:</w:t>
      </w:r>
      <w:r w:rsidR="00334EE4" w:rsidRPr="00045F85">
        <w:rPr>
          <w:rFonts w:ascii="Arial" w:hAnsi="Arial" w:cs="Arial"/>
          <w:sz w:val="24"/>
          <w:szCs w:val="24"/>
        </w:rPr>
        <w:t xml:space="preserve"> </w:t>
      </w:r>
    </w:p>
    <w:p w14:paraId="1E69EFDC" w14:textId="513001CF" w:rsidR="000A3DB1" w:rsidRPr="00045F85" w:rsidRDefault="00805C8F" w:rsidP="000A3DB1">
      <w:pPr>
        <w:pStyle w:val="NurText"/>
        <w:jc w:val="both"/>
        <w:rPr>
          <w:rFonts w:ascii="Arial" w:hAnsi="Arial" w:cs="Arial"/>
          <w:sz w:val="24"/>
          <w:szCs w:val="24"/>
        </w:rPr>
      </w:pPr>
      <w:r w:rsidRPr="00045F85">
        <w:rPr>
          <w:rFonts w:ascii="Arial" w:hAnsi="Arial" w:cs="Arial"/>
          <w:sz w:val="24"/>
          <w:szCs w:val="24"/>
        </w:rPr>
        <w:t>A single 10-min PET s</w:t>
      </w:r>
      <w:r w:rsidR="002578E0" w:rsidRPr="00045F85">
        <w:rPr>
          <w:rFonts w:ascii="Arial" w:hAnsi="Arial" w:cs="Arial"/>
          <w:sz w:val="24"/>
          <w:szCs w:val="24"/>
        </w:rPr>
        <w:t>can can be acquired 90 min post-</w:t>
      </w:r>
      <w:r w:rsidRPr="00045F85">
        <w:rPr>
          <w:rFonts w:ascii="Arial" w:hAnsi="Arial" w:cs="Arial"/>
          <w:sz w:val="24"/>
          <w:szCs w:val="24"/>
        </w:rPr>
        <w:t>injection in 3D mode. S</w:t>
      </w:r>
      <w:r w:rsidR="00334EE4" w:rsidRPr="00045F85">
        <w:rPr>
          <w:rFonts w:ascii="Arial" w:hAnsi="Arial" w:cs="Arial"/>
          <w:sz w:val="24"/>
          <w:szCs w:val="24"/>
        </w:rPr>
        <w:t>canning time of 90-100 min for (+)-[</w:t>
      </w:r>
      <w:r w:rsidR="00334EE4" w:rsidRPr="00045F85">
        <w:rPr>
          <w:rFonts w:ascii="Arial" w:hAnsi="Arial" w:cs="Arial"/>
          <w:sz w:val="24"/>
          <w:szCs w:val="24"/>
          <w:vertAlign w:val="superscript"/>
        </w:rPr>
        <w:t>18</w:t>
      </w:r>
      <w:r w:rsidR="00334EE4" w:rsidRPr="00045F85">
        <w:rPr>
          <w:rFonts w:ascii="Arial" w:hAnsi="Arial" w:cs="Arial"/>
          <w:sz w:val="24"/>
          <w:szCs w:val="24"/>
        </w:rPr>
        <w:t>F]FP-DTBZ is considered as the optimal time window for summed uptake measurements in ter</w:t>
      </w:r>
      <w:r w:rsidR="00125CA0" w:rsidRPr="00045F85">
        <w:rPr>
          <w:rFonts w:ascii="Arial" w:hAnsi="Arial" w:cs="Arial"/>
          <w:sz w:val="24"/>
          <w:szCs w:val="24"/>
        </w:rPr>
        <w:t xml:space="preserve">ms of correlation  of standardized uptake value ratio (SUVRs of striatum to Occipital Cortex) to distribution volume ratios </w:t>
      </w:r>
      <w:r w:rsidR="00763353" w:rsidRPr="00045F85">
        <w:rPr>
          <w:rFonts w:ascii="Arial" w:hAnsi="Arial" w:cs="Arial"/>
          <w:sz w:val="24"/>
          <w:szCs w:val="24"/>
        </w:rPr>
        <w:t xml:space="preserve">(obtained with dynamic acquisition) </w:t>
      </w:r>
      <w:r w:rsidR="00125CA0" w:rsidRPr="00045F85">
        <w:rPr>
          <w:rFonts w:ascii="Arial" w:hAnsi="Arial" w:cs="Arial"/>
          <w:sz w:val="24"/>
          <w:szCs w:val="24"/>
        </w:rPr>
        <w:t xml:space="preserve">as well as in terms of </w:t>
      </w:r>
      <w:r w:rsidR="00334EE4" w:rsidRPr="00045F85">
        <w:rPr>
          <w:rFonts w:ascii="Arial" w:hAnsi="Arial" w:cs="Arial"/>
          <w:sz w:val="24"/>
          <w:szCs w:val="24"/>
        </w:rPr>
        <w:t xml:space="preserve">differential power, stability and clinical feasibility across and between patients with </w:t>
      </w:r>
      <w:r w:rsidR="00C50694" w:rsidRPr="00045F85">
        <w:rPr>
          <w:rFonts w:ascii="Arial" w:hAnsi="Arial" w:cs="Arial"/>
          <w:sz w:val="24"/>
          <w:szCs w:val="24"/>
        </w:rPr>
        <w:t>IPD</w:t>
      </w:r>
      <w:r w:rsidR="00334EE4" w:rsidRPr="00045F85">
        <w:rPr>
          <w:rFonts w:ascii="Arial" w:hAnsi="Arial" w:cs="Arial"/>
          <w:sz w:val="24"/>
          <w:szCs w:val="24"/>
        </w:rPr>
        <w:t xml:space="preserve"> and control subjects </w:t>
      </w:r>
      <w:r w:rsidR="00962E6A" w:rsidRPr="00045F85">
        <w:rPr>
          <w:rFonts w:ascii="Arial" w:hAnsi="Arial" w:cs="Arial"/>
          <w:sz w:val="24"/>
          <w:szCs w:val="24"/>
        </w:rPr>
        <w:t>[157</w:t>
      </w:r>
      <w:r w:rsidR="00703594" w:rsidRPr="00045F85">
        <w:rPr>
          <w:rFonts w:ascii="Arial" w:hAnsi="Arial" w:cs="Arial"/>
          <w:sz w:val="24"/>
          <w:szCs w:val="24"/>
        </w:rPr>
        <w:t>]</w:t>
      </w:r>
      <w:r w:rsidR="000A3DB1" w:rsidRPr="00045F85">
        <w:rPr>
          <w:rFonts w:ascii="Arial" w:hAnsi="Arial" w:cs="Arial"/>
          <w:sz w:val="24"/>
          <w:szCs w:val="24"/>
        </w:rPr>
        <w:t xml:space="preserve">. </w:t>
      </w:r>
    </w:p>
    <w:p w14:paraId="2A97F683" w14:textId="77777777" w:rsidR="000A3DB1" w:rsidRPr="00045F85" w:rsidRDefault="000A3DB1" w:rsidP="000A3DB1">
      <w:pPr>
        <w:pStyle w:val="NurText"/>
        <w:jc w:val="both"/>
        <w:rPr>
          <w:rFonts w:ascii="Arial" w:hAnsi="Arial" w:cs="Arial"/>
          <w:sz w:val="24"/>
          <w:szCs w:val="24"/>
        </w:rPr>
      </w:pPr>
    </w:p>
    <w:p w14:paraId="37D8BA93" w14:textId="1071E3D4" w:rsidR="00805C8F" w:rsidRPr="00045F85" w:rsidRDefault="000A3DB1" w:rsidP="000A3DB1">
      <w:pPr>
        <w:pStyle w:val="NurText"/>
        <w:jc w:val="both"/>
        <w:rPr>
          <w:rFonts w:ascii="Arial" w:hAnsi="Arial" w:cs="Arial"/>
          <w:sz w:val="24"/>
          <w:szCs w:val="24"/>
        </w:rPr>
      </w:pPr>
      <w:r w:rsidRPr="00045F85">
        <w:rPr>
          <w:rFonts w:ascii="Arial" w:hAnsi="Arial" w:cs="Arial"/>
          <w:sz w:val="24"/>
          <w:szCs w:val="24"/>
        </w:rPr>
        <w:t xml:space="preserve">4. </w:t>
      </w:r>
      <w:r w:rsidR="00805C8F" w:rsidRPr="00045F85">
        <w:rPr>
          <w:rFonts w:ascii="Arial" w:hAnsi="Arial" w:cs="Arial"/>
          <w:sz w:val="24"/>
          <w:szCs w:val="24"/>
        </w:rPr>
        <w:t xml:space="preserve">Image Processing: </w:t>
      </w:r>
    </w:p>
    <w:p w14:paraId="220839AE" w14:textId="77777777" w:rsidR="000A3DB1" w:rsidRPr="00045F85" w:rsidRDefault="000A3DB1" w:rsidP="00AA36B5">
      <w:pPr>
        <w:pStyle w:val="Listenabsatz"/>
        <w:numPr>
          <w:ilvl w:val="0"/>
          <w:numId w:val="0"/>
        </w:numPr>
        <w:ind w:left="720"/>
        <w:rPr>
          <w:color w:val="auto"/>
        </w:rPr>
      </w:pPr>
      <w:r w:rsidRPr="00045F85">
        <w:rPr>
          <w:color w:val="auto"/>
        </w:rPr>
        <w:t>Measured or CT attenuation correction</w:t>
      </w:r>
    </w:p>
    <w:p w14:paraId="179DF19E" w14:textId="3FAD4CC9" w:rsidR="00334EE4" w:rsidRPr="00045F85" w:rsidRDefault="00334EE4" w:rsidP="00AA36B5">
      <w:pPr>
        <w:pStyle w:val="Listenabsatz"/>
        <w:numPr>
          <w:ilvl w:val="0"/>
          <w:numId w:val="0"/>
        </w:numPr>
        <w:ind w:left="720"/>
        <w:rPr>
          <w:color w:val="auto"/>
        </w:rPr>
      </w:pPr>
      <w:r w:rsidRPr="00045F85">
        <w:rPr>
          <w:color w:val="auto"/>
        </w:rPr>
        <w:t xml:space="preserve">PET images can be reconstructed using 3D OSEM algorithm </w:t>
      </w:r>
    </w:p>
    <w:p w14:paraId="214B051B" w14:textId="77777777" w:rsidR="00334EE4" w:rsidRPr="00045F85" w:rsidRDefault="00334EE4" w:rsidP="00334EE4">
      <w:pPr>
        <w:pStyle w:val="NurText"/>
        <w:jc w:val="both"/>
        <w:rPr>
          <w:rFonts w:ascii="Arial" w:hAnsi="Arial" w:cs="Arial"/>
          <w:sz w:val="24"/>
          <w:szCs w:val="24"/>
        </w:rPr>
      </w:pPr>
    </w:p>
    <w:p w14:paraId="40684865" w14:textId="77777777" w:rsidR="00116F2F" w:rsidRPr="00045F85" w:rsidRDefault="00234D16" w:rsidP="00334EE4">
      <w:pPr>
        <w:pStyle w:val="NurText"/>
        <w:jc w:val="both"/>
        <w:rPr>
          <w:rFonts w:ascii="Arial" w:hAnsi="Arial" w:cs="Arial"/>
          <w:sz w:val="24"/>
          <w:szCs w:val="24"/>
        </w:rPr>
      </w:pPr>
      <w:r w:rsidRPr="00045F85">
        <w:rPr>
          <w:rFonts w:ascii="Arial" w:hAnsi="Arial" w:cs="Arial"/>
          <w:sz w:val="24"/>
          <w:szCs w:val="24"/>
        </w:rPr>
        <w:t>5.</w:t>
      </w:r>
      <w:r w:rsidR="000A3DB1" w:rsidRPr="00045F85">
        <w:rPr>
          <w:rFonts w:ascii="Arial" w:hAnsi="Arial" w:cs="Arial"/>
          <w:sz w:val="24"/>
          <w:szCs w:val="24"/>
        </w:rPr>
        <w:t xml:space="preserve">Visual assessment: </w:t>
      </w:r>
    </w:p>
    <w:p w14:paraId="560F93F4" w14:textId="17238C62" w:rsidR="00334EE4" w:rsidRPr="00045F85" w:rsidRDefault="00334EE4" w:rsidP="00334EE4">
      <w:pPr>
        <w:pStyle w:val="NurText"/>
        <w:jc w:val="both"/>
        <w:rPr>
          <w:rFonts w:ascii="Arial" w:hAnsi="Arial" w:cs="Arial"/>
          <w:sz w:val="24"/>
          <w:szCs w:val="24"/>
        </w:rPr>
      </w:pPr>
      <w:r w:rsidRPr="00045F85">
        <w:rPr>
          <w:rFonts w:ascii="Arial" w:hAnsi="Arial" w:cs="Arial"/>
          <w:sz w:val="24"/>
          <w:szCs w:val="24"/>
        </w:rPr>
        <w:t>(+)-[</w:t>
      </w:r>
      <w:r w:rsidRPr="00045F85">
        <w:rPr>
          <w:rFonts w:ascii="Arial" w:hAnsi="Arial" w:cs="Arial"/>
          <w:sz w:val="24"/>
          <w:szCs w:val="24"/>
          <w:vertAlign w:val="superscript"/>
        </w:rPr>
        <w:t>18</w:t>
      </w:r>
      <w:r w:rsidRPr="00045F85">
        <w:rPr>
          <w:rFonts w:ascii="Arial" w:hAnsi="Arial" w:cs="Arial"/>
          <w:sz w:val="24"/>
          <w:szCs w:val="24"/>
        </w:rPr>
        <w:t>F]FP-DTBZ binding in normal control subjects shows symmetric and highest uptake of (+)-[</w:t>
      </w:r>
      <w:r w:rsidRPr="00045F85">
        <w:rPr>
          <w:rFonts w:ascii="Arial" w:hAnsi="Arial" w:cs="Arial"/>
          <w:sz w:val="24"/>
          <w:szCs w:val="24"/>
          <w:vertAlign w:val="superscript"/>
        </w:rPr>
        <w:t>18</w:t>
      </w:r>
      <w:r w:rsidRPr="00045F85">
        <w:rPr>
          <w:rFonts w:ascii="Arial" w:hAnsi="Arial" w:cs="Arial"/>
          <w:sz w:val="24"/>
          <w:szCs w:val="24"/>
        </w:rPr>
        <w:t xml:space="preserve">F]FP-DTBZ in striatum, followed by nucleus accumbens, hypothalamus, substantia nigra, and raphe nuclei </w:t>
      </w:r>
      <w:r w:rsidR="00962E6A" w:rsidRPr="00045F85">
        <w:rPr>
          <w:rFonts w:ascii="Arial" w:hAnsi="Arial" w:cs="Arial"/>
          <w:sz w:val="24"/>
          <w:szCs w:val="24"/>
        </w:rPr>
        <w:t>[158</w:t>
      </w:r>
      <w:r w:rsidR="00703594" w:rsidRPr="00045F85">
        <w:rPr>
          <w:rFonts w:ascii="Arial" w:hAnsi="Arial" w:cs="Arial"/>
          <w:sz w:val="24"/>
          <w:szCs w:val="24"/>
        </w:rPr>
        <w:t>]</w:t>
      </w:r>
      <w:r w:rsidRPr="00045F85">
        <w:rPr>
          <w:rFonts w:ascii="Arial" w:hAnsi="Arial" w:cs="Arial"/>
          <w:sz w:val="24"/>
          <w:szCs w:val="24"/>
        </w:rPr>
        <w:t xml:space="preserve">. </w:t>
      </w:r>
    </w:p>
    <w:p w14:paraId="2EABEBDB" w14:textId="77777777" w:rsidR="00334EE4" w:rsidRPr="00045F85" w:rsidRDefault="00334EE4" w:rsidP="00334EE4">
      <w:pPr>
        <w:pStyle w:val="NurText"/>
        <w:jc w:val="both"/>
        <w:rPr>
          <w:rFonts w:ascii="Arial" w:hAnsi="Arial" w:cs="Arial"/>
          <w:sz w:val="24"/>
          <w:szCs w:val="24"/>
        </w:rPr>
      </w:pPr>
    </w:p>
    <w:p w14:paraId="066DD2B6" w14:textId="32506C1A" w:rsidR="00116F2F" w:rsidRPr="00045F85" w:rsidRDefault="00116F2F" w:rsidP="00116F2F">
      <w:pPr>
        <w:pStyle w:val="NurText"/>
        <w:jc w:val="both"/>
        <w:rPr>
          <w:rFonts w:ascii="Arial" w:hAnsi="Arial" w:cs="Arial"/>
          <w:sz w:val="24"/>
          <w:szCs w:val="24"/>
        </w:rPr>
      </w:pPr>
      <w:r w:rsidRPr="00045F85">
        <w:rPr>
          <w:rFonts w:ascii="Arial" w:hAnsi="Arial" w:cs="Arial"/>
          <w:sz w:val="24"/>
          <w:szCs w:val="24"/>
        </w:rPr>
        <w:t>6.</w:t>
      </w:r>
      <w:r w:rsidR="00334EE4" w:rsidRPr="00045F85">
        <w:rPr>
          <w:rFonts w:ascii="Arial" w:hAnsi="Arial" w:cs="Arial"/>
          <w:sz w:val="24"/>
          <w:szCs w:val="24"/>
        </w:rPr>
        <w:t>Quantification analysis</w:t>
      </w:r>
      <w:r w:rsidR="000A3DB1" w:rsidRPr="00045F85">
        <w:rPr>
          <w:rFonts w:ascii="Arial" w:hAnsi="Arial" w:cs="Arial"/>
          <w:sz w:val="24"/>
          <w:szCs w:val="24"/>
        </w:rPr>
        <w:t>:</w:t>
      </w:r>
      <w:r w:rsidR="00334EE4" w:rsidRPr="00045F85">
        <w:rPr>
          <w:rFonts w:ascii="Arial" w:hAnsi="Arial" w:cs="Arial"/>
          <w:sz w:val="24"/>
          <w:szCs w:val="24"/>
        </w:rPr>
        <w:t xml:space="preserve"> </w:t>
      </w:r>
    </w:p>
    <w:p w14:paraId="1483FFD6" w14:textId="0FF9D1B2" w:rsidR="00334EE4" w:rsidRPr="00045F85" w:rsidRDefault="00116F2F" w:rsidP="00116F2F">
      <w:pPr>
        <w:pStyle w:val="NurText"/>
        <w:ind w:left="720"/>
        <w:jc w:val="both"/>
        <w:rPr>
          <w:rFonts w:ascii="Arial" w:hAnsi="Arial" w:cs="Arial"/>
          <w:sz w:val="24"/>
          <w:szCs w:val="24"/>
        </w:rPr>
      </w:pPr>
      <w:r w:rsidRPr="00045F85">
        <w:rPr>
          <w:rFonts w:ascii="Arial" w:hAnsi="Arial" w:cs="Arial"/>
          <w:sz w:val="24"/>
          <w:szCs w:val="24"/>
        </w:rPr>
        <w:t>S</w:t>
      </w:r>
      <w:r w:rsidR="00334EE4" w:rsidRPr="00045F85">
        <w:rPr>
          <w:rFonts w:ascii="Arial" w:hAnsi="Arial" w:cs="Arial"/>
          <w:sz w:val="24"/>
          <w:szCs w:val="24"/>
        </w:rPr>
        <w:t xml:space="preserve">triatal VMAT2 density of anterior putamen </w:t>
      </w:r>
      <w:r w:rsidR="00FF3FCA" w:rsidRPr="00045F85">
        <w:rPr>
          <w:rFonts w:ascii="Arial" w:hAnsi="Arial" w:cs="Arial"/>
          <w:sz w:val="24"/>
          <w:szCs w:val="24"/>
        </w:rPr>
        <w:t xml:space="preserve">is </w:t>
      </w:r>
      <w:r w:rsidR="00334EE4" w:rsidRPr="00045F85">
        <w:rPr>
          <w:rFonts w:ascii="Arial" w:hAnsi="Arial" w:cs="Arial"/>
          <w:sz w:val="24"/>
          <w:szCs w:val="24"/>
        </w:rPr>
        <w:t xml:space="preserve">higher than posterior putamen, which is higher than that of the caudate nucleus. Lowest </w:t>
      </w:r>
      <w:r w:rsidR="00334EE4" w:rsidRPr="00045F85">
        <w:rPr>
          <w:rFonts w:ascii="Arial" w:hAnsi="Arial" w:cs="Arial"/>
          <w:sz w:val="24"/>
          <w:szCs w:val="24"/>
        </w:rPr>
        <w:lastRenderedPageBreak/>
        <w:t>uptake is seen in the cortex with essentially no specific bind</w:t>
      </w:r>
      <w:r w:rsidR="00635BBD" w:rsidRPr="00045F85">
        <w:rPr>
          <w:rFonts w:ascii="Arial" w:hAnsi="Arial" w:cs="Arial"/>
          <w:sz w:val="24"/>
          <w:szCs w:val="24"/>
        </w:rPr>
        <w:t>ing in the occipital cortex [158</w:t>
      </w:r>
      <w:r w:rsidR="00703594" w:rsidRPr="00045F85">
        <w:rPr>
          <w:rFonts w:ascii="Arial" w:hAnsi="Arial" w:cs="Arial"/>
          <w:sz w:val="24"/>
          <w:szCs w:val="24"/>
        </w:rPr>
        <w:t>].</w:t>
      </w:r>
    </w:p>
    <w:p w14:paraId="36888BB1" w14:textId="77777777" w:rsidR="00FF3FCA" w:rsidRPr="00045F85" w:rsidRDefault="00FF3FCA" w:rsidP="00334EE4">
      <w:pPr>
        <w:pStyle w:val="NurText"/>
        <w:jc w:val="both"/>
        <w:rPr>
          <w:rFonts w:ascii="Arial" w:hAnsi="Arial" w:cs="Arial"/>
          <w:sz w:val="24"/>
          <w:szCs w:val="24"/>
        </w:rPr>
      </w:pPr>
    </w:p>
    <w:p w14:paraId="707FB260" w14:textId="77777777" w:rsidR="00334EE4" w:rsidRPr="00045F85" w:rsidRDefault="00334EE4" w:rsidP="005A6B14">
      <w:pPr>
        <w:rPr>
          <w:rFonts w:cs="Arial"/>
        </w:rPr>
      </w:pPr>
    </w:p>
    <w:p w14:paraId="6DEAF300" w14:textId="0F13C7ED" w:rsidR="00CE1F75" w:rsidRPr="00045F85" w:rsidRDefault="008B016A" w:rsidP="004D1C39">
      <w:pPr>
        <w:pStyle w:val="berschrift1"/>
        <w:rPr>
          <w:color w:val="auto"/>
        </w:rPr>
      </w:pPr>
      <w:r w:rsidRPr="00045F85">
        <w:rPr>
          <w:color w:val="auto"/>
        </w:rPr>
        <w:t>Procedure/specifications of the examination for p</w:t>
      </w:r>
      <w:r w:rsidR="00411433" w:rsidRPr="00045F85">
        <w:rPr>
          <w:color w:val="auto"/>
        </w:rPr>
        <w:t>ost</w:t>
      </w:r>
      <w:r w:rsidRPr="00045F85">
        <w:rPr>
          <w:color w:val="auto"/>
        </w:rPr>
        <w:t xml:space="preserve">synaptic dopaminergic imaging </w:t>
      </w:r>
    </w:p>
    <w:p w14:paraId="69793704" w14:textId="1BFFB57F" w:rsidR="009F4BD9" w:rsidRPr="00045F85" w:rsidRDefault="00CE1F75" w:rsidP="009F4BD9">
      <w:pPr>
        <w:rPr>
          <w:rFonts w:cs="Arial"/>
        </w:rPr>
      </w:pPr>
      <w:r w:rsidRPr="00045F85">
        <w:rPr>
          <w:rFonts w:cs="Arial"/>
        </w:rPr>
        <w:t xml:space="preserve">Historically, the most widely applied radiotracers for imaging D2-like receptors with SPECT </w:t>
      </w:r>
      <w:r w:rsidR="00635BBD" w:rsidRPr="00045F85">
        <w:rPr>
          <w:rFonts w:cs="Arial"/>
        </w:rPr>
        <w:t xml:space="preserve">has been </w:t>
      </w:r>
      <w:r w:rsidR="00B82422" w:rsidRPr="00045F85">
        <w:rPr>
          <w:rFonts w:cs="Arial"/>
        </w:rPr>
        <w:t>[</w:t>
      </w:r>
      <w:r w:rsidR="00635BBD" w:rsidRPr="00045F85">
        <w:rPr>
          <w:rFonts w:cs="Arial"/>
          <w:vertAlign w:val="superscript"/>
        </w:rPr>
        <w:t>123</w:t>
      </w:r>
      <w:r w:rsidR="00635BBD" w:rsidRPr="00045F85">
        <w:rPr>
          <w:rFonts w:cs="Arial"/>
        </w:rPr>
        <w:t>I</w:t>
      </w:r>
      <w:r w:rsidR="00B82422" w:rsidRPr="00045F85">
        <w:rPr>
          <w:rFonts w:cs="Arial"/>
        </w:rPr>
        <w:t>]</w:t>
      </w:r>
      <w:r w:rsidR="00635BBD" w:rsidRPr="00045F85">
        <w:rPr>
          <w:rFonts w:cs="Arial"/>
        </w:rPr>
        <w:t>IBZM [159, 160</w:t>
      </w:r>
      <w:r w:rsidRPr="00045F85">
        <w:rPr>
          <w:rFonts w:cs="Arial"/>
        </w:rPr>
        <w:t xml:space="preserve">]. For PET, </w:t>
      </w:r>
      <w:r w:rsidR="00B82422" w:rsidRPr="00045F85">
        <w:rPr>
          <w:rFonts w:cs="Arial"/>
        </w:rPr>
        <w:t>[</w:t>
      </w:r>
      <w:r w:rsidRPr="00045F85">
        <w:rPr>
          <w:rFonts w:cs="Arial"/>
          <w:vertAlign w:val="superscript"/>
        </w:rPr>
        <w:t>11</w:t>
      </w:r>
      <w:r w:rsidRPr="00045F85">
        <w:rPr>
          <w:rFonts w:cs="Arial"/>
        </w:rPr>
        <w:t>C</w:t>
      </w:r>
      <w:r w:rsidR="00B82422" w:rsidRPr="00045F85">
        <w:rPr>
          <w:rFonts w:cs="Arial"/>
        </w:rPr>
        <w:t>]</w:t>
      </w:r>
      <w:r w:rsidRPr="00045F85">
        <w:rPr>
          <w:rFonts w:cs="Arial"/>
        </w:rPr>
        <w:t xml:space="preserve">raclopride, </w:t>
      </w:r>
      <w:r w:rsidR="00B82422" w:rsidRPr="00045F85">
        <w:rPr>
          <w:rFonts w:cs="Arial"/>
        </w:rPr>
        <w:t>[</w:t>
      </w:r>
      <w:r w:rsidRPr="00045F85">
        <w:rPr>
          <w:rFonts w:cs="Arial"/>
          <w:vertAlign w:val="superscript"/>
        </w:rPr>
        <w:t>18</w:t>
      </w:r>
      <w:r w:rsidRPr="00045F85">
        <w:rPr>
          <w:rFonts w:cs="Arial"/>
        </w:rPr>
        <w:t>F</w:t>
      </w:r>
      <w:r w:rsidR="00B82422" w:rsidRPr="00045F85">
        <w:rPr>
          <w:rFonts w:cs="Arial"/>
        </w:rPr>
        <w:t>]</w:t>
      </w:r>
      <w:r w:rsidRPr="00045F85">
        <w:rPr>
          <w:rFonts w:cs="Arial"/>
        </w:rPr>
        <w:t xml:space="preserve">fallypride and </w:t>
      </w:r>
      <w:r w:rsidR="00856055" w:rsidRPr="00045F85">
        <w:rPr>
          <w:rFonts w:cs="Arial"/>
        </w:rPr>
        <w:t>[</w:t>
      </w:r>
      <w:r w:rsidR="00856055" w:rsidRPr="00045F85">
        <w:rPr>
          <w:rFonts w:cs="Arial"/>
          <w:vertAlign w:val="superscript"/>
        </w:rPr>
        <w:t>18</w:t>
      </w:r>
      <w:r w:rsidR="00856055" w:rsidRPr="00045F85">
        <w:rPr>
          <w:rFonts w:cs="Arial"/>
        </w:rPr>
        <w:t>F]</w:t>
      </w:r>
      <w:r w:rsidR="00856055" w:rsidRPr="00045F85">
        <w:rPr>
          <w:shd w:val="clear" w:color="auto" w:fill="FFFFFF"/>
        </w:rPr>
        <w:t>Desmethoxyfallypride (</w:t>
      </w:r>
      <w:r w:rsidRPr="00045F85">
        <w:rPr>
          <w:rFonts w:cs="Arial"/>
        </w:rPr>
        <w:t>DMFP</w:t>
      </w:r>
      <w:r w:rsidR="00856055" w:rsidRPr="00045F85">
        <w:rPr>
          <w:rFonts w:cs="Arial"/>
        </w:rPr>
        <w:t>)</w:t>
      </w:r>
      <w:r w:rsidRPr="00045F85">
        <w:rPr>
          <w:rFonts w:cs="Arial"/>
        </w:rPr>
        <w:t xml:space="preserve"> have been used. These dopamine receptor antagonist derivatives are not selective radiopharmaceuticals for the D2 receptor, since they a</w:t>
      </w:r>
      <w:r w:rsidR="0073328D" w:rsidRPr="00045F85">
        <w:rPr>
          <w:rFonts w:cs="Arial"/>
        </w:rPr>
        <w:t>lso bind to the D3 receptor [160</w:t>
      </w:r>
      <w:r w:rsidRPr="00045F85">
        <w:rPr>
          <w:rFonts w:cs="Arial"/>
        </w:rPr>
        <w:t>]. However, the vast majority of D2-like receptors in the striatum are D2 receptors. EANM GLs aiming to describe</w:t>
      </w:r>
      <w:r w:rsidR="009F4BD9" w:rsidRPr="00045F85">
        <w:rPr>
          <w:rFonts w:cs="Arial"/>
        </w:rPr>
        <w:t xml:space="preserve"> standard procedures for brain neurotransmission using dopamine D2 receptor ligands have been published in 2009 [</w:t>
      </w:r>
      <w:r w:rsidR="0073328D" w:rsidRPr="00045F85">
        <w:rPr>
          <w:rFonts w:cs="Arial"/>
        </w:rPr>
        <w:t>9</w:t>
      </w:r>
      <w:r w:rsidR="009F4BD9" w:rsidRPr="00045F85">
        <w:rPr>
          <w:rFonts w:cs="Arial"/>
        </w:rPr>
        <w:t xml:space="preserve">]. These guidelines </w:t>
      </w:r>
      <w:r w:rsidR="00D15769" w:rsidRPr="00045F85">
        <w:rPr>
          <w:rFonts w:cs="Arial"/>
        </w:rPr>
        <w:t>dealt</w:t>
      </w:r>
      <w:r w:rsidR="009F4BD9" w:rsidRPr="00045F85">
        <w:rPr>
          <w:rFonts w:cs="Arial"/>
        </w:rPr>
        <w:t xml:space="preserve"> with indications, assessment, processing, interpretation and reporting of D2 imaging. The </w:t>
      </w:r>
      <w:r w:rsidR="00E32AE7" w:rsidRPr="00045F85">
        <w:rPr>
          <w:rFonts w:cs="Arial"/>
        </w:rPr>
        <w:t xml:space="preserve">procedural </w:t>
      </w:r>
      <w:r w:rsidR="009F4BD9" w:rsidRPr="00045F85">
        <w:rPr>
          <w:rFonts w:cs="Arial"/>
        </w:rPr>
        <w:t xml:space="preserve">recommendations defined in these GLs are still presently valid with the exception of details on equipment specification which should be updated in agreement of what already described in </w:t>
      </w:r>
      <w:r w:rsidR="00D15769" w:rsidRPr="00045F85">
        <w:rPr>
          <w:rFonts w:cs="Arial"/>
        </w:rPr>
        <w:t xml:space="preserve">previous </w:t>
      </w:r>
      <w:r w:rsidR="009F4BD9" w:rsidRPr="00045F85">
        <w:rPr>
          <w:rFonts w:cs="Arial"/>
        </w:rPr>
        <w:t>paragraph</w:t>
      </w:r>
      <w:r w:rsidR="00D15769" w:rsidRPr="00045F85">
        <w:rPr>
          <w:rFonts w:cs="Arial"/>
        </w:rPr>
        <w:t>s</w:t>
      </w:r>
      <w:r w:rsidR="009F4BD9" w:rsidRPr="00045F85">
        <w:rPr>
          <w:rFonts w:cs="Arial"/>
        </w:rPr>
        <w:t xml:space="preserve"> of the present GLs</w:t>
      </w:r>
      <w:r w:rsidR="00D15769" w:rsidRPr="00045F85">
        <w:rPr>
          <w:rFonts w:cs="Arial"/>
        </w:rPr>
        <w:t xml:space="preserve">. It should be noted that the main added </w:t>
      </w:r>
      <w:r w:rsidR="00E32AE7" w:rsidRPr="00045F85">
        <w:rPr>
          <w:rFonts w:cs="Arial"/>
        </w:rPr>
        <w:t xml:space="preserve">clinical </w:t>
      </w:r>
      <w:r w:rsidR="00D15769" w:rsidRPr="00045F85">
        <w:rPr>
          <w:rFonts w:cs="Arial"/>
        </w:rPr>
        <w:t xml:space="preserve">value of D2-imaging in patients with parkinsonian syndromes </w:t>
      </w:r>
      <w:r w:rsidR="00551246" w:rsidRPr="00045F85">
        <w:rPr>
          <w:rFonts w:cs="Arial"/>
        </w:rPr>
        <w:t>was the proposed</w:t>
      </w:r>
      <w:r w:rsidR="00D15769" w:rsidRPr="00045F85">
        <w:rPr>
          <w:rFonts w:cs="Arial"/>
        </w:rPr>
        <w:t xml:space="preserve"> capability of this imaging to support the differential diagnosis within neurodegenerative parkinsonisms by differentiating between diseases with (i.e. atypical parkinsonism such as MSA, CBD and PSP) and without (i.e. </w:t>
      </w:r>
      <w:r w:rsidR="00C50694" w:rsidRPr="00045F85">
        <w:rPr>
          <w:rFonts w:cs="Arial"/>
        </w:rPr>
        <w:t>IPD</w:t>
      </w:r>
      <w:r w:rsidR="00D15769" w:rsidRPr="00045F85">
        <w:rPr>
          <w:rFonts w:cs="Arial"/>
        </w:rPr>
        <w:t>) degenerati</w:t>
      </w:r>
      <w:r w:rsidR="00F51674" w:rsidRPr="00045F85">
        <w:rPr>
          <w:rFonts w:cs="Arial"/>
        </w:rPr>
        <w:t>on at post-synaptic level [10</w:t>
      </w:r>
      <w:r w:rsidR="00D15769" w:rsidRPr="00045F85">
        <w:rPr>
          <w:rFonts w:cs="Arial"/>
        </w:rPr>
        <w:t xml:space="preserve">]. However D2 SPECT imaging is at the moment not </w:t>
      </w:r>
      <w:r w:rsidR="00AE3F48" w:rsidRPr="00045F85">
        <w:rPr>
          <w:rFonts w:cs="Arial"/>
        </w:rPr>
        <w:t xml:space="preserve">clinically available in several countries </w:t>
      </w:r>
      <w:r w:rsidR="00D15769" w:rsidRPr="00045F85">
        <w:rPr>
          <w:rFonts w:cs="Arial"/>
        </w:rPr>
        <w:t xml:space="preserve">and it has been </w:t>
      </w:r>
      <w:r w:rsidR="005A6FB0" w:rsidRPr="00045F85">
        <w:rPr>
          <w:rFonts w:cs="Arial"/>
        </w:rPr>
        <w:t xml:space="preserve">suggested </w:t>
      </w:r>
      <w:r w:rsidR="00D15769" w:rsidRPr="00045F85">
        <w:rPr>
          <w:rFonts w:cs="Arial"/>
        </w:rPr>
        <w:t>that FDG PET outperforms D2 SPECT Imaging for the differential diagnosis between PD/DLB and the</w:t>
      </w:r>
      <w:r w:rsidR="00F51674" w:rsidRPr="00045F85">
        <w:rPr>
          <w:rFonts w:cs="Arial"/>
        </w:rPr>
        <w:t xml:space="preserve"> other atypical parkinsonisms [2</w:t>
      </w:r>
      <w:r w:rsidR="00D15769" w:rsidRPr="00045F85">
        <w:rPr>
          <w:rFonts w:cs="Arial"/>
        </w:rPr>
        <w:t xml:space="preserve">7]. </w:t>
      </w:r>
      <w:r w:rsidR="00551246" w:rsidRPr="00045F85">
        <w:rPr>
          <w:rFonts w:cs="Arial"/>
        </w:rPr>
        <w:t xml:space="preserve">Similarly </w:t>
      </w:r>
      <w:r w:rsidR="00B82422" w:rsidRPr="00045F85">
        <w:rPr>
          <w:rFonts w:cs="Arial"/>
        </w:rPr>
        <w:t>[</w:t>
      </w:r>
      <w:r w:rsidR="00551246" w:rsidRPr="00045F85">
        <w:rPr>
          <w:rFonts w:cs="Arial"/>
          <w:vertAlign w:val="superscript"/>
        </w:rPr>
        <w:t>123</w:t>
      </w:r>
      <w:r w:rsidR="00551246" w:rsidRPr="00045F85">
        <w:rPr>
          <w:rFonts w:cs="Arial"/>
        </w:rPr>
        <w:t>I</w:t>
      </w:r>
      <w:r w:rsidR="00B82422" w:rsidRPr="00045F85">
        <w:rPr>
          <w:rFonts w:cs="Arial"/>
        </w:rPr>
        <w:t>]</w:t>
      </w:r>
      <w:r w:rsidR="00551246" w:rsidRPr="00045F85">
        <w:rPr>
          <w:rFonts w:cs="Arial"/>
        </w:rPr>
        <w:t xml:space="preserve">mIBG myocardial scintigraphy can be used to differentiate between </w:t>
      </w:r>
      <w:r w:rsidR="00C50694" w:rsidRPr="00045F85">
        <w:rPr>
          <w:rFonts w:cs="Arial"/>
        </w:rPr>
        <w:t>IPD</w:t>
      </w:r>
      <w:r w:rsidR="00551246" w:rsidRPr="00045F85">
        <w:rPr>
          <w:rFonts w:cs="Arial"/>
        </w:rPr>
        <w:t xml:space="preserve"> </w:t>
      </w:r>
      <w:r w:rsidR="00E92FE3" w:rsidRPr="00045F85">
        <w:rPr>
          <w:rFonts w:cs="Arial"/>
        </w:rPr>
        <w:t>and</w:t>
      </w:r>
      <w:r w:rsidR="005A6FB0" w:rsidRPr="00045F85">
        <w:rPr>
          <w:rFonts w:cs="Arial"/>
        </w:rPr>
        <w:t xml:space="preserve"> </w:t>
      </w:r>
      <w:r w:rsidR="00551246" w:rsidRPr="00045F85">
        <w:rPr>
          <w:rFonts w:cs="Arial"/>
        </w:rPr>
        <w:t>MSA</w:t>
      </w:r>
      <w:r w:rsidR="005A6FB0" w:rsidRPr="00045F85">
        <w:rPr>
          <w:rFonts w:cs="Arial"/>
        </w:rPr>
        <w:t>, PSP and CBD</w:t>
      </w:r>
      <w:r w:rsidR="00A633B3" w:rsidRPr="00045F85">
        <w:rPr>
          <w:rFonts w:cs="Arial"/>
        </w:rPr>
        <w:t xml:space="preserve"> [161</w:t>
      </w:r>
      <w:r w:rsidR="00551246" w:rsidRPr="00045F85">
        <w:rPr>
          <w:rFonts w:cs="Arial"/>
        </w:rPr>
        <w:t xml:space="preserve">]. </w:t>
      </w:r>
      <w:r w:rsidR="00D15769" w:rsidRPr="00045F85">
        <w:rPr>
          <w:rFonts w:cs="Arial"/>
        </w:rPr>
        <w:t>Accordingly updated data on the use of these tracers are beyond th</w:t>
      </w:r>
      <w:r w:rsidR="005241C4" w:rsidRPr="00045F85">
        <w:rPr>
          <w:rFonts w:cs="Arial"/>
        </w:rPr>
        <w:t>e aims of the present clinical use</w:t>
      </w:r>
      <w:r w:rsidR="00D15769" w:rsidRPr="00045F85">
        <w:rPr>
          <w:rFonts w:cs="Arial"/>
        </w:rPr>
        <w:t xml:space="preserve">-oriented </w:t>
      </w:r>
      <w:r w:rsidR="005241C4" w:rsidRPr="00045F85">
        <w:rPr>
          <w:rFonts w:cs="Arial"/>
        </w:rPr>
        <w:t>standard procedures</w:t>
      </w:r>
      <w:r w:rsidR="00551246" w:rsidRPr="00045F85">
        <w:rPr>
          <w:rFonts w:cs="Arial"/>
        </w:rPr>
        <w:t xml:space="preserve"> and </w:t>
      </w:r>
      <w:r w:rsidR="005241C4" w:rsidRPr="00045F85">
        <w:rPr>
          <w:rFonts w:cs="Arial"/>
        </w:rPr>
        <w:t xml:space="preserve">the </w:t>
      </w:r>
      <w:r w:rsidR="00551246" w:rsidRPr="00045F85">
        <w:rPr>
          <w:rFonts w:cs="Arial"/>
        </w:rPr>
        <w:t xml:space="preserve">procedural </w:t>
      </w:r>
      <w:r w:rsidR="00AA7424" w:rsidRPr="00045F85">
        <w:rPr>
          <w:rFonts w:cs="Arial"/>
        </w:rPr>
        <w:t xml:space="preserve">published by the EANM NeuroImaging Committee in 2009 </w:t>
      </w:r>
      <w:r w:rsidR="00551246" w:rsidRPr="00045F85">
        <w:rPr>
          <w:rFonts w:cs="Arial"/>
        </w:rPr>
        <w:t>should be still considered as the main reference</w:t>
      </w:r>
      <w:r w:rsidR="00E32AE7" w:rsidRPr="00045F85">
        <w:rPr>
          <w:rFonts w:cs="Arial"/>
        </w:rPr>
        <w:t xml:space="preserve"> for D2 dopaminergic imaging in parkinsonian syndromes</w:t>
      </w:r>
      <w:r w:rsidR="00A633B3" w:rsidRPr="00045F85">
        <w:rPr>
          <w:rFonts w:cs="Arial"/>
        </w:rPr>
        <w:t xml:space="preserve"> [9</w:t>
      </w:r>
      <w:r w:rsidR="000E4C56" w:rsidRPr="00045F85">
        <w:rPr>
          <w:rFonts w:cs="Arial"/>
        </w:rPr>
        <w:t>]</w:t>
      </w:r>
      <w:r w:rsidR="00551246" w:rsidRPr="00045F85">
        <w:rPr>
          <w:rFonts w:cs="Arial"/>
        </w:rPr>
        <w:t>.</w:t>
      </w:r>
    </w:p>
    <w:p w14:paraId="6A408392" w14:textId="77777777" w:rsidR="00CF7BBA" w:rsidRPr="00045F85" w:rsidRDefault="00CF7BBA" w:rsidP="004D1C39">
      <w:pPr>
        <w:pStyle w:val="berschrift1"/>
        <w:numPr>
          <w:ilvl w:val="0"/>
          <w:numId w:val="0"/>
        </w:numPr>
        <w:ind w:left="1080"/>
        <w:rPr>
          <w:color w:val="auto"/>
        </w:rPr>
      </w:pPr>
    </w:p>
    <w:p w14:paraId="48046030" w14:textId="02F14553" w:rsidR="00234D16" w:rsidRPr="00045F85" w:rsidRDefault="004D6D1D" w:rsidP="004D1C39">
      <w:pPr>
        <w:pStyle w:val="berschrift1"/>
        <w:rPr>
          <w:color w:val="auto"/>
        </w:rPr>
      </w:pPr>
      <w:r w:rsidRPr="00045F85">
        <w:rPr>
          <w:color w:val="auto"/>
        </w:rPr>
        <w:t xml:space="preserve">Radiation safety </w:t>
      </w:r>
    </w:p>
    <w:p w14:paraId="0B2C7194" w14:textId="451E5A87" w:rsidR="00AD65CE" w:rsidRPr="00045F85" w:rsidRDefault="00AD65CE" w:rsidP="00164B9D">
      <w:pPr>
        <w:rPr>
          <w:rFonts w:cs="Arial"/>
        </w:rPr>
      </w:pPr>
      <w:r w:rsidRPr="00045F85">
        <w:rPr>
          <w:rFonts w:cs="Arial"/>
        </w:rPr>
        <w:t xml:space="preserve">In this section we present a set of values and advice that are compliant with  </w:t>
      </w:r>
      <w:r w:rsidR="0068470C" w:rsidRPr="00045F85">
        <w:rPr>
          <w:rFonts w:cs="Arial"/>
        </w:rPr>
        <w:t>the</w:t>
      </w:r>
      <w:r w:rsidR="00C56709" w:rsidRPr="00045F85">
        <w:rPr>
          <w:rFonts w:cs="Arial"/>
        </w:rPr>
        <w:t xml:space="preserve"> </w:t>
      </w:r>
      <w:r w:rsidRPr="00045F85">
        <w:rPr>
          <w:rFonts w:cs="Arial"/>
        </w:rPr>
        <w:t xml:space="preserve">legal requirements in the European Basic Safety Standards Directive and </w:t>
      </w:r>
      <w:r w:rsidR="0068470C" w:rsidRPr="00045F85">
        <w:rPr>
          <w:rFonts w:cs="Arial"/>
        </w:rPr>
        <w:t xml:space="preserve">with </w:t>
      </w:r>
      <w:r w:rsidRPr="00045F85">
        <w:rPr>
          <w:rFonts w:cs="Arial"/>
        </w:rPr>
        <w:t>IAEA Safety Guides</w:t>
      </w:r>
      <w:r w:rsidR="0068470C" w:rsidRPr="00045F85">
        <w:rPr>
          <w:rFonts w:cs="Arial"/>
        </w:rPr>
        <w:t xml:space="preserve"> and the </w:t>
      </w:r>
      <w:r w:rsidR="0068470C" w:rsidRPr="00045F85">
        <w:t xml:space="preserve">SNMMI Guideline for General Imaging </w:t>
      </w:r>
      <w:r w:rsidR="00C8273F" w:rsidRPr="00045F85">
        <w:rPr>
          <w:rFonts w:cs="Arial"/>
        </w:rPr>
        <w:t>[162, 163]</w:t>
      </w:r>
      <w:r w:rsidRPr="00045F85">
        <w:rPr>
          <w:rFonts w:cs="Arial"/>
        </w:rPr>
        <w:t>. However, the way the EU-directive is being implemented in the national member states in Europe varies considerably. In addition, regional and local rules, e.g. from local ethical committees, may also apply in a specific setting and supersede this guideline.</w:t>
      </w:r>
      <w:r w:rsidR="0018731C" w:rsidRPr="00045F85">
        <w:rPr>
          <w:rFonts w:cs="Arial"/>
        </w:rPr>
        <w:t xml:space="preserve"> </w:t>
      </w:r>
      <w:r w:rsidRPr="00045F85">
        <w:rPr>
          <w:rFonts w:cs="Arial"/>
        </w:rPr>
        <w:t xml:space="preserve">The general system of radiation protection is based on the three concepts of 1) Justification 2) Optimization and 3) Dose limits. </w:t>
      </w:r>
    </w:p>
    <w:p w14:paraId="0A369832" w14:textId="430DE374" w:rsidR="00AD65CE" w:rsidRPr="00045F85" w:rsidRDefault="00AD65CE" w:rsidP="00164B9D">
      <w:pPr>
        <w:rPr>
          <w:rFonts w:cs="Arial"/>
        </w:rPr>
      </w:pPr>
      <w:r w:rsidRPr="00045F85">
        <w:rPr>
          <w:rFonts w:cs="Arial"/>
        </w:rPr>
        <w:lastRenderedPageBreak/>
        <w:t>Justification for an examination at the individual level is implicit when following the indications in this guideline. The set of acquisition parameters given in this guide serves to optimize the activity used (and the dose provided) for current standard equipment. Further local optimization may apply when special, more sensitive equipment is available. Dose limits do not apply for medical exposure of patients; protection is managed through the justification and optimization only. For biomedical research performed on patients or volunteers, however, ICRP (ICRP62 and ICRP103), WHO and EC (EC RP99) has issued guidance balancing the value for society of the expected outcome of the research against (effective) dose. This is the source of information that ethics committees (institutional review boards) will typically consider.</w:t>
      </w:r>
    </w:p>
    <w:p w14:paraId="6B796AFC" w14:textId="44769A89" w:rsidR="00AD65CE" w:rsidRPr="00045F85" w:rsidRDefault="00AD65CE" w:rsidP="00164B9D">
      <w:pPr>
        <w:rPr>
          <w:rFonts w:cs="Arial"/>
        </w:rPr>
      </w:pPr>
      <w:r w:rsidRPr="00045F85">
        <w:rPr>
          <w:rFonts w:cs="Arial"/>
        </w:rPr>
        <w:t>In addition – since medical use of radiation is a “planned exposure” - the concept of dose con</w:t>
      </w:r>
      <w:r w:rsidR="00CF3B84" w:rsidRPr="00045F85">
        <w:rPr>
          <w:rFonts w:cs="Arial"/>
        </w:rPr>
        <w:t>straints applies</w:t>
      </w:r>
      <w:r w:rsidRPr="00045F85">
        <w:rPr>
          <w:rFonts w:cs="Arial"/>
        </w:rPr>
        <w:t xml:space="preserve"> to </w:t>
      </w:r>
      <w:r w:rsidR="00C56709" w:rsidRPr="00045F85">
        <w:rPr>
          <w:rFonts w:cs="Arial"/>
        </w:rPr>
        <w:t>“comforters and care</w:t>
      </w:r>
      <w:r w:rsidRPr="00045F85">
        <w:rPr>
          <w:rFonts w:cs="Arial"/>
        </w:rPr>
        <w:t>s”, to relatives, to “other” hospital staff not working directly with ionizing radiation, and to members of the public. The relevant radiation exposure for these groups is highly dependent on local factors and procedures. It therefore falls outside the scope of this guideline and must be handled by the associated medical physics expert.</w:t>
      </w:r>
    </w:p>
    <w:p w14:paraId="2C0A47EC" w14:textId="28ED13F1" w:rsidR="00AD65CE" w:rsidRPr="00045F85" w:rsidRDefault="00AD65CE" w:rsidP="00164B9D">
      <w:pPr>
        <w:rPr>
          <w:rFonts w:cs="Arial"/>
        </w:rPr>
      </w:pPr>
      <w:r w:rsidRPr="00045F85">
        <w:rPr>
          <w:rFonts w:cs="Arial"/>
        </w:rPr>
        <w:t>For the tracers described in this guideline, Effective Dose and Absorbed Dose (per MBq) to the highest exposed organs has been compiled from the available literature and is given in Table 4</w:t>
      </w:r>
      <w:r w:rsidR="00C01BE1" w:rsidRPr="00045F85">
        <w:rPr>
          <w:rFonts w:cs="Arial"/>
        </w:rPr>
        <w:t xml:space="preserve"> [40, 148, 156, </w:t>
      </w:r>
      <w:r w:rsidR="00C759E4" w:rsidRPr="00045F85">
        <w:rPr>
          <w:rFonts w:cs="Arial"/>
        </w:rPr>
        <w:t>164-170</w:t>
      </w:r>
      <w:r w:rsidR="00C01BE1" w:rsidRPr="00045F85">
        <w:rPr>
          <w:rFonts w:cs="Arial"/>
        </w:rPr>
        <w:t>]</w:t>
      </w:r>
      <w:r w:rsidRPr="00045F85">
        <w:rPr>
          <w:rFonts w:cs="Arial"/>
        </w:rPr>
        <w:t>. In most cases, following this guideline will lead to effective doses below 5 mSv per examination.</w:t>
      </w:r>
    </w:p>
    <w:p w14:paraId="217604AC" w14:textId="69BAB6B1" w:rsidR="00C01BE1" w:rsidRPr="00045F85" w:rsidRDefault="00AD65CE" w:rsidP="00C01BE1">
      <w:pPr>
        <w:rPr>
          <w:rFonts w:cs="Arial"/>
        </w:rPr>
      </w:pPr>
      <w:r w:rsidRPr="00045F85">
        <w:rPr>
          <w:rFonts w:cs="Arial"/>
        </w:rPr>
        <w:t xml:space="preserve">If a CT scan is </w:t>
      </w:r>
      <w:r w:rsidR="007C16E9" w:rsidRPr="00045F85">
        <w:rPr>
          <w:rFonts w:cs="Arial"/>
        </w:rPr>
        <w:t>utilized</w:t>
      </w:r>
      <w:r w:rsidRPr="00045F85">
        <w:rPr>
          <w:rFonts w:cs="Arial"/>
        </w:rPr>
        <w:t xml:space="preserve"> for attenuation correction only, the lowest possible exposure settings should be used, resulting in a contribution to effective dose of less than 0.1 mSv. </w:t>
      </w:r>
    </w:p>
    <w:p w14:paraId="15C3AE3C" w14:textId="06DFCEF0" w:rsidR="00AD65CE" w:rsidRPr="00045F85" w:rsidRDefault="00AD65CE" w:rsidP="00164B9D">
      <w:pPr>
        <w:rPr>
          <w:rFonts w:cs="Arial"/>
        </w:rPr>
      </w:pPr>
      <w:r w:rsidRPr="00045F85">
        <w:rPr>
          <w:rFonts w:cs="Arial"/>
        </w:rPr>
        <w:t>In radiation protect</w:t>
      </w:r>
      <w:r w:rsidR="005228EC" w:rsidRPr="00045F85">
        <w:rPr>
          <w:rFonts w:cs="Arial"/>
        </w:rPr>
        <w:t xml:space="preserve">ion, </w:t>
      </w:r>
      <w:r w:rsidRPr="00045F85">
        <w:rPr>
          <w:rFonts w:cs="Arial"/>
        </w:rPr>
        <w:t>the</w:t>
      </w:r>
      <w:r w:rsidR="001B4BD6" w:rsidRPr="00045F85">
        <w:rPr>
          <w:rFonts w:cs="Arial"/>
        </w:rPr>
        <w:t>re is a special concern for a f</w:t>
      </w:r>
      <w:r w:rsidRPr="00045F85">
        <w:rPr>
          <w:rFonts w:cs="Arial"/>
        </w:rPr>
        <w:t>etus (pregnancy) and small children (breastfeeding) due to their higher radiosensitivity. General rules for obtaining information about pregnancy status must be established and followed as locally implemented.</w:t>
      </w:r>
      <w:r w:rsidR="00C01BE1" w:rsidRPr="00045F85">
        <w:rPr>
          <w:rFonts w:cs="Arial"/>
        </w:rPr>
        <w:t xml:space="preserve"> </w:t>
      </w:r>
      <w:r w:rsidRPr="00045F85">
        <w:rPr>
          <w:rFonts w:cs="Arial"/>
        </w:rPr>
        <w:t>Neither pregnancy nor breastfeeding are absolute contraindications for imaging using ionizing radiation, but require careful considerations for the justification. The need to support the diagnosis of parkinsonian syndromes with SPECT or PET examinations rarely apply to pregnant or</w:t>
      </w:r>
      <w:r w:rsidRPr="00045F85">
        <w:t xml:space="preserve"> breastfeeding patients. </w:t>
      </w:r>
    </w:p>
    <w:p w14:paraId="7E1E2381" w14:textId="208D56C2" w:rsidR="00084067" w:rsidRPr="00045F85" w:rsidRDefault="00084067" w:rsidP="00A94471">
      <w:pPr>
        <w:rPr>
          <w:rFonts w:cs="Arial"/>
        </w:rPr>
      </w:pPr>
      <w:r w:rsidRPr="00045F85">
        <w:t>However, l</w:t>
      </w:r>
      <w:r w:rsidR="00AD65CE" w:rsidRPr="00045F85">
        <w:t>ike for any other diagnostic procedure in a female patient known or suspected to be pregnant, a clinical decision is necessary in which the benefits are weighed against the possible (hypothetical) harm. If the procedure consist</w:t>
      </w:r>
      <w:r w:rsidR="00E83F3C" w:rsidRPr="00045F85">
        <w:t>s</w:t>
      </w:r>
      <w:r w:rsidR="00AD65CE" w:rsidRPr="00045F85">
        <w:t xml:space="preserve"> of a static scan it may be possible to reduce the activity (hence the absorbed dose to organs and effective dose) and prolong the acquisition time to maintain image quality; a reduction in image quality is not recommended.</w:t>
      </w:r>
      <w:r w:rsidRPr="00045F85">
        <w:rPr>
          <w:rFonts w:cs="Arial"/>
        </w:rPr>
        <w:t xml:space="preserve"> </w:t>
      </w:r>
    </w:p>
    <w:p w14:paraId="7F999C79" w14:textId="7DC256C8" w:rsidR="00AD65CE" w:rsidRPr="00045F85" w:rsidRDefault="00AD65CE" w:rsidP="00A94471">
      <w:r w:rsidRPr="00045F85">
        <w:t>Breastfeeding</w:t>
      </w:r>
      <w:r w:rsidRPr="00045F85">
        <w:rPr>
          <w:b/>
        </w:rPr>
        <w:t>:</w:t>
      </w:r>
      <w:r w:rsidRPr="00045F85">
        <w:t xml:space="preserve"> Before administering radiopharmaceuticals to a mother who is breastfeeding consideration should be given to the possibility of delaying the examination (administration of radionuclide) until the </w:t>
      </w:r>
      <w:r w:rsidR="00636D34" w:rsidRPr="00045F85">
        <w:t>mother has ceased breastfeeding</w:t>
      </w:r>
      <w:r w:rsidRPr="00045F85">
        <w:t xml:space="preserve"> and to what is the most appropriate </w:t>
      </w:r>
      <w:r w:rsidR="00662B41" w:rsidRPr="00045F85">
        <w:t>radiopharmaceutical choice</w:t>
      </w:r>
      <w:r w:rsidRPr="00045F85">
        <w:t>, bearing in mind the possible secretion of activity in breast milk. Unfortunately, since these events are rare, the data available about this secretion is also sparse and often uncertain.</w:t>
      </w:r>
      <w:r w:rsidR="00C65936" w:rsidRPr="00045F85">
        <w:rPr>
          <w:rFonts w:cs="Arial"/>
        </w:rPr>
        <w:t xml:space="preserve"> </w:t>
      </w:r>
      <w:r w:rsidRPr="00045F85">
        <w:t>Formally (in the terminology of radiation protection) the child is a “member of the public”, and therefore</w:t>
      </w:r>
      <w:r w:rsidR="00BF0E56" w:rsidRPr="00045F85">
        <w:t>,</w:t>
      </w:r>
      <w:r w:rsidRPr="00045F85">
        <w:t xml:space="preserve"> the protection of the child </w:t>
      </w:r>
      <w:r w:rsidRPr="00045F85">
        <w:lastRenderedPageBreak/>
        <w:t>is based on a dose constraint of 1 mSv (ICRP103, BSS, IAEA). This dose constraint is the combined result of an intake of radioactivity and a contact dose. Ideally these two sources should be considered separately, since contact dose might be eliminated if the mother expresses milk that can be given to the child by a third perso</w:t>
      </w:r>
      <w:r w:rsidR="0001420F" w:rsidRPr="00045F85">
        <w:t xml:space="preserve">n. The recent IAEA Safety Guide, </w:t>
      </w:r>
      <w:r w:rsidRPr="00045F85">
        <w:t>however</w:t>
      </w:r>
      <w:r w:rsidR="00891A7E" w:rsidRPr="00045F85">
        <w:t>,</w:t>
      </w:r>
      <w:r w:rsidRPr="00045F85">
        <w:t xml:space="preserve"> only gives recommendatio</w:t>
      </w:r>
      <w:r w:rsidR="0001420F" w:rsidRPr="00045F85">
        <w:t xml:space="preserve">ns that include both sources and are obviously different for tracers labelled with </w:t>
      </w:r>
      <w:r w:rsidR="0001420F" w:rsidRPr="00045F85">
        <w:rPr>
          <w:rFonts w:eastAsia="Times New Roman" w:cs="Arial"/>
          <w:vertAlign w:val="superscript"/>
          <w:lang w:val="da-DK" w:eastAsia="en-US"/>
        </w:rPr>
        <w:t>123</w:t>
      </w:r>
      <w:r w:rsidR="0001420F" w:rsidRPr="00045F85">
        <w:rPr>
          <w:rFonts w:eastAsia="Times New Roman" w:cs="Arial"/>
          <w:lang w:val="da-DK" w:eastAsia="en-US"/>
        </w:rPr>
        <w:t>I,</w:t>
      </w:r>
      <w:r w:rsidR="0001420F" w:rsidRPr="00045F85">
        <w:rPr>
          <w:vertAlign w:val="superscript"/>
        </w:rPr>
        <w:t xml:space="preserve">  11</w:t>
      </w:r>
      <w:r w:rsidR="0001420F" w:rsidRPr="00045F85">
        <w:t xml:space="preserve">C or </w:t>
      </w:r>
      <w:r w:rsidR="0001420F" w:rsidRPr="00045F85">
        <w:rPr>
          <w:vertAlign w:val="superscript"/>
        </w:rPr>
        <w:t>18</w:t>
      </w:r>
      <w:r w:rsidR="0001420F" w:rsidRPr="00045F85">
        <w:t>F (crf IAEA Safety Guide, Appendix III).</w:t>
      </w:r>
    </w:p>
    <w:p w14:paraId="12AC5C4E" w14:textId="42C71E3B" w:rsidR="00D002B3" w:rsidRPr="00045F85" w:rsidRDefault="00D002B3" w:rsidP="00C97AB2">
      <w:pPr>
        <w:pStyle w:val="Listenabsatz"/>
        <w:numPr>
          <w:ilvl w:val="0"/>
          <w:numId w:val="22"/>
        </w:numPr>
        <w:rPr>
          <w:b/>
          <w:color w:val="auto"/>
          <w:sz w:val="32"/>
          <w:szCs w:val="32"/>
        </w:rPr>
      </w:pPr>
      <w:r w:rsidRPr="00045F85">
        <w:rPr>
          <w:b/>
          <w:color w:val="auto"/>
          <w:sz w:val="32"/>
          <w:szCs w:val="32"/>
        </w:rPr>
        <w:t>Acknowledgments</w:t>
      </w:r>
    </w:p>
    <w:p w14:paraId="5A6E962E" w14:textId="07F652CC" w:rsidR="00D002B3" w:rsidRPr="00045F85" w:rsidRDefault="00D002B3" w:rsidP="00F10F7B">
      <w:pPr>
        <w:rPr>
          <w:shd w:val="clear" w:color="auto" w:fill="FFFFFF"/>
        </w:rPr>
      </w:pPr>
      <w:r w:rsidRPr="00045F85">
        <w:t xml:space="preserve">We thank the EANM Committees, EANM National Societies, and the SNMMI bodies for their review and contribution. </w:t>
      </w:r>
      <w:r w:rsidR="00617094" w:rsidRPr="00045F85">
        <w:t xml:space="preserve">We are also truly grateful to the members of the EANM Radiation Protection Committee for their contribution to the “Radiation Safety” paragraph. Also, we </w:t>
      </w:r>
      <w:r w:rsidR="002E6E04" w:rsidRPr="00045F85">
        <w:t xml:space="preserve">thank </w:t>
      </w:r>
      <w:r w:rsidR="00617094" w:rsidRPr="00045F85">
        <w:t xml:space="preserve">Sonja Niederkofler </w:t>
      </w:r>
      <w:r w:rsidR="00B6109C" w:rsidRPr="00045F85">
        <w:t xml:space="preserve">and Michaela Bartaun </w:t>
      </w:r>
      <w:r w:rsidR="00617094" w:rsidRPr="00045F85">
        <w:t xml:space="preserve">from the EANM office in Vienna and Julie Kauffman from the SNMMI office in Reston </w:t>
      </w:r>
      <w:r w:rsidR="002E6E04" w:rsidRPr="00045F85">
        <w:t xml:space="preserve">for their great support </w:t>
      </w:r>
      <w:r w:rsidR="00617094" w:rsidRPr="00045F85">
        <w:t>during the</w:t>
      </w:r>
      <w:r w:rsidR="00B6109C" w:rsidRPr="00045F85">
        <w:t xml:space="preserve"> development of this guideline. </w:t>
      </w:r>
      <w:r w:rsidRPr="00045F85">
        <w:rPr>
          <w:shd w:val="clear" w:color="auto" w:fill="FFFFFF"/>
        </w:rPr>
        <w:t>We acknowledge the contribution of previous guidelines on which the present are based [9, 11, 12].</w:t>
      </w:r>
      <w:r w:rsidR="001A6C06" w:rsidRPr="00045F85">
        <w:rPr>
          <w:shd w:val="clear" w:color="auto" w:fill="FFFFFF"/>
        </w:rPr>
        <w:t xml:space="preserve"> </w:t>
      </w:r>
    </w:p>
    <w:p w14:paraId="4A3138D4" w14:textId="77777777" w:rsidR="00F10F7B" w:rsidRPr="00045F85" w:rsidRDefault="00F10F7B" w:rsidP="004D1C39">
      <w:pPr>
        <w:pStyle w:val="berschrift1"/>
        <w:rPr>
          <w:color w:val="auto"/>
        </w:rPr>
      </w:pPr>
      <w:r w:rsidRPr="00045F85">
        <w:rPr>
          <w:color w:val="auto"/>
        </w:rPr>
        <w:t xml:space="preserve">Compliance with ethical standards </w:t>
      </w:r>
    </w:p>
    <w:p w14:paraId="0F5D2407" w14:textId="4346D7EC" w:rsidR="00F10F7B" w:rsidRPr="00045F85" w:rsidRDefault="00F10F7B" w:rsidP="00F10F7B">
      <w:r w:rsidRPr="00045F85">
        <w:t>Conflict of interest</w:t>
      </w:r>
      <w:r w:rsidR="00411913" w:rsidRPr="00045F85">
        <w:t>:</w:t>
      </w:r>
    </w:p>
    <w:p w14:paraId="18A24817" w14:textId="41DC5357" w:rsidR="00A00A30" w:rsidRPr="00045F85" w:rsidRDefault="00411913" w:rsidP="00947284">
      <w:pPr>
        <w:rPr>
          <w:rFonts w:cs="Arial"/>
          <w:bCs/>
        </w:rPr>
      </w:pPr>
      <w:r w:rsidRPr="00045F85">
        <w:t>Silvia Morbelli has received speaker honoraria from GE Healthcare and Eli-Lilly; Javier Arbizu has received research grants from Lilly-Avid, General Electric Healthcare and Piramal, and speaker honoraria from Biogen, Araclon Biotech-Grifols, Bayer and Novartis;</w:t>
      </w:r>
      <w:r w:rsidR="001A0AEE" w:rsidRPr="00045F85">
        <w:t xml:space="preserve"> </w:t>
      </w:r>
      <w:r w:rsidR="001A0AEE" w:rsidRPr="00045F85">
        <w:rPr>
          <w:rFonts w:cs="Arial"/>
          <w:bCs/>
        </w:rPr>
        <w:t>Ronald Boellaard</w:t>
      </w:r>
      <w:r w:rsidR="00D21369" w:rsidRPr="00045F85">
        <w:rPr>
          <w:rFonts w:cs="Arial"/>
          <w:bCs/>
        </w:rPr>
        <w:t xml:space="preserve"> has </w:t>
      </w:r>
      <w:r w:rsidR="009C535D" w:rsidRPr="00045F85">
        <w:rPr>
          <w:rFonts w:cs="Arial"/>
          <w:bCs/>
        </w:rPr>
        <w:t>provided</w:t>
      </w:r>
      <w:r w:rsidR="00D21369" w:rsidRPr="00045F85">
        <w:rPr>
          <w:rFonts w:cs="Arial"/>
          <w:bCs/>
        </w:rPr>
        <w:t xml:space="preserve"> data analysis service for Bristol Meyers Squibb, Rodin and Roche and is a scientific advisor for EARL; Nico Bohnen has received research support from the NIH, Department of Veteran Affairs, the Michael J. Fox Foundation, Eisai, Axovant Sciences, and Chase Pharmaceuticals; </w:t>
      </w:r>
      <w:r w:rsidR="006A3C93" w:rsidRPr="00045F85">
        <w:rPr>
          <w:shd w:val="clear" w:color="auto" w:fill="FFFFFF"/>
        </w:rPr>
        <w:t xml:space="preserve">David Brooks </w:t>
      </w:r>
      <w:r w:rsidR="006A2C21" w:rsidRPr="00045F85">
        <w:rPr>
          <w:shd w:val="clear" w:color="auto" w:fill="FFFFFF"/>
        </w:rPr>
        <w:t>was</w:t>
      </w:r>
      <w:r w:rsidR="006A3C93" w:rsidRPr="00045F85">
        <w:rPr>
          <w:shd w:val="clear" w:color="auto" w:fill="FFFFFF"/>
        </w:rPr>
        <w:t xml:space="preserve"> consultant for GE Healthcare and Biogen;</w:t>
      </w:r>
      <w:r w:rsidR="006A2C21" w:rsidRPr="00045F85">
        <w:rPr>
          <w:shd w:val="clear" w:color="auto" w:fill="FFFFFF"/>
        </w:rPr>
        <w:t xml:space="preserve"> John C. Dickson was consultant for GE Healthcare, Bioclinica and Biogen;</w:t>
      </w:r>
      <w:r w:rsidR="008E3107" w:rsidRPr="00045F85">
        <w:rPr>
          <w:shd w:val="clear" w:color="auto" w:fill="FFFFFF"/>
        </w:rPr>
        <w:t xml:space="preserve"> </w:t>
      </w:r>
      <w:r w:rsidR="008E3107" w:rsidRPr="00045F85">
        <w:rPr>
          <w:rFonts w:cs="Arial"/>
          <w:bCs/>
        </w:rPr>
        <w:t>Alexander Drzezga</w:t>
      </w:r>
      <w:r w:rsidR="009C535D" w:rsidRPr="00045F85">
        <w:rPr>
          <w:rFonts w:cs="Arial"/>
          <w:bCs/>
        </w:rPr>
        <w:t xml:space="preserve"> has received speaker honoraria</w:t>
      </w:r>
      <w:r w:rsidR="008E3107" w:rsidRPr="00045F85">
        <w:rPr>
          <w:rFonts w:cs="Arial"/>
          <w:bCs/>
        </w:rPr>
        <w:t xml:space="preserve"> from Siemens Healthineers, Sanofi/Henning, received research s</w:t>
      </w:r>
      <w:r w:rsidR="00A00A30" w:rsidRPr="00045F85">
        <w:rPr>
          <w:rFonts w:cs="Arial"/>
          <w:bCs/>
        </w:rPr>
        <w:t xml:space="preserve">upport from </w:t>
      </w:r>
      <w:r w:rsidR="008E3107" w:rsidRPr="00045F85">
        <w:rPr>
          <w:rFonts w:cs="Arial"/>
          <w:bCs/>
        </w:rPr>
        <w:t>AVID/Lilly, Life Molecular Imaging, GE Healthcare, Siemens Healthineers</w:t>
      </w:r>
      <w:r w:rsidR="00A00A30" w:rsidRPr="00045F85">
        <w:rPr>
          <w:rFonts w:cs="Arial"/>
          <w:bCs/>
        </w:rPr>
        <w:t>; Jacob Dubroff received speaker honoraria from IBA</w:t>
      </w:r>
      <w:r w:rsidR="00C54009" w:rsidRPr="00045F85">
        <w:rPr>
          <w:rFonts w:cs="Arial"/>
          <w:bCs/>
        </w:rPr>
        <w:t>; Peter Herscovitch is a member of Medical Imaging Drug Advisory Committee of U.S. Food and Drug Administration</w:t>
      </w:r>
      <w:r w:rsidR="00947284" w:rsidRPr="00045F85">
        <w:rPr>
          <w:rFonts w:cs="Arial"/>
          <w:bCs/>
        </w:rPr>
        <w:t>; John Seibyl is consultant for Invicro, Biogen, Roche, Life Molecular Imaging, and LikeMinds and has equity holding of Invicro</w:t>
      </w:r>
      <w:r w:rsidR="00ED0E02" w:rsidRPr="00045F85">
        <w:rPr>
          <w:rFonts w:cs="Arial"/>
          <w:bCs/>
        </w:rPr>
        <w:t>; K. Van Laere has performed consultancy services and contract research, through KU Leuven, for GE Healthcare, Merck, Janssen Pharmaceuticals, UCB, Syndesi Therapeutics and Eikonizo</w:t>
      </w:r>
      <w:r w:rsidR="00D96CA7" w:rsidRPr="00045F85">
        <w:rPr>
          <w:rFonts w:cs="Arial"/>
          <w:bCs/>
        </w:rPr>
        <w:t>;</w:t>
      </w:r>
      <w:r w:rsidR="00E860A7" w:rsidRPr="00045F85">
        <w:rPr>
          <w:rFonts w:cs="Arial"/>
          <w:bCs/>
        </w:rPr>
        <w:t xml:space="preserve"> Ian Law has received speaker honoraria from Siemens Healthcare.</w:t>
      </w:r>
      <w:r w:rsidR="0003773F" w:rsidRPr="00045F85">
        <w:rPr>
          <w:rFonts w:cs="Arial"/>
          <w:bCs/>
        </w:rPr>
        <w:t xml:space="preserve"> The other authors declare no conflict of interest. </w:t>
      </w:r>
    </w:p>
    <w:p w14:paraId="033BDD50" w14:textId="7697DFEC" w:rsidR="00F10F7B" w:rsidRPr="00045F85" w:rsidRDefault="00F10F7B" w:rsidP="00F10F7B">
      <w:r w:rsidRPr="00045F85">
        <w:t xml:space="preserve">Ethical approval: </w:t>
      </w:r>
      <w:r w:rsidR="007C1090" w:rsidRPr="00045F85">
        <w:t>These Guidelines do</w:t>
      </w:r>
      <w:r w:rsidRPr="00045F85">
        <w:t xml:space="preserve"> not contain any studies with human participants or animals performed by any of the authors.</w:t>
      </w:r>
    </w:p>
    <w:p w14:paraId="0E34646B" w14:textId="3A769E25" w:rsidR="00E72869" w:rsidRPr="00045F85" w:rsidRDefault="00E72869" w:rsidP="00F10F7B">
      <w:r w:rsidRPr="00045F85">
        <w:t>Liability statement</w:t>
      </w:r>
    </w:p>
    <w:p w14:paraId="0AFD0EED" w14:textId="08F7CAF1" w:rsidR="00E72869" w:rsidRPr="00045F85" w:rsidRDefault="5BE643A1" w:rsidP="00F10F7B">
      <w:r w:rsidRPr="00045F85">
        <w:t xml:space="preserve">This guideline summarizes the views of the EANM Neuroimaging and Dosimetry Committees and SNMMI. It reflects recommendations for which the EANM and the SNMMI cannot be held responsible. The recommendations </w:t>
      </w:r>
      <w:r w:rsidRPr="00045F85">
        <w:lastRenderedPageBreak/>
        <w:t>should be taken into context of good practice of nuclear medicine and do not substitute for national and international legal or regulatory provisions</w:t>
      </w:r>
    </w:p>
    <w:p w14:paraId="125CDB7E" w14:textId="77777777" w:rsidR="00F10F7B" w:rsidRPr="00045F85" w:rsidRDefault="00F10F7B" w:rsidP="00F10F7B"/>
    <w:p w14:paraId="378A5E43" w14:textId="5D5E0996" w:rsidR="0073207C" w:rsidRPr="00045F85" w:rsidRDefault="00D002B3" w:rsidP="004D1C39">
      <w:pPr>
        <w:pStyle w:val="berschrift1"/>
        <w:rPr>
          <w:color w:val="auto"/>
        </w:rPr>
      </w:pPr>
      <w:r w:rsidRPr="00045F85">
        <w:rPr>
          <w:color w:val="auto"/>
        </w:rPr>
        <w:t>References</w:t>
      </w:r>
      <w:r w:rsidR="00F10F7B" w:rsidRPr="00045F85">
        <w:rPr>
          <w:color w:val="auto"/>
        </w:rPr>
        <w:t xml:space="preserve"> </w:t>
      </w:r>
    </w:p>
    <w:p w14:paraId="6E910C32" w14:textId="1F33D954" w:rsidR="00232026" w:rsidRPr="00045F85" w:rsidRDefault="00232026" w:rsidP="00232026">
      <w:pPr>
        <w:rPr>
          <w:rFonts w:cs="Arial"/>
        </w:rPr>
      </w:pPr>
      <w:r w:rsidRPr="00045F85">
        <w:rPr>
          <w:rFonts w:cs="Arial"/>
          <w:lang w:val="it-IT"/>
        </w:rPr>
        <w:t>1.</w:t>
      </w:r>
      <w:r w:rsidRPr="00045F85">
        <w:rPr>
          <w:rFonts w:cs="Arial"/>
          <w:lang w:val="it-IT"/>
        </w:rPr>
        <w:tab/>
        <w:t xml:space="preserve">Berardelli A, Wenning GK, Antonini A, Berg D, Bloem BR, Bonifati V, et al. </w:t>
      </w:r>
      <w:r w:rsidR="00AA586A" w:rsidRPr="00045F85">
        <w:rPr>
          <w:rFonts w:cs="Arial"/>
        </w:rPr>
        <w:t xml:space="preserve">EFNS/MDS-ES/ENS </w:t>
      </w:r>
      <w:r w:rsidRPr="00045F85">
        <w:rPr>
          <w:rFonts w:cs="Arial"/>
        </w:rPr>
        <w:t>recommendations for  the diagnosis of Parkinson's disease. Eur J Neurol. 2013;20:16-34</w:t>
      </w:r>
    </w:p>
    <w:p w14:paraId="4D8DCF21" w14:textId="77777777" w:rsidR="00232026" w:rsidRPr="00045F85" w:rsidRDefault="00232026" w:rsidP="00232026">
      <w:pPr>
        <w:rPr>
          <w:rFonts w:cs="Arial"/>
        </w:rPr>
      </w:pPr>
      <w:r w:rsidRPr="00045F85">
        <w:rPr>
          <w:rFonts w:cs="Arial"/>
        </w:rPr>
        <w:t>2.</w:t>
      </w:r>
      <w:r w:rsidRPr="00045F85">
        <w:rPr>
          <w:rFonts w:cs="Arial"/>
        </w:rPr>
        <w:tab/>
        <w:t xml:space="preserve">Martí MJ, Tolosa E, Campdelacreu J. Clinical overview of the synucleinopathies. Mov Disord. 2003;18(Suppl 6):S21-27. </w:t>
      </w:r>
    </w:p>
    <w:p w14:paraId="54500439" w14:textId="77777777" w:rsidR="00232026" w:rsidRPr="00045F85" w:rsidRDefault="00232026" w:rsidP="00232026">
      <w:pPr>
        <w:rPr>
          <w:rFonts w:cs="Arial"/>
        </w:rPr>
      </w:pPr>
      <w:r w:rsidRPr="00045F85">
        <w:rPr>
          <w:rFonts w:cs="Arial"/>
        </w:rPr>
        <w:t>3.</w:t>
      </w:r>
      <w:r w:rsidRPr="00045F85">
        <w:rPr>
          <w:rFonts w:cs="Arial"/>
        </w:rPr>
        <w:tab/>
        <w:t>Armstrong MJ, Litvan I, Lang AE, Bak TH, Bhatia KP, Borroni B,et al. Criteria for the diagnosis of corticobasal degeneration. Neurology. 2013;80:496-503</w:t>
      </w:r>
    </w:p>
    <w:p w14:paraId="1CBED361" w14:textId="77777777" w:rsidR="00232026" w:rsidRPr="00045F85" w:rsidRDefault="00232026" w:rsidP="00232026">
      <w:pPr>
        <w:rPr>
          <w:rFonts w:cs="Arial"/>
        </w:rPr>
      </w:pPr>
      <w:r w:rsidRPr="00045F85">
        <w:rPr>
          <w:rFonts w:cs="Arial"/>
        </w:rPr>
        <w:t>4.</w:t>
      </w:r>
      <w:r w:rsidRPr="00045F85">
        <w:rPr>
          <w:rFonts w:cs="Arial"/>
        </w:rPr>
        <w:tab/>
        <w:t>Höglinger GU, Respondek G, Stamelou M, Kurz C, Josephs KA, Lang AE, et al. Movement Disorder Society-endorsed PSP Study Group. Clinical diagnosis of progressive supranuclear palsy: The movement disorder society criteria. Mov Disord. 2017;32:853-64</w:t>
      </w:r>
    </w:p>
    <w:p w14:paraId="5FBFED74" w14:textId="77777777" w:rsidR="00232026" w:rsidRPr="00045F85" w:rsidRDefault="00232026" w:rsidP="00232026">
      <w:pPr>
        <w:rPr>
          <w:rFonts w:cs="Arial"/>
        </w:rPr>
      </w:pPr>
      <w:r w:rsidRPr="00045F85">
        <w:rPr>
          <w:rFonts w:cs="Arial"/>
        </w:rPr>
        <w:t>5. Hughes AJ, Ben-Shlomo Y, Daniel SE, Lees AJ. What features improve the accuracy of clinical diagnosis in Parkinson’s disease: a clinicopathologic study. Neurology. 2001;57(suppl 3):S34–38.</w:t>
      </w:r>
    </w:p>
    <w:p w14:paraId="61056457" w14:textId="77777777" w:rsidR="00232026" w:rsidRPr="00045F85" w:rsidRDefault="00232026" w:rsidP="00232026">
      <w:pPr>
        <w:rPr>
          <w:rFonts w:cs="Arial"/>
        </w:rPr>
      </w:pPr>
      <w:r w:rsidRPr="00045F85">
        <w:rPr>
          <w:rFonts w:cs="Arial"/>
        </w:rPr>
        <w:t>6. Elsinga PH, Hatano K, Ishiwata K. PET tracers for imaging of the dopaminergic system. Curr Med Chem. 2006;13:2139–53</w:t>
      </w:r>
    </w:p>
    <w:p w14:paraId="26E73858" w14:textId="77777777" w:rsidR="00232026" w:rsidRPr="00045F85" w:rsidRDefault="00232026" w:rsidP="00232026">
      <w:pPr>
        <w:rPr>
          <w:rFonts w:cs="Arial"/>
        </w:rPr>
      </w:pPr>
      <w:r w:rsidRPr="00045F85">
        <w:rPr>
          <w:rFonts w:cs="Arial"/>
        </w:rPr>
        <w:t>7. Thobo is S, Jahanshahi M, Pinto S, Frackowiak R, Limousin Dowsey P. PET and SPECT functional imaging studies in Parkinsonian syndromes: from the lesion to its consequences. Neuroimage. 2004;23:1–16.</w:t>
      </w:r>
    </w:p>
    <w:p w14:paraId="0F69608A" w14:textId="77777777" w:rsidR="00232026" w:rsidRPr="00045F85" w:rsidRDefault="00232026" w:rsidP="00232026">
      <w:pPr>
        <w:rPr>
          <w:rFonts w:cs="Arial"/>
        </w:rPr>
      </w:pPr>
      <w:r w:rsidRPr="00045F85">
        <w:rPr>
          <w:rFonts w:cs="Arial"/>
        </w:rPr>
        <w:t>8. Booij J, Knol RJ. SPECT imaging of the dopaminergic system in (Premotor) Parkinson’s Disease. Parkinsonism Relat Disorders. 2007;13(Suppl 3):S425–8.</w:t>
      </w:r>
    </w:p>
    <w:p w14:paraId="58A93612" w14:textId="77777777" w:rsidR="00232026" w:rsidRPr="00045F85" w:rsidRDefault="00232026" w:rsidP="00232026">
      <w:pPr>
        <w:rPr>
          <w:rFonts w:cs="Arial"/>
        </w:rPr>
      </w:pPr>
      <w:r w:rsidRPr="00045F85">
        <w:rPr>
          <w:rFonts w:cs="Arial"/>
        </w:rPr>
        <w:t>9. Van Laere K, Varrone A, Booij J, Vander Borght T, Nobili F, Kapucu OL, et al. EANM procedure guidelines for brain neurotransmission SPECT/PET using dopamine D2 receptor ligands, version 2. Eur J Nucl Med Mol Imaging. 2010;37:434-42.</w:t>
      </w:r>
    </w:p>
    <w:p w14:paraId="6E8C2342" w14:textId="77777777" w:rsidR="00232026" w:rsidRPr="00045F85" w:rsidRDefault="00232026" w:rsidP="00232026">
      <w:pPr>
        <w:rPr>
          <w:rFonts w:cs="Arial"/>
        </w:rPr>
      </w:pPr>
      <w:r w:rsidRPr="00045F85">
        <w:rPr>
          <w:rFonts w:cs="Arial"/>
        </w:rPr>
        <w:t>10. Kim YJ, Ichise M, Ballinger JR, Vines D, Erami SS, Tatschida T, et al. Combination of dopamine transporter and D2 receptor SPECT in the diagnostic evaluation of PD, MSA, and PSP. Mov Disord. 2002;17:303–12.</w:t>
      </w:r>
    </w:p>
    <w:p w14:paraId="11318933" w14:textId="77777777" w:rsidR="00232026" w:rsidRPr="00045F85" w:rsidRDefault="00232026" w:rsidP="00232026">
      <w:pPr>
        <w:rPr>
          <w:rFonts w:cs="Arial"/>
        </w:rPr>
      </w:pPr>
      <w:r w:rsidRPr="00045F85">
        <w:rPr>
          <w:rFonts w:cs="Arial"/>
        </w:rPr>
        <w:t>11. Darcourt J, Booij J, Tatsch K, Varrone A, Vander Borght T, Kapucu OL, et al. EANM procedure guidelines for brain neurotransmission SPECT using (123)I-labelled dopamine transporter ligands, version 2. Eur J Nucl Med Mol Imaging. 2010;37:443-50</w:t>
      </w:r>
    </w:p>
    <w:p w14:paraId="3469247F" w14:textId="77777777" w:rsidR="00232026" w:rsidRPr="00045F85" w:rsidRDefault="00232026" w:rsidP="00232026">
      <w:pPr>
        <w:rPr>
          <w:rFonts w:cs="Arial"/>
        </w:rPr>
      </w:pPr>
      <w:r w:rsidRPr="00045F85">
        <w:rPr>
          <w:rFonts w:cs="Arial"/>
        </w:rPr>
        <w:lastRenderedPageBreak/>
        <w:t>12. Djang DS, Janssen MJ, Bohnen N, Booij J, Henderson TA, Herholz K, et al. SNM practice guideline for dopamine transporter imaging with 123I-ioflupane SPECT 1.0. J Nucl Med. 2012;53:154-63.</w:t>
      </w:r>
    </w:p>
    <w:p w14:paraId="40A9F41A" w14:textId="77777777" w:rsidR="00232026" w:rsidRPr="00045F85" w:rsidRDefault="00232026" w:rsidP="00232026">
      <w:pPr>
        <w:rPr>
          <w:rFonts w:cs="Arial"/>
        </w:rPr>
      </w:pPr>
      <w:r w:rsidRPr="00045F85">
        <w:rPr>
          <w:rFonts w:cs="Arial"/>
        </w:rPr>
        <w:t>13. DaTSCAN European Public Assessment Report. 072200en6.pdf and DaTSCAN-H-266-AR-II.pdf, http://www.emea.europa.eu/humandocs/Humans/EPAR/datscan/Datscan.htm</w:t>
      </w:r>
    </w:p>
    <w:p w14:paraId="53066CB9" w14:textId="77777777" w:rsidR="00232026" w:rsidRPr="00045F85" w:rsidRDefault="00232026" w:rsidP="00232026">
      <w:pPr>
        <w:rPr>
          <w:rFonts w:cs="Arial"/>
        </w:rPr>
      </w:pPr>
      <w:r w:rsidRPr="00045F85">
        <w:rPr>
          <w:rFonts w:cs="Arial"/>
        </w:rPr>
        <w:t>14. Benamer TS, Patterson J, Grosset DG, Booij J, de Bruin K, van Royen E, et al. Accurate differentiation of parkinsonism and essential tremor using visual assessment of [123I]-FP-CIT SPECT imaging: the [123I]-FP-CIT study group. Mov Disord. 2000;15:503–10.</w:t>
      </w:r>
    </w:p>
    <w:p w14:paraId="3885E8E6" w14:textId="77777777" w:rsidR="00232026" w:rsidRPr="00045F85" w:rsidRDefault="00232026" w:rsidP="00232026">
      <w:pPr>
        <w:rPr>
          <w:rFonts w:cs="Arial"/>
          <w:lang w:val="it-IT"/>
        </w:rPr>
      </w:pPr>
      <w:r w:rsidRPr="00045F85">
        <w:rPr>
          <w:rFonts w:cs="Arial"/>
        </w:rPr>
        <w:t xml:space="preserve">15. Booij J, Hemelaar TG, Speelman JD, de Bruin K, Janssen AG, van Royen EA. One-day protocol for imaging of the nigrostriatal dopaminergic pathway in Parkinson’s disease by [123I]FPCIT SPECT. </w:t>
      </w:r>
      <w:r w:rsidRPr="00045F85">
        <w:rPr>
          <w:rFonts w:cs="Arial"/>
          <w:lang w:val="it-IT"/>
        </w:rPr>
        <w:t>J Nucl Med. 1999;40:753–61.</w:t>
      </w:r>
    </w:p>
    <w:p w14:paraId="0444846B" w14:textId="77777777" w:rsidR="00232026" w:rsidRPr="00045F85" w:rsidRDefault="00232026" w:rsidP="00232026">
      <w:pPr>
        <w:rPr>
          <w:rFonts w:cs="Arial"/>
        </w:rPr>
      </w:pPr>
      <w:r w:rsidRPr="00045F85">
        <w:rPr>
          <w:rFonts w:cs="Arial"/>
          <w:lang w:val="it-IT"/>
        </w:rPr>
        <w:t xml:space="preserve">16. Scherfler C, Schwarz J, Antonini A, Grosset D, Valldeoriola F, Marek K, et al. </w:t>
      </w:r>
      <w:r w:rsidRPr="00045F85">
        <w:rPr>
          <w:rFonts w:cs="Arial"/>
        </w:rPr>
        <w:t>Role of DAT-SPECT in the diagnostic work up of parkinsonism. Mov Disord. 2007;22:1229–38.</w:t>
      </w:r>
    </w:p>
    <w:p w14:paraId="5398AD93" w14:textId="77777777" w:rsidR="00232026" w:rsidRPr="00045F85" w:rsidRDefault="00232026" w:rsidP="00232026">
      <w:pPr>
        <w:rPr>
          <w:rFonts w:cs="Arial"/>
        </w:rPr>
      </w:pPr>
      <w:r w:rsidRPr="00045F85">
        <w:rPr>
          <w:rFonts w:cs="Arial"/>
        </w:rPr>
        <w:t>17. Nicastro N, Garibotto V, Burkhard PR. 123I-FP-CIT SPECT Accurately Distinguishes Parkinsonian From Cerebellar Variant of Multiple System Atrophy. Clin Nucl Med. 2018;43:33-6.</w:t>
      </w:r>
    </w:p>
    <w:p w14:paraId="2347BCCA" w14:textId="77777777" w:rsidR="00232026" w:rsidRPr="00045F85" w:rsidRDefault="00232026" w:rsidP="00232026">
      <w:pPr>
        <w:rPr>
          <w:rFonts w:cs="Arial"/>
        </w:rPr>
      </w:pPr>
      <w:r w:rsidRPr="00045F85">
        <w:rPr>
          <w:rFonts w:cs="Arial"/>
        </w:rPr>
        <w:t>18. McKeith I, O’Brien J, Walker Z, Tatsch K, Booij J, Darcourt J, et al. Sensitivity and specificity of dopamine transporter imaging with 123I-FP-CIT SPECT in dementia with Lewy bodies: a phase III, multicentre study. Lancet Neurol. 2007;6:305–13</w:t>
      </w:r>
    </w:p>
    <w:p w14:paraId="122269CD" w14:textId="77777777" w:rsidR="00232026" w:rsidRPr="00045F85" w:rsidRDefault="00232026" w:rsidP="00232026">
      <w:pPr>
        <w:rPr>
          <w:rFonts w:cs="Arial"/>
        </w:rPr>
      </w:pPr>
      <w:r w:rsidRPr="00045F85">
        <w:rPr>
          <w:rFonts w:cs="Arial"/>
        </w:rPr>
        <w:t>19.Thomas AJ, Attems J, Colloby SJ, O'Brien JT, McKeith I, Walker R,et al. Autopsy validation of 123I-FP-CIT dopaminergic neuroimaging for the diagnosis of DLB. Neurology. 2017;88:276-83</w:t>
      </w:r>
    </w:p>
    <w:p w14:paraId="4D419DD6" w14:textId="77777777" w:rsidR="00232026" w:rsidRPr="00045F85" w:rsidRDefault="00232026" w:rsidP="00232026">
      <w:pPr>
        <w:rPr>
          <w:rFonts w:cs="Arial"/>
        </w:rPr>
      </w:pPr>
      <w:r w:rsidRPr="00045F85">
        <w:rPr>
          <w:rFonts w:cs="Arial"/>
        </w:rPr>
        <w:t>20. McKeith IG, Boeve BF, Dickson DW, Halliday G, Taylor JP, Weintraub D, et al. Diagnosis and management of dementia with Lewy bodies: Fourth consensus report of the DLB Consortium. Neurology. 2017;89:88-100</w:t>
      </w:r>
    </w:p>
    <w:p w14:paraId="6950F5B4" w14:textId="77777777" w:rsidR="00232026" w:rsidRPr="00045F85" w:rsidRDefault="00232026" w:rsidP="00232026">
      <w:pPr>
        <w:rPr>
          <w:rFonts w:cs="Arial"/>
        </w:rPr>
      </w:pPr>
      <w:r w:rsidRPr="00045F85">
        <w:rPr>
          <w:rFonts w:cs="Arial"/>
        </w:rPr>
        <w:t>21. Lorberboym M, Treves TA, Melamed E, Lampl Y, Hellmann M, Djaldetti R. [123I]-FP/CIT SPECT imaging for distinguishing drug-induced parkinsonism from Parkinson’s disease. Mov Disord. 2006;21:510–14.</w:t>
      </w:r>
    </w:p>
    <w:p w14:paraId="61EEE7DC" w14:textId="77777777" w:rsidR="00232026" w:rsidRPr="00045F85" w:rsidRDefault="00232026" w:rsidP="00232026">
      <w:pPr>
        <w:rPr>
          <w:rFonts w:cs="Arial"/>
        </w:rPr>
      </w:pPr>
      <w:r w:rsidRPr="00045F85">
        <w:rPr>
          <w:rFonts w:cs="Arial"/>
        </w:rPr>
        <w:t>22. Felicio AC, Godeiro-Junior C, Moriyama TS, Shih MC, Hoexter MQ, Borges V, et al. Degenerative parkinsonism in patients with psychogenic parkinsonism: a dopamine transporter imaging study. Clin Neurol Neurosurg. 2010;112:282–85.</w:t>
      </w:r>
    </w:p>
    <w:p w14:paraId="2541CB39" w14:textId="77777777" w:rsidR="00232026" w:rsidRPr="00045F85" w:rsidRDefault="00232026" w:rsidP="00232026">
      <w:pPr>
        <w:rPr>
          <w:rFonts w:cs="Arial"/>
          <w:lang w:val="it-IT"/>
        </w:rPr>
      </w:pPr>
      <w:r w:rsidRPr="00045F85">
        <w:rPr>
          <w:rFonts w:cs="Arial"/>
        </w:rPr>
        <w:t xml:space="preserve">23. Brigo F, Matinella A, Erro R, Tinazzi M. [¹²³I]FP-CIT SPECT (DaTSCAN) may be a useful tool to differentiate between Parkinson's disease and vascular or drug-induced parkinsonisms: a meta-analysis. </w:t>
      </w:r>
      <w:r w:rsidRPr="00045F85">
        <w:rPr>
          <w:rFonts w:cs="Arial"/>
          <w:lang w:val="it-IT"/>
        </w:rPr>
        <w:t>Eur J Neurol. 2014;21:1369-90.</w:t>
      </w:r>
    </w:p>
    <w:p w14:paraId="681E1D8D" w14:textId="77777777" w:rsidR="00232026" w:rsidRPr="00045F85" w:rsidRDefault="00232026" w:rsidP="00232026">
      <w:pPr>
        <w:rPr>
          <w:rFonts w:cs="Arial"/>
        </w:rPr>
      </w:pPr>
      <w:r w:rsidRPr="00045F85">
        <w:rPr>
          <w:rFonts w:cs="Arial"/>
          <w:lang w:val="it-IT"/>
        </w:rPr>
        <w:lastRenderedPageBreak/>
        <w:t xml:space="preserve">24. Bauckneht M, Chincarini A, De Carli F, Terzaghi M, Morbelli S, Nobili F, et al. </w:t>
      </w:r>
      <w:r w:rsidRPr="00045F85">
        <w:rPr>
          <w:rFonts w:cs="Arial"/>
        </w:rPr>
        <w:t>Presynaptic dopaminergic neuroimaging in REM sleep behavior disorder: A systematic review and meta-analysis. Sleep Med Rev. 2018;41:266-74</w:t>
      </w:r>
    </w:p>
    <w:p w14:paraId="66608DE0" w14:textId="77777777" w:rsidR="00232026" w:rsidRPr="00045F85" w:rsidRDefault="00232026" w:rsidP="00232026">
      <w:pPr>
        <w:rPr>
          <w:rFonts w:cs="Arial"/>
        </w:rPr>
      </w:pPr>
      <w:r w:rsidRPr="00045F85">
        <w:rPr>
          <w:rFonts w:cs="Arial"/>
        </w:rPr>
        <w:t>25. Berg D, Postuma RB, Adler CH, Bloem BR, Chan P, Dubois B, et al. MDS research criteria for prodromal Parkinson's disease. Mov Disord. 2015;30:1600-11</w:t>
      </w:r>
    </w:p>
    <w:p w14:paraId="212FBA8B" w14:textId="77777777" w:rsidR="00232026" w:rsidRPr="00045F85" w:rsidRDefault="00232026" w:rsidP="00232026">
      <w:pPr>
        <w:rPr>
          <w:rFonts w:cs="Arial"/>
        </w:rPr>
      </w:pPr>
      <w:r w:rsidRPr="00045F85">
        <w:rPr>
          <w:rFonts w:cs="Arial"/>
        </w:rPr>
        <w:t>26. Schreckenberger M, Hagele S, Siessmeier T, Buchholz HG, Armbrust-Henrich H, Rösch F, et al. The dopamine D2 receptor ligand 18F-desmethoxyfallypride: an appropriate fluorinated PET tracer for the differential diagnosis of parkinsonism. Eur J Nucl Med Mol Imaging. 2004;31:1128–35.</w:t>
      </w:r>
    </w:p>
    <w:p w14:paraId="3F143D1D" w14:textId="77777777" w:rsidR="00232026" w:rsidRPr="00045F85" w:rsidRDefault="00232026" w:rsidP="00232026">
      <w:pPr>
        <w:rPr>
          <w:rFonts w:cs="Arial"/>
        </w:rPr>
      </w:pPr>
      <w:r w:rsidRPr="00045F85">
        <w:rPr>
          <w:rFonts w:cs="Arial"/>
        </w:rPr>
        <w:t>27. Hellwig S, Amtage F, Kreft A, Buchert R, Winz OH, Vach W, et al. [¹</w:t>
      </w:r>
      <w:r w:rsidRPr="00045F85">
        <w:rPr>
          <w:rFonts w:ascii="Cambria Math" w:hAnsi="Cambria Math" w:cs="Arial"/>
        </w:rPr>
        <w:t>⁸</w:t>
      </w:r>
      <w:r w:rsidRPr="00045F85">
        <w:rPr>
          <w:rFonts w:cs="Arial"/>
        </w:rPr>
        <w:t>F]FDG-PET is superior to [¹²³I]IBZM-SPECT for the differential diagnosis of parkinsonism. Neurology. 2012;79:1314-22</w:t>
      </w:r>
    </w:p>
    <w:p w14:paraId="06795A7B" w14:textId="77777777" w:rsidR="00232026" w:rsidRPr="00045F85" w:rsidRDefault="00232026" w:rsidP="00232026">
      <w:pPr>
        <w:rPr>
          <w:rFonts w:cs="Arial"/>
        </w:rPr>
      </w:pPr>
      <w:r w:rsidRPr="00045F85">
        <w:rPr>
          <w:rFonts w:cs="Arial"/>
        </w:rPr>
        <w:t>28. Yoshita, M. Differentiation of idiopathic Parkinson’s disease from striatonigral degeneration and progressive supranuclear palsy using iodine-123 meta-iodobenzylguanidine myocardial scintigraphy. J Neurol Sci. 1998; 155, 60-7.</w:t>
      </w:r>
    </w:p>
    <w:p w14:paraId="7890C518" w14:textId="77777777" w:rsidR="00232026" w:rsidRPr="00045F85" w:rsidRDefault="00232026" w:rsidP="00232026">
      <w:pPr>
        <w:rPr>
          <w:rFonts w:cs="Arial"/>
        </w:rPr>
      </w:pPr>
      <w:r w:rsidRPr="00045F85">
        <w:rPr>
          <w:rFonts w:cs="Arial"/>
        </w:rPr>
        <w:t xml:space="preserve">29.FDA. Highlights of prescribing information F-DOPA. 2019. https://www.accessdata.fda.gov/drugsatfda_docs/label/2019/200655s000lbl.pdf Accessed 10 Oct 2019. </w:t>
      </w:r>
    </w:p>
    <w:p w14:paraId="64E6348F" w14:textId="77777777" w:rsidR="00232026" w:rsidRPr="00045F85" w:rsidRDefault="00232026" w:rsidP="00232026">
      <w:pPr>
        <w:rPr>
          <w:rFonts w:cs="Arial"/>
        </w:rPr>
      </w:pPr>
      <w:r w:rsidRPr="00045F85">
        <w:rPr>
          <w:rFonts w:cs="Arial"/>
        </w:rPr>
        <w:t>30.Kaasinen V, Vahlberg T. Striatal dopamine in Parkinson disease: A meta-analysis of imaging studies. Ann Neurol. 2017;82:873-82.</w:t>
      </w:r>
    </w:p>
    <w:p w14:paraId="6E7B421D" w14:textId="77777777" w:rsidR="00232026" w:rsidRPr="00045F85" w:rsidRDefault="00232026" w:rsidP="00232026">
      <w:pPr>
        <w:rPr>
          <w:rFonts w:cs="Arial"/>
        </w:rPr>
      </w:pPr>
      <w:r w:rsidRPr="00045F85">
        <w:rPr>
          <w:rFonts w:cs="Arial"/>
        </w:rPr>
        <w:t>31.Ribeiro MJ, Vidailhet M, Loc'h C, Dupel C, Nguyen JP, Ponchant M, et al. Dopaminergic function and dopamine transporter binding assessed with positron emission tomography in Parkinson disease. Arch Neurol. 2002;59:580-6</w:t>
      </w:r>
    </w:p>
    <w:p w14:paraId="09A44F85" w14:textId="77777777" w:rsidR="00232026" w:rsidRPr="00045F85" w:rsidRDefault="00232026" w:rsidP="00232026">
      <w:pPr>
        <w:rPr>
          <w:rFonts w:cs="Arial"/>
        </w:rPr>
      </w:pPr>
      <w:r w:rsidRPr="00045F85">
        <w:rPr>
          <w:rFonts w:cs="Arial"/>
        </w:rPr>
        <w:t>32. Eshuis SA, Maguire RP, Leenders KL, Jonkman S, Jager PL. Comparison of FP-CIT SPECT with F-DOPA PET in patients with de novo and advanced Parkinson's disease.  Eur J Nucl Med Mol Imaging. 2006;33:200-9.</w:t>
      </w:r>
    </w:p>
    <w:p w14:paraId="7F8B53E4" w14:textId="77777777" w:rsidR="00232026" w:rsidRPr="00045F85" w:rsidRDefault="00232026" w:rsidP="00232026">
      <w:pPr>
        <w:rPr>
          <w:rFonts w:cs="Arial"/>
        </w:rPr>
      </w:pPr>
      <w:r w:rsidRPr="00045F85">
        <w:rPr>
          <w:rFonts w:cs="Arial"/>
        </w:rPr>
        <w:t>33.  Booij J, Kemp P. Dopamine transporter imaging with [(123)I]FPCIT SPECT: potential effects of drugs. Eur J Nucl Med Mol Imaging 2008;35:424–38.</w:t>
      </w:r>
    </w:p>
    <w:p w14:paraId="1F1E42F9" w14:textId="77777777" w:rsidR="00232026" w:rsidRPr="00045F85" w:rsidRDefault="00232026" w:rsidP="00232026">
      <w:pPr>
        <w:rPr>
          <w:rFonts w:cs="Arial"/>
        </w:rPr>
      </w:pPr>
      <w:r w:rsidRPr="00045F85">
        <w:rPr>
          <w:rFonts w:cs="Arial"/>
        </w:rPr>
        <w:t>34. Volkow ND1, Fowler JS, Logan J, Alexoff D, Zhu W, Telang F, et al. Effects of modafinil on dopamine and dopamine transporters in the male human brain: clinical implications. JAMA. 2009;301:1148-54.</w:t>
      </w:r>
    </w:p>
    <w:p w14:paraId="66FC08B8" w14:textId="77777777" w:rsidR="00232026" w:rsidRPr="00045F85" w:rsidRDefault="00232026" w:rsidP="00232026">
      <w:pPr>
        <w:rPr>
          <w:rFonts w:cs="Arial"/>
        </w:rPr>
      </w:pPr>
      <w:r w:rsidRPr="00045F85">
        <w:rPr>
          <w:rFonts w:cs="Arial"/>
        </w:rPr>
        <w:t xml:space="preserve">35. Iffland K, Grotenhermen F. An Update on Safety and Side Effects of Cannabidiol: A Review of Clinical Data and Relevant Animal Studies. Cannabis Cannabinoid Res. 2017;2:139-54. </w:t>
      </w:r>
    </w:p>
    <w:p w14:paraId="6DE778DF" w14:textId="77777777" w:rsidR="00232026" w:rsidRPr="00045F85" w:rsidRDefault="00232026" w:rsidP="00232026">
      <w:pPr>
        <w:rPr>
          <w:rFonts w:cs="Arial"/>
        </w:rPr>
      </w:pPr>
      <w:r w:rsidRPr="00045F85">
        <w:rPr>
          <w:rFonts w:cs="Arial"/>
        </w:rPr>
        <w:t>36. Booij J, de Jong J, de Bruin K, Knol RJJ, de Win MM, van Eck- Smit BLF. Quantification of striatal dopamine transporters with [123I]FP-CIT SPECT is influenced by the selective serotonin reuptake inhibitor paroxetine: a double-</w:t>
      </w:r>
      <w:r w:rsidRPr="00045F85">
        <w:rPr>
          <w:rFonts w:cs="Arial"/>
        </w:rPr>
        <w:lastRenderedPageBreak/>
        <w:t>blind, placebo-controlled, crossover study in healthy controls. J Nucl Med 2007;48:359–66</w:t>
      </w:r>
    </w:p>
    <w:p w14:paraId="6414F0C8" w14:textId="77777777" w:rsidR="00232026" w:rsidRPr="00045F85" w:rsidRDefault="00232026" w:rsidP="00232026">
      <w:pPr>
        <w:rPr>
          <w:rFonts w:cs="Arial"/>
          <w:lang w:val="it-IT"/>
        </w:rPr>
      </w:pPr>
      <w:r w:rsidRPr="00045F85">
        <w:rPr>
          <w:rFonts w:cs="Arial"/>
        </w:rPr>
        <w:t xml:space="preserve">37. Cilia R, Marotta G, Belletti A, Siri C, Pezzoli G. Reversible dopamine transporter reduction in drug-induced Parkinsonism. </w:t>
      </w:r>
      <w:r w:rsidRPr="00045F85">
        <w:rPr>
          <w:rFonts w:cs="Arial"/>
          <w:lang w:val="it-IT"/>
        </w:rPr>
        <w:t xml:space="preserve">Mov Disord. 2014 ;29:575-746. </w:t>
      </w:r>
    </w:p>
    <w:p w14:paraId="1266068B" w14:textId="77777777" w:rsidR="00232026" w:rsidRPr="00045F85" w:rsidRDefault="00232026" w:rsidP="00232026">
      <w:pPr>
        <w:rPr>
          <w:rFonts w:cs="Arial"/>
        </w:rPr>
      </w:pPr>
      <w:r w:rsidRPr="00045F85">
        <w:rPr>
          <w:rFonts w:cs="Arial"/>
          <w:lang w:val="it-IT"/>
        </w:rPr>
        <w:t xml:space="preserve">38. Schillaci O, Pierantozzi M, Filippi L, Manni C, Brusa L, Danieli R, et al. </w:t>
      </w:r>
      <w:r w:rsidRPr="00045F85">
        <w:rPr>
          <w:rFonts w:cs="Arial"/>
        </w:rPr>
        <w:t>The effect of levodopa therapy on dopamine transporter SPECT imaging with 123I-FP-CIT in patients with Parkinson’s disease. Eur J Nucl Med Mol Imaging. 2005;32:1452–6.</w:t>
      </w:r>
    </w:p>
    <w:p w14:paraId="6F15CCD3" w14:textId="77777777" w:rsidR="00232026" w:rsidRPr="00045F85" w:rsidRDefault="00232026" w:rsidP="00232026">
      <w:pPr>
        <w:rPr>
          <w:rFonts w:cs="Arial"/>
        </w:rPr>
      </w:pPr>
      <w:r w:rsidRPr="00045F85">
        <w:rPr>
          <w:rFonts w:cs="Arial"/>
        </w:rPr>
        <w:t>39. Yang YK, Yao WJ, Yeh TL, Lee IH, Chen PS, Lu RB, et al. Decreased dopamine transporter availability in male smokers-a dual isotope SPECT study. Prog Neuropsychopharmacol Biol Psychiatry. 2008;32:274–9.</w:t>
      </w:r>
    </w:p>
    <w:p w14:paraId="325F9BB0" w14:textId="77777777" w:rsidR="00232026" w:rsidRPr="00045F85" w:rsidRDefault="00232026" w:rsidP="00232026">
      <w:pPr>
        <w:rPr>
          <w:rFonts w:cs="Arial"/>
          <w:lang w:val="it-IT"/>
        </w:rPr>
      </w:pPr>
      <w:r w:rsidRPr="00045F85">
        <w:rPr>
          <w:rFonts w:cs="Arial"/>
        </w:rPr>
        <w:t xml:space="preserve">40. Seibyl JP, Wallace E, Smith EO, Stabin M, Baldwin RM, Zoghbi S, et al. Whole-body biodistribution, radiation absorbed dose and brain SPECT imaging with iodine-123-beta-CIT in healthy human subjects. </w:t>
      </w:r>
      <w:r w:rsidRPr="00045F85">
        <w:rPr>
          <w:rFonts w:cs="Arial"/>
          <w:lang w:val="it-IT"/>
        </w:rPr>
        <w:t>J Nucl Med. 1994;35:764–70.</w:t>
      </w:r>
    </w:p>
    <w:p w14:paraId="18E46B1C" w14:textId="77777777" w:rsidR="00232026" w:rsidRPr="00045F85" w:rsidRDefault="00232026" w:rsidP="00232026">
      <w:pPr>
        <w:rPr>
          <w:rFonts w:cs="Arial"/>
        </w:rPr>
      </w:pPr>
      <w:r w:rsidRPr="00045F85">
        <w:rPr>
          <w:rFonts w:cs="Arial"/>
          <w:lang w:val="it-IT"/>
        </w:rPr>
        <w:t xml:space="preserve">41. Varrone A, Sansone V, Pellecchia MT, Amboni M, Salvatore E, De Michele G, et al. </w:t>
      </w:r>
      <w:r w:rsidRPr="00045F85">
        <w:rPr>
          <w:rFonts w:cs="Arial"/>
        </w:rPr>
        <w:t>Comparison between a dual-head and a brain-dedicated SPECT system in the measurement of the loss of dopamine transporters with [(123)I]FP-CIT. Eur J Nucl Med Mol Imaging. 2008;35:1343–9</w:t>
      </w:r>
    </w:p>
    <w:p w14:paraId="0DEDBF2E" w14:textId="77777777" w:rsidR="00232026" w:rsidRPr="00045F85" w:rsidRDefault="00232026" w:rsidP="00232026">
      <w:pPr>
        <w:rPr>
          <w:rFonts w:cs="Arial"/>
        </w:rPr>
      </w:pPr>
      <w:r w:rsidRPr="00045F85">
        <w:rPr>
          <w:rFonts w:cs="Arial"/>
        </w:rPr>
        <w:t>42. Dobbeleir AA, Hambÿe A-SE, Franken PR. Influence of high-energy photons on the spectrum of iodine-123 with low-and medium-energy collimators: consequences for imaging with 123Ilabelled compounds in clinical practice. Eur J Nucl Med Mol Imaging. 1999;26:655-8</w:t>
      </w:r>
    </w:p>
    <w:p w14:paraId="74CC0F6A" w14:textId="77777777" w:rsidR="00232026" w:rsidRPr="00045F85" w:rsidRDefault="00232026" w:rsidP="00232026">
      <w:pPr>
        <w:rPr>
          <w:rFonts w:cs="Arial"/>
        </w:rPr>
      </w:pPr>
      <w:r w:rsidRPr="00045F85">
        <w:rPr>
          <w:rFonts w:cs="Arial"/>
        </w:rPr>
        <w:t>43. Koch W, Bartenstein P, la Fougère C. Radius dependence of FP-CIT quantification: a Monte Carlo-based simulation study. Ann Nuc Med. 2014;28:103–11.</w:t>
      </w:r>
    </w:p>
    <w:p w14:paraId="53784F31" w14:textId="77777777" w:rsidR="00232026" w:rsidRPr="00045F85" w:rsidRDefault="00232026" w:rsidP="00232026">
      <w:pPr>
        <w:rPr>
          <w:rFonts w:cs="Arial"/>
        </w:rPr>
      </w:pPr>
      <w:r w:rsidRPr="00045F85">
        <w:rPr>
          <w:rFonts w:cs="Arial"/>
        </w:rPr>
        <w:t xml:space="preserve">44.  QIBA Profile: Quantifying Dopamine Transporters with 123 - Iodine Labeled Ioflupane in Neurodegenerative Disease Profile (v1.1), August 28, 2017 </w:t>
      </w:r>
    </w:p>
    <w:p w14:paraId="4982E40A" w14:textId="77777777" w:rsidR="00232026" w:rsidRPr="00045F85" w:rsidRDefault="00232026" w:rsidP="00232026">
      <w:pPr>
        <w:rPr>
          <w:rFonts w:cs="Arial"/>
        </w:rPr>
      </w:pPr>
      <w:r w:rsidRPr="00045F85">
        <w:rPr>
          <w:rFonts w:cs="Arial"/>
          <w:lang w:val="it-IT"/>
        </w:rPr>
        <w:t xml:space="preserve">45. Dickson JC, Tossici-Bolt L, Sera T, Erlandsson K, Varrone A, Tatsch K, et al., 2009. </w:t>
      </w:r>
      <w:r w:rsidRPr="00045F85">
        <w:rPr>
          <w:rFonts w:cs="Arial"/>
        </w:rPr>
        <w:t>The impact of reconstruction method on the quantification of DaTSCAN images. European journal of nuclear medicine and molecular imaging.2010;37:23–35.</w:t>
      </w:r>
    </w:p>
    <w:p w14:paraId="3D733A49" w14:textId="77777777" w:rsidR="00232026" w:rsidRPr="00045F85" w:rsidRDefault="00232026" w:rsidP="00232026">
      <w:pPr>
        <w:rPr>
          <w:rFonts w:cs="Arial"/>
        </w:rPr>
      </w:pPr>
      <w:r w:rsidRPr="00045F85">
        <w:rPr>
          <w:rFonts w:cs="Arial"/>
        </w:rPr>
        <w:t>46. Tossici-Bolt L, Dickson JC, Sera T, de Nijs R, Bagnara MC, Jonsson C et al. Calibration of gamma camera systems for a multicentre European 123I-FP-CIT SPECT normal database. European journal of nuclear medicine and molecular imaging. 2011;38:1529–40.</w:t>
      </w:r>
    </w:p>
    <w:p w14:paraId="088FD685" w14:textId="77777777" w:rsidR="00232026" w:rsidRPr="00045F85" w:rsidRDefault="00232026" w:rsidP="00232026">
      <w:pPr>
        <w:rPr>
          <w:rFonts w:cs="Arial"/>
        </w:rPr>
      </w:pPr>
      <w:r w:rsidRPr="00045F85">
        <w:rPr>
          <w:rFonts w:cs="Arial"/>
        </w:rPr>
        <w:t>47. Soret, M, Koulibaly PM, Darcourt J, Hapdey S, Buvat I. Quantitative accuracy of dopaminergic neurotransmission imaging with (123)I SPECT. J Nuc Med. 2003;44:1184–93</w:t>
      </w:r>
    </w:p>
    <w:p w14:paraId="1125512F" w14:textId="77777777" w:rsidR="00232026" w:rsidRPr="00045F85" w:rsidRDefault="00232026" w:rsidP="00232026">
      <w:pPr>
        <w:rPr>
          <w:rFonts w:cs="Arial"/>
        </w:rPr>
      </w:pPr>
      <w:r w:rsidRPr="00045F85">
        <w:rPr>
          <w:rFonts w:cs="Arial"/>
        </w:rPr>
        <w:lastRenderedPageBreak/>
        <w:t xml:space="preserve">48. Ichihara, T. Ogawa K, Motomura N, Kubo A, Hashimoto S. Compton scatter compensation using the triple-energy window method for single- and dual-isotope SPECT. J Nuc Med. 1993;34:2216-21. </w:t>
      </w:r>
    </w:p>
    <w:p w14:paraId="5FA839A3" w14:textId="77777777" w:rsidR="00232026" w:rsidRPr="00045F85" w:rsidRDefault="00232026" w:rsidP="00232026">
      <w:pPr>
        <w:rPr>
          <w:rFonts w:cs="Arial"/>
        </w:rPr>
      </w:pPr>
      <w:r w:rsidRPr="00045F85">
        <w:rPr>
          <w:rFonts w:cs="Arial"/>
        </w:rPr>
        <w:t>49. Iida H, Narita Y, Kado H, Kashikura A, Sugawara S, Shoji Y, et al. Effects of scatter and attenuation correction on quantitative assessment of regional cerebral blood flow with SPECT. Journal of Nuclear Medicine. 1998;39:181–9</w:t>
      </w:r>
    </w:p>
    <w:p w14:paraId="53B7F995" w14:textId="77777777" w:rsidR="00232026" w:rsidRPr="00045F85" w:rsidRDefault="00232026" w:rsidP="00232026">
      <w:pPr>
        <w:rPr>
          <w:rFonts w:cs="Arial"/>
        </w:rPr>
      </w:pPr>
      <w:r w:rsidRPr="00045F85">
        <w:rPr>
          <w:rFonts w:cs="Arial"/>
        </w:rPr>
        <w:t>50. Tossici-Bolt L, Dickson JC, Sera T, Booij J, Asenbaun-Nan S, Bagnara MC et al. [(123)I]FP-CIT ENC-DAT normal database: the impact of the reconstruction and quantification methods. EJNMMI Physics. 2017;4:8</w:t>
      </w:r>
    </w:p>
    <w:p w14:paraId="53EE9B06" w14:textId="77777777" w:rsidR="00232026" w:rsidRPr="00045F85" w:rsidRDefault="00232026" w:rsidP="00232026">
      <w:pPr>
        <w:rPr>
          <w:rFonts w:cs="Arial"/>
        </w:rPr>
      </w:pPr>
      <w:r w:rsidRPr="00045F85">
        <w:rPr>
          <w:rFonts w:cs="Arial"/>
        </w:rPr>
        <w:t>51. EANM Physics Committee Busemann Sokole E, Płachcínska A, Britten A; EANM Working Group on Routine quality control recommendations for nuclear medicine instrumentation. Eur J Nuc Med Mol imaging. 2010;37:662–71.</w:t>
      </w:r>
    </w:p>
    <w:p w14:paraId="03BE237A" w14:textId="77777777" w:rsidR="00232026" w:rsidRPr="00045F85" w:rsidRDefault="00232026" w:rsidP="00232026">
      <w:pPr>
        <w:rPr>
          <w:rFonts w:cs="Arial"/>
        </w:rPr>
      </w:pPr>
      <w:r w:rsidRPr="00045F85">
        <w:rPr>
          <w:rFonts w:cs="Arial"/>
        </w:rPr>
        <w:t>52. INTERNATIONAL ATOMIC ENERGY AGENCY, Quality Assurance for SPECT Systems, IAEA Human Health Series No. 6, IAEA, Vienna (2009).</w:t>
      </w:r>
    </w:p>
    <w:p w14:paraId="3063C12F" w14:textId="77777777" w:rsidR="00232026" w:rsidRPr="00045F85" w:rsidRDefault="00232026" w:rsidP="00232026">
      <w:pPr>
        <w:rPr>
          <w:rFonts w:cs="Arial"/>
        </w:rPr>
      </w:pPr>
      <w:r w:rsidRPr="00045F85">
        <w:rPr>
          <w:rFonts w:cs="Arial"/>
        </w:rPr>
        <w:t>53. INTERNATIONAL ATOMIC ENERGY AGENCY, Quality Assurance Programme for Computed Tomography: Diagnostic and Therapy Applications, IAEA Human Health Series No. 19, IAEA, Vienna (2012)</w:t>
      </w:r>
    </w:p>
    <w:p w14:paraId="7DF6F4F2" w14:textId="77777777" w:rsidR="00232026" w:rsidRPr="00045F85" w:rsidRDefault="00232026" w:rsidP="00232026">
      <w:pPr>
        <w:rPr>
          <w:rFonts w:cs="Arial"/>
        </w:rPr>
      </w:pPr>
      <w:r w:rsidRPr="00045F85">
        <w:rPr>
          <w:rFonts w:cs="Arial"/>
        </w:rPr>
        <w:t>54. Tissingh G, Booij J, Bergmans P, Winogrodzka A, Janssen AG, van Royen EA, et al. Iodine-123-N-omega-fluoropropyl-2 bcarbomethoxy-3 b-(4-iodophenyl)tropane SPECT in healthy controls and early stage, drug-naive Parkinson’s disease. J Nucl Med. 1998;39:1143–48.</w:t>
      </w:r>
    </w:p>
    <w:p w14:paraId="061FF60F" w14:textId="77777777" w:rsidR="00232026" w:rsidRPr="00045F85" w:rsidRDefault="00232026" w:rsidP="00232026">
      <w:pPr>
        <w:rPr>
          <w:rFonts w:cs="Arial"/>
        </w:rPr>
      </w:pPr>
      <w:r w:rsidRPr="00045F85">
        <w:rPr>
          <w:rFonts w:cs="Arial"/>
        </w:rPr>
        <w:t>55. Marshall VL, Reininger CB, Marquardt M,  Patterson J, Hadley DM, Oertel WH, et al. Parkinson’s disease is overdiagnosed clinically at baseline in diagnostically uncertain cases: a 3-year European multicenter study with repeat [123I]FP-CIT SPECT. Mov Disord. 2009;24:500–8.</w:t>
      </w:r>
    </w:p>
    <w:p w14:paraId="132F4098" w14:textId="77777777" w:rsidR="00232026" w:rsidRPr="00045F85" w:rsidRDefault="00232026" w:rsidP="00232026">
      <w:pPr>
        <w:rPr>
          <w:rFonts w:cs="Arial"/>
          <w:lang w:val="it-IT"/>
        </w:rPr>
      </w:pPr>
      <w:r w:rsidRPr="00045F85">
        <w:rPr>
          <w:rFonts w:cs="Arial"/>
        </w:rPr>
        <w:t xml:space="preserve">56. Catafau AM, Tolosa E. DaTSCAN Clinically Uncertain Parkinsonian Syndromes Study Group. Impact of dopamine transporter SPECT using 123I-ioflupane on diagnosis and management of patients with clinically uncertain parkinsonian syndromes. </w:t>
      </w:r>
      <w:r w:rsidRPr="00045F85">
        <w:rPr>
          <w:rFonts w:cs="Arial"/>
          <w:lang w:val="it-IT"/>
        </w:rPr>
        <w:t>Mov Disord. 2004;19:1175–82.</w:t>
      </w:r>
    </w:p>
    <w:p w14:paraId="16CDC1F7" w14:textId="77777777" w:rsidR="00232026" w:rsidRPr="00045F85" w:rsidRDefault="00232026" w:rsidP="00232026">
      <w:pPr>
        <w:rPr>
          <w:rFonts w:cs="Arial"/>
        </w:rPr>
      </w:pPr>
      <w:r w:rsidRPr="00045F85">
        <w:rPr>
          <w:rFonts w:cs="Arial"/>
          <w:lang w:val="it-IT"/>
        </w:rPr>
        <w:t xml:space="preserve">57. Arnaldi D, De Carli F, Picco A, Ferrara M, Accardo J, Bossert I, et al. </w:t>
      </w:r>
      <w:r w:rsidRPr="00045F85">
        <w:rPr>
          <w:rFonts w:cs="Arial"/>
        </w:rPr>
        <w:t>Nigro-caudate dopaminergic deafferentation: a marker of REM sleep behavior disorder? Neurobiol Aging. 2015;36:3300-05</w:t>
      </w:r>
    </w:p>
    <w:p w14:paraId="6E96E3CA" w14:textId="77777777" w:rsidR="00232026" w:rsidRPr="00045F85" w:rsidRDefault="00232026" w:rsidP="00232026">
      <w:pPr>
        <w:rPr>
          <w:rFonts w:cs="Arial"/>
        </w:rPr>
      </w:pPr>
      <w:r w:rsidRPr="00045F85">
        <w:rPr>
          <w:rFonts w:cs="Arial"/>
        </w:rPr>
        <w:t>58. Pirker W, Holler I, Gerschlager W, Asenbaum S, Zettinig G, Brücke T. Measuring the rate of progression of Parkinson's disease over a 5-year period with beta-CIT SPECT. Mov Disord. 2003;18:1266-72</w:t>
      </w:r>
    </w:p>
    <w:p w14:paraId="2DADAC07" w14:textId="77777777" w:rsidR="00232026" w:rsidRPr="00045F85" w:rsidRDefault="00232026" w:rsidP="00232026">
      <w:pPr>
        <w:rPr>
          <w:rFonts w:cs="Arial"/>
        </w:rPr>
      </w:pPr>
      <w:r w:rsidRPr="00045F85">
        <w:rPr>
          <w:rFonts w:cs="Arial"/>
        </w:rPr>
        <w:t>59. Kordower JH, Olanow CW, Dodiya HB, Chu Y, Beach TG, Adler CH, et al. Disease duration and the integrity of the nigrostriatal system in Parkinson's disease. Brain 2013;136:2419-31.</w:t>
      </w:r>
    </w:p>
    <w:p w14:paraId="7AAD54E4" w14:textId="77777777" w:rsidR="00232026" w:rsidRPr="00045F85" w:rsidRDefault="00232026" w:rsidP="00232026">
      <w:pPr>
        <w:rPr>
          <w:rFonts w:cs="Arial"/>
        </w:rPr>
      </w:pPr>
      <w:r w:rsidRPr="00045F85">
        <w:rPr>
          <w:rFonts w:cs="Arial"/>
        </w:rPr>
        <w:t xml:space="preserve">60. Booij J, Dubroff J, Pryma D, Yu J, Agarwal R, Lakhani P, et al. Diagnostic Performance of the Visual Reading of (123)I-Ioflupane SPECT Images With or </w:t>
      </w:r>
      <w:r w:rsidRPr="00045F85">
        <w:rPr>
          <w:rFonts w:cs="Arial"/>
        </w:rPr>
        <w:lastRenderedPageBreak/>
        <w:t>Without Quantification in Patients With Movement Disorders or Dementia. J Nucl Med. 2017;58:1821-26</w:t>
      </w:r>
    </w:p>
    <w:p w14:paraId="669EB28D" w14:textId="77777777" w:rsidR="00232026" w:rsidRPr="00045F85" w:rsidRDefault="00232026" w:rsidP="00232026">
      <w:pPr>
        <w:rPr>
          <w:rFonts w:cs="Arial"/>
        </w:rPr>
      </w:pPr>
      <w:r w:rsidRPr="00045F85">
        <w:rPr>
          <w:rFonts w:cs="Arial"/>
        </w:rPr>
        <w:t>61. Marek K, Seibyl J, Eberly S, Oakes D, Shoulson I, Lang AE, et al. Parkinson Study Group PRECEPT Investigators. Longitudinal follow-up of SWEDD subjects in the PRECEPT Study. Neurology. 2014;82:1791-7</w:t>
      </w:r>
    </w:p>
    <w:p w14:paraId="7134B1A6" w14:textId="77777777" w:rsidR="00232026" w:rsidRPr="00045F85" w:rsidRDefault="00232026" w:rsidP="00232026">
      <w:pPr>
        <w:rPr>
          <w:rFonts w:cs="Arial"/>
        </w:rPr>
      </w:pPr>
      <w:r w:rsidRPr="00045F85">
        <w:rPr>
          <w:rFonts w:cs="Arial"/>
        </w:rPr>
        <w:t>62. Lorberboym M, Djaldetti R, Melamed E, Sadeh M, Lampl Y. 123I-FP-CIT SPECT imaging of dopamine transporters in patients with cerebrovascular disease and clinical diagnosis of vascular parkinsonism. J Nucl Med. 2004;45:1688–93.</w:t>
      </w:r>
    </w:p>
    <w:p w14:paraId="0D9012C3" w14:textId="77777777" w:rsidR="00232026" w:rsidRPr="00045F85" w:rsidRDefault="00232026" w:rsidP="00232026">
      <w:pPr>
        <w:rPr>
          <w:rFonts w:cs="Arial"/>
        </w:rPr>
      </w:pPr>
      <w:r w:rsidRPr="00045F85">
        <w:rPr>
          <w:rFonts w:cs="Arial"/>
        </w:rPr>
        <w:t>63. Benítez-Rivero S, Marín-Oyaga VA, García-Solís D, Huertas-Fernández I, García-Gómez FJ, Jesús S, Cáceres MT, Carrillo F, Ortiz AM, Carballo M, Mir P. Clinical features and 123I-FP-CIT SPECT imaging in vascular parkinsonism and Parkinson's disease. J Neurol Neurosurg Psychiatry. 2013;84:122-9</w:t>
      </w:r>
    </w:p>
    <w:p w14:paraId="6B2C7437" w14:textId="77777777" w:rsidR="00232026" w:rsidRPr="00045F85" w:rsidRDefault="00232026" w:rsidP="00232026">
      <w:pPr>
        <w:rPr>
          <w:rFonts w:cs="Arial"/>
        </w:rPr>
      </w:pPr>
      <w:r w:rsidRPr="00045F85">
        <w:rPr>
          <w:rFonts w:cs="Arial"/>
        </w:rPr>
        <w:t>64. Vizcarra JA, Lang AE, Sethi KD, Espay AJ. Vascular Parkinsonism: deconstructing a syndrome. Mov Disord. 2015;30:886-94.</w:t>
      </w:r>
    </w:p>
    <w:p w14:paraId="237356B9" w14:textId="77777777" w:rsidR="00232026" w:rsidRPr="00045F85" w:rsidRDefault="00232026" w:rsidP="00232026">
      <w:pPr>
        <w:rPr>
          <w:rFonts w:cs="Arial"/>
        </w:rPr>
      </w:pPr>
      <w:r w:rsidRPr="00045F85">
        <w:rPr>
          <w:rFonts w:cs="Arial"/>
        </w:rPr>
        <w:t>65. Wardlaw JM, Smith EE, Biessels GJ, Cordonnier C, Fazekas F, Frayne R, et al. Neuroimaging standards for research into small vessel disease and its contribution to ageing and neurodegeneration. Lancet Neurol. 2013;12:822-38.</w:t>
      </w:r>
    </w:p>
    <w:p w14:paraId="1AD2AAAF" w14:textId="77777777" w:rsidR="00232026" w:rsidRPr="00045F85" w:rsidRDefault="00232026" w:rsidP="00232026">
      <w:pPr>
        <w:rPr>
          <w:rFonts w:cs="Arial"/>
        </w:rPr>
      </w:pPr>
      <w:r w:rsidRPr="00045F85">
        <w:rPr>
          <w:rFonts w:cs="Arial"/>
        </w:rPr>
        <w:t xml:space="preserve">66. Jellinger KA. The neuropathologic diagnosis of secondary parkinsonian syndromes. Adv. Neurol. 1996;69:293–303. </w:t>
      </w:r>
    </w:p>
    <w:p w14:paraId="1EEACD40" w14:textId="77777777" w:rsidR="00232026" w:rsidRPr="00045F85" w:rsidRDefault="00232026" w:rsidP="00232026">
      <w:pPr>
        <w:rPr>
          <w:rFonts w:cs="Arial"/>
        </w:rPr>
      </w:pPr>
      <w:r w:rsidRPr="00045F85">
        <w:rPr>
          <w:rFonts w:cs="Arial"/>
        </w:rPr>
        <w:t>67. Van der Zande J, Booij J, Scheltens P, Raijmakers, P, Lemstra AW. [123]FP-CIT SPECT scans initially rated as normal became abnormal over time in patients with probable dementia with Lewy bodies. Eur J Nucl Med Mol Imaging 2016;43:1060-66.</w:t>
      </w:r>
    </w:p>
    <w:p w14:paraId="30D0C347" w14:textId="77777777" w:rsidR="00232026" w:rsidRPr="00045F85" w:rsidRDefault="00232026" w:rsidP="00232026">
      <w:pPr>
        <w:rPr>
          <w:rFonts w:cs="Arial"/>
          <w:lang w:val="it-IT"/>
        </w:rPr>
      </w:pPr>
      <w:r w:rsidRPr="00045F85">
        <w:rPr>
          <w:rFonts w:cs="Arial"/>
        </w:rPr>
        <w:t xml:space="preserve">68. Nobili F, Arnaldi D, Morbelli S. Is dopamine transporter invariably impaired at the time of diagnosis in dementia with Lewy bodies? </w:t>
      </w:r>
      <w:r w:rsidRPr="00045F85">
        <w:rPr>
          <w:rFonts w:cs="Arial"/>
          <w:lang w:val="it-IT"/>
        </w:rPr>
        <w:t>Eur J Nucl Med Mol Imaging 2016;43:1056-59.</w:t>
      </w:r>
    </w:p>
    <w:p w14:paraId="53E04904" w14:textId="77777777" w:rsidR="00232026" w:rsidRPr="00045F85" w:rsidRDefault="00232026" w:rsidP="00232026">
      <w:pPr>
        <w:rPr>
          <w:rFonts w:cs="Arial"/>
        </w:rPr>
      </w:pPr>
      <w:r w:rsidRPr="00045F85">
        <w:rPr>
          <w:rFonts w:cs="Arial"/>
          <w:lang w:val="it-IT"/>
        </w:rPr>
        <w:t xml:space="preserve">69. Cilia R, Rossi C, Frosini D, Volterrani D, Siri C, Pagni C, et al. </w:t>
      </w:r>
      <w:r w:rsidRPr="00045F85">
        <w:rPr>
          <w:rFonts w:cs="Arial"/>
        </w:rPr>
        <w:t>Dopamine Transporter SPECT Imaging in Corticobasal Syndrome. PLoS One. 2011;6:18301</w:t>
      </w:r>
    </w:p>
    <w:p w14:paraId="5E5E1091" w14:textId="77777777" w:rsidR="00232026" w:rsidRPr="00045F85" w:rsidRDefault="00232026" w:rsidP="00232026">
      <w:pPr>
        <w:rPr>
          <w:rFonts w:cs="Arial"/>
        </w:rPr>
      </w:pPr>
      <w:r w:rsidRPr="00045F85">
        <w:rPr>
          <w:rFonts w:cs="Arial"/>
        </w:rPr>
        <w:t xml:space="preserve">70. Walker Z, Gandolfo F, Orini S, Garibotto V, Agosta F, Arbizu J,et al. EANM-EAN Task Force for the recommendation of FDG PET for Dementing Neurodegenerative Disorders. Clinical utility of FDG PET in Parkinson's disease and atypical parkinsonism associated with dementia. Eur J Nucl Med Mol Imaging. 2018;45:1534-45. </w:t>
      </w:r>
    </w:p>
    <w:p w14:paraId="59AE7D04" w14:textId="77777777" w:rsidR="00232026" w:rsidRPr="00045F85" w:rsidRDefault="00232026" w:rsidP="00232026">
      <w:pPr>
        <w:rPr>
          <w:rFonts w:cs="Arial"/>
        </w:rPr>
      </w:pPr>
      <w:r w:rsidRPr="00045F85">
        <w:rPr>
          <w:rFonts w:cs="Arial"/>
        </w:rPr>
        <w:t xml:space="preserve">71. Orimo S, Suzuki M, Inaba A, Mizusawa H.123I-MIBG myocardial scintigraphy for differentiating Parkinson's disease from other neurodegenerative parkinsonism: a systematic review and meta-analysis. Parkinsonism Relat Disord. 2012;18:494-500. </w:t>
      </w:r>
    </w:p>
    <w:p w14:paraId="15FEE357" w14:textId="77777777" w:rsidR="00232026" w:rsidRPr="00045F85" w:rsidRDefault="00232026" w:rsidP="00232026">
      <w:pPr>
        <w:rPr>
          <w:rFonts w:cs="Arial"/>
        </w:rPr>
      </w:pPr>
      <w:r w:rsidRPr="00045F85">
        <w:rPr>
          <w:rFonts w:cs="Arial"/>
        </w:rPr>
        <w:lastRenderedPageBreak/>
        <w:t>72. Rinne JO, Laine M, Kaasinen V, Norvasuo-Heilä MK, Någren K, Helenius H. Striatal dopamine transporter and extrapyramidal symptoms in frontotemporal dementia. Neurology. 2002;58:1489-93.</w:t>
      </w:r>
    </w:p>
    <w:p w14:paraId="6E642EC2" w14:textId="77777777" w:rsidR="00232026" w:rsidRPr="00045F85" w:rsidRDefault="00232026" w:rsidP="00232026">
      <w:pPr>
        <w:rPr>
          <w:rFonts w:cs="Arial"/>
        </w:rPr>
      </w:pPr>
      <w:r w:rsidRPr="00045F85">
        <w:rPr>
          <w:rFonts w:cs="Arial"/>
        </w:rPr>
        <w:t>73. Morgan S, Kemp P, Booij J,  Costa DC, Padayachee S, Lee L, et al. Differentiation of frontotemporal dementia from dementia with Lewy bodies using FP-CIT SPECT. J Neurol Neurosurg Psychiatry. 2012;83:1063-70.</w:t>
      </w:r>
    </w:p>
    <w:p w14:paraId="1462C47C" w14:textId="77777777" w:rsidR="00232026" w:rsidRPr="00045F85" w:rsidRDefault="00232026" w:rsidP="00232026">
      <w:pPr>
        <w:rPr>
          <w:rFonts w:cs="Arial"/>
        </w:rPr>
      </w:pPr>
      <w:r w:rsidRPr="00045F85">
        <w:rPr>
          <w:rFonts w:cs="Arial"/>
        </w:rPr>
        <w:t>74. Miyoshi M, Shinotoh H, Wszolek ZK,  Strongosky AJ, Shimada H, Arakawa R, et al. In vivo detection of neuropathologic changes in presymptomatic MAPT mutation carriers: a PET and MRI study. Parkinsonism Relat Disord. 2010;16:404-8.</w:t>
      </w:r>
    </w:p>
    <w:p w14:paraId="2C189434" w14:textId="77777777" w:rsidR="00232026" w:rsidRPr="00045F85" w:rsidRDefault="00232026" w:rsidP="00232026">
      <w:pPr>
        <w:rPr>
          <w:rFonts w:cs="Arial"/>
          <w:lang w:val="it-IT"/>
        </w:rPr>
      </w:pPr>
      <w:r w:rsidRPr="00045F85">
        <w:rPr>
          <w:rFonts w:cs="Arial"/>
        </w:rPr>
        <w:t xml:space="preserve">75. Kishore A, Wszolek ZK, Snow BJ, de la Fuente-Fernandez R, Arwert F, Wijker M, et al. Presynaptic nigrostriatal function in genetically tested asymptomatic relatives from the pallido-ponto-nigral degeneration family. </w:t>
      </w:r>
      <w:r w:rsidRPr="00045F85">
        <w:rPr>
          <w:rFonts w:cs="Arial"/>
          <w:lang w:val="it-IT"/>
        </w:rPr>
        <w:t>Neurology. 1996;47:1588-90.</w:t>
      </w:r>
    </w:p>
    <w:p w14:paraId="45FA497C" w14:textId="77777777" w:rsidR="00232026" w:rsidRPr="00045F85" w:rsidRDefault="00232026" w:rsidP="00232026">
      <w:pPr>
        <w:rPr>
          <w:rFonts w:cs="Arial"/>
          <w:lang w:val="it-IT"/>
        </w:rPr>
      </w:pPr>
      <w:r w:rsidRPr="00045F85">
        <w:rPr>
          <w:rFonts w:cs="Arial"/>
          <w:lang w:val="it-IT"/>
        </w:rPr>
        <w:t xml:space="preserve">76.  Tiraboschi P, Corso A, Guerra UP, Nobili F, Piccardo A, Calcagni ML, et al. </w:t>
      </w:r>
      <w:r w:rsidRPr="00045F85">
        <w:rPr>
          <w:rFonts w:cs="Arial"/>
        </w:rPr>
        <w:t xml:space="preserve">SCILLA Working Group. 123 I-FP-CIT SPECT and 123 I-MIBG myocardial scintigraphy in differentiating dementia with Lewy bodies from other dementias: a comparative study. </w:t>
      </w:r>
      <w:r w:rsidRPr="00045F85">
        <w:rPr>
          <w:rFonts w:cs="Arial"/>
          <w:lang w:val="it-IT"/>
        </w:rPr>
        <w:t>Ann Neurol 2016;80:368-78.</w:t>
      </w:r>
    </w:p>
    <w:p w14:paraId="2DE1F589" w14:textId="77777777" w:rsidR="00232026" w:rsidRPr="00045F85" w:rsidRDefault="00232026" w:rsidP="00232026">
      <w:pPr>
        <w:rPr>
          <w:rFonts w:cs="Arial"/>
        </w:rPr>
      </w:pPr>
      <w:r w:rsidRPr="00045F85">
        <w:rPr>
          <w:rFonts w:cs="Arial"/>
          <w:lang w:val="it-IT"/>
        </w:rPr>
        <w:t xml:space="preserve">77. Arnaldi D, Campus C, Ferrara M, Famà F, Picco A, De Carli F,et al. </w:t>
      </w:r>
      <w:r w:rsidRPr="00045F85">
        <w:rPr>
          <w:rFonts w:cs="Arial"/>
        </w:rPr>
        <w:t>What predicts cognitive decline in de novo Parkinson's disease? Neurobiol Aging. 2012;1127:11-20.</w:t>
      </w:r>
    </w:p>
    <w:p w14:paraId="50955A4A" w14:textId="77777777" w:rsidR="00232026" w:rsidRPr="00045F85" w:rsidRDefault="00232026" w:rsidP="00232026">
      <w:pPr>
        <w:rPr>
          <w:rFonts w:cs="Arial"/>
        </w:rPr>
      </w:pPr>
      <w:r w:rsidRPr="00045F85">
        <w:rPr>
          <w:rFonts w:cs="Arial"/>
        </w:rPr>
        <w:t>78. Seibyl JP, Marek K, Sheff K, Zoghbi S, Baldwin RM, Charney DS, et al. Iodine-123-beta-CIT and iodine-123-FPCIT SPECT measurement of dopamine transporters in healthy subjects and Parkinson’s patients. J Nucl Med. 1998;39:1500–08.</w:t>
      </w:r>
    </w:p>
    <w:p w14:paraId="0CB5BAB4" w14:textId="77777777" w:rsidR="00232026" w:rsidRPr="00045F85" w:rsidRDefault="00232026" w:rsidP="00232026">
      <w:pPr>
        <w:rPr>
          <w:rFonts w:cs="Arial"/>
        </w:rPr>
      </w:pPr>
      <w:r w:rsidRPr="00045F85">
        <w:rPr>
          <w:rFonts w:cs="Arial"/>
        </w:rPr>
        <w:t>79. Laruelle M, Wallace E, Seibyl JP, Baldwin RM, Zea-Ponce Y, Zoghbi SS, et al. Graphical, kinetic, and equilibrium analyses of in vivo [123I] beta-CIT binding to dopamine transporters in healthy human subjects. J Cereb Blood Flow Metab. 1994;14:982-94.</w:t>
      </w:r>
    </w:p>
    <w:p w14:paraId="32C83B7F" w14:textId="77777777" w:rsidR="00232026" w:rsidRPr="00045F85" w:rsidRDefault="00232026" w:rsidP="00232026">
      <w:pPr>
        <w:rPr>
          <w:rFonts w:cs="Arial"/>
        </w:rPr>
      </w:pPr>
      <w:r w:rsidRPr="00045F85">
        <w:rPr>
          <w:rFonts w:cs="Arial"/>
        </w:rPr>
        <w:t>80. Seibyl, JP, Marek K, Sheff K, Baldwin RM, Zoghbi S, Zea-Ponce Y, et al., Test/retest reproducibility of iodine-123-betaCIT SPECT brain measurement of dopamine transporters in Parkinson's patients. J Nucl Med. 1997;38:1453-9.</w:t>
      </w:r>
    </w:p>
    <w:p w14:paraId="469F4224" w14:textId="77777777" w:rsidR="00232026" w:rsidRPr="00045F85" w:rsidRDefault="00232026" w:rsidP="00232026">
      <w:pPr>
        <w:rPr>
          <w:rFonts w:cs="Arial"/>
        </w:rPr>
      </w:pPr>
      <w:r w:rsidRPr="00045F85">
        <w:rPr>
          <w:rFonts w:cs="Arial"/>
        </w:rPr>
        <w:t xml:space="preserve">81. Booij, J, Dubroff J, Pryma D, Yu JQ, Agarwal R, Lakhani P, et al. Diagnostic performance of the visual reading of (123)I-ioflupane SPECT images when assessed with or without quantification in patients with movement disorders or dementia. J Nuc Med. 2017;58:1821-26. </w:t>
      </w:r>
    </w:p>
    <w:p w14:paraId="66B93219" w14:textId="77777777" w:rsidR="00232026" w:rsidRPr="00045F85" w:rsidRDefault="00232026" w:rsidP="00232026">
      <w:pPr>
        <w:rPr>
          <w:rFonts w:cs="Arial"/>
        </w:rPr>
      </w:pPr>
      <w:r w:rsidRPr="00045F85">
        <w:rPr>
          <w:rFonts w:cs="Arial"/>
        </w:rPr>
        <w:t>82. Booij J, Habraken JB, Bergmans P, Tissingh G, Winogrodzka A, Wolters EC, et al. Imaging of dopamine transporters with iodine-123-FP-CIT SPECT in healthy controls and patients with Parkinson’s disease. J Nucl Med. 1998;39:1879–84.</w:t>
      </w:r>
    </w:p>
    <w:p w14:paraId="69C3CCCF" w14:textId="77777777" w:rsidR="00232026" w:rsidRPr="00045F85" w:rsidRDefault="00232026" w:rsidP="00232026">
      <w:pPr>
        <w:rPr>
          <w:rFonts w:cs="Arial"/>
        </w:rPr>
      </w:pPr>
      <w:r w:rsidRPr="00045F85">
        <w:rPr>
          <w:rFonts w:cs="Arial"/>
        </w:rPr>
        <w:lastRenderedPageBreak/>
        <w:t>83. Calvini P, Rodriguez G, Inguglia F, Mignone A, Guerra UP, Nobili F. The basal  ganglia matching tools package for striatal uptake semi-quantification: description and validation. Eur J Nucl Med Mol Imaging. 2007;34:1240-53</w:t>
      </w:r>
    </w:p>
    <w:p w14:paraId="17951857" w14:textId="77777777" w:rsidR="00232026" w:rsidRPr="00045F85" w:rsidRDefault="00232026" w:rsidP="00232026">
      <w:pPr>
        <w:rPr>
          <w:rFonts w:cs="Arial"/>
        </w:rPr>
      </w:pPr>
      <w:r w:rsidRPr="00045F85">
        <w:rPr>
          <w:rFonts w:cs="Arial"/>
        </w:rPr>
        <w:t>84. Matesan M, Gaddikeri S, Longfellow K, Miyaoka R, Elojeimy S, Elman S, et al. I-123 DaTscan SPECT Brain Imaging in Parkinsonian Syndromes: Utility of the Putamen-to-Caudate Ratio. J Neuroimaging. 2018;28:629-34</w:t>
      </w:r>
    </w:p>
    <w:p w14:paraId="4DD36DBD" w14:textId="77777777" w:rsidR="00232026" w:rsidRPr="00045F85" w:rsidRDefault="00232026" w:rsidP="00232026">
      <w:pPr>
        <w:rPr>
          <w:rFonts w:cs="Arial"/>
        </w:rPr>
      </w:pPr>
      <w:r w:rsidRPr="00045F85">
        <w:rPr>
          <w:rFonts w:cs="Arial"/>
        </w:rPr>
        <w:t>85. Zubal IG, Early M, Yuan O, Jennings D, Marek K, Seibyl JP. Optimized, automated striatal uptake analysis applied to SPECT brain scans of Parkinson's disease patients. J Nucl Med. 2007;48:857-64</w:t>
      </w:r>
    </w:p>
    <w:p w14:paraId="4325C4FA" w14:textId="77777777" w:rsidR="00232026" w:rsidRPr="00045F85" w:rsidRDefault="00232026" w:rsidP="00232026">
      <w:pPr>
        <w:rPr>
          <w:rFonts w:cs="Arial"/>
        </w:rPr>
      </w:pPr>
      <w:r w:rsidRPr="00045F85">
        <w:rPr>
          <w:rFonts w:cs="Arial"/>
        </w:rPr>
        <w:t>86. Morton RJ, Guy MJ, Clauss R, Hinton PJ, Marshall CA, Clarke EA. Comparison of  different methods of DatSCAN quantification. Nucl Med Commun. 2005;26:1139-46</w:t>
      </w:r>
    </w:p>
    <w:p w14:paraId="1B027214" w14:textId="77777777" w:rsidR="00232026" w:rsidRPr="00045F85" w:rsidRDefault="00232026" w:rsidP="00232026">
      <w:pPr>
        <w:rPr>
          <w:rFonts w:cs="Arial"/>
        </w:rPr>
      </w:pPr>
      <w:r w:rsidRPr="00045F85">
        <w:rPr>
          <w:rFonts w:cs="Arial"/>
        </w:rPr>
        <w:t>87. Nobili F, Naseri M, De Carli F, Asenbaum S, Booij J, Darcourt J, et al. Automatic semi-quantification of [123I]FP-CIT SPECT scans in healthy volunteers using BasGan version 2: results from the ENC-DAT database. Eur J Nucl Med Mol Imaging, 2013;40:565-7</w:t>
      </w:r>
    </w:p>
    <w:p w14:paraId="47DF3924" w14:textId="77777777" w:rsidR="00232026" w:rsidRPr="00045F85" w:rsidRDefault="00232026" w:rsidP="00232026">
      <w:pPr>
        <w:rPr>
          <w:rFonts w:cs="Arial"/>
        </w:rPr>
      </w:pPr>
      <w:r w:rsidRPr="00045F85">
        <w:rPr>
          <w:rFonts w:cs="Arial"/>
        </w:rPr>
        <w:t xml:space="preserve">88: Kuo PH, Lei HH, Avery R, Krupinski EA, Bauer A, Sherman S, et al. Evaluation of an Objective Striatal Analysis Program for Determining Laterality in Uptake of ¹²³I-Ioflupane SPECT Images: Comparison to Clinical Symptoms and to Visual Reads. J Nucl Med Technol. 2014;42:105-8. </w:t>
      </w:r>
    </w:p>
    <w:p w14:paraId="599FE5AE" w14:textId="77777777" w:rsidR="00232026" w:rsidRPr="00045F85" w:rsidRDefault="00232026" w:rsidP="00232026">
      <w:pPr>
        <w:rPr>
          <w:rFonts w:cs="Arial"/>
        </w:rPr>
      </w:pPr>
      <w:r w:rsidRPr="00045F85">
        <w:rPr>
          <w:rFonts w:cs="Arial"/>
          <w:lang w:val="it-IT"/>
        </w:rPr>
        <w:t xml:space="preserve">89. Dickson JC, Tossici-Bolt L, Sera T, Erlandsson K, Varrone A, Tatsch K,  et al. </w:t>
      </w:r>
      <w:r w:rsidRPr="00045F85">
        <w:rPr>
          <w:rFonts w:cs="Arial"/>
        </w:rPr>
        <w:t>The impact of reconstruction method on the quantification of DaTSCAN images. Eur J Nucl Med Mol Imaging. 2010;37:23–35.</w:t>
      </w:r>
    </w:p>
    <w:p w14:paraId="663B289D" w14:textId="77777777" w:rsidR="00232026" w:rsidRPr="00045F85" w:rsidRDefault="00232026" w:rsidP="00232026">
      <w:pPr>
        <w:rPr>
          <w:rFonts w:cs="Arial"/>
        </w:rPr>
      </w:pPr>
      <w:r w:rsidRPr="00045F85">
        <w:rPr>
          <w:rFonts w:cs="Arial"/>
        </w:rPr>
        <w:t>90. Koch W, Radau PE, Munzing W, Tatsch K. Cross-camera comparison of SPECT measurements of a 3-D anthropomorphic basal ganglia phantom. Eur J Nucl Med Mol Imaging. 2006;33:495–502.</w:t>
      </w:r>
    </w:p>
    <w:p w14:paraId="0691F82A" w14:textId="77777777" w:rsidR="00232026" w:rsidRPr="00045F85" w:rsidRDefault="00232026" w:rsidP="00232026">
      <w:pPr>
        <w:rPr>
          <w:rFonts w:cs="Arial"/>
        </w:rPr>
      </w:pPr>
      <w:r w:rsidRPr="00045F85">
        <w:rPr>
          <w:rFonts w:cs="Arial"/>
        </w:rPr>
        <w:t>91. Tinaz S,  Chow C, Kuo PH, Krupinski EA, Blumenfeld H, Louis ED, et. al. Semiquantitative Analysis of Dopamine Transporter Scans in Patients With Parkinson Disease. Clin Nucl Med. 2018;43:1-7.</w:t>
      </w:r>
    </w:p>
    <w:p w14:paraId="28EA10AB" w14:textId="77777777" w:rsidR="00232026" w:rsidRPr="00045F85" w:rsidRDefault="00232026" w:rsidP="00232026">
      <w:pPr>
        <w:rPr>
          <w:rFonts w:cs="Arial"/>
        </w:rPr>
      </w:pPr>
      <w:r w:rsidRPr="00045F85">
        <w:rPr>
          <w:rFonts w:cs="Arial"/>
        </w:rPr>
        <w:t xml:space="preserve">92. Kuo PH, Eshghi N, Tinaz S, Blumenfeld H, Louis ED, Zubal G. Optimization of Parameters for Quantitative Analysis of 123I-ioflupane SPECT Images for Monitoring of Progression of Parkinson's Disease. J Nucl Med Technol. 2019;47:70-4 </w:t>
      </w:r>
    </w:p>
    <w:p w14:paraId="368E2672" w14:textId="77777777" w:rsidR="00232026" w:rsidRPr="00045F85" w:rsidRDefault="00232026" w:rsidP="00232026">
      <w:pPr>
        <w:rPr>
          <w:rFonts w:cs="Arial"/>
        </w:rPr>
      </w:pPr>
      <w:r w:rsidRPr="00045F85">
        <w:rPr>
          <w:rFonts w:cs="Arial"/>
        </w:rPr>
        <w:t>93. Tossici-Bolt L, Hoffmann SM, Kemp PM, Mehta RL, Fleming JS. Quantification of [(123)I]FP-CIT SPECT brain images: an accurate technique for measurement of the specific binding ratio. Eur J Nucl Med Mol Imaging. 2006;33:1491–9</w:t>
      </w:r>
    </w:p>
    <w:p w14:paraId="0665B158" w14:textId="77777777" w:rsidR="00232026" w:rsidRPr="00045F85" w:rsidRDefault="00232026" w:rsidP="00232026">
      <w:pPr>
        <w:rPr>
          <w:rFonts w:cs="Arial"/>
        </w:rPr>
      </w:pPr>
      <w:r w:rsidRPr="00045F85">
        <w:rPr>
          <w:rFonts w:cs="Arial"/>
        </w:rPr>
        <w:t>94. Hsu CC, Chang YH, Lin WC, Tang SW, Wang PW, Huang YC, et al. The feasibility of using CT-guided ROI for semiquantifying striatal dopamine transporter availability in a hybrid SPECT/CT system. ScientificWorldJournal. 2014;2014:879497</w:t>
      </w:r>
    </w:p>
    <w:p w14:paraId="06512CDA" w14:textId="77777777" w:rsidR="00232026" w:rsidRPr="00045F85" w:rsidRDefault="00232026" w:rsidP="00232026">
      <w:pPr>
        <w:rPr>
          <w:rFonts w:cs="Arial"/>
        </w:rPr>
      </w:pPr>
      <w:r w:rsidRPr="00045F85">
        <w:rPr>
          <w:rFonts w:cs="Arial"/>
        </w:rPr>
        <w:lastRenderedPageBreak/>
        <w:t>95. Hirschauer TJ, H Adeli, JA Buford. Computer-Aided Diagnosis of Parkinson's Disease Using Enhanced Probabilistic Neural Network. J Med Syst. 2015;39:179.</w:t>
      </w:r>
    </w:p>
    <w:p w14:paraId="73325D4A" w14:textId="77777777" w:rsidR="00232026" w:rsidRPr="00045F85" w:rsidRDefault="00232026" w:rsidP="00232026">
      <w:pPr>
        <w:rPr>
          <w:rFonts w:cs="Arial"/>
        </w:rPr>
      </w:pPr>
      <w:r w:rsidRPr="00045F85">
        <w:rPr>
          <w:rFonts w:cs="Arial"/>
        </w:rPr>
        <w:t>96. Rahmim, A.,  Salimpour Y, Jain S, Blinder SA, Klyuzhin IS, Smith GS, et al., Application of texture analysis to DAT SPECT imaging: Relationship to clinical assessments. Neuroimage Clin. 2016;12:1-9.</w:t>
      </w:r>
    </w:p>
    <w:p w14:paraId="6E31E5A1" w14:textId="77777777" w:rsidR="00232026" w:rsidRPr="00045F85" w:rsidRDefault="00232026" w:rsidP="00232026">
      <w:pPr>
        <w:rPr>
          <w:rFonts w:cs="Arial"/>
        </w:rPr>
      </w:pPr>
      <w:r w:rsidRPr="00045F85">
        <w:rPr>
          <w:rFonts w:cs="Arial"/>
        </w:rPr>
        <w:t xml:space="preserve">97. Mozley PD, Schneider JS, Acton PD, Plössl K, Stern MB, Siderowf A, et al. Binding of [99mTc]TRODAT-1 to dopamine transporters in patients with Parkinson's disease and in healthy volunteers. J Nucl Med. 2000;41:584-9 </w:t>
      </w:r>
    </w:p>
    <w:p w14:paraId="0B43342C" w14:textId="77777777" w:rsidR="00232026" w:rsidRPr="00045F85" w:rsidRDefault="00232026" w:rsidP="00232026">
      <w:pPr>
        <w:rPr>
          <w:rFonts w:cs="Arial"/>
        </w:rPr>
      </w:pPr>
      <w:r w:rsidRPr="00045F85">
        <w:rPr>
          <w:rFonts w:cs="Arial"/>
        </w:rPr>
        <w:t>98. Dickson JC, Tossici-Bolt L, Sera T, Booij J, Ziebell M, Morbelli S, et al. The impact of reconstruction and scanner characterization on the diagnostic capability of a normal database for [(123)I]FP-CIT SPECT imaging. EJNMMI Res. 2017;7:10</w:t>
      </w:r>
    </w:p>
    <w:p w14:paraId="2C353801" w14:textId="77777777" w:rsidR="00232026" w:rsidRPr="00045F85" w:rsidRDefault="00232026" w:rsidP="00232026">
      <w:pPr>
        <w:rPr>
          <w:rFonts w:cs="Arial"/>
        </w:rPr>
      </w:pPr>
      <w:r w:rsidRPr="00045F85">
        <w:rPr>
          <w:rFonts w:cs="Arial"/>
        </w:rPr>
        <w:t>99. Buchert R, Kluge A, Tossici-Bolt L, Dickson J, Bronzel M, Lange C, et al. Reduction in camera-specific variability in [(123)I]FP-CIT SPECT outcome measures by image reconstruction optimized for multisite settings: impact on age-dependence of the  specific binding ratio in the ENC-DAT database of healthy controls. Eur J Nucl Med Mol Imaging. 2016;43:1323-36</w:t>
      </w:r>
    </w:p>
    <w:p w14:paraId="10B244CD" w14:textId="77777777" w:rsidR="00232026" w:rsidRPr="00045F85" w:rsidRDefault="00232026" w:rsidP="00232026">
      <w:pPr>
        <w:rPr>
          <w:rFonts w:cs="Arial"/>
        </w:rPr>
      </w:pPr>
      <w:r w:rsidRPr="00045F85">
        <w:rPr>
          <w:rFonts w:cs="Arial"/>
        </w:rPr>
        <w:t>100. Varrone A, Dickson JC, Tossici-Bolt L, Sera T, Asenbaum S, Booij J, et al. European multicentre database of healthy controls for [123I]FP-CIT SPECT (ENC-DAT): age-related effects, gender differences and evaluation of different methods of analysis. Eur J Nucl Med Mol Imaging. 2013;40:213-27</w:t>
      </w:r>
    </w:p>
    <w:p w14:paraId="2206160F" w14:textId="77777777" w:rsidR="00232026" w:rsidRPr="00045F85" w:rsidRDefault="00232026" w:rsidP="00232026">
      <w:pPr>
        <w:rPr>
          <w:rFonts w:cs="Arial"/>
        </w:rPr>
      </w:pPr>
      <w:r w:rsidRPr="00045F85">
        <w:rPr>
          <w:rFonts w:cs="Arial"/>
        </w:rPr>
        <w:t>101. Parkinson Progression Marker Initiative. The Parkinson Progression Marker Initiative (PPMI). Prog Neurobiol. 2011;95:629-35</w:t>
      </w:r>
    </w:p>
    <w:p w14:paraId="5E891005" w14:textId="77777777" w:rsidR="00232026" w:rsidRPr="00045F85" w:rsidRDefault="00232026" w:rsidP="00232026">
      <w:pPr>
        <w:rPr>
          <w:rFonts w:cs="Arial"/>
        </w:rPr>
      </w:pPr>
      <w:r w:rsidRPr="00045F85">
        <w:rPr>
          <w:rFonts w:cs="Arial"/>
        </w:rPr>
        <w:t>102. Hesse S, van de Giessen E, Zientek F, Petroff D, Winter K, Dickson JC, et al. Association of central serotonin transporter availability and body mass index in  healthy Europeans. Eur Neuropsychopharmacol. 2014;24:1240-7</w:t>
      </w:r>
    </w:p>
    <w:p w14:paraId="4B387019" w14:textId="77777777" w:rsidR="00232026" w:rsidRPr="00045F85" w:rsidRDefault="00232026" w:rsidP="00232026">
      <w:pPr>
        <w:rPr>
          <w:rFonts w:cs="Arial"/>
        </w:rPr>
      </w:pPr>
      <w:r w:rsidRPr="00045F85">
        <w:rPr>
          <w:rFonts w:cs="Arial"/>
        </w:rPr>
        <w:t>103. Lapa C, Spehl TS, Brumberg J, Isaias IU, Schlögl S, Lassmann M, et al. Influence of CT-based attenuation correction on dopamine transporter SPECT with [(123)I]FP-CIT. Am J Nucl Med Mol Imaging. 2015;5:278-86</w:t>
      </w:r>
    </w:p>
    <w:p w14:paraId="4F315895" w14:textId="77777777" w:rsidR="00232026" w:rsidRPr="00045F85" w:rsidRDefault="00232026" w:rsidP="00232026">
      <w:pPr>
        <w:rPr>
          <w:rFonts w:cs="Arial"/>
        </w:rPr>
      </w:pPr>
      <w:r w:rsidRPr="00045F85">
        <w:rPr>
          <w:rFonts w:cs="Arial"/>
        </w:rPr>
        <w:t>104. Simuni T, Siderowf A, Lasch S, Coffey CS, Caspell-Garcia C, Jennings D, et al. Parkinson's Progression Marker Initiative*. Longitudinal Change of Clinical and Biological Measures in Early Parkinson's Disease: Parkinson's Progression Markers Initiative Cohort. Mov Disord. 2018;33:771-82</w:t>
      </w:r>
    </w:p>
    <w:p w14:paraId="33201C61" w14:textId="77777777" w:rsidR="00232026" w:rsidRPr="00045F85" w:rsidRDefault="00232026" w:rsidP="00232026">
      <w:pPr>
        <w:rPr>
          <w:rFonts w:cs="Arial"/>
        </w:rPr>
      </w:pPr>
      <w:r w:rsidRPr="00045F85">
        <w:rPr>
          <w:rFonts w:cs="Arial"/>
        </w:rPr>
        <w:t>105. Dickson JC,  Tossici-Bolt L, Sera T, de Nijs R, Booij J, Bagnara MC, et al.Proposal for the standardisation of multi-centre trials in nuclear medicine imaging: prerequisites for a European 123I-FP-CIT SPECT database. European journal of nuclear medicine and molecular imaging, 2011;39:188–197.</w:t>
      </w:r>
    </w:p>
    <w:p w14:paraId="71ED7D51" w14:textId="77777777" w:rsidR="00232026" w:rsidRPr="00045F85" w:rsidRDefault="00232026" w:rsidP="00232026">
      <w:pPr>
        <w:rPr>
          <w:rFonts w:cs="Arial"/>
        </w:rPr>
      </w:pPr>
      <w:r w:rsidRPr="00045F85">
        <w:rPr>
          <w:rFonts w:cs="Arial"/>
        </w:rPr>
        <w:t xml:space="preserve">106. Gründer G, Vernaleken I, Müller MJ, Davids E, Heydari N, Buchholz HG, et al. Subchronic haloperidol downregulates dopamine synthesis capacity in </w:t>
      </w:r>
      <w:r w:rsidRPr="00045F85">
        <w:rPr>
          <w:rFonts w:cs="Arial"/>
        </w:rPr>
        <w:lastRenderedPageBreak/>
        <w:t>the brain of schizophrenic patients in vivo. Neuropsychopharmacology. 2003;28:787-94</w:t>
      </w:r>
    </w:p>
    <w:p w14:paraId="3EED8297" w14:textId="77777777" w:rsidR="00232026" w:rsidRPr="00045F85" w:rsidRDefault="00232026" w:rsidP="00232026">
      <w:pPr>
        <w:rPr>
          <w:rFonts w:cs="Arial"/>
        </w:rPr>
      </w:pPr>
      <w:r w:rsidRPr="00045F85">
        <w:rPr>
          <w:rFonts w:cs="Arial"/>
        </w:rPr>
        <w:t>107. Stout DB, Huang SC, Melega WP, Raleigh MJ, Phelps ME, Barrio JR. Effects of large neutral amino acid concentrations on 6-[F-18]Fluoro-L-DOPA kinetics. J Cereb Blood Flow Metab. 1998;18:43–51.</w:t>
      </w:r>
    </w:p>
    <w:p w14:paraId="38B79F91" w14:textId="77777777" w:rsidR="00232026" w:rsidRPr="00045F85" w:rsidRDefault="00232026" w:rsidP="00232026">
      <w:pPr>
        <w:rPr>
          <w:rFonts w:cs="Arial"/>
        </w:rPr>
      </w:pPr>
      <w:r w:rsidRPr="00045F85">
        <w:rPr>
          <w:rFonts w:cs="Arial"/>
        </w:rPr>
        <w:t>108. Bloomfield MA, Pepper F, Egerton A, Demjaha A, Tomasi G, Mouchlianitis E, et al. Dopamine function in cigarette smokers: an [¹</w:t>
      </w:r>
      <w:r w:rsidRPr="00045F85">
        <w:rPr>
          <w:rFonts w:ascii="Cambria Math" w:hAnsi="Cambria Math" w:cs="Arial"/>
        </w:rPr>
        <w:t>⁸</w:t>
      </w:r>
      <w:r w:rsidRPr="00045F85">
        <w:rPr>
          <w:rFonts w:cs="Arial"/>
        </w:rPr>
        <w:t xml:space="preserve">F]-DOPA PET study. Neuropsychopharmacology. 2014;39:2397-404. </w:t>
      </w:r>
    </w:p>
    <w:p w14:paraId="777146CE" w14:textId="77777777" w:rsidR="00232026" w:rsidRPr="00045F85" w:rsidRDefault="00232026" w:rsidP="00232026">
      <w:pPr>
        <w:rPr>
          <w:rFonts w:cs="Arial"/>
        </w:rPr>
      </w:pPr>
      <w:r w:rsidRPr="00045F85">
        <w:rPr>
          <w:rFonts w:cs="Arial"/>
        </w:rPr>
        <w:t>109. Cumming P, Ase A., Diksic M, Harrison J, Jolly D, Kuwabara H, et al. Metabolism and blood-brain clearance of L-3,4-dihydroxy-[3H]phenylalanine ([3H]DOPA) and 6-[18F]fluoro-L-DOPA in the rat. Biochem Pharmacol. 1995;50:943-6</w:t>
      </w:r>
    </w:p>
    <w:p w14:paraId="4FB63177" w14:textId="77777777" w:rsidR="00232026" w:rsidRPr="00045F85" w:rsidRDefault="00232026" w:rsidP="00232026">
      <w:pPr>
        <w:rPr>
          <w:rFonts w:cs="Arial"/>
        </w:rPr>
      </w:pPr>
      <w:r w:rsidRPr="00045F85">
        <w:rPr>
          <w:rFonts w:cs="Arial"/>
        </w:rPr>
        <w:t>110. Brown WD, Oakes TR, DeJesus OT, Taylor MD, Roberts AD, Nickles RJ, et al.  Fluorine-18-fluoro-L-DOPA dosimetry with carbidopa pretreatment. J Nucl Med. 1998;39:1884-91</w:t>
      </w:r>
    </w:p>
    <w:p w14:paraId="1B9479F9" w14:textId="77777777" w:rsidR="00232026" w:rsidRPr="00045F85" w:rsidRDefault="00232026" w:rsidP="00232026">
      <w:pPr>
        <w:rPr>
          <w:rFonts w:cs="Arial"/>
        </w:rPr>
      </w:pPr>
      <w:r w:rsidRPr="00045F85">
        <w:rPr>
          <w:rFonts w:cs="Arial"/>
        </w:rPr>
        <w:t>111. Sawle GV, Burn DJ, Morrish PK., Lammertsma AA, Snow BJ, Luthra S, et al. The effect of entacapone (OR-611) on brain [18F]-6-L-fluorodopa metabolism: implications for levodopa therapy of Parkinson's disease. Neurology. 1994;44:1292-7</w:t>
      </w:r>
    </w:p>
    <w:p w14:paraId="2A1813D5" w14:textId="77777777" w:rsidR="00232026" w:rsidRPr="00045F85" w:rsidRDefault="00232026" w:rsidP="00232026">
      <w:pPr>
        <w:rPr>
          <w:rFonts w:cs="Arial"/>
        </w:rPr>
      </w:pPr>
      <w:r w:rsidRPr="00045F85">
        <w:rPr>
          <w:rFonts w:cs="Arial"/>
        </w:rPr>
        <w:t>112. Dhawan V, Ma Y, Pillai V, Spetsieris P, Chaly T, Belakhlef A, et al. Comparative analysis of striatal FDOPA uptake in Parkinson's disease: ratio method versus graphical approach. J Nucl Med. 2002;43:1324-30.</w:t>
      </w:r>
    </w:p>
    <w:p w14:paraId="78BDAC11" w14:textId="77777777" w:rsidR="00232026" w:rsidRPr="00045F85" w:rsidRDefault="00232026" w:rsidP="00232026">
      <w:pPr>
        <w:rPr>
          <w:rFonts w:cs="Arial"/>
        </w:rPr>
      </w:pPr>
      <w:r w:rsidRPr="00045F85">
        <w:rPr>
          <w:rFonts w:cs="Arial"/>
        </w:rPr>
        <w:t>113. Darcourt J, Schiazza A, Sapin N, Dufour M, Ouvrier MJ, Benisvy D, et al. 18F-FDOPA PET for the diagnosis of parkinsonian syndromes. Q J Nucl Med Mol Imaging. 2014;58:355-65.</w:t>
      </w:r>
    </w:p>
    <w:p w14:paraId="1F7EF247" w14:textId="77777777" w:rsidR="00232026" w:rsidRPr="00045F85" w:rsidRDefault="00232026" w:rsidP="00232026">
      <w:pPr>
        <w:rPr>
          <w:rFonts w:cs="Arial"/>
        </w:rPr>
      </w:pPr>
      <w:r w:rsidRPr="00045F85">
        <w:rPr>
          <w:rFonts w:cs="Arial"/>
        </w:rPr>
        <w:t>114. Jokinen P, Helenius H, Rauhala E, Brück A, Eskola O, Rinne JO. Simple ratio analysis of 18F-fluorodopa uptake in striatal subregions separates patients with early Parkinson disease from healthy controls. J Nucl Med. 2009;50:893-9.</w:t>
      </w:r>
    </w:p>
    <w:p w14:paraId="6421490F" w14:textId="77777777" w:rsidR="00232026" w:rsidRPr="00045F85" w:rsidRDefault="00232026" w:rsidP="00232026">
      <w:pPr>
        <w:rPr>
          <w:rFonts w:cs="Arial"/>
        </w:rPr>
      </w:pPr>
      <w:r w:rsidRPr="00045F85">
        <w:rPr>
          <w:rFonts w:cs="Arial"/>
        </w:rPr>
        <w:t>115. Darcourt J, Schiazza A, Sapin N, Dufour M, Ouvrier MJ, Benisvy D, et al. 18F-FDOPA PET for the diagnosis of parkinsonian syndromes. Q J Nucl Med Mol Imaging. 2014;58:355-65.</w:t>
      </w:r>
    </w:p>
    <w:p w14:paraId="6BFCB849" w14:textId="77777777" w:rsidR="00232026" w:rsidRPr="00045F85" w:rsidRDefault="00232026" w:rsidP="00232026">
      <w:pPr>
        <w:rPr>
          <w:rFonts w:cs="Arial"/>
        </w:rPr>
      </w:pPr>
      <w:r w:rsidRPr="00045F85">
        <w:rPr>
          <w:rFonts w:cs="Arial"/>
        </w:rPr>
        <w:t>116. Whone AL, Watts RL, Stoessl AJ, Davis M, Reske S, Nahmias C, et al. Slower progression of Parkinson's disease with ropinirole versus levodopa: The REAL-PET study. Ann Neurol. 2003;54:93-101.</w:t>
      </w:r>
    </w:p>
    <w:p w14:paraId="5936C1AD" w14:textId="77777777" w:rsidR="00232026" w:rsidRPr="00045F85" w:rsidRDefault="00232026" w:rsidP="00232026">
      <w:pPr>
        <w:rPr>
          <w:rFonts w:cs="Arial"/>
        </w:rPr>
      </w:pPr>
      <w:r w:rsidRPr="00045F85">
        <w:rPr>
          <w:rFonts w:cs="Arial"/>
        </w:rPr>
        <w:t>117. Nagaki A, Onoguchi M, Matsutomo N. Clinical validation of high-resolution image reconstruction algorithms in brain 18F-FDG-PET: effect of incorporating Gaussian filter, point spread function, and time-of-flight. Nucl Med Commun. 2014;35:1224-32.</w:t>
      </w:r>
    </w:p>
    <w:p w14:paraId="24B0FF1D" w14:textId="77777777" w:rsidR="00232026" w:rsidRPr="00045F85" w:rsidRDefault="00232026" w:rsidP="00232026">
      <w:pPr>
        <w:rPr>
          <w:rFonts w:cs="Arial"/>
        </w:rPr>
      </w:pPr>
      <w:r w:rsidRPr="00045F85">
        <w:rPr>
          <w:rFonts w:cs="Arial"/>
        </w:rPr>
        <w:lastRenderedPageBreak/>
        <w:t xml:space="preserve">118. Prieto E, Martí-Climent JM, Morán V, Sancho L, Barbés B, Arbizu J, et al. Brain PET imaging optimization with time of flight and point spread function modelling. Phys Med. 2015;31:948-955. </w:t>
      </w:r>
    </w:p>
    <w:p w14:paraId="3537B947" w14:textId="77777777" w:rsidR="00232026" w:rsidRPr="00045F85" w:rsidRDefault="00232026" w:rsidP="00232026">
      <w:pPr>
        <w:rPr>
          <w:rFonts w:cs="Arial"/>
        </w:rPr>
      </w:pPr>
      <w:r w:rsidRPr="00045F85">
        <w:rPr>
          <w:rFonts w:cs="Arial"/>
        </w:rPr>
        <w:t>119. Erlandsson K, Buvat I, Pretorius PH, Thomas BA, Hutton BF. A review of partial volume correction techniques for emission tomography and their applications in neurology, cardiology and oncology. Phys Med Biol. 2012;57:119-59.</w:t>
      </w:r>
    </w:p>
    <w:p w14:paraId="35CBA60C" w14:textId="77777777" w:rsidR="00232026" w:rsidRPr="00045F85" w:rsidRDefault="00232026" w:rsidP="00232026">
      <w:pPr>
        <w:rPr>
          <w:rFonts w:cs="Arial"/>
        </w:rPr>
      </w:pPr>
      <w:r w:rsidRPr="00045F85">
        <w:rPr>
          <w:rFonts w:cs="Arial"/>
        </w:rPr>
        <w:t xml:space="preserve">120. Rahmim A, Qi J, Sossi V. Resolution modeling in PET imaging: theory, practice, benefits, and pitfalls. Med Phys. 2013;40:064301. </w:t>
      </w:r>
    </w:p>
    <w:p w14:paraId="60ADD840" w14:textId="77777777" w:rsidR="00232026" w:rsidRPr="00045F85" w:rsidRDefault="00232026" w:rsidP="00232026">
      <w:pPr>
        <w:rPr>
          <w:rFonts w:cs="Arial"/>
        </w:rPr>
      </w:pPr>
      <w:r w:rsidRPr="00045F85">
        <w:rPr>
          <w:rFonts w:cs="Arial"/>
        </w:rPr>
        <w:t>121. Sawle GV, Playford ED, Burn DJ, Cunningham VJ, Henderson BT, Brooks DJ. Separating Parkinson’s disease from normality: Discriminant function analysis of [18F]Dopa PET data. Arch.Neurol. 1994;51:237-43.</w:t>
      </w:r>
    </w:p>
    <w:p w14:paraId="084DEA71" w14:textId="77777777" w:rsidR="00232026" w:rsidRPr="00045F85" w:rsidRDefault="00232026" w:rsidP="00232026">
      <w:pPr>
        <w:rPr>
          <w:rFonts w:cs="Arial"/>
        </w:rPr>
      </w:pPr>
      <w:r w:rsidRPr="00045F85">
        <w:rPr>
          <w:rFonts w:cs="Arial"/>
        </w:rPr>
        <w:t>122. Takikawa S, Dhawan V, Chaly T, Robeson W, Dahl R, Zanzi I, et al. Input functions for 6-[fluorine-18]fluorodopa quantitation in parkinsonism: comparative studies and clinical correlations. J Nucl Med. 1994;35:955-63.</w:t>
      </w:r>
    </w:p>
    <w:p w14:paraId="3027A6B3" w14:textId="77777777" w:rsidR="00232026" w:rsidRPr="00045F85" w:rsidRDefault="00232026" w:rsidP="00232026">
      <w:pPr>
        <w:rPr>
          <w:rFonts w:cs="Arial"/>
        </w:rPr>
      </w:pPr>
      <w:r w:rsidRPr="00045F85">
        <w:rPr>
          <w:rFonts w:cs="Arial"/>
        </w:rPr>
        <w:t xml:space="preserve">123. Pavese N, Rivero-Bosch M, Lewis SJ, Whone AL, Brooks DJ. Progression of monoaminergic dysfunction in Parkinson's disease: a longitudinal 18F-dopa PET study. NeuroImage. 2011;56:1463-8. </w:t>
      </w:r>
    </w:p>
    <w:p w14:paraId="7C32FCF6" w14:textId="77777777" w:rsidR="00232026" w:rsidRPr="00045F85" w:rsidRDefault="00232026" w:rsidP="00232026">
      <w:pPr>
        <w:rPr>
          <w:rFonts w:cs="Arial"/>
        </w:rPr>
      </w:pPr>
      <w:r w:rsidRPr="00045F85">
        <w:rPr>
          <w:rFonts w:cs="Arial"/>
        </w:rPr>
        <w:t>125. Patlak CS, Blasberg RG, Fenstermacher JD. Graphical evaluation of blood-to-brain transfer constants from multiple-time uptake data. J.Cereb.Blood.Flow.Metab. 1983;3:1-7.</w:t>
      </w:r>
    </w:p>
    <w:p w14:paraId="4B1F64B3" w14:textId="77777777" w:rsidR="00232026" w:rsidRPr="00045F85" w:rsidRDefault="00232026" w:rsidP="00232026">
      <w:pPr>
        <w:rPr>
          <w:rFonts w:cs="Arial"/>
        </w:rPr>
      </w:pPr>
      <w:r w:rsidRPr="00045F85">
        <w:rPr>
          <w:rFonts w:cs="Arial"/>
        </w:rPr>
        <w:t>126. Brown RM, Crane, AM, and Goldman, PS. Regional distribution of monoamines in the cerebral cortex and subcortical structures of the rhesus monkey: concentrations and in vivo synthesis rates. Brain Res. 1979;168: 133–50.</w:t>
      </w:r>
    </w:p>
    <w:p w14:paraId="0E670045" w14:textId="77777777" w:rsidR="00232026" w:rsidRPr="00045F85" w:rsidRDefault="00232026" w:rsidP="00232026">
      <w:pPr>
        <w:rPr>
          <w:rFonts w:cs="Arial"/>
          <w:lang w:val="it-IT"/>
        </w:rPr>
      </w:pPr>
      <w:r w:rsidRPr="00045F85">
        <w:rPr>
          <w:rFonts w:cs="Arial"/>
        </w:rPr>
        <w:t xml:space="preserve">127. Brooks DJ, Ibañez V, Sawle GV, Quinn N, Lees AJ, Mathias CJ, et al. Differing patterns of striatal 18F-dopa uptake in Parkinson's disease, multiple system atrophy and progressive supranuclear palsy. </w:t>
      </w:r>
      <w:r w:rsidRPr="00045F85">
        <w:rPr>
          <w:rFonts w:cs="Arial"/>
          <w:lang w:val="it-IT"/>
        </w:rPr>
        <w:t>Ann.Neurol. 1990;28: 547-55.</w:t>
      </w:r>
    </w:p>
    <w:p w14:paraId="2082175B" w14:textId="77777777" w:rsidR="00232026" w:rsidRPr="00045F85" w:rsidRDefault="00232026" w:rsidP="00232026">
      <w:pPr>
        <w:rPr>
          <w:rFonts w:cs="Arial"/>
        </w:rPr>
      </w:pPr>
      <w:r w:rsidRPr="00045F85">
        <w:rPr>
          <w:rFonts w:cs="Arial"/>
          <w:lang w:val="it-IT"/>
        </w:rPr>
        <w:t xml:space="preserve">128. Sossi V, de La Fuente-Fernandez R, Holden JE, Doudet DJ, McKenzie J, Stoessl AJ, et al. </w:t>
      </w:r>
      <w:r w:rsidRPr="00045F85">
        <w:rPr>
          <w:rFonts w:cs="Arial"/>
        </w:rPr>
        <w:t>Increase in dopamine turnover occurs early in Parkinson's disease: evidence from a new modeling approach to PET 18 F-fluorodopa data. J Cereb Blood Flow Metab 2002;22:232-39.</w:t>
      </w:r>
    </w:p>
    <w:p w14:paraId="39C6D20E" w14:textId="77777777" w:rsidR="00232026" w:rsidRPr="00045F85" w:rsidRDefault="00232026" w:rsidP="00232026">
      <w:pPr>
        <w:rPr>
          <w:rFonts w:cs="Arial"/>
        </w:rPr>
      </w:pPr>
      <w:r w:rsidRPr="00045F85">
        <w:rPr>
          <w:rFonts w:cs="Arial"/>
        </w:rPr>
        <w:t>129.  Kumakura Y, Cumming P, Vernaleken I, Buchholz HG, Siessmeier T, Heinz A,  et al. Elevated [18F]fluorodopamine turnover in brain of patients with schizophrenia: an [18F]fluorodopa/positron emission tomography study. J Neurosci 2007;27:8080-7</w:t>
      </w:r>
    </w:p>
    <w:p w14:paraId="1B752E51" w14:textId="77777777" w:rsidR="00232026" w:rsidRPr="00045F85" w:rsidRDefault="00232026" w:rsidP="00232026">
      <w:pPr>
        <w:rPr>
          <w:rFonts w:cs="Arial"/>
        </w:rPr>
      </w:pPr>
      <w:r w:rsidRPr="00045F85">
        <w:rPr>
          <w:rFonts w:cs="Arial"/>
        </w:rPr>
        <w:t>130. Boellaard R, O’Doherty MJ, Weber WA, Mottaghy FM, Lonsdale MN, Stroobants SG, et al. FDG PET and PET/CT: EANM procedure guidelines for tumour PET imaging: version 1.0. Eur J Nucl Med Mol Imaging. 2010;37:181–200.</w:t>
      </w:r>
    </w:p>
    <w:p w14:paraId="797E9AFC" w14:textId="77777777" w:rsidR="00232026" w:rsidRPr="00045F85" w:rsidRDefault="00232026" w:rsidP="00232026">
      <w:pPr>
        <w:rPr>
          <w:rFonts w:cs="Arial"/>
        </w:rPr>
      </w:pPr>
      <w:r w:rsidRPr="00045F85">
        <w:rPr>
          <w:rFonts w:cs="Arial"/>
        </w:rPr>
        <w:lastRenderedPageBreak/>
        <w:t>131. Varrone A, Halldin C. New developments of dopaminergic imaging in Parkinson’s disease. Q J Nucl Med Mol. Imaging. 2012;56:68-82</w:t>
      </w:r>
    </w:p>
    <w:p w14:paraId="090CB348" w14:textId="77777777" w:rsidR="00232026" w:rsidRPr="00045F85" w:rsidRDefault="00232026" w:rsidP="00232026">
      <w:pPr>
        <w:rPr>
          <w:rFonts w:cs="Arial"/>
        </w:rPr>
      </w:pPr>
      <w:r w:rsidRPr="00045F85">
        <w:rPr>
          <w:rFonts w:cs="Arial"/>
        </w:rPr>
        <w:t xml:space="preserve">132. Halldin C, Erixon-Lindroth N, Pauli S, Chou YH, Okubo Y, Karlsson P, et al. [11C]PE21: A highly selective radioligand for PET examination of the dopamine transporter in monkey and human brain. Eur J Nucl Med Mol Imaging. 2003;30:1220-30 </w:t>
      </w:r>
    </w:p>
    <w:p w14:paraId="47467CD7" w14:textId="77777777" w:rsidR="00232026" w:rsidRPr="00045F85" w:rsidRDefault="00232026" w:rsidP="00232026">
      <w:pPr>
        <w:rPr>
          <w:rFonts w:cs="Arial"/>
        </w:rPr>
      </w:pPr>
      <w:r w:rsidRPr="00045F85">
        <w:rPr>
          <w:rFonts w:cs="Arial"/>
        </w:rPr>
        <w:t>133. Jucaite A, Odano I, Olsson H, Pauli S, Halldin C, Farde L. Quantitative analyses of regional [11C]PE2I binding to the dopamine transporter in the human brain: A PET study. Eur J Nucl Med Mol Imaging. 2006;33:657-68</w:t>
      </w:r>
    </w:p>
    <w:p w14:paraId="763019F8" w14:textId="77777777" w:rsidR="00232026" w:rsidRPr="00045F85" w:rsidRDefault="00232026" w:rsidP="00232026">
      <w:pPr>
        <w:rPr>
          <w:rFonts w:cs="Arial"/>
        </w:rPr>
      </w:pPr>
      <w:r w:rsidRPr="00045F85">
        <w:rPr>
          <w:rFonts w:cs="Arial"/>
        </w:rPr>
        <w:t>134. Hirvonen J, Johansson J, Teräs M, Oikonen V, Lumme V, Virsu P, et al. Measurement of striatal and extrastriatal dopamine transporter binding with high-resolution PET and [11C]PE2I: Quantitative modeling and test-retest reproducibility. J Cereb Blood Flow Metab. 2008;28:1059-69</w:t>
      </w:r>
    </w:p>
    <w:p w14:paraId="2E614571" w14:textId="77777777" w:rsidR="00232026" w:rsidRPr="00045F85" w:rsidRDefault="00232026" w:rsidP="00232026">
      <w:pPr>
        <w:rPr>
          <w:rFonts w:cs="Arial"/>
        </w:rPr>
      </w:pPr>
      <w:r w:rsidRPr="00045F85">
        <w:rPr>
          <w:rFonts w:cs="Arial"/>
        </w:rPr>
        <w:t>135. Paul G, Zachrisson O, Varrone A, Almqvist P, Jerling M, Lind G, et al. Safety and tolerability of intracerebroventricular PDGF-BB in Parkinson’s disease patients. J Clin Invest. 2015;125:1339-46.</w:t>
      </w:r>
    </w:p>
    <w:p w14:paraId="64B1CDC0" w14:textId="77777777" w:rsidR="00232026" w:rsidRPr="00045F85" w:rsidRDefault="00232026" w:rsidP="00232026">
      <w:pPr>
        <w:rPr>
          <w:rFonts w:cs="Arial"/>
        </w:rPr>
      </w:pPr>
      <w:r w:rsidRPr="00045F85">
        <w:rPr>
          <w:rFonts w:cs="Arial"/>
        </w:rPr>
        <w:t xml:space="preserve">136. Appel L, Jonasson M, Danfors T, Nyholm D, Askmark H, Lubberink M, et al. Use of 11C-PE2I PET in Differential Diagnosis of Parkinsonian Disorders. J Nucl Med. 2015;56:234-42 </w:t>
      </w:r>
    </w:p>
    <w:p w14:paraId="142F2674" w14:textId="77777777" w:rsidR="00232026" w:rsidRPr="00045F85" w:rsidRDefault="00232026" w:rsidP="00232026">
      <w:pPr>
        <w:rPr>
          <w:rFonts w:cs="Arial"/>
        </w:rPr>
      </w:pPr>
      <w:r w:rsidRPr="00045F85">
        <w:rPr>
          <w:rFonts w:cs="Arial"/>
        </w:rPr>
        <w:t>137. Li W, Lao-Kaim NP, Roussakis AA, Martín-Bastida A, Valle-Guzman N, Paul G, et al. 11C-PE2I and18F-Dopa PET for assessing progression rate in Parkinson’s: A longitudinal study. Mov Disord. 2018;33:117-27.</w:t>
      </w:r>
    </w:p>
    <w:p w14:paraId="6FE2F299" w14:textId="77777777" w:rsidR="00232026" w:rsidRPr="00045F85" w:rsidRDefault="00232026" w:rsidP="00232026">
      <w:pPr>
        <w:rPr>
          <w:rFonts w:cs="Arial"/>
        </w:rPr>
      </w:pPr>
      <w:r w:rsidRPr="00045F85">
        <w:rPr>
          <w:rFonts w:cs="Arial"/>
        </w:rPr>
        <w:t xml:space="preserve">138. Inaji M, Okauchi T, Ando K, Maeda J, Nagai Y, Yoshizaki T, et al. Correlation between quantitative imaging and behavior in unilaterally 6-OHDA-lesioned rats. Brain Res. 2005;1064:136-45. </w:t>
      </w:r>
    </w:p>
    <w:p w14:paraId="7081DC34" w14:textId="77777777" w:rsidR="00232026" w:rsidRPr="00045F85" w:rsidRDefault="00232026" w:rsidP="00232026">
      <w:pPr>
        <w:rPr>
          <w:rFonts w:cs="Arial"/>
        </w:rPr>
      </w:pPr>
      <w:r w:rsidRPr="00045F85">
        <w:rPr>
          <w:rFonts w:cs="Arial"/>
        </w:rPr>
        <w:t xml:space="preserve">139. Aznavour N, Cendres-Bozzi C, Lemoine L, Buda C, Sastre JP, Mincheva Z, et al. MPTP Animal Model of Parkinsonism: Dopamine Cell Death or Only Tyrosine Hydroxylase Impairment? - A Study Using PET Imaging, Autoradiography, and Immunohistochemistry in the Cat. CNS Neurosci Ther. 2012;18:934-41. </w:t>
      </w:r>
    </w:p>
    <w:p w14:paraId="40E9A436" w14:textId="77777777" w:rsidR="00232026" w:rsidRPr="00045F85" w:rsidRDefault="00232026" w:rsidP="00232026">
      <w:pPr>
        <w:rPr>
          <w:rFonts w:cs="Arial"/>
        </w:rPr>
      </w:pPr>
      <w:r w:rsidRPr="00045F85">
        <w:rPr>
          <w:rFonts w:cs="Arial"/>
        </w:rPr>
        <w:t>140. DeLorenzo C, Kumar JD, Zanderigo F, Mann JJ, Parsey R V. Modeling considerations for in vivo quantification of the dopamine transporter using 11 CPE2I and positron emission tomography. J Cereb Blood Flow Metab. 2009;29:1332-45.</w:t>
      </w:r>
    </w:p>
    <w:p w14:paraId="5E4D860E" w14:textId="77777777" w:rsidR="00232026" w:rsidRPr="00045F85" w:rsidRDefault="00232026" w:rsidP="00232026">
      <w:pPr>
        <w:rPr>
          <w:rFonts w:cs="Arial"/>
        </w:rPr>
      </w:pPr>
      <w:r w:rsidRPr="00045F85">
        <w:rPr>
          <w:rFonts w:cs="Arial"/>
        </w:rPr>
        <w:t>141. Varrone A, Steiger C, Schou M, Takano A, Finnema SJ, Guilloteau D, et al. In vitro autoradiography and in vivo evaluation in cynomolgus monkey of [18F]FE-PE2I, a new dopamine transporter PET radioligand. Synapse. 2009;63:871-80.</w:t>
      </w:r>
    </w:p>
    <w:p w14:paraId="5F1CAA24" w14:textId="77777777" w:rsidR="00232026" w:rsidRPr="00045F85" w:rsidRDefault="00232026" w:rsidP="00232026">
      <w:pPr>
        <w:rPr>
          <w:rFonts w:cs="Arial"/>
        </w:rPr>
      </w:pPr>
      <w:r w:rsidRPr="00045F85">
        <w:rPr>
          <w:rFonts w:cs="Arial"/>
        </w:rPr>
        <w:t>142. Varrone A, Toth M, Steiger C, Takano A, Guilloteau D, Ichise M, et al. Kinetic analysis and quantification of the dopamine transporter in the nonhuman primate brain with 11C-PE2I and 18F-FE-PE2I. J Nucl Med. 2011;52:132-9.</w:t>
      </w:r>
    </w:p>
    <w:p w14:paraId="69B805DC" w14:textId="77777777" w:rsidR="00232026" w:rsidRPr="00045F85" w:rsidRDefault="00232026" w:rsidP="00232026">
      <w:pPr>
        <w:rPr>
          <w:rFonts w:cs="Arial"/>
        </w:rPr>
      </w:pPr>
      <w:r w:rsidRPr="00045F85">
        <w:rPr>
          <w:rFonts w:cs="Arial"/>
        </w:rPr>
        <w:lastRenderedPageBreak/>
        <w:t>143. Sasaki T, Ito H, Kimura Y, Arakawa R, Takano H, Seki C, et al. Quantification of dopamine transporter in human brain using PET with 18F-FE-PE2I. J Nucl Med. 2012;53:1065-73.</w:t>
      </w:r>
    </w:p>
    <w:p w14:paraId="53C5C082" w14:textId="77777777" w:rsidR="00232026" w:rsidRPr="00045F85" w:rsidRDefault="00232026" w:rsidP="00232026">
      <w:pPr>
        <w:rPr>
          <w:rFonts w:cs="Arial"/>
        </w:rPr>
      </w:pPr>
      <w:r w:rsidRPr="00045F85">
        <w:rPr>
          <w:rFonts w:cs="Arial"/>
        </w:rPr>
        <w:t>144. Fazio P, Svenningsson P, Forsberg A, Jonsson EG, Amini N, Nakao R, et al. Quantitative Analysis of (1)(8)F-(E)-N-(3-Iodoprop-2-Enyl)-2beta-Carbofluoroethoxy-3beta-(4'-Methyl-Phenyl ) Nortropane Binding to the Dopamine Transporter in Parkinson Disease. J Nucl Med. 2015;56:714-20.</w:t>
      </w:r>
    </w:p>
    <w:p w14:paraId="6477112B" w14:textId="77777777" w:rsidR="00232026" w:rsidRPr="00045F85" w:rsidRDefault="00232026" w:rsidP="00232026">
      <w:pPr>
        <w:rPr>
          <w:rFonts w:cs="Arial"/>
        </w:rPr>
      </w:pPr>
      <w:r w:rsidRPr="00045F85">
        <w:rPr>
          <w:rFonts w:cs="Arial"/>
        </w:rPr>
        <w:t>145. Sonni I, Fazio P, Schain M, Halldin C, Svenningsson P, Farde L, et al. Optimal Acquisition Time Window and Simplified Quantification of Dopamine Transporter Availability Using 18F-FE-PE2I in Healthy Controls and Parkinson Disease Patients. J Nucl Med. 2016;57:1529-34.</w:t>
      </w:r>
    </w:p>
    <w:p w14:paraId="46DA8593" w14:textId="77777777" w:rsidR="00232026" w:rsidRPr="00045F85" w:rsidRDefault="00232026" w:rsidP="00232026">
      <w:pPr>
        <w:rPr>
          <w:rFonts w:cs="Arial"/>
        </w:rPr>
      </w:pPr>
      <w:r w:rsidRPr="00045F85">
        <w:rPr>
          <w:rFonts w:cs="Arial"/>
        </w:rPr>
        <w:t>146. Fazio P, Svenningsson P, Cselenyi Z, Halldin C, Farde L, Varrone A. Nigrostriatal dopamine transporter availability in early Parkinson's disease. Mov Disord. 2018;33:592-9.</w:t>
      </w:r>
    </w:p>
    <w:p w14:paraId="484321E8" w14:textId="77777777" w:rsidR="00232026" w:rsidRPr="00045F85" w:rsidRDefault="00232026" w:rsidP="00232026">
      <w:pPr>
        <w:rPr>
          <w:rFonts w:cs="Arial"/>
        </w:rPr>
      </w:pPr>
      <w:r w:rsidRPr="00045F85">
        <w:rPr>
          <w:rFonts w:cs="Arial"/>
        </w:rPr>
        <w:t>147. Varrone A, Gulyas B, Takano A, Stabin MG, Jonsson C, Halldin C. Simplified quantification and whole-body distribution of [18F]FE-PE2I in nonhuman primates: prediction for human studies. Nucl Med Biol. 2012;39:295-303.</w:t>
      </w:r>
    </w:p>
    <w:p w14:paraId="5278A263" w14:textId="77777777" w:rsidR="00232026" w:rsidRPr="00045F85" w:rsidRDefault="00232026" w:rsidP="00232026">
      <w:pPr>
        <w:rPr>
          <w:rFonts w:cs="Arial"/>
        </w:rPr>
      </w:pPr>
      <w:r w:rsidRPr="00045F85">
        <w:rPr>
          <w:rFonts w:cs="Arial"/>
        </w:rPr>
        <w:t>148. Lizana H, Johansson L, Axelsson J, Larsson A, Ogren M, Linder J, et al. Whole-Body Biodistribution and Dosimetry of the Dopamine Transporter Radioligand (18)F-FE-PE2I in Human Subjects. J Nucl Med. 2018;59:1275-80</w:t>
      </w:r>
    </w:p>
    <w:p w14:paraId="78FA9963" w14:textId="77777777" w:rsidR="00232026" w:rsidRPr="00045F85" w:rsidRDefault="00232026" w:rsidP="00232026">
      <w:pPr>
        <w:rPr>
          <w:rFonts w:cs="Arial"/>
        </w:rPr>
      </w:pPr>
      <w:r w:rsidRPr="00045F85">
        <w:rPr>
          <w:rFonts w:cs="Arial"/>
        </w:rPr>
        <w:t xml:space="preserve">149. Jakobson Mo S, Axelsson J, Jonasson L, Larsson A, Ögren MJ, Ögren M, et al. Dopamine transporter imaging with [18F]FE-PE2I PET and [123I]FP-CIT SPECT-a clinical comparison. EJNMMI Res. 2018;8:100. </w:t>
      </w:r>
    </w:p>
    <w:p w14:paraId="40DB5A9C" w14:textId="77777777" w:rsidR="00232026" w:rsidRPr="00045F85" w:rsidRDefault="00232026" w:rsidP="00232026">
      <w:pPr>
        <w:rPr>
          <w:rFonts w:cs="Arial"/>
        </w:rPr>
      </w:pPr>
      <w:r w:rsidRPr="00045F85">
        <w:rPr>
          <w:rFonts w:cs="Arial"/>
        </w:rPr>
        <w:t>150. Erickson JD, Eiden LE. Functional identification and molecular cloning of a human brain vescile monoamine transporter. J Neurochem. 1993;61:2314-17.</w:t>
      </w:r>
    </w:p>
    <w:p w14:paraId="3A2FDF06" w14:textId="77777777" w:rsidR="00232026" w:rsidRPr="00045F85" w:rsidRDefault="00232026" w:rsidP="00232026">
      <w:pPr>
        <w:rPr>
          <w:rFonts w:cs="Arial"/>
        </w:rPr>
      </w:pPr>
      <w:r w:rsidRPr="00045F85">
        <w:rPr>
          <w:rFonts w:cs="Arial"/>
        </w:rPr>
        <w:t>151. Scherman D, Raisman R, Ploska A, Agid Y. [3H]Dihydrotetrabenazine, a new in vitro monoaminergic probe for human brain. J Neurochem. 1988;50:1131-36</w:t>
      </w:r>
    </w:p>
    <w:p w14:paraId="598BC68A" w14:textId="77777777" w:rsidR="00232026" w:rsidRPr="00045F85" w:rsidRDefault="00232026" w:rsidP="00232026">
      <w:pPr>
        <w:rPr>
          <w:rFonts w:cs="Arial"/>
        </w:rPr>
      </w:pPr>
      <w:r w:rsidRPr="00045F85">
        <w:rPr>
          <w:rFonts w:cs="Arial"/>
        </w:rPr>
        <w:t>152. Schafer MK, Hartwig NR, Kalmbach N, Klietz M, Anlauf M, Eiden LE, et al. Species-specific vesicular monoamine transporter 2 (VMAT2) expression in mammalian pancreatic beta cells: implications for optimising radioligand-based human beta cell mass (BCM) imaging in animal models. Diabetologia. May 2013;56(5):1047-56.</w:t>
      </w:r>
    </w:p>
    <w:p w14:paraId="624C8268" w14:textId="77777777" w:rsidR="00232026" w:rsidRPr="00045F85" w:rsidRDefault="00232026" w:rsidP="00232026">
      <w:pPr>
        <w:rPr>
          <w:rFonts w:cs="Arial"/>
        </w:rPr>
      </w:pPr>
      <w:r w:rsidRPr="00045F85">
        <w:rPr>
          <w:rFonts w:cs="Arial"/>
        </w:rPr>
        <w:t>153. Vander Borght TM, Sima AA, Kilbourn MR, Desmond TJ, Kuhl DE, Frey KA. [3H]methoxytetrabenazine: a high specific activity ligand for estimating monoaminergic neuronal integrity. Neuroscience. 1995;68:955-62.</w:t>
      </w:r>
    </w:p>
    <w:p w14:paraId="2C33CDAA" w14:textId="77777777" w:rsidR="00232026" w:rsidRPr="00045F85" w:rsidRDefault="00232026" w:rsidP="00232026">
      <w:pPr>
        <w:rPr>
          <w:rFonts w:cs="Arial"/>
        </w:rPr>
      </w:pPr>
      <w:r w:rsidRPr="00045F85">
        <w:rPr>
          <w:rFonts w:cs="Arial"/>
        </w:rPr>
        <w:t>154. Frey KA, Koeppe RA, Kilbourn MR, Vander Borght TM, Albin RL, Gilman S, et al. Presynaptic monoaminergic vesicles in Parkinson’s disease and normal aging. Ann Neurol. 1996;40:873-84.</w:t>
      </w:r>
    </w:p>
    <w:p w14:paraId="5A65AC3A" w14:textId="77777777" w:rsidR="00232026" w:rsidRPr="00045F85" w:rsidRDefault="00232026" w:rsidP="00232026">
      <w:pPr>
        <w:rPr>
          <w:rFonts w:cs="Arial"/>
        </w:rPr>
      </w:pPr>
      <w:r w:rsidRPr="00045F85">
        <w:rPr>
          <w:rFonts w:cs="Arial"/>
        </w:rPr>
        <w:lastRenderedPageBreak/>
        <w:t>155. Bohnen NI, Albin RL, Koeppe RA, Wernette KA, Kilbourn MR, Minoshima S, et al. Positron emission tomography of monoaminergic vesicular binding in aging and Parkinson disease. J Cereb Blood Flow Metab. 2006;26:1198-212.</w:t>
      </w:r>
    </w:p>
    <w:p w14:paraId="098D1320" w14:textId="77777777" w:rsidR="00232026" w:rsidRPr="00045F85" w:rsidRDefault="00232026" w:rsidP="00232026">
      <w:pPr>
        <w:rPr>
          <w:rFonts w:cs="Arial"/>
        </w:rPr>
      </w:pPr>
      <w:r w:rsidRPr="00045F85">
        <w:rPr>
          <w:rFonts w:cs="Arial"/>
        </w:rPr>
        <w:t>156. Lin KJ, Weng YH, Wey SP, Hsiao IT, Lu CS, Skovronsky D, et al. Whole-body biodistribution and radiation dosimetry of 18F-FP-(+)-DTBZ (18F-AV-133): a novel vesicular monoamine transporter 2 imaging agent. J Nucl Med. 2010;51:1480-5.</w:t>
      </w:r>
    </w:p>
    <w:p w14:paraId="0423753D" w14:textId="77777777" w:rsidR="00232026" w:rsidRPr="00045F85" w:rsidRDefault="00232026" w:rsidP="00232026">
      <w:pPr>
        <w:rPr>
          <w:rFonts w:cs="Arial"/>
        </w:rPr>
      </w:pPr>
      <w:r w:rsidRPr="00045F85">
        <w:rPr>
          <w:rFonts w:cs="Arial"/>
        </w:rPr>
        <w:t>157. Lin KJ, Lin WY, Hsieh CJ, Weng YH, Wey SP, Lu CS, et al. Optimal scanning time window for 18F-FP-(+)-DTBZ (18F-AV-133) summed uptake measurements. Nucl Med Biol. 2011;38:1149-55.</w:t>
      </w:r>
    </w:p>
    <w:p w14:paraId="5F556AFE" w14:textId="77777777" w:rsidR="00232026" w:rsidRPr="00045F85" w:rsidRDefault="00232026" w:rsidP="00232026">
      <w:pPr>
        <w:rPr>
          <w:rFonts w:cs="Arial"/>
        </w:rPr>
      </w:pPr>
      <w:r w:rsidRPr="00045F85">
        <w:rPr>
          <w:rFonts w:cs="Arial"/>
        </w:rPr>
        <w:t>158. Lin KJ, Weng YH, Hsieh CJ, Lin WY, Wey SP, Kung MP, et al. Brain imaging of vesicular monoamine transporter type 2 in healthy aging subjects by 18F-FP-(+)-DTBZ PET. PLoS One. 2013;8:75952.</w:t>
      </w:r>
    </w:p>
    <w:p w14:paraId="6AF67733" w14:textId="77777777" w:rsidR="00232026" w:rsidRPr="00045F85" w:rsidRDefault="00232026" w:rsidP="00232026">
      <w:pPr>
        <w:rPr>
          <w:rFonts w:cs="Arial"/>
        </w:rPr>
      </w:pPr>
      <w:r w:rsidRPr="00045F85">
        <w:rPr>
          <w:rFonts w:cs="Arial"/>
        </w:rPr>
        <w:t>159. Halldin C, Gulyas B, Lang er O, Farde L. Brain radioligands –state of the art and new trends. Q J Nucl Med. 2001;45:139–52.</w:t>
      </w:r>
    </w:p>
    <w:p w14:paraId="0C47D312" w14:textId="77777777" w:rsidR="00232026" w:rsidRPr="00045F85" w:rsidRDefault="00232026" w:rsidP="00232026">
      <w:pPr>
        <w:rPr>
          <w:rFonts w:cs="Arial"/>
          <w:lang w:val="it-IT"/>
        </w:rPr>
      </w:pPr>
      <w:r w:rsidRPr="00045F85">
        <w:rPr>
          <w:rFonts w:cs="Arial"/>
        </w:rPr>
        <w:t xml:space="preserve">160. Pinborg LH, Videbaek C, Knudsen GM,  Swahn CG, Halldin C, Friberg L, et al. Dopamine D(2) receptor quantification in extrastriatal brain regions using [(123)I] epidepride with bolus/infusion. </w:t>
      </w:r>
      <w:r w:rsidRPr="00045F85">
        <w:rPr>
          <w:rFonts w:cs="Arial"/>
          <w:lang w:val="it-IT"/>
        </w:rPr>
        <w:t>Synapse. 2000;36:322–9</w:t>
      </w:r>
    </w:p>
    <w:p w14:paraId="3A79109D" w14:textId="77777777" w:rsidR="00232026" w:rsidRPr="00045F85" w:rsidRDefault="00232026" w:rsidP="00232026">
      <w:pPr>
        <w:rPr>
          <w:rFonts w:cs="Arial"/>
        </w:rPr>
      </w:pPr>
      <w:r w:rsidRPr="00045F85">
        <w:rPr>
          <w:rFonts w:cs="Arial"/>
          <w:lang w:val="it-IT"/>
        </w:rPr>
        <w:t xml:space="preserve">161. Treglia G, Cason E, Stefanelli A, Cocciolillo F, Di Giuda D, Fagioli G, et al. </w:t>
      </w:r>
      <w:r w:rsidRPr="00045F85">
        <w:rPr>
          <w:rFonts w:cs="Arial"/>
        </w:rPr>
        <w:t>MIBG scintigraphy in differential diagnosis of Parkinsonism: a meta-analysis. Clin Auton Res. 2012;22:43-55.</w:t>
      </w:r>
    </w:p>
    <w:p w14:paraId="517F1DEB" w14:textId="77777777" w:rsidR="00232026" w:rsidRPr="00045F85" w:rsidRDefault="00232026" w:rsidP="00232026">
      <w:pPr>
        <w:rPr>
          <w:rFonts w:cs="Arial"/>
        </w:rPr>
      </w:pPr>
      <w:r w:rsidRPr="00045F85">
        <w:rPr>
          <w:rFonts w:cs="Arial"/>
        </w:rPr>
        <w:t>162. EU BSS Directive. Council Directive 2013/59/Euratom of 5 december 2013</w:t>
      </w:r>
    </w:p>
    <w:p w14:paraId="14AB93C5" w14:textId="77777777" w:rsidR="00232026" w:rsidRPr="00045F85" w:rsidRDefault="00232026" w:rsidP="00232026">
      <w:pPr>
        <w:rPr>
          <w:rFonts w:cs="Arial"/>
        </w:rPr>
      </w:pPr>
      <w:r w:rsidRPr="00045F85">
        <w:rPr>
          <w:rFonts w:cs="Arial"/>
        </w:rPr>
        <w:t>163. IAEA Safety Guide. Radiation Protection and Safety in Medical Uses of Ionizing Radiation. Specific Safety Guide SSG-46, IAEA, Vienna 2018</w:t>
      </w:r>
    </w:p>
    <w:p w14:paraId="1550A66A" w14:textId="77777777" w:rsidR="00232026" w:rsidRPr="00045F85" w:rsidRDefault="00232026" w:rsidP="00232026">
      <w:pPr>
        <w:rPr>
          <w:rFonts w:cs="Arial"/>
        </w:rPr>
      </w:pPr>
      <w:r w:rsidRPr="00045F85">
        <w:rPr>
          <w:rFonts w:cs="Arial"/>
        </w:rPr>
        <w:t>164. Mattsson S, Johansson L, Leide Svegborn S, Liniecki J, Noßke D, Riklund KÅ, et al. Radiation Dose to Patients from Radiopharmaceuticals: a Compendium of Current Information Related to Frequently Used Substances. Ann ICRP. 2015;44(2 Suppl):7-321.</w:t>
      </w:r>
    </w:p>
    <w:p w14:paraId="520CECAD" w14:textId="77777777" w:rsidR="00232026" w:rsidRPr="00045F85" w:rsidRDefault="00232026" w:rsidP="00232026">
      <w:pPr>
        <w:rPr>
          <w:rFonts w:cs="Arial"/>
        </w:rPr>
      </w:pPr>
      <w:r w:rsidRPr="00045F85">
        <w:rPr>
          <w:rFonts w:cs="Arial"/>
        </w:rPr>
        <w:t>165. Kuikka JT, Bergström KA, Ahonen A, Länsimies E. The dosimetry of iodine-123 labelled 2 beta-carbomethoxy-3 beta-(4-iodophenyl)tropane. Eur J Nucl Med. 1994;21:53-6</w:t>
      </w:r>
    </w:p>
    <w:p w14:paraId="54E07D37" w14:textId="77777777" w:rsidR="00232026" w:rsidRPr="00045F85" w:rsidRDefault="00232026" w:rsidP="00232026">
      <w:pPr>
        <w:rPr>
          <w:rFonts w:cs="Arial"/>
        </w:rPr>
      </w:pPr>
      <w:r w:rsidRPr="00045F85">
        <w:rPr>
          <w:rFonts w:cs="Arial"/>
        </w:rPr>
        <w:t>166. Kuikka JT. Dosimetry of iodine-123-beta-CIT. J Nucl Med. 1995;36:711</w:t>
      </w:r>
    </w:p>
    <w:p w14:paraId="4330950D" w14:textId="77777777" w:rsidR="00232026" w:rsidRPr="00045F85" w:rsidRDefault="00232026" w:rsidP="00232026">
      <w:pPr>
        <w:rPr>
          <w:rFonts w:cs="Arial"/>
        </w:rPr>
      </w:pPr>
      <w:r w:rsidRPr="00045F85">
        <w:rPr>
          <w:rFonts w:cs="Arial"/>
        </w:rPr>
        <w:t>167. Mozley PD1, Stubbs JB, Plössl K, Dresel SH, Barraclough ED, Alavi A, et al. Biodistribution and dosimetry of TRODAT-1: a technetium-99m tropane for imaging dopamine transporters. J Nucl Med. 1998;39:2069-76.</w:t>
      </w:r>
    </w:p>
    <w:p w14:paraId="39D2E70B" w14:textId="77777777" w:rsidR="00232026" w:rsidRPr="00045F85" w:rsidRDefault="00232026" w:rsidP="00232026">
      <w:pPr>
        <w:rPr>
          <w:rFonts w:cs="Arial"/>
        </w:rPr>
      </w:pPr>
      <w:r w:rsidRPr="00045F85">
        <w:rPr>
          <w:rFonts w:cs="Arial"/>
        </w:rPr>
        <w:t>168. Kuikka JT, Baulieu JL, Hiltunen J, Halldin C, Bergström KA, Farde L, et al. Pharmacokinetics and dosimetry of iodine-123 labelled PE2I in humans, a radioligand for dopamine transporter imaging. Eur J Nucl Med. 1998;25:531-4</w:t>
      </w:r>
    </w:p>
    <w:p w14:paraId="6AF66A3C" w14:textId="77777777" w:rsidR="00232026" w:rsidRPr="00045F85" w:rsidRDefault="00232026" w:rsidP="00232026">
      <w:pPr>
        <w:rPr>
          <w:rFonts w:cs="Arial"/>
        </w:rPr>
      </w:pPr>
      <w:r w:rsidRPr="00045F85">
        <w:rPr>
          <w:rFonts w:cs="Arial"/>
        </w:rPr>
        <w:lastRenderedPageBreak/>
        <w:t>169. Ribeiro MJ, Ricard M, Lièvre MA, Bourgeois S, Emond P, Gervais P, et al. Whole-body distribution and radiation dosimetry of the dopamine transporter radioligand [(11)C]PE2I in healthy volunteers. Nucl Med Biol. 2007;34:465-70.</w:t>
      </w:r>
    </w:p>
    <w:p w14:paraId="039B104E" w14:textId="0A566674" w:rsidR="00061D23" w:rsidRPr="00045F85" w:rsidRDefault="00232026" w:rsidP="00232026">
      <w:pPr>
        <w:rPr>
          <w:rFonts w:cs="Arial"/>
        </w:rPr>
      </w:pPr>
      <w:r w:rsidRPr="00045F85">
        <w:rPr>
          <w:rFonts w:cs="Arial"/>
        </w:rPr>
        <w:t>170. Murthy R, Harris P, Simpson N, Van Heertum R, Leibel R, Mann JJ, Parsey R. Whole body [11C]-dihydrotetrabenazine imaging of baboons: biodistribution and human radiation dosimetry estimates. Eur J Nucl Med Mol Imaging. 2008;35:790-7</w:t>
      </w:r>
    </w:p>
    <w:p w14:paraId="486D8A76" w14:textId="77777777" w:rsidR="00F33254" w:rsidRPr="00045F85" w:rsidRDefault="00F33254" w:rsidP="004D1C39">
      <w:pPr>
        <w:pStyle w:val="berschrift1"/>
        <w:rPr>
          <w:color w:val="auto"/>
        </w:rPr>
      </w:pPr>
      <w:r w:rsidRPr="00045F85">
        <w:rPr>
          <w:color w:val="auto"/>
        </w:rPr>
        <w:t>Approval</w:t>
      </w:r>
    </w:p>
    <w:p w14:paraId="3288F9F3" w14:textId="515EAF70" w:rsidR="007A7D6D" w:rsidRPr="00045F85" w:rsidRDefault="006C5104" w:rsidP="00957D3B">
      <w:r w:rsidRPr="00045F85">
        <w:rPr>
          <w:shd w:val="clear" w:color="auto" w:fill="FFFFFF"/>
        </w:rPr>
        <w:t>These practice guidelines were approved by the Board of Directors of the EANM and SNMMI.</w:t>
      </w:r>
    </w:p>
    <w:p w14:paraId="73017871" w14:textId="77777777" w:rsidR="00513969" w:rsidRPr="00045F85" w:rsidRDefault="00513969" w:rsidP="00957D3B"/>
    <w:p w14:paraId="08CE50B9" w14:textId="77777777" w:rsidR="00513969" w:rsidRPr="00045F85" w:rsidRDefault="00513969">
      <w:pPr>
        <w:jc w:val="left"/>
        <w:sectPr w:rsidR="00513969" w:rsidRPr="00045F85" w:rsidSect="00B819CA">
          <w:footerReference w:type="even" r:id="rId10"/>
          <w:footerReference w:type="default" r:id="rId11"/>
          <w:pgSz w:w="11900" w:h="16840"/>
          <w:pgMar w:top="1440" w:right="1800" w:bottom="1440" w:left="1800" w:header="708" w:footer="708" w:gutter="0"/>
          <w:cols w:space="708"/>
        </w:sectPr>
      </w:pPr>
    </w:p>
    <w:p w14:paraId="733D2E3F" w14:textId="0D242119" w:rsidR="00513969" w:rsidRPr="00045F85" w:rsidRDefault="00513969" w:rsidP="00957D3B"/>
    <w:sectPr w:rsidR="00513969" w:rsidRPr="00045F85" w:rsidSect="00C15D83">
      <w:pgSz w:w="12240" w:h="15840"/>
      <w:pgMar w:top="1440" w:right="1440" w:bottom="1440" w:left="1440" w:header="720" w:footer="720" w:gutter="0"/>
      <w:cols w:space="720"/>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144A2EB0" w16cex:dateUtc="2020-01-30T15:33:21.184Z"/>
</w16cex:commentsExtensible>
</file>

<file path=word/commentsIds.xml><?xml version="1.0" encoding="utf-8"?>
<w16cid:commentsIds xmlns:mc="http://schemas.openxmlformats.org/markup-compatibility/2006" xmlns:w16cid="http://schemas.microsoft.com/office/word/2016/wordml/cid" mc:Ignorable="w16cid">
  <w16cid:commentId w16cid:paraId="0BBD892A" w16cid:durableId="144A2EB0"/>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92511B" w14:textId="77777777" w:rsidR="002D780F" w:rsidRDefault="002D780F" w:rsidP="004343FB">
      <w:pPr>
        <w:spacing w:after="0"/>
      </w:pPr>
      <w:r>
        <w:separator/>
      </w:r>
    </w:p>
  </w:endnote>
  <w:endnote w:type="continuationSeparator" w:id="0">
    <w:p w14:paraId="1BB8F32F" w14:textId="77777777" w:rsidR="002D780F" w:rsidRDefault="002D780F" w:rsidP="004343F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dvPSA88A">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Helvetica Neue">
    <w:altName w:val="Malgun Gothic"/>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w:panose1 w:val="02070409020205020404"/>
    <w:charset w:val="00"/>
    <w:family w:val="modern"/>
    <w:notTrueType/>
    <w:pitch w:val="fixed"/>
    <w:sig w:usb0="00000003" w:usb1="00000000" w:usb2="00000000" w:usb3="00000000" w:csb0="00000001" w:csb1="00000000"/>
  </w:font>
  <w:font w:name="Times">
    <w:panose1 w:val="02020603050405020304"/>
    <w:charset w:val="00"/>
    <w:family w:val="auto"/>
    <w:pitch w:val="variable"/>
    <w:sig w:usb0="E00002FF" w:usb1="5000205A"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FCBBFF" w14:textId="77777777" w:rsidR="001A6C06" w:rsidRDefault="001A6C06" w:rsidP="009D2C68">
    <w:pPr>
      <w:pStyle w:val="Fuzeile"/>
      <w:framePr w:wrap="none"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5EC4E673" w14:textId="77777777" w:rsidR="001A6C06" w:rsidRDefault="001A6C06" w:rsidP="00BE7D9C">
    <w:pPr>
      <w:pStyle w:val="Fuzeile"/>
      <w:ind w:right="360"/>
    </w:pPr>
  </w:p>
  <w:p w14:paraId="42C9A830" w14:textId="77777777" w:rsidR="001A6C06" w:rsidRDefault="001A6C06"/>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9AE543" w14:textId="1FA47E23" w:rsidR="001A6C06" w:rsidRDefault="001A6C06" w:rsidP="009D2C68">
    <w:pPr>
      <w:pStyle w:val="Fuzeile"/>
      <w:framePr w:wrap="none"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sidR="00045F85">
      <w:rPr>
        <w:rStyle w:val="Seitenzahl"/>
        <w:noProof/>
      </w:rPr>
      <w:t>1</w:t>
    </w:r>
    <w:r>
      <w:rPr>
        <w:rStyle w:val="Seitenzahl"/>
      </w:rPr>
      <w:fldChar w:fldCharType="end"/>
    </w:r>
  </w:p>
  <w:p w14:paraId="3859FA0E" w14:textId="77777777" w:rsidR="001A6C06" w:rsidRDefault="001A6C06" w:rsidP="00BE7D9C">
    <w:pPr>
      <w:pStyle w:val="Fuzeile"/>
      <w:ind w:right="360"/>
    </w:pPr>
  </w:p>
  <w:p w14:paraId="6EDAC632" w14:textId="77777777" w:rsidR="001A6C06" w:rsidRDefault="001A6C06"/>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D98187" w14:textId="77777777" w:rsidR="002D780F" w:rsidRDefault="002D780F" w:rsidP="004343FB">
      <w:pPr>
        <w:spacing w:after="0"/>
      </w:pPr>
      <w:r>
        <w:separator/>
      </w:r>
    </w:p>
  </w:footnote>
  <w:footnote w:type="continuationSeparator" w:id="0">
    <w:p w14:paraId="1F4E5DE2" w14:textId="77777777" w:rsidR="002D780F" w:rsidRDefault="002D780F" w:rsidP="004343FB">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12CFB"/>
    <w:multiLevelType w:val="hybridMultilevel"/>
    <w:tmpl w:val="750A64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B590C554">
      <w:start w:val="5"/>
      <w:numFmt w:val="upperLetter"/>
      <w:pStyle w:val="berschrift2"/>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AB2E2D"/>
    <w:multiLevelType w:val="hybridMultilevel"/>
    <w:tmpl w:val="8F786480"/>
    <w:lvl w:ilvl="0" w:tplc="CE701BD2">
      <w:start w:val="1"/>
      <w:numFmt w:val="decimal"/>
      <w:lvlText w:val="%1."/>
      <w:lvlJc w:val="left"/>
      <w:pPr>
        <w:ind w:left="630" w:hanging="360"/>
      </w:pPr>
      <w:rPr>
        <w:rFonts w:hint="default"/>
        <w:i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 w15:restartNumberingAfterBreak="0">
    <w:nsid w:val="020D6DFA"/>
    <w:multiLevelType w:val="hybridMultilevel"/>
    <w:tmpl w:val="90C09176"/>
    <w:lvl w:ilvl="0" w:tplc="F42241F4">
      <w:start w:val="5"/>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E52E04"/>
    <w:multiLevelType w:val="hybridMultilevel"/>
    <w:tmpl w:val="CDFAA3F4"/>
    <w:lvl w:ilvl="0" w:tplc="565A4C4E">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 w15:restartNumberingAfterBreak="0">
    <w:nsid w:val="0A9827A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0C1D5DEA"/>
    <w:multiLevelType w:val="hybridMultilevel"/>
    <w:tmpl w:val="17F6845E"/>
    <w:lvl w:ilvl="0" w:tplc="8A48640C">
      <w:start w:val="1"/>
      <w:numFmt w:val="decimal"/>
      <w:lvlText w:val="%1."/>
      <w:lvlJc w:val="left"/>
      <w:pPr>
        <w:ind w:left="720" w:hanging="360"/>
      </w:pPr>
      <w:rPr>
        <w:rFonts w:ascii="Arial" w:eastAsiaTheme="minorEastAsia" w:hAnsi="Arial" w:cs="AdvPSA88A"/>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0D83071A"/>
    <w:multiLevelType w:val="hybridMultilevel"/>
    <w:tmpl w:val="F0DE17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7703C5"/>
    <w:multiLevelType w:val="hybridMultilevel"/>
    <w:tmpl w:val="FDB23E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C02FBD"/>
    <w:multiLevelType w:val="hybridMultilevel"/>
    <w:tmpl w:val="54C817E0"/>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9" w15:restartNumberingAfterBreak="0">
    <w:nsid w:val="1A666121"/>
    <w:multiLevelType w:val="hybridMultilevel"/>
    <w:tmpl w:val="D13479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B314B44"/>
    <w:multiLevelType w:val="hybridMultilevel"/>
    <w:tmpl w:val="4F84C93A"/>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15:restartNumberingAfterBreak="0">
    <w:nsid w:val="1B391165"/>
    <w:multiLevelType w:val="hybridMultilevel"/>
    <w:tmpl w:val="6524A7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5E337B"/>
    <w:multiLevelType w:val="hybridMultilevel"/>
    <w:tmpl w:val="981CD844"/>
    <w:lvl w:ilvl="0" w:tplc="22625112">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3" w15:restartNumberingAfterBreak="0">
    <w:nsid w:val="29D51372"/>
    <w:multiLevelType w:val="hybridMultilevel"/>
    <w:tmpl w:val="24983F6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A9C6885"/>
    <w:multiLevelType w:val="hybridMultilevel"/>
    <w:tmpl w:val="F9C0CE0A"/>
    <w:lvl w:ilvl="0" w:tplc="0C5C7258">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B2263D5"/>
    <w:multiLevelType w:val="hybridMultilevel"/>
    <w:tmpl w:val="F9E21558"/>
    <w:lvl w:ilvl="0" w:tplc="314CAA90">
      <w:start w:val="1"/>
      <w:numFmt w:val="decimal"/>
      <w:pStyle w:val="Listenabsatz"/>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FEE031A"/>
    <w:multiLevelType w:val="hybridMultilevel"/>
    <w:tmpl w:val="55D8CD14"/>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FFB5E2A"/>
    <w:multiLevelType w:val="hybridMultilevel"/>
    <w:tmpl w:val="1AB053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66320D6"/>
    <w:multiLevelType w:val="hybridMultilevel"/>
    <w:tmpl w:val="CDD87024"/>
    <w:lvl w:ilvl="0" w:tplc="AD38DD06">
      <w:start w:val="1"/>
      <w:numFmt w:val="decimal"/>
      <w:lvlText w:val="%1."/>
      <w:lvlJc w:val="left"/>
      <w:pPr>
        <w:ind w:left="990" w:hanging="360"/>
      </w:pPr>
      <w:rPr>
        <w:rFonts w:hint="default"/>
        <w:i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9" w15:restartNumberingAfterBreak="0">
    <w:nsid w:val="38037A7E"/>
    <w:multiLevelType w:val="hybridMultilevel"/>
    <w:tmpl w:val="215E9E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A871605"/>
    <w:multiLevelType w:val="multilevel"/>
    <w:tmpl w:val="69FA38CA"/>
    <w:lvl w:ilvl="0">
      <w:start w:val="1"/>
      <w:numFmt w:val="upperRoman"/>
      <w:lvlText w:val="%1."/>
      <w:lvlJc w:val="left"/>
      <w:pPr>
        <w:ind w:left="-720" w:firstLine="0"/>
      </w:pPr>
      <w:rPr>
        <w:rFonts w:hint="default"/>
      </w:rPr>
    </w:lvl>
    <w:lvl w:ilvl="1">
      <w:start w:val="1"/>
      <w:numFmt w:val="upperLetter"/>
      <w:lvlText w:val="%2."/>
      <w:lvlJc w:val="left"/>
      <w:pPr>
        <w:ind w:left="0" w:firstLine="0"/>
      </w:pPr>
      <w:rPr>
        <w:rFonts w:hint="default"/>
      </w:rPr>
    </w:lvl>
    <w:lvl w:ilvl="2">
      <w:start w:val="1"/>
      <w:numFmt w:val="lowerRoman"/>
      <w:pStyle w:val="berschrift3"/>
      <w:lvlText w:val="%3."/>
      <w:lvlJc w:val="left"/>
      <w:pPr>
        <w:ind w:left="450" w:firstLine="0"/>
      </w:pPr>
      <w:rPr>
        <w:rFonts w:hint="default"/>
      </w:rPr>
    </w:lvl>
    <w:lvl w:ilvl="3">
      <w:start w:val="1"/>
      <w:numFmt w:val="lowerRoman"/>
      <w:pStyle w:val="berschrift4"/>
      <w:lvlText w:val="%4)"/>
      <w:lvlJc w:val="left"/>
      <w:pPr>
        <w:ind w:left="1440" w:firstLine="0"/>
      </w:pPr>
      <w:rPr>
        <w:rFonts w:hint="default"/>
      </w:rPr>
    </w:lvl>
    <w:lvl w:ilvl="4">
      <w:start w:val="1"/>
      <w:numFmt w:val="decimal"/>
      <w:pStyle w:val="berschrift5"/>
      <w:lvlText w:val="(%5)"/>
      <w:lvlJc w:val="left"/>
      <w:pPr>
        <w:ind w:left="2160" w:firstLine="0"/>
      </w:pPr>
      <w:rPr>
        <w:rFonts w:hint="default"/>
      </w:rPr>
    </w:lvl>
    <w:lvl w:ilvl="5">
      <w:start w:val="1"/>
      <w:numFmt w:val="lowerLetter"/>
      <w:pStyle w:val="berschrift6"/>
      <w:lvlText w:val="(%6)"/>
      <w:lvlJc w:val="left"/>
      <w:pPr>
        <w:ind w:left="2880" w:firstLine="0"/>
      </w:pPr>
      <w:rPr>
        <w:rFonts w:hint="default"/>
      </w:rPr>
    </w:lvl>
    <w:lvl w:ilvl="6">
      <w:start w:val="1"/>
      <w:numFmt w:val="lowerRoman"/>
      <w:pStyle w:val="berschrift7"/>
      <w:lvlText w:val="(%7)"/>
      <w:lvlJc w:val="left"/>
      <w:pPr>
        <w:ind w:left="3600" w:firstLine="0"/>
      </w:pPr>
      <w:rPr>
        <w:rFonts w:hint="default"/>
      </w:rPr>
    </w:lvl>
    <w:lvl w:ilvl="7">
      <w:start w:val="1"/>
      <w:numFmt w:val="lowerLetter"/>
      <w:pStyle w:val="berschrift8"/>
      <w:lvlText w:val="(%8)"/>
      <w:lvlJc w:val="left"/>
      <w:pPr>
        <w:ind w:left="4320" w:firstLine="0"/>
      </w:pPr>
      <w:rPr>
        <w:rFonts w:hint="default"/>
      </w:rPr>
    </w:lvl>
    <w:lvl w:ilvl="8">
      <w:start w:val="1"/>
      <w:numFmt w:val="lowerRoman"/>
      <w:pStyle w:val="berschrift9"/>
      <w:lvlText w:val="(%9)"/>
      <w:lvlJc w:val="left"/>
      <w:pPr>
        <w:ind w:left="5040" w:firstLine="0"/>
      </w:pPr>
      <w:rPr>
        <w:rFonts w:hint="default"/>
      </w:rPr>
    </w:lvl>
  </w:abstractNum>
  <w:abstractNum w:abstractNumId="21" w15:restartNumberingAfterBreak="0">
    <w:nsid w:val="3B9620C7"/>
    <w:multiLevelType w:val="hybridMultilevel"/>
    <w:tmpl w:val="1ACC45A8"/>
    <w:lvl w:ilvl="0" w:tplc="0409000F">
      <w:start w:val="1"/>
      <w:numFmt w:val="decimal"/>
      <w:lvlText w:val="%1."/>
      <w:lvlJc w:val="left"/>
      <w:pPr>
        <w:ind w:left="720" w:hanging="360"/>
      </w:pPr>
      <w:rPr>
        <w:rFonts w:hint="default"/>
      </w:rPr>
    </w:lvl>
    <w:lvl w:ilvl="1" w:tplc="8CAC36C4">
      <w:start w:val="1"/>
      <w:numFmt w:val="bullet"/>
      <w:lvlText w:val="-"/>
      <w:lvlJc w:val="left"/>
      <w:pPr>
        <w:ind w:left="1440" w:hanging="360"/>
      </w:pPr>
      <w:rPr>
        <w:rFonts w:ascii="Arial" w:eastAsiaTheme="minorEastAsia" w:hAnsi="Aria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0536F6D"/>
    <w:multiLevelType w:val="hybridMultilevel"/>
    <w:tmpl w:val="44CCAC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1A51E38"/>
    <w:multiLevelType w:val="hybridMultilevel"/>
    <w:tmpl w:val="3B0E0FB0"/>
    <w:lvl w:ilvl="0" w:tplc="8542ADB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51B67F1"/>
    <w:multiLevelType w:val="hybridMultilevel"/>
    <w:tmpl w:val="FF840636"/>
    <w:lvl w:ilvl="0" w:tplc="04090015">
      <w:start w:val="1"/>
      <w:numFmt w:val="upperLetter"/>
      <w:lvlText w:val="%1."/>
      <w:lvlJc w:val="left"/>
      <w:pPr>
        <w:ind w:left="720" w:hanging="360"/>
      </w:pPr>
      <w:rPr>
        <w:rFonts w:hint="default"/>
      </w:rPr>
    </w:lvl>
    <w:lvl w:ilvl="1" w:tplc="0F06DBA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52A2110"/>
    <w:multiLevelType w:val="hybridMultilevel"/>
    <w:tmpl w:val="7FC63FCC"/>
    <w:lvl w:ilvl="0" w:tplc="04090015">
      <w:start w:val="7"/>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5546C8E"/>
    <w:multiLevelType w:val="hybridMultilevel"/>
    <w:tmpl w:val="6EC26306"/>
    <w:lvl w:ilvl="0" w:tplc="04090015">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9840C3E"/>
    <w:multiLevelType w:val="hybridMultilevel"/>
    <w:tmpl w:val="CB5407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CAF27FF"/>
    <w:multiLevelType w:val="hybridMultilevel"/>
    <w:tmpl w:val="0EFE6B08"/>
    <w:lvl w:ilvl="0" w:tplc="9E4AFC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F720E36"/>
    <w:multiLevelType w:val="hybridMultilevel"/>
    <w:tmpl w:val="E4BED3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1672656"/>
    <w:multiLevelType w:val="hybridMultilevel"/>
    <w:tmpl w:val="CD4C75E2"/>
    <w:lvl w:ilvl="0" w:tplc="1E109B72">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1" w15:restartNumberingAfterBreak="0">
    <w:nsid w:val="53373D89"/>
    <w:multiLevelType w:val="hybridMultilevel"/>
    <w:tmpl w:val="F1B0B4A4"/>
    <w:lvl w:ilvl="0" w:tplc="AD844934">
      <w:start w:val="8"/>
      <w:numFmt w:val="upperRoman"/>
      <w:pStyle w:val="berschrift1"/>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4F21D62"/>
    <w:multiLevelType w:val="hybridMultilevel"/>
    <w:tmpl w:val="9B208864"/>
    <w:lvl w:ilvl="0" w:tplc="C7FCB342">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3" w15:restartNumberingAfterBreak="0">
    <w:nsid w:val="557A767B"/>
    <w:multiLevelType w:val="hybridMultilevel"/>
    <w:tmpl w:val="F00A5254"/>
    <w:lvl w:ilvl="0" w:tplc="F9FA7B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0A264FA"/>
    <w:multiLevelType w:val="hybridMultilevel"/>
    <w:tmpl w:val="D7E62474"/>
    <w:lvl w:ilvl="0" w:tplc="04090015">
      <w:start w:val="1"/>
      <w:numFmt w:val="upperLetter"/>
      <w:lvlText w:val="%1."/>
      <w:lvlJc w:val="left"/>
      <w:pPr>
        <w:ind w:left="720" w:hanging="360"/>
      </w:pPr>
      <w:rPr>
        <w:rFonts w:hint="default"/>
      </w:rPr>
    </w:lvl>
    <w:lvl w:ilvl="1" w:tplc="C9FA24F0">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76E36DA"/>
    <w:multiLevelType w:val="hybridMultilevel"/>
    <w:tmpl w:val="FF60AA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87520E9"/>
    <w:multiLevelType w:val="hybridMultilevel"/>
    <w:tmpl w:val="D298BA86"/>
    <w:lvl w:ilvl="0" w:tplc="1FB842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A387D4F"/>
    <w:multiLevelType w:val="hybridMultilevel"/>
    <w:tmpl w:val="2C541BEC"/>
    <w:lvl w:ilvl="0" w:tplc="86F6357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7F576EA5"/>
    <w:multiLevelType w:val="hybridMultilevel"/>
    <w:tmpl w:val="711E1570"/>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num w:numId="1">
    <w:abstractNumId w:val="20"/>
  </w:num>
  <w:num w:numId="2">
    <w:abstractNumId w:val="4"/>
  </w:num>
  <w:num w:numId="3">
    <w:abstractNumId w:val="14"/>
  </w:num>
  <w:num w:numId="4">
    <w:abstractNumId w:val="15"/>
  </w:num>
  <w:num w:numId="5">
    <w:abstractNumId w:val="5"/>
  </w:num>
  <w:num w:numId="6">
    <w:abstractNumId w:val="8"/>
  </w:num>
  <w:num w:numId="7">
    <w:abstractNumId w:val="33"/>
  </w:num>
  <w:num w:numId="8">
    <w:abstractNumId w:val="32"/>
  </w:num>
  <w:num w:numId="9">
    <w:abstractNumId w:val="1"/>
  </w:num>
  <w:num w:numId="10">
    <w:abstractNumId w:val="18"/>
  </w:num>
  <w:num w:numId="11">
    <w:abstractNumId w:val="3"/>
  </w:num>
  <w:num w:numId="12">
    <w:abstractNumId w:val="22"/>
  </w:num>
  <w:num w:numId="13">
    <w:abstractNumId w:val="38"/>
  </w:num>
  <w:num w:numId="14">
    <w:abstractNumId w:val="36"/>
  </w:num>
  <w:num w:numId="15">
    <w:abstractNumId w:val="28"/>
  </w:num>
  <w:num w:numId="16">
    <w:abstractNumId w:val="10"/>
  </w:num>
  <w:num w:numId="17">
    <w:abstractNumId w:val="29"/>
  </w:num>
  <w:num w:numId="18">
    <w:abstractNumId w:val="9"/>
  </w:num>
  <w:num w:numId="19">
    <w:abstractNumId w:val="23"/>
  </w:num>
  <w:num w:numId="20">
    <w:abstractNumId w:val="2"/>
  </w:num>
  <w:num w:numId="21">
    <w:abstractNumId w:val="13"/>
  </w:num>
  <w:num w:numId="22">
    <w:abstractNumId w:val="31"/>
  </w:num>
  <w:num w:numId="23">
    <w:abstractNumId w:val="24"/>
  </w:num>
  <w:num w:numId="24">
    <w:abstractNumId w:val="25"/>
  </w:num>
  <w:num w:numId="25">
    <w:abstractNumId w:val="27"/>
  </w:num>
  <w:num w:numId="26">
    <w:abstractNumId w:val="30"/>
  </w:num>
  <w:num w:numId="27">
    <w:abstractNumId w:val="12"/>
  </w:num>
  <w:num w:numId="28">
    <w:abstractNumId w:val="37"/>
  </w:num>
  <w:num w:numId="29">
    <w:abstractNumId w:val="35"/>
  </w:num>
  <w:num w:numId="30">
    <w:abstractNumId w:val="34"/>
  </w:num>
  <w:num w:numId="31">
    <w:abstractNumId w:val="17"/>
  </w:num>
  <w:num w:numId="32">
    <w:abstractNumId w:val="0"/>
  </w:num>
  <w:num w:numId="33">
    <w:abstractNumId w:val="21"/>
  </w:num>
  <w:num w:numId="34">
    <w:abstractNumId w:val="11"/>
  </w:num>
  <w:num w:numId="35">
    <w:abstractNumId w:val="6"/>
  </w:num>
  <w:num w:numId="36">
    <w:abstractNumId w:val="7"/>
  </w:num>
  <w:num w:numId="37">
    <w:abstractNumId w:val="19"/>
  </w:num>
  <w:num w:numId="38">
    <w:abstractNumId w:val="16"/>
  </w:num>
  <w:num w:numId="39">
    <w:abstractNumId w:val="26"/>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doNotTrackMoves/>
  <w:defaultTabStop w:val="720"/>
  <w:hyphenationZone w:val="425"/>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7D6D"/>
    <w:rsid w:val="000007DF"/>
    <w:rsid w:val="00000DA2"/>
    <w:rsid w:val="00001EB5"/>
    <w:rsid w:val="00002F9B"/>
    <w:rsid w:val="000040B7"/>
    <w:rsid w:val="0000422F"/>
    <w:rsid w:val="00004523"/>
    <w:rsid w:val="000056D5"/>
    <w:rsid w:val="00006321"/>
    <w:rsid w:val="000065B2"/>
    <w:rsid w:val="00006BC8"/>
    <w:rsid w:val="00007AFD"/>
    <w:rsid w:val="00007B39"/>
    <w:rsid w:val="00010C76"/>
    <w:rsid w:val="000110CE"/>
    <w:rsid w:val="00012D81"/>
    <w:rsid w:val="00013CFA"/>
    <w:rsid w:val="0001420F"/>
    <w:rsid w:val="000143FE"/>
    <w:rsid w:val="00014714"/>
    <w:rsid w:val="00014885"/>
    <w:rsid w:val="000148FB"/>
    <w:rsid w:val="000161BA"/>
    <w:rsid w:val="00016A7A"/>
    <w:rsid w:val="0002083A"/>
    <w:rsid w:val="0002086D"/>
    <w:rsid w:val="000216CE"/>
    <w:rsid w:val="00022400"/>
    <w:rsid w:val="0002316A"/>
    <w:rsid w:val="00023592"/>
    <w:rsid w:val="00023697"/>
    <w:rsid w:val="00024569"/>
    <w:rsid w:val="00024697"/>
    <w:rsid w:val="00024E6B"/>
    <w:rsid w:val="00027121"/>
    <w:rsid w:val="000276CB"/>
    <w:rsid w:val="00030203"/>
    <w:rsid w:val="00030211"/>
    <w:rsid w:val="000324DC"/>
    <w:rsid w:val="0003476A"/>
    <w:rsid w:val="000347A9"/>
    <w:rsid w:val="000371B7"/>
    <w:rsid w:val="0003773F"/>
    <w:rsid w:val="00037E9D"/>
    <w:rsid w:val="000400A4"/>
    <w:rsid w:val="000404F5"/>
    <w:rsid w:val="00040574"/>
    <w:rsid w:val="000416A9"/>
    <w:rsid w:val="000427A9"/>
    <w:rsid w:val="0004498D"/>
    <w:rsid w:val="00044E14"/>
    <w:rsid w:val="00045C43"/>
    <w:rsid w:val="00045E76"/>
    <w:rsid w:val="00045F85"/>
    <w:rsid w:val="0004601B"/>
    <w:rsid w:val="0004609E"/>
    <w:rsid w:val="00047B5A"/>
    <w:rsid w:val="00047F4F"/>
    <w:rsid w:val="0005026C"/>
    <w:rsid w:val="000510A5"/>
    <w:rsid w:val="000512BE"/>
    <w:rsid w:val="00051AA5"/>
    <w:rsid w:val="00051AC2"/>
    <w:rsid w:val="00051B1C"/>
    <w:rsid w:val="00052E77"/>
    <w:rsid w:val="00053097"/>
    <w:rsid w:val="00053AC6"/>
    <w:rsid w:val="00053D13"/>
    <w:rsid w:val="000541FB"/>
    <w:rsid w:val="000542ED"/>
    <w:rsid w:val="0005431C"/>
    <w:rsid w:val="00054566"/>
    <w:rsid w:val="000545A1"/>
    <w:rsid w:val="0005589F"/>
    <w:rsid w:val="0005599E"/>
    <w:rsid w:val="00055C1C"/>
    <w:rsid w:val="0005604C"/>
    <w:rsid w:val="0005686C"/>
    <w:rsid w:val="000568BC"/>
    <w:rsid w:val="00057391"/>
    <w:rsid w:val="00057CFB"/>
    <w:rsid w:val="00057CFC"/>
    <w:rsid w:val="000607E0"/>
    <w:rsid w:val="0006187E"/>
    <w:rsid w:val="00061C2A"/>
    <w:rsid w:val="00061D23"/>
    <w:rsid w:val="00061F67"/>
    <w:rsid w:val="000622C5"/>
    <w:rsid w:val="000627EB"/>
    <w:rsid w:val="00064314"/>
    <w:rsid w:val="000656AC"/>
    <w:rsid w:val="00066186"/>
    <w:rsid w:val="0006702C"/>
    <w:rsid w:val="000670B9"/>
    <w:rsid w:val="00067382"/>
    <w:rsid w:val="00070CDC"/>
    <w:rsid w:val="00070D50"/>
    <w:rsid w:val="000710E0"/>
    <w:rsid w:val="000710F6"/>
    <w:rsid w:val="000711B6"/>
    <w:rsid w:val="000727F5"/>
    <w:rsid w:val="00074065"/>
    <w:rsid w:val="00076F21"/>
    <w:rsid w:val="00077352"/>
    <w:rsid w:val="000779BA"/>
    <w:rsid w:val="00077FA4"/>
    <w:rsid w:val="00080953"/>
    <w:rsid w:val="00081889"/>
    <w:rsid w:val="000818C1"/>
    <w:rsid w:val="00083A73"/>
    <w:rsid w:val="00084067"/>
    <w:rsid w:val="000842A7"/>
    <w:rsid w:val="00084B90"/>
    <w:rsid w:val="00084C23"/>
    <w:rsid w:val="00085386"/>
    <w:rsid w:val="0008593F"/>
    <w:rsid w:val="00085A20"/>
    <w:rsid w:val="00092589"/>
    <w:rsid w:val="00092FA4"/>
    <w:rsid w:val="0009474A"/>
    <w:rsid w:val="00095478"/>
    <w:rsid w:val="00095FDD"/>
    <w:rsid w:val="000A0526"/>
    <w:rsid w:val="000A088D"/>
    <w:rsid w:val="000A0C85"/>
    <w:rsid w:val="000A0F1C"/>
    <w:rsid w:val="000A1824"/>
    <w:rsid w:val="000A1CC2"/>
    <w:rsid w:val="000A239A"/>
    <w:rsid w:val="000A272F"/>
    <w:rsid w:val="000A3DB1"/>
    <w:rsid w:val="000A42B4"/>
    <w:rsid w:val="000A46D4"/>
    <w:rsid w:val="000A4AD8"/>
    <w:rsid w:val="000A4C0C"/>
    <w:rsid w:val="000A5B42"/>
    <w:rsid w:val="000A5B4C"/>
    <w:rsid w:val="000A64C8"/>
    <w:rsid w:val="000A64F4"/>
    <w:rsid w:val="000B062B"/>
    <w:rsid w:val="000B063D"/>
    <w:rsid w:val="000B12AD"/>
    <w:rsid w:val="000B157B"/>
    <w:rsid w:val="000B2CD7"/>
    <w:rsid w:val="000B3727"/>
    <w:rsid w:val="000B4C11"/>
    <w:rsid w:val="000B7891"/>
    <w:rsid w:val="000B7C74"/>
    <w:rsid w:val="000C2112"/>
    <w:rsid w:val="000C2CF3"/>
    <w:rsid w:val="000C4490"/>
    <w:rsid w:val="000C4F13"/>
    <w:rsid w:val="000C5594"/>
    <w:rsid w:val="000C7372"/>
    <w:rsid w:val="000C74F5"/>
    <w:rsid w:val="000C7BDD"/>
    <w:rsid w:val="000C7CA3"/>
    <w:rsid w:val="000D1335"/>
    <w:rsid w:val="000D2750"/>
    <w:rsid w:val="000D2E4D"/>
    <w:rsid w:val="000D4E23"/>
    <w:rsid w:val="000D50CC"/>
    <w:rsid w:val="000D5C7B"/>
    <w:rsid w:val="000D5E3B"/>
    <w:rsid w:val="000D6253"/>
    <w:rsid w:val="000D676F"/>
    <w:rsid w:val="000D740B"/>
    <w:rsid w:val="000E00C1"/>
    <w:rsid w:val="000E0C19"/>
    <w:rsid w:val="000E1CAC"/>
    <w:rsid w:val="000E211E"/>
    <w:rsid w:val="000E3943"/>
    <w:rsid w:val="000E3C09"/>
    <w:rsid w:val="000E4061"/>
    <w:rsid w:val="000E45C8"/>
    <w:rsid w:val="000E4C56"/>
    <w:rsid w:val="000E564A"/>
    <w:rsid w:val="000E6A34"/>
    <w:rsid w:val="000E7979"/>
    <w:rsid w:val="000F0E23"/>
    <w:rsid w:val="000F0EB8"/>
    <w:rsid w:val="000F12FD"/>
    <w:rsid w:val="000F2CFA"/>
    <w:rsid w:val="000F2EC2"/>
    <w:rsid w:val="000F2F3E"/>
    <w:rsid w:val="0010022A"/>
    <w:rsid w:val="00100DA8"/>
    <w:rsid w:val="00101583"/>
    <w:rsid w:val="001018EC"/>
    <w:rsid w:val="001019A6"/>
    <w:rsid w:val="00101D9D"/>
    <w:rsid w:val="001026E0"/>
    <w:rsid w:val="00103648"/>
    <w:rsid w:val="00104268"/>
    <w:rsid w:val="0010441C"/>
    <w:rsid w:val="001044AD"/>
    <w:rsid w:val="00104C88"/>
    <w:rsid w:val="00105BD3"/>
    <w:rsid w:val="00106719"/>
    <w:rsid w:val="00106A81"/>
    <w:rsid w:val="00106DCA"/>
    <w:rsid w:val="00107617"/>
    <w:rsid w:val="00107720"/>
    <w:rsid w:val="00107E50"/>
    <w:rsid w:val="00110463"/>
    <w:rsid w:val="001107A6"/>
    <w:rsid w:val="00111517"/>
    <w:rsid w:val="001117D9"/>
    <w:rsid w:val="001117F0"/>
    <w:rsid w:val="00113722"/>
    <w:rsid w:val="0011438C"/>
    <w:rsid w:val="00114404"/>
    <w:rsid w:val="00115818"/>
    <w:rsid w:val="00116AA2"/>
    <w:rsid w:val="00116F2F"/>
    <w:rsid w:val="00117703"/>
    <w:rsid w:val="001204C3"/>
    <w:rsid w:val="00120B61"/>
    <w:rsid w:val="00122063"/>
    <w:rsid w:val="00122997"/>
    <w:rsid w:val="00122FC7"/>
    <w:rsid w:val="00123047"/>
    <w:rsid w:val="00123BCD"/>
    <w:rsid w:val="001252E0"/>
    <w:rsid w:val="00125CA0"/>
    <w:rsid w:val="001264AD"/>
    <w:rsid w:val="001276AC"/>
    <w:rsid w:val="00127EAE"/>
    <w:rsid w:val="001315E9"/>
    <w:rsid w:val="0013189B"/>
    <w:rsid w:val="001319A9"/>
    <w:rsid w:val="001329FE"/>
    <w:rsid w:val="00132FB2"/>
    <w:rsid w:val="00133986"/>
    <w:rsid w:val="001339B8"/>
    <w:rsid w:val="00133F6A"/>
    <w:rsid w:val="00135283"/>
    <w:rsid w:val="00135B62"/>
    <w:rsid w:val="00135BBF"/>
    <w:rsid w:val="001367FA"/>
    <w:rsid w:val="00137D0C"/>
    <w:rsid w:val="0014020B"/>
    <w:rsid w:val="0014070D"/>
    <w:rsid w:val="00141528"/>
    <w:rsid w:val="00141FE2"/>
    <w:rsid w:val="00142629"/>
    <w:rsid w:val="001438E6"/>
    <w:rsid w:val="00144018"/>
    <w:rsid w:val="00144054"/>
    <w:rsid w:val="001459B0"/>
    <w:rsid w:val="001459C4"/>
    <w:rsid w:val="00145ED1"/>
    <w:rsid w:val="00146677"/>
    <w:rsid w:val="00146916"/>
    <w:rsid w:val="00146C2C"/>
    <w:rsid w:val="0015026B"/>
    <w:rsid w:val="001503A6"/>
    <w:rsid w:val="001508E4"/>
    <w:rsid w:val="00150EB0"/>
    <w:rsid w:val="0015131D"/>
    <w:rsid w:val="001513E0"/>
    <w:rsid w:val="001525CD"/>
    <w:rsid w:val="00152A83"/>
    <w:rsid w:val="00153CA9"/>
    <w:rsid w:val="00153E8F"/>
    <w:rsid w:val="00153EF1"/>
    <w:rsid w:val="001553FA"/>
    <w:rsid w:val="00155471"/>
    <w:rsid w:val="001556D7"/>
    <w:rsid w:val="00155FF0"/>
    <w:rsid w:val="00157507"/>
    <w:rsid w:val="00157E58"/>
    <w:rsid w:val="00160572"/>
    <w:rsid w:val="001607EA"/>
    <w:rsid w:val="00160BE6"/>
    <w:rsid w:val="001624D2"/>
    <w:rsid w:val="00162E5F"/>
    <w:rsid w:val="001642EC"/>
    <w:rsid w:val="00164891"/>
    <w:rsid w:val="00164B9D"/>
    <w:rsid w:val="00165A2D"/>
    <w:rsid w:val="00167B16"/>
    <w:rsid w:val="00167F7C"/>
    <w:rsid w:val="00170942"/>
    <w:rsid w:val="00172117"/>
    <w:rsid w:val="001728C0"/>
    <w:rsid w:val="00174337"/>
    <w:rsid w:val="001755A1"/>
    <w:rsid w:val="00175D27"/>
    <w:rsid w:val="00175E8D"/>
    <w:rsid w:val="00176D11"/>
    <w:rsid w:val="00176F7F"/>
    <w:rsid w:val="00177BAB"/>
    <w:rsid w:val="00181433"/>
    <w:rsid w:val="00181554"/>
    <w:rsid w:val="00181CD7"/>
    <w:rsid w:val="0018268C"/>
    <w:rsid w:val="00182D71"/>
    <w:rsid w:val="0018305A"/>
    <w:rsid w:val="001833A2"/>
    <w:rsid w:val="00183C0E"/>
    <w:rsid w:val="0018423A"/>
    <w:rsid w:val="0018438E"/>
    <w:rsid w:val="00184B94"/>
    <w:rsid w:val="00184D62"/>
    <w:rsid w:val="001854AD"/>
    <w:rsid w:val="0018628D"/>
    <w:rsid w:val="0018731C"/>
    <w:rsid w:val="00190B0D"/>
    <w:rsid w:val="001922D6"/>
    <w:rsid w:val="00193301"/>
    <w:rsid w:val="00193364"/>
    <w:rsid w:val="001939A6"/>
    <w:rsid w:val="0019407C"/>
    <w:rsid w:val="00195020"/>
    <w:rsid w:val="001950CE"/>
    <w:rsid w:val="00195ABE"/>
    <w:rsid w:val="001A0862"/>
    <w:rsid w:val="001A0AEE"/>
    <w:rsid w:val="001A1162"/>
    <w:rsid w:val="001A139E"/>
    <w:rsid w:val="001A1846"/>
    <w:rsid w:val="001A42CE"/>
    <w:rsid w:val="001A454C"/>
    <w:rsid w:val="001A47CD"/>
    <w:rsid w:val="001A53EA"/>
    <w:rsid w:val="001A571E"/>
    <w:rsid w:val="001A63F2"/>
    <w:rsid w:val="001A67B5"/>
    <w:rsid w:val="001A6C06"/>
    <w:rsid w:val="001A7331"/>
    <w:rsid w:val="001A772D"/>
    <w:rsid w:val="001B1163"/>
    <w:rsid w:val="001B2842"/>
    <w:rsid w:val="001B2BF3"/>
    <w:rsid w:val="001B37F7"/>
    <w:rsid w:val="001B38B4"/>
    <w:rsid w:val="001B3921"/>
    <w:rsid w:val="001B41F7"/>
    <w:rsid w:val="001B4BD6"/>
    <w:rsid w:val="001B5CBE"/>
    <w:rsid w:val="001B6814"/>
    <w:rsid w:val="001B6F24"/>
    <w:rsid w:val="001C0DC6"/>
    <w:rsid w:val="001C1BEE"/>
    <w:rsid w:val="001C28CC"/>
    <w:rsid w:val="001C2D29"/>
    <w:rsid w:val="001C4521"/>
    <w:rsid w:val="001C4530"/>
    <w:rsid w:val="001C4DD9"/>
    <w:rsid w:val="001C53AB"/>
    <w:rsid w:val="001C7285"/>
    <w:rsid w:val="001C7412"/>
    <w:rsid w:val="001D056D"/>
    <w:rsid w:val="001D0E13"/>
    <w:rsid w:val="001D0EF6"/>
    <w:rsid w:val="001D146C"/>
    <w:rsid w:val="001D1C80"/>
    <w:rsid w:val="001D1ED5"/>
    <w:rsid w:val="001D25D4"/>
    <w:rsid w:val="001D29D1"/>
    <w:rsid w:val="001D2A2F"/>
    <w:rsid w:val="001D2FA2"/>
    <w:rsid w:val="001D3C80"/>
    <w:rsid w:val="001D4377"/>
    <w:rsid w:val="001D462B"/>
    <w:rsid w:val="001D470E"/>
    <w:rsid w:val="001D4D0F"/>
    <w:rsid w:val="001D5580"/>
    <w:rsid w:val="001E0334"/>
    <w:rsid w:val="001E36DA"/>
    <w:rsid w:val="001E3AF4"/>
    <w:rsid w:val="001E4886"/>
    <w:rsid w:val="001E52F9"/>
    <w:rsid w:val="001E5657"/>
    <w:rsid w:val="001F017D"/>
    <w:rsid w:val="001F0F96"/>
    <w:rsid w:val="001F154D"/>
    <w:rsid w:val="001F198E"/>
    <w:rsid w:val="001F1E32"/>
    <w:rsid w:val="001F2077"/>
    <w:rsid w:val="001F236E"/>
    <w:rsid w:val="001F3CA5"/>
    <w:rsid w:val="001F43AD"/>
    <w:rsid w:val="001F4704"/>
    <w:rsid w:val="001F559C"/>
    <w:rsid w:val="001F5B6D"/>
    <w:rsid w:val="001F63A9"/>
    <w:rsid w:val="001F6641"/>
    <w:rsid w:val="001F764F"/>
    <w:rsid w:val="00200E75"/>
    <w:rsid w:val="002042D4"/>
    <w:rsid w:val="00204EAE"/>
    <w:rsid w:val="0020672C"/>
    <w:rsid w:val="002105EF"/>
    <w:rsid w:val="0021170E"/>
    <w:rsid w:val="00211FF8"/>
    <w:rsid w:val="00212B8D"/>
    <w:rsid w:val="00212D90"/>
    <w:rsid w:val="00213346"/>
    <w:rsid w:val="00213638"/>
    <w:rsid w:val="00213F98"/>
    <w:rsid w:val="002147E1"/>
    <w:rsid w:val="00216422"/>
    <w:rsid w:val="002168DE"/>
    <w:rsid w:val="00216B08"/>
    <w:rsid w:val="00220412"/>
    <w:rsid w:val="002204BF"/>
    <w:rsid w:val="00220EB6"/>
    <w:rsid w:val="002213D5"/>
    <w:rsid w:val="002222FE"/>
    <w:rsid w:val="00222918"/>
    <w:rsid w:val="00223452"/>
    <w:rsid w:val="002236E2"/>
    <w:rsid w:val="00224128"/>
    <w:rsid w:val="002249BC"/>
    <w:rsid w:val="00225E0E"/>
    <w:rsid w:val="002267EC"/>
    <w:rsid w:val="00226C15"/>
    <w:rsid w:val="002306E0"/>
    <w:rsid w:val="0023099C"/>
    <w:rsid w:val="00231E7C"/>
    <w:rsid w:val="00232026"/>
    <w:rsid w:val="00232B9F"/>
    <w:rsid w:val="002346C1"/>
    <w:rsid w:val="00234B44"/>
    <w:rsid w:val="00234D16"/>
    <w:rsid w:val="00235F55"/>
    <w:rsid w:val="00236390"/>
    <w:rsid w:val="0024035F"/>
    <w:rsid w:val="00240DCE"/>
    <w:rsid w:val="00241595"/>
    <w:rsid w:val="0024164A"/>
    <w:rsid w:val="00241AEE"/>
    <w:rsid w:val="00242715"/>
    <w:rsid w:val="00243237"/>
    <w:rsid w:val="00245A35"/>
    <w:rsid w:val="00247428"/>
    <w:rsid w:val="002477F0"/>
    <w:rsid w:val="00250985"/>
    <w:rsid w:val="00251804"/>
    <w:rsid w:val="00252602"/>
    <w:rsid w:val="00252D1D"/>
    <w:rsid w:val="002559E9"/>
    <w:rsid w:val="00255B96"/>
    <w:rsid w:val="00257351"/>
    <w:rsid w:val="002578E0"/>
    <w:rsid w:val="002604FC"/>
    <w:rsid w:val="00260835"/>
    <w:rsid w:val="0026094E"/>
    <w:rsid w:val="00261582"/>
    <w:rsid w:val="0026287D"/>
    <w:rsid w:val="00263FF2"/>
    <w:rsid w:val="00265748"/>
    <w:rsid w:val="00265F3F"/>
    <w:rsid w:val="00266A82"/>
    <w:rsid w:val="0026737D"/>
    <w:rsid w:val="0026745B"/>
    <w:rsid w:val="00267617"/>
    <w:rsid w:val="00267DA0"/>
    <w:rsid w:val="00267F7F"/>
    <w:rsid w:val="0027068F"/>
    <w:rsid w:val="00270A58"/>
    <w:rsid w:val="0027187A"/>
    <w:rsid w:val="00272ADB"/>
    <w:rsid w:val="00272F7B"/>
    <w:rsid w:val="00273FDA"/>
    <w:rsid w:val="0027403D"/>
    <w:rsid w:val="002741CD"/>
    <w:rsid w:val="00274C1C"/>
    <w:rsid w:val="00275D6C"/>
    <w:rsid w:val="002762CD"/>
    <w:rsid w:val="00276904"/>
    <w:rsid w:val="00277183"/>
    <w:rsid w:val="002773DE"/>
    <w:rsid w:val="00277F09"/>
    <w:rsid w:val="0028032F"/>
    <w:rsid w:val="00280AD4"/>
    <w:rsid w:val="00280FEE"/>
    <w:rsid w:val="00281F45"/>
    <w:rsid w:val="00282527"/>
    <w:rsid w:val="00282905"/>
    <w:rsid w:val="00283971"/>
    <w:rsid w:val="00283B73"/>
    <w:rsid w:val="00284F45"/>
    <w:rsid w:val="00285237"/>
    <w:rsid w:val="0028571C"/>
    <w:rsid w:val="00285724"/>
    <w:rsid w:val="00286494"/>
    <w:rsid w:val="00286FCD"/>
    <w:rsid w:val="002870D1"/>
    <w:rsid w:val="0028742B"/>
    <w:rsid w:val="00287744"/>
    <w:rsid w:val="00291318"/>
    <w:rsid w:val="002920D2"/>
    <w:rsid w:val="002929BD"/>
    <w:rsid w:val="00292BE9"/>
    <w:rsid w:val="00293343"/>
    <w:rsid w:val="00293DE8"/>
    <w:rsid w:val="002946BC"/>
    <w:rsid w:val="002961A3"/>
    <w:rsid w:val="00296638"/>
    <w:rsid w:val="00296B90"/>
    <w:rsid w:val="00296D30"/>
    <w:rsid w:val="00296D46"/>
    <w:rsid w:val="002977BA"/>
    <w:rsid w:val="002A0565"/>
    <w:rsid w:val="002A09F5"/>
    <w:rsid w:val="002A163D"/>
    <w:rsid w:val="002A1887"/>
    <w:rsid w:val="002A2651"/>
    <w:rsid w:val="002A2DAD"/>
    <w:rsid w:val="002A4B74"/>
    <w:rsid w:val="002A5256"/>
    <w:rsid w:val="002A630C"/>
    <w:rsid w:val="002A6ECB"/>
    <w:rsid w:val="002A71FB"/>
    <w:rsid w:val="002A7C00"/>
    <w:rsid w:val="002B091E"/>
    <w:rsid w:val="002B0D8B"/>
    <w:rsid w:val="002B0DDA"/>
    <w:rsid w:val="002B1782"/>
    <w:rsid w:val="002B3FAA"/>
    <w:rsid w:val="002B5BF6"/>
    <w:rsid w:val="002B7AE8"/>
    <w:rsid w:val="002C0884"/>
    <w:rsid w:val="002C2F6E"/>
    <w:rsid w:val="002C36E6"/>
    <w:rsid w:val="002C44A2"/>
    <w:rsid w:val="002C4B55"/>
    <w:rsid w:val="002C4BB2"/>
    <w:rsid w:val="002C57B9"/>
    <w:rsid w:val="002C5ED1"/>
    <w:rsid w:val="002C5FD1"/>
    <w:rsid w:val="002C5FF3"/>
    <w:rsid w:val="002C780F"/>
    <w:rsid w:val="002C7FA5"/>
    <w:rsid w:val="002D0C10"/>
    <w:rsid w:val="002D0FBA"/>
    <w:rsid w:val="002D1C37"/>
    <w:rsid w:val="002D1CFD"/>
    <w:rsid w:val="002D28E1"/>
    <w:rsid w:val="002D29A7"/>
    <w:rsid w:val="002D3836"/>
    <w:rsid w:val="002D3A58"/>
    <w:rsid w:val="002D3E5A"/>
    <w:rsid w:val="002D50FC"/>
    <w:rsid w:val="002D53CC"/>
    <w:rsid w:val="002D68A7"/>
    <w:rsid w:val="002D69D3"/>
    <w:rsid w:val="002D6AC7"/>
    <w:rsid w:val="002D780F"/>
    <w:rsid w:val="002D7B40"/>
    <w:rsid w:val="002E096E"/>
    <w:rsid w:val="002E1B85"/>
    <w:rsid w:val="002E226C"/>
    <w:rsid w:val="002E2A42"/>
    <w:rsid w:val="002E2A8A"/>
    <w:rsid w:val="002E6117"/>
    <w:rsid w:val="002E6416"/>
    <w:rsid w:val="002E6676"/>
    <w:rsid w:val="002E6B3A"/>
    <w:rsid w:val="002E6DC8"/>
    <w:rsid w:val="002E6E04"/>
    <w:rsid w:val="002F0041"/>
    <w:rsid w:val="002F068B"/>
    <w:rsid w:val="002F2F7E"/>
    <w:rsid w:val="002F4B45"/>
    <w:rsid w:val="002F5269"/>
    <w:rsid w:val="002F66DF"/>
    <w:rsid w:val="003016C5"/>
    <w:rsid w:val="00302371"/>
    <w:rsid w:val="0030254B"/>
    <w:rsid w:val="003032D0"/>
    <w:rsid w:val="00303991"/>
    <w:rsid w:val="00303A72"/>
    <w:rsid w:val="00303CC2"/>
    <w:rsid w:val="00303F06"/>
    <w:rsid w:val="00304D7C"/>
    <w:rsid w:val="00305036"/>
    <w:rsid w:val="00305995"/>
    <w:rsid w:val="00306357"/>
    <w:rsid w:val="003077A8"/>
    <w:rsid w:val="00307846"/>
    <w:rsid w:val="00307A86"/>
    <w:rsid w:val="00307C5E"/>
    <w:rsid w:val="003100D8"/>
    <w:rsid w:val="003105AB"/>
    <w:rsid w:val="003106A3"/>
    <w:rsid w:val="0031164F"/>
    <w:rsid w:val="00311FA3"/>
    <w:rsid w:val="003120DB"/>
    <w:rsid w:val="0031267D"/>
    <w:rsid w:val="00312B58"/>
    <w:rsid w:val="00313A67"/>
    <w:rsid w:val="00314625"/>
    <w:rsid w:val="003150E0"/>
    <w:rsid w:val="00316B3E"/>
    <w:rsid w:val="00316EDA"/>
    <w:rsid w:val="00317591"/>
    <w:rsid w:val="003175AF"/>
    <w:rsid w:val="00317604"/>
    <w:rsid w:val="00321115"/>
    <w:rsid w:val="00321D0D"/>
    <w:rsid w:val="00321ECD"/>
    <w:rsid w:val="003224FC"/>
    <w:rsid w:val="003226BB"/>
    <w:rsid w:val="00322AF2"/>
    <w:rsid w:val="00322EB7"/>
    <w:rsid w:val="003233B0"/>
    <w:rsid w:val="00323695"/>
    <w:rsid w:val="00323726"/>
    <w:rsid w:val="003246C7"/>
    <w:rsid w:val="00325E3F"/>
    <w:rsid w:val="0032668A"/>
    <w:rsid w:val="00326A62"/>
    <w:rsid w:val="00326A88"/>
    <w:rsid w:val="00327955"/>
    <w:rsid w:val="0033245B"/>
    <w:rsid w:val="003326AA"/>
    <w:rsid w:val="00333CB7"/>
    <w:rsid w:val="00334EE4"/>
    <w:rsid w:val="003358D0"/>
    <w:rsid w:val="0033681D"/>
    <w:rsid w:val="00336FE1"/>
    <w:rsid w:val="0033755B"/>
    <w:rsid w:val="0034072A"/>
    <w:rsid w:val="00341040"/>
    <w:rsid w:val="00341510"/>
    <w:rsid w:val="0034257A"/>
    <w:rsid w:val="00342F4E"/>
    <w:rsid w:val="00343847"/>
    <w:rsid w:val="003441FC"/>
    <w:rsid w:val="003456B0"/>
    <w:rsid w:val="00347B42"/>
    <w:rsid w:val="0035132C"/>
    <w:rsid w:val="00351560"/>
    <w:rsid w:val="00352A1F"/>
    <w:rsid w:val="00353FFC"/>
    <w:rsid w:val="003544B4"/>
    <w:rsid w:val="00354D9D"/>
    <w:rsid w:val="00356CA6"/>
    <w:rsid w:val="0035780F"/>
    <w:rsid w:val="003579BB"/>
    <w:rsid w:val="00360090"/>
    <w:rsid w:val="00360A6B"/>
    <w:rsid w:val="0036174B"/>
    <w:rsid w:val="00361BF2"/>
    <w:rsid w:val="00362A1B"/>
    <w:rsid w:val="00362CF6"/>
    <w:rsid w:val="0036369A"/>
    <w:rsid w:val="00363710"/>
    <w:rsid w:val="00363EC9"/>
    <w:rsid w:val="00364E7A"/>
    <w:rsid w:val="00365B97"/>
    <w:rsid w:val="00366DDD"/>
    <w:rsid w:val="00370347"/>
    <w:rsid w:val="0037053F"/>
    <w:rsid w:val="0037063F"/>
    <w:rsid w:val="00371047"/>
    <w:rsid w:val="003713A9"/>
    <w:rsid w:val="00372829"/>
    <w:rsid w:val="003729DB"/>
    <w:rsid w:val="00373435"/>
    <w:rsid w:val="003744E8"/>
    <w:rsid w:val="0037467A"/>
    <w:rsid w:val="0037559F"/>
    <w:rsid w:val="003758C8"/>
    <w:rsid w:val="0037628F"/>
    <w:rsid w:val="003778A6"/>
    <w:rsid w:val="00380938"/>
    <w:rsid w:val="00380F42"/>
    <w:rsid w:val="00380F83"/>
    <w:rsid w:val="00381241"/>
    <w:rsid w:val="00381A86"/>
    <w:rsid w:val="00381F32"/>
    <w:rsid w:val="0038494D"/>
    <w:rsid w:val="003856AD"/>
    <w:rsid w:val="00385906"/>
    <w:rsid w:val="003865BD"/>
    <w:rsid w:val="003902CD"/>
    <w:rsid w:val="00391D16"/>
    <w:rsid w:val="0039200F"/>
    <w:rsid w:val="0039281F"/>
    <w:rsid w:val="00392841"/>
    <w:rsid w:val="00393B07"/>
    <w:rsid w:val="00393B92"/>
    <w:rsid w:val="003955FB"/>
    <w:rsid w:val="00396941"/>
    <w:rsid w:val="0039714E"/>
    <w:rsid w:val="00397803"/>
    <w:rsid w:val="003A0E02"/>
    <w:rsid w:val="003A1B99"/>
    <w:rsid w:val="003A23CF"/>
    <w:rsid w:val="003A3905"/>
    <w:rsid w:val="003A3DF9"/>
    <w:rsid w:val="003A4709"/>
    <w:rsid w:val="003A52EF"/>
    <w:rsid w:val="003A53ED"/>
    <w:rsid w:val="003A541E"/>
    <w:rsid w:val="003B0047"/>
    <w:rsid w:val="003B1005"/>
    <w:rsid w:val="003B231F"/>
    <w:rsid w:val="003B2563"/>
    <w:rsid w:val="003B281E"/>
    <w:rsid w:val="003B2B16"/>
    <w:rsid w:val="003B30DA"/>
    <w:rsid w:val="003B3A61"/>
    <w:rsid w:val="003B3FE2"/>
    <w:rsid w:val="003B4309"/>
    <w:rsid w:val="003B4637"/>
    <w:rsid w:val="003B49F9"/>
    <w:rsid w:val="003B4CCF"/>
    <w:rsid w:val="003B4DB5"/>
    <w:rsid w:val="003B6BF1"/>
    <w:rsid w:val="003B781C"/>
    <w:rsid w:val="003B7A55"/>
    <w:rsid w:val="003B7EED"/>
    <w:rsid w:val="003C00CF"/>
    <w:rsid w:val="003C0651"/>
    <w:rsid w:val="003C1583"/>
    <w:rsid w:val="003C241C"/>
    <w:rsid w:val="003C2514"/>
    <w:rsid w:val="003C2567"/>
    <w:rsid w:val="003C28EA"/>
    <w:rsid w:val="003C4515"/>
    <w:rsid w:val="003C4956"/>
    <w:rsid w:val="003C515C"/>
    <w:rsid w:val="003D1B00"/>
    <w:rsid w:val="003D1CAE"/>
    <w:rsid w:val="003D2566"/>
    <w:rsid w:val="003D2F17"/>
    <w:rsid w:val="003D311F"/>
    <w:rsid w:val="003D363D"/>
    <w:rsid w:val="003D5A3D"/>
    <w:rsid w:val="003D7490"/>
    <w:rsid w:val="003D7493"/>
    <w:rsid w:val="003D75B3"/>
    <w:rsid w:val="003D7D71"/>
    <w:rsid w:val="003E0AEC"/>
    <w:rsid w:val="003E0B7F"/>
    <w:rsid w:val="003E0D5E"/>
    <w:rsid w:val="003E0DE4"/>
    <w:rsid w:val="003E1774"/>
    <w:rsid w:val="003E29BB"/>
    <w:rsid w:val="003E3B7D"/>
    <w:rsid w:val="003E3C76"/>
    <w:rsid w:val="003E4C34"/>
    <w:rsid w:val="003E4C5B"/>
    <w:rsid w:val="003E4DCC"/>
    <w:rsid w:val="003E4E61"/>
    <w:rsid w:val="003E65D6"/>
    <w:rsid w:val="003F036F"/>
    <w:rsid w:val="003F0BE2"/>
    <w:rsid w:val="003F20F9"/>
    <w:rsid w:val="003F233E"/>
    <w:rsid w:val="003F2D98"/>
    <w:rsid w:val="003F2F16"/>
    <w:rsid w:val="003F4550"/>
    <w:rsid w:val="003F5757"/>
    <w:rsid w:val="003F589B"/>
    <w:rsid w:val="003F6785"/>
    <w:rsid w:val="003F6C8D"/>
    <w:rsid w:val="003F7ABC"/>
    <w:rsid w:val="00400748"/>
    <w:rsid w:val="00401245"/>
    <w:rsid w:val="00401E5F"/>
    <w:rsid w:val="004023C3"/>
    <w:rsid w:val="004027DE"/>
    <w:rsid w:val="00402C2B"/>
    <w:rsid w:val="00403402"/>
    <w:rsid w:val="00403660"/>
    <w:rsid w:val="00403BB2"/>
    <w:rsid w:val="0040424B"/>
    <w:rsid w:val="0040438D"/>
    <w:rsid w:val="004047A8"/>
    <w:rsid w:val="0040496E"/>
    <w:rsid w:val="00404ED6"/>
    <w:rsid w:val="00405234"/>
    <w:rsid w:val="0041094E"/>
    <w:rsid w:val="00410CC5"/>
    <w:rsid w:val="00411433"/>
    <w:rsid w:val="00411469"/>
    <w:rsid w:val="00411913"/>
    <w:rsid w:val="004121ED"/>
    <w:rsid w:val="00413270"/>
    <w:rsid w:val="0041342A"/>
    <w:rsid w:val="00413EE8"/>
    <w:rsid w:val="00414235"/>
    <w:rsid w:val="004148E5"/>
    <w:rsid w:val="00416403"/>
    <w:rsid w:val="00416851"/>
    <w:rsid w:val="00416974"/>
    <w:rsid w:val="00416CF8"/>
    <w:rsid w:val="00416FE3"/>
    <w:rsid w:val="0041715F"/>
    <w:rsid w:val="004171AB"/>
    <w:rsid w:val="00417455"/>
    <w:rsid w:val="004177CD"/>
    <w:rsid w:val="0042064C"/>
    <w:rsid w:val="0042071A"/>
    <w:rsid w:val="0042119B"/>
    <w:rsid w:val="00421504"/>
    <w:rsid w:val="004220BA"/>
    <w:rsid w:val="004227F8"/>
    <w:rsid w:val="00424960"/>
    <w:rsid w:val="00424C50"/>
    <w:rsid w:val="00426970"/>
    <w:rsid w:val="0043018C"/>
    <w:rsid w:val="00431E69"/>
    <w:rsid w:val="004343FB"/>
    <w:rsid w:val="00434D0B"/>
    <w:rsid w:val="00434EA0"/>
    <w:rsid w:val="00435601"/>
    <w:rsid w:val="00435869"/>
    <w:rsid w:val="00435D15"/>
    <w:rsid w:val="0043617B"/>
    <w:rsid w:val="00436A28"/>
    <w:rsid w:val="004376BD"/>
    <w:rsid w:val="00441EEA"/>
    <w:rsid w:val="0044345F"/>
    <w:rsid w:val="004435CC"/>
    <w:rsid w:val="0044370C"/>
    <w:rsid w:val="00443CCB"/>
    <w:rsid w:val="00444966"/>
    <w:rsid w:val="00445724"/>
    <w:rsid w:val="00445F5E"/>
    <w:rsid w:val="00446379"/>
    <w:rsid w:val="0044669B"/>
    <w:rsid w:val="004477C3"/>
    <w:rsid w:val="00447D94"/>
    <w:rsid w:val="00447E7F"/>
    <w:rsid w:val="00451EDF"/>
    <w:rsid w:val="0045224F"/>
    <w:rsid w:val="004525D1"/>
    <w:rsid w:val="004530D3"/>
    <w:rsid w:val="0045486A"/>
    <w:rsid w:val="00454B38"/>
    <w:rsid w:val="00454D84"/>
    <w:rsid w:val="00455820"/>
    <w:rsid w:val="00455870"/>
    <w:rsid w:val="00456A19"/>
    <w:rsid w:val="00456C02"/>
    <w:rsid w:val="00457662"/>
    <w:rsid w:val="00457A73"/>
    <w:rsid w:val="0046062E"/>
    <w:rsid w:val="00461540"/>
    <w:rsid w:val="00461DD4"/>
    <w:rsid w:val="004625FB"/>
    <w:rsid w:val="004626CD"/>
    <w:rsid w:val="004641AB"/>
    <w:rsid w:val="00466BB6"/>
    <w:rsid w:val="00466CA6"/>
    <w:rsid w:val="00466E90"/>
    <w:rsid w:val="00467182"/>
    <w:rsid w:val="004701AD"/>
    <w:rsid w:val="004709CD"/>
    <w:rsid w:val="0047120C"/>
    <w:rsid w:val="00471370"/>
    <w:rsid w:val="004714A4"/>
    <w:rsid w:val="004720D3"/>
    <w:rsid w:val="00472E65"/>
    <w:rsid w:val="004740A3"/>
    <w:rsid w:val="004746F5"/>
    <w:rsid w:val="00474D8B"/>
    <w:rsid w:val="00475DAC"/>
    <w:rsid w:val="00476504"/>
    <w:rsid w:val="004768C5"/>
    <w:rsid w:val="00476C3F"/>
    <w:rsid w:val="00476D99"/>
    <w:rsid w:val="00476DF2"/>
    <w:rsid w:val="00477244"/>
    <w:rsid w:val="00482F16"/>
    <w:rsid w:val="0048465C"/>
    <w:rsid w:val="00485372"/>
    <w:rsid w:val="00485814"/>
    <w:rsid w:val="00485F5D"/>
    <w:rsid w:val="0048681D"/>
    <w:rsid w:val="004869B2"/>
    <w:rsid w:val="004879AB"/>
    <w:rsid w:val="00487A03"/>
    <w:rsid w:val="004919E2"/>
    <w:rsid w:val="004927EF"/>
    <w:rsid w:val="00492808"/>
    <w:rsid w:val="004932A8"/>
    <w:rsid w:val="004971D6"/>
    <w:rsid w:val="004A0D60"/>
    <w:rsid w:val="004A1985"/>
    <w:rsid w:val="004A1AA8"/>
    <w:rsid w:val="004A205D"/>
    <w:rsid w:val="004A2200"/>
    <w:rsid w:val="004A3026"/>
    <w:rsid w:val="004A3177"/>
    <w:rsid w:val="004A34E8"/>
    <w:rsid w:val="004A3C50"/>
    <w:rsid w:val="004A6693"/>
    <w:rsid w:val="004A6EA6"/>
    <w:rsid w:val="004B04CF"/>
    <w:rsid w:val="004B07E7"/>
    <w:rsid w:val="004B0DE3"/>
    <w:rsid w:val="004B2D32"/>
    <w:rsid w:val="004B2FDC"/>
    <w:rsid w:val="004B4E56"/>
    <w:rsid w:val="004B5954"/>
    <w:rsid w:val="004B5ED5"/>
    <w:rsid w:val="004C0D95"/>
    <w:rsid w:val="004C302D"/>
    <w:rsid w:val="004C302E"/>
    <w:rsid w:val="004C340B"/>
    <w:rsid w:val="004C587E"/>
    <w:rsid w:val="004C589B"/>
    <w:rsid w:val="004C5CD0"/>
    <w:rsid w:val="004D1440"/>
    <w:rsid w:val="004D1C39"/>
    <w:rsid w:val="004D204C"/>
    <w:rsid w:val="004D2690"/>
    <w:rsid w:val="004D2C3F"/>
    <w:rsid w:val="004D334C"/>
    <w:rsid w:val="004D3475"/>
    <w:rsid w:val="004D46D2"/>
    <w:rsid w:val="004D67AD"/>
    <w:rsid w:val="004D6D1D"/>
    <w:rsid w:val="004D733D"/>
    <w:rsid w:val="004E0BA8"/>
    <w:rsid w:val="004E17C3"/>
    <w:rsid w:val="004E1D05"/>
    <w:rsid w:val="004E213C"/>
    <w:rsid w:val="004E2657"/>
    <w:rsid w:val="004E2DF9"/>
    <w:rsid w:val="004E59ED"/>
    <w:rsid w:val="004E6956"/>
    <w:rsid w:val="004E7154"/>
    <w:rsid w:val="004E79AF"/>
    <w:rsid w:val="004F0548"/>
    <w:rsid w:val="004F0985"/>
    <w:rsid w:val="004F17BD"/>
    <w:rsid w:val="004F18BE"/>
    <w:rsid w:val="004F1CFB"/>
    <w:rsid w:val="004F3599"/>
    <w:rsid w:val="004F5567"/>
    <w:rsid w:val="004F5E4B"/>
    <w:rsid w:val="004F5EA0"/>
    <w:rsid w:val="004F6BE2"/>
    <w:rsid w:val="004F71B6"/>
    <w:rsid w:val="004F7626"/>
    <w:rsid w:val="004F76DC"/>
    <w:rsid w:val="004F7C92"/>
    <w:rsid w:val="004F7CB8"/>
    <w:rsid w:val="004F7E92"/>
    <w:rsid w:val="005011EB"/>
    <w:rsid w:val="005026AD"/>
    <w:rsid w:val="00502F7F"/>
    <w:rsid w:val="00503676"/>
    <w:rsid w:val="00503E03"/>
    <w:rsid w:val="00504041"/>
    <w:rsid w:val="00504353"/>
    <w:rsid w:val="00504A08"/>
    <w:rsid w:val="00506BFA"/>
    <w:rsid w:val="0050709E"/>
    <w:rsid w:val="005071AB"/>
    <w:rsid w:val="00510D94"/>
    <w:rsid w:val="0051112C"/>
    <w:rsid w:val="005130AF"/>
    <w:rsid w:val="00513969"/>
    <w:rsid w:val="00513D7E"/>
    <w:rsid w:val="00513FD2"/>
    <w:rsid w:val="00514C59"/>
    <w:rsid w:val="00515471"/>
    <w:rsid w:val="00515BCE"/>
    <w:rsid w:val="005161AD"/>
    <w:rsid w:val="00516B32"/>
    <w:rsid w:val="00516D63"/>
    <w:rsid w:val="00517050"/>
    <w:rsid w:val="0051780F"/>
    <w:rsid w:val="00520565"/>
    <w:rsid w:val="005208E5"/>
    <w:rsid w:val="00520BF3"/>
    <w:rsid w:val="0052118D"/>
    <w:rsid w:val="00521610"/>
    <w:rsid w:val="00521EF2"/>
    <w:rsid w:val="005228EC"/>
    <w:rsid w:val="00522A62"/>
    <w:rsid w:val="00523107"/>
    <w:rsid w:val="005241C4"/>
    <w:rsid w:val="00524AF1"/>
    <w:rsid w:val="00525DAB"/>
    <w:rsid w:val="005261FD"/>
    <w:rsid w:val="005267C7"/>
    <w:rsid w:val="00526FF4"/>
    <w:rsid w:val="00527D16"/>
    <w:rsid w:val="00527E0D"/>
    <w:rsid w:val="00530AF6"/>
    <w:rsid w:val="00530CE1"/>
    <w:rsid w:val="00530DBA"/>
    <w:rsid w:val="005316F4"/>
    <w:rsid w:val="00532646"/>
    <w:rsid w:val="00532B89"/>
    <w:rsid w:val="00533944"/>
    <w:rsid w:val="0053454B"/>
    <w:rsid w:val="00535514"/>
    <w:rsid w:val="005364F6"/>
    <w:rsid w:val="00537D9A"/>
    <w:rsid w:val="0054084D"/>
    <w:rsid w:val="00540DC5"/>
    <w:rsid w:val="00540E6D"/>
    <w:rsid w:val="00541198"/>
    <w:rsid w:val="005420AE"/>
    <w:rsid w:val="0054323A"/>
    <w:rsid w:val="00543A8F"/>
    <w:rsid w:val="00543C58"/>
    <w:rsid w:val="0054417E"/>
    <w:rsid w:val="00544EDA"/>
    <w:rsid w:val="00545A84"/>
    <w:rsid w:val="00546126"/>
    <w:rsid w:val="00546A38"/>
    <w:rsid w:val="0054791B"/>
    <w:rsid w:val="00547E48"/>
    <w:rsid w:val="00547F32"/>
    <w:rsid w:val="00550497"/>
    <w:rsid w:val="005507D9"/>
    <w:rsid w:val="00551246"/>
    <w:rsid w:val="00551641"/>
    <w:rsid w:val="005555D6"/>
    <w:rsid w:val="005560EB"/>
    <w:rsid w:val="00556C67"/>
    <w:rsid w:val="00560876"/>
    <w:rsid w:val="00560E55"/>
    <w:rsid w:val="00561053"/>
    <w:rsid w:val="00561519"/>
    <w:rsid w:val="00561C76"/>
    <w:rsid w:val="005629C6"/>
    <w:rsid w:val="005638AB"/>
    <w:rsid w:val="00563AB0"/>
    <w:rsid w:val="00564B36"/>
    <w:rsid w:val="00564BEE"/>
    <w:rsid w:val="00565D55"/>
    <w:rsid w:val="00566C84"/>
    <w:rsid w:val="0056717D"/>
    <w:rsid w:val="00567766"/>
    <w:rsid w:val="00567B80"/>
    <w:rsid w:val="00572EE0"/>
    <w:rsid w:val="00572F1A"/>
    <w:rsid w:val="005730BD"/>
    <w:rsid w:val="005734C0"/>
    <w:rsid w:val="00573961"/>
    <w:rsid w:val="00574A90"/>
    <w:rsid w:val="0057550A"/>
    <w:rsid w:val="005770BF"/>
    <w:rsid w:val="00580525"/>
    <w:rsid w:val="00580CF1"/>
    <w:rsid w:val="00580E4C"/>
    <w:rsid w:val="00581A9A"/>
    <w:rsid w:val="0058269C"/>
    <w:rsid w:val="005828FF"/>
    <w:rsid w:val="00583970"/>
    <w:rsid w:val="00584E36"/>
    <w:rsid w:val="005850F6"/>
    <w:rsid w:val="00585171"/>
    <w:rsid w:val="005861B7"/>
    <w:rsid w:val="005865A9"/>
    <w:rsid w:val="005866C2"/>
    <w:rsid w:val="005868ED"/>
    <w:rsid w:val="0058723A"/>
    <w:rsid w:val="00587719"/>
    <w:rsid w:val="005878FE"/>
    <w:rsid w:val="00590F7C"/>
    <w:rsid w:val="005910DB"/>
    <w:rsid w:val="00591AD1"/>
    <w:rsid w:val="00594B2F"/>
    <w:rsid w:val="00595169"/>
    <w:rsid w:val="00595B58"/>
    <w:rsid w:val="00595BE5"/>
    <w:rsid w:val="005969F2"/>
    <w:rsid w:val="00596F44"/>
    <w:rsid w:val="0059703A"/>
    <w:rsid w:val="00597275"/>
    <w:rsid w:val="00597E4C"/>
    <w:rsid w:val="005A0081"/>
    <w:rsid w:val="005A0288"/>
    <w:rsid w:val="005A030B"/>
    <w:rsid w:val="005A0954"/>
    <w:rsid w:val="005A1727"/>
    <w:rsid w:val="005A178E"/>
    <w:rsid w:val="005A18F2"/>
    <w:rsid w:val="005A253A"/>
    <w:rsid w:val="005A27AE"/>
    <w:rsid w:val="005A2CE1"/>
    <w:rsid w:val="005A32C5"/>
    <w:rsid w:val="005A3381"/>
    <w:rsid w:val="005A3BF8"/>
    <w:rsid w:val="005A4601"/>
    <w:rsid w:val="005A4F19"/>
    <w:rsid w:val="005A53EF"/>
    <w:rsid w:val="005A6865"/>
    <w:rsid w:val="005A6880"/>
    <w:rsid w:val="005A6B14"/>
    <w:rsid w:val="005A6FB0"/>
    <w:rsid w:val="005A71BE"/>
    <w:rsid w:val="005B004B"/>
    <w:rsid w:val="005B076F"/>
    <w:rsid w:val="005B206A"/>
    <w:rsid w:val="005B2260"/>
    <w:rsid w:val="005B273B"/>
    <w:rsid w:val="005B27AB"/>
    <w:rsid w:val="005B3A6D"/>
    <w:rsid w:val="005B3D4B"/>
    <w:rsid w:val="005B56E3"/>
    <w:rsid w:val="005B5B36"/>
    <w:rsid w:val="005B642A"/>
    <w:rsid w:val="005B6BA0"/>
    <w:rsid w:val="005B700A"/>
    <w:rsid w:val="005B7BFA"/>
    <w:rsid w:val="005C114B"/>
    <w:rsid w:val="005C1188"/>
    <w:rsid w:val="005C1553"/>
    <w:rsid w:val="005C272F"/>
    <w:rsid w:val="005C3BF1"/>
    <w:rsid w:val="005C4592"/>
    <w:rsid w:val="005C4E96"/>
    <w:rsid w:val="005C530D"/>
    <w:rsid w:val="005C5379"/>
    <w:rsid w:val="005C5C43"/>
    <w:rsid w:val="005D06B1"/>
    <w:rsid w:val="005D0E77"/>
    <w:rsid w:val="005D0E97"/>
    <w:rsid w:val="005D1A47"/>
    <w:rsid w:val="005D3920"/>
    <w:rsid w:val="005D3F33"/>
    <w:rsid w:val="005D49F8"/>
    <w:rsid w:val="005D4C46"/>
    <w:rsid w:val="005D4CFD"/>
    <w:rsid w:val="005D55FE"/>
    <w:rsid w:val="005D6D49"/>
    <w:rsid w:val="005D6DDC"/>
    <w:rsid w:val="005E0EE0"/>
    <w:rsid w:val="005E0F6E"/>
    <w:rsid w:val="005E1068"/>
    <w:rsid w:val="005E1D8D"/>
    <w:rsid w:val="005E1FE0"/>
    <w:rsid w:val="005E30A9"/>
    <w:rsid w:val="005E349A"/>
    <w:rsid w:val="005E351D"/>
    <w:rsid w:val="005E382B"/>
    <w:rsid w:val="005E40E8"/>
    <w:rsid w:val="005E497F"/>
    <w:rsid w:val="005E4F38"/>
    <w:rsid w:val="005E55D3"/>
    <w:rsid w:val="005E5B00"/>
    <w:rsid w:val="005E7068"/>
    <w:rsid w:val="005E71A6"/>
    <w:rsid w:val="005E79B0"/>
    <w:rsid w:val="005E7D78"/>
    <w:rsid w:val="005F0561"/>
    <w:rsid w:val="005F07A5"/>
    <w:rsid w:val="005F0E15"/>
    <w:rsid w:val="005F1248"/>
    <w:rsid w:val="005F408B"/>
    <w:rsid w:val="005F4FF4"/>
    <w:rsid w:val="005F51B2"/>
    <w:rsid w:val="005F57CB"/>
    <w:rsid w:val="005F61C9"/>
    <w:rsid w:val="005F6953"/>
    <w:rsid w:val="005F6DFE"/>
    <w:rsid w:val="00601088"/>
    <w:rsid w:val="006019AE"/>
    <w:rsid w:val="00601C94"/>
    <w:rsid w:val="00602168"/>
    <w:rsid w:val="006035EF"/>
    <w:rsid w:val="00604AC6"/>
    <w:rsid w:val="00605C3D"/>
    <w:rsid w:val="00606293"/>
    <w:rsid w:val="006065E8"/>
    <w:rsid w:val="00606CEC"/>
    <w:rsid w:val="0060786F"/>
    <w:rsid w:val="0061119A"/>
    <w:rsid w:val="00611844"/>
    <w:rsid w:val="00611B62"/>
    <w:rsid w:val="0061213E"/>
    <w:rsid w:val="0061271E"/>
    <w:rsid w:val="00612BB8"/>
    <w:rsid w:val="00613D34"/>
    <w:rsid w:val="00614FA3"/>
    <w:rsid w:val="00617094"/>
    <w:rsid w:val="00617670"/>
    <w:rsid w:val="006201D5"/>
    <w:rsid w:val="006206BC"/>
    <w:rsid w:val="006217AD"/>
    <w:rsid w:val="0062188B"/>
    <w:rsid w:val="00621905"/>
    <w:rsid w:val="006226C9"/>
    <w:rsid w:val="00624896"/>
    <w:rsid w:val="006255FE"/>
    <w:rsid w:val="006259DF"/>
    <w:rsid w:val="00625CC4"/>
    <w:rsid w:val="006267E0"/>
    <w:rsid w:val="00630AA9"/>
    <w:rsid w:val="00631062"/>
    <w:rsid w:val="00631E23"/>
    <w:rsid w:val="0063216D"/>
    <w:rsid w:val="006328D3"/>
    <w:rsid w:val="006338EC"/>
    <w:rsid w:val="00634182"/>
    <w:rsid w:val="00634970"/>
    <w:rsid w:val="006356C1"/>
    <w:rsid w:val="00635BBD"/>
    <w:rsid w:val="00635D18"/>
    <w:rsid w:val="006360AE"/>
    <w:rsid w:val="006361C7"/>
    <w:rsid w:val="00636B43"/>
    <w:rsid w:val="00636D34"/>
    <w:rsid w:val="00637414"/>
    <w:rsid w:val="006400DF"/>
    <w:rsid w:val="00640DF2"/>
    <w:rsid w:val="00640EF7"/>
    <w:rsid w:val="006416B0"/>
    <w:rsid w:val="006425FE"/>
    <w:rsid w:val="00642A9A"/>
    <w:rsid w:val="006437D2"/>
    <w:rsid w:val="00643995"/>
    <w:rsid w:val="006447C3"/>
    <w:rsid w:val="00646F12"/>
    <w:rsid w:val="00647AD6"/>
    <w:rsid w:val="00647EB0"/>
    <w:rsid w:val="006503BD"/>
    <w:rsid w:val="00652266"/>
    <w:rsid w:val="00653135"/>
    <w:rsid w:val="0065478B"/>
    <w:rsid w:val="00654C57"/>
    <w:rsid w:val="006550D8"/>
    <w:rsid w:val="00655493"/>
    <w:rsid w:val="00655669"/>
    <w:rsid w:val="006556DE"/>
    <w:rsid w:val="0065579A"/>
    <w:rsid w:val="00656774"/>
    <w:rsid w:val="0065684B"/>
    <w:rsid w:val="00657BF6"/>
    <w:rsid w:val="00657C04"/>
    <w:rsid w:val="00660406"/>
    <w:rsid w:val="006611C1"/>
    <w:rsid w:val="00661AA9"/>
    <w:rsid w:val="0066265A"/>
    <w:rsid w:val="00662806"/>
    <w:rsid w:val="00662B41"/>
    <w:rsid w:val="00663FF6"/>
    <w:rsid w:val="006641E7"/>
    <w:rsid w:val="00664BCB"/>
    <w:rsid w:val="006653E5"/>
    <w:rsid w:val="00665CD4"/>
    <w:rsid w:val="00667048"/>
    <w:rsid w:val="006675E9"/>
    <w:rsid w:val="006676E3"/>
    <w:rsid w:val="00670C95"/>
    <w:rsid w:val="00670E6E"/>
    <w:rsid w:val="00671064"/>
    <w:rsid w:val="006720B8"/>
    <w:rsid w:val="006736C6"/>
    <w:rsid w:val="00673A62"/>
    <w:rsid w:val="00674C2C"/>
    <w:rsid w:val="006761E8"/>
    <w:rsid w:val="006768B2"/>
    <w:rsid w:val="00676A89"/>
    <w:rsid w:val="00676B5F"/>
    <w:rsid w:val="00676EE2"/>
    <w:rsid w:val="0067763A"/>
    <w:rsid w:val="00677C07"/>
    <w:rsid w:val="00680B30"/>
    <w:rsid w:val="00683AD6"/>
    <w:rsid w:val="00683F73"/>
    <w:rsid w:val="006845F8"/>
    <w:rsid w:val="0068470C"/>
    <w:rsid w:val="006851B8"/>
    <w:rsid w:val="006852F6"/>
    <w:rsid w:val="00685EA1"/>
    <w:rsid w:val="00685F5E"/>
    <w:rsid w:val="00686347"/>
    <w:rsid w:val="00687718"/>
    <w:rsid w:val="00687891"/>
    <w:rsid w:val="00687B89"/>
    <w:rsid w:val="00687C0E"/>
    <w:rsid w:val="00691D86"/>
    <w:rsid w:val="006923CC"/>
    <w:rsid w:val="00693BF1"/>
    <w:rsid w:val="00693E15"/>
    <w:rsid w:val="006949D5"/>
    <w:rsid w:val="006950D3"/>
    <w:rsid w:val="006963CC"/>
    <w:rsid w:val="006A0131"/>
    <w:rsid w:val="006A180D"/>
    <w:rsid w:val="006A2C21"/>
    <w:rsid w:val="006A30A4"/>
    <w:rsid w:val="006A3166"/>
    <w:rsid w:val="006A3C93"/>
    <w:rsid w:val="006A4053"/>
    <w:rsid w:val="006A4FD7"/>
    <w:rsid w:val="006A54CF"/>
    <w:rsid w:val="006A6ADC"/>
    <w:rsid w:val="006A6C89"/>
    <w:rsid w:val="006B0C7C"/>
    <w:rsid w:val="006B1D4C"/>
    <w:rsid w:val="006B25BA"/>
    <w:rsid w:val="006B25F7"/>
    <w:rsid w:val="006B288E"/>
    <w:rsid w:val="006B3145"/>
    <w:rsid w:val="006B33ED"/>
    <w:rsid w:val="006B3C91"/>
    <w:rsid w:val="006B41AC"/>
    <w:rsid w:val="006B43F2"/>
    <w:rsid w:val="006B4723"/>
    <w:rsid w:val="006B55E8"/>
    <w:rsid w:val="006B68A0"/>
    <w:rsid w:val="006B6F47"/>
    <w:rsid w:val="006B7F2F"/>
    <w:rsid w:val="006C0713"/>
    <w:rsid w:val="006C1AA2"/>
    <w:rsid w:val="006C1FC1"/>
    <w:rsid w:val="006C2A2A"/>
    <w:rsid w:val="006C307B"/>
    <w:rsid w:val="006C31CE"/>
    <w:rsid w:val="006C38BA"/>
    <w:rsid w:val="006C459D"/>
    <w:rsid w:val="006C49C3"/>
    <w:rsid w:val="006C4F30"/>
    <w:rsid w:val="006C5104"/>
    <w:rsid w:val="006C5D87"/>
    <w:rsid w:val="006C5E2A"/>
    <w:rsid w:val="006C615C"/>
    <w:rsid w:val="006C76CE"/>
    <w:rsid w:val="006C7B45"/>
    <w:rsid w:val="006D03C4"/>
    <w:rsid w:val="006D082F"/>
    <w:rsid w:val="006D133F"/>
    <w:rsid w:val="006D1C65"/>
    <w:rsid w:val="006D1E2A"/>
    <w:rsid w:val="006D2062"/>
    <w:rsid w:val="006D237D"/>
    <w:rsid w:val="006D2BC4"/>
    <w:rsid w:val="006D2F67"/>
    <w:rsid w:val="006D3256"/>
    <w:rsid w:val="006D32D5"/>
    <w:rsid w:val="006D35CD"/>
    <w:rsid w:val="006D46D4"/>
    <w:rsid w:val="006D5545"/>
    <w:rsid w:val="006D5D7F"/>
    <w:rsid w:val="006D6A89"/>
    <w:rsid w:val="006D6B6E"/>
    <w:rsid w:val="006D700B"/>
    <w:rsid w:val="006D7C46"/>
    <w:rsid w:val="006D7E98"/>
    <w:rsid w:val="006E1B69"/>
    <w:rsid w:val="006E2D28"/>
    <w:rsid w:val="006E30DB"/>
    <w:rsid w:val="006E384F"/>
    <w:rsid w:val="006E3A72"/>
    <w:rsid w:val="006E414D"/>
    <w:rsid w:val="006E4808"/>
    <w:rsid w:val="006E4A4E"/>
    <w:rsid w:val="006E4FAB"/>
    <w:rsid w:val="006E508D"/>
    <w:rsid w:val="006E5A12"/>
    <w:rsid w:val="006E5DCC"/>
    <w:rsid w:val="006E669A"/>
    <w:rsid w:val="006E6DDB"/>
    <w:rsid w:val="006E7EAF"/>
    <w:rsid w:val="006F092E"/>
    <w:rsid w:val="006F09D9"/>
    <w:rsid w:val="006F1911"/>
    <w:rsid w:val="006F1A99"/>
    <w:rsid w:val="006F238B"/>
    <w:rsid w:val="006F250F"/>
    <w:rsid w:val="006F351F"/>
    <w:rsid w:val="006F48ED"/>
    <w:rsid w:val="006F4BE1"/>
    <w:rsid w:val="006F4F55"/>
    <w:rsid w:val="006F4FEC"/>
    <w:rsid w:val="006F65F8"/>
    <w:rsid w:val="006F689D"/>
    <w:rsid w:val="006F691A"/>
    <w:rsid w:val="006F6BCA"/>
    <w:rsid w:val="006F6CBC"/>
    <w:rsid w:val="006F753D"/>
    <w:rsid w:val="00700BEC"/>
    <w:rsid w:val="00700EFB"/>
    <w:rsid w:val="00701D9C"/>
    <w:rsid w:val="00702D13"/>
    <w:rsid w:val="00703362"/>
    <w:rsid w:val="00703594"/>
    <w:rsid w:val="00703D92"/>
    <w:rsid w:val="00704DD7"/>
    <w:rsid w:val="00704ECB"/>
    <w:rsid w:val="00704F36"/>
    <w:rsid w:val="00705AFD"/>
    <w:rsid w:val="007060D6"/>
    <w:rsid w:val="00707305"/>
    <w:rsid w:val="0070747F"/>
    <w:rsid w:val="00707707"/>
    <w:rsid w:val="00707E38"/>
    <w:rsid w:val="00710556"/>
    <w:rsid w:val="007106DE"/>
    <w:rsid w:val="00710C61"/>
    <w:rsid w:val="00711129"/>
    <w:rsid w:val="00711846"/>
    <w:rsid w:val="00712120"/>
    <w:rsid w:val="00712A7A"/>
    <w:rsid w:val="00712AB2"/>
    <w:rsid w:val="007145FF"/>
    <w:rsid w:val="00714FA9"/>
    <w:rsid w:val="00716425"/>
    <w:rsid w:val="00716AB1"/>
    <w:rsid w:val="007179A3"/>
    <w:rsid w:val="00717AE5"/>
    <w:rsid w:val="00717DDF"/>
    <w:rsid w:val="00720AE7"/>
    <w:rsid w:val="00721193"/>
    <w:rsid w:val="00723053"/>
    <w:rsid w:val="0072473E"/>
    <w:rsid w:val="00724EDB"/>
    <w:rsid w:val="007256FE"/>
    <w:rsid w:val="00725BDD"/>
    <w:rsid w:val="0072701B"/>
    <w:rsid w:val="0073207C"/>
    <w:rsid w:val="00732654"/>
    <w:rsid w:val="00732CA7"/>
    <w:rsid w:val="0073327A"/>
    <w:rsid w:val="0073328D"/>
    <w:rsid w:val="0073404D"/>
    <w:rsid w:val="0073516E"/>
    <w:rsid w:val="007363C5"/>
    <w:rsid w:val="007378B2"/>
    <w:rsid w:val="00740248"/>
    <w:rsid w:val="00740B94"/>
    <w:rsid w:val="00741AC2"/>
    <w:rsid w:val="0074280F"/>
    <w:rsid w:val="0074295A"/>
    <w:rsid w:val="00743679"/>
    <w:rsid w:val="007436BC"/>
    <w:rsid w:val="00743A0E"/>
    <w:rsid w:val="00743A21"/>
    <w:rsid w:val="00744BF3"/>
    <w:rsid w:val="007454E8"/>
    <w:rsid w:val="007461F7"/>
    <w:rsid w:val="00746F8A"/>
    <w:rsid w:val="007477B5"/>
    <w:rsid w:val="00751A3E"/>
    <w:rsid w:val="00751C8A"/>
    <w:rsid w:val="007521C4"/>
    <w:rsid w:val="00752337"/>
    <w:rsid w:val="00752A69"/>
    <w:rsid w:val="00752E5E"/>
    <w:rsid w:val="00752F98"/>
    <w:rsid w:val="00753599"/>
    <w:rsid w:val="00754049"/>
    <w:rsid w:val="00755783"/>
    <w:rsid w:val="00756185"/>
    <w:rsid w:val="007561B2"/>
    <w:rsid w:val="00756AEB"/>
    <w:rsid w:val="00757119"/>
    <w:rsid w:val="00757714"/>
    <w:rsid w:val="007601B0"/>
    <w:rsid w:val="00760A06"/>
    <w:rsid w:val="00760A8A"/>
    <w:rsid w:val="00761246"/>
    <w:rsid w:val="00761263"/>
    <w:rsid w:val="00761A5F"/>
    <w:rsid w:val="00762E6F"/>
    <w:rsid w:val="0076320E"/>
    <w:rsid w:val="00763353"/>
    <w:rsid w:val="007635AB"/>
    <w:rsid w:val="00763E57"/>
    <w:rsid w:val="00765903"/>
    <w:rsid w:val="00765A54"/>
    <w:rsid w:val="007661A3"/>
    <w:rsid w:val="00766762"/>
    <w:rsid w:val="00767171"/>
    <w:rsid w:val="007672B2"/>
    <w:rsid w:val="00767434"/>
    <w:rsid w:val="00770463"/>
    <w:rsid w:val="007708EE"/>
    <w:rsid w:val="00771AFA"/>
    <w:rsid w:val="007729FC"/>
    <w:rsid w:val="00773476"/>
    <w:rsid w:val="0077383C"/>
    <w:rsid w:val="007738A2"/>
    <w:rsid w:val="00773FE6"/>
    <w:rsid w:val="00774F5D"/>
    <w:rsid w:val="00775A0A"/>
    <w:rsid w:val="00776CCE"/>
    <w:rsid w:val="00777262"/>
    <w:rsid w:val="00777481"/>
    <w:rsid w:val="007777D9"/>
    <w:rsid w:val="00777F2D"/>
    <w:rsid w:val="00780C7E"/>
    <w:rsid w:val="00781A54"/>
    <w:rsid w:val="00781A6D"/>
    <w:rsid w:val="007829EA"/>
    <w:rsid w:val="007832F8"/>
    <w:rsid w:val="00783C48"/>
    <w:rsid w:val="00783FA4"/>
    <w:rsid w:val="0078556E"/>
    <w:rsid w:val="00785837"/>
    <w:rsid w:val="00786ECA"/>
    <w:rsid w:val="00786F8D"/>
    <w:rsid w:val="007878F8"/>
    <w:rsid w:val="00787B4F"/>
    <w:rsid w:val="007906FC"/>
    <w:rsid w:val="00790961"/>
    <w:rsid w:val="00790CBC"/>
    <w:rsid w:val="00790D42"/>
    <w:rsid w:val="00791D81"/>
    <w:rsid w:val="00791F14"/>
    <w:rsid w:val="0079272E"/>
    <w:rsid w:val="00792FA7"/>
    <w:rsid w:val="007943C1"/>
    <w:rsid w:val="00794D3F"/>
    <w:rsid w:val="007950FF"/>
    <w:rsid w:val="00795855"/>
    <w:rsid w:val="00796213"/>
    <w:rsid w:val="0079689F"/>
    <w:rsid w:val="0079769E"/>
    <w:rsid w:val="007A20AF"/>
    <w:rsid w:val="007A237D"/>
    <w:rsid w:val="007A3310"/>
    <w:rsid w:val="007A38C2"/>
    <w:rsid w:val="007A3A22"/>
    <w:rsid w:val="007A3A23"/>
    <w:rsid w:val="007A4D3C"/>
    <w:rsid w:val="007A6219"/>
    <w:rsid w:val="007A799E"/>
    <w:rsid w:val="007A7D6D"/>
    <w:rsid w:val="007A7FA8"/>
    <w:rsid w:val="007B1276"/>
    <w:rsid w:val="007B189B"/>
    <w:rsid w:val="007B1B58"/>
    <w:rsid w:val="007B1DA7"/>
    <w:rsid w:val="007B2F5A"/>
    <w:rsid w:val="007B2FD0"/>
    <w:rsid w:val="007B4684"/>
    <w:rsid w:val="007B4B96"/>
    <w:rsid w:val="007B4C17"/>
    <w:rsid w:val="007B4FE3"/>
    <w:rsid w:val="007B5AB2"/>
    <w:rsid w:val="007B6026"/>
    <w:rsid w:val="007B66DC"/>
    <w:rsid w:val="007B74F7"/>
    <w:rsid w:val="007B75E8"/>
    <w:rsid w:val="007B78E9"/>
    <w:rsid w:val="007C0DD0"/>
    <w:rsid w:val="007C1090"/>
    <w:rsid w:val="007C16E9"/>
    <w:rsid w:val="007C1D86"/>
    <w:rsid w:val="007C28B5"/>
    <w:rsid w:val="007C2C1D"/>
    <w:rsid w:val="007C34E8"/>
    <w:rsid w:val="007C4297"/>
    <w:rsid w:val="007C4494"/>
    <w:rsid w:val="007C49DC"/>
    <w:rsid w:val="007C54F5"/>
    <w:rsid w:val="007C5EB9"/>
    <w:rsid w:val="007C65E1"/>
    <w:rsid w:val="007C6ABE"/>
    <w:rsid w:val="007C6E11"/>
    <w:rsid w:val="007D0A91"/>
    <w:rsid w:val="007D155E"/>
    <w:rsid w:val="007D1929"/>
    <w:rsid w:val="007D5A29"/>
    <w:rsid w:val="007D6BEB"/>
    <w:rsid w:val="007D7414"/>
    <w:rsid w:val="007D76CE"/>
    <w:rsid w:val="007D7956"/>
    <w:rsid w:val="007E1C91"/>
    <w:rsid w:val="007E2811"/>
    <w:rsid w:val="007E4E86"/>
    <w:rsid w:val="007E5849"/>
    <w:rsid w:val="007E5B08"/>
    <w:rsid w:val="007E781C"/>
    <w:rsid w:val="007E7C11"/>
    <w:rsid w:val="007F1EE1"/>
    <w:rsid w:val="007F2DEB"/>
    <w:rsid w:val="007F339E"/>
    <w:rsid w:val="007F3BD1"/>
    <w:rsid w:val="007F4886"/>
    <w:rsid w:val="007F4C50"/>
    <w:rsid w:val="007F620B"/>
    <w:rsid w:val="007F6546"/>
    <w:rsid w:val="007F69BC"/>
    <w:rsid w:val="00800271"/>
    <w:rsid w:val="008007A2"/>
    <w:rsid w:val="00800DF6"/>
    <w:rsid w:val="008020E8"/>
    <w:rsid w:val="00802F04"/>
    <w:rsid w:val="00805116"/>
    <w:rsid w:val="0080567B"/>
    <w:rsid w:val="00805C8F"/>
    <w:rsid w:val="0080750F"/>
    <w:rsid w:val="00807F16"/>
    <w:rsid w:val="00810EB1"/>
    <w:rsid w:val="00810F81"/>
    <w:rsid w:val="00811050"/>
    <w:rsid w:val="00811943"/>
    <w:rsid w:val="00811A99"/>
    <w:rsid w:val="0081233B"/>
    <w:rsid w:val="008135D5"/>
    <w:rsid w:val="00813B7C"/>
    <w:rsid w:val="00813FD5"/>
    <w:rsid w:val="0081423E"/>
    <w:rsid w:val="00814775"/>
    <w:rsid w:val="00815497"/>
    <w:rsid w:val="008158A8"/>
    <w:rsid w:val="008159E6"/>
    <w:rsid w:val="00815F56"/>
    <w:rsid w:val="00816304"/>
    <w:rsid w:val="00816CC4"/>
    <w:rsid w:val="00816D7D"/>
    <w:rsid w:val="00817442"/>
    <w:rsid w:val="0081783A"/>
    <w:rsid w:val="00820FB6"/>
    <w:rsid w:val="00821BE2"/>
    <w:rsid w:val="00821E51"/>
    <w:rsid w:val="00822798"/>
    <w:rsid w:val="0082362E"/>
    <w:rsid w:val="0082365C"/>
    <w:rsid w:val="00824812"/>
    <w:rsid w:val="00824863"/>
    <w:rsid w:val="00824AE4"/>
    <w:rsid w:val="00824C41"/>
    <w:rsid w:val="0082502E"/>
    <w:rsid w:val="008254DB"/>
    <w:rsid w:val="00825FBB"/>
    <w:rsid w:val="008262B2"/>
    <w:rsid w:val="0082633D"/>
    <w:rsid w:val="00827CFE"/>
    <w:rsid w:val="0083108A"/>
    <w:rsid w:val="00832E91"/>
    <w:rsid w:val="00833331"/>
    <w:rsid w:val="008366EC"/>
    <w:rsid w:val="00836B8B"/>
    <w:rsid w:val="0084009E"/>
    <w:rsid w:val="00840CFF"/>
    <w:rsid w:val="00841EEA"/>
    <w:rsid w:val="00842253"/>
    <w:rsid w:val="0084233D"/>
    <w:rsid w:val="00842EB1"/>
    <w:rsid w:val="00844018"/>
    <w:rsid w:val="00845B63"/>
    <w:rsid w:val="008465AF"/>
    <w:rsid w:val="00847231"/>
    <w:rsid w:val="00847C05"/>
    <w:rsid w:val="00851BEC"/>
    <w:rsid w:val="00852437"/>
    <w:rsid w:val="0085348D"/>
    <w:rsid w:val="00853A39"/>
    <w:rsid w:val="00853F6F"/>
    <w:rsid w:val="008543C0"/>
    <w:rsid w:val="00855759"/>
    <w:rsid w:val="00856055"/>
    <w:rsid w:val="00856E3B"/>
    <w:rsid w:val="00857BD5"/>
    <w:rsid w:val="00860000"/>
    <w:rsid w:val="00860573"/>
    <w:rsid w:val="00861AB6"/>
    <w:rsid w:val="00862026"/>
    <w:rsid w:val="008629EA"/>
    <w:rsid w:val="008636C7"/>
    <w:rsid w:val="0086402D"/>
    <w:rsid w:val="00864885"/>
    <w:rsid w:val="00865FDD"/>
    <w:rsid w:val="008661D0"/>
    <w:rsid w:val="008673A0"/>
    <w:rsid w:val="0087030A"/>
    <w:rsid w:val="008703E5"/>
    <w:rsid w:val="00870476"/>
    <w:rsid w:val="00872AA8"/>
    <w:rsid w:val="00872B51"/>
    <w:rsid w:val="00872E8D"/>
    <w:rsid w:val="008731BD"/>
    <w:rsid w:val="00873449"/>
    <w:rsid w:val="00873553"/>
    <w:rsid w:val="00873C7F"/>
    <w:rsid w:val="008746A8"/>
    <w:rsid w:val="008748A2"/>
    <w:rsid w:val="00874E14"/>
    <w:rsid w:val="00874FD2"/>
    <w:rsid w:val="008751C2"/>
    <w:rsid w:val="00875ECE"/>
    <w:rsid w:val="00876A5C"/>
    <w:rsid w:val="008774E1"/>
    <w:rsid w:val="00880228"/>
    <w:rsid w:val="00880275"/>
    <w:rsid w:val="00880639"/>
    <w:rsid w:val="0088122B"/>
    <w:rsid w:val="00881D3B"/>
    <w:rsid w:val="00882932"/>
    <w:rsid w:val="00883FB1"/>
    <w:rsid w:val="0088410E"/>
    <w:rsid w:val="008858F1"/>
    <w:rsid w:val="00885D52"/>
    <w:rsid w:val="008861E1"/>
    <w:rsid w:val="0088771D"/>
    <w:rsid w:val="00890817"/>
    <w:rsid w:val="00890B64"/>
    <w:rsid w:val="00891A7E"/>
    <w:rsid w:val="0089256B"/>
    <w:rsid w:val="00893BEA"/>
    <w:rsid w:val="00894316"/>
    <w:rsid w:val="00894FA4"/>
    <w:rsid w:val="00895C34"/>
    <w:rsid w:val="00895C65"/>
    <w:rsid w:val="00897514"/>
    <w:rsid w:val="00897E93"/>
    <w:rsid w:val="008A1505"/>
    <w:rsid w:val="008A213D"/>
    <w:rsid w:val="008A23D0"/>
    <w:rsid w:val="008A3287"/>
    <w:rsid w:val="008A4CD7"/>
    <w:rsid w:val="008A5A4E"/>
    <w:rsid w:val="008A6058"/>
    <w:rsid w:val="008A6062"/>
    <w:rsid w:val="008B016A"/>
    <w:rsid w:val="008B0335"/>
    <w:rsid w:val="008B0E2B"/>
    <w:rsid w:val="008B14B4"/>
    <w:rsid w:val="008B2E59"/>
    <w:rsid w:val="008B36EB"/>
    <w:rsid w:val="008B3993"/>
    <w:rsid w:val="008B3A64"/>
    <w:rsid w:val="008B4717"/>
    <w:rsid w:val="008B485F"/>
    <w:rsid w:val="008B5EC1"/>
    <w:rsid w:val="008B625E"/>
    <w:rsid w:val="008B6436"/>
    <w:rsid w:val="008B6A3A"/>
    <w:rsid w:val="008B6C82"/>
    <w:rsid w:val="008B6F20"/>
    <w:rsid w:val="008C08E6"/>
    <w:rsid w:val="008C0B62"/>
    <w:rsid w:val="008C1F84"/>
    <w:rsid w:val="008C21CE"/>
    <w:rsid w:val="008C2E5D"/>
    <w:rsid w:val="008C36AA"/>
    <w:rsid w:val="008C3C81"/>
    <w:rsid w:val="008C41D5"/>
    <w:rsid w:val="008C4C10"/>
    <w:rsid w:val="008C5973"/>
    <w:rsid w:val="008C5E8B"/>
    <w:rsid w:val="008C75C4"/>
    <w:rsid w:val="008C78EF"/>
    <w:rsid w:val="008C7E52"/>
    <w:rsid w:val="008D23C2"/>
    <w:rsid w:val="008D2406"/>
    <w:rsid w:val="008D270D"/>
    <w:rsid w:val="008D3156"/>
    <w:rsid w:val="008D3E35"/>
    <w:rsid w:val="008D5106"/>
    <w:rsid w:val="008D5249"/>
    <w:rsid w:val="008D6618"/>
    <w:rsid w:val="008E00EC"/>
    <w:rsid w:val="008E0161"/>
    <w:rsid w:val="008E04D0"/>
    <w:rsid w:val="008E0A3B"/>
    <w:rsid w:val="008E0A7E"/>
    <w:rsid w:val="008E1257"/>
    <w:rsid w:val="008E130E"/>
    <w:rsid w:val="008E17E8"/>
    <w:rsid w:val="008E1C03"/>
    <w:rsid w:val="008E1D1E"/>
    <w:rsid w:val="008E25DD"/>
    <w:rsid w:val="008E2BCC"/>
    <w:rsid w:val="008E2F2E"/>
    <w:rsid w:val="008E3107"/>
    <w:rsid w:val="008E3AE8"/>
    <w:rsid w:val="008E43D0"/>
    <w:rsid w:val="008E7AEA"/>
    <w:rsid w:val="008F0ACC"/>
    <w:rsid w:val="008F1C84"/>
    <w:rsid w:val="008F2519"/>
    <w:rsid w:val="008F2D07"/>
    <w:rsid w:val="008F2DF9"/>
    <w:rsid w:val="008F413F"/>
    <w:rsid w:val="008F4878"/>
    <w:rsid w:val="008F4E98"/>
    <w:rsid w:val="008F5EAC"/>
    <w:rsid w:val="008F660B"/>
    <w:rsid w:val="008F7972"/>
    <w:rsid w:val="008F7C6B"/>
    <w:rsid w:val="00900746"/>
    <w:rsid w:val="00900EA0"/>
    <w:rsid w:val="0090137E"/>
    <w:rsid w:val="009038DD"/>
    <w:rsid w:val="00903AA3"/>
    <w:rsid w:val="00903D06"/>
    <w:rsid w:val="00904933"/>
    <w:rsid w:val="00904F6D"/>
    <w:rsid w:val="009058C9"/>
    <w:rsid w:val="00907D0A"/>
    <w:rsid w:val="00907E2F"/>
    <w:rsid w:val="009111CA"/>
    <w:rsid w:val="00911FDB"/>
    <w:rsid w:val="009122E4"/>
    <w:rsid w:val="009129FE"/>
    <w:rsid w:val="00912EBB"/>
    <w:rsid w:val="00913075"/>
    <w:rsid w:val="0091415D"/>
    <w:rsid w:val="00915029"/>
    <w:rsid w:val="00917DC6"/>
    <w:rsid w:val="0092200C"/>
    <w:rsid w:val="00922391"/>
    <w:rsid w:val="00923044"/>
    <w:rsid w:val="00923855"/>
    <w:rsid w:val="00923863"/>
    <w:rsid w:val="0092463D"/>
    <w:rsid w:val="00924B0C"/>
    <w:rsid w:val="00925186"/>
    <w:rsid w:val="0092546B"/>
    <w:rsid w:val="00925697"/>
    <w:rsid w:val="00925BEA"/>
    <w:rsid w:val="00927264"/>
    <w:rsid w:val="00927B1D"/>
    <w:rsid w:val="00931044"/>
    <w:rsid w:val="009316D0"/>
    <w:rsid w:val="00931767"/>
    <w:rsid w:val="00931E08"/>
    <w:rsid w:val="00932804"/>
    <w:rsid w:val="00933D77"/>
    <w:rsid w:val="00933F36"/>
    <w:rsid w:val="0093488C"/>
    <w:rsid w:val="00934F99"/>
    <w:rsid w:val="00937F38"/>
    <w:rsid w:val="00941620"/>
    <w:rsid w:val="00941C2D"/>
    <w:rsid w:val="00941EAB"/>
    <w:rsid w:val="00943918"/>
    <w:rsid w:val="00943BB7"/>
    <w:rsid w:val="009441D5"/>
    <w:rsid w:val="00946DF9"/>
    <w:rsid w:val="00947284"/>
    <w:rsid w:val="0094731E"/>
    <w:rsid w:val="0094790B"/>
    <w:rsid w:val="009479A9"/>
    <w:rsid w:val="009500DC"/>
    <w:rsid w:val="0095079E"/>
    <w:rsid w:val="00951106"/>
    <w:rsid w:val="009524D4"/>
    <w:rsid w:val="0095315F"/>
    <w:rsid w:val="00954778"/>
    <w:rsid w:val="00954AB3"/>
    <w:rsid w:val="00955C43"/>
    <w:rsid w:val="00956B5A"/>
    <w:rsid w:val="00957503"/>
    <w:rsid w:val="00957AC4"/>
    <w:rsid w:val="00957D3B"/>
    <w:rsid w:val="00957F5B"/>
    <w:rsid w:val="00962108"/>
    <w:rsid w:val="00962539"/>
    <w:rsid w:val="009626B8"/>
    <w:rsid w:val="00962BF9"/>
    <w:rsid w:val="00962E6A"/>
    <w:rsid w:val="00964007"/>
    <w:rsid w:val="009647AB"/>
    <w:rsid w:val="009649DE"/>
    <w:rsid w:val="0096533C"/>
    <w:rsid w:val="0096633A"/>
    <w:rsid w:val="00967408"/>
    <w:rsid w:val="00970753"/>
    <w:rsid w:val="00970AC6"/>
    <w:rsid w:val="00973173"/>
    <w:rsid w:val="009735BC"/>
    <w:rsid w:val="00973947"/>
    <w:rsid w:val="00973F48"/>
    <w:rsid w:val="009748B8"/>
    <w:rsid w:val="00975976"/>
    <w:rsid w:val="0097600F"/>
    <w:rsid w:val="00976110"/>
    <w:rsid w:val="0097650B"/>
    <w:rsid w:val="00976ED9"/>
    <w:rsid w:val="00976EDD"/>
    <w:rsid w:val="0098036E"/>
    <w:rsid w:val="009812B1"/>
    <w:rsid w:val="009818AB"/>
    <w:rsid w:val="00982B8A"/>
    <w:rsid w:val="00984492"/>
    <w:rsid w:val="00985A3B"/>
    <w:rsid w:val="009869B9"/>
    <w:rsid w:val="009873E2"/>
    <w:rsid w:val="009903A2"/>
    <w:rsid w:val="00990908"/>
    <w:rsid w:val="00990B35"/>
    <w:rsid w:val="0099185F"/>
    <w:rsid w:val="009921A8"/>
    <w:rsid w:val="00992688"/>
    <w:rsid w:val="00992716"/>
    <w:rsid w:val="009931D7"/>
    <w:rsid w:val="00995282"/>
    <w:rsid w:val="00995400"/>
    <w:rsid w:val="009960EE"/>
    <w:rsid w:val="00997C4C"/>
    <w:rsid w:val="009A06AD"/>
    <w:rsid w:val="009A070D"/>
    <w:rsid w:val="009A1E88"/>
    <w:rsid w:val="009A2234"/>
    <w:rsid w:val="009A26C8"/>
    <w:rsid w:val="009A27F0"/>
    <w:rsid w:val="009A2ACD"/>
    <w:rsid w:val="009A35FE"/>
    <w:rsid w:val="009A3993"/>
    <w:rsid w:val="009A5B45"/>
    <w:rsid w:val="009A654D"/>
    <w:rsid w:val="009A6B87"/>
    <w:rsid w:val="009A6C9E"/>
    <w:rsid w:val="009B0EA3"/>
    <w:rsid w:val="009B31D6"/>
    <w:rsid w:val="009B35FE"/>
    <w:rsid w:val="009B44CE"/>
    <w:rsid w:val="009B44E5"/>
    <w:rsid w:val="009B5ABE"/>
    <w:rsid w:val="009B647C"/>
    <w:rsid w:val="009B6808"/>
    <w:rsid w:val="009B6CF2"/>
    <w:rsid w:val="009B7BF6"/>
    <w:rsid w:val="009B7DC7"/>
    <w:rsid w:val="009B7E53"/>
    <w:rsid w:val="009B7ED0"/>
    <w:rsid w:val="009C017F"/>
    <w:rsid w:val="009C0A9A"/>
    <w:rsid w:val="009C281B"/>
    <w:rsid w:val="009C40FA"/>
    <w:rsid w:val="009C494E"/>
    <w:rsid w:val="009C4A02"/>
    <w:rsid w:val="009C502B"/>
    <w:rsid w:val="009C5038"/>
    <w:rsid w:val="009C535D"/>
    <w:rsid w:val="009C66D1"/>
    <w:rsid w:val="009D0297"/>
    <w:rsid w:val="009D02F1"/>
    <w:rsid w:val="009D0450"/>
    <w:rsid w:val="009D05F8"/>
    <w:rsid w:val="009D092B"/>
    <w:rsid w:val="009D16B8"/>
    <w:rsid w:val="009D1F8B"/>
    <w:rsid w:val="009D2629"/>
    <w:rsid w:val="009D2C63"/>
    <w:rsid w:val="009D2C68"/>
    <w:rsid w:val="009D30B5"/>
    <w:rsid w:val="009D35F8"/>
    <w:rsid w:val="009D4B75"/>
    <w:rsid w:val="009D4BE2"/>
    <w:rsid w:val="009D5464"/>
    <w:rsid w:val="009D5E6C"/>
    <w:rsid w:val="009D5E8B"/>
    <w:rsid w:val="009D6896"/>
    <w:rsid w:val="009D6B35"/>
    <w:rsid w:val="009D755C"/>
    <w:rsid w:val="009D7815"/>
    <w:rsid w:val="009E07E9"/>
    <w:rsid w:val="009E21AD"/>
    <w:rsid w:val="009E38F4"/>
    <w:rsid w:val="009E3F93"/>
    <w:rsid w:val="009E4EAD"/>
    <w:rsid w:val="009E5133"/>
    <w:rsid w:val="009E55D1"/>
    <w:rsid w:val="009E715B"/>
    <w:rsid w:val="009E72A3"/>
    <w:rsid w:val="009E7E6F"/>
    <w:rsid w:val="009F0D51"/>
    <w:rsid w:val="009F0F84"/>
    <w:rsid w:val="009F1903"/>
    <w:rsid w:val="009F3BDB"/>
    <w:rsid w:val="009F3E51"/>
    <w:rsid w:val="009F4ADD"/>
    <w:rsid w:val="009F4BD9"/>
    <w:rsid w:val="009F4F7F"/>
    <w:rsid w:val="009F5F95"/>
    <w:rsid w:val="009F6542"/>
    <w:rsid w:val="009F7302"/>
    <w:rsid w:val="009F7961"/>
    <w:rsid w:val="00A00420"/>
    <w:rsid w:val="00A00A30"/>
    <w:rsid w:val="00A00FBA"/>
    <w:rsid w:val="00A015F7"/>
    <w:rsid w:val="00A01EC4"/>
    <w:rsid w:val="00A0218B"/>
    <w:rsid w:val="00A02C32"/>
    <w:rsid w:val="00A02CF4"/>
    <w:rsid w:val="00A02DD2"/>
    <w:rsid w:val="00A03377"/>
    <w:rsid w:val="00A03EAC"/>
    <w:rsid w:val="00A04632"/>
    <w:rsid w:val="00A04F6C"/>
    <w:rsid w:val="00A056FC"/>
    <w:rsid w:val="00A0583C"/>
    <w:rsid w:val="00A05F16"/>
    <w:rsid w:val="00A10BC1"/>
    <w:rsid w:val="00A1132C"/>
    <w:rsid w:val="00A1150F"/>
    <w:rsid w:val="00A118A2"/>
    <w:rsid w:val="00A11C05"/>
    <w:rsid w:val="00A12474"/>
    <w:rsid w:val="00A13833"/>
    <w:rsid w:val="00A138E3"/>
    <w:rsid w:val="00A15590"/>
    <w:rsid w:val="00A15F49"/>
    <w:rsid w:val="00A1691B"/>
    <w:rsid w:val="00A1778D"/>
    <w:rsid w:val="00A177BC"/>
    <w:rsid w:val="00A17F0E"/>
    <w:rsid w:val="00A20099"/>
    <w:rsid w:val="00A216AB"/>
    <w:rsid w:val="00A21767"/>
    <w:rsid w:val="00A222EE"/>
    <w:rsid w:val="00A22FF3"/>
    <w:rsid w:val="00A231D2"/>
    <w:rsid w:val="00A23AC6"/>
    <w:rsid w:val="00A2505A"/>
    <w:rsid w:val="00A254EA"/>
    <w:rsid w:val="00A317C7"/>
    <w:rsid w:val="00A328FE"/>
    <w:rsid w:val="00A32D87"/>
    <w:rsid w:val="00A32DA9"/>
    <w:rsid w:val="00A340B9"/>
    <w:rsid w:val="00A346C5"/>
    <w:rsid w:val="00A34B3E"/>
    <w:rsid w:val="00A35467"/>
    <w:rsid w:val="00A378C4"/>
    <w:rsid w:val="00A37F06"/>
    <w:rsid w:val="00A408DE"/>
    <w:rsid w:val="00A42BD0"/>
    <w:rsid w:val="00A42F80"/>
    <w:rsid w:val="00A434A2"/>
    <w:rsid w:val="00A45149"/>
    <w:rsid w:val="00A45BD0"/>
    <w:rsid w:val="00A464F2"/>
    <w:rsid w:val="00A5086A"/>
    <w:rsid w:val="00A51033"/>
    <w:rsid w:val="00A52BA9"/>
    <w:rsid w:val="00A52C97"/>
    <w:rsid w:val="00A54430"/>
    <w:rsid w:val="00A559C8"/>
    <w:rsid w:val="00A55B1B"/>
    <w:rsid w:val="00A55B1C"/>
    <w:rsid w:val="00A60635"/>
    <w:rsid w:val="00A61079"/>
    <w:rsid w:val="00A615A6"/>
    <w:rsid w:val="00A61F81"/>
    <w:rsid w:val="00A633B3"/>
    <w:rsid w:val="00A645B7"/>
    <w:rsid w:val="00A64771"/>
    <w:rsid w:val="00A649DA"/>
    <w:rsid w:val="00A64A49"/>
    <w:rsid w:val="00A64EB9"/>
    <w:rsid w:val="00A65138"/>
    <w:rsid w:val="00A70046"/>
    <w:rsid w:val="00A7048F"/>
    <w:rsid w:val="00A7125C"/>
    <w:rsid w:val="00A72A7B"/>
    <w:rsid w:val="00A736C9"/>
    <w:rsid w:val="00A740CD"/>
    <w:rsid w:val="00A74180"/>
    <w:rsid w:val="00A747CD"/>
    <w:rsid w:val="00A75327"/>
    <w:rsid w:val="00A75DCC"/>
    <w:rsid w:val="00A76310"/>
    <w:rsid w:val="00A767F9"/>
    <w:rsid w:val="00A7684F"/>
    <w:rsid w:val="00A776B2"/>
    <w:rsid w:val="00A7780D"/>
    <w:rsid w:val="00A77A6B"/>
    <w:rsid w:val="00A804FA"/>
    <w:rsid w:val="00A80764"/>
    <w:rsid w:val="00A80D34"/>
    <w:rsid w:val="00A81403"/>
    <w:rsid w:val="00A8178B"/>
    <w:rsid w:val="00A81E94"/>
    <w:rsid w:val="00A81F18"/>
    <w:rsid w:val="00A8248A"/>
    <w:rsid w:val="00A845CC"/>
    <w:rsid w:val="00A90A72"/>
    <w:rsid w:val="00A91D61"/>
    <w:rsid w:val="00A92404"/>
    <w:rsid w:val="00A92EF4"/>
    <w:rsid w:val="00A939C5"/>
    <w:rsid w:val="00A94471"/>
    <w:rsid w:val="00A94944"/>
    <w:rsid w:val="00A94CC5"/>
    <w:rsid w:val="00A95130"/>
    <w:rsid w:val="00A95E0D"/>
    <w:rsid w:val="00A97A02"/>
    <w:rsid w:val="00AA0658"/>
    <w:rsid w:val="00AA0CEF"/>
    <w:rsid w:val="00AA0E71"/>
    <w:rsid w:val="00AA0F3B"/>
    <w:rsid w:val="00AA12E7"/>
    <w:rsid w:val="00AA29D4"/>
    <w:rsid w:val="00AA2A7E"/>
    <w:rsid w:val="00AA36B5"/>
    <w:rsid w:val="00AA3977"/>
    <w:rsid w:val="00AA39F9"/>
    <w:rsid w:val="00AA4BED"/>
    <w:rsid w:val="00AA4FCD"/>
    <w:rsid w:val="00AA4FD7"/>
    <w:rsid w:val="00AA586A"/>
    <w:rsid w:val="00AA6302"/>
    <w:rsid w:val="00AA6A48"/>
    <w:rsid w:val="00AA6D54"/>
    <w:rsid w:val="00AA6D6B"/>
    <w:rsid w:val="00AA7424"/>
    <w:rsid w:val="00AA7CAE"/>
    <w:rsid w:val="00AB10B4"/>
    <w:rsid w:val="00AB12BC"/>
    <w:rsid w:val="00AB1382"/>
    <w:rsid w:val="00AB1753"/>
    <w:rsid w:val="00AB4003"/>
    <w:rsid w:val="00AB434C"/>
    <w:rsid w:val="00AB48CB"/>
    <w:rsid w:val="00AB533F"/>
    <w:rsid w:val="00AB61D3"/>
    <w:rsid w:val="00AB643D"/>
    <w:rsid w:val="00AB662C"/>
    <w:rsid w:val="00AB6934"/>
    <w:rsid w:val="00AC1465"/>
    <w:rsid w:val="00AC17EA"/>
    <w:rsid w:val="00AC196E"/>
    <w:rsid w:val="00AC196F"/>
    <w:rsid w:val="00AC24DE"/>
    <w:rsid w:val="00AC29D1"/>
    <w:rsid w:val="00AC3146"/>
    <w:rsid w:val="00AC4C78"/>
    <w:rsid w:val="00AC4F33"/>
    <w:rsid w:val="00AC69E5"/>
    <w:rsid w:val="00AC7A3C"/>
    <w:rsid w:val="00AD2D4A"/>
    <w:rsid w:val="00AD3075"/>
    <w:rsid w:val="00AD5186"/>
    <w:rsid w:val="00AD5C79"/>
    <w:rsid w:val="00AD5EAC"/>
    <w:rsid w:val="00AD65CE"/>
    <w:rsid w:val="00AD71B7"/>
    <w:rsid w:val="00AD7438"/>
    <w:rsid w:val="00AD7D38"/>
    <w:rsid w:val="00AE1CEB"/>
    <w:rsid w:val="00AE26CA"/>
    <w:rsid w:val="00AE2899"/>
    <w:rsid w:val="00AE29E2"/>
    <w:rsid w:val="00AE30D6"/>
    <w:rsid w:val="00AE3A7F"/>
    <w:rsid w:val="00AE3D72"/>
    <w:rsid w:val="00AE3F48"/>
    <w:rsid w:val="00AE517A"/>
    <w:rsid w:val="00AE5B2C"/>
    <w:rsid w:val="00AE723C"/>
    <w:rsid w:val="00AE7A33"/>
    <w:rsid w:val="00AE7ABA"/>
    <w:rsid w:val="00AF154C"/>
    <w:rsid w:val="00AF29A6"/>
    <w:rsid w:val="00AF2E8A"/>
    <w:rsid w:val="00AF35E9"/>
    <w:rsid w:val="00AF39D6"/>
    <w:rsid w:val="00AF669F"/>
    <w:rsid w:val="00AF6F0C"/>
    <w:rsid w:val="00B0040C"/>
    <w:rsid w:val="00B007FD"/>
    <w:rsid w:val="00B01FD3"/>
    <w:rsid w:val="00B02A15"/>
    <w:rsid w:val="00B03EC1"/>
    <w:rsid w:val="00B04FC2"/>
    <w:rsid w:val="00B051B3"/>
    <w:rsid w:val="00B078CC"/>
    <w:rsid w:val="00B07D7F"/>
    <w:rsid w:val="00B108A1"/>
    <w:rsid w:val="00B11AE7"/>
    <w:rsid w:val="00B11C80"/>
    <w:rsid w:val="00B139CA"/>
    <w:rsid w:val="00B13BB1"/>
    <w:rsid w:val="00B13DA0"/>
    <w:rsid w:val="00B14597"/>
    <w:rsid w:val="00B147C6"/>
    <w:rsid w:val="00B14FD8"/>
    <w:rsid w:val="00B154BB"/>
    <w:rsid w:val="00B159D6"/>
    <w:rsid w:val="00B16129"/>
    <w:rsid w:val="00B1660D"/>
    <w:rsid w:val="00B203FB"/>
    <w:rsid w:val="00B223EB"/>
    <w:rsid w:val="00B226E9"/>
    <w:rsid w:val="00B2450E"/>
    <w:rsid w:val="00B24D98"/>
    <w:rsid w:val="00B25E5B"/>
    <w:rsid w:val="00B265B8"/>
    <w:rsid w:val="00B266BF"/>
    <w:rsid w:val="00B269D1"/>
    <w:rsid w:val="00B27547"/>
    <w:rsid w:val="00B275D3"/>
    <w:rsid w:val="00B2791A"/>
    <w:rsid w:val="00B279BE"/>
    <w:rsid w:val="00B27A49"/>
    <w:rsid w:val="00B30994"/>
    <w:rsid w:val="00B30EFC"/>
    <w:rsid w:val="00B315EE"/>
    <w:rsid w:val="00B318A4"/>
    <w:rsid w:val="00B32431"/>
    <w:rsid w:val="00B32478"/>
    <w:rsid w:val="00B334E9"/>
    <w:rsid w:val="00B33634"/>
    <w:rsid w:val="00B346A1"/>
    <w:rsid w:val="00B346F9"/>
    <w:rsid w:val="00B35045"/>
    <w:rsid w:val="00B35B74"/>
    <w:rsid w:val="00B35F2D"/>
    <w:rsid w:val="00B35F8A"/>
    <w:rsid w:val="00B362E0"/>
    <w:rsid w:val="00B40C18"/>
    <w:rsid w:val="00B40EFD"/>
    <w:rsid w:val="00B40FC7"/>
    <w:rsid w:val="00B41ED8"/>
    <w:rsid w:val="00B42268"/>
    <w:rsid w:val="00B42CA7"/>
    <w:rsid w:val="00B43D15"/>
    <w:rsid w:val="00B44EDB"/>
    <w:rsid w:val="00B44F28"/>
    <w:rsid w:val="00B45284"/>
    <w:rsid w:val="00B45ED2"/>
    <w:rsid w:val="00B45FFA"/>
    <w:rsid w:val="00B4648A"/>
    <w:rsid w:val="00B46AA4"/>
    <w:rsid w:val="00B46AC3"/>
    <w:rsid w:val="00B4702F"/>
    <w:rsid w:val="00B506CC"/>
    <w:rsid w:val="00B5105F"/>
    <w:rsid w:val="00B516C2"/>
    <w:rsid w:val="00B520DC"/>
    <w:rsid w:val="00B530FB"/>
    <w:rsid w:val="00B537D1"/>
    <w:rsid w:val="00B538FA"/>
    <w:rsid w:val="00B54A2C"/>
    <w:rsid w:val="00B55D20"/>
    <w:rsid w:val="00B56354"/>
    <w:rsid w:val="00B603AB"/>
    <w:rsid w:val="00B60502"/>
    <w:rsid w:val="00B6109C"/>
    <w:rsid w:val="00B61498"/>
    <w:rsid w:val="00B619FA"/>
    <w:rsid w:val="00B630CD"/>
    <w:rsid w:val="00B636E8"/>
    <w:rsid w:val="00B63D5E"/>
    <w:rsid w:val="00B63E2C"/>
    <w:rsid w:val="00B6553F"/>
    <w:rsid w:val="00B6556E"/>
    <w:rsid w:val="00B6741C"/>
    <w:rsid w:val="00B6781C"/>
    <w:rsid w:val="00B705E5"/>
    <w:rsid w:val="00B71470"/>
    <w:rsid w:val="00B739B8"/>
    <w:rsid w:val="00B7656C"/>
    <w:rsid w:val="00B767C3"/>
    <w:rsid w:val="00B77A99"/>
    <w:rsid w:val="00B77BD4"/>
    <w:rsid w:val="00B77E9F"/>
    <w:rsid w:val="00B806C6"/>
    <w:rsid w:val="00B819CA"/>
    <w:rsid w:val="00B82422"/>
    <w:rsid w:val="00B8393B"/>
    <w:rsid w:val="00B8642E"/>
    <w:rsid w:val="00B868E9"/>
    <w:rsid w:val="00B86B7E"/>
    <w:rsid w:val="00B872E1"/>
    <w:rsid w:val="00B8751E"/>
    <w:rsid w:val="00B87736"/>
    <w:rsid w:val="00B90A30"/>
    <w:rsid w:val="00B91171"/>
    <w:rsid w:val="00B919A3"/>
    <w:rsid w:val="00B921FC"/>
    <w:rsid w:val="00B922B8"/>
    <w:rsid w:val="00B947B3"/>
    <w:rsid w:val="00B95709"/>
    <w:rsid w:val="00B9587E"/>
    <w:rsid w:val="00B967BA"/>
    <w:rsid w:val="00BA0005"/>
    <w:rsid w:val="00BA07D2"/>
    <w:rsid w:val="00BA0B98"/>
    <w:rsid w:val="00BA175E"/>
    <w:rsid w:val="00BA1FD2"/>
    <w:rsid w:val="00BA2308"/>
    <w:rsid w:val="00BA2394"/>
    <w:rsid w:val="00BA2F09"/>
    <w:rsid w:val="00BA330D"/>
    <w:rsid w:val="00BA3833"/>
    <w:rsid w:val="00BA3B4D"/>
    <w:rsid w:val="00BA4FA2"/>
    <w:rsid w:val="00BA578C"/>
    <w:rsid w:val="00BA57D0"/>
    <w:rsid w:val="00BA5BEB"/>
    <w:rsid w:val="00BA61B7"/>
    <w:rsid w:val="00BA6DF0"/>
    <w:rsid w:val="00BB0DD6"/>
    <w:rsid w:val="00BB14A5"/>
    <w:rsid w:val="00BB3300"/>
    <w:rsid w:val="00BB3568"/>
    <w:rsid w:val="00BB48A6"/>
    <w:rsid w:val="00BB4932"/>
    <w:rsid w:val="00BB4BD1"/>
    <w:rsid w:val="00BB4EE3"/>
    <w:rsid w:val="00BB51D6"/>
    <w:rsid w:val="00BB5313"/>
    <w:rsid w:val="00BB5E3D"/>
    <w:rsid w:val="00BB65E6"/>
    <w:rsid w:val="00BB77CE"/>
    <w:rsid w:val="00BB7E8E"/>
    <w:rsid w:val="00BC0400"/>
    <w:rsid w:val="00BC0F31"/>
    <w:rsid w:val="00BC0F5E"/>
    <w:rsid w:val="00BC203B"/>
    <w:rsid w:val="00BC2B27"/>
    <w:rsid w:val="00BC2E76"/>
    <w:rsid w:val="00BC3A74"/>
    <w:rsid w:val="00BC3CC4"/>
    <w:rsid w:val="00BC3F1F"/>
    <w:rsid w:val="00BC4EEF"/>
    <w:rsid w:val="00BC4FB1"/>
    <w:rsid w:val="00BC54E5"/>
    <w:rsid w:val="00BC5B80"/>
    <w:rsid w:val="00BC5CE9"/>
    <w:rsid w:val="00BC6912"/>
    <w:rsid w:val="00BC7219"/>
    <w:rsid w:val="00BD03BE"/>
    <w:rsid w:val="00BD0FB6"/>
    <w:rsid w:val="00BD1DED"/>
    <w:rsid w:val="00BD2648"/>
    <w:rsid w:val="00BD2C65"/>
    <w:rsid w:val="00BD2EAC"/>
    <w:rsid w:val="00BD357E"/>
    <w:rsid w:val="00BD3924"/>
    <w:rsid w:val="00BD3CB4"/>
    <w:rsid w:val="00BD3E9D"/>
    <w:rsid w:val="00BD45A8"/>
    <w:rsid w:val="00BD5E98"/>
    <w:rsid w:val="00BD6AB2"/>
    <w:rsid w:val="00BD7C94"/>
    <w:rsid w:val="00BE06B6"/>
    <w:rsid w:val="00BE150F"/>
    <w:rsid w:val="00BE1BB5"/>
    <w:rsid w:val="00BE27B3"/>
    <w:rsid w:val="00BE2ABF"/>
    <w:rsid w:val="00BE2EAE"/>
    <w:rsid w:val="00BE33D9"/>
    <w:rsid w:val="00BE36CC"/>
    <w:rsid w:val="00BE5838"/>
    <w:rsid w:val="00BE58D8"/>
    <w:rsid w:val="00BE6E3E"/>
    <w:rsid w:val="00BE7D9C"/>
    <w:rsid w:val="00BE7E97"/>
    <w:rsid w:val="00BE7EBA"/>
    <w:rsid w:val="00BF02AA"/>
    <w:rsid w:val="00BF0E56"/>
    <w:rsid w:val="00BF170E"/>
    <w:rsid w:val="00BF2206"/>
    <w:rsid w:val="00BF2DD1"/>
    <w:rsid w:val="00BF3459"/>
    <w:rsid w:val="00BF36CD"/>
    <w:rsid w:val="00BF36FB"/>
    <w:rsid w:val="00BF4CEF"/>
    <w:rsid w:val="00BF5936"/>
    <w:rsid w:val="00BF5CC6"/>
    <w:rsid w:val="00BF6212"/>
    <w:rsid w:val="00BF624B"/>
    <w:rsid w:val="00BF644C"/>
    <w:rsid w:val="00BF645D"/>
    <w:rsid w:val="00BF793F"/>
    <w:rsid w:val="00BF7A1C"/>
    <w:rsid w:val="00C011A2"/>
    <w:rsid w:val="00C01BE1"/>
    <w:rsid w:val="00C03E56"/>
    <w:rsid w:val="00C063FE"/>
    <w:rsid w:val="00C066C8"/>
    <w:rsid w:val="00C075FA"/>
    <w:rsid w:val="00C112F7"/>
    <w:rsid w:val="00C13CBD"/>
    <w:rsid w:val="00C15AAF"/>
    <w:rsid w:val="00C15D83"/>
    <w:rsid w:val="00C16F67"/>
    <w:rsid w:val="00C17BC9"/>
    <w:rsid w:val="00C2012B"/>
    <w:rsid w:val="00C20410"/>
    <w:rsid w:val="00C206E6"/>
    <w:rsid w:val="00C2085F"/>
    <w:rsid w:val="00C20BB1"/>
    <w:rsid w:val="00C20F1A"/>
    <w:rsid w:val="00C20F45"/>
    <w:rsid w:val="00C21E0B"/>
    <w:rsid w:val="00C226FE"/>
    <w:rsid w:val="00C235BD"/>
    <w:rsid w:val="00C2394F"/>
    <w:rsid w:val="00C23A4B"/>
    <w:rsid w:val="00C24AA8"/>
    <w:rsid w:val="00C254F3"/>
    <w:rsid w:val="00C2584E"/>
    <w:rsid w:val="00C2658D"/>
    <w:rsid w:val="00C279E0"/>
    <w:rsid w:val="00C27C9A"/>
    <w:rsid w:val="00C27E4B"/>
    <w:rsid w:val="00C31057"/>
    <w:rsid w:val="00C32309"/>
    <w:rsid w:val="00C34224"/>
    <w:rsid w:val="00C34485"/>
    <w:rsid w:val="00C34CD7"/>
    <w:rsid w:val="00C34DDA"/>
    <w:rsid w:val="00C34F5F"/>
    <w:rsid w:val="00C350DE"/>
    <w:rsid w:val="00C35B87"/>
    <w:rsid w:val="00C35DAC"/>
    <w:rsid w:val="00C35DAF"/>
    <w:rsid w:val="00C35E78"/>
    <w:rsid w:val="00C36A8C"/>
    <w:rsid w:val="00C4056C"/>
    <w:rsid w:val="00C40A03"/>
    <w:rsid w:val="00C4196D"/>
    <w:rsid w:val="00C41E8D"/>
    <w:rsid w:val="00C420E3"/>
    <w:rsid w:val="00C42397"/>
    <w:rsid w:val="00C433F9"/>
    <w:rsid w:val="00C444A7"/>
    <w:rsid w:val="00C4561C"/>
    <w:rsid w:val="00C456EA"/>
    <w:rsid w:val="00C46642"/>
    <w:rsid w:val="00C4769C"/>
    <w:rsid w:val="00C47A44"/>
    <w:rsid w:val="00C47BE3"/>
    <w:rsid w:val="00C47D18"/>
    <w:rsid w:val="00C50694"/>
    <w:rsid w:val="00C513F9"/>
    <w:rsid w:val="00C51669"/>
    <w:rsid w:val="00C52216"/>
    <w:rsid w:val="00C52951"/>
    <w:rsid w:val="00C53024"/>
    <w:rsid w:val="00C538AF"/>
    <w:rsid w:val="00C53B0B"/>
    <w:rsid w:val="00C53B5C"/>
    <w:rsid w:val="00C54009"/>
    <w:rsid w:val="00C545AD"/>
    <w:rsid w:val="00C55A46"/>
    <w:rsid w:val="00C55C67"/>
    <w:rsid w:val="00C56709"/>
    <w:rsid w:val="00C5685B"/>
    <w:rsid w:val="00C5696D"/>
    <w:rsid w:val="00C575DC"/>
    <w:rsid w:val="00C57C29"/>
    <w:rsid w:val="00C617F4"/>
    <w:rsid w:val="00C620B4"/>
    <w:rsid w:val="00C62B7E"/>
    <w:rsid w:val="00C62EE2"/>
    <w:rsid w:val="00C63208"/>
    <w:rsid w:val="00C632B0"/>
    <w:rsid w:val="00C638FB"/>
    <w:rsid w:val="00C64A67"/>
    <w:rsid w:val="00C64FAE"/>
    <w:rsid w:val="00C65936"/>
    <w:rsid w:val="00C6596D"/>
    <w:rsid w:val="00C65BD6"/>
    <w:rsid w:val="00C6648F"/>
    <w:rsid w:val="00C66FB0"/>
    <w:rsid w:val="00C67693"/>
    <w:rsid w:val="00C70590"/>
    <w:rsid w:val="00C74040"/>
    <w:rsid w:val="00C757DF"/>
    <w:rsid w:val="00C759E4"/>
    <w:rsid w:val="00C75F35"/>
    <w:rsid w:val="00C76744"/>
    <w:rsid w:val="00C76CC9"/>
    <w:rsid w:val="00C77E79"/>
    <w:rsid w:val="00C805E5"/>
    <w:rsid w:val="00C81248"/>
    <w:rsid w:val="00C81472"/>
    <w:rsid w:val="00C81E49"/>
    <w:rsid w:val="00C81F26"/>
    <w:rsid w:val="00C821B7"/>
    <w:rsid w:val="00C821FC"/>
    <w:rsid w:val="00C8269C"/>
    <w:rsid w:val="00C8273F"/>
    <w:rsid w:val="00C82DCF"/>
    <w:rsid w:val="00C83166"/>
    <w:rsid w:val="00C839AA"/>
    <w:rsid w:val="00C83AB1"/>
    <w:rsid w:val="00C85C0B"/>
    <w:rsid w:val="00C86089"/>
    <w:rsid w:val="00C86900"/>
    <w:rsid w:val="00C912BB"/>
    <w:rsid w:val="00C917D6"/>
    <w:rsid w:val="00C919B4"/>
    <w:rsid w:val="00C920D7"/>
    <w:rsid w:val="00C93A21"/>
    <w:rsid w:val="00C94D25"/>
    <w:rsid w:val="00C955E5"/>
    <w:rsid w:val="00C956EF"/>
    <w:rsid w:val="00C96B2E"/>
    <w:rsid w:val="00C97AB2"/>
    <w:rsid w:val="00CA0735"/>
    <w:rsid w:val="00CA09F1"/>
    <w:rsid w:val="00CA0EA8"/>
    <w:rsid w:val="00CA1397"/>
    <w:rsid w:val="00CA13D3"/>
    <w:rsid w:val="00CA181C"/>
    <w:rsid w:val="00CA292E"/>
    <w:rsid w:val="00CA34DA"/>
    <w:rsid w:val="00CA50E0"/>
    <w:rsid w:val="00CA531B"/>
    <w:rsid w:val="00CA6FD0"/>
    <w:rsid w:val="00CA71EB"/>
    <w:rsid w:val="00CA7581"/>
    <w:rsid w:val="00CA7C1F"/>
    <w:rsid w:val="00CA7EAC"/>
    <w:rsid w:val="00CB262D"/>
    <w:rsid w:val="00CB2698"/>
    <w:rsid w:val="00CB28B5"/>
    <w:rsid w:val="00CB2D60"/>
    <w:rsid w:val="00CB5631"/>
    <w:rsid w:val="00CB6494"/>
    <w:rsid w:val="00CB6776"/>
    <w:rsid w:val="00CB6E69"/>
    <w:rsid w:val="00CC0017"/>
    <w:rsid w:val="00CC0EA2"/>
    <w:rsid w:val="00CC126A"/>
    <w:rsid w:val="00CC129A"/>
    <w:rsid w:val="00CC1381"/>
    <w:rsid w:val="00CC2B7D"/>
    <w:rsid w:val="00CC3335"/>
    <w:rsid w:val="00CC39A3"/>
    <w:rsid w:val="00CC485D"/>
    <w:rsid w:val="00CC6586"/>
    <w:rsid w:val="00CC7511"/>
    <w:rsid w:val="00CC7F1A"/>
    <w:rsid w:val="00CD102A"/>
    <w:rsid w:val="00CD11F1"/>
    <w:rsid w:val="00CD199F"/>
    <w:rsid w:val="00CD1AB7"/>
    <w:rsid w:val="00CD1E82"/>
    <w:rsid w:val="00CD30C4"/>
    <w:rsid w:val="00CD3241"/>
    <w:rsid w:val="00CD3EC0"/>
    <w:rsid w:val="00CD5BFB"/>
    <w:rsid w:val="00CD6921"/>
    <w:rsid w:val="00CD7073"/>
    <w:rsid w:val="00CD7F36"/>
    <w:rsid w:val="00CE0068"/>
    <w:rsid w:val="00CE0A06"/>
    <w:rsid w:val="00CE16E8"/>
    <w:rsid w:val="00CE1ADF"/>
    <w:rsid w:val="00CE1F75"/>
    <w:rsid w:val="00CE2EBC"/>
    <w:rsid w:val="00CE334E"/>
    <w:rsid w:val="00CE395D"/>
    <w:rsid w:val="00CE3AE8"/>
    <w:rsid w:val="00CE3CF2"/>
    <w:rsid w:val="00CE3DD8"/>
    <w:rsid w:val="00CE47A7"/>
    <w:rsid w:val="00CE5CA8"/>
    <w:rsid w:val="00CE6790"/>
    <w:rsid w:val="00CE68B6"/>
    <w:rsid w:val="00CE7854"/>
    <w:rsid w:val="00CF037E"/>
    <w:rsid w:val="00CF2303"/>
    <w:rsid w:val="00CF258A"/>
    <w:rsid w:val="00CF2764"/>
    <w:rsid w:val="00CF277F"/>
    <w:rsid w:val="00CF3622"/>
    <w:rsid w:val="00CF3B84"/>
    <w:rsid w:val="00CF4531"/>
    <w:rsid w:val="00CF4744"/>
    <w:rsid w:val="00CF50B8"/>
    <w:rsid w:val="00CF7BBA"/>
    <w:rsid w:val="00CF7D13"/>
    <w:rsid w:val="00D000B2"/>
    <w:rsid w:val="00D00152"/>
    <w:rsid w:val="00D002B3"/>
    <w:rsid w:val="00D01085"/>
    <w:rsid w:val="00D01DD1"/>
    <w:rsid w:val="00D023B9"/>
    <w:rsid w:val="00D02DC8"/>
    <w:rsid w:val="00D0327D"/>
    <w:rsid w:val="00D0391F"/>
    <w:rsid w:val="00D0423C"/>
    <w:rsid w:val="00D05218"/>
    <w:rsid w:val="00D05A86"/>
    <w:rsid w:val="00D068A2"/>
    <w:rsid w:val="00D06B35"/>
    <w:rsid w:val="00D070B0"/>
    <w:rsid w:val="00D10997"/>
    <w:rsid w:val="00D116DB"/>
    <w:rsid w:val="00D12F0B"/>
    <w:rsid w:val="00D1326E"/>
    <w:rsid w:val="00D13644"/>
    <w:rsid w:val="00D13925"/>
    <w:rsid w:val="00D13D32"/>
    <w:rsid w:val="00D13FE1"/>
    <w:rsid w:val="00D149C7"/>
    <w:rsid w:val="00D1518B"/>
    <w:rsid w:val="00D15769"/>
    <w:rsid w:val="00D15B82"/>
    <w:rsid w:val="00D16A4D"/>
    <w:rsid w:val="00D201C0"/>
    <w:rsid w:val="00D2095F"/>
    <w:rsid w:val="00D20E93"/>
    <w:rsid w:val="00D21369"/>
    <w:rsid w:val="00D2194A"/>
    <w:rsid w:val="00D22728"/>
    <w:rsid w:val="00D2295B"/>
    <w:rsid w:val="00D2307C"/>
    <w:rsid w:val="00D23241"/>
    <w:rsid w:val="00D238F2"/>
    <w:rsid w:val="00D2393A"/>
    <w:rsid w:val="00D27C71"/>
    <w:rsid w:val="00D31BF1"/>
    <w:rsid w:val="00D31DB0"/>
    <w:rsid w:val="00D33168"/>
    <w:rsid w:val="00D33332"/>
    <w:rsid w:val="00D354A5"/>
    <w:rsid w:val="00D356FA"/>
    <w:rsid w:val="00D358F4"/>
    <w:rsid w:val="00D36402"/>
    <w:rsid w:val="00D377EF"/>
    <w:rsid w:val="00D37CC5"/>
    <w:rsid w:val="00D4070F"/>
    <w:rsid w:val="00D40BDF"/>
    <w:rsid w:val="00D42AE6"/>
    <w:rsid w:val="00D42BF7"/>
    <w:rsid w:val="00D43C8D"/>
    <w:rsid w:val="00D45363"/>
    <w:rsid w:val="00D46764"/>
    <w:rsid w:val="00D46826"/>
    <w:rsid w:val="00D47E59"/>
    <w:rsid w:val="00D5054A"/>
    <w:rsid w:val="00D50A0E"/>
    <w:rsid w:val="00D5112E"/>
    <w:rsid w:val="00D51308"/>
    <w:rsid w:val="00D52642"/>
    <w:rsid w:val="00D52688"/>
    <w:rsid w:val="00D52FD6"/>
    <w:rsid w:val="00D536BF"/>
    <w:rsid w:val="00D53A03"/>
    <w:rsid w:val="00D53A5F"/>
    <w:rsid w:val="00D5509E"/>
    <w:rsid w:val="00D562B6"/>
    <w:rsid w:val="00D57BC6"/>
    <w:rsid w:val="00D57C87"/>
    <w:rsid w:val="00D60075"/>
    <w:rsid w:val="00D61D99"/>
    <w:rsid w:val="00D6266F"/>
    <w:rsid w:val="00D62780"/>
    <w:rsid w:val="00D62893"/>
    <w:rsid w:val="00D633AD"/>
    <w:rsid w:val="00D635D5"/>
    <w:rsid w:val="00D63738"/>
    <w:rsid w:val="00D63A40"/>
    <w:rsid w:val="00D6484D"/>
    <w:rsid w:val="00D65071"/>
    <w:rsid w:val="00D650E9"/>
    <w:rsid w:val="00D667EF"/>
    <w:rsid w:val="00D67281"/>
    <w:rsid w:val="00D67591"/>
    <w:rsid w:val="00D712FD"/>
    <w:rsid w:val="00D716F6"/>
    <w:rsid w:val="00D71787"/>
    <w:rsid w:val="00D7214F"/>
    <w:rsid w:val="00D73883"/>
    <w:rsid w:val="00D73D94"/>
    <w:rsid w:val="00D73EEB"/>
    <w:rsid w:val="00D7401A"/>
    <w:rsid w:val="00D74E88"/>
    <w:rsid w:val="00D7569C"/>
    <w:rsid w:val="00D768C8"/>
    <w:rsid w:val="00D8069F"/>
    <w:rsid w:val="00D80CBB"/>
    <w:rsid w:val="00D81622"/>
    <w:rsid w:val="00D822B2"/>
    <w:rsid w:val="00D82325"/>
    <w:rsid w:val="00D83431"/>
    <w:rsid w:val="00D84079"/>
    <w:rsid w:val="00D84105"/>
    <w:rsid w:val="00D84CB4"/>
    <w:rsid w:val="00D86105"/>
    <w:rsid w:val="00D86C30"/>
    <w:rsid w:val="00D87401"/>
    <w:rsid w:val="00D87A45"/>
    <w:rsid w:val="00D90041"/>
    <w:rsid w:val="00D90093"/>
    <w:rsid w:val="00D90746"/>
    <w:rsid w:val="00D91854"/>
    <w:rsid w:val="00D923A0"/>
    <w:rsid w:val="00D934A7"/>
    <w:rsid w:val="00D94A84"/>
    <w:rsid w:val="00D95847"/>
    <w:rsid w:val="00D95F7B"/>
    <w:rsid w:val="00D95FE8"/>
    <w:rsid w:val="00D96507"/>
    <w:rsid w:val="00D96CA7"/>
    <w:rsid w:val="00D96E39"/>
    <w:rsid w:val="00D979C0"/>
    <w:rsid w:val="00D97A49"/>
    <w:rsid w:val="00DA0051"/>
    <w:rsid w:val="00DA1E67"/>
    <w:rsid w:val="00DA274C"/>
    <w:rsid w:val="00DA372E"/>
    <w:rsid w:val="00DA4244"/>
    <w:rsid w:val="00DA444E"/>
    <w:rsid w:val="00DA4DC1"/>
    <w:rsid w:val="00DA65EF"/>
    <w:rsid w:val="00DA673C"/>
    <w:rsid w:val="00DA6879"/>
    <w:rsid w:val="00DA71A1"/>
    <w:rsid w:val="00DB0859"/>
    <w:rsid w:val="00DB0A97"/>
    <w:rsid w:val="00DB0B69"/>
    <w:rsid w:val="00DB163B"/>
    <w:rsid w:val="00DB387E"/>
    <w:rsid w:val="00DB44AF"/>
    <w:rsid w:val="00DB4647"/>
    <w:rsid w:val="00DB5D9C"/>
    <w:rsid w:val="00DC0250"/>
    <w:rsid w:val="00DC02A0"/>
    <w:rsid w:val="00DC0BF7"/>
    <w:rsid w:val="00DC1849"/>
    <w:rsid w:val="00DC25FF"/>
    <w:rsid w:val="00DC2953"/>
    <w:rsid w:val="00DC316D"/>
    <w:rsid w:val="00DC349D"/>
    <w:rsid w:val="00DC4A1E"/>
    <w:rsid w:val="00DC4BA4"/>
    <w:rsid w:val="00DC5335"/>
    <w:rsid w:val="00DC5566"/>
    <w:rsid w:val="00DD15B6"/>
    <w:rsid w:val="00DD3F21"/>
    <w:rsid w:val="00DD546B"/>
    <w:rsid w:val="00DD5D1D"/>
    <w:rsid w:val="00DD6680"/>
    <w:rsid w:val="00DD6B8A"/>
    <w:rsid w:val="00DD7449"/>
    <w:rsid w:val="00DD7717"/>
    <w:rsid w:val="00DE0142"/>
    <w:rsid w:val="00DE062D"/>
    <w:rsid w:val="00DE2092"/>
    <w:rsid w:val="00DE220C"/>
    <w:rsid w:val="00DE23ED"/>
    <w:rsid w:val="00DE2476"/>
    <w:rsid w:val="00DE287E"/>
    <w:rsid w:val="00DE33BA"/>
    <w:rsid w:val="00DE3AC0"/>
    <w:rsid w:val="00DE4B21"/>
    <w:rsid w:val="00DE52CE"/>
    <w:rsid w:val="00DE5854"/>
    <w:rsid w:val="00DE717A"/>
    <w:rsid w:val="00DE7FB2"/>
    <w:rsid w:val="00DF1222"/>
    <w:rsid w:val="00DF224D"/>
    <w:rsid w:val="00DF23A4"/>
    <w:rsid w:val="00DF2CFB"/>
    <w:rsid w:val="00DF33AC"/>
    <w:rsid w:val="00DF3E26"/>
    <w:rsid w:val="00DF4B31"/>
    <w:rsid w:val="00DF5E08"/>
    <w:rsid w:val="00DF5EF8"/>
    <w:rsid w:val="00DF781E"/>
    <w:rsid w:val="00E00F70"/>
    <w:rsid w:val="00E0184E"/>
    <w:rsid w:val="00E01F7F"/>
    <w:rsid w:val="00E023F1"/>
    <w:rsid w:val="00E02782"/>
    <w:rsid w:val="00E02A22"/>
    <w:rsid w:val="00E02CBA"/>
    <w:rsid w:val="00E03DEA"/>
    <w:rsid w:val="00E04E2E"/>
    <w:rsid w:val="00E05BB8"/>
    <w:rsid w:val="00E10776"/>
    <w:rsid w:val="00E10A05"/>
    <w:rsid w:val="00E10E7C"/>
    <w:rsid w:val="00E12C1B"/>
    <w:rsid w:val="00E12CAE"/>
    <w:rsid w:val="00E12D34"/>
    <w:rsid w:val="00E1306C"/>
    <w:rsid w:val="00E137A4"/>
    <w:rsid w:val="00E13B75"/>
    <w:rsid w:val="00E13FD6"/>
    <w:rsid w:val="00E14398"/>
    <w:rsid w:val="00E14C53"/>
    <w:rsid w:val="00E1572F"/>
    <w:rsid w:val="00E16012"/>
    <w:rsid w:val="00E17218"/>
    <w:rsid w:val="00E17D5A"/>
    <w:rsid w:val="00E20F6F"/>
    <w:rsid w:val="00E2149C"/>
    <w:rsid w:val="00E21938"/>
    <w:rsid w:val="00E21CA4"/>
    <w:rsid w:val="00E2286C"/>
    <w:rsid w:val="00E22F5F"/>
    <w:rsid w:val="00E2336F"/>
    <w:rsid w:val="00E24015"/>
    <w:rsid w:val="00E25200"/>
    <w:rsid w:val="00E258F4"/>
    <w:rsid w:val="00E264F4"/>
    <w:rsid w:val="00E301B8"/>
    <w:rsid w:val="00E3100A"/>
    <w:rsid w:val="00E315EC"/>
    <w:rsid w:val="00E32514"/>
    <w:rsid w:val="00E32AE7"/>
    <w:rsid w:val="00E33A0D"/>
    <w:rsid w:val="00E33B2B"/>
    <w:rsid w:val="00E36576"/>
    <w:rsid w:val="00E36C8C"/>
    <w:rsid w:val="00E375D1"/>
    <w:rsid w:val="00E41E77"/>
    <w:rsid w:val="00E42138"/>
    <w:rsid w:val="00E42D4C"/>
    <w:rsid w:val="00E43DED"/>
    <w:rsid w:val="00E43FEF"/>
    <w:rsid w:val="00E45D54"/>
    <w:rsid w:val="00E46956"/>
    <w:rsid w:val="00E46AE2"/>
    <w:rsid w:val="00E46E9C"/>
    <w:rsid w:val="00E47234"/>
    <w:rsid w:val="00E47564"/>
    <w:rsid w:val="00E476A1"/>
    <w:rsid w:val="00E476FA"/>
    <w:rsid w:val="00E47E49"/>
    <w:rsid w:val="00E50584"/>
    <w:rsid w:val="00E51D02"/>
    <w:rsid w:val="00E52B74"/>
    <w:rsid w:val="00E52EF6"/>
    <w:rsid w:val="00E5319E"/>
    <w:rsid w:val="00E53A24"/>
    <w:rsid w:val="00E54D48"/>
    <w:rsid w:val="00E55E72"/>
    <w:rsid w:val="00E56205"/>
    <w:rsid w:val="00E563DF"/>
    <w:rsid w:val="00E5649F"/>
    <w:rsid w:val="00E56A3C"/>
    <w:rsid w:val="00E57482"/>
    <w:rsid w:val="00E57903"/>
    <w:rsid w:val="00E6084D"/>
    <w:rsid w:val="00E60D53"/>
    <w:rsid w:val="00E60E3D"/>
    <w:rsid w:val="00E61588"/>
    <w:rsid w:val="00E61EFD"/>
    <w:rsid w:val="00E629B6"/>
    <w:rsid w:val="00E62BBF"/>
    <w:rsid w:val="00E630AB"/>
    <w:rsid w:val="00E64EA7"/>
    <w:rsid w:val="00E659E2"/>
    <w:rsid w:val="00E65E2A"/>
    <w:rsid w:val="00E7102B"/>
    <w:rsid w:val="00E72693"/>
    <w:rsid w:val="00E72869"/>
    <w:rsid w:val="00E72AA3"/>
    <w:rsid w:val="00E72CC7"/>
    <w:rsid w:val="00E7344C"/>
    <w:rsid w:val="00E7372E"/>
    <w:rsid w:val="00E74B35"/>
    <w:rsid w:val="00E75624"/>
    <w:rsid w:val="00E756B6"/>
    <w:rsid w:val="00E7593C"/>
    <w:rsid w:val="00E75D2A"/>
    <w:rsid w:val="00E75FCD"/>
    <w:rsid w:val="00E81705"/>
    <w:rsid w:val="00E82B71"/>
    <w:rsid w:val="00E83F3C"/>
    <w:rsid w:val="00E84746"/>
    <w:rsid w:val="00E84EDD"/>
    <w:rsid w:val="00E8507C"/>
    <w:rsid w:val="00E85EDA"/>
    <w:rsid w:val="00E860A7"/>
    <w:rsid w:val="00E864EA"/>
    <w:rsid w:val="00E90EB3"/>
    <w:rsid w:val="00E9127C"/>
    <w:rsid w:val="00E91727"/>
    <w:rsid w:val="00E92973"/>
    <w:rsid w:val="00E92FE3"/>
    <w:rsid w:val="00E933EC"/>
    <w:rsid w:val="00E93D38"/>
    <w:rsid w:val="00E93E4F"/>
    <w:rsid w:val="00E94FB9"/>
    <w:rsid w:val="00E962F6"/>
    <w:rsid w:val="00E9699A"/>
    <w:rsid w:val="00E96DCE"/>
    <w:rsid w:val="00E971B9"/>
    <w:rsid w:val="00E97A5D"/>
    <w:rsid w:val="00E97AA5"/>
    <w:rsid w:val="00EA01E5"/>
    <w:rsid w:val="00EA276F"/>
    <w:rsid w:val="00EA2BDD"/>
    <w:rsid w:val="00EA3616"/>
    <w:rsid w:val="00EA3BF7"/>
    <w:rsid w:val="00EA4144"/>
    <w:rsid w:val="00EA4556"/>
    <w:rsid w:val="00EA5C0E"/>
    <w:rsid w:val="00EA73B4"/>
    <w:rsid w:val="00EB19B5"/>
    <w:rsid w:val="00EB1DB5"/>
    <w:rsid w:val="00EB31DC"/>
    <w:rsid w:val="00EB3F8A"/>
    <w:rsid w:val="00EB456F"/>
    <w:rsid w:val="00EB469C"/>
    <w:rsid w:val="00EB48E4"/>
    <w:rsid w:val="00EB5C2A"/>
    <w:rsid w:val="00EB67CC"/>
    <w:rsid w:val="00EB69CD"/>
    <w:rsid w:val="00EB73F5"/>
    <w:rsid w:val="00EB7797"/>
    <w:rsid w:val="00EB7DB1"/>
    <w:rsid w:val="00EC000A"/>
    <w:rsid w:val="00EC0236"/>
    <w:rsid w:val="00EC1B63"/>
    <w:rsid w:val="00EC1C76"/>
    <w:rsid w:val="00EC27BF"/>
    <w:rsid w:val="00EC2804"/>
    <w:rsid w:val="00EC2951"/>
    <w:rsid w:val="00EC51E1"/>
    <w:rsid w:val="00EC6453"/>
    <w:rsid w:val="00EC6612"/>
    <w:rsid w:val="00EC6782"/>
    <w:rsid w:val="00EC7588"/>
    <w:rsid w:val="00EC7BD3"/>
    <w:rsid w:val="00ED079B"/>
    <w:rsid w:val="00ED0E02"/>
    <w:rsid w:val="00ED225F"/>
    <w:rsid w:val="00ED2CB3"/>
    <w:rsid w:val="00ED4D27"/>
    <w:rsid w:val="00ED5305"/>
    <w:rsid w:val="00ED532C"/>
    <w:rsid w:val="00ED5338"/>
    <w:rsid w:val="00ED5A78"/>
    <w:rsid w:val="00ED6658"/>
    <w:rsid w:val="00ED6C7C"/>
    <w:rsid w:val="00EE053F"/>
    <w:rsid w:val="00EE1763"/>
    <w:rsid w:val="00EE29F0"/>
    <w:rsid w:val="00EE2F71"/>
    <w:rsid w:val="00EE3153"/>
    <w:rsid w:val="00EE32A6"/>
    <w:rsid w:val="00EE33E9"/>
    <w:rsid w:val="00EE3BD3"/>
    <w:rsid w:val="00EE3CE3"/>
    <w:rsid w:val="00EE5384"/>
    <w:rsid w:val="00EE57D9"/>
    <w:rsid w:val="00EE5EB9"/>
    <w:rsid w:val="00EE5F5F"/>
    <w:rsid w:val="00EE68B1"/>
    <w:rsid w:val="00EE79AF"/>
    <w:rsid w:val="00EF16AB"/>
    <w:rsid w:val="00EF1B5B"/>
    <w:rsid w:val="00EF3C78"/>
    <w:rsid w:val="00EF4B2B"/>
    <w:rsid w:val="00EF5F21"/>
    <w:rsid w:val="00EF6C11"/>
    <w:rsid w:val="00EF7305"/>
    <w:rsid w:val="00EF75CE"/>
    <w:rsid w:val="00EF7965"/>
    <w:rsid w:val="00EF7F05"/>
    <w:rsid w:val="00F00D6C"/>
    <w:rsid w:val="00F01A62"/>
    <w:rsid w:val="00F01F9C"/>
    <w:rsid w:val="00F02441"/>
    <w:rsid w:val="00F0365A"/>
    <w:rsid w:val="00F03AF3"/>
    <w:rsid w:val="00F03EF3"/>
    <w:rsid w:val="00F0486A"/>
    <w:rsid w:val="00F04AB2"/>
    <w:rsid w:val="00F0519D"/>
    <w:rsid w:val="00F0749A"/>
    <w:rsid w:val="00F07693"/>
    <w:rsid w:val="00F07928"/>
    <w:rsid w:val="00F10AB4"/>
    <w:rsid w:val="00F10F7B"/>
    <w:rsid w:val="00F11253"/>
    <w:rsid w:val="00F11DED"/>
    <w:rsid w:val="00F12B39"/>
    <w:rsid w:val="00F13060"/>
    <w:rsid w:val="00F13A38"/>
    <w:rsid w:val="00F146DB"/>
    <w:rsid w:val="00F14ADB"/>
    <w:rsid w:val="00F164A1"/>
    <w:rsid w:val="00F1778B"/>
    <w:rsid w:val="00F17E32"/>
    <w:rsid w:val="00F201C6"/>
    <w:rsid w:val="00F2259E"/>
    <w:rsid w:val="00F24E2C"/>
    <w:rsid w:val="00F25DFF"/>
    <w:rsid w:val="00F26EE9"/>
    <w:rsid w:val="00F273B6"/>
    <w:rsid w:val="00F27BA5"/>
    <w:rsid w:val="00F3026E"/>
    <w:rsid w:val="00F308AC"/>
    <w:rsid w:val="00F32AAD"/>
    <w:rsid w:val="00F32EE3"/>
    <w:rsid w:val="00F32F28"/>
    <w:rsid w:val="00F32FC9"/>
    <w:rsid w:val="00F331E8"/>
    <w:rsid w:val="00F33254"/>
    <w:rsid w:val="00F334FC"/>
    <w:rsid w:val="00F337AD"/>
    <w:rsid w:val="00F339DB"/>
    <w:rsid w:val="00F3481E"/>
    <w:rsid w:val="00F35710"/>
    <w:rsid w:val="00F3693B"/>
    <w:rsid w:val="00F375C1"/>
    <w:rsid w:val="00F37813"/>
    <w:rsid w:val="00F41734"/>
    <w:rsid w:val="00F419DC"/>
    <w:rsid w:val="00F42205"/>
    <w:rsid w:val="00F42A08"/>
    <w:rsid w:val="00F42C0F"/>
    <w:rsid w:val="00F4359E"/>
    <w:rsid w:val="00F44106"/>
    <w:rsid w:val="00F457CE"/>
    <w:rsid w:val="00F468A3"/>
    <w:rsid w:val="00F47D22"/>
    <w:rsid w:val="00F50C0C"/>
    <w:rsid w:val="00F50E88"/>
    <w:rsid w:val="00F51674"/>
    <w:rsid w:val="00F51830"/>
    <w:rsid w:val="00F531CF"/>
    <w:rsid w:val="00F535B0"/>
    <w:rsid w:val="00F54216"/>
    <w:rsid w:val="00F548A8"/>
    <w:rsid w:val="00F555E8"/>
    <w:rsid w:val="00F55BDE"/>
    <w:rsid w:val="00F55EAF"/>
    <w:rsid w:val="00F605F1"/>
    <w:rsid w:val="00F625B4"/>
    <w:rsid w:val="00F6632C"/>
    <w:rsid w:val="00F66956"/>
    <w:rsid w:val="00F672F7"/>
    <w:rsid w:val="00F67506"/>
    <w:rsid w:val="00F67F28"/>
    <w:rsid w:val="00F70EF1"/>
    <w:rsid w:val="00F71128"/>
    <w:rsid w:val="00F71240"/>
    <w:rsid w:val="00F71D43"/>
    <w:rsid w:val="00F72381"/>
    <w:rsid w:val="00F73070"/>
    <w:rsid w:val="00F73B6C"/>
    <w:rsid w:val="00F73D03"/>
    <w:rsid w:val="00F74C2F"/>
    <w:rsid w:val="00F74E88"/>
    <w:rsid w:val="00F74E8F"/>
    <w:rsid w:val="00F82005"/>
    <w:rsid w:val="00F82EC3"/>
    <w:rsid w:val="00F838E4"/>
    <w:rsid w:val="00F83DC9"/>
    <w:rsid w:val="00F85246"/>
    <w:rsid w:val="00F85973"/>
    <w:rsid w:val="00F85998"/>
    <w:rsid w:val="00F869C9"/>
    <w:rsid w:val="00F86D7B"/>
    <w:rsid w:val="00F87367"/>
    <w:rsid w:val="00F87401"/>
    <w:rsid w:val="00F87A0C"/>
    <w:rsid w:val="00F87D14"/>
    <w:rsid w:val="00F908C8"/>
    <w:rsid w:val="00F91BB9"/>
    <w:rsid w:val="00F92471"/>
    <w:rsid w:val="00F9343D"/>
    <w:rsid w:val="00F93CAE"/>
    <w:rsid w:val="00F93D55"/>
    <w:rsid w:val="00F93F91"/>
    <w:rsid w:val="00F94151"/>
    <w:rsid w:val="00F96EEA"/>
    <w:rsid w:val="00F979DF"/>
    <w:rsid w:val="00FA0CDA"/>
    <w:rsid w:val="00FA13D0"/>
    <w:rsid w:val="00FA4861"/>
    <w:rsid w:val="00FA49C0"/>
    <w:rsid w:val="00FA5D5B"/>
    <w:rsid w:val="00FA7A99"/>
    <w:rsid w:val="00FB0100"/>
    <w:rsid w:val="00FB02A9"/>
    <w:rsid w:val="00FB1678"/>
    <w:rsid w:val="00FB1919"/>
    <w:rsid w:val="00FB1B43"/>
    <w:rsid w:val="00FB1D71"/>
    <w:rsid w:val="00FB267C"/>
    <w:rsid w:val="00FB276A"/>
    <w:rsid w:val="00FB32ED"/>
    <w:rsid w:val="00FB36F8"/>
    <w:rsid w:val="00FB3940"/>
    <w:rsid w:val="00FB3B73"/>
    <w:rsid w:val="00FB3BD5"/>
    <w:rsid w:val="00FB4766"/>
    <w:rsid w:val="00FB5C7A"/>
    <w:rsid w:val="00FB5CF9"/>
    <w:rsid w:val="00FB5D42"/>
    <w:rsid w:val="00FB6F01"/>
    <w:rsid w:val="00FB7C16"/>
    <w:rsid w:val="00FC1B3B"/>
    <w:rsid w:val="00FC2AFA"/>
    <w:rsid w:val="00FC3071"/>
    <w:rsid w:val="00FC30E0"/>
    <w:rsid w:val="00FC3262"/>
    <w:rsid w:val="00FC3F1A"/>
    <w:rsid w:val="00FC508B"/>
    <w:rsid w:val="00FC5962"/>
    <w:rsid w:val="00FC716C"/>
    <w:rsid w:val="00FD26F9"/>
    <w:rsid w:val="00FD2C66"/>
    <w:rsid w:val="00FD300E"/>
    <w:rsid w:val="00FD3FC5"/>
    <w:rsid w:val="00FD51E7"/>
    <w:rsid w:val="00FD5D56"/>
    <w:rsid w:val="00FD6262"/>
    <w:rsid w:val="00FD78F0"/>
    <w:rsid w:val="00FD7BDA"/>
    <w:rsid w:val="00FD7F7F"/>
    <w:rsid w:val="00FE028B"/>
    <w:rsid w:val="00FE0C80"/>
    <w:rsid w:val="00FE2248"/>
    <w:rsid w:val="00FE2529"/>
    <w:rsid w:val="00FE2926"/>
    <w:rsid w:val="00FE2E7A"/>
    <w:rsid w:val="00FE336F"/>
    <w:rsid w:val="00FE35F1"/>
    <w:rsid w:val="00FE3DE9"/>
    <w:rsid w:val="00FF0D0E"/>
    <w:rsid w:val="00FF15FB"/>
    <w:rsid w:val="00FF1F7A"/>
    <w:rsid w:val="00FF346E"/>
    <w:rsid w:val="00FF3932"/>
    <w:rsid w:val="00FF3E10"/>
    <w:rsid w:val="00FF3FCA"/>
    <w:rsid w:val="00FF4F21"/>
    <w:rsid w:val="00FF6014"/>
    <w:rsid w:val="00FF6C8C"/>
    <w:rsid w:val="00FF6F3C"/>
    <w:rsid w:val="00FF70F5"/>
    <w:rsid w:val="00FF7AF9"/>
    <w:rsid w:val="5BE643A1"/>
  </w:rsids>
  <m:mathPr>
    <m:mathFont m:val="Cambria Math"/>
    <m:brkBin m:val="before"/>
    <m:brkBinSub m:val="--"/>
    <m:smallFrac m:val="0"/>
    <m:dispDef m:val="0"/>
    <m:lMargin m:val="0"/>
    <m:rMargin m:val="0"/>
    <m:defJc m:val="centerGroup"/>
    <m:wrapRight/>
    <m:intLim m:val="subSup"/>
    <m:naryLim m:val="subSup"/>
  </m:mathPr>
  <w:themeFontLang w:val="da-DK"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513F2659"/>
  <w15:docId w15:val="{4827F21C-D2A2-41DE-89BE-E65B4C2F6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da-DK" w:eastAsia="ja-JP"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2042D4"/>
    <w:pPr>
      <w:jc w:val="both"/>
    </w:pPr>
    <w:rPr>
      <w:rFonts w:ascii="Arial" w:hAnsi="Arial"/>
      <w:lang w:val="en-US"/>
    </w:rPr>
  </w:style>
  <w:style w:type="paragraph" w:styleId="berschrift1">
    <w:name w:val="heading 1"/>
    <w:basedOn w:val="Standard"/>
    <w:next w:val="Standard"/>
    <w:link w:val="berschrift1Zchn"/>
    <w:autoRedefine/>
    <w:uiPriority w:val="9"/>
    <w:qFormat/>
    <w:rsid w:val="004D1C39"/>
    <w:pPr>
      <w:keepNext/>
      <w:keepLines/>
      <w:numPr>
        <w:numId w:val="22"/>
      </w:numPr>
      <w:spacing w:before="240" w:after="240"/>
      <w:outlineLvl w:val="0"/>
    </w:pPr>
    <w:rPr>
      <w:rFonts w:eastAsiaTheme="majorEastAsia" w:cs="Arial"/>
      <w:b/>
      <w:color w:val="1F497D" w:themeColor="text2"/>
      <w:sz w:val="32"/>
      <w:szCs w:val="32"/>
    </w:rPr>
  </w:style>
  <w:style w:type="paragraph" w:styleId="berschrift2">
    <w:name w:val="heading 2"/>
    <w:basedOn w:val="Standard"/>
    <w:next w:val="Standard"/>
    <w:link w:val="berschrift2Zchn"/>
    <w:autoRedefine/>
    <w:uiPriority w:val="9"/>
    <w:unhideWhenUsed/>
    <w:qFormat/>
    <w:rsid w:val="0093488C"/>
    <w:pPr>
      <w:keepNext/>
      <w:keepLines/>
      <w:numPr>
        <w:ilvl w:val="2"/>
        <w:numId w:val="32"/>
      </w:numPr>
      <w:spacing w:before="240" w:after="240"/>
      <w:jc w:val="left"/>
      <w:outlineLvl w:val="1"/>
    </w:pPr>
    <w:rPr>
      <w:rFonts w:eastAsiaTheme="majorEastAsia" w:cs="Arial"/>
      <w:color w:val="1F497D" w:themeColor="text2"/>
      <w:sz w:val="26"/>
      <w:szCs w:val="26"/>
    </w:rPr>
  </w:style>
  <w:style w:type="paragraph" w:styleId="berschrift3">
    <w:name w:val="heading 3"/>
    <w:basedOn w:val="Standard"/>
    <w:next w:val="Standard"/>
    <w:link w:val="berschrift3Zchn"/>
    <w:autoRedefine/>
    <w:uiPriority w:val="9"/>
    <w:unhideWhenUsed/>
    <w:qFormat/>
    <w:rsid w:val="00284F45"/>
    <w:pPr>
      <w:keepNext/>
      <w:keepLines/>
      <w:numPr>
        <w:ilvl w:val="2"/>
        <w:numId w:val="1"/>
      </w:numPr>
      <w:spacing w:before="240" w:after="240"/>
      <w:outlineLvl w:val="2"/>
    </w:pPr>
    <w:rPr>
      <w:rFonts w:eastAsiaTheme="majorEastAsia" w:cs="Arial"/>
      <w:color w:val="243F60" w:themeColor="accent1" w:themeShade="7F"/>
    </w:rPr>
  </w:style>
  <w:style w:type="paragraph" w:styleId="berschrift4">
    <w:name w:val="heading 4"/>
    <w:basedOn w:val="Standard"/>
    <w:next w:val="Standard"/>
    <w:link w:val="berschrift4Zchn"/>
    <w:autoRedefine/>
    <w:uiPriority w:val="9"/>
    <w:unhideWhenUsed/>
    <w:qFormat/>
    <w:rsid w:val="00B819CA"/>
    <w:pPr>
      <w:keepNext/>
      <w:keepLines/>
      <w:numPr>
        <w:ilvl w:val="3"/>
        <w:numId w:val="1"/>
      </w:numPr>
      <w:spacing w:before="240" w:after="240"/>
      <w:outlineLvl w:val="3"/>
    </w:pPr>
    <w:rPr>
      <w:rFonts w:asciiTheme="majorHAnsi" w:eastAsiaTheme="majorEastAsia" w:hAnsiTheme="majorHAnsi" w:cstheme="majorBidi"/>
      <w:i/>
      <w:iCs/>
      <w:color w:val="365F91" w:themeColor="accent1" w:themeShade="BF"/>
    </w:rPr>
  </w:style>
  <w:style w:type="paragraph" w:styleId="berschrift5">
    <w:name w:val="heading 5"/>
    <w:basedOn w:val="Standard"/>
    <w:next w:val="Standard"/>
    <w:link w:val="berschrift5Zchn"/>
    <w:uiPriority w:val="9"/>
    <w:semiHidden/>
    <w:unhideWhenUsed/>
    <w:qFormat/>
    <w:rsid w:val="00B819CA"/>
    <w:pPr>
      <w:keepNext/>
      <w:keepLines/>
      <w:numPr>
        <w:ilvl w:val="4"/>
        <w:numId w:val="1"/>
      </w:numPr>
      <w:spacing w:before="40" w:after="0"/>
      <w:outlineLvl w:val="4"/>
    </w:pPr>
    <w:rPr>
      <w:rFonts w:asciiTheme="majorHAnsi" w:eastAsiaTheme="majorEastAsia" w:hAnsiTheme="majorHAnsi" w:cstheme="majorBidi"/>
      <w:color w:val="365F91" w:themeColor="accent1" w:themeShade="BF"/>
    </w:rPr>
  </w:style>
  <w:style w:type="paragraph" w:styleId="berschrift6">
    <w:name w:val="heading 6"/>
    <w:basedOn w:val="Standard"/>
    <w:next w:val="Standard"/>
    <w:link w:val="berschrift6Zchn"/>
    <w:uiPriority w:val="9"/>
    <w:semiHidden/>
    <w:unhideWhenUsed/>
    <w:qFormat/>
    <w:rsid w:val="00B819CA"/>
    <w:pPr>
      <w:keepNext/>
      <w:keepLines/>
      <w:numPr>
        <w:ilvl w:val="5"/>
        <w:numId w:val="1"/>
      </w:numPr>
      <w:spacing w:before="40" w:after="0"/>
      <w:outlineLvl w:val="5"/>
    </w:pPr>
    <w:rPr>
      <w:rFonts w:asciiTheme="majorHAnsi" w:eastAsiaTheme="majorEastAsia" w:hAnsiTheme="majorHAnsi" w:cstheme="majorBidi"/>
      <w:color w:val="243F60" w:themeColor="accent1" w:themeShade="7F"/>
    </w:rPr>
  </w:style>
  <w:style w:type="paragraph" w:styleId="berschrift7">
    <w:name w:val="heading 7"/>
    <w:basedOn w:val="Standard"/>
    <w:next w:val="Standard"/>
    <w:link w:val="berschrift7Zchn"/>
    <w:uiPriority w:val="9"/>
    <w:semiHidden/>
    <w:unhideWhenUsed/>
    <w:qFormat/>
    <w:rsid w:val="00B819CA"/>
    <w:pPr>
      <w:keepNext/>
      <w:keepLines/>
      <w:numPr>
        <w:ilvl w:val="6"/>
        <w:numId w:val="1"/>
      </w:numPr>
      <w:spacing w:before="40" w:after="0"/>
      <w:outlineLvl w:val="6"/>
    </w:pPr>
    <w:rPr>
      <w:rFonts w:asciiTheme="majorHAnsi" w:eastAsiaTheme="majorEastAsia" w:hAnsiTheme="majorHAnsi" w:cstheme="majorBidi"/>
      <w:i/>
      <w:iCs/>
      <w:color w:val="243F60" w:themeColor="accent1" w:themeShade="7F"/>
    </w:rPr>
  </w:style>
  <w:style w:type="paragraph" w:styleId="berschrift8">
    <w:name w:val="heading 8"/>
    <w:basedOn w:val="Standard"/>
    <w:next w:val="Standard"/>
    <w:link w:val="berschrift8Zchn"/>
    <w:uiPriority w:val="9"/>
    <w:semiHidden/>
    <w:unhideWhenUsed/>
    <w:qFormat/>
    <w:rsid w:val="00B819CA"/>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B819CA"/>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autoRedefine/>
    <w:uiPriority w:val="99"/>
    <w:qFormat/>
    <w:rsid w:val="00C97AB2"/>
    <w:pPr>
      <w:numPr>
        <w:numId w:val="4"/>
      </w:numPr>
      <w:spacing w:after="0"/>
      <w:contextualSpacing/>
    </w:pPr>
    <w:rPr>
      <w:color w:val="FF0000"/>
    </w:rPr>
  </w:style>
  <w:style w:type="character" w:customStyle="1" w:styleId="berschrift1Zchn">
    <w:name w:val="Überschrift 1 Zchn"/>
    <w:basedOn w:val="Absatz-Standardschriftart"/>
    <w:link w:val="berschrift1"/>
    <w:uiPriority w:val="9"/>
    <w:rsid w:val="004D1C39"/>
    <w:rPr>
      <w:rFonts w:ascii="Arial" w:eastAsiaTheme="majorEastAsia" w:hAnsi="Arial" w:cs="Arial"/>
      <w:b/>
      <w:color w:val="1F497D" w:themeColor="text2"/>
      <w:sz w:val="32"/>
      <w:szCs w:val="32"/>
      <w:lang w:val="en-US"/>
    </w:rPr>
  </w:style>
  <w:style w:type="character" w:customStyle="1" w:styleId="berschrift2Zchn">
    <w:name w:val="Überschrift 2 Zchn"/>
    <w:basedOn w:val="Absatz-Standardschriftart"/>
    <w:link w:val="berschrift2"/>
    <w:uiPriority w:val="9"/>
    <w:rsid w:val="0093488C"/>
    <w:rPr>
      <w:rFonts w:ascii="Arial" w:eastAsiaTheme="majorEastAsia" w:hAnsi="Arial" w:cs="Arial"/>
      <w:color w:val="1F497D" w:themeColor="text2"/>
      <w:sz w:val="26"/>
      <w:szCs w:val="26"/>
      <w:lang w:val="en-US"/>
    </w:rPr>
  </w:style>
  <w:style w:type="character" w:customStyle="1" w:styleId="berschrift3Zchn">
    <w:name w:val="Überschrift 3 Zchn"/>
    <w:basedOn w:val="Absatz-Standardschriftart"/>
    <w:link w:val="berschrift3"/>
    <w:uiPriority w:val="9"/>
    <w:rsid w:val="00284F45"/>
    <w:rPr>
      <w:rFonts w:ascii="Arial" w:eastAsiaTheme="majorEastAsia" w:hAnsi="Arial" w:cs="Arial"/>
      <w:color w:val="243F60" w:themeColor="accent1" w:themeShade="7F"/>
      <w:lang w:val="en-US"/>
    </w:rPr>
  </w:style>
  <w:style w:type="character" w:customStyle="1" w:styleId="berschrift4Zchn">
    <w:name w:val="Überschrift 4 Zchn"/>
    <w:basedOn w:val="Absatz-Standardschriftart"/>
    <w:link w:val="berschrift4"/>
    <w:uiPriority w:val="9"/>
    <w:rsid w:val="00B819CA"/>
    <w:rPr>
      <w:rFonts w:asciiTheme="majorHAnsi" w:eastAsiaTheme="majorEastAsia" w:hAnsiTheme="majorHAnsi" w:cstheme="majorBidi"/>
      <w:i/>
      <w:iCs/>
      <w:color w:val="365F91" w:themeColor="accent1" w:themeShade="BF"/>
      <w:lang w:val="en-US"/>
    </w:rPr>
  </w:style>
  <w:style w:type="character" w:customStyle="1" w:styleId="berschrift5Zchn">
    <w:name w:val="Überschrift 5 Zchn"/>
    <w:basedOn w:val="Absatz-Standardschriftart"/>
    <w:link w:val="berschrift5"/>
    <w:uiPriority w:val="9"/>
    <w:semiHidden/>
    <w:rsid w:val="00B819CA"/>
    <w:rPr>
      <w:rFonts w:asciiTheme="majorHAnsi" w:eastAsiaTheme="majorEastAsia" w:hAnsiTheme="majorHAnsi" w:cstheme="majorBidi"/>
      <w:color w:val="365F91" w:themeColor="accent1" w:themeShade="BF"/>
      <w:lang w:val="en-US"/>
    </w:rPr>
  </w:style>
  <w:style w:type="character" w:customStyle="1" w:styleId="berschrift6Zchn">
    <w:name w:val="Überschrift 6 Zchn"/>
    <w:basedOn w:val="Absatz-Standardschriftart"/>
    <w:link w:val="berschrift6"/>
    <w:uiPriority w:val="9"/>
    <w:semiHidden/>
    <w:rsid w:val="00B819CA"/>
    <w:rPr>
      <w:rFonts w:asciiTheme="majorHAnsi" w:eastAsiaTheme="majorEastAsia" w:hAnsiTheme="majorHAnsi" w:cstheme="majorBidi"/>
      <w:color w:val="243F60" w:themeColor="accent1" w:themeShade="7F"/>
      <w:lang w:val="en-US"/>
    </w:rPr>
  </w:style>
  <w:style w:type="character" w:customStyle="1" w:styleId="berschrift7Zchn">
    <w:name w:val="Überschrift 7 Zchn"/>
    <w:basedOn w:val="Absatz-Standardschriftart"/>
    <w:link w:val="berschrift7"/>
    <w:uiPriority w:val="9"/>
    <w:semiHidden/>
    <w:rsid w:val="00B819CA"/>
    <w:rPr>
      <w:rFonts w:asciiTheme="majorHAnsi" w:eastAsiaTheme="majorEastAsia" w:hAnsiTheme="majorHAnsi" w:cstheme="majorBidi"/>
      <w:i/>
      <w:iCs/>
      <w:color w:val="243F60" w:themeColor="accent1" w:themeShade="7F"/>
      <w:lang w:val="en-US"/>
    </w:rPr>
  </w:style>
  <w:style w:type="character" w:customStyle="1" w:styleId="berschrift8Zchn">
    <w:name w:val="Überschrift 8 Zchn"/>
    <w:basedOn w:val="Absatz-Standardschriftart"/>
    <w:link w:val="berschrift8"/>
    <w:uiPriority w:val="9"/>
    <w:semiHidden/>
    <w:rsid w:val="00B819CA"/>
    <w:rPr>
      <w:rFonts w:asciiTheme="majorHAnsi" w:eastAsiaTheme="majorEastAsia" w:hAnsiTheme="majorHAnsi" w:cstheme="majorBidi"/>
      <w:color w:val="272727" w:themeColor="text1" w:themeTint="D8"/>
      <w:sz w:val="21"/>
      <w:szCs w:val="21"/>
      <w:lang w:val="en-US"/>
    </w:rPr>
  </w:style>
  <w:style w:type="character" w:customStyle="1" w:styleId="berschrift9Zchn">
    <w:name w:val="Überschrift 9 Zchn"/>
    <w:basedOn w:val="Absatz-Standardschriftart"/>
    <w:link w:val="berschrift9"/>
    <w:uiPriority w:val="9"/>
    <w:semiHidden/>
    <w:rsid w:val="00B819CA"/>
    <w:rPr>
      <w:rFonts w:asciiTheme="majorHAnsi" w:eastAsiaTheme="majorEastAsia" w:hAnsiTheme="majorHAnsi" w:cstheme="majorBidi"/>
      <w:i/>
      <w:iCs/>
      <w:color w:val="272727" w:themeColor="text1" w:themeTint="D8"/>
      <w:sz w:val="21"/>
      <w:szCs w:val="21"/>
      <w:lang w:val="en-US"/>
    </w:rPr>
  </w:style>
  <w:style w:type="character" w:customStyle="1" w:styleId="shorttext">
    <w:name w:val="short_text"/>
    <w:basedOn w:val="Absatz-Standardschriftart"/>
    <w:rsid w:val="00B819CA"/>
  </w:style>
  <w:style w:type="character" w:styleId="Kommentarzeichen">
    <w:name w:val="annotation reference"/>
    <w:basedOn w:val="Absatz-Standardschriftart"/>
    <w:uiPriority w:val="99"/>
    <w:semiHidden/>
    <w:unhideWhenUsed/>
    <w:rsid w:val="00B819CA"/>
    <w:rPr>
      <w:sz w:val="18"/>
      <w:szCs w:val="18"/>
    </w:rPr>
  </w:style>
  <w:style w:type="paragraph" w:styleId="Kommentartext">
    <w:name w:val="annotation text"/>
    <w:basedOn w:val="Standard"/>
    <w:link w:val="KommentartextZchn"/>
    <w:uiPriority w:val="99"/>
    <w:unhideWhenUsed/>
    <w:rsid w:val="00B819CA"/>
  </w:style>
  <w:style w:type="character" w:customStyle="1" w:styleId="KommentartextZchn">
    <w:name w:val="Kommentartext Zchn"/>
    <w:basedOn w:val="Absatz-Standardschriftart"/>
    <w:link w:val="Kommentartext"/>
    <w:uiPriority w:val="99"/>
    <w:rsid w:val="00B819CA"/>
    <w:rPr>
      <w:sz w:val="24"/>
      <w:szCs w:val="24"/>
    </w:rPr>
  </w:style>
  <w:style w:type="paragraph" w:styleId="Kommentarthema">
    <w:name w:val="annotation subject"/>
    <w:basedOn w:val="Kommentartext"/>
    <w:next w:val="Kommentartext"/>
    <w:link w:val="KommentarthemaZchn"/>
    <w:uiPriority w:val="99"/>
    <w:semiHidden/>
    <w:unhideWhenUsed/>
    <w:rsid w:val="00B819CA"/>
    <w:rPr>
      <w:b/>
      <w:bCs/>
      <w:sz w:val="20"/>
      <w:szCs w:val="20"/>
    </w:rPr>
  </w:style>
  <w:style w:type="character" w:customStyle="1" w:styleId="KommentarthemaZchn">
    <w:name w:val="Kommentarthema Zchn"/>
    <w:basedOn w:val="KommentartextZchn"/>
    <w:link w:val="Kommentarthema"/>
    <w:uiPriority w:val="99"/>
    <w:semiHidden/>
    <w:rsid w:val="00B819CA"/>
    <w:rPr>
      <w:b/>
      <w:bCs/>
      <w:sz w:val="24"/>
      <w:szCs w:val="24"/>
    </w:rPr>
  </w:style>
  <w:style w:type="paragraph" w:styleId="Sprechblasentext">
    <w:name w:val="Balloon Text"/>
    <w:basedOn w:val="Standard"/>
    <w:link w:val="SprechblasentextZchn"/>
    <w:uiPriority w:val="99"/>
    <w:semiHidden/>
    <w:unhideWhenUsed/>
    <w:rsid w:val="00B819CA"/>
    <w:pPr>
      <w:spacing w:after="0"/>
    </w:pPr>
    <w:rPr>
      <w:rFonts w:ascii="Times New Roman" w:hAnsi="Times New Roman" w:cs="Times New Roman"/>
      <w:sz w:val="18"/>
      <w:szCs w:val="18"/>
    </w:rPr>
  </w:style>
  <w:style w:type="character" w:customStyle="1" w:styleId="SprechblasentextZchn">
    <w:name w:val="Sprechblasentext Zchn"/>
    <w:basedOn w:val="Absatz-Standardschriftart"/>
    <w:link w:val="Sprechblasentext"/>
    <w:uiPriority w:val="99"/>
    <w:semiHidden/>
    <w:rsid w:val="00B819CA"/>
    <w:rPr>
      <w:rFonts w:ascii="Times New Roman" w:hAnsi="Times New Roman" w:cs="Times New Roman"/>
      <w:sz w:val="18"/>
      <w:szCs w:val="18"/>
    </w:rPr>
  </w:style>
  <w:style w:type="table" w:styleId="Tabellenraster">
    <w:name w:val="Table Grid"/>
    <w:basedOn w:val="NormaleTabelle"/>
    <w:uiPriority w:val="59"/>
    <w:rsid w:val="00B819CA"/>
    <w:pPr>
      <w:spacing w:after="0"/>
    </w:pPr>
    <w:rPr>
      <w:rFonts w:eastAsiaTheme="minorHAns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
    <w:name w:val="EndNote Bibliography"/>
    <w:basedOn w:val="Standard"/>
    <w:link w:val="EndNoteBibliographyZchn"/>
    <w:rsid w:val="00B819CA"/>
    <w:rPr>
      <w:rFonts w:ascii="Calibri" w:eastAsiaTheme="minorHAnsi" w:hAnsi="Calibri"/>
      <w:noProof/>
      <w:sz w:val="22"/>
      <w:szCs w:val="22"/>
      <w:lang w:eastAsia="en-US"/>
    </w:rPr>
  </w:style>
  <w:style w:type="character" w:customStyle="1" w:styleId="EndNoteBibliographyZchn">
    <w:name w:val="EndNote Bibliography Zchn"/>
    <w:basedOn w:val="Absatz-Standardschriftart"/>
    <w:link w:val="EndNoteBibliography"/>
    <w:rsid w:val="00B819CA"/>
    <w:rPr>
      <w:rFonts w:ascii="Calibri" w:eastAsiaTheme="minorHAnsi" w:hAnsi="Calibri"/>
      <w:noProof/>
      <w:sz w:val="22"/>
      <w:szCs w:val="22"/>
      <w:lang w:val="en-US" w:eastAsia="en-US"/>
    </w:rPr>
  </w:style>
  <w:style w:type="paragraph" w:styleId="Inhaltsverzeichnisberschrift">
    <w:name w:val="TOC Heading"/>
    <w:basedOn w:val="berschrift1"/>
    <w:next w:val="Standard"/>
    <w:uiPriority w:val="39"/>
    <w:unhideWhenUsed/>
    <w:qFormat/>
    <w:rsid w:val="00B819CA"/>
    <w:pPr>
      <w:spacing w:before="480" w:line="276" w:lineRule="auto"/>
      <w:outlineLvl w:val="9"/>
    </w:pPr>
    <w:rPr>
      <w:b w:val="0"/>
      <w:bCs/>
      <w:sz w:val="28"/>
      <w:szCs w:val="28"/>
      <w:lang w:eastAsia="en-US"/>
    </w:rPr>
  </w:style>
  <w:style w:type="paragraph" w:styleId="Verzeichnis1">
    <w:name w:val="toc 1"/>
    <w:basedOn w:val="Standard"/>
    <w:next w:val="Standard"/>
    <w:autoRedefine/>
    <w:uiPriority w:val="39"/>
    <w:unhideWhenUsed/>
    <w:rsid w:val="00B819CA"/>
    <w:pPr>
      <w:spacing w:before="120" w:after="0"/>
    </w:pPr>
    <w:rPr>
      <w:b/>
    </w:rPr>
  </w:style>
  <w:style w:type="paragraph" w:styleId="Verzeichnis2">
    <w:name w:val="toc 2"/>
    <w:basedOn w:val="Standard"/>
    <w:next w:val="Standard"/>
    <w:autoRedefine/>
    <w:uiPriority w:val="39"/>
    <w:unhideWhenUsed/>
    <w:rsid w:val="00B819CA"/>
    <w:pPr>
      <w:spacing w:after="0"/>
      <w:ind w:left="240"/>
    </w:pPr>
    <w:rPr>
      <w:b/>
      <w:sz w:val="22"/>
      <w:szCs w:val="22"/>
    </w:rPr>
  </w:style>
  <w:style w:type="paragraph" w:styleId="Verzeichnis3">
    <w:name w:val="toc 3"/>
    <w:basedOn w:val="Standard"/>
    <w:next w:val="Standard"/>
    <w:autoRedefine/>
    <w:uiPriority w:val="39"/>
    <w:unhideWhenUsed/>
    <w:rsid w:val="00B819CA"/>
    <w:pPr>
      <w:spacing w:after="0"/>
      <w:ind w:left="480"/>
    </w:pPr>
    <w:rPr>
      <w:sz w:val="22"/>
      <w:szCs w:val="22"/>
    </w:rPr>
  </w:style>
  <w:style w:type="paragraph" w:styleId="Verzeichnis4">
    <w:name w:val="toc 4"/>
    <w:basedOn w:val="Standard"/>
    <w:next w:val="Standard"/>
    <w:autoRedefine/>
    <w:uiPriority w:val="39"/>
    <w:semiHidden/>
    <w:unhideWhenUsed/>
    <w:rsid w:val="00B819CA"/>
    <w:pPr>
      <w:spacing w:after="0"/>
      <w:ind w:left="720"/>
    </w:pPr>
    <w:rPr>
      <w:sz w:val="20"/>
      <w:szCs w:val="20"/>
    </w:rPr>
  </w:style>
  <w:style w:type="paragraph" w:styleId="Verzeichnis5">
    <w:name w:val="toc 5"/>
    <w:basedOn w:val="Standard"/>
    <w:next w:val="Standard"/>
    <w:autoRedefine/>
    <w:uiPriority w:val="39"/>
    <w:semiHidden/>
    <w:unhideWhenUsed/>
    <w:rsid w:val="00B819CA"/>
    <w:pPr>
      <w:spacing w:after="0"/>
      <w:ind w:left="960"/>
    </w:pPr>
    <w:rPr>
      <w:sz w:val="20"/>
      <w:szCs w:val="20"/>
    </w:rPr>
  </w:style>
  <w:style w:type="paragraph" w:styleId="Verzeichnis6">
    <w:name w:val="toc 6"/>
    <w:basedOn w:val="Standard"/>
    <w:next w:val="Standard"/>
    <w:autoRedefine/>
    <w:uiPriority w:val="39"/>
    <w:semiHidden/>
    <w:unhideWhenUsed/>
    <w:rsid w:val="00B819CA"/>
    <w:pPr>
      <w:spacing w:after="0"/>
      <w:ind w:left="1200"/>
    </w:pPr>
    <w:rPr>
      <w:sz w:val="20"/>
      <w:szCs w:val="20"/>
    </w:rPr>
  </w:style>
  <w:style w:type="paragraph" w:styleId="Verzeichnis7">
    <w:name w:val="toc 7"/>
    <w:basedOn w:val="Standard"/>
    <w:next w:val="Standard"/>
    <w:autoRedefine/>
    <w:uiPriority w:val="39"/>
    <w:semiHidden/>
    <w:unhideWhenUsed/>
    <w:rsid w:val="00B819CA"/>
    <w:pPr>
      <w:spacing w:after="0"/>
      <w:ind w:left="1440"/>
    </w:pPr>
    <w:rPr>
      <w:sz w:val="20"/>
      <w:szCs w:val="20"/>
    </w:rPr>
  </w:style>
  <w:style w:type="paragraph" w:styleId="Verzeichnis8">
    <w:name w:val="toc 8"/>
    <w:basedOn w:val="Standard"/>
    <w:next w:val="Standard"/>
    <w:autoRedefine/>
    <w:uiPriority w:val="39"/>
    <w:semiHidden/>
    <w:unhideWhenUsed/>
    <w:rsid w:val="00B819CA"/>
    <w:pPr>
      <w:spacing w:after="0"/>
      <w:ind w:left="1680"/>
    </w:pPr>
    <w:rPr>
      <w:sz w:val="20"/>
      <w:szCs w:val="20"/>
    </w:rPr>
  </w:style>
  <w:style w:type="paragraph" w:styleId="Verzeichnis9">
    <w:name w:val="toc 9"/>
    <w:basedOn w:val="Standard"/>
    <w:next w:val="Standard"/>
    <w:autoRedefine/>
    <w:uiPriority w:val="39"/>
    <w:semiHidden/>
    <w:unhideWhenUsed/>
    <w:rsid w:val="00B819CA"/>
    <w:pPr>
      <w:spacing w:after="0"/>
      <w:ind w:left="1920"/>
    </w:pPr>
    <w:rPr>
      <w:sz w:val="20"/>
      <w:szCs w:val="20"/>
    </w:rPr>
  </w:style>
  <w:style w:type="character" w:styleId="Hyperlink">
    <w:name w:val="Hyperlink"/>
    <w:basedOn w:val="Absatz-Standardschriftart"/>
    <w:uiPriority w:val="99"/>
    <w:unhideWhenUsed/>
    <w:rsid w:val="00B819CA"/>
    <w:rPr>
      <w:color w:val="0000FF" w:themeColor="hyperlink"/>
      <w:u w:val="single"/>
    </w:rPr>
  </w:style>
  <w:style w:type="numbering" w:styleId="1ai">
    <w:name w:val="Outline List 1"/>
    <w:basedOn w:val="KeineListe"/>
    <w:uiPriority w:val="99"/>
    <w:semiHidden/>
    <w:unhideWhenUsed/>
    <w:rsid w:val="00B819CA"/>
    <w:pPr>
      <w:numPr>
        <w:numId w:val="2"/>
      </w:numPr>
    </w:pPr>
  </w:style>
  <w:style w:type="paragraph" w:customStyle="1" w:styleId="C-BodyText">
    <w:name w:val="C-Body Text"/>
    <w:link w:val="C-BodyTextChar"/>
    <w:rsid w:val="00B819CA"/>
    <w:pPr>
      <w:spacing w:before="120" w:after="120" w:line="280" w:lineRule="atLeast"/>
    </w:pPr>
    <w:rPr>
      <w:rFonts w:ascii="Times New Roman" w:eastAsia="Times New Roman" w:hAnsi="Times New Roman" w:cs="Times New Roman"/>
      <w:szCs w:val="20"/>
      <w:lang w:val="de-DE" w:eastAsia="de-DE"/>
    </w:rPr>
  </w:style>
  <w:style w:type="character" w:customStyle="1" w:styleId="C-BodyTextChar">
    <w:name w:val="C-Body Text Char"/>
    <w:link w:val="C-BodyText"/>
    <w:rsid w:val="00B819CA"/>
    <w:rPr>
      <w:rFonts w:ascii="Times New Roman" w:eastAsia="Times New Roman" w:hAnsi="Times New Roman" w:cs="Times New Roman"/>
      <w:szCs w:val="20"/>
      <w:lang w:val="de-DE" w:eastAsia="de-DE"/>
    </w:rPr>
  </w:style>
  <w:style w:type="paragraph" w:styleId="StandardWeb">
    <w:name w:val="Normal (Web)"/>
    <w:basedOn w:val="Standard"/>
    <w:uiPriority w:val="99"/>
    <w:semiHidden/>
    <w:unhideWhenUsed/>
    <w:rsid w:val="00B819CA"/>
    <w:rPr>
      <w:rFonts w:ascii="Times New Roman" w:hAnsi="Times New Roman" w:cs="Times New Roman"/>
    </w:rPr>
  </w:style>
  <w:style w:type="paragraph" w:styleId="berarbeitung">
    <w:name w:val="Revision"/>
    <w:hidden/>
    <w:uiPriority w:val="99"/>
    <w:semiHidden/>
    <w:rsid w:val="00B819CA"/>
    <w:pPr>
      <w:spacing w:after="0"/>
    </w:pPr>
    <w:rPr>
      <w:rFonts w:ascii="Arial" w:hAnsi="Arial"/>
      <w:lang w:val="en-US"/>
    </w:rPr>
  </w:style>
  <w:style w:type="character" w:customStyle="1" w:styleId="citationref">
    <w:name w:val="citationref"/>
    <w:basedOn w:val="Absatz-Standardschriftart"/>
    <w:rsid w:val="00363710"/>
  </w:style>
  <w:style w:type="paragraph" w:styleId="Kopfzeile">
    <w:name w:val="header"/>
    <w:basedOn w:val="Standard"/>
    <w:link w:val="KopfzeileZchn"/>
    <w:uiPriority w:val="99"/>
    <w:unhideWhenUsed/>
    <w:rsid w:val="004343FB"/>
    <w:pPr>
      <w:tabs>
        <w:tab w:val="center" w:pos="4153"/>
        <w:tab w:val="right" w:pos="8306"/>
      </w:tabs>
      <w:spacing w:after="0"/>
    </w:pPr>
  </w:style>
  <w:style w:type="character" w:customStyle="1" w:styleId="KopfzeileZchn">
    <w:name w:val="Kopfzeile Zchn"/>
    <w:basedOn w:val="Absatz-Standardschriftart"/>
    <w:link w:val="Kopfzeile"/>
    <w:uiPriority w:val="99"/>
    <w:rsid w:val="004343FB"/>
    <w:rPr>
      <w:rFonts w:ascii="Arial" w:hAnsi="Arial"/>
      <w:lang w:val="en-US"/>
    </w:rPr>
  </w:style>
  <w:style w:type="paragraph" w:styleId="Fuzeile">
    <w:name w:val="footer"/>
    <w:basedOn w:val="Standard"/>
    <w:link w:val="FuzeileZchn"/>
    <w:uiPriority w:val="99"/>
    <w:unhideWhenUsed/>
    <w:rsid w:val="004343FB"/>
    <w:pPr>
      <w:tabs>
        <w:tab w:val="center" w:pos="4153"/>
        <w:tab w:val="right" w:pos="8306"/>
      </w:tabs>
      <w:spacing w:after="0"/>
    </w:pPr>
  </w:style>
  <w:style w:type="character" w:customStyle="1" w:styleId="FuzeileZchn">
    <w:name w:val="Fußzeile Zchn"/>
    <w:basedOn w:val="Absatz-Standardschriftart"/>
    <w:link w:val="Fuzeile"/>
    <w:uiPriority w:val="99"/>
    <w:rsid w:val="004343FB"/>
    <w:rPr>
      <w:rFonts w:ascii="Arial" w:hAnsi="Arial"/>
      <w:lang w:val="en-US"/>
    </w:rPr>
  </w:style>
  <w:style w:type="character" w:styleId="BesuchterLink">
    <w:name w:val="FollowedHyperlink"/>
    <w:basedOn w:val="Absatz-Standardschriftart"/>
    <w:uiPriority w:val="99"/>
    <w:semiHidden/>
    <w:unhideWhenUsed/>
    <w:rsid w:val="00DA0051"/>
    <w:rPr>
      <w:color w:val="800080" w:themeColor="followedHyperlink"/>
      <w:u w:val="single"/>
    </w:rPr>
  </w:style>
  <w:style w:type="character" w:styleId="Seitenzahl">
    <w:name w:val="page number"/>
    <w:basedOn w:val="Absatz-Standardschriftart"/>
    <w:uiPriority w:val="99"/>
    <w:semiHidden/>
    <w:unhideWhenUsed/>
    <w:rsid w:val="00BE7D9C"/>
  </w:style>
  <w:style w:type="paragraph" w:customStyle="1" w:styleId="Default">
    <w:name w:val="Default"/>
    <w:rsid w:val="00752E5E"/>
    <w:pPr>
      <w:pBdr>
        <w:top w:val="nil"/>
        <w:left w:val="nil"/>
        <w:bottom w:val="nil"/>
        <w:right w:val="nil"/>
        <w:between w:val="nil"/>
        <w:bar w:val="nil"/>
      </w:pBdr>
      <w:spacing w:after="0"/>
    </w:pPr>
    <w:rPr>
      <w:rFonts w:ascii="Helvetica Neue" w:eastAsia="Arial Unicode MS" w:hAnsi="Helvetica Neue" w:cs="Arial Unicode MS"/>
      <w:color w:val="000000"/>
      <w:sz w:val="22"/>
      <w:szCs w:val="22"/>
      <w:bdr w:val="nil"/>
      <w:lang w:eastAsia="en-US"/>
    </w:rPr>
  </w:style>
  <w:style w:type="paragraph" w:styleId="NurText">
    <w:name w:val="Plain Text"/>
    <w:basedOn w:val="Standard"/>
    <w:link w:val="NurTextZchn"/>
    <w:uiPriority w:val="99"/>
    <w:unhideWhenUsed/>
    <w:rsid w:val="00334EE4"/>
    <w:pPr>
      <w:spacing w:after="0"/>
      <w:jc w:val="left"/>
    </w:pPr>
    <w:rPr>
      <w:rFonts w:ascii="Courier" w:hAnsi="Courier"/>
      <w:sz w:val="21"/>
      <w:szCs w:val="21"/>
      <w:lang w:eastAsia="en-US"/>
    </w:rPr>
  </w:style>
  <w:style w:type="character" w:customStyle="1" w:styleId="NurTextZchn">
    <w:name w:val="Nur Text Zchn"/>
    <w:basedOn w:val="Absatz-Standardschriftart"/>
    <w:link w:val="NurText"/>
    <w:uiPriority w:val="99"/>
    <w:rsid w:val="00334EE4"/>
    <w:rPr>
      <w:rFonts w:ascii="Courier" w:hAnsi="Courier"/>
      <w:sz w:val="21"/>
      <w:szCs w:val="21"/>
      <w:lang w:val="en-US" w:eastAsia="en-US"/>
    </w:rPr>
  </w:style>
  <w:style w:type="character" w:styleId="Funotenzeichen">
    <w:name w:val="footnote reference"/>
    <w:basedOn w:val="Absatz-Standardschriftart"/>
    <w:uiPriority w:val="99"/>
    <w:semiHidden/>
    <w:unhideWhenUsed/>
    <w:rsid w:val="00334EE4"/>
    <w:rPr>
      <w:vertAlign w:val="superscript"/>
    </w:rPr>
  </w:style>
  <w:style w:type="paragraph" w:customStyle="1" w:styleId="Body">
    <w:name w:val="Body"/>
    <w:rsid w:val="006B1D4C"/>
    <w:pPr>
      <w:pBdr>
        <w:top w:val="nil"/>
        <w:left w:val="nil"/>
        <w:bottom w:val="nil"/>
        <w:right w:val="nil"/>
        <w:between w:val="nil"/>
        <w:bar w:val="nil"/>
      </w:pBdr>
      <w:spacing w:after="0"/>
    </w:pPr>
    <w:rPr>
      <w:rFonts w:ascii="Helvetica Neue" w:eastAsia="Arial Unicode MS" w:hAnsi="Helvetica Neue" w:cs="Arial Unicode MS"/>
      <w:color w:val="000000"/>
      <w:sz w:val="22"/>
      <w:szCs w:val="22"/>
      <w:bdr w:val="nil"/>
      <w:lang w:val="en-US" w:eastAsia="en-US"/>
    </w:rPr>
  </w:style>
  <w:style w:type="character" w:styleId="Platzhaltertext">
    <w:name w:val="Placeholder Text"/>
    <w:basedOn w:val="Absatz-Standardschriftart"/>
    <w:uiPriority w:val="99"/>
    <w:semiHidden/>
    <w:rsid w:val="00E864EA"/>
    <w:rPr>
      <w:color w:val="808080"/>
    </w:rPr>
  </w:style>
  <w:style w:type="paragraph" w:customStyle="1" w:styleId="p1">
    <w:name w:val="p1"/>
    <w:basedOn w:val="Standard"/>
    <w:rsid w:val="002346C1"/>
    <w:pPr>
      <w:spacing w:after="0"/>
      <w:jc w:val="left"/>
    </w:pPr>
    <w:rPr>
      <w:rFonts w:ascii="Times" w:hAnsi="Times" w:cs="Times New Roman"/>
      <w:sz w:val="18"/>
      <w:szCs w:val="18"/>
      <w:lang w:val="da-DK" w:eastAsia="da-DK"/>
    </w:rPr>
  </w:style>
  <w:style w:type="character" w:customStyle="1" w:styleId="highlight">
    <w:name w:val="highlight"/>
    <w:basedOn w:val="Absatz-Standardschriftart"/>
    <w:rsid w:val="00EA01E5"/>
  </w:style>
  <w:style w:type="character" w:customStyle="1" w:styleId="jrnl">
    <w:name w:val="jrnl"/>
    <w:basedOn w:val="Absatz-Standardschriftart"/>
    <w:rsid w:val="00114404"/>
  </w:style>
  <w:style w:type="paragraph" w:customStyle="1" w:styleId="Titre1">
    <w:name w:val="Titre1"/>
    <w:basedOn w:val="Standard"/>
    <w:rsid w:val="00047B5A"/>
    <w:pPr>
      <w:spacing w:before="100" w:beforeAutospacing="1" w:after="100" w:afterAutospacing="1"/>
      <w:jc w:val="left"/>
    </w:pPr>
    <w:rPr>
      <w:rFonts w:ascii="Times New Roman" w:eastAsia="Times New Roman" w:hAnsi="Times New Roman" w:cs="Times New Roman"/>
      <w:lang w:val="fr-CH" w:eastAsia="fr-CH"/>
    </w:rPr>
  </w:style>
  <w:style w:type="paragraph" w:customStyle="1" w:styleId="desc">
    <w:name w:val="desc"/>
    <w:basedOn w:val="Standard"/>
    <w:rsid w:val="00047B5A"/>
    <w:pPr>
      <w:spacing w:before="100" w:beforeAutospacing="1" w:after="100" w:afterAutospacing="1"/>
      <w:jc w:val="left"/>
    </w:pPr>
    <w:rPr>
      <w:rFonts w:ascii="Times New Roman" w:eastAsia="Times New Roman" w:hAnsi="Times New Roman" w:cs="Times New Roman"/>
      <w:lang w:val="fr-CH" w:eastAsia="fr-CH"/>
    </w:rPr>
  </w:style>
  <w:style w:type="paragraph" w:customStyle="1" w:styleId="details">
    <w:name w:val="details"/>
    <w:basedOn w:val="Standard"/>
    <w:rsid w:val="00047B5A"/>
    <w:pPr>
      <w:spacing w:before="100" w:beforeAutospacing="1" w:after="100" w:afterAutospacing="1"/>
      <w:jc w:val="left"/>
    </w:pPr>
    <w:rPr>
      <w:rFonts w:ascii="Times New Roman" w:eastAsia="Times New Roman" w:hAnsi="Times New Roman" w:cs="Times New Roman"/>
      <w:lang w:val="fr-CH" w:eastAsia="fr-CH"/>
    </w:rPr>
  </w:style>
  <w:style w:type="paragraph" w:customStyle="1" w:styleId="p2">
    <w:name w:val="p2"/>
    <w:basedOn w:val="Standard"/>
    <w:rsid w:val="001026E0"/>
    <w:pPr>
      <w:spacing w:after="0"/>
      <w:jc w:val="left"/>
    </w:pPr>
    <w:rPr>
      <w:rFonts w:eastAsia="Times New Roman" w:cs="Arial"/>
      <w:sz w:val="21"/>
      <w:szCs w:val="21"/>
      <w:lang w:eastAsia="en-US"/>
    </w:rPr>
  </w:style>
  <w:style w:type="character" w:customStyle="1" w:styleId="s1">
    <w:name w:val="s1"/>
    <w:rsid w:val="001026E0"/>
    <w:rPr>
      <w:u w:val="single"/>
      <w:shd w:val="clear" w:color="auto" w:fill="FFFFFF"/>
    </w:rPr>
  </w:style>
  <w:style w:type="character" w:customStyle="1" w:styleId="s3">
    <w:name w:val="s3"/>
    <w:rsid w:val="001026E0"/>
    <w:rPr>
      <w:shd w:val="clear" w:color="auto" w:fill="FFFFFF"/>
    </w:rPr>
  </w:style>
  <w:style w:type="character" w:customStyle="1" w:styleId="s4">
    <w:name w:val="s4"/>
    <w:rsid w:val="001026E0"/>
  </w:style>
  <w:style w:type="character" w:customStyle="1" w:styleId="term-highlight">
    <w:name w:val="term-highlight"/>
    <w:basedOn w:val="Absatz-Standardschriftart"/>
    <w:rsid w:val="0008593F"/>
  </w:style>
  <w:style w:type="character" w:styleId="Hervorhebung">
    <w:name w:val="Emphasis"/>
    <w:basedOn w:val="Absatz-Standardschriftart"/>
    <w:uiPriority w:val="20"/>
    <w:qFormat/>
    <w:rsid w:val="0091307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13669">
      <w:bodyDiv w:val="1"/>
      <w:marLeft w:val="0"/>
      <w:marRight w:val="0"/>
      <w:marTop w:val="0"/>
      <w:marBottom w:val="0"/>
      <w:divBdr>
        <w:top w:val="none" w:sz="0" w:space="0" w:color="auto"/>
        <w:left w:val="none" w:sz="0" w:space="0" w:color="auto"/>
        <w:bottom w:val="none" w:sz="0" w:space="0" w:color="auto"/>
        <w:right w:val="none" w:sz="0" w:space="0" w:color="auto"/>
      </w:divBdr>
    </w:div>
    <w:div w:id="38676715">
      <w:bodyDiv w:val="1"/>
      <w:marLeft w:val="0"/>
      <w:marRight w:val="0"/>
      <w:marTop w:val="0"/>
      <w:marBottom w:val="0"/>
      <w:divBdr>
        <w:top w:val="none" w:sz="0" w:space="0" w:color="auto"/>
        <w:left w:val="none" w:sz="0" w:space="0" w:color="auto"/>
        <w:bottom w:val="none" w:sz="0" w:space="0" w:color="auto"/>
        <w:right w:val="none" w:sz="0" w:space="0" w:color="auto"/>
      </w:divBdr>
    </w:div>
    <w:div w:id="45221737">
      <w:bodyDiv w:val="1"/>
      <w:marLeft w:val="0"/>
      <w:marRight w:val="0"/>
      <w:marTop w:val="0"/>
      <w:marBottom w:val="0"/>
      <w:divBdr>
        <w:top w:val="none" w:sz="0" w:space="0" w:color="auto"/>
        <w:left w:val="none" w:sz="0" w:space="0" w:color="auto"/>
        <w:bottom w:val="none" w:sz="0" w:space="0" w:color="auto"/>
        <w:right w:val="none" w:sz="0" w:space="0" w:color="auto"/>
      </w:divBdr>
    </w:div>
    <w:div w:id="56637400">
      <w:bodyDiv w:val="1"/>
      <w:marLeft w:val="0"/>
      <w:marRight w:val="0"/>
      <w:marTop w:val="0"/>
      <w:marBottom w:val="0"/>
      <w:divBdr>
        <w:top w:val="none" w:sz="0" w:space="0" w:color="auto"/>
        <w:left w:val="none" w:sz="0" w:space="0" w:color="auto"/>
        <w:bottom w:val="none" w:sz="0" w:space="0" w:color="auto"/>
        <w:right w:val="none" w:sz="0" w:space="0" w:color="auto"/>
      </w:divBdr>
    </w:div>
    <w:div w:id="82260989">
      <w:bodyDiv w:val="1"/>
      <w:marLeft w:val="0"/>
      <w:marRight w:val="0"/>
      <w:marTop w:val="0"/>
      <w:marBottom w:val="0"/>
      <w:divBdr>
        <w:top w:val="none" w:sz="0" w:space="0" w:color="auto"/>
        <w:left w:val="none" w:sz="0" w:space="0" w:color="auto"/>
        <w:bottom w:val="none" w:sz="0" w:space="0" w:color="auto"/>
        <w:right w:val="none" w:sz="0" w:space="0" w:color="auto"/>
      </w:divBdr>
    </w:div>
    <w:div w:id="88888877">
      <w:bodyDiv w:val="1"/>
      <w:marLeft w:val="0"/>
      <w:marRight w:val="0"/>
      <w:marTop w:val="0"/>
      <w:marBottom w:val="0"/>
      <w:divBdr>
        <w:top w:val="none" w:sz="0" w:space="0" w:color="auto"/>
        <w:left w:val="none" w:sz="0" w:space="0" w:color="auto"/>
        <w:bottom w:val="none" w:sz="0" w:space="0" w:color="auto"/>
        <w:right w:val="none" w:sz="0" w:space="0" w:color="auto"/>
      </w:divBdr>
    </w:div>
    <w:div w:id="110244773">
      <w:bodyDiv w:val="1"/>
      <w:marLeft w:val="0"/>
      <w:marRight w:val="0"/>
      <w:marTop w:val="0"/>
      <w:marBottom w:val="0"/>
      <w:divBdr>
        <w:top w:val="none" w:sz="0" w:space="0" w:color="auto"/>
        <w:left w:val="none" w:sz="0" w:space="0" w:color="auto"/>
        <w:bottom w:val="none" w:sz="0" w:space="0" w:color="auto"/>
        <w:right w:val="none" w:sz="0" w:space="0" w:color="auto"/>
      </w:divBdr>
    </w:div>
    <w:div w:id="135071534">
      <w:bodyDiv w:val="1"/>
      <w:marLeft w:val="0"/>
      <w:marRight w:val="0"/>
      <w:marTop w:val="0"/>
      <w:marBottom w:val="0"/>
      <w:divBdr>
        <w:top w:val="none" w:sz="0" w:space="0" w:color="auto"/>
        <w:left w:val="none" w:sz="0" w:space="0" w:color="auto"/>
        <w:bottom w:val="none" w:sz="0" w:space="0" w:color="auto"/>
        <w:right w:val="none" w:sz="0" w:space="0" w:color="auto"/>
      </w:divBdr>
    </w:div>
    <w:div w:id="163975046">
      <w:bodyDiv w:val="1"/>
      <w:marLeft w:val="0"/>
      <w:marRight w:val="0"/>
      <w:marTop w:val="0"/>
      <w:marBottom w:val="0"/>
      <w:divBdr>
        <w:top w:val="none" w:sz="0" w:space="0" w:color="auto"/>
        <w:left w:val="none" w:sz="0" w:space="0" w:color="auto"/>
        <w:bottom w:val="none" w:sz="0" w:space="0" w:color="auto"/>
        <w:right w:val="none" w:sz="0" w:space="0" w:color="auto"/>
      </w:divBdr>
    </w:div>
    <w:div w:id="165680565">
      <w:bodyDiv w:val="1"/>
      <w:marLeft w:val="0"/>
      <w:marRight w:val="0"/>
      <w:marTop w:val="0"/>
      <w:marBottom w:val="0"/>
      <w:divBdr>
        <w:top w:val="none" w:sz="0" w:space="0" w:color="auto"/>
        <w:left w:val="none" w:sz="0" w:space="0" w:color="auto"/>
        <w:bottom w:val="none" w:sz="0" w:space="0" w:color="auto"/>
        <w:right w:val="none" w:sz="0" w:space="0" w:color="auto"/>
      </w:divBdr>
    </w:div>
    <w:div w:id="257956320">
      <w:bodyDiv w:val="1"/>
      <w:marLeft w:val="0"/>
      <w:marRight w:val="0"/>
      <w:marTop w:val="0"/>
      <w:marBottom w:val="0"/>
      <w:divBdr>
        <w:top w:val="none" w:sz="0" w:space="0" w:color="auto"/>
        <w:left w:val="none" w:sz="0" w:space="0" w:color="auto"/>
        <w:bottom w:val="none" w:sz="0" w:space="0" w:color="auto"/>
        <w:right w:val="none" w:sz="0" w:space="0" w:color="auto"/>
      </w:divBdr>
    </w:div>
    <w:div w:id="278225341">
      <w:bodyDiv w:val="1"/>
      <w:marLeft w:val="0"/>
      <w:marRight w:val="0"/>
      <w:marTop w:val="0"/>
      <w:marBottom w:val="0"/>
      <w:divBdr>
        <w:top w:val="none" w:sz="0" w:space="0" w:color="auto"/>
        <w:left w:val="none" w:sz="0" w:space="0" w:color="auto"/>
        <w:bottom w:val="none" w:sz="0" w:space="0" w:color="auto"/>
        <w:right w:val="none" w:sz="0" w:space="0" w:color="auto"/>
      </w:divBdr>
    </w:div>
    <w:div w:id="304093917">
      <w:bodyDiv w:val="1"/>
      <w:marLeft w:val="0"/>
      <w:marRight w:val="0"/>
      <w:marTop w:val="0"/>
      <w:marBottom w:val="0"/>
      <w:divBdr>
        <w:top w:val="none" w:sz="0" w:space="0" w:color="auto"/>
        <w:left w:val="none" w:sz="0" w:space="0" w:color="auto"/>
        <w:bottom w:val="none" w:sz="0" w:space="0" w:color="auto"/>
        <w:right w:val="none" w:sz="0" w:space="0" w:color="auto"/>
      </w:divBdr>
    </w:div>
    <w:div w:id="329993810">
      <w:bodyDiv w:val="1"/>
      <w:marLeft w:val="0"/>
      <w:marRight w:val="0"/>
      <w:marTop w:val="0"/>
      <w:marBottom w:val="0"/>
      <w:divBdr>
        <w:top w:val="none" w:sz="0" w:space="0" w:color="auto"/>
        <w:left w:val="none" w:sz="0" w:space="0" w:color="auto"/>
        <w:bottom w:val="none" w:sz="0" w:space="0" w:color="auto"/>
        <w:right w:val="none" w:sz="0" w:space="0" w:color="auto"/>
      </w:divBdr>
    </w:div>
    <w:div w:id="350574727">
      <w:bodyDiv w:val="1"/>
      <w:marLeft w:val="0"/>
      <w:marRight w:val="0"/>
      <w:marTop w:val="0"/>
      <w:marBottom w:val="0"/>
      <w:divBdr>
        <w:top w:val="none" w:sz="0" w:space="0" w:color="auto"/>
        <w:left w:val="none" w:sz="0" w:space="0" w:color="auto"/>
        <w:bottom w:val="none" w:sz="0" w:space="0" w:color="auto"/>
        <w:right w:val="none" w:sz="0" w:space="0" w:color="auto"/>
      </w:divBdr>
      <w:divsChild>
        <w:div w:id="269049666">
          <w:marLeft w:val="0"/>
          <w:marRight w:val="0"/>
          <w:marTop w:val="0"/>
          <w:marBottom w:val="0"/>
          <w:divBdr>
            <w:top w:val="none" w:sz="0" w:space="0" w:color="auto"/>
            <w:left w:val="none" w:sz="0" w:space="0" w:color="auto"/>
            <w:bottom w:val="none" w:sz="0" w:space="0" w:color="auto"/>
            <w:right w:val="none" w:sz="0" w:space="0" w:color="auto"/>
          </w:divBdr>
          <w:divsChild>
            <w:div w:id="664669339">
              <w:marLeft w:val="0"/>
              <w:marRight w:val="0"/>
              <w:marTop w:val="0"/>
              <w:marBottom w:val="0"/>
              <w:divBdr>
                <w:top w:val="none" w:sz="0" w:space="0" w:color="auto"/>
                <w:left w:val="none" w:sz="0" w:space="0" w:color="auto"/>
                <w:bottom w:val="none" w:sz="0" w:space="0" w:color="auto"/>
                <w:right w:val="none" w:sz="0" w:space="0" w:color="auto"/>
              </w:divBdr>
              <w:divsChild>
                <w:div w:id="107284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4135796">
      <w:bodyDiv w:val="1"/>
      <w:marLeft w:val="0"/>
      <w:marRight w:val="0"/>
      <w:marTop w:val="0"/>
      <w:marBottom w:val="0"/>
      <w:divBdr>
        <w:top w:val="none" w:sz="0" w:space="0" w:color="auto"/>
        <w:left w:val="none" w:sz="0" w:space="0" w:color="auto"/>
        <w:bottom w:val="none" w:sz="0" w:space="0" w:color="auto"/>
        <w:right w:val="none" w:sz="0" w:space="0" w:color="auto"/>
      </w:divBdr>
    </w:div>
    <w:div w:id="365758645">
      <w:bodyDiv w:val="1"/>
      <w:marLeft w:val="0"/>
      <w:marRight w:val="0"/>
      <w:marTop w:val="0"/>
      <w:marBottom w:val="0"/>
      <w:divBdr>
        <w:top w:val="none" w:sz="0" w:space="0" w:color="auto"/>
        <w:left w:val="none" w:sz="0" w:space="0" w:color="auto"/>
        <w:bottom w:val="none" w:sz="0" w:space="0" w:color="auto"/>
        <w:right w:val="none" w:sz="0" w:space="0" w:color="auto"/>
      </w:divBdr>
    </w:div>
    <w:div w:id="373964780">
      <w:bodyDiv w:val="1"/>
      <w:marLeft w:val="0"/>
      <w:marRight w:val="0"/>
      <w:marTop w:val="0"/>
      <w:marBottom w:val="0"/>
      <w:divBdr>
        <w:top w:val="none" w:sz="0" w:space="0" w:color="auto"/>
        <w:left w:val="none" w:sz="0" w:space="0" w:color="auto"/>
        <w:bottom w:val="none" w:sz="0" w:space="0" w:color="auto"/>
        <w:right w:val="none" w:sz="0" w:space="0" w:color="auto"/>
      </w:divBdr>
      <w:divsChild>
        <w:div w:id="950866902">
          <w:marLeft w:val="0"/>
          <w:marRight w:val="0"/>
          <w:marTop w:val="0"/>
          <w:marBottom w:val="0"/>
          <w:divBdr>
            <w:top w:val="none" w:sz="0" w:space="0" w:color="auto"/>
            <w:left w:val="none" w:sz="0" w:space="0" w:color="auto"/>
            <w:bottom w:val="none" w:sz="0" w:space="0" w:color="auto"/>
            <w:right w:val="none" w:sz="0" w:space="0" w:color="auto"/>
          </w:divBdr>
          <w:divsChild>
            <w:div w:id="5794455">
              <w:marLeft w:val="0"/>
              <w:marRight w:val="0"/>
              <w:marTop w:val="0"/>
              <w:marBottom w:val="0"/>
              <w:divBdr>
                <w:top w:val="none" w:sz="0" w:space="0" w:color="auto"/>
                <w:left w:val="none" w:sz="0" w:space="0" w:color="auto"/>
                <w:bottom w:val="none" w:sz="0" w:space="0" w:color="auto"/>
                <w:right w:val="none" w:sz="0" w:space="0" w:color="auto"/>
              </w:divBdr>
              <w:divsChild>
                <w:div w:id="453407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7504763">
      <w:bodyDiv w:val="1"/>
      <w:marLeft w:val="0"/>
      <w:marRight w:val="0"/>
      <w:marTop w:val="0"/>
      <w:marBottom w:val="0"/>
      <w:divBdr>
        <w:top w:val="none" w:sz="0" w:space="0" w:color="auto"/>
        <w:left w:val="none" w:sz="0" w:space="0" w:color="auto"/>
        <w:bottom w:val="none" w:sz="0" w:space="0" w:color="auto"/>
        <w:right w:val="none" w:sz="0" w:space="0" w:color="auto"/>
      </w:divBdr>
    </w:div>
    <w:div w:id="454102946">
      <w:bodyDiv w:val="1"/>
      <w:marLeft w:val="0"/>
      <w:marRight w:val="0"/>
      <w:marTop w:val="0"/>
      <w:marBottom w:val="0"/>
      <w:divBdr>
        <w:top w:val="none" w:sz="0" w:space="0" w:color="auto"/>
        <w:left w:val="none" w:sz="0" w:space="0" w:color="auto"/>
        <w:bottom w:val="none" w:sz="0" w:space="0" w:color="auto"/>
        <w:right w:val="none" w:sz="0" w:space="0" w:color="auto"/>
      </w:divBdr>
    </w:div>
    <w:div w:id="458183596">
      <w:bodyDiv w:val="1"/>
      <w:marLeft w:val="0"/>
      <w:marRight w:val="0"/>
      <w:marTop w:val="0"/>
      <w:marBottom w:val="0"/>
      <w:divBdr>
        <w:top w:val="none" w:sz="0" w:space="0" w:color="auto"/>
        <w:left w:val="none" w:sz="0" w:space="0" w:color="auto"/>
        <w:bottom w:val="none" w:sz="0" w:space="0" w:color="auto"/>
        <w:right w:val="none" w:sz="0" w:space="0" w:color="auto"/>
      </w:divBdr>
    </w:div>
    <w:div w:id="499081158">
      <w:bodyDiv w:val="1"/>
      <w:marLeft w:val="0"/>
      <w:marRight w:val="0"/>
      <w:marTop w:val="0"/>
      <w:marBottom w:val="0"/>
      <w:divBdr>
        <w:top w:val="none" w:sz="0" w:space="0" w:color="auto"/>
        <w:left w:val="none" w:sz="0" w:space="0" w:color="auto"/>
        <w:bottom w:val="none" w:sz="0" w:space="0" w:color="auto"/>
        <w:right w:val="none" w:sz="0" w:space="0" w:color="auto"/>
      </w:divBdr>
    </w:div>
    <w:div w:id="556472428">
      <w:bodyDiv w:val="1"/>
      <w:marLeft w:val="0"/>
      <w:marRight w:val="0"/>
      <w:marTop w:val="0"/>
      <w:marBottom w:val="0"/>
      <w:divBdr>
        <w:top w:val="none" w:sz="0" w:space="0" w:color="auto"/>
        <w:left w:val="none" w:sz="0" w:space="0" w:color="auto"/>
        <w:bottom w:val="none" w:sz="0" w:space="0" w:color="auto"/>
        <w:right w:val="none" w:sz="0" w:space="0" w:color="auto"/>
      </w:divBdr>
    </w:div>
    <w:div w:id="561713902">
      <w:bodyDiv w:val="1"/>
      <w:marLeft w:val="0"/>
      <w:marRight w:val="0"/>
      <w:marTop w:val="0"/>
      <w:marBottom w:val="0"/>
      <w:divBdr>
        <w:top w:val="none" w:sz="0" w:space="0" w:color="auto"/>
        <w:left w:val="none" w:sz="0" w:space="0" w:color="auto"/>
        <w:bottom w:val="none" w:sz="0" w:space="0" w:color="auto"/>
        <w:right w:val="none" w:sz="0" w:space="0" w:color="auto"/>
      </w:divBdr>
    </w:div>
    <w:div w:id="607934433">
      <w:bodyDiv w:val="1"/>
      <w:marLeft w:val="0"/>
      <w:marRight w:val="0"/>
      <w:marTop w:val="0"/>
      <w:marBottom w:val="0"/>
      <w:divBdr>
        <w:top w:val="none" w:sz="0" w:space="0" w:color="auto"/>
        <w:left w:val="none" w:sz="0" w:space="0" w:color="auto"/>
        <w:bottom w:val="none" w:sz="0" w:space="0" w:color="auto"/>
        <w:right w:val="none" w:sz="0" w:space="0" w:color="auto"/>
      </w:divBdr>
    </w:div>
    <w:div w:id="616987455">
      <w:bodyDiv w:val="1"/>
      <w:marLeft w:val="0"/>
      <w:marRight w:val="0"/>
      <w:marTop w:val="0"/>
      <w:marBottom w:val="0"/>
      <w:divBdr>
        <w:top w:val="none" w:sz="0" w:space="0" w:color="auto"/>
        <w:left w:val="none" w:sz="0" w:space="0" w:color="auto"/>
        <w:bottom w:val="none" w:sz="0" w:space="0" w:color="auto"/>
        <w:right w:val="none" w:sz="0" w:space="0" w:color="auto"/>
      </w:divBdr>
    </w:div>
    <w:div w:id="639114269">
      <w:bodyDiv w:val="1"/>
      <w:marLeft w:val="0"/>
      <w:marRight w:val="0"/>
      <w:marTop w:val="0"/>
      <w:marBottom w:val="0"/>
      <w:divBdr>
        <w:top w:val="none" w:sz="0" w:space="0" w:color="auto"/>
        <w:left w:val="none" w:sz="0" w:space="0" w:color="auto"/>
        <w:bottom w:val="none" w:sz="0" w:space="0" w:color="auto"/>
        <w:right w:val="none" w:sz="0" w:space="0" w:color="auto"/>
      </w:divBdr>
    </w:div>
    <w:div w:id="641085606">
      <w:bodyDiv w:val="1"/>
      <w:marLeft w:val="0"/>
      <w:marRight w:val="0"/>
      <w:marTop w:val="0"/>
      <w:marBottom w:val="0"/>
      <w:divBdr>
        <w:top w:val="none" w:sz="0" w:space="0" w:color="auto"/>
        <w:left w:val="none" w:sz="0" w:space="0" w:color="auto"/>
        <w:bottom w:val="none" w:sz="0" w:space="0" w:color="auto"/>
        <w:right w:val="none" w:sz="0" w:space="0" w:color="auto"/>
      </w:divBdr>
    </w:div>
    <w:div w:id="677345571">
      <w:bodyDiv w:val="1"/>
      <w:marLeft w:val="0"/>
      <w:marRight w:val="0"/>
      <w:marTop w:val="0"/>
      <w:marBottom w:val="0"/>
      <w:divBdr>
        <w:top w:val="none" w:sz="0" w:space="0" w:color="auto"/>
        <w:left w:val="none" w:sz="0" w:space="0" w:color="auto"/>
        <w:bottom w:val="none" w:sz="0" w:space="0" w:color="auto"/>
        <w:right w:val="none" w:sz="0" w:space="0" w:color="auto"/>
      </w:divBdr>
    </w:div>
    <w:div w:id="691346947">
      <w:bodyDiv w:val="1"/>
      <w:marLeft w:val="0"/>
      <w:marRight w:val="0"/>
      <w:marTop w:val="0"/>
      <w:marBottom w:val="0"/>
      <w:divBdr>
        <w:top w:val="none" w:sz="0" w:space="0" w:color="auto"/>
        <w:left w:val="none" w:sz="0" w:space="0" w:color="auto"/>
        <w:bottom w:val="none" w:sz="0" w:space="0" w:color="auto"/>
        <w:right w:val="none" w:sz="0" w:space="0" w:color="auto"/>
      </w:divBdr>
    </w:div>
    <w:div w:id="762922732">
      <w:bodyDiv w:val="1"/>
      <w:marLeft w:val="0"/>
      <w:marRight w:val="0"/>
      <w:marTop w:val="0"/>
      <w:marBottom w:val="0"/>
      <w:divBdr>
        <w:top w:val="none" w:sz="0" w:space="0" w:color="auto"/>
        <w:left w:val="none" w:sz="0" w:space="0" w:color="auto"/>
        <w:bottom w:val="none" w:sz="0" w:space="0" w:color="auto"/>
        <w:right w:val="none" w:sz="0" w:space="0" w:color="auto"/>
      </w:divBdr>
    </w:div>
    <w:div w:id="878276985">
      <w:bodyDiv w:val="1"/>
      <w:marLeft w:val="0"/>
      <w:marRight w:val="0"/>
      <w:marTop w:val="0"/>
      <w:marBottom w:val="0"/>
      <w:divBdr>
        <w:top w:val="none" w:sz="0" w:space="0" w:color="auto"/>
        <w:left w:val="none" w:sz="0" w:space="0" w:color="auto"/>
        <w:bottom w:val="none" w:sz="0" w:space="0" w:color="auto"/>
        <w:right w:val="none" w:sz="0" w:space="0" w:color="auto"/>
      </w:divBdr>
    </w:div>
    <w:div w:id="959260781">
      <w:bodyDiv w:val="1"/>
      <w:marLeft w:val="0"/>
      <w:marRight w:val="0"/>
      <w:marTop w:val="0"/>
      <w:marBottom w:val="0"/>
      <w:divBdr>
        <w:top w:val="none" w:sz="0" w:space="0" w:color="auto"/>
        <w:left w:val="none" w:sz="0" w:space="0" w:color="auto"/>
        <w:bottom w:val="none" w:sz="0" w:space="0" w:color="auto"/>
        <w:right w:val="none" w:sz="0" w:space="0" w:color="auto"/>
      </w:divBdr>
    </w:div>
    <w:div w:id="977564826">
      <w:bodyDiv w:val="1"/>
      <w:marLeft w:val="0"/>
      <w:marRight w:val="0"/>
      <w:marTop w:val="0"/>
      <w:marBottom w:val="0"/>
      <w:divBdr>
        <w:top w:val="none" w:sz="0" w:space="0" w:color="auto"/>
        <w:left w:val="none" w:sz="0" w:space="0" w:color="auto"/>
        <w:bottom w:val="none" w:sz="0" w:space="0" w:color="auto"/>
        <w:right w:val="none" w:sz="0" w:space="0" w:color="auto"/>
      </w:divBdr>
    </w:div>
    <w:div w:id="1002196388">
      <w:bodyDiv w:val="1"/>
      <w:marLeft w:val="0"/>
      <w:marRight w:val="0"/>
      <w:marTop w:val="0"/>
      <w:marBottom w:val="0"/>
      <w:divBdr>
        <w:top w:val="none" w:sz="0" w:space="0" w:color="auto"/>
        <w:left w:val="none" w:sz="0" w:space="0" w:color="auto"/>
        <w:bottom w:val="none" w:sz="0" w:space="0" w:color="auto"/>
        <w:right w:val="none" w:sz="0" w:space="0" w:color="auto"/>
      </w:divBdr>
    </w:div>
    <w:div w:id="1005130766">
      <w:bodyDiv w:val="1"/>
      <w:marLeft w:val="0"/>
      <w:marRight w:val="0"/>
      <w:marTop w:val="0"/>
      <w:marBottom w:val="0"/>
      <w:divBdr>
        <w:top w:val="none" w:sz="0" w:space="0" w:color="auto"/>
        <w:left w:val="none" w:sz="0" w:space="0" w:color="auto"/>
        <w:bottom w:val="none" w:sz="0" w:space="0" w:color="auto"/>
        <w:right w:val="none" w:sz="0" w:space="0" w:color="auto"/>
      </w:divBdr>
    </w:div>
    <w:div w:id="1011570959">
      <w:bodyDiv w:val="1"/>
      <w:marLeft w:val="0"/>
      <w:marRight w:val="0"/>
      <w:marTop w:val="0"/>
      <w:marBottom w:val="0"/>
      <w:divBdr>
        <w:top w:val="none" w:sz="0" w:space="0" w:color="auto"/>
        <w:left w:val="none" w:sz="0" w:space="0" w:color="auto"/>
        <w:bottom w:val="none" w:sz="0" w:space="0" w:color="auto"/>
        <w:right w:val="none" w:sz="0" w:space="0" w:color="auto"/>
      </w:divBdr>
      <w:divsChild>
        <w:div w:id="405492450">
          <w:marLeft w:val="0"/>
          <w:marRight w:val="0"/>
          <w:marTop w:val="0"/>
          <w:marBottom w:val="0"/>
          <w:divBdr>
            <w:top w:val="none" w:sz="0" w:space="0" w:color="auto"/>
            <w:left w:val="none" w:sz="0" w:space="0" w:color="auto"/>
            <w:bottom w:val="none" w:sz="0" w:space="0" w:color="auto"/>
            <w:right w:val="none" w:sz="0" w:space="0" w:color="auto"/>
          </w:divBdr>
          <w:divsChild>
            <w:div w:id="1860898704">
              <w:marLeft w:val="0"/>
              <w:marRight w:val="0"/>
              <w:marTop w:val="0"/>
              <w:marBottom w:val="0"/>
              <w:divBdr>
                <w:top w:val="none" w:sz="0" w:space="0" w:color="auto"/>
                <w:left w:val="none" w:sz="0" w:space="0" w:color="auto"/>
                <w:bottom w:val="none" w:sz="0" w:space="0" w:color="auto"/>
                <w:right w:val="none" w:sz="0" w:space="0" w:color="auto"/>
              </w:divBdr>
              <w:divsChild>
                <w:div w:id="1968704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3194917">
      <w:bodyDiv w:val="1"/>
      <w:marLeft w:val="0"/>
      <w:marRight w:val="0"/>
      <w:marTop w:val="0"/>
      <w:marBottom w:val="0"/>
      <w:divBdr>
        <w:top w:val="none" w:sz="0" w:space="0" w:color="auto"/>
        <w:left w:val="none" w:sz="0" w:space="0" w:color="auto"/>
        <w:bottom w:val="none" w:sz="0" w:space="0" w:color="auto"/>
        <w:right w:val="none" w:sz="0" w:space="0" w:color="auto"/>
      </w:divBdr>
    </w:div>
    <w:div w:id="1038817025">
      <w:bodyDiv w:val="1"/>
      <w:marLeft w:val="0"/>
      <w:marRight w:val="0"/>
      <w:marTop w:val="0"/>
      <w:marBottom w:val="0"/>
      <w:divBdr>
        <w:top w:val="none" w:sz="0" w:space="0" w:color="auto"/>
        <w:left w:val="none" w:sz="0" w:space="0" w:color="auto"/>
        <w:bottom w:val="none" w:sz="0" w:space="0" w:color="auto"/>
        <w:right w:val="none" w:sz="0" w:space="0" w:color="auto"/>
      </w:divBdr>
    </w:div>
    <w:div w:id="1039476908">
      <w:bodyDiv w:val="1"/>
      <w:marLeft w:val="0"/>
      <w:marRight w:val="0"/>
      <w:marTop w:val="0"/>
      <w:marBottom w:val="0"/>
      <w:divBdr>
        <w:top w:val="none" w:sz="0" w:space="0" w:color="auto"/>
        <w:left w:val="none" w:sz="0" w:space="0" w:color="auto"/>
        <w:bottom w:val="none" w:sz="0" w:space="0" w:color="auto"/>
        <w:right w:val="none" w:sz="0" w:space="0" w:color="auto"/>
      </w:divBdr>
    </w:div>
    <w:div w:id="1053310687">
      <w:bodyDiv w:val="1"/>
      <w:marLeft w:val="0"/>
      <w:marRight w:val="0"/>
      <w:marTop w:val="0"/>
      <w:marBottom w:val="0"/>
      <w:divBdr>
        <w:top w:val="none" w:sz="0" w:space="0" w:color="auto"/>
        <w:left w:val="none" w:sz="0" w:space="0" w:color="auto"/>
        <w:bottom w:val="none" w:sz="0" w:space="0" w:color="auto"/>
        <w:right w:val="none" w:sz="0" w:space="0" w:color="auto"/>
      </w:divBdr>
    </w:div>
    <w:div w:id="1078097452">
      <w:bodyDiv w:val="1"/>
      <w:marLeft w:val="0"/>
      <w:marRight w:val="0"/>
      <w:marTop w:val="0"/>
      <w:marBottom w:val="0"/>
      <w:divBdr>
        <w:top w:val="none" w:sz="0" w:space="0" w:color="auto"/>
        <w:left w:val="none" w:sz="0" w:space="0" w:color="auto"/>
        <w:bottom w:val="none" w:sz="0" w:space="0" w:color="auto"/>
        <w:right w:val="none" w:sz="0" w:space="0" w:color="auto"/>
      </w:divBdr>
    </w:div>
    <w:div w:id="1197963001">
      <w:bodyDiv w:val="1"/>
      <w:marLeft w:val="0"/>
      <w:marRight w:val="0"/>
      <w:marTop w:val="0"/>
      <w:marBottom w:val="0"/>
      <w:divBdr>
        <w:top w:val="none" w:sz="0" w:space="0" w:color="auto"/>
        <w:left w:val="none" w:sz="0" w:space="0" w:color="auto"/>
        <w:bottom w:val="none" w:sz="0" w:space="0" w:color="auto"/>
        <w:right w:val="none" w:sz="0" w:space="0" w:color="auto"/>
      </w:divBdr>
    </w:div>
    <w:div w:id="1216887643">
      <w:bodyDiv w:val="1"/>
      <w:marLeft w:val="0"/>
      <w:marRight w:val="0"/>
      <w:marTop w:val="0"/>
      <w:marBottom w:val="0"/>
      <w:divBdr>
        <w:top w:val="none" w:sz="0" w:space="0" w:color="auto"/>
        <w:left w:val="none" w:sz="0" w:space="0" w:color="auto"/>
        <w:bottom w:val="none" w:sz="0" w:space="0" w:color="auto"/>
        <w:right w:val="none" w:sz="0" w:space="0" w:color="auto"/>
      </w:divBdr>
    </w:div>
    <w:div w:id="1219509723">
      <w:bodyDiv w:val="1"/>
      <w:marLeft w:val="0"/>
      <w:marRight w:val="0"/>
      <w:marTop w:val="0"/>
      <w:marBottom w:val="0"/>
      <w:divBdr>
        <w:top w:val="none" w:sz="0" w:space="0" w:color="auto"/>
        <w:left w:val="none" w:sz="0" w:space="0" w:color="auto"/>
        <w:bottom w:val="none" w:sz="0" w:space="0" w:color="auto"/>
        <w:right w:val="none" w:sz="0" w:space="0" w:color="auto"/>
      </w:divBdr>
    </w:div>
    <w:div w:id="1251043433">
      <w:bodyDiv w:val="1"/>
      <w:marLeft w:val="0"/>
      <w:marRight w:val="0"/>
      <w:marTop w:val="0"/>
      <w:marBottom w:val="0"/>
      <w:divBdr>
        <w:top w:val="none" w:sz="0" w:space="0" w:color="auto"/>
        <w:left w:val="none" w:sz="0" w:space="0" w:color="auto"/>
        <w:bottom w:val="none" w:sz="0" w:space="0" w:color="auto"/>
        <w:right w:val="none" w:sz="0" w:space="0" w:color="auto"/>
      </w:divBdr>
    </w:div>
    <w:div w:id="1253972582">
      <w:bodyDiv w:val="1"/>
      <w:marLeft w:val="0"/>
      <w:marRight w:val="0"/>
      <w:marTop w:val="0"/>
      <w:marBottom w:val="0"/>
      <w:divBdr>
        <w:top w:val="none" w:sz="0" w:space="0" w:color="auto"/>
        <w:left w:val="none" w:sz="0" w:space="0" w:color="auto"/>
        <w:bottom w:val="none" w:sz="0" w:space="0" w:color="auto"/>
        <w:right w:val="none" w:sz="0" w:space="0" w:color="auto"/>
      </w:divBdr>
    </w:div>
    <w:div w:id="1254700929">
      <w:bodyDiv w:val="1"/>
      <w:marLeft w:val="0"/>
      <w:marRight w:val="0"/>
      <w:marTop w:val="0"/>
      <w:marBottom w:val="0"/>
      <w:divBdr>
        <w:top w:val="none" w:sz="0" w:space="0" w:color="auto"/>
        <w:left w:val="none" w:sz="0" w:space="0" w:color="auto"/>
        <w:bottom w:val="none" w:sz="0" w:space="0" w:color="auto"/>
        <w:right w:val="none" w:sz="0" w:space="0" w:color="auto"/>
      </w:divBdr>
    </w:div>
    <w:div w:id="1271665462">
      <w:bodyDiv w:val="1"/>
      <w:marLeft w:val="0"/>
      <w:marRight w:val="0"/>
      <w:marTop w:val="0"/>
      <w:marBottom w:val="0"/>
      <w:divBdr>
        <w:top w:val="none" w:sz="0" w:space="0" w:color="auto"/>
        <w:left w:val="none" w:sz="0" w:space="0" w:color="auto"/>
        <w:bottom w:val="none" w:sz="0" w:space="0" w:color="auto"/>
        <w:right w:val="none" w:sz="0" w:space="0" w:color="auto"/>
      </w:divBdr>
    </w:div>
    <w:div w:id="1314794833">
      <w:bodyDiv w:val="1"/>
      <w:marLeft w:val="0"/>
      <w:marRight w:val="0"/>
      <w:marTop w:val="0"/>
      <w:marBottom w:val="0"/>
      <w:divBdr>
        <w:top w:val="none" w:sz="0" w:space="0" w:color="auto"/>
        <w:left w:val="none" w:sz="0" w:space="0" w:color="auto"/>
        <w:bottom w:val="none" w:sz="0" w:space="0" w:color="auto"/>
        <w:right w:val="none" w:sz="0" w:space="0" w:color="auto"/>
      </w:divBdr>
    </w:div>
    <w:div w:id="1378970091">
      <w:bodyDiv w:val="1"/>
      <w:marLeft w:val="0"/>
      <w:marRight w:val="0"/>
      <w:marTop w:val="0"/>
      <w:marBottom w:val="0"/>
      <w:divBdr>
        <w:top w:val="none" w:sz="0" w:space="0" w:color="auto"/>
        <w:left w:val="none" w:sz="0" w:space="0" w:color="auto"/>
        <w:bottom w:val="none" w:sz="0" w:space="0" w:color="auto"/>
        <w:right w:val="none" w:sz="0" w:space="0" w:color="auto"/>
      </w:divBdr>
    </w:div>
    <w:div w:id="1417365919">
      <w:bodyDiv w:val="1"/>
      <w:marLeft w:val="0"/>
      <w:marRight w:val="0"/>
      <w:marTop w:val="0"/>
      <w:marBottom w:val="0"/>
      <w:divBdr>
        <w:top w:val="none" w:sz="0" w:space="0" w:color="auto"/>
        <w:left w:val="none" w:sz="0" w:space="0" w:color="auto"/>
        <w:bottom w:val="none" w:sz="0" w:space="0" w:color="auto"/>
        <w:right w:val="none" w:sz="0" w:space="0" w:color="auto"/>
      </w:divBdr>
    </w:div>
    <w:div w:id="1441532594">
      <w:bodyDiv w:val="1"/>
      <w:marLeft w:val="0"/>
      <w:marRight w:val="0"/>
      <w:marTop w:val="0"/>
      <w:marBottom w:val="0"/>
      <w:divBdr>
        <w:top w:val="none" w:sz="0" w:space="0" w:color="auto"/>
        <w:left w:val="none" w:sz="0" w:space="0" w:color="auto"/>
        <w:bottom w:val="none" w:sz="0" w:space="0" w:color="auto"/>
        <w:right w:val="none" w:sz="0" w:space="0" w:color="auto"/>
      </w:divBdr>
    </w:div>
    <w:div w:id="1455758863">
      <w:bodyDiv w:val="1"/>
      <w:marLeft w:val="0"/>
      <w:marRight w:val="0"/>
      <w:marTop w:val="0"/>
      <w:marBottom w:val="0"/>
      <w:divBdr>
        <w:top w:val="none" w:sz="0" w:space="0" w:color="auto"/>
        <w:left w:val="none" w:sz="0" w:space="0" w:color="auto"/>
        <w:bottom w:val="none" w:sz="0" w:space="0" w:color="auto"/>
        <w:right w:val="none" w:sz="0" w:space="0" w:color="auto"/>
      </w:divBdr>
    </w:div>
    <w:div w:id="1469738852">
      <w:bodyDiv w:val="1"/>
      <w:marLeft w:val="0"/>
      <w:marRight w:val="0"/>
      <w:marTop w:val="0"/>
      <w:marBottom w:val="0"/>
      <w:divBdr>
        <w:top w:val="none" w:sz="0" w:space="0" w:color="auto"/>
        <w:left w:val="none" w:sz="0" w:space="0" w:color="auto"/>
        <w:bottom w:val="none" w:sz="0" w:space="0" w:color="auto"/>
        <w:right w:val="none" w:sz="0" w:space="0" w:color="auto"/>
      </w:divBdr>
    </w:div>
    <w:div w:id="1518885748">
      <w:bodyDiv w:val="1"/>
      <w:marLeft w:val="0"/>
      <w:marRight w:val="0"/>
      <w:marTop w:val="0"/>
      <w:marBottom w:val="0"/>
      <w:divBdr>
        <w:top w:val="none" w:sz="0" w:space="0" w:color="auto"/>
        <w:left w:val="none" w:sz="0" w:space="0" w:color="auto"/>
        <w:bottom w:val="none" w:sz="0" w:space="0" w:color="auto"/>
        <w:right w:val="none" w:sz="0" w:space="0" w:color="auto"/>
      </w:divBdr>
    </w:div>
    <w:div w:id="1520778392">
      <w:bodyDiv w:val="1"/>
      <w:marLeft w:val="0"/>
      <w:marRight w:val="0"/>
      <w:marTop w:val="0"/>
      <w:marBottom w:val="0"/>
      <w:divBdr>
        <w:top w:val="none" w:sz="0" w:space="0" w:color="auto"/>
        <w:left w:val="none" w:sz="0" w:space="0" w:color="auto"/>
        <w:bottom w:val="none" w:sz="0" w:space="0" w:color="auto"/>
        <w:right w:val="none" w:sz="0" w:space="0" w:color="auto"/>
      </w:divBdr>
    </w:div>
    <w:div w:id="1580166177">
      <w:bodyDiv w:val="1"/>
      <w:marLeft w:val="0"/>
      <w:marRight w:val="0"/>
      <w:marTop w:val="0"/>
      <w:marBottom w:val="0"/>
      <w:divBdr>
        <w:top w:val="none" w:sz="0" w:space="0" w:color="auto"/>
        <w:left w:val="none" w:sz="0" w:space="0" w:color="auto"/>
        <w:bottom w:val="none" w:sz="0" w:space="0" w:color="auto"/>
        <w:right w:val="none" w:sz="0" w:space="0" w:color="auto"/>
      </w:divBdr>
    </w:div>
    <w:div w:id="1593974082">
      <w:bodyDiv w:val="1"/>
      <w:marLeft w:val="0"/>
      <w:marRight w:val="0"/>
      <w:marTop w:val="0"/>
      <w:marBottom w:val="0"/>
      <w:divBdr>
        <w:top w:val="none" w:sz="0" w:space="0" w:color="auto"/>
        <w:left w:val="none" w:sz="0" w:space="0" w:color="auto"/>
        <w:bottom w:val="none" w:sz="0" w:space="0" w:color="auto"/>
        <w:right w:val="none" w:sz="0" w:space="0" w:color="auto"/>
      </w:divBdr>
    </w:div>
    <w:div w:id="1602637686">
      <w:bodyDiv w:val="1"/>
      <w:marLeft w:val="0"/>
      <w:marRight w:val="0"/>
      <w:marTop w:val="0"/>
      <w:marBottom w:val="0"/>
      <w:divBdr>
        <w:top w:val="none" w:sz="0" w:space="0" w:color="auto"/>
        <w:left w:val="none" w:sz="0" w:space="0" w:color="auto"/>
        <w:bottom w:val="none" w:sz="0" w:space="0" w:color="auto"/>
        <w:right w:val="none" w:sz="0" w:space="0" w:color="auto"/>
      </w:divBdr>
    </w:div>
    <w:div w:id="1619872229">
      <w:bodyDiv w:val="1"/>
      <w:marLeft w:val="0"/>
      <w:marRight w:val="0"/>
      <w:marTop w:val="0"/>
      <w:marBottom w:val="0"/>
      <w:divBdr>
        <w:top w:val="none" w:sz="0" w:space="0" w:color="auto"/>
        <w:left w:val="none" w:sz="0" w:space="0" w:color="auto"/>
        <w:bottom w:val="none" w:sz="0" w:space="0" w:color="auto"/>
        <w:right w:val="none" w:sz="0" w:space="0" w:color="auto"/>
      </w:divBdr>
    </w:div>
    <w:div w:id="1675066064">
      <w:bodyDiv w:val="1"/>
      <w:marLeft w:val="0"/>
      <w:marRight w:val="0"/>
      <w:marTop w:val="0"/>
      <w:marBottom w:val="0"/>
      <w:divBdr>
        <w:top w:val="none" w:sz="0" w:space="0" w:color="auto"/>
        <w:left w:val="none" w:sz="0" w:space="0" w:color="auto"/>
        <w:bottom w:val="none" w:sz="0" w:space="0" w:color="auto"/>
        <w:right w:val="none" w:sz="0" w:space="0" w:color="auto"/>
      </w:divBdr>
    </w:div>
    <w:div w:id="1676493539">
      <w:bodyDiv w:val="1"/>
      <w:marLeft w:val="0"/>
      <w:marRight w:val="0"/>
      <w:marTop w:val="0"/>
      <w:marBottom w:val="0"/>
      <w:divBdr>
        <w:top w:val="none" w:sz="0" w:space="0" w:color="auto"/>
        <w:left w:val="none" w:sz="0" w:space="0" w:color="auto"/>
        <w:bottom w:val="none" w:sz="0" w:space="0" w:color="auto"/>
        <w:right w:val="none" w:sz="0" w:space="0" w:color="auto"/>
      </w:divBdr>
    </w:div>
    <w:div w:id="1693140238">
      <w:bodyDiv w:val="1"/>
      <w:marLeft w:val="0"/>
      <w:marRight w:val="0"/>
      <w:marTop w:val="0"/>
      <w:marBottom w:val="0"/>
      <w:divBdr>
        <w:top w:val="none" w:sz="0" w:space="0" w:color="auto"/>
        <w:left w:val="none" w:sz="0" w:space="0" w:color="auto"/>
        <w:bottom w:val="none" w:sz="0" w:space="0" w:color="auto"/>
        <w:right w:val="none" w:sz="0" w:space="0" w:color="auto"/>
      </w:divBdr>
    </w:div>
    <w:div w:id="1694527203">
      <w:bodyDiv w:val="1"/>
      <w:marLeft w:val="0"/>
      <w:marRight w:val="0"/>
      <w:marTop w:val="0"/>
      <w:marBottom w:val="0"/>
      <w:divBdr>
        <w:top w:val="none" w:sz="0" w:space="0" w:color="auto"/>
        <w:left w:val="none" w:sz="0" w:space="0" w:color="auto"/>
        <w:bottom w:val="none" w:sz="0" w:space="0" w:color="auto"/>
        <w:right w:val="none" w:sz="0" w:space="0" w:color="auto"/>
      </w:divBdr>
    </w:div>
    <w:div w:id="1710954632">
      <w:bodyDiv w:val="1"/>
      <w:marLeft w:val="0"/>
      <w:marRight w:val="0"/>
      <w:marTop w:val="0"/>
      <w:marBottom w:val="0"/>
      <w:divBdr>
        <w:top w:val="none" w:sz="0" w:space="0" w:color="auto"/>
        <w:left w:val="none" w:sz="0" w:space="0" w:color="auto"/>
        <w:bottom w:val="none" w:sz="0" w:space="0" w:color="auto"/>
        <w:right w:val="none" w:sz="0" w:space="0" w:color="auto"/>
      </w:divBdr>
    </w:div>
    <w:div w:id="1725060135">
      <w:bodyDiv w:val="1"/>
      <w:marLeft w:val="0"/>
      <w:marRight w:val="0"/>
      <w:marTop w:val="0"/>
      <w:marBottom w:val="0"/>
      <w:divBdr>
        <w:top w:val="none" w:sz="0" w:space="0" w:color="auto"/>
        <w:left w:val="none" w:sz="0" w:space="0" w:color="auto"/>
        <w:bottom w:val="none" w:sz="0" w:space="0" w:color="auto"/>
        <w:right w:val="none" w:sz="0" w:space="0" w:color="auto"/>
      </w:divBdr>
    </w:div>
    <w:div w:id="1737314500">
      <w:bodyDiv w:val="1"/>
      <w:marLeft w:val="0"/>
      <w:marRight w:val="0"/>
      <w:marTop w:val="0"/>
      <w:marBottom w:val="0"/>
      <w:divBdr>
        <w:top w:val="none" w:sz="0" w:space="0" w:color="auto"/>
        <w:left w:val="none" w:sz="0" w:space="0" w:color="auto"/>
        <w:bottom w:val="none" w:sz="0" w:space="0" w:color="auto"/>
        <w:right w:val="none" w:sz="0" w:space="0" w:color="auto"/>
      </w:divBdr>
    </w:div>
    <w:div w:id="1743016407">
      <w:bodyDiv w:val="1"/>
      <w:marLeft w:val="0"/>
      <w:marRight w:val="0"/>
      <w:marTop w:val="0"/>
      <w:marBottom w:val="0"/>
      <w:divBdr>
        <w:top w:val="none" w:sz="0" w:space="0" w:color="auto"/>
        <w:left w:val="none" w:sz="0" w:space="0" w:color="auto"/>
        <w:bottom w:val="none" w:sz="0" w:space="0" w:color="auto"/>
        <w:right w:val="none" w:sz="0" w:space="0" w:color="auto"/>
      </w:divBdr>
    </w:div>
    <w:div w:id="1786539748">
      <w:bodyDiv w:val="1"/>
      <w:marLeft w:val="0"/>
      <w:marRight w:val="0"/>
      <w:marTop w:val="0"/>
      <w:marBottom w:val="0"/>
      <w:divBdr>
        <w:top w:val="none" w:sz="0" w:space="0" w:color="auto"/>
        <w:left w:val="none" w:sz="0" w:space="0" w:color="auto"/>
        <w:bottom w:val="none" w:sz="0" w:space="0" w:color="auto"/>
        <w:right w:val="none" w:sz="0" w:space="0" w:color="auto"/>
      </w:divBdr>
    </w:div>
    <w:div w:id="1798645452">
      <w:bodyDiv w:val="1"/>
      <w:marLeft w:val="0"/>
      <w:marRight w:val="0"/>
      <w:marTop w:val="0"/>
      <w:marBottom w:val="0"/>
      <w:divBdr>
        <w:top w:val="none" w:sz="0" w:space="0" w:color="auto"/>
        <w:left w:val="none" w:sz="0" w:space="0" w:color="auto"/>
        <w:bottom w:val="none" w:sz="0" w:space="0" w:color="auto"/>
        <w:right w:val="none" w:sz="0" w:space="0" w:color="auto"/>
      </w:divBdr>
    </w:div>
    <w:div w:id="1817382197">
      <w:bodyDiv w:val="1"/>
      <w:marLeft w:val="0"/>
      <w:marRight w:val="0"/>
      <w:marTop w:val="0"/>
      <w:marBottom w:val="0"/>
      <w:divBdr>
        <w:top w:val="none" w:sz="0" w:space="0" w:color="auto"/>
        <w:left w:val="none" w:sz="0" w:space="0" w:color="auto"/>
        <w:bottom w:val="none" w:sz="0" w:space="0" w:color="auto"/>
        <w:right w:val="none" w:sz="0" w:space="0" w:color="auto"/>
      </w:divBdr>
    </w:div>
    <w:div w:id="1822889424">
      <w:bodyDiv w:val="1"/>
      <w:marLeft w:val="0"/>
      <w:marRight w:val="0"/>
      <w:marTop w:val="0"/>
      <w:marBottom w:val="0"/>
      <w:divBdr>
        <w:top w:val="none" w:sz="0" w:space="0" w:color="auto"/>
        <w:left w:val="none" w:sz="0" w:space="0" w:color="auto"/>
        <w:bottom w:val="none" w:sz="0" w:space="0" w:color="auto"/>
        <w:right w:val="none" w:sz="0" w:space="0" w:color="auto"/>
      </w:divBdr>
    </w:div>
    <w:div w:id="1826507512">
      <w:bodyDiv w:val="1"/>
      <w:marLeft w:val="0"/>
      <w:marRight w:val="0"/>
      <w:marTop w:val="0"/>
      <w:marBottom w:val="0"/>
      <w:divBdr>
        <w:top w:val="none" w:sz="0" w:space="0" w:color="auto"/>
        <w:left w:val="none" w:sz="0" w:space="0" w:color="auto"/>
        <w:bottom w:val="none" w:sz="0" w:space="0" w:color="auto"/>
        <w:right w:val="none" w:sz="0" w:space="0" w:color="auto"/>
      </w:divBdr>
    </w:div>
    <w:div w:id="1856840113">
      <w:bodyDiv w:val="1"/>
      <w:marLeft w:val="0"/>
      <w:marRight w:val="0"/>
      <w:marTop w:val="0"/>
      <w:marBottom w:val="0"/>
      <w:divBdr>
        <w:top w:val="none" w:sz="0" w:space="0" w:color="auto"/>
        <w:left w:val="none" w:sz="0" w:space="0" w:color="auto"/>
        <w:bottom w:val="none" w:sz="0" w:space="0" w:color="auto"/>
        <w:right w:val="none" w:sz="0" w:space="0" w:color="auto"/>
      </w:divBdr>
    </w:div>
    <w:div w:id="1880702701">
      <w:bodyDiv w:val="1"/>
      <w:marLeft w:val="0"/>
      <w:marRight w:val="0"/>
      <w:marTop w:val="0"/>
      <w:marBottom w:val="0"/>
      <w:divBdr>
        <w:top w:val="none" w:sz="0" w:space="0" w:color="auto"/>
        <w:left w:val="none" w:sz="0" w:space="0" w:color="auto"/>
        <w:bottom w:val="none" w:sz="0" w:space="0" w:color="auto"/>
        <w:right w:val="none" w:sz="0" w:space="0" w:color="auto"/>
      </w:divBdr>
    </w:div>
    <w:div w:id="1939412641">
      <w:bodyDiv w:val="1"/>
      <w:marLeft w:val="0"/>
      <w:marRight w:val="0"/>
      <w:marTop w:val="0"/>
      <w:marBottom w:val="0"/>
      <w:divBdr>
        <w:top w:val="none" w:sz="0" w:space="0" w:color="auto"/>
        <w:left w:val="none" w:sz="0" w:space="0" w:color="auto"/>
        <w:bottom w:val="none" w:sz="0" w:space="0" w:color="auto"/>
        <w:right w:val="none" w:sz="0" w:space="0" w:color="auto"/>
      </w:divBdr>
    </w:div>
    <w:div w:id="1951164128">
      <w:bodyDiv w:val="1"/>
      <w:marLeft w:val="0"/>
      <w:marRight w:val="0"/>
      <w:marTop w:val="0"/>
      <w:marBottom w:val="0"/>
      <w:divBdr>
        <w:top w:val="none" w:sz="0" w:space="0" w:color="auto"/>
        <w:left w:val="none" w:sz="0" w:space="0" w:color="auto"/>
        <w:bottom w:val="none" w:sz="0" w:space="0" w:color="auto"/>
        <w:right w:val="none" w:sz="0" w:space="0" w:color="auto"/>
      </w:divBdr>
    </w:div>
    <w:div w:id="2029212976">
      <w:bodyDiv w:val="1"/>
      <w:marLeft w:val="0"/>
      <w:marRight w:val="0"/>
      <w:marTop w:val="0"/>
      <w:marBottom w:val="0"/>
      <w:divBdr>
        <w:top w:val="none" w:sz="0" w:space="0" w:color="auto"/>
        <w:left w:val="none" w:sz="0" w:space="0" w:color="auto"/>
        <w:bottom w:val="none" w:sz="0" w:space="0" w:color="auto"/>
        <w:right w:val="none" w:sz="0" w:space="0" w:color="auto"/>
      </w:divBdr>
    </w:div>
    <w:div w:id="2057124581">
      <w:bodyDiv w:val="1"/>
      <w:marLeft w:val="0"/>
      <w:marRight w:val="0"/>
      <w:marTop w:val="0"/>
      <w:marBottom w:val="0"/>
      <w:divBdr>
        <w:top w:val="none" w:sz="0" w:space="0" w:color="auto"/>
        <w:left w:val="none" w:sz="0" w:space="0" w:color="auto"/>
        <w:bottom w:val="none" w:sz="0" w:space="0" w:color="auto"/>
        <w:right w:val="none" w:sz="0" w:space="0" w:color="auto"/>
      </w:divBdr>
    </w:div>
    <w:div w:id="21104701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ilvia.morbelli@unige.it" TargetMode="External"/><Relationship Id="rId13" Type="http://schemas.openxmlformats.org/officeDocument/2006/relationships/theme" Target="theme/theme1.xml"/><Relationship Id="rId3" Type="http://schemas.openxmlformats.org/officeDocument/2006/relationships/styles" Target="styles.xml"/><Relationship Id="R38305ed8efbe4612" Type="http://schemas.microsoft.com/office/2016/09/relationships/commentsIds" Target="commentsId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76277adf156d47ac" Type="http://schemas.microsoft.com/office/2018/08/relationships/commentsExtensible" Target="commentsExtensi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eanm.org/content-eanm/uploads/2016/11/EANM_2017_TC_Benchmark.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0E06B8-4933-4B2C-8EAB-D9DF8545CA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55</Pages>
  <Words>22127</Words>
  <Characters>139407</Characters>
  <Application>Microsoft Office Word</Application>
  <DocSecurity>0</DocSecurity>
  <Lines>1161</Lines>
  <Paragraphs>322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Rigshospitalet</Company>
  <LinksUpToDate>false</LinksUpToDate>
  <CharactersWithSpaces>161212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Ian Law</dc:creator>
  <cp:lastModifiedBy>Sarah Kaiser</cp:lastModifiedBy>
  <cp:revision>2</cp:revision>
  <cp:lastPrinted>2019-06-27T05:15:00Z</cp:lastPrinted>
  <dcterms:created xsi:type="dcterms:W3CDTF">2021-01-11T07:33:00Z</dcterms:created>
  <dcterms:modified xsi:type="dcterms:W3CDTF">2021-01-11T07:33:00Z</dcterms:modified>
</cp:coreProperties>
</file>