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B7192A" w14:textId="28A25373" w:rsidR="004A32B1" w:rsidRPr="00430A5E" w:rsidRDefault="004A32B1" w:rsidP="00F51EAB">
      <w:pPr>
        <w:widowControl w:val="0"/>
        <w:suppressAutoHyphens/>
        <w:spacing w:after="0" w:line="360" w:lineRule="auto"/>
        <w:rPr>
          <w:rFonts w:ascii="Arial" w:eastAsia="Times New Roman" w:hAnsi="Arial" w:cs="Arial"/>
          <w:b/>
          <w:sz w:val="32"/>
          <w:szCs w:val="32"/>
          <w:lang w:val="en-US" w:eastAsia="de-DE"/>
        </w:rPr>
      </w:pPr>
      <w:r w:rsidRPr="00430A5E">
        <w:rPr>
          <w:rFonts w:ascii="Arial" w:eastAsia="Times New Roman" w:hAnsi="Arial" w:cs="Arial"/>
          <w:b/>
          <w:sz w:val="32"/>
          <w:szCs w:val="32"/>
          <w:lang w:val="en-US" w:eastAsia="de-DE"/>
        </w:rPr>
        <w:t>(Opto</w:t>
      </w:r>
      <w:r w:rsidR="00A41FB5" w:rsidRPr="00430A5E">
        <w:rPr>
          <w:rFonts w:ascii="Arial" w:eastAsia="Times New Roman" w:hAnsi="Arial" w:cs="Arial"/>
          <w:b/>
          <w:sz w:val="32"/>
          <w:szCs w:val="32"/>
          <w:lang w:val="en-US" w:eastAsia="de-DE"/>
        </w:rPr>
        <w:t>chemical</w:t>
      </w:r>
      <w:r w:rsidRPr="00430A5E">
        <w:rPr>
          <w:rFonts w:ascii="Arial" w:eastAsia="Times New Roman" w:hAnsi="Arial" w:cs="Arial"/>
          <w:b/>
          <w:sz w:val="32"/>
          <w:szCs w:val="32"/>
          <w:lang w:val="en-US" w:eastAsia="de-DE"/>
        </w:rPr>
        <w:t xml:space="preserve">) control of synthetic microbial co-culture </w:t>
      </w:r>
      <w:r w:rsidR="00726E03" w:rsidRPr="00430A5E">
        <w:rPr>
          <w:rFonts w:ascii="Arial" w:eastAsia="Times New Roman" w:hAnsi="Arial" w:cs="Arial"/>
          <w:b/>
          <w:sz w:val="32"/>
          <w:szCs w:val="32"/>
          <w:lang w:val="en-US" w:eastAsia="de-DE"/>
        </w:rPr>
        <w:t xml:space="preserve">interactions </w:t>
      </w:r>
      <w:r w:rsidR="00AA5426" w:rsidRPr="00430A5E">
        <w:rPr>
          <w:rFonts w:ascii="Arial" w:eastAsia="Times New Roman" w:hAnsi="Arial" w:cs="Arial"/>
          <w:b/>
          <w:sz w:val="32"/>
          <w:szCs w:val="32"/>
          <w:lang w:val="en-US" w:eastAsia="de-DE"/>
        </w:rPr>
        <w:t>on microcolony level</w:t>
      </w:r>
    </w:p>
    <w:p w14:paraId="484D426A" w14:textId="774AF153" w:rsidR="004A32B1" w:rsidRPr="00430A5E" w:rsidRDefault="004A32B1" w:rsidP="00F51EAB">
      <w:pPr>
        <w:widowControl w:val="0"/>
        <w:suppressAutoHyphens/>
        <w:spacing w:after="0" w:line="360" w:lineRule="auto"/>
        <w:rPr>
          <w:rFonts w:ascii="Arial" w:eastAsia="Times New Roman" w:hAnsi="Arial" w:cs="Arial"/>
          <w:vertAlign w:val="superscript"/>
          <w:lang w:val="en-US" w:eastAsia="ar-SA"/>
        </w:rPr>
      </w:pPr>
      <w:bookmarkStart w:id="0" w:name="_GoBack"/>
      <w:r w:rsidRPr="00430A5E">
        <w:rPr>
          <w:rFonts w:ascii="Arial" w:eastAsia="Times New Roman" w:hAnsi="Arial" w:cs="Arial"/>
          <w:lang w:val="en-US" w:eastAsia="ar-SA"/>
        </w:rPr>
        <w:t>Alina Burmeister</w:t>
      </w:r>
      <w:r w:rsidRPr="00430A5E">
        <w:rPr>
          <w:rFonts w:ascii="Arial" w:eastAsia="Times New Roman" w:hAnsi="Arial" w:cs="Arial"/>
          <w:vertAlign w:val="superscript"/>
          <w:lang w:val="en-US" w:eastAsia="ar-SA"/>
        </w:rPr>
        <w:t>1</w:t>
      </w:r>
      <w:r w:rsidR="005C2E4C" w:rsidRPr="00430A5E">
        <w:rPr>
          <w:rFonts w:ascii="Arial" w:eastAsia="Times New Roman" w:hAnsi="Arial" w:cs="Arial"/>
          <w:vertAlign w:val="superscript"/>
          <w:lang w:val="en-US" w:eastAsia="ar-SA"/>
        </w:rPr>
        <w:t>,2</w:t>
      </w:r>
      <w:r w:rsidR="00BC07B2" w:rsidRPr="00430A5E">
        <w:rPr>
          <w:rFonts w:ascii="Arial" w:eastAsia="Times New Roman" w:hAnsi="Arial" w:cs="Arial"/>
          <w:lang w:val="en-US" w:eastAsia="ar-SA"/>
        </w:rPr>
        <w:t>, Qiratt Akhtar</w:t>
      </w:r>
      <w:r w:rsidR="00EC34A1" w:rsidRPr="00430A5E">
        <w:rPr>
          <w:rFonts w:ascii="Arial" w:eastAsia="Times New Roman" w:hAnsi="Arial" w:cs="Arial"/>
          <w:vertAlign w:val="superscript"/>
          <w:lang w:val="en-US" w:eastAsia="ar-SA"/>
        </w:rPr>
        <w:t>1</w:t>
      </w:r>
      <w:r w:rsidR="00BC07B2" w:rsidRPr="00430A5E">
        <w:rPr>
          <w:rFonts w:ascii="Arial" w:eastAsia="Times New Roman" w:hAnsi="Arial" w:cs="Arial"/>
          <w:lang w:val="en-US" w:eastAsia="ar-SA"/>
        </w:rPr>
        <w:t>,</w:t>
      </w:r>
      <w:r w:rsidR="00EA26DC" w:rsidRPr="00430A5E">
        <w:rPr>
          <w:rFonts w:ascii="Arial" w:eastAsia="Times New Roman" w:hAnsi="Arial" w:cs="Arial"/>
          <w:lang w:val="en-US" w:eastAsia="ar-SA"/>
        </w:rPr>
        <w:t xml:space="preserve"> Lina Hollmann</w:t>
      </w:r>
      <w:r w:rsidR="00EA26DC" w:rsidRPr="00430A5E">
        <w:rPr>
          <w:rFonts w:ascii="Arial" w:eastAsia="Times New Roman" w:hAnsi="Arial" w:cs="Arial"/>
          <w:vertAlign w:val="superscript"/>
          <w:lang w:val="en-US" w:eastAsia="ar-SA"/>
        </w:rPr>
        <w:t>1</w:t>
      </w:r>
      <w:r w:rsidR="00EA26DC" w:rsidRPr="00430A5E">
        <w:rPr>
          <w:rFonts w:ascii="Arial" w:eastAsia="Times New Roman" w:hAnsi="Arial" w:cs="Arial"/>
          <w:lang w:val="en-US" w:eastAsia="ar-SA"/>
        </w:rPr>
        <w:t>,</w:t>
      </w:r>
      <w:r w:rsidR="00BC07B2" w:rsidRPr="00430A5E">
        <w:rPr>
          <w:rFonts w:ascii="Arial" w:eastAsia="Times New Roman" w:hAnsi="Arial" w:cs="Arial"/>
          <w:lang w:val="en-US" w:eastAsia="ar-SA"/>
        </w:rPr>
        <w:t xml:space="preserve"> </w:t>
      </w:r>
      <w:r w:rsidR="0032236F" w:rsidRPr="00430A5E">
        <w:rPr>
          <w:rFonts w:ascii="Arial" w:eastAsia="Times New Roman" w:hAnsi="Arial" w:cs="Arial"/>
          <w:lang w:val="en-US" w:eastAsia="ar-SA"/>
        </w:rPr>
        <w:t>Niklas Tenhaef</w:t>
      </w:r>
      <w:r w:rsidR="006662AF" w:rsidRPr="00430A5E">
        <w:rPr>
          <w:rFonts w:ascii="Arial" w:eastAsia="Times New Roman" w:hAnsi="Arial" w:cs="Arial"/>
          <w:vertAlign w:val="superscript"/>
          <w:lang w:val="en-US" w:eastAsia="ar-SA"/>
        </w:rPr>
        <w:t>1</w:t>
      </w:r>
      <w:r w:rsidR="0032236F" w:rsidRPr="00430A5E">
        <w:rPr>
          <w:rFonts w:ascii="Arial" w:eastAsia="Times New Roman" w:hAnsi="Arial" w:cs="Arial"/>
          <w:lang w:val="en-US" w:eastAsia="ar-SA"/>
        </w:rPr>
        <w:t>,</w:t>
      </w:r>
      <w:r w:rsidR="00EE24C7" w:rsidRPr="00430A5E">
        <w:rPr>
          <w:rFonts w:ascii="Arial" w:eastAsia="Times New Roman" w:hAnsi="Arial" w:cs="Arial"/>
          <w:lang w:val="en-US" w:eastAsia="ar-SA"/>
        </w:rPr>
        <w:t xml:space="preserve"> Fabienne Hilgers</w:t>
      </w:r>
      <w:r w:rsidR="00B96207" w:rsidRPr="00430A5E">
        <w:rPr>
          <w:rFonts w:ascii="Arial" w:eastAsia="Times New Roman" w:hAnsi="Arial" w:cs="Arial"/>
          <w:vertAlign w:val="superscript"/>
          <w:lang w:val="en-US" w:eastAsia="ar-SA"/>
        </w:rPr>
        <w:t>5</w:t>
      </w:r>
      <w:r w:rsidR="00EE24C7" w:rsidRPr="00430A5E">
        <w:rPr>
          <w:rFonts w:ascii="Arial" w:eastAsia="Times New Roman" w:hAnsi="Arial" w:cs="Arial"/>
          <w:lang w:val="en-US" w:eastAsia="ar-SA"/>
        </w:rPr>
        <w:t xml:space="preserve">, </w:t>
      </w:r>
      <w:r w:rsidR="00A77C56">
        <w:rPr>
          <w:rFonts w:ascii="Arial" w:eastAsia="Times New Roman" w:hAnsi="Arial" w:cs="Arial"/>
          <w:lang w:val="en-US" w:eastAsia="ar-SA"/>
        </w:rPr>
        <w:t>Fabian Hogenkamp</w:t>
      </w:r>
      <w:r w:rsidR="00A77C56" w:rsidRPr="00A77C56">
        <w:rPr>
          <w:rFonts w:ascii="Arial" w:eastAsia="Times New Roman" w:hAnsi="Arial" w:cs="Arial"/>
          <w:vertAlign w:val="superscript"/>
          <w:lang w:val="en-US" w:eastAsia="ar-SA"/>
        </w:rPr>
        <w:t>6</w:t>
      </w:r>
      <w:r w:rsidR="00A77C56">
        <w:rPr>
          <w:rFonts w:ascii="Arial" w:eastAsia="Times New Roman" w:hAnsi="Arial" w:cs="Arial"/>
          <w:lang w:val="en-US" w:eastAsia="ar-SA"/>
        </w:rPr>
        <w:t xml:space="preserve">, </w:t>
      </w:r>
      <w:r w:rsidR="00EE24C7" w:rsidRPr="00430A5E">
        <w:rPr>
          <w:rFonts w:ascii="Arial" w:eastAsia="Times New Roman" w:hAnsi="Arial" w:cs="Arial"/>
          <w:lang w:val="en-US" w:eastAsia="ar-SA"/>
        </w:rPr>
        <w:t>Sascha</w:t>
      </w:r>
      <w:r w:rsidR="00BC07B2" w:rsidRPr="00430A5E">
        <w:rPr>
          <w:rFonts w:ascii="Arial" w:eastAsia="Times New Roman" w:hAnsi="Arial" w:cs="Arial"/>
          <w:lang w:val="en-US" w:eastAsia="ar-SA"/>
        </w:rPr>
        <w:t xml:space="preserve"> Sokolowsky</w:t>
      </w:r>
      <w:r w:rsidR="006662AF" w:rsidRPr="00430A5E">
        <w:rPr>
          <w:rFonts w:ascii="Arial" w:eastAsia="Times New Roman" w:hAnsi="Arial" w:cs="Arial"/>
          <w:vertAlign w:val="superscript"/>
          <w:lang w:val="en-US" w:eastAsia="ar-SA"/>
        </w:rPr>
        <w:t>1</w:t>
      </w:r>
      <w:r w:rsidR="00BC07B2" w:rsidRPr="00430A5E">
        <w:rPr>
          <w:rFonts w:ascii="Arial" w:eastAsia="Times New Roman" w:hAnsi="Arial" w:cs="Arial"/>
          <w:lang w:val="en-US" w:eastAsia="ar-SA"/>
        </w:rPr>
        <w:t>,</w:t>
      </w:r>
      <w:r w:rsidR="00BA25B9" w:rsidRPr="00430A5E">
        <w:rPr>
          <w:rFonts w:ascii="Arial" w:eastAsia="Times New Roman" w:hAnsi="Arial" w:cs="Arial"/>
          <w:lang w:val="en-US" w:eastAsia="ar-SA"/>
        </w:rPr>
        <w:t xml:space="preserve"> Jan Marienhagen</w:t>
      </w:r>
      <w:r w:rsidR="006662AF" w:rsidRPr="00430A5E">
        <w:rPr>
          <w:rFonts w:ascii="Arial" w:eastAsia="Times New Roman" w:hAnsi="Arial" w:cs="Arial"/>
          <w:vertAlign w:val="superscript"/>
          <w:lang w:val="en-US" w:eastAsia="ar-SA"/>
        </w:rPr>
        <w:t>1</w:t>
      </w:r>
      <w:r w:rsidR="0002572D" w:rsidRPr="00430A5E">
        <w:rPr>
          <w:rFonts w:ascii="Arial" w:eastAsia="Times New Roman" w:hAnsi="Arial" w:cs="Arial"/>
          <w:vertAlign w:val="superscript"/>
          <w:lang w:val="en-US" w:eastAsia="ar-SA"/>
        </w:rPr>
        <w:t>,3</w:t>
      </w:r>
      <w:r w:rsidR="00BC07B2" w:rsidRPr="00430A5E">
        <w:rPr>
          <w:rFonts w:ascii="Arial" w:eastAsia="Times New Roman" w:hAnsi="Arial" w:cs="Arial"/>
          <w:lang w:val="en-US" w:eastAsia="ar-SA"/>
        </w:rPr>
        <w:t>, Stephan Noack</w:t>
      </w:r>
      <w:r w:rsidR="006662AF" w:rsidRPr="00430A5E">
        <w:rPr>
          <w:rFonts w:ascii="Arial" w:eastAsia="Times New Roman" w:hAnsi="Arial" w:cs="Arial"/>
          <w:vertAlign w:val="superscript"/>
          <w:lang w:val="en-US" w:eastAsia="ar-SA"/>
        </w:rPr>
        <w:t>1</w:t>
      </w:r>
      <w:r w:rsidR="00BC07B2" w:rsidRPr="00430A5E">
        <w:rPr>
          <w:rFonts w:ascii="Arial" w:eastAsia="Times New Roman" w:hAnsi="Arial" w:cs="Arial"/>
          <w:lang w:val="en-US" w:eastAsia="ar-SA"/>
        </w:rPr>
        <w:t>, Dietrich Kohlheyer</w:t>
      </w:r>
      <w:r w:rsidR="006662AF" w:rsidRPr="00430A5E">
        <w:rPr>
          <w:rFonts w:ascii="Arial" w:eastAsia="Times New Roman" w:hAnsi="Arial" w:cs="Arial"/>
          <w:vertAlign w:val="superscript"/>
          <w:lang w:val="en-US" w:eastAsia="ar-SA"/>
        </w:rPr>
        <w:t>1</w:t>
      </w:r>
      <w:r w:rsidR="004955FA" w:rsidRPr="00430A5E">
        <w:rPr>
          <w:rFonts w:ascii="Arial" w:eastAsia="Times New Roman" w:hAnsi="Arial" w:cs="Arial"/>
          <w:vertAlign w:val="superscript"/>
          <w:lang w:val="en-US" w:eastAsia="ar-SA"/>
        </w:rPr>
        <w:t>,4</w:t>
      </w:r>
      <w:r w:rsidR="00BC07B2" w:rsidRPr="00430A5E">
        <w:rPr>
          <w:rFonts w:ascii="Arial" w:eastAsia="Times New Roman" w:hAnsi="Arial" w:cs="Arial"/>
          <w:lang w:val="en-US" w:eastAsia="ar-SA"/>
        </w:rPr>
        <w:t xml:space="preserve"> </w:t>
      </w:r>
      <w:r w:rsidRPr="00430A5E">
        <w:rPr>
          <w:rFonts w:ascii="Arial" w:eastAsia="Times New Roman" w:hAnsi="Arial" w:cs="Arial"/>
          <w:lang w:val="en-US" w:eastAsia="ar-SA"/>
        </w:rPr>
        <w:t>and Alexander Grünberger</w:t>
      </w:r>
      <w:r w:rsidRPr="00430A5E">
        <w:rPr>
          <w:rFonts w:ascii="Arial" w:eastAsia="Times New Roman" w:hAnsi="Arial" w:cs="Arial"/>
          <w:vertAlign w:val="superscript"/>
          <w:lang w:val="en-US" w:eastAsia="ar-SA"/>
        </w:rPr>
        <w:t>2*</w:t>
      </w:r>
    </w:p>
    <w:p w14:paraId="74256A54" w14:textId="77777777" w:rsidR="00242B7C" w:rsidRPr="00430A5E" w:rsidRDefault="00242B7C" w:rsidP="00F51EAB">
      <w:pPr>
        <w:widowControl w:val="0"/>
        <w:suppressAutoHyphens/>
        <w:spacing w:after="0" w:line="360" w:lineRule="auto"/>
        <w:rPr>
          <w:rFonts w:ascii="Arial" w:eastAsia="Times New Roman" w:hAnsi="Arial" w:cs="Arial"/>
          <w:lang w:val="en-US" w:eastAsia="ar-SA"/>
        </w:rPr>
      </w:pPr>
    </w:p>
    <w:p w14:paraId="56F9B466" w14:textId="24C0DD02" w:rsidR="004A32B1" w:rsidRPr="00430A5E" w:rsidRDefault="004A32B1" w:rsidP="00242B7C">
      <w:pPr>
        <w:autoSpaceDE w:val="0"/>
        <w:autoSpaceDN w:val="0"/>
        <w:adjustRightInd w:val="0"/>
        <w:spacing w:after="0"/>
        <w:rPr>
          <w:rFonts w:ascii="Arial" w:eastAsia="Times New Roman" w:hAnsi="Arial" w:cs="Arial"/>
          <w:sz w:val="18"/>
          <w:szCs w:val="18"/>
          <w:lang w:val="en-US" w:eastAsia="ar-SA"/>
        </w:rPr>
      </w:pPr>
      <w:r w:rsidRPr="00430A5E">
        <w:rPr>
          <w:rFonts w:ascii="Arial" w:eastAsia="Times New Roman" w:hAnsi="Arial" w:cs="Arial"/>
          <w:sz w:val="18"/>
          <w:szCs w:val="18"/>
          <w:lang w:val="en-US" w:eastAsia="ar-SA"/>
        </w:rPr>
        <w:softHyphen/>
      </w:r>
      <w:r w:rsidRPr="00430A5E">
        <w:rPr>
          <w:rFonts w:ascii="Arial" w:eastAsia="Times New Roman" w:hAnsi="Arial" w:cs="Arial"/>
          <w:sz w:val="18"/>
          <w:szCs w:val="18"/>
          <w:lang w:val="en-US" w:eastAsia="ar-SA"/>
        </w:rPr>
        <w:softHyphen/>
      </w:r>
      <w:r w:rsidRPr="00430A5E">
        <w:rPr>
          <w:rFonts w:ascii="Arial" w:eastAsia="Times New Roman" w:hAnsi="Arial" w:cs="Arial"/>
          <w:sz w:val="18"/>
          <w:szCs w:val="18"/>
          <w:vertAlign w:val="superscript"/>
          <w:lang w:val="en-US" w:eastAsia="ar-SA"/>
        </w:rPr>
        <w:t>1</w:t>
      </w:r>
      <w:r w:rsidRPr="00430A5E">
        <w:rPr>
          <w:rFonts w:ascii="Arial" w:eastAsia="Times New Roman" w:hAnsi="Arial" w:cs="Arial"/>
          <w:sz w:val="18"/>
          <w:szCs w:val="18"/>
          <w:lang w:val="en-US" w:eastAsia="ar-SA"/>
        </w:rPr>
        <w:t xml:space="preserve"> </w:t>
      </w:r>
      <w:r w:rsidR="00242B7C" w:rsidRPr="00430A5E">
        <w:rPr>
          <w:rFonts w:ascii="Arial" w:eastAsia="Times New Roman" w:hAnsi="Arial" w:cs="Arial"/>
          <w:sz w:val="18"/>
          <w:szCs w:val="18"/>
          <w:lang w:val="en-US" w:eastAsia="ar-SA"/>
        </w:rPr>
        <w:t>Institute of Bio- and Geosciences, IBG-1: Biotechnology, Forschungszentrum Jülich, 52425 Jülich, Germany</w:t>
      </w:r>
    </w:p>
    <w:p w14:paraId="448A895E" w14:textId="778ECC87" w:rsidR="004A32B1" w:rsidRPr="00430A5E" w:rsidRDefault="004A32B1" w:rsidP="00056D06">
      <w:pPr>
        <w:autoSpaceDE w:val="0"/>
        <w:autoSpaceDN w:val="0"/>
        <w:adjustRightInd w:val="0"/>
        <w:spacing w:after="0" w:line="240" w:lineRule="auto"/>
        <w:rPr>
          <w:rFonts w:ascii="Arial" w:eastAsia="Times New Roman" w:hAnsi="Arial" w:cs="Arial"/>
          <w:sz w:val="18"/>
          <w:szCs w:val="18"/>
          <w:lang w:val="en-US" w:eastAsia="ar-SA"/>
        </w:rPr>
      </w:pPr>
      <w:r w:rsidRPr="00430A5E">
        <w:rPr>
          <w:rFonts w:ascii="Arial" w:eastAsia="Times New Roman" w:hAnsi="Arial" w:cs="Arial"/>
          <w:sz w:val="18"/>
          <w:szCs w:val="18"/>
          <w:vertAlign w:val="superscript"/>
          <w:lang w:val="en-US" w:eastAsia="ar-SA"/>
        </w:rPr>
        <w:t xml:space="preserve">2 </w:t>
      </w:r>
      <w:r w:rsidRPr="00430A5E">
        <w:rPr>
          <w:rFonts w:ascii="Arial" w:eastAsia="Times New Roman" w:hAnsi="Arial" w:cs="Arial"/>
          <w:sz w:val="18"/>
          <w:szCs w:val="18"/>
          <w:lang w:val="en-US" w:eastAsia="ar-SA"/>
        </w:rPr>
        <w:t>Multiscale Bioengineering, Bielefeld University, 33615 Bielefeld, Germany</w:t>
      </w:r>
    </w:p>
    <w:p w14:paraId="61D70CFD" w14:textId="019FA33A" w:rsidR="00056D06" w:rsidRPr="00430A5E" w:rsidRDefault="00056D06" w:rsidP="004955FA">
      <w:pPr>
        <w:autoSpaceDE w:val="0"/>
        <w:autoSpaceDN w:val="0"/>
        <w:adjustRightInd w:val="0"/>
        <w:spacing w:after="0" w:line="240" w:lineRule="auto"/>
        <w:rPr>
          <w:rFonts w:ascii="Arial" w:eastAsia="Times New Roman" w:hAnsi="Arial" w:cs="Arial"/>
          <w:sz w:val="18"/>
          <w:szCs w:val="18"/>
          <w:lang w:val="en-US" w:eastAsia="ar-SA"/>
        </w:rPr>
      </w:pPr>
      <w:r w:rsidRPr="00430A5E">
        <w:rPr>
          <w:rFonts w:ascii="Arial" w:eastAsia="Times New Roman" w:hAnsi="Arial" w:cs="Arial"/>
          <w:sz w:val="18"/>
          <w:szCs w:val="18"/>
          <w:vertAlign w:val="superscript"/>
          <w:lang w:val="en-US" w:eastAsia="ar-SA"/>
        </w:rPr>
        <w:t xml:space="preserve">3 </w:t>
      </w:r>
      <w:r w:rsidRPr="00430A5E">
        <w:rPr>
          <w:rFonts w:ascii="Arial" w:eastAsia="Times New Roman" w:hAnsi="Arial" w:cs="Arial"/>
          <w:sz w:val="18"/>
          <w:szCs w:val="18"/>
          <w:lang w:val="en-US" w:eastAsia="ar-SA"/>
        </w:rPr>
        <w:t>Institute of Biotechnology, RWTH Aachen</w:t>
      </w:r>
      <w:r w:rsidR="0002572D" w:rsidRPr="00430A5E">
        <w:rPr>
          <w:rFonts w:ascii="Arial" w:eastAsia="Times New Roman" w:hAnsi="Arial" w:cs="Arial"/>
          <w:sz w:val="18"/>
          <w:szCs w:val="18"/>
          <w:lang w:val="en-US" w:eastAsia="ar-SA"/>
        </w:rPr>
        <w:t xml:space="preserve"> University, </w:t>
      </w:r>
      <w:r w:rsidRPr="00430A5E">
        <w:rPr>
          <w:rFonts w:ascii="Arial" w:eastAsia="Times New Roman" w:hAnsi="Arial" w:cs="Arial"/>
          <w:sz w:val="18"/>
          <w:szCs w:val="18"/>
          <w:lang w:val="en-US" w:eastAsia="ar-SA"/>
        </w:rPr>
        <w:t>52074 Aachen, Germany</w:t>
      </w:r>
    </w:p>
    <w:p w14:paraId="2EE8975A" w14:textId="2A766629" w:rsidR="004955FA" w:rsidRPr="00430A5E" w:rsidRDefault="004955FA" w:rsidP="004955FA">
      <w:pPr>
        <w:autoSpaceDE w:val="0"/>
        <w:autoSpaceDN w:val="0"/>
        <w:adjustRightInd w:val="0"/>
        <w:spacing w:after="0" w:line="240" w:lineRule="auto"/>
        <w:rPr>
          <w:rFonts w:ascii="Arial" w:eastAsia="Times New Roman" w:hAnsi="Arial" w:cs="Arial"/>
          <w:sz w:val="18"/>
          <w:szCs w:val="18"/>
          <w:lang w:eastAsia="ar-SA"/>
        </w:rPr>
      </w:pPr>
      <w:r w:rsidRPr="00430A5E">
        <w:rPr>
          <w:rFonts w:ascii="Arial" w:eastAsia="Times New Roman" w:hAnsi="Arial" w:cs="Arial"/>
          <w:sz w:val="18"/>
          <w:szCs w:val="18"/>
          <w:vertAlign w:val="superscript"/>
          <w:lang w:eastAsia="ar-SA"/>
        </w:rPr>
        <w:t>4</w:t>
      </w:r>
      <w:r w:rsidRPr="00430A5E">
        <w:rPr>
          <w:rFonts w:ascii="Arial" w:eastAsia="Times New Roman" w:hAnsi="Arial" w:cs="Arial"/>
          <w:sz w:val="18"/>
          <w:szCs w:val="18"/>
          <w:lang w:eastAsia="ar-SA"/>
        </w:rPr>
        <w:t xml:space="preserve"> Aachener Verfahrenstechnik (AVT-MSB), RWTH Aachen University,</w:t>
      </w:r>
      <w:r w:rsidR="008551DD">
        <w:rPr>
          <w:rFonts w:ascii="Arial" w:eastAsia="Times New Roman" w:hAnsi="Arial" w:cs="Arial"/>
          <w:sz w:val="18"/>
          <w:szCs w:val="18"/>
          <w:lang w:eastAsia="ar-SA"/>
        </w:rPr>
        <w:t xml:space="preserve"> 52074 Aachen,</w:t>
      </w:r>
      <w:r w:rsidRPr="00430A5E">
        <w:rPr>
          <w:rFonts w:ascii="Arial" w:eastAsia="Times New Roman" w:hAnsi="Arial" w:cs="Arial"/>
          <w:sz w:val="18"/>
          <w:szCs w:val="18"/>
          <w:lang w:eastAsia="ar-SA"/>
        </w:rPr>
        <w:t xml:space="preserve"> Germany</w:t>
      </w:r>
    </w:p>
    <w:p w14:paraId="6DA86C8D" w14:textId="1118E35C" w:rsidR="00B96207" w:rsidRDefault="00B96207" w:rsidP="004955FA">
      <w:pPr>
        <w:autoSpaceDE w:val="0"/>
        <w:autoSpaceDN w:val="0"/>
        <w:adjustRightInd w:val="0"/>
        <w:spacing w:after="0" w:line="240" w:lineRule="auto"/>
        <w:rPr>
          <w:rFonts w:ascii="Arial" w:eastAsia="Times New Roman" w:hAnsi="Arial" w:cs="Arial"/>
          <w:sz w:val="18"/>
          <w:szCs w:val="18"/>
          <w:lang w:eastAsia="ar-SA"/>
        </w:rPr>
      </w:pPr>
      <w:r w:rsidRPr="00430A5E">
        <w:rPr>
          <w:rFonts w:ascii="Arial" w:eastAsia="Times New Roman" w:hAnsi="Arial" w:cs="Arial"/>
          <w:sz w:val="18"/>
          <w:szCs w:val="18"/>
          <w:vertAlign w:val="superscript"/>
          <w:lang w:eastAsia="ar-SA"/>
        </w:rPr>
        <w:t>5</w:t>
      </w:r>
      <w:r w:rsidR="00292598">
        <w:rPr>
          <w:rFonts w:ascii="Arial" w:eastAsia="Times New Roman" w:hAnsi="Arial" w:cs="Arial"/>
          <w:sz w:val="18"/>
          <w:szCs w:val="18"/>
          <w:vertAlign w:val="superscript"/>
          <w:lang w:eastAsia="ar-SA"/>
        </w:rPr>
        <w:t xml:space="preserve"> </w:t>
      </w:r>
      <w:r w:rsidRPr="00430A5E">
        <w:rPr>
          <w:rFonts w:ascii="Arial" w:eastAsia="Times New Roman" w:hAnsi="Arial" w:cs="Arial"/>
          <w:sz w:val="18"/>
          <w:szCs w:val="18"/>
          <w:lang w:eastAsia="ar-SA"/>
        </w:rPr>
        <w:t>Institute of Molecular Enzyme Technology, Heinrich-Heine-University Düsseldorf, Forschungszentrum Jülich, 52428 Jülich, Germany</w:t>
      </w:r>
    </w:p>
    <w:p w14:paraId="6F87F494" w14:textId="77777777" w:rsidR="00A77C56" w:rsidRPr="007072BE" w:rsidRDefault="00A77C56" w:rsidP="00A77C56">
      <w:pPr>
        <w:autoSpaceDE w:val="0"/>
        <w:autoSpaceDN w:val="0"/>
        <w:adjustRightInd w:val="0"/>
        <w:spacing w:after="0" w:line="240" w:lineRule="auto"/>
        <w:rPr>
          <w:rFonts w:ascii="Arial" w:eastAsia="Times New Roman" w:hAnsi="Arial" w:cs="Arial"/>
          <w:color w:val="FF0000"/>
          <w:sz w:val="18"/>
          <w:szCs w:val="18"/>
          <w:lang w:eastAsia="ar-SA"/>
        </w:rPr>
      </w:pPr>
      <w:r w:rsidRPr="00A77C56">
        <w:rPr>
          <w:rFonts w:ascii="Arial" w:eastAsia="Times New Roman" w:hAnsi="Arial" w:cs="Arial"/>
          <w:sz w:val="18"/>
          <w:szCs w:val="18"/>
          <w:vertAlign w:val="superscript"/>
          <w:lang w:eastAsia="ar-SA"/>
        </w:rPr>
        <w:t>6</w:t>
      </w:r>
      <w:r>
        <w:rPr>
          <w:rFonts w:ascii="Arial" w:eastAsia="Times New Roman" w:hAnsi="Arial" w:cs="Arial"/>
          <w:sz w:val="18"/>
          <w:szCs w:val="18"/>
          <w:lang w:eastAsia="ar-SA"/>
        </w:rPr>
        <w:t xml:space="preserve"> </w:t>
      </w:r>
      <w:r w:rsidRPr="00A77C56">
        <w:rPr>
          <w:rFonts w:ascii="Arial" w:eastAsia="Times New Roman" w:hAnsi="Arial" w:cs="Arial"/>
          <w:sz w:val="18"/>
          <w:szCs w:val="18"/>
          <w:lang w:eastAsia="ar-SA"/>
        </w:rPr>
        <w:t>Institute of Bioorganic Chemistry, Heinrich Heine University Düsseldorf, Forschungszentrum Jülich, 52428 Jülich, Germany</w:t>
      </w:r>
    </w:p>
    <w:bookmarkEnd w:id="0"/>
    <w:p w14:paraId="02D6EA9C" w14:textId="4DBEC0F5" w:rsidR="00A77C56" w:rsidRPr="00430A5E" w:rsidRDefault="00A77C56" w:rsidP="004955FA">
      <w:pPr>
        <w:autoSpaceDE w:val="0"/>
        <w:autoSpaceDN w:val="0"/>
        <w:adjustRightInd w:val="0"/>
        <w:spacing w:after="0" w:line="240" w:lineRule="auto"/>
        <w:rPr>
          <w:rFonts w:ascii="Arial" w:eastAsia="Times New Roman" w:hAnsi="Arial" w:cs="Arial"/>
          <w:sz w:val="18"/>
          <w:szCs w:val="18"/>
          <w:lang w:eastAsia="ar-SA"/>
        </w:rPr>
      </w:pPr>
    </w:p>
    <w:p w14:paraId="11C4AC99" w14:textId="77777777" w:rsidR="004A32B1" w:rsidRPr="00430A5E" w:rsidRDefault="004A32B1" w:rsidP="00242B7C">
      <w:pPr>
        <w:autoSpaceDE w:val="0"/>
        <w:autoSpaceDN w:val="0"/>
        <w:adjustRightInd w:val="0"/>
        <w:spacing w:after="0" w:line="360" w:lineRule="auto"/>
        <w:rPr>
          <w:rFonts w:ascii="Arial" w:eastAsia="Times New Roman" w:hAnsi="Arial" w:cs="Arial"/>
          <w:sz w:val="18"/>
          <w:szCs w:val="18"/>
          <w:lang w:eastAsia="ar-SA"/>
        </w:rPr>
      </w:pPr>
    </w:p>
    <w:p w14:paraId="411E2E11" w14:textId="77777777" w:rsidR="004A32B1" w:rsidRPr="00430A5E" w:rsidRDefault="004A32B1" w:rsidP="00242B7C">
      <w:pPr>
        <w:autoSpaceDE w:val="0"/>
        <w:autoSpaceDN w:val="0"/>
        <w:adjustRightInd w:val="0"/>
        <w:spacing w:after="0" w:line="360" w:lineRule="auto"/>
        <w:rPr>
          <w:rFonts w:ascii="Arial" w:eastAsia="Times New Roman" w:hAnsi="Arial" w:cs="Arial"/>
          <w:sz w:val="18"/>
          <w:szCs w:val="18"/>
          <w:lang w:val="en-US" w:eastAsia="ar-SA"/>
        </w:rPr>
      </w:pPr>
      <w:r w:rsidRPr="00430A5E">
        <w:rPr>
          <w:rFonts w:ascii="Arial" w:eastAsia="Times New Roman" w:hAnsi="Arial" w:cs="Arial"/>
          <w:sz w:val="18"/>
          <w:szCs w:val="18"/>
          <w:lang w:val="en-US" w:eastAsia="ar-SA"/>
        </w:rPr>
        <w:softHyphen/>
      </w:r>
      <w:r w:rsidRPr="00430A5E">
        <w:rPr>
          <w:rFonts w:ascii="Arial" w:eastAsia="Times New Roman" w:hAnsi="Arial" w:cs="Arial"/>
          <w:sz w:val="18"/>
          <w:szCs w:val="18"/>
          <w:lang w:val="en-US" w:eastAsia="ar-SA"/>
        </w:rPr>
        <w:softHyphen/>
        <w:t>*Corresponding author:</w:t>
      </w:r>
    </w:p>
    <w:p w14:paraId="3DDA1CC4" w14:textId="60E797F8" w:rsidR="004A32B1" w:rsidRPr="00430A5E" w:rsidRDefault="004A32B1" w:rsidP="00F51EAB">
      <w:pPr>
        <w:autoSpaceDE w:val="0"/>
        <w:autoSpaceDN w:val="0"/>
        <w:adjustRightInd w:val="0"/>
        <w:spacing w:after="0" w:line="360" w:lineRule="auto"/>
        <w:rPr>
          <w:rStyle w:val="Hyperlink"/>
          <w:rFonts w:ascii="Arial" w:eastAsia="Times New Roman" w:hAnsi="Arial" w:cs="Arial"/>
          <w:color w:val="auto"/>
          <w:sz w:val="18"/>
          <w:szCs w:val="18"/>
          <w:lang w:val="en-US" w:eastAsia="ar-SA"/>
        </w:rPr>
      </w:pPr>
      <w:r w:rsidRPr="00430A5E">
        <w:rPr>
          <w:rFonts w:ascii="Arial" w:eastAsia="Times New Roman" w:hAnsi="Arial" w:cs="Arial"/>
          <w:sz w:val="18"/>
          <w:szCs w:val="18"/>
          <w:lang w:val="en-US" w:eastAsia="ar-SA"/>
        </w:rPr>
        <w:t>E-Mail: alexander.gruenberger@uni-bielefeld.de</w:t>
      </w:r>
    </w:p>
    <w:p w14:paraId="738E55D4" w14:textId="77777777" w:rsidR="004A32B1" w:rsidRPr="00430A5E" w:rsidRDefault="004A32B1" w:rsidP="00F51EAB">
      <w:pPr>
        <w:autoSpaceDE w:val="0"/>
        <w:autoSpaceDN w:val="0"/>
        <w:adjustRightInd w:val="0"/>
        <w:spacing w:after="0" w:line="360" w:lineRule="auto"/>
        <w:rPr>
          <w:rFonts w:ascii="Arial" w:eastAsia="Times New Roman" w:hAnsi="Arial" w:cs="Arial"/>
          <w:sz w:val="18"/>
          <w:szCs w:val="18"/>
          <w:lang w:val="en-US" w:eastAsia="ar-SA"/>
        </w:rPr>
      </w:pPr>
      <w:r w:rsidRPr="00430A5E">
        <w:rPr>
          <w:rFonts w:ascii="Arial" w:eastAsia="Times New Roman" w:hAnsi="Arial" w:cs="Arial"/>
          <w:sz w:val="18"/>
          <w:szCs w:val="18"/>
          <w:lang w:val="en-US" w:eastAsia="ar-SA"/>
        </w:rPr>
        <w:t>Phone: +49-521-106-5289</w:t>
      </w:r>
    </w:p>
    <w:p w14:paraId="367FA2EC" w14:textId="77777777" w:rsidR="004A32B1" w:rsidRPr="00430A5E" w:rsidRDefault="004A32B1" w:rsidP="00F51EAB">
      <w:pPr>
        <w:spacing w:after="0" w:line="360" w:lineRule="auto"/>
        <w:rPr>
          <w:rFonts w:ascii="Arial" w:hAnsi="Arial" w:cs="Arial"/>
          <w:sz w:val="20"/>
          <w:lang w:val="en-US"/>
        </w:rPr>
      </w:pPr>
    </w:p>
    <w:p w14:paraId="67340BE0" w14:textId="77777777" w:rsidR="004A32B1" w:rsidRPr="00430A5E" w:rsidRDefault="004A32B1" w:rsidP="00F51EAB">
      <w:pPr>
        <w:spacing w:after="0"/>
        <w:rPr>
          <w:rFonts w:ascii="Arial" w:hAnsi="Arial" w:cs="Arial"/>
          <w:lang w:val="en-US"/>
        </w:rPr>
      </w:pPr>
    </w:p>
    <w:p w14:paraId="52B8832A" w14:textId="77777777" w:rsidR="004A32B1" w:rsidRPr="00430A5E" w:rsidRDefault="004A32B1" w:rsidP="00F51EAB">
      <w:pPr>
        <w:spacing w:after="0"/>
        <w:rPr>
          <w:rFonts w:ascii="Arial" w:hAnsi="Arial" w:cs="Arial"/>
          <w:lang w:val="en-US"/>
        </w:rPr>
      </w:pPr>
    </w:p>
    <w:p w14:paraId="0B8CC697" w14:textId="77777777" w:rsidR="004A32B1" w:rsidRPr="00430A5E" w:rsidRDefault="004A32B1" w:rsidP="00F51EAB">
      <w:pPr>
        <w:spacing w:after="0"/>
        <w:rPr>
          <w:b/>
          <w:lang w:val="en-US"/>
        </w:rPr>
      </w:pPr>
    </w:p>
    <w:p w14:paraId="32AB4AA6" w14:textId="77777777" w:rsidR="004A32B1" w:rsidRPr="00430A5E" w:rsidRDefault="004A32B1" w:rsidP="00F51EAB">
      <w:pPr>
        <w:spacing w:after="0"/>
        <w:rPr>
          <w:b/>
          <w:lang w:val="en-US"/>
        </w:rPr>
      </w:pPr>
    </w:p>
    <w:p w14:paraId="705B9A31" w14:textId="77777777" w:rsidR="004A32B1" w:rsidRPr="00430A5E" w:rsidRDefault="004A32B1" w:rsidP="00F51EAB">
      <w:pPr>
        <w:spacing w:after="0"/>
        <w:rPr>
          <w:b/>
          <w:lang w:val="en-US"/>
        </w:rPr>
      </w:pPr>
    </w:p>
    <w:p w14:paraId="05374C7B" w14:textId="77777777" w:rsidR="004A32B1" w:rsidRPr="00430A5E" w:rsidRDefault="004A32B1" w:rsidP="00F51EAB">
      <w:pPr>
        <w:spacing w:after="0"/>
        <w:rPr>
          <w:b/>
          <w:lang w:val="en-US"/>
        </w:rPr>
      </w:pPr>
      <w:r w:rsidRPr="00430A5E">
        <w:rPr>
          <w:b/>
          <w:lang w:val="en-US"/>
        </w:rPr>
        <w:br w:type="page"/>
      </w:r>
    </w:p>
    <w:p w14:paraId="357DB5C5" w14:textId="3C301CD7" w:rsidR="004A32B1" w:rsidRPr="00430A5E" w:rsidRDefault="004A32B1" w:rsidP="0070702F">
      <w:pPr>
        <w:spacing w:after="0" w:line="360" w:lineRule="auto"/>
        <w:jc w:val="both"/>
        <w:rPr>
          <w:rFonts w:ascii="Arial" w:eastAsia="Times New Roman" w:hAnsi="Arial" w:cs="Arial"/>
          <w:sz w:val="32"/>
          <w:szCs w:val="32"/>
          <w:lang w:val="en-US" w:eastAsia="de-DE"/>
        </w:rPr>
      </w:pPr>
      <w:r w:rsidRPr="00430A5E">
        <w:rPr>
          <w:rFonts w:ascii="Arial" w:eastAsia="Times New Roman" w:hAnsi="Arial" w:cs="Arial"/>
          <w:b/>
          <w:sz w:val="32"/>
          <w:szCs w:val="32"/>
          <w:lang w:val="en-US" w:eastAsia="de-DE"/>
        </w:rPr>
        <w:lastRenderedPageBreak/>
        <w:t>Abstract</w:t>
      </w:r>
      <w:r w:rsidR="00AB4198" w:rsidRPr="00430A5E">
        <w:rPr>
          <w:rFonts w:ascii="Arial" w:eastAsia="Times New Roman" w:hAnsi="Arial" w:cs="Arial"/>
          <w:b/>
          <w:sz w:val="32"/>
          <w:szCs w:val="32"/>
          <w:lang w:val="en-US" w:eastAsia="de-DE"/>
        </w:rPr>
        <w:t xml:space="preserve"> </w:t>
      </w:r>
    </w:p>
    <w:p w14:paraId="0E611005" w14:textId="71B25A30" w:rsidR="00EC34A1" w:rsidRPr="00430A5E" w:rsidRDefault="008B74E9" w:rsidP="0070702F">
      <w:pPr>
        <w:spacing w:after="0" w:line="360" w:lineRule="auto"/>
        <w:jc w:val="both"/>
        <w:rPr>
          <w:rFonts w:ascii="Arial" w:hAnsi="Arial" w:cs="Arial"/>
          <w:lang w:val="en-US"/>
        </w:rPr>
      </w:pPr>
      <w:r w:rsidRPr="00430A5E">
        <w:rPr>
          <w:rFonts w:ascii="Arial" w:hAnsi="Arial" w:cs="Arial"/>
          <w:lang w:val="en-US"/>
        </w:rPr>
        <w:t>S</w:t>
      </w:r>
      <w:r w:rsidR="00164FD5" w:rsidRPr="00430A5E">
        <w:rPr>
          <w:rFonts w:ascii="Arial" w:hAnsi="Arial" w:cs="Arial"/>
          <w:lang w:val="en-US"/>
        </w:rPr>
        <w:t>ynthetic mi</w:t>
      </w:r>
      <w:r w:rsidR="00745EF6" w:rsidRPr="00430A5E">
        <w:rPr>
          <w:rFonts w:ascii="Arial" w:hAnsi="Arial" w:cs="Arial"/>
          <w:lang w:val="en-US"/>
        </w:rPr>
        <w:t xml:space="preserve">crobial co-cultures </w:t>
      </w:r>
      <w:r w:rsidR="004955FA" w:rsidRPr="00430A5E">
        <w:rPr>
          <w:rFonts w:ascii="Arial" w:hAnsi="Arial" w:cs="Arial"/>
          <w:lang w:val="en-US"/>
        </w:rPr>
        <w:t>carry enormous potential for</w:t>
      </w:r>
      <w:r w:rsidR="000443FC" w:rsidRPr="00430A5E">
        <w:rPr>
          <w:rFonts w:ascii="Arial" w:hAnsi="Arial" w:cs="Arial"/>
          <w:lang w:val="en-US"/>
        </w:rPr>
        <w:t xml:space="preserve"> </w:t>
      </w:r>
      <w:r w:rsidR="00745EF6" w:rsidRPr="00430A5E">
        <w:rPr>
          <w:rFonts w:ascii="Arial" w:hAnsi="Arial" w:cs="Arial"/>
          <w:lang w:val="en-US"/>
        </w:rPr>
        <w:t>applied biotechnology</w:t>
      </w:r>
      <w:r w:rsidR="004955FA" w:rsidRPr="00430A5E">
        <w:rPr>
          <w:rFonts w:ascii="Arial" w:hAnsi="Arial" w:cs="Arial"/>
          <w:lang w:val="en-US"/>
        </w:rPr>
        <w:t xml:space="preserve"> and are increasingly</w:t>
      </w:r>
      <w:r w:rsidR="00E04F57" w:rsidRPr="00430A5E">
        <w:rPr>
          <w:rFonts w:ascii="Arial" w:hAnsi="Arial" w:cs="Arial"/>
          <w:lang w:val="en-US"/>
        </w:rPr>
        <w:t xml:space="preserve"> </w:t>
      </w:r>
      <w:r w:rsidR="00AD6CE6" w:rsidRPr="00430A5E">
        <w:rPr>
          <w:rFonts w:ascii="Arial" w:hAnsi="Arial" w:cs="Arial"/>
          <w:lang w:val="en-US"/>
        </w:rPr>
        <w:t>subject of</w:t>
      </w:r>
      <w:r w:rsidR="00E04F57" w:rsidRPr="00430A5E">
        <w:rPr>
          <w:rFonts w:ascii="Arial" w:hAnsi="Arial" w:cs="Arial"/>
          <w:lang w:val="en-US"/>
        </w:rPr>
        <w:t xml:space="preserve"> fundamental research</w:t>
      </w:r>
      <w:r w:rsidR="00745EF6" w:rsidRPr="00430A5E">
        <w:rPr>
          <w:rFonts w:ascii="Arial" w:hAnsi="Arial" w:cs="Arial"/>
          <w:lang w:val="en-US"/>
        </w:rPr>
        <w:t xml:space="preserve">. So far, most </w:t>
      </w:r>
      <w:r w:rsidR="00411FCD" w:rsidRPr="00430A5E">
        <w:rPr>
          <w:rFonts w:ascii="Arial" w:hAnsi="Arial" w:cs="Arial"/>
          <w:lang w:val="en-US"/>
        </w:rPr>
        <w:t>co-</w:t>
      </w:r>
      <w:r w:rsidR="00E04F57" w:rsidRPr="00430A5E">
        <w:rPr>
          <w:rFonts w:ascii="Arial" w:hAnsi="Arial" w:cs="Arial"/>
          <w:lang w:val="en-US"/>
        </w:rPr>
        <w:t>cultures</w:t>
      </w:r>
      <w:r w:rsidR="00745EF6" w:rsidRPr="00430A5E">
        <w:rPr>
          <w:rFonts w:ascii="Arial" w:hAnsi="Arial" w:cs="Arial"/>
          <w:lang w:val="en-US"/>
        </w:rPr>
        <w:t xml:space="preserve"> </w:t>
      </w:r>
      <w:r w:rsidR="00E04F57" w:rsidRPr="00430A5E">
        <w:rPr>
          <w:rFonts w:ascii="Arial" w:hAnsi="Arial" w:cs="Arial"/>
          <w:lang w:val="en-US"/>
        </w:rPr>
        <w:t>have been</w:t>
      </w:r>
      <w:r w:rsidR="00745EF6" w:rsidRPr="00430A5E">
        <w:rPr>
          <w:rFonts w:ascii="Arial" w:hAnsi="Arial" w:cs="Arial"/>
          <w:lang w:val="en-US"/>
        </w:rPr>
        <w:t xml:space="preserve"> </w:t>
      </w:r>
      <w:r w:rsidR="00164FD5" w:rsidRPr="00430A5E">
        <w:rPr>
          <w:rFonts w:ascii="Arial" w:hAnsi="Arial" w:cs="Arial"/>
          <w:lang w:val="en-US"/>
        </w:rPr>
        <w:t>designed</w:t>
      </w:r>
      <w:r w:rsidR="00745EF6" w:rsidRPr="00430A5E">
        <w:rPr>
          <w:rFonts w:ascii="Arial" w:hAnsi="Arial" w:cs="Arial"/>
          <w:lang w:val="en-US"/>
        </w:rPr>
        <w:t xml:space="preserve"> and characterized </w:t>
      </w:r>
      <w:r w:rsidR="00E04F57" w:rsidRPr="00430A5E">
        <w:rPr>
          <w:rFonts w:ascii="Arial" w:hAnsi="Arial" w:cs="Arial"/>
          <w:lang w:val="en-US"/>
        </w:rPr>
        <w:t>based on</w:t>
      </w:r>
      <w:r w:rsidR="00745EF6" w:rsidRPr="00430A5E">
        <w:rPr>
          <w:rFonts w:ascii="Arial" w:hAnsi="Arial" w:cs="Arial"/>
          <w:lang w:val="en-US"/>
        </w:rPr>
        <w:t xml:space="preserve"> bulk</w:t>
      </w:r>
      <w:r w:rsidR="007D5D51" w:rsidRPr="00430A5E">
        <w:rPr>
          <w:rFonts w:ascii="Arial" w:hAnsi="Arial" w:cs="Arial"/>
          <w:lang w:val="en-US"/>
        </w:rPr>
        <w:t xml:space="preserve"> cultivation</w:t>
      </w:r>
      <w:r w:rsidR="00CB2594" w:rsidRPr="00430A5E">
        <w:rPr>
          <w:rFonts w:ascii="Arial" w:hAnsi="Arial" w:cs="Arial"/>
          <w:lang w:val="en-US"/>
        </w:rPr>
        <w:t>s</w:t>
      </w:r>
      <w:r w:rsidR="00164FD5" w:rsidRPr="00430A5E">
        <w:rPr>
          <w:rFonts w:ascii="Arial" w:hAnsi="Arial" w:cs="Arial"/>
          <w:lang w:val="en-US"/>
        </w:rPr>
        <w:t xml:space="preserve"> without considering the </w:t>
      </w:r>
      <w:r w:rsidR="00AD6CE6" w:rsidRPr="00430A5E">
        <w:rPr>
          <w:rFonts w:ascii="Arial" w:hAnsi="Arial" w:cs="Arial"/>
          <w:lang w:val="en-US"/>
        </w:rPr>
        <w:t>potentially highly heterogeneous and diverse</w:t>
      </w:r>
      <w:r w:rsidR="00B2250E" w:rsidRPr="00430A5E">
        <w:rPr>
          <w:rFonts w:ascii="Arial" w:hAnsi="Arial" w:cs="Arial"/>
          <w:lang w:val="en-US"/>
        </w:rPr>
        <w:t xml:space="preserve"> </w:t>
      </w:r>
      <w:r w:rsidR="00745EF6" w:rsidRPr="00430A5E">
        <w:rPr>
          <w:rFonts w:ascii="Arial" w:hAnsi="Arial" w:cs="Arial"/>
          <w:lang w:val="en-US"/>
        </w:rPr>
        <w:t>single</w:t>
      </w:r>
      <w:r w:rsidR="00B2250E" w:rsidRPr="00430A5E">
        <w:rPr>
          <w:rFonts w:ascii="Arial" w:hAnsi="Arial" w:cs="Arial"/>
          <w:lang w:val="en-US"/>
        </w:rPr>
        <w:t>-</w:t>
      </w:r>
      <w:r w:rsidR="00745EF6" w:rsidRPr="00430A5E">
        <w:rPr>
          <w:rFonts w:ascii="Arial" w:hAnsi="Arial" w:cs="Arial"/>
          <w:lang w:val="en-US"/>
        </w:rPr>
        <w:t>cell</w:t>
      </w:r>
      <w:r w:rsidR="00B2250E" w:rsidRPr="00430A5E">
        <w:rPr>
          <w:rFonts w:ascii="Arial" w:hAnsi="Arial" w:cs="Arial"/>
          <w:lang w:val="en-US"/>
        </w:rPr>
        <w:t xml:space="preserve"> behavior</w:t>
      </w:r>
      <w:r w:rsidR="000443FC" w:rsidRPr="00430A5E">
        <w:rPr>
          <w:rFonts w:ascii="Arial" w:hAnsi="Arial" w:cs="Arial"/>
          <w:lang w:val="en-US"/>
        </w:rPr>
        <w:t xml:space="preserve">. </w:t>
      </w:r>
      <w:r w:rsidR="00B2250E" w:rsidRPr="00430A5E">
        <w:rPr>
          <w:rFonts w:ascii="Arial" w:hAnsi="Arial" w:cs="Arial"/>
          <w:lang w:val="en-US"/>
        </w:rPr>
        <w:t>However, a</w:t>
      </w:r>
      <w:r w:rsidR="007D5D51" w:rsidRPr="00430A5E">
        <w:rPr>
          <w:rFonts w:ascii="Arial" w:hAnsi="Arial" w:cs="Arial"/>
          <w:lang w:val="en-US"/>
        </w:rPr>
        <w:t>n i</w:t>
      </w:r>
      <w:r w:rsidR="00B2250E" w:rsidRPr="00430A5E">
        <w:rPr>
          <w:rFonts w:ascii="Arial" w:hAnsi="Arial" w:cs="Arial"/>
          <w:lang w:val="en-US"/>
        </w:rPr>
        <w:t>n-depth</w:t>
      </w:r>
      <w:r w:rsidR="007D5D51" w:rsidRPr="00430A5E">
        <w:rPr>
          <w:rFonts w:ascii="Arial" w:hAnsi="Arial" w:cs="Arial"/>
          <w:lang w:val="en-US"/>
        </w:rPr>
        <w:t xml:space="preserve"> understanding of co-cultures </w:t>
      </w:r>
      <w:r w:rsidR="00B2250E" w:rsidRPr="00430A5E">
        <w:rPr>
          <w:rFonts w:ascii="Arial" w:hAnsi="Arial" w:cs="Arial"/>
          <w:lang w:val="en-US"/>
        </w:rPr>
        <w:t xml:space="preserve">including </w:t>
      </w:r>
      <w:r w:rsidR="007D5D51" w:rsidRPr="00430A5E">
        <w:rPr>
          <w:rFonts w:ascii="Arial" w:hAnsi="Arial" w:cs="Arial"/>
          <w:lang w:val="en-US"/>
        </w:rPr>
        <w:t>their</w:t>
      </w:r>
      <w:r w:rsidR="00B2250E" w:rsidRPr="00430A5E">
        <w:rPr>
          <w:rFonts w:ascii="Arial" w:hAnsi="Arial" w:cs="Arial"/>
          <w:lang w:val="en-US"/>
        </w:rPr>
        <w:t xml:space="preserve"> interacting single cells</w:t>
      </w:r>
      <w:r w:rsidR="007D5D51" w:rsidRPr="00430A5E">
        <w:rPr>
          <w:rFonts w:ascii="Arial" w:hAnsi="Arial" w:cs="Arial"/>
          <w:lang w:val="en-US"/>
        </w:rPr>
        <w:t xml:space="preserve"> is indispensable</w:t>
      </w:r>
      <w:r w:rsidR="00411A92" w:rsidRPr="00430A5E">
        <w:rPr>
          <w:rFonts w:ascii="Arial" w:hAnsi="Arial" w:cs="Arial"/>
          <w:lang w:val="en-US"/>
        </w:rPr>
        <w:t xml:space="preserve"> </w:t>
      </w:r>
      <w:r w:rsidR="00366C9C" w:rsidRPr="00430A5E">
        <w:rPr>
          <w:rFonts w:ascii="Arial" w:hAnsi="Arial" w:cs="Arial"/>
          <w:lang w:val="en-US"/>
        </w:rPr>
        <w:t>for the development of</w:t>
      </w:r>
      <w:r w:rsidR="00411A92" w:rsidRPr="00430A5E">
        <w:rPr>
          <w:rFonts w:ascii="Arial" w:hAnsi="Arial" w:cs="Arial"/>
          <w:lang w:val="en-US"/>
        </w:rPr>
        <w:t xml:space="preserve"> novel </w:t>
      </w:r>
      <w:r w:rsidR="00B2250E" w:rsidRPr="00430A5E">
        <w:rPr>
          <w:rFonts w:ascii="Arial" w:hAnsi="Arial" w:cs="Arial"/>
          <w:lang w:val="en-US"/>
        </w:rPr>
        <w:t>cultivation approaches</w:t>
      </w:r>
      <w:r w:rsidR="00411FCD" w:rsidRPr="00430A5E">
        <w:rPr>
          <w:rFonts w:ascii="Arial" w:hAnsi="Arial" w:cs="Arial"/>
          <w:lang w:val="en-US"/>
        </w:rPr>
        <w:t xml:space="preserve"> and control of co-cultures</w:t>
      </w:r>
      <w:r w:rsidR="00411A92" w:rsidRPr="00430A5E">
        <w:rPr>
          <w:rFonts w:ascii="Arial" w:hAnsi="Arial" w:cs="Arial"/>
          <w:lang w:val="en-US"/>
        </w:rPr>
        <w:t>.</w:t>
      </w:r>
      <w:r w:rsidR="00B2250E" w:rsidRPr="00430A5E">
        <w:rPr>
          <w:rFonts w:ascii="Arial" w:hAnsi="Arial" w:cs="Arial"/>
          <w:lang w:val="en-US"/>
        </w:rPr>
        <w:t xml:space="preserve"> </w:t>
      </w:r>
    </w:p>
    <w:p w14:paraId="7E06149A" w14:textId="562C90AE" w:rsidR="00745EF6" w:rsidRPr="00430A5E" w:rsidRDefault="00C36AB1" w:rsidP="0070702F">
      <w:pPr>
        <w:spacing w:after="0" w:line="360" w:lineRule="auto"/>
        <w:jc w:val="both"/>
        <w:rPr>
          <w:rFonts w:ascii="Arial" w:hAnsi="Arial" w:cs="Arial"/>
          <w:lang w:val="en-US"/>
        </w:rPr>
      </w:pPr>
      <w:r w:rsidRPr="00430A5E">
        <w:rPr>
          <w:rFonts w:ascii="Arial" w:hAnsi="Arial" w:cs="Arial"/>
          <w:lang w:val="en-US"/>
        </w:rPr>
        <w:t>W</w:t>
      </w:r>
      <w:r w:rsidR="00745EF6" w:rsidRPr="00430A5E">
        <w:rPr>
          <w:rFonts w:ascii="Arial" w:hAnsi="Arial" w:cs="Arial"/>
          <w:lang w:val="en-US"/>
        </w:rPr>
        <w:t xml:space="preserve">e present the </w:t>
      </w:r>
      <w:r w:rsidRPr="00430A5E">
        <w:rPr>
          <w:rFonts w:ascii="Arial" w:hAnsi="Arial" w:cs="Arial"/>
          <w:lang w:val="en-US"/>
        </w:rPr>
        <w:t>development</w:t>
      </w:r>
      <w:r w:rsidR="00745EF6" w:rsidRPr="00430A5E">
        <w:rPr>
          <w:rFonts w:ascii="Arial" w:hAnsi="Arial" w:cs="Arial"/>
          <w:lang w:val="en-US"/>
        </w:rPr>
        <w:t xml:space="preserve">, </w:t>
      </w:r>
      <w:r w:rsidR="00A33983" w:rsidRPr="00430A5E">
        <w:rPr>
          <w:rFonts w:ascii="Arial" w:hAnsi="Arial" w:cs="Arial"/>
          <w:lang w:val="en-US"/>
        </w:rPr>
        <w:t>validation</w:t>
      </w:r>
      <w:r w:rsidR="00164FD5" w:rsidRPr="00430A5E">
        <w:rPr>
          <w:rFonts w:ascii="Arial" w:hAnsi="Arial" w:cs="Arial"/>
          <w:lang w:val="en-US"/>
        </w:rPr>
        <w:t xml:space="preserve"> and </w:t>
      </w:r>
      <w:r w:rsidRPr="00430A5E">
        <w:rPr>
          <w:rFonts w:ascii="Arial" w:hAnsi="Arial" w:cs="Arial"/>
          <w:lang w:val="en-US"/>
        </w:rPr>
        <w:t xml:space="preserve">experimental </w:t>
      </w:r>
      <w:r w:rsidR="00164FD5" w:rsidRPr="00430A5E">
        <w:rPr>
          <w:rFonts w:ascii="Arial" w:hAnsi="Arial" w:cs="Arial"/>
          <w:lang w:val="en-US"/>
        </w:rPr>
        <w:t xml:space="preserve">characterization of an </w:t>
      </w:r>
      <w:r w:rsidR="00745EF6" w:rsidRPr="00430A5E">
        <w:rPr>
          <w:rFonts w:ascii="Arial" w:hAnsi="Arial" w:cs="Arial"/>
          <w:lang w:val="en-US"/>
        </w:rPr>
        <w:t>opto</w:t>
      </w:r>
      <w:r w:rsidR="00A41FB5" w:rsidRPr="00430A5E">
        <w:rPr>
          <w:rFonts w:ascii="Arial" w:hAnsi="Arial" w:cs="Arial"/>
          <w:lang w:val="en-US"/>
        </w:rPr>
        <w:t>chemically</w:t>
      </w:r>
      <w:r w:rsidR="00745EF6" w:rsidRPr="00430A5E">
        <w:rPr>
          <w:rFonts w:ascii="Arial" w:hAnsi="Arial" w:cs="Arial"/>
          <w:lang w:val="en-US"/>
        </w:rPr>
        <w:t xml:space="preserve"> </w:t>
      </w:r>
      <w:r w:rsidR="00A33983" w:rsidRPr="00430A5E">
        <w:rPr>
          <w:rFonts w:ascii="Arial" w:hAnsi="Arial" w:cs="Arial"/>
          <w:lang w:val="en-US"/>
        </w:rPr>
        <w:t>controllable bacterial co-culture</w:t>
      </w:r>
      <w:r w:rsidR="00366C9C" w:rsidRPr="00430A5E">
        <w:rPr>
          <w:rFonts w:ascii="Arial" w:hAnsi="Arial" w:cs="Arial"/>
          <w:lang w:val="en-US"/>
        </w:rPr>
        <w:t xml:space="preserve"> </w:t>
      </w:r>
      <w:r w:rsidR="00AA5426" w:rsidRPr="00430A5E">
        <w:rPr>
          <w:rFonts w:ascii="Arial" w:hAnsi="Arial" w:cs="Arial"/>
          <w:lang w:val="en-US"/>
        </w:rPr>
        <w:t xml:space="preserve">on microcolony </w:t>
      </w:r>
      <w:r w:rsidR="00366C9C" w:rsidRPr="00430A5E">
        <w:rPr>
          <w:rFonts w:ascii="Arial" w:hAnsi="Arial" w:cs="Arial"/>
          <w:lang w:val="en-US"/>
        </w:rPr>
        <w:t>level</w:t>
      </w:r>
      <w:r w:rsidR="00413E9C" w:rsidRPr="00430A5E">
        <w:rPr>
          <w:rFonts w:ascii="Arial" w:hAnsi="Arial" w:cs="Arial"/>
          <w:lang w:val="en-US"/>
        </w:rPr>
        <w:t xml:space="preserve"> consisting of two </w:t>
      </w:r>
      <w:r w:rsidR="00413E9C" w:rsidRPr="00430A5E">
        <w:rPr>
          <w:rFonts w:ascii="Arial" w:hAnsi="Arial" w:cs="Arial"/>
          <w:i/>
          <w:lang w:val="en-US"/>
        </w:rPr>
        <w:t>C</w:t>
      </w:r>
      <w:r w:rsidR="00854CA3" w:rsidRPr="00430A5E">
        <w:rPr>
          <w:rFonts w:ascii="Arial" w:hAnsi="Arial" w:cs="Arial"/>
          <w:i/>
          <w:lang w:val="en-US"/>
        </w:rPr>
        <w:t>orynebacterium</w:t>
      </w:r>
      <w:r w:rsidR="00413E9C" w:rsidRPr="00430A5E">
        <w:rPr>
          <w:rFonts w:ascii="Arial" w:hAnsi="Arial" w:cs="Arial"/>
          <w:i/>
          <w:lang w:val="en-US"/>
        </w:rPr>
        <w:t xml:space="preserve"> glutamicum</w:t>
      </w:r>
      <w:r w:rsidR="00413E9C" w:rsidRPr="00430A5E">
        <w:rPr>
          <w:rFonts w:ascii="Arial" w:hAnsi="Arial" w:cs="Arial"/>
          <w:lang w:val="en-US"/>
        </w:rPr>
        <w:t xml:space="preserve"> strains.</w:t>
      </w:r>
      <w:r w:rsidR="0003019C" w:rsidRPr="00430A5E">
        <w:rPr>
          <w:rFonts w:ascii="Arial" w:hAnsi="Arial" w:cs="Arial"/>
          <w:lang w:val="en-US"/>
        </w:rPr>
        <w:t xml:space="preserve"> </w:t>
      </w:r>
      <w:r w:rsidRPr="00430A5E">
        <w:rPr>
          <w:rFonts w:ascii="Arial" w:hAnsi="Arial" w:cs="Arial"/>
          <w:lang w:val="en-US"/>
        </w:rPr>
        <w:t>Our</w:t>
      </w:r>
      <w:r w:rsidR="00D555DB" w:rsidRPr="00430A5E">
        <w:rPr>
          <w:rFonts w:ascii="Arial" w:hAnsi="Arial" w:cs="Arial"/>
          <w:lang w:val="en-US"/>
        </w:rPr>
        <w:t xml:space="preserve"> co-culture </w:t>
      </w:r>
      <w:r w:rsidR="00065D25" w:rsidRPr="00430A5E">
        <w:rPr>
          <w:rFonts w:ascii="Arial" w:hAnsi="Arial" w:cs="Arial"/>
          <w:lang w:val="en-US"/>
        </w:rPr>
        <w:t>combines</w:t>
      </w:r>
      <w:r w:rsidR="00D555DB" w:rsidRPr="00430A5E">
        <w:rPr>
          <w:rFonts w:ascii="Arial" w:hAnsi="Arial" w:cs="Arial"/>
          <w:lang w:val="en-US"/>
        </w:rPr>
        <w:t xml:space="preserve"> </w:t>
      </w:r>
      <w:r w:rsidR="007C5007" w:rsidRPr="00430A5E">
        <w:rPr>
          <w:rFonts w:ascii="Arial" w:hAnsi="Arial" w:cs="Arial"/>
          <w:lang w:val="en-US"/>
        </w:rPr>
        <w:t>an</w:t>
      </w:r>
      <w:r w:rsidR="00D555DB" w:rsidRPr="00430A5E">
        <w:rPr>
          <w:rFonts w:ascii="Arial" w:hAnsi="Arial" w:cs="Arial"/>
          <w:lang w:val="en-US"/>
        </w:rPr>
        <w:t xml:space="preserve"> </w:t>
      </w:r>
      <w:r w:rsidR="005B5379" w:rsidRPr="00430A5E">
        <w:rPr>
          <w:rFonts w:ascii="Arial" w:hAnsi="Arial" w:cs="Arial"/>
          <w:smallCaps/>
          <w:lang w:val="en-US"/>
        </w:rPr>
        <w:t>L</w:t>
      </w:r>
      <w:r w:rsidR="005B5379" w:rsidRPr="00430A5E">
        <w:rPr>
          <w:rFonts w:ascii="Arial" w:hAnsi="Arial" w:cs="Arial"/>
          <w:lang w:val="en-US"/>
        </w:rPr>
        <w:t>-</w:t>
      </w:r>
      <w:r w:rsidR="00D555DB" w:rsidRPr="00430A5E">
        <w:rPr>
          <w:rFonts w:ascii="Arial" w:hAnsi="Arial" w:cs="Arial"/>
          <w:lang w:val="en-US"/>
        </w:rPr>
        <w:t xml:space="preserve">lysine auxotrophic strain </w:t>
      </w:r>
      <w:r w:rsidRPr="00430A5E">
        <w:rPr>
          <w:rFonts w:ascii="Arial" w:hAnsi="Arial" w:cs="Arial"/>
          <w:lang w:val="en-US"/>
        </w:rPr>
        <w:t>together with</w:t>
      </w:r>
      <w:r w:rsidR="00D555DB" w:rsidRPr="00430A5E">
        <w:rPr>
          <w:rFonts w:ascii="Arial" w:hAnsi="Arial" w:cs="Arial"/>
          <w:lang w:val="en-US"/>
        </w:rPr>
        <w:t xml:space="preserve"> a </w:t>
      </w:r>
      <w:r w:rsidR="005B5379" w:rsidRPr="00430A5E">
        <w:rPr>
          <w:rFonts w:ascii="Arial" w:hAnsi="Arial" w:cs="Arial"/>
          <w:smallCaps/>
          <w:lang w:val="en-US"/>
        </w:rPr>
        <w:t>L</w:t>
      </w:r>
      <w:r w:rsidR="005B5379" w:rsidRPr="00430A5E">
        <w:rPr>
          <w:rFonts w:ascii="Arial" w:hAnsi="Arial" w:cs="Arial"/>
          <w:lang w:val="en-US"/>
        </w:rPr>
        <w:t>-lysine-producing</w:t>
      </w:r>
      <w:r w:rsidR="00E335A4" w:rsidRPr="00430A5E">
        <w:rPr>
          <w:rFonts w:ascii="Arial" w:hAnsi="Arial" w:cs="Arial"/>
          <w:lang w:val="en-US"/>
        </w:rPr>
        <w:t xml:space="preserve"> variant</w:t>
      </w:r>
      <w:r w:rsidR="00D555DB" w:rsidRPr="00430A5E">
        <w:rPr>
          <w:rFonts w:ascii="Arial" w:hAnsi="Arial" w:cs="Arial"/>
          <w:lang w:val="en-US"/>
        </w:rPr>
        <w:t xml:space="preserve"> </w:t>
      </w:r>
      <w:r w:rsidR="00BC2001" w:rsidRPr="00430A5E">
        <w:rPr>
          <w:rFonts w:ascii="Arial" w:hAnsi="Arial" w:cs="Arial"/>
          <w:lang w:val="en-US"/>
        </w:rPr>
        <w:t>carrying the genetically</w:t>
      </w:r>
      <w:r w:rsidR="00D555DB" w:rsidRPr="00430A5E">
        <w:rPr>
          <w:rFonts w:ascii="Arial" w:hAnsi="Arial" w:cs="Arial"/>
          <w:lang w:val="en-US"/>
        </w:rPr>
        <w:t xml:space="preserve"> IPTG-mediated induction of </w:t>
      </w:r>
      <w:r w:rsidR="005B5379" w:rsidRPr="00430A5E">
        <w:rPr>
          <w:rFonts w:ascii="Arial" w:hAnsi="Arial" w:cs="Arial"/>
          <w:lang w:val="en-US"/>
        </w:rPr>
        <w:t>L-</w:t>
      </w:r>
      <w:r w:rsidR="00D555DB" w:rsidRPr="00430A5E">
        <w:rPr>
          <w:rFonts w:ascii="Arial" w:hAnsi="Arial" w:cs="Arial"/>
          <w:lang w:val="en-US"/>
        </w:rPr>
        <w:t>lysine production.</w:t>
      </w:r>
      <w:r w:rsidR="00413E9C" w:rsidRPr="00430A5E">
        <w:rPr>
          <w:rFonts w:ascii="Arial" w:hAnsi="Arial" w:cs="Arial"/>
          <w:lang w:val="en-US"/>
        </w:rPr>
        <w:t xml:space="preserve"> </w:t>
      </w:r>
      <w:r w:rsidR="00E813DF" w:rsidRPr="00430A5E">
        <w:rPr>
          <w:rFonts w:ascii="Arial" w:hAnsi="Arial" w:cs="Arial"/>
          <w:lang w:val="en-US"/>
        </w:rPr>
        <w:t xml:space="preserve">We </w:t>
      </w:r>
      <w:r w:rsidR="00BC2001" w:rsidRPr="00430A5E">
        <w:rPr>
          <w:rFonts w:ascii="Arial" w:hAnsi="Arial" w:cs="Arial"/>
          <w:lang w:val="en-US"/>
        </w:rPr>
        <w:t>implemented two control approaches utilizing IPTG as inducer molecule</w:t>
      </w:r>
      <w:r w:rsidR="0031453E" w:rsidRPr="00430A5E">
        <w:rPr>
          <w:rFonts w:ascii="Arial" w:hAnsi="Arial" w:cs="Arial"/>
          <w:lang w:val="en-US"/>
        </w:rPr>
        <w:t>.</w:t>
      </w:r>
      <w:r w:rsidR="00BC2001" w:rsidRPr="00430A5E">
        <w:rPr>
          <w:rFonts w:ascii="Arial" w:hAnsi="Arial" w:cs="Arial"/>
          <w:lang w:val="en-US"/>
        </w:rPr>
        <w:t xml:space="preserve"> First</w:t>
      </w:r>
      <w:r w:rsidR="00411FCD" w:rsidRPr="00430A5E">
        <w:rPr>
          <w:rFonts w:ascii="Arial" w:hAnsi="Arial" w:cs="Arial"/>
          <w:lang w:val="en-US"/>
        </w:rPr>
        <w:t>ly</w:t>
      </w:r>
      <w:r w:rsidR="00BC2001" w:rsidRPr="00430A5E">
        <w:rPr>
          <w:rFonts w:ascii="Arial" w:hAnsi="Arial" w:cs="Arial"/>
          <w:lang w:val="en-US"/>
        </w:rPr>
        <w:t>, unmodified IPTG was supplemented to the culture enabling a medium-based control of the</w:t>
      </w:r>
      <w:r w:rsidR="0007462D" w:rsidRPr="00430A5E">
        <w:rPr>
          <w:rFonts w:ascii="Arial" w:hAnsi="Arial" w:cs="Arial"/>
          <w:lang w:val="en-US"/>
        </w:rPr>
        <w:t xml:space="preserve"> production of</w:t>
      </w:r>
      <w:r w:rsidR="00BC2001" w:rsidRPr="00430A5E">
        <w:rPr>
          <w:rFonts w:ascii="Arial" w:hAnsi="Arial" w:cs="Arial"/>
          <w:lang w:val="en-US"/>
        </w:rPr>
        <w:t xml:space="preserve"> </w:t>
      </w:r>
      <w:r w:rsidR="00BC2001" w:rsidRPr="00430A5E">
        <w:rPr>
          <w:rFonts w:ascii="Arial" w:hAnsi="Arial" w:cs="Arial"/>
          <w:smallCaps/>
          <w:lang w:val="en-US"/>
        </w:rPr>
        <w:t>L</w:t>
      </w:r>
      <w:r w:rsidR="00BC2001" w:rsidRPr="00430A5E">
        <w:rPr>
          <w:rFonts w:ascii="Arial" w:hAnsi="Arial" w:cs="Arial"/>
          <w:lang w:val="en-US"/>
        </w:rPr>
        <w:t>-lysine, which serves as the main interacting component.</w:t>
      </w:r>
      <w:r w:rsidR="00366C9C" w:rsidRPr="00430A5E">
        <w:rPr>
          <w:rFonts w:ascii="Arial" w:hAnsi="Arial" w:cs="Arial"/>
          <w:lang w:val="en-US"/>
        </w:rPr>
        <w:t xml:space="preserve"> </w:t>
      </w:r>
      <w:r w:rsidR="00BC2001" w:rsidRPr="00430A5E">
        <w:rPr>
          <w:rFonts w:ascii="Arial" w:hAnsi="Arial" w:cs="Arial"/>
          <w:lang w:val="en-US"/>
        </w:rPr>
        <w:t>Secondly, opto</w:t>
      </w:r>
      <w:r w:rsidR="00A41FB5" w:rsidRPr="00430A5E">
        <w:rPr>
          <w:rFonts w:ascii="Arial" w:hAnsi="Arial" w:cs="Arial"/>
          <w:lang w:val="en-US"/>
        </w:rPr>
        <w:t>chemical</w:t>
      </w:r>
      <w:r w:rsidR="00BC2001" w:rsidRPr="00430A5E">
        <w:rPr>
          <w:rFonts w:ascii="Arial" w:hAnsi="Arial" w:cs="Arial"/>
          <w:lang w:val="en-US"/>
        </w:rPr>
        <w:t xml:space="preserve"> control was successfully performed by utilizing photocaged IPTG activated by appropriate illumination. </w:t>
      </w:r>
      <w:r w:rsidR="00A5424F" w:rsidRPr="00430A5E">
        <w:rPr>
          <w:rFonts w:ascii="Arial" w:hAnsi="Arial" w:cs="Arial"/>
          <w:lang w:val="en-US"/>
        </w:rPr>
        <w:t>Both control strategies</w:t>
      </w:r>
      <w:r w:rsidR="00375E96" w:rsidRPr="00430A5E">
        <w:rPr>
          <w:rFonts w:ascii="Arial" w:hAnsi="Arial" w:cs="Arial"/>
          <w:lang w:val="en-US"/>
        </w:rPr>
        <w:t xml:space="preserve"> were </w:t>
      </w:r>
      <w:r w:rsidR="00BC2001" w:rsidRPr="00430A5E">
        <w:rPr>
          <w:rFonts w:ascii="Arial" w:hAnsi="Arial" w:cs="Arial"/>
          <w:lang w:val="en-US"/>
        </w:rPr>
        <w:t xml:space="preserve">validated studying cellular growth on </w:t>
      </w:r>
      <w:r w:rsidR="000D67AE" w:rsidRPr="00430A5E">
        <w:rPr>
          <w:rFonts w:ascii="Arial" w:hAnsi="Arial" w:cs="Arial"/>
          <w:lang w:val="en-US"/>
        </w:rPr>
        <w:t>microcolony</w:t>
      </w:r>
      <w:r w:rsidR="00BC2001" w:rsidRPr="00430A5E">
        <w:rPr>
          <w:rFonts w:ascii="Arial" w:hAnsi="Arial" w:cs="Arial"/>
          <w:lang w:val="en-US"/>
        </w:rPr>
        <w:t xml:space="preserve"> level. </w:t>
      </w:r>
      <w:r w:rsidR="00BB1315" w:rsidRPr="00430A5E">
        <w:rPr>
          <w:rFonts w:ascii="Arial" w:hAnsi="Arial" w:cs="Arial"/>
          <w:lang w:val="en-US"/>
        </w:rPr>
        <w:t xml:space="preserve">The novel microfluidic single-cell cultivation strategies applied in this work </w:t>
      </w:r>
      <w:r w:rsidR="00A5424F" w:rsidRPr="00430A5E">
        <w:rPr>
          <w:rFonts w:ascii="Arial" w:hAnsi="Arial" w:cs="Arial"/>
          <w:lang w:val="en-US"/>
        </w:rPr>
        <w:t>can serve as a blueprint to validate cellular control strategies of synthetic mono</w:t>
      </w:r>
      <w:r w:rsidR="00E335A4" w:rsidRPr="00430A5E">
        <w:rPr>
          <w:rFonts w:ascii="Arial" w:hAnsi="Arial" w:cs="Arial"/>
          <w:lang w:val="en-US"/>
        </w:rPr>
        <w:t>-</w:t>
      </w:r>
      <w:r w:rsidR="00A5424F" w:rsidRPr="00430A5E">
        <w:rPr>
          <w:rFonts w:ascii="Arial" w:hAnsi="Arial" w:cs="Arial"/>
          <w:lang w:val="en-US"/>
        </w:rPr>
        <w:t xml:space="preserve"> and co-cultures </w:t>
      </w:r>
      <w:r w:rsidR="000D67AE" w:rsidRPr="00430A5E">
        <w:rPr>
          <w:rFonts w:ascii="Arial" w:hAnsi="Arial" w:cs="Arial"/>
          <w:lang w:val="en-US"/>
        </w:rPr>
        <w:t>with single-cell resolution</w:t>
      </w:r>
      <w:r w:rsidR="00A5424F" w:rsidRPr="00430A5E">
        <w:rPr>
          <w:rFonts w:ascii="Arial" w:hAnsi="Arial" w:cs="Arial"/>
          <w:lang w:val="en-US"/>
        </w:rPr>
        <w:t xml:space="preserve"> at defined environmental conditions. </w:t>
      </w:r>
    </w:p>
    <w:p w14:paraId="3C79A046" w14:textId="77777777" w:rsidR="002E27F0" w:rsidRPr="00430A5E" w:rsidRDefault="002E27F0" w:rsidP="0070702F">
      <w:pPr>
        <w:spacing w:after="0" w:line="360" w:lineRule="auto"/>
        <w:jc w:val="both"/>
        <w:rPr>
          <w:rFonts w:ascii="Arial" w:hAnsi="Arial" w:cs="Arial"/>
          <w:lang w:val="en-US"/>
        </w:rPr>
      </w:pPr>
    </w:p>
    <w:p w14:paraId="3437068B" w14:textId="77777777" w:rsidR="00EF52F5" w:rsidRPr="00430A5E" w:rsidRDefault="00EF52F5">
      <w:pPr>
        <w:rPr>
          <w:rFonts w:ascii="Arial" w:eastAsia="Times New Roman" w:hAnsi="Arial" w:cs="Arial"/>
          <w:b/>
          <w:sz w:val="32"/>
          <w:szCs w:val="32"/>
          <w:lang w:val="en-US" w:eastAsia="de-DE"/>
        </w:rPr>
      </w:pPr>
      <w:r w:rsidRPr="00430A5E">
        <w:rPr>
          <w:rFonts w:ascii="Arial" w:eastAsia="Times New Roman" w:hAnsi="Arial" w:cs="Arial"/>
          <w:b/>
          <w:sz w:val="32"/>
          <w:szCs w:val="32"/>
          <w:lang w:val="en-US" w:eastAsia="de-DE"/>
        </w:rPr>
        <w:br w:type="page"/>
      </w:r>
    </w:p>
    <w:p w14:paraId="5499E3B1" w14:textId="2D5515EE" w:rsidR="004A32B1" w:rsidRPr="00430A5E" w:rsidRDefault="004A32B1" w:rsidP="007C437C">
      <w:pPr>
        <w:spacing w:after="0" w:line="360" w:lineRule="auto"/>
        <w:jc w:val="both"/>
        <w:rPr>
          <w:rFonts w:ascii="Arial" w:eastAsia="Times New Roman" w:hAnsi="Arial" w:cs="Arial"/>
          <w:sz w:val="32"/>
          <w:szCs w:val="32"/>
          <w:lang w:val="en-US" w:eastAsia="de-DE"/>
        </w:rPr>
      </w:pPr>
      <w:r w:rsidRPr="00430A5E">
        <w:rPr>
          <w:rFonts w:ascii="Arial" w:eastAsia="Times New Roman" w:hAnsi="Arial" w:cs="Arial"/>
          <w:b/>
          <w:sz w:val="32"/>
          <w:szCs w:val="32"/>
          <w:lang w:val="en-US" w:eastAsia="de-DE"/>
        </w:rPr>
        <w:lastRenderedPageBreak/>
        <w:t>Introduction</w:t>
      </w:r>
    </w:p>
    <w:p w14:paraId="02E017D6" w14:textId="4C109DEE" w:rsidR="00DD5C83" w:rsidRPr="00430A5E" w:rsidRDefault="002F4C5E" w:rsidP="007C437C">
      <w:pPr>
        <w:spacing w:after="0" w:line="360" w:lineRule="auto"/>
        <w:jc w:val="both"/>
        <w:rPr>
          <w:rFonts w:ascii="Arial" w:hAnsi="Arial" w:cs="Arial"/>
          <w:lang w:val="en-US"/>
        </w:rPr>
      </w:pPr>
      <w:bookmarkStart w:id="1" w:name="_Hlk59278279"/>
      <w:r w:rsidRPr="00430A5E">
        <w:rPr>
          <w:rFonts w:ascii="Arial" w:hAnsi="Arial" w:cs="Arial"/>
          <w:lang w:val="en-US"/>
        </w:rPr>
        <w:t xml:space="preserve">Understanding interactions and pathways in microbial communities </w:t>
      </w:r>
      <w:r w:rsidR="001A71D4" w:rsidRPr="00430A5E">
        <w:rPr>
          <w:rFonts w:ascii="Arial" w:hAnsi="Arial" w:cs="Arial"/>
          <w:lang w:val="en-US"/>
        </w:rPr>
        <w:t>has become a major interest</w:t>
      </w:r>
      <w:r w:rsidR="003773FB" w:rsidRPr="00430A5E">
        <w:rPr>
          <w:rFonts w:ascii="Arial" w:hAnsi="Arial" w:cs="Arial"/>
          <w:lang w:val="en-US"/>
        </w:rPr>
        <w:t xml:space="preserve"> in synthetic biology to expand the toolbox of applications and explore the potential of communities for </w:t>
      </w:r>
      <w:r w:rsidR="00A62553" w:rsidRPr="00430A5E">
        <w:rPr>
          <w:rFonts w:ascii="Arial" w:hAnsi="Arial" w:cs="Arial"/>
          <w:lang w:val="en-US"/>
        </w:rPr>
        <w:t xml:space="preserve">new or improved </w:t>
      </w:r>
      <w:r w:rsidR="003773FB" w:rsidRPr="00430A5E">
        <w:rPr>
          <w:rFonts w:ascii="Arial" w:hAnsi="Arial" w:cs="Arial"/>
          <w:lang w:val="en-US"/>
        </w:rPr>
        <w:t>biotechnological processes</w:t>
      </w:r>
      <w:r w:rsidR="00B4002D" w:rsidRPr="00430A5E">
        <w:rPr>
          <w:rFonts w:ascii="Arial" w:hAnsi="Arial" w:cs="Arial"/>
          <w:lang w:val="en-US"/>
        </w:rPr>
        <w:t>.</w:t>
      </w:r>
      <w:r w:rsidR="003773FB" w:rsidRPr="00430A5E">
        <w:rPr>
          <w:rFonts w:ascii="Arial" w:hAnsi="Arial" w:cs="Arial"/>
          <w:lang w:val="en-US"/>
        </w:rPr>
        <w:fldChar w:fldCharType="begin" w:fldLock="1"/>
      </w:r>
      <w:r w:rsidR="003D068F" w:rsidRPr="00430A5E">
        <w:rPr>
          <w:rFonts w:ascii="Arial" w:hAnsi="Arial" w:cs="Arial"/>
          <w:lang w:val="en-US"/>
        </w:rPr>
        <w:instrText>ADDIN CSL_CITATION {"citationItems":[{"id":"ITEM-1","itemData":{"DOI":"10.1021/acs.biochem.8b01006","ISSN":"15204995","abstract":"Microbiomes impact nearly every environment on Earth by modulating the molecular composition of the environment. Temporally changing environmental stimuli and spatial organization are major variables shaping the structure and function of microbiomes. The web of interactions among members of these communities and between the organisms and the environment dictates microbiome functions. Microbial interactions are major drivers of microbiomes and are modulated by spatiotemporal parameters. A mechanistic and quantitative understanding of ecological, molecular, and environmental forces shaping microbiomes could inform strategies to control microbiome dynamics and functions. Major challenges for harnessing the potential of microbiomes for diverse applications include the development of predictive modeling frameworks and tools for precise manipulation of microbiome behaviors.","author":[{"dropping-particle":"","family":"Cao","given":"Xinyun","non-dropping-particle":"","parse-names":false,"suffix":""},{"dropping-particle":"","family":"Hamilton","given":"Joshua J.","non-dropping-particle":"","parse-names":false,"suffix":""},{"dropping-particle":"","family":"Venturelli","given":"Ophelia S.","non-dropping-particle":"","parse-names":false,"suffix":""}],"container-title":"Biochemistry","genre":"review-article","id":"ITEM-1","issue":"2","issued":{"date-parts":[["2019"]]},"page":"94-107","publisher":"American Chemical Society","title":"Understanding and Engineering Distributed Biochemical Pathways in Microbial Communities","type":"article-journal","volume":"58"},"uris":["http://www.mendeley.com/documents/?uuid=409793ac-bf4b-4328-9426-80f0852b3bfe"]},{"id":"ITEM-2","itemData":{"DOI":"10.1016/j.tibtech.2018.07.011","ISSN":"18793096","abstract":"Bacterial genome reduction is a common phenomenon in nature that has also inspired several projects with biotechnologically relevant organisms. In many cases, however, no performance improvements with the streamlined chassis were obtained. A comparative analysis of natural and synthetic reduced genomes and their corresponding ecological niches reveals that: (i) deleting expressed genes can lead to noticeable energy conservation usable for improved biomass or product synthesis; and (ii) the simplified strains depend on the environment (e.g., another community member) to complement deleted functions. Based on this analysis, we introduce the concept of Community of Niche-optimized Strains (CoNoS) as an alternative strategy to generate superior biotechnological production processes.","author":[{"dropping-particle":"","family":"Noack","given":"Stephan","non-dropping-particle":"","parse-names":false,"suffix":""},{"dropping-particle":"","family":"Baumgart","given":"Meike","non-dropping-particle":"","parse-names":false,"suffix":""}],"container-title":"Trends in Biotechnology","id":"ITEM-2","issue":"2","issued":{"date-parts":[["2019"]]},"page":"126-139","publisher":"Elsevier Ltd","title":"Communities of Niche-Optimized Strains: Small-Genome Organism Consortia in Bioproduction","type":"article-journal","volume":"37"},"uris":["http://www.mendeley.com/documents/?uuid=f0a4d037-8e12-4f28-a31e-16daa467ef01"]},{"id":"ITEM-3","itemData":{"DOI":"10.1016/j.copbio.2020.01.007","ISSN":"18790429","PMID":"32115331","author":[{"dropping-particle":"","family":"Johnson","given":"David R.","non-dropping-particle":"","parse-names":false,"suffix":""},{"dropping-particle":"","family":"Noack","given":"Stephan","non-dropping-particle":"","parse-names":false,"suffix":""}],"container-title":"Current Opinion in Biotechnology","id":"ITEM-3","issued":{"date-parts":[["2020"]]},"page":"iii-vi","publisher":"Elsevier Ltd","title":"Editorial overview: Causes and biotechnological application of microbial metabolic specialization","type":"article-journal","volume":"62"},"uris":["http://www.mendeley.com/documents/?uuid=075c0b1c-b86c-4ec9-a2ae-a33e24e84bd8"]}],"mendeley":{"formattedCitation":"&lt;sup&gt;1–3&lt;/sup&gt;","plainTextFormattedCitation":"1–3","previouslyFormattedCitation":"&lt;sup&gt;1–3&lt;/sup&gt;"},"properties":{"noteIndex":0},"schema":"https://github.com/citation-style-language/schema/raw/master/csl-citation.json"}</w:instrText>
      </w:r>
      <w:r w:rsidR="003773FB" w:rsidRPr="00430A5E">
        <w:rPr>
          <w:rFonts w:ascii="Arial" w:hAnsi="Arial" w:cs="Arial"/>
          <w:lang w:val="en-US"/>
        </w:rPr>
        <w:fldChar w:fldCharType="separate"/>
      </w:r>
      <w:r w:rsidR="00930F35" w:rsidRPr="00430A5E">
        <w:rPr>
          <w:rFonts w:ascii="Arial" w:hAnsi="Arial" w:cs="Arial"/>
          <w:noProof/>
          <w:vertAlign w:val="superscript"/>
          <w:lang w:val="en-US"/>
        </w:rPr>
        <w:t>1–3</w:t>
      </w:r>
      <w:r w:rsidR="003773FB" w:rsidRPr="00430A5E">
        <w:rPr>
          <w:rFonts w:ascii="Arial" w:hAnsi="Arial" w:cs="Arial"/>
          <w:lang w:val="en-US"/>
        </w:rPr>
        <w:fldChar w:fldCharType="end"/>
      </w:r>
      <w:r w:rsidR="001A71D4" w:rsidRPr="00430A5E">
        <w:rPr>
          <w:rFonts w:ascii="Arial" w:hAnsi="Arial" w:cs="Arial"/>
          <w:lang w:val="en-US"/>
        </w:rPr>
        <w:t xml:space="preserve"> </w:t>
      </w:r>
      <w:r w:rsidR="00DD5C83" w:rsidRPr="00430A5E">
        <w:rPr>
          <w:rFonts w:ascii="Arial" w:hAnsi="Arial" w:cs="Arial"/>
          <w:lang w:val="en-US"/>
        </w:rPr>
        <w:t>For the design and modification of natural and synthetic co-cultures, bottom-up engineering approaches</w:t>
      </w:r>
      <w:r w:rsidR="00DD5C83" w:rsidRPr="00430A5E">
        <w:rPr>
          <w:rFonts w:ascii="Arial" w:hAnsi="Arial" w:cs="Arial"/>
          <w:lang w:val="en-US"/>
        </w:rPr>
        <w:fldChar w:fldCharType="begin" w:fldLock="1"/>
      </w:r>
      <w:r w:rsidR="003D068F" w:rsidRPr="00430A5E">
        <w:rPr>
          <w:rFonts w:ascii="Arial" w:hAnsi="Arial" w:cs="Arial"/>
          <w:lang w:val="en-US"/>
        </w:rPr>
        <w:instrText>ADDIN CSL_CITATION {"citationItems":[{"id":"ITEM-1","itemData":{"DOI":"10.1038/ismej.2016.26","ISSN":"1751-7362","PMID":"26967105","abstract":"Much research has been invested into engineering microorganisms to perform desired biotransformations; nonetheless, these efforts frequently fall short of expected results due to the unforeseen effects of biofeedback regulation and functional incompatibility. In nature, metabolic function is compartmentalized into diverse organisms assembled into robust consortia, in which the division of labor is thought to lead to increased community efficiency and productivity. Here we consider whether and how consortia can be designed to perform bioprocesses of interest beyond the metabolic flexibility limitations of a single organism. Advances in post-genomic analysis of microbial consortia and application of high-resolution global measurements now offer the promise of systems-level understanding of how microbial consortia adapt to changes in environmental variables and inputs of carbon and energy. We argue that, when combined with appropriate modeling frameworks, systems-level knowledge can markedly improve our ability to predict the fate and functioning of consortia. Here we articulate our collective perspective on the current and future state of microbial community engineering and control while placing specific emphasis on ecological principles that promote control over community function and emergent properties.","author":[{"dropping-particle":"","family":"Lindemann","given":"Stephen R","non-dropping-particle":"","parse-names":false,"suffix":""},{"dropping-particle":"","family":"Bernstein","given":"Hans C","non-dropping-particle":"","parse-names":false,"suffix":""},{"dropping-particle":"","family":"Song","given":"Hyun-Seob","non-dropping-particle":"","parse-names":false,"suffix":""},{"dropping-particle":"","family":"Fredrickson","given":"Jim K","non-dropping-particle":"","parse-names":false,"suffix":""},{"dropping-particle":"","family":"Fields","given":"Matthew W","non-dropping-particle":"","parse-names":false,"suffix":""},{"dropping-particle":"","family":"Shou","given":"Wenying","non-dropping-particle":"","parse-names":false,"suffix":""},{"dropping-particle":"","family":"Johnson","given":"David R","non-dropping-particle":"","parse-names":false,"suffix":""},{"dropping-particle":"","family":"Beliaev","given":"Alexander S","non-dropping-particle":"","parse-names":false,"suffix":""}],"container-title":"The ISME Journal","id":"ITEM-1","issue":"9","issued":{"date-parts":[["2016","9","11"]]},"page":"2077-2084","publisher":"Nature Publishing Group","title":"Engineering microbial consortia for controllable outputs","type":"article-journal","volume":"10"},"uris":["http://www.mendeley.com/documents/?uuid=61cbcaa1-6f55-40cf-8584-08781394cb37"]}],"mendeley":{"formattedCitation":"&lt;sup&gt;4&lt;/sup&gt;","plainTextFormattedCitation":"4","previouslyFormattedCitation":"&lt;sup&gt;4&lt;/sup&gt;"},"properties":{"noteIndex":0},"schema":"https://github.com/citation-style-language/schema/raw/master/csl-citation.json"}</w:instrText>
      </w:r>
      <w:r w:rsidR="00DD5C83" w:rsidRPr="00430A5E">
        <w:rPr>
          <w:rFonts w:ascii="Arial" w:hAnsi="Arial" w:cs="Arial"/>
          <w:lang w:val="en-US"/>
        </w:rPr>
        <w:fldChar w:fldCharType="separate"/>
      </w:r>
      <w:r w:rsidR="00930F35" w:rsidRPr="00430A5E">
        <w:rPr>
          <w:rFonts w:ascii="Arial" w:hAnsi="Arial" w:cs="Arial"/>
          <w:noProof/>
          <w:vertAlign w:val="superscript"/>
          <w:lang w:val="en-US"/>
        </w:rPr>
        <w:t>4</w:t>
      </w:r>
      <w:r w:rsidR="00DD5C83" w:rsidRPr="00430A5E">
        <w:rPr>
          <w:rFonts w:ascii="Arial" w:hAnsi="Arial" w:cs="Arial"/>
          <w:lang w:val="en-US"/>
        </w:rPr>
        <w:fldChar w:fldCharType="end"/>
      </w:r>
      <w:r w:rsidR="00DD5C83" w:rsidRPr="00430A5E">
        <w:rPr>
          <w:rFonts w:ascii="Arial" w:hAnsi="Arial" w:cs="Arial"/>
          <w:lang w:val="en-US"/>
        </w:rPr>
        <w:t xml:space="preserve"> as well as </w:t>
      </w:r>
      <w:r w:rsidR="00DD5C83" w:rsidRPr="00430A5E">
        <w:rPr>
          <w:rFonts w:ascii="Arial" w:hAnsi="Arial" w:cs="Arial"/>
          <w:i/>
          <w:iCs/>
          <w:lang w:val="en-US"/>
        </w:rPr>
        <w:t>in situ</w:t>
      </w:r>
      <w:r w:rsidR="00DD5C83" w:rsidRPr="00430A5E">
        <w:rPr>
          <w:rFonts w:ascii="Arial" w:hAnsi="Arial" w:cs="Arial"/>
          <w:lang w:val="en-US"/>
        </w:rPr>
        <w:t xml:space="preserve"> microbiome engineering of bacterial communities</w:t>
      </w:r>
      <w:r w:rsidR="00DD5C83" w:rsidRPr="00430A5E">
        <w:rPr>
          <w:rFonts w:ascii="Arial" w:hAnsi="Arial" w:cs="Arial"/>
          <w:lang w:val="en-US"/>
        </w:rPr>
        <w:fldChar w:fldCharType="begin" w:fldLock="1"/>
      </w:r>
      <w:r w:rsidR="003D068F" w:rsidRPr="00430A5E">
        <w:rPr>
          <w:rFonts w:ascii="Arial" w:hAnsi="Arial" w:cs="Arial"/>
          <w:lang w:val="en-US"/>
        </w:rPr>
        <w:instrText>ADDIN CSL_CITATION {"citationItems":[{"id":"ITEM-1","itemData":{"DOI":"10.1016/j.tig.2016.01.005","ISSN":"01689525","abstract":"Microbial communities inhabit our entire planet and have a crucial role in biogeochemical processes, agriculture, biotechnology, and human health. Here, we argue that ‘in situ microbiome engineering’ represents a new paradigm of community-scale genetic and microbial engineering. We discuss contemporary applications of this approach to directly add, remove, or modify specific sets of functions and alter community-level properties in terrestrial, aquatic, and host-associated microbial communities. Specifically, we highlight emerging in situ genome engineering approaches as tractable techniques to manipulate microbial communities with high specificity and efficacy. Finally, we describe opportunities for technological innovation and ways to bridge existing knowledge gaps to accelerate the development of in situ approaches for microbiome manipulations.","author":[{"dropping-particle":"","family":"Sheth","given":"Ravi U.","non-dropping-particle":"","parse-names":false,"suffix":""},{"dropping-particle":"","family":"Cabral","given":"Vitor","non-dropping-particle":"","parse-names":false,"suffix":""},{"dropping-particle":"","family":"Chen","given":"Sway P.","non-dropping-particle":"","parse-names":false,"suffix":""},{"dropping-particle":"","family":"Wang","given":"Harris H.","non-dropping-particle":"","parse-names":false,"suffix":""}],"container-title":"Trends in Genetics","id":"ITEM-1","issue":"4","issued":{"date-parts":[["2016","4","1"]]},"page":"189-200","publisher":"Elsevier Current Trends","title":"Manipulating Bacterial Communities by in situ Microbiome Engineering","type":"article-journal","volume":"32"},"uris":["http://www.mendeley.com/documents/?uuid=9b60e6cd-db26-31b6-92d8-2cd84a692c76"]}],"mendeley":{"formattedCitation":"&lt;sup&gt;5&lt;/sup&gt;","plainTextFormattedCitation":"5","previouslyFormattedCitation":"&lt;sup&gt;5&lt;/sup&gt;"},"properties":{"noteIndex":0},"schema":"https://github.com/citation-style-language/schema/raw/master/csl-citation.json"}</w:instrText>
      </w:r>
      <w:r w:rsidR="00DD5C83" w:rsidRPr="00430A5E">
        <w:rPr>
          <w:rFonts w:ascii="Arial" w:hAnsi="Arial" w:cs="Arial"/>
          <w:lang w:val="en-US"/>
        </w:rPr>
        <w:fldChar w:fldCharType="separate"/>
      </w:r>
      <w:r w:rsidR="00930F35" w:rsidRPr="00430A5E">
        <w:rPr>
          <w:rFonts w:ascii="Arial" w:hAnsi="Arial" w:cs="Arial"/>
          <w:noProof/>
          <w:vertAlign w:val="superscript"/>
          <w:lang w:val="en-US"/>
        </w:rPr>
        <w:t>5</w:t>
      </w:r>
      <w:r w:rsidR="00DD5C83" w:rsidRPr="00430A5E">
        <w:rPr>
          <w:rFonts w:ascii="Arial" w:hAnsi="Arial" w:cs="Arial"/>
          <w:lang w:val="en-US"/>
        </w:rPr>
        <w:fldChar w:fldCharType="end"/>
      </w:r>
      <w:r w:rsidR="00DD5C83" w:rsidRPr="00430A5E">
        <w:rPr>
          <w:rFonts w:ascii="Arial" w:hAnsi="Arial" w:cs="Arial"/>
          <w:lang w:val="en-US"/>
        </w:rPr>
        <w:t xml:space="preserve"> have been applied. Especially cooperative interactions such as commensalism and syntrophy are advantageous for biotechnological processes</w:t>
      </w:r>
      <w:r w:rsidR="00B4002D" w:rsidRPr="00430A5E">
        <w:rPr>
          <w:rFonts w:ascii="Arial" w:hAnsi="Arial" w:cs="Arial"/>
          <w:lang w:val="en-US"/>
        </w:rPr>
        <w:t>.</w:t>
      </w:r>
      <w:r w:rsidR="00DD5C83" w:rsidRPr="00430A5E">
        <w:rPr>
          <w:rFonts w:ascii="Arial" w:hAnsi="Arial" w:cs="Arial"/>
          <w:lang w:val="en-US"/>
        </w:rPr>
        <w:fldChar w:fldCharType="begin" w:fldLock="1"/>
      </w:r>
      <w:r w:rsidR="003D068F" w:rsidRPr="00430A5E">
        <w:rPr>
          <w:rFonts w:ascii="Arial" w:hAnsi="Arial" w:cs="Arial"/>
          <w:lang w:val="en-US"/>
        </w:rPr>
        <w:instrText>ADDIN CSL_CITATION {"citationItems":[{"id":"ITEM-1","itemData":{"DOI":"10.1016/j.tibtech.2008.05.004","ISBN":"0167-7799 (Print)\r0167-7799 (Linking)","PMID":"18675483","abstract":"Microbial consortia are ubiquitous in nature and are implicated in processes of great importance to humans, from environmental remediation and wastewater treatment to assistance in food digestion. Synthetic biologists are honing their ability to program the behavior of individual microbial populations, forcing the microbes to focus on specific applications, such as the production of drugs and fuels. Given that microbial consortia can perform even more complicated tasks and endure more changeable environments than monocultures can, they represent an important new frontier for synthetic biology. Here, we review recent efforts to engineer synthetic microbial consortia, and we suggest future applications.","author":[{"dropping-particle":"","family":"Brenner","given":"K","non-dropping-particle":"","parse-names":false,"suffix":""},{"dropping-particle":"","family":"You","given":"L","non-dropping-particle":"","parse-names":false,"suffix":""},{"dropping-particle":"","family":"Arnold","given":"F H","non-dropping-particle":"","parse-names":false,"suffix":""}],"container-title":"Trends Biotechnol","id":"ITEM-1","issue":"9","issued":{"date-parts":[["2008"]]},"note":"Brenner, Katie\nYou, Lingchong\nArnold, Frances H\neng\nR01 CA118486/CA/NCI NIH HHS/\n1-R01-CA118486/CA/NCI NIH HHS/\nResearch Support, N.I.H., Extramural\nReview\nEngland\n2008/08/05 09:00\nTrends Biotechnol. 2008 Sep;26(9):483-9. doi: 10.1016/j.tibtech.2008.05.004. Epub 2008 Jul 31.","page":"483-489","title":"Engineering microbial consortia: a new frontier in synthetic biology","type":"article-journal","volume":"26"},"uris":["http://www.mendeley.com/documents/?uuid=d8c5510c-205d-4524-9b20-62a4c20f3793"]}],"mendeley":{"formattedCitation":"&lt;sup&gt;6&lt;/sup&gt;","plainTextFormattedCitation":"6","previouslyFormattedCitation":"&lt;sup&gt;6&lt;/sup&gt;"},"properties":{"noteIndex":0},"schema":"https://github.com/citation-style-language/schema/raw/master/csl-citation.json"}</w:instrText>
      </w:r>
      <w:r w:rsidR="00DD5C83" w:rsidRPr="00430A5E">
        <w:rPr>
          <w:rFonts w:ascii="Arial" w:hAnsi="Arial" w:cs="Arial"/>
          <w:lang w:val="en-US"/>
        </w:rPr>
        <w:fldChar w:fldCharType="separate"/>
      </w:r>
      <w:r w:rsidR="00930F35" w:rsidRPr="00430A5E">
        <w:rPr>
          <w:rFonts w:ascii="Arial" w:hAnsi="Arial" w:cs="Arial"/>
          <w:noProof/>
          <w:vertAlign w:val="superscript"/>
          <w:lang w:val="en-US"/>
        </w:rPr>
        <w:t>6</w:t>
      </w:r>
      <w:r w:rsidR="00DD5C83" w:rsidRPr="00430A5E">
        <w:rPr>
          <w:rFonts w:ascii="Arial" w:hAnsi="Arial" w:cs="Arial"/>
          <w:lang w:val="en-US"/>
        </w:rPr>
        <w:fldChar w:fldCharType="end"/>
      </w:r>
      <w:r w:rsidR="00DD5C83" w:rsidRPr="00430A5E">
        <w:rPr>
          <w:rFonts w:ascii="Arial" w:hAnsi="Arial" w:cs="Arial"/>
          <w:lang w:val="en-US"/>
        </w:rPr>
        <w:t xml:space="preserve"> Exploiting these interaction modes aims at distributing metabolic tasks between different strains, which </w:t>
      </w:r>
      <w:r w:rsidR="0076597F" w:rsidRPr="00430A5E">
        <w:rPr>
          <w:rFonts w:ascii="Arial" w:hAnsi="Arial" w:cs="Arial"/>
          <w:lang w:val="en-US"/>
        </w:rPr>
        <w:t>would allow for higher productivity and more precise</w:t>
      </w:r>
      <w:r w:rsidR="00DD5C83" w:rsidRPr="00430A5E">
        <w:rPr>
          <w:rFonts w:ascii="Arial" w:hAnsi="Arial" w:cs="Arial"/>
          <w:lang w:val="en-US"/>
        </w:rPr>
        <w:t xml:space="preserve"> pathway optimization as each strain can be engineered individually</w:t>
      </w:r>
      <w:r w:rsidR="00D076A3" w:rsidRPr="00430A5E">
        <w:rPr>
          <w:rFonts w:ascii="Arial" w:hAnsi="Arial" w:cs="Arial"/>
          <w:lang w:val="en-US"/>
        </w:rPr>
        <w:t xml:space="preserve"> and </w:t>
      </w:r>
      <w:r w:rsidR="0040409E" w:rsidRPr="00430A5E">
        <w:rPr>
          <w:rFonts w:ascii="Arial" w:hAnsi="Arial" w:cs="Arial"/>
          <w:lang w:val="en-US"/>
        </w:rPr>
        <w:t>carries</w:t>
      </w:r>
      <w:r w:rsidR="00D076A3" w:rsidRPr="00430A5E">
        <w:rPr>
          <w:rFonts w:ascii="Arial" w:hAnsi="Arial" w:cs="Arial"/>
          <w:lang w:val="en-US"/>
        </w:rPr>
        <w:t xml:space="preserve"> a small</w:t>
      </w:r>
      <w:r w:rsidR="0042113C" w:rsidRPr="00430A5E">
        <w:rPr>
          <w:rFonts w:ascii="Arial" w:hAnsi="Arial" w:cs="Arial"/>
          <w:lang w:val="en-US"/>
        </w:rPr>
        <w:t>er</w:t>
      </w:r>
      <w:r w:rsidR="00D076A3" w:rsidRPr="00430A5E">
        <w:rPr>
          <w:rFonts w:ascii="Arial" w:hAnsi="Arial" w:cs="Arial"/>
          <w:lang w:val="en-US"/>
        </w:rPr>
        <w:t xml:space="preserve"> metabolic burden</w:t>
      </w:r>
      <w:r w:rsidR="00B4002D" w:rsidRPr="00430A5E">
        <w:rPr>
          <w:rFonts w:ascii="Arial" w:hAnsi="Arial" w:cs="Arial"/>
          <w:lang w:val="en-US"/>
        </w:rPr>
        <w:t>.</w:t>
      </w:r>
      <w:r w:rsidR="00DD5C83" w:rsidRPr="00430A5E">
        <w:rPr>
          <w:rFonts w:ascii="Arial" w:hAnsi="Arial" w:cs="Arial"/>
          <w:lang w:val="en-US"/>
        </w:rPr>
        <w:fldChar w:fldCharType="begin" w:fldLock="1"/>
      </w:r>
      <w:r w:rsidR="003D068F" w:rsidRPr="00430A5E">
        <w:rPr>
          <w:rFonts w:ascii="Arial" w:hAnsi="Arial" w:cs="Arial"/>
          <w:lang w:val="en-US"/>
        </w:rPr>
        <w:instrText>ADDIN CSL_CITATION {"citationItems":[{"id":"ITEM-1","itemData":{"DOI":"10.1093/femsle/fnw008","ISBN":"1574-6968","ISSN":"15746968","PMID":"26772190","abstract":"The commercialization of the n-butanol bioprocess is largely dependent on the price of feedstocks. Renewable cellulose appears an appealing feedstock. The microbial production of n-butanol still remains challenging because of the limited availability of the intracellular NADH. To address this issue, an Escherichia coli strain carrying the clostridial CoA-dependent pathway was endowed with the heterologous formate dehydrogenase. With cellulose hydrolysate of rice straw, this single strain produced cellulosic biobutanol with a production yield at 35% of the theoretical and a productivity of 0.093 g L(-1) h(-1). In an alternative way, a production scheme was conducted by a coculture system consisting of two separate strains distributed with the full CoA-dependent pathway. This system achieved the production yield and the productivity reaching 62.8% of the theoretical and 0.163 g L(-1) h(-1), respectively. The result indicates that the E. coli coculture system is technically promising for the production of cellulosic biobutanol.","author":[{"dropping-particle":"","family":"Saini","given":"Mukesh","non-dropping-particle":"","parse-names":false,"suffix":""},{"dropping-particle":"","family":"Chiang","given":"Chung Jen","non-dropping-particle":"","parse-names":false,"suffix":""},{"dropping-particle":"","family":"Li","given":"Si Yu","non-dropping-particle":"","parse-names":false,"suffix":""},{"dropping-particle":"","family":"Chao","given":"Yun Peng","non-dropping-particle":"","parse-names":false,"suffix":""}],"container-title":"FEMS Microbiology Letters","id":"ITEM-1","issue":"4","issued":{"date-parts":[["2016"]]},"page":"1-5","title":"Production of biobutanol from cellulose hydrolysate by the Escherichia coli co-culture system","type":"article-journal","volume":"363"},"uris":["http://www.mendeley.com/documents/?uuid=5e45a8a1-255c-44fe-bc58-a9bca76f25f1"]}],"mendeley":{"formattedCitation":"&lt;sup&gt;7&lt;/sup&gt;","plainTextFormattedCitation":"7","previouslyFormattedCitation":"&lt;sup&gt;7&lt;/sup&gt;"},"properties":{"noteIndex":0},"schema":"https://github.com/citation-style-language/schema/raw/master/csl-citation.json"}</w:instrText>
      </w:r>
      <w:r w:rsidR="00DD5C83" w:rsidRPr="00430A5E">
        <w:rPr>
          <w:rFonts w:ascii="Arial" w:hAnsi="Arial" w:cs="Arial"/>
          <w:lang w:val="en-US"/>
        </w:rPr>
        <w:fldChar w:fldCharType="separate"/>
      </w:r>
      <w:r w:rsidR="00930F35" w:rsidRPr="00430A5E">
        <w:rPr>
          <w:rFonts w:ascii="Arial" w:hAnsi="Arial" w:cs="Arial"/>
          <w:noProof/>
          <w:vertAlign w:val="superscript"/>
          <w:lang w:val="en-US"/>
        </w:rPr>
        <w:t>7</w:t>
      </w:r>
      <w:r w:rsidR="00DD5C83" w:rsidRPr="00430A5E">
        <w:rPr>
          <w:rFonts w:ascii="Arial" w:hAnsi="Arial" w:cs="Arial"/>
          <w:lang w:val="en-US"/>
        </w:rPr>
        <w:fldChar w:fldCharType="end"/>
      </w:r>
    </w:p>
    <w:p w14:paraId="23624C14" w14:textId="75A38B5D" w:rsidR="00DD5C83" w:rsidRPr="00430A5E" w:rsidRDefault="001A71D4" w:rsidP="007C437C">
      <w:pPr>
        <w:spacing w:after="0" w:line="360" w:lineRule="auto"/>
        <w:jc w:val="both"/>
        <w:rPr>
          <w:rFonts w:ascii="Arial" w:hAnsi="Arial" w:cs="Arial"/>
          <w:lang w:val="en-US"/>
        </w:rPr>
      </w:pPr>
      <w:r w:rsidRPr="00430A5E">
        <w:rPr>
          <w:rFonts w:ascii="Arial" w:hAnsi="Arial" w:cs="Arial"/>
          <w:lang w:val="en-US"/>
        </w:rPr>
        <w:t xml:space="preserve">The </w:t>
      </w:r>
      <w:r w:rsidR="0070609B" w:rsidRPr="00430A5E">
        <w:rPr>
          <w:rFonts w:ascii="Arial" w:hAnsi="Arial" w:cs="Arial"/>
          <w:lang w:val="en-US"/>
        </w:rPr>
        <w:t xml:space="preserve">greatest </w:t>
      </w:r>
      <w:r w:rsidRPr="00430A5E">
        <w:rPr>
          <w:rFonts w:ascii="Arial" w:hAnsi="Arial" w:cs="Arial"/>
          <w:lang w:val="en-US"/>
        </w:rPr>
        <w:t>challenge in understanding</w:t>
      </w:r>
      <w:r w:rsidR="003773FB" w:rsidRPr="00430A5E">
        <w:rPr>
          <w:rFonts w:ascii="Arial" w:hAnsi="Arial" w:cs="Arial"/>
          <w:lang w:val="en-US"/>
        </w:rPr>
        <w:t xml:space="preserve"> microbial communities</w:t>
      </w:r>
      <w:r w:rsidRPr="00430A5E">
        <w:rPr>
          <w:rFonts w:ascii="Arial" w:hAnsi="Arial" w:cs="Arial"/>
          <w:lang w:val="en-US"/>
        </w:rPr>
        <w:t xml:space="preserve"> is the analysis</w:t>
      </w:r>
      <w:r w:rsidR="003773FB" w:rsidRPr="00430A5E">
        <w:rPr>
          <w:rFonts w:ascii="Arial" w:hAnsi="Arial" w:cs="Arial"/>
          <w:lang w:val="en-US"/>
        </w:rPr>
        <w:t xml:space="preserve"> </w:t>
      </w:r>
      <w:r w:rsidRPr="00430A5E">
        <w:rPr>
          <w:rFonts w:ascii="Arial" w:hAnsi="Arial" w:cs="Arial"/>
          <w:lang w:val="en-US"/>
        </w:rPr>
        <w:t>of</w:t>
      </w:r>
      <w:r w:rsidR="00347B43" w:rsidRPr="00430A5E">
        <w:rPr>
          <w:rFonts w:ascii="Arial" w:hAnsi="Arial" w:cs="Arial"/>
          <w:lang w:val="en-US"/>
        </w:rPr>
        <w:t xml:space="preserve"> their</w:t>
      </w:r>
      <w:r w:rsidR="00C865C8" w:rsidRPr="00430A5E">
        <w:rPr>
          <w:rFonts w:ascii="Arial" w:hAnsi="Arial" w:cs="Arial"/>
          <w:lang w:val="en-US"/>
        </w:rPr>
        <w:t xml:space="preserve"> complex interactions on different spatio-temporal scales, which </w:t>
      </w:r>
      <w:r w:rsidR="00561B81" w:rsidRPr="00430A5E">
        <w:rPr>
          <w:rFonts w:ascii="Arial" w:hAnsi="Arial" w:cs="Arial"/>
          <w:lang w:val="en-US"/>
        </w:rPr>
        <w:t>can be</w:t>
      </w:r>
      <w:r w:rsidRPr="00430A5E">
        <w:rPr>
          <w:rFonts w:ascii="Arial" w:hAnsi="Arial" w:cs="Arial"/>
          <w:lang w:val="en-US"/>
        </w:rPr>
        <w:t xml:space="preserve"> highly dynamic and</w:t>
      </w:r>
      <w:r w:rsidR="00C865C8" w:rsidRPr="00430A5E">
        <w:rPr>
          <w:rFonts w:ascii="Arial" w:hAnsi="Arial" w:cs="Arial"/>
          <w:lang w:val="en-US"/>
        </w:rPr>
        <w:t xml:space="preserve"> difficult to predict</w:t>
      </w:r>
      <w:r w:rsidR="00B4002D" w:rsidRPr="00430A5E">
        <w:rPr>
          <w:rFonts w:ascii="Arial" w:hAnsi="Arial" w:cs="Arial"/>
          <w:lang w:val="en-US"/>
        </w:rPr>
        <w:t>.</w:t>
      </w:r>
      <w:r w:rsidR="00C865C8" w:rsidRPr="00430A5E">
        <w:rPr>
          <w:rFonts w:ascii="Arial" w:hAnsi="Arial" w:cs="Arial"/>
          <w:lang w:val="en-US"/>
        </w:rPr>
        <w:fldChar w:fldCharType="begin" w:fldLock="1"/>
      </w:r>
      <w:r w:rsidR="003D068F" w:rsidRPr="00430A5E">
        <w:rPr>
          <w:rFonts w:ascii="Arial" w:hAnsi="Arial" w:cs="Arial"/>
          <w:lang w:val="en-US"/>
        </w:rPr>
        <w:instrText>ADDIN CSL_CITATION {"citationItems":[{"id":"ITEM-1","itemData":{"DOI":"10.1073/pnas.0807935105","ISBN":"0027-8424","ISSN":"0027-8424","PMID":"19011107","abstract":"This paper shows that for microbial communities, \"fences make good neighbors.\" Communities of soil microorganisms perform critical functions: controlling climate, enhancing crop production, and remediation of environmental contamination. Microbial communities in the oral cavity and the gut are of high biomedical interest. Understanding and harnessing the function of these communities is difficult: artificial microbial communities in the laboratory become unstable because of \"winner-takes-all\" competition among species. We constructed a community of three different species of wild-type soil bacteria with syntrophic interactions using a microfluidic device to control spatial structure and chemical communication. We found that defined microscale spatial structure is both necessary and sufficient for the stable coexistence of interacting bacterial species in the synthetic community. A mathematical model describes how spatial structure can balance the competition and positive interactions within the community, even when the rates of production and consumption of nutrients by species are mismatched, by exploiting nonlinearities of these processes. These findings provide experimental and modeling evidence for a class of communities that require microscale spatial structure for stability, and these results predict that controlling spatial structure may enable harnessing the function of natural and synthetic multispecies communities in the laboratory.","author":[{"dropping-particle":"","family":"Kim","given":"H. J.","non-dropping-particle":"","parse-names":false,"suffix":""},{"dropping-particle":"","family":"Boedicker","given":"J. Q.","non-dropping-particle":"","parse-names":false,"suffix":""},{"dropping-particle":"","family":"Choi","given":"J. W.","non-dropping-particle":"","parse-names":false,"suffix":""},{"dropping-particle":"","family":"Ismagilov","given":"R. F.","non-dropping-particle":"","parse-names":false,"suffix":""}],"container-title":"Proceedings of the National Academy of Sciences","id":"ITEM-1","issue":"47","issued":{"date-parts":[["2008"]]},"page":"18188-18193","title":"Defined spatial structure stabilizes a synthetic multispecies bacterial community","type":"article-journal","volume":"105"},"uris":["http://www.mendeley.com/documents/?uuid=1a7807bd-453f-402f-869f-e51f73e6fb68"]}],"mendeley":{"formattedCitation":"&lt;sup&gt;8&lt;/sup&gt;","plainTextFormattedCitation":"8","previouslyFormattedCitation":"&lt;sup&gt;8&lt;/sup&gt;"},"properties":{"noteIndex":0},"schema":"https://github.com/citation-style-language/schema/raw/master/csl-citation.json"}</w:instrText>
      </w:r>
      <w:r w:rsidR="00C865C8" w:rsidRPr="00430A5E">
        <w:rPr>
          <w:rFonts w:ascii="Arial" w:hAnsi="Arial" w:cs="Arial"/>
          <w:lang w:val="en-US"/>
        </w:rPr>
        <w:fldChar w:fldCharType="separate"/>
      </w:r>
      <w:r w:rsidR="00930F35" w:rsidRPr="00430A5E">
        <w:rPr>
          <w:rFonts w:ascii="Arial" w:hAnsi="Arial" w:cs="Arial"/>
          <w:noProof/>
          <w:vertAlign w:val="superscript"/>
          <w:lang w:val="en-US"/>
        </w:rPr>
        <w:t>8</w:t>
      </w:r>
      <w:r w:rsidR="00C865C8" w:rsidRPr="00430A5E">
        <w:rPr>
          <w:rFonts w:ascii="Arial" w:hAnsi="Arial" w:cs="Arial"/>
          <w:lang w:val="en-US"/>
        </w:rPr>
        <w:fldChar w:fldCharType="end"/>
      </w:r>
      <w:r w:rsidR="00D41F07" w:rsidRPr="00430A5E">
        <w:rPr>
          <w:rFonts w:ascii="Arial" w:hAnsi="Arial" w:cs="Arial"/>
          <w:lang w:val="en-US"/>
        </w:rPr>
        <w:t xml:space="preserve"> </w:t>
      </w:r>
      <w:r w:rsidR="00671C1A" w:rsidRPr="00430A5E">
        <w:rPr>
          <w:rFonts w:ascii="Arial" w:hAnsi="Arial" w:cs="Arial"/>
          <w:lang w:val="en-US"/>
        </w:rPr>
        <w:t>A</w:t>
      </w:r>
      <w:r w:rsidR="00E813DF" w:rsidRPr="00430A5E">
        <w:rPr>
          <w:rFonts w:ascii="Arial" w:hAnsi="Arial" w:cs="Arial"/>
          <w:lang w:val="en-US"/>
        </w:rPr>
        <w:t xml:space="preserve">nalysis of </w:t>
      </w:r>
      <w:r w:rsidR="00671C1A" w:rsidRPr="00430A5E">
        <w:rPr>
          <w:rFonts w:ascii="Arial" w:hAnsi="Arial" w:cs="Arial"/>
          <w:lang w:val="en-US"/>
        </w:rPr>
        <w:t xml:space="preserve">population behavior </w:t>
      </w:r>
      <w:r w:rsidR="00347B43" w:rsidRPr="00430A5E">
        <w:rPr>
          <w:rFonts w:ascii="Arial" w:hAnsi="Arial" w:cs="Arial"/>
          <w:lang w:val="en-US"/>
        </w:rPr>
        <w:t>in</w:t>
      </w:r>
      <w:r w:rsidR="00E813DF" w:rsidRPr="00430A5E">
        <w:rPr>
          <w:rFonts w:ascii="Arial" w:hAnsi="Arial" w:cs="Arial"/>
          <w:lang w:val="en-US"/>
        </w:rPr>
        <w:t xml:space="preserve"> co-cultures</w:t>
      </w:r>
      <w:r w:rsidR="001E4E1F" w:rsidRPr="00430A5E">
        <w:rPr>
          <w:rFonts w:ascii="Arial" w:hAnsi="Arial" w:cs="Arial"/>
          <w:lang w:val="en-US"/>
        </w:rPr>
        <w:t xml:space="preserve"> </w:t>
      </w:r>
      <w:r w:rsidR="0070609B" w:rsidRPr="00430A5E">
        <w:rPr>
          <w:rFonts w:ascii="Arial" w:hAnsi="Arial" w:cs="Arial"/>
          <w:lang w:val="en-US"/>
        </w:rPr>
        <w:t>ha</w:t>
      </w:r>
      <w:r w:rsidR="00671C1A" w:rsidRPr="00430A5E">
        <w:rPr>
          <w:rFonts w:ascii="Arial" w:hAnsi="Arial" w:cs="Arial"/>
          <w:lang w:val="en-US"/>
        </w:rPr>
        <w:t>s mostly</w:t>
      </w:r>
      <w:r w:rsidR="0070609B" w:rsidRPr="00430A5E">
        <w:rPr>
          <w:rFonts w:ascii="Arial" w:hAnsi="Arial" w:cs="Arial"/>
          <w:lang w:val="en-US"/>
        </w:rPr>
        <w:t xml:space="preserve"> been </w:t>
      </w:r>
      <w:r w:rsidR="00DF18B5" w:rsidRPr="00430A5E">
        <w:rPr>
          <w:rFonts w:ascii="Arial" w:hAnsi="Arial" w:cs="Arial"/>
          <w:lang w:val="en-US"/>
        </w:rPr>
        <w:t>perform</w:t>
      </w:r>
      <w:r w:rsidR="0070609B" w:rsidRPr="00430A5E">
        <w:rPr>
          <w:rFonts w:ascii="Arial" w:hAnsi="Arial" w:cs="Arial"/>
          <w:lang w:val="en-US"/>
        </w:rPr>
        <w:t>ed with</w:t>
      </w:r>
      <w:r w:rsidR="00671C1A" w:rsidRPr="00430A5E">
        <w:rPr>
          <w:rFonts w:ascii="Arial" w:hAnsi="Arial" w:cs="Arial"/>
          <w:lang w:val="en-US"/>
        </w:rPr>
        <w:t>in the limits of</w:t>
      </w:r>
      <w:r w:rsidR="001E4E1F" w:rsidRPr="00430A5E">
        <w:rPr>
          <w:rFonts w:ascii="Arial" w:hAnsi="Arial" w:cs="Arial"/>
          <w:lang w:val="en-US"/>
        </w:rPr>
        <w:t xml:space="preserve"> </w:t>
      </w:r>
      <w:r w:rsidR="00561B81" w:rsidRPr="00430A5E">
        <w:rPr>
          <w:rFonts w:ascii="Arial" w:hAnsi="Arial" w:cs="Arial"/>
          <w:lang w:val="en-US"/>
        </w:rPr>
        <w:t>lab scale cultivations,</w:t>
      </w:r>
      <w:r w:rsidR="00181596" w:rsidRPr="00430A5E">
        <w:rPr>
          <w:rFonts w:ascii="Arial" w:hAnsi="Arial" w:cs="Arial"/>
          <w:lang w:val="en-US"/>
        </w:rPr>
        <w:t xml:space="preserve"> average</w:t>
      </w:r>
      <w:r w:rsidR="001E4E1F" w:rsidRPr="00430A5E">
        <w:rPr>
          <w:rFonts w:ascii="Arial" w:hAnsi="Arial" w:cs="Arial"/>
          <w:lang w:val="en-US"/>
        </w:rPr>
        <w:t xml:space="preserve"> measurements</w:t>
      </w:r>
      <w:r w:rsidR="00561B81" w:rsidRPr="00430A5E">
        <w:rPr>
          <w:rFonts w:ascii="Arial" w:hAnsi="Arial" w:cs="Arial"/>
          <w:lang w:val="en-US"/>
        </w:rPr>
        <w:t>,</w:t>
      </w:r>
      <w:r w:rsidR="00DF18B5" w:rsidRPr="00430A5E">
        <w:rPr>
          <w:rFonts w:ascii="Arial" w:hAnsi="Arial" w:cs="Arial"/>
          <w:lang w:val="en-US"/>
        </w:rPr>
        <w:t xml:space="preserve"> and</w:t>
      </w:r>
      <w:r w:rsidR="00181596" w:rsidRPr="00430A5E">
        <w:rPr>
          <w:rFonts w:ascii="Arial" w:hAnsi="Arial" w:cs="Arial"/>
          <w:lang w:val="en-US"/>
        </w:rPr>
        <w:t xml:space="preserve"> off-line</w:t>
      </w:r>
      <w:r w:rsidR="00DF18B5" w:rsidRPr="00430A5E">
        <w:rPr>
          <w:rFonts w:ascii="Arial" w:hAnsi="Arial" w:cs="Arial"/>
          <w:lang w:val="en-US"/>
        </w:rPr>
        <w:t xml:space="preserve"> sample</w:t>
      </w:r>
      <w:r w:rsidR="00181596" w:rsidRPr="00430A5E">
        <w:rPr>
          <w:rFonts w:ascii="Arial" w:hAnsi="Arial" w:cs="Arial"/>
          <w:lang w:val="en-US"/>
        </w:rPr>
        <w:t xml:space="preserve"> analysis</w:t>
      </w:r>
      <w:r w:rsidR="00375E96" w:rsidRPr="00430A5E">
        <w:rPr>
          <w:rFonts w:ascii="Arial" w:hAnsi="Arial" w:cs="Arial"/>
          <w:lang w:val="en-US"/>
        </w:rPr>
        <w:t>, such as metagenomics or flow cytometry</w:t>
      </w:r>
      <w:r w:rsidR="00B4002D" w:rsidRPr="00430A5E">
        <w:rPr>
          <w:rFonts w:ascii="Arial" w:hAnsi="Arial" w:cs="Arial"/>
          <w:lang w:val="en-US"/>
        </w:rPr>
        <w:t>.</w:t>
      </w:r>
      <w:r w:rsidR="00181596" w:rsidRPr="00430A5E">
        <w:rPr>
          <w:rFonts w:ascii="Arial" w:hAnsi="Arial" w:cs="Arial"/>
          <w:lang w:val="en-US"/>
        </w:rPr>
        <w:fldChar w:fldCharType="begin" w:fldLock="1"/>
      </w:r>
      <w:r w:rsidR="003D068F" w:rsidRPr="00430A5E">
        <w:rPr>
          <w:rFonts w:ascii="Arial" w:hAnsi="Arial" w:cs="Arial"/>
          <w:lang w:val="en-US"/>
        </w:rPr>
        <w:instrText>ADDIN CSL_CITATION {"citationItems":[{"id":"ITEM-1","itemData":{"DOI":"10.1128/mSphere.00564-17","ISSN":"2379-5042","abstract":"Microbial communities drive many processes which affect human well-being directly, as in the human microbiome, or indirectly, as in natural environments or in biotechnological applications. Due to their complexity, their dynamics over time is difficult to monitor, and current sequence-based approaches are limited with respect to the temporal resolution. However, in order to eventually control microbial community dynamics, monitoring schemes of high temporal resolution are required. Flow cytometry provides single-cell-based data in the required temporal resolution, and we here use such data to compute stability properties as easy to interpret univariate indicators of microbial community dynamics. Such monitoring tools will allow for a fast, continuous, and cost-effective screening of stability states of microbiomes. Applicable to various environments, including bioreactors, surface water, and the human body, it will contribute to the development of control schemes to manipulate microbial community structures and performances.","author":[{"dropping-particle":"","family":"Liu","given":"Zishu","non-dropping-particle":"","parse-names":false,"suffix":""},{"dropping-particle":"","family":"Cichocki","given":"Nicolas","non-dropping-particle":"","parse-names":false,"suffix":""},{"dropping-particle":"","family":"Bonk","given":"Fabian","non-dropping-particle":"","parse-names":false,"suffix":""},{"dropping-particle":"","family":"Günther","given":"Susanne","non-dropping-particle":"","parse-names":false,"suffix":""},{"dropping-particle":"","family":"Schattenberg","given":"Florian","non-dropping-particle":"","parse-names":false,"suffix":""},{"dropping-particle":"","family":"Harms","given":"Hauke","non-dropping-particle":"","parse-names":false,"suffix":""},{"dropping-particle":"","family":"Centler","given":"Florian","non-dropping-particle":"","parse-names":false,"suffix":""},{"dropping-particle":"","family":"Müller","given":"Susann","non-dropping-particle":"","parse-names":false,"suffix":""}],"container-title":"mSphere","editor":[{"dropping-particle":"","family":"Mattes","given":"Timothy E.","non-dropping-particle":"","parse-names":false,"suffix":""}],"id":"ITEM-1","issue":"1","issued":{"date-parts":[["2018","1","17"]]},"page":"1-13","title":"Ecological Stability Properties of Microbial Communities Assessed by Flow Cytometry","type":"article-journal","volume":"3"},"uris":["http://www.mendeley.com/documents/?uuid=8d04a89f-acdf-488b-afed-8e1c83115a74"]},{"id":"ITEM-2","itemData":{"DOI":"10.1007/s00253-016-7713-3","ISBN":"0025301677133","ISSN":"14320614","PMID":"27418359","abstract":"The selection of microbes by enrichment on plant biomass has been proposed as an efficient way to develop new strategies for lignocellulose saccharification. Here, we report an in-depth analysis of soil-derived microbial consortia that were trained to degrade once-used wheat straw (WS1-M), switchgrass (SG-M) and corn stover (CS-M) under aerobic and mesophilic conditions. Molecular fingerprintings, bacterial 16S ribosomal RNA (rRNA) gene amplicon sequencing and metagenomic analyses showed that the three microbial consortia were taxonomically distinct. Based on the taxonomic affiliation of protein-encoding sequences, members of the Bacteroidetes (e.g. Chryseobacterium, Weeksella, Flavobacterium and Sphingobacterium) were preferentially selected on WS1-M, whereas SG-M and CS-M favoured members of the Proteobacteria (e.g. Caulobacter, Brevundimonas, Stenotrophomonas and Xanthomonas). The highest degradation rates of lignin (~59 %) were observed with SG-M, whereas CS-M showed a high consumption of cellulose and hemicellulose. Analyses of the carbohydrate-active enzymes in the three microbial consortia showed the dominance of glycosyl hydrolases (e.g. of families GH3, GH43, GH13, GH10, GH29, GH28, GH16, GH4 and GH92). In addition, proteins of families AA6, AA10 and AA2 were detected. Analysis of secreted protein fractions (metasecretome) for each selected microbial consortium mainly showed the presence of enzymes able to degrade arabinan, arabinoxylan, xylan, β-glucan, galactomannan and rhamnogalacturonan. Notably, these metasecretomes contain enzymes that enable us to produce oligosaccharides directly from wheat straw, sugarcane bagasse and willow. Thus, the underlying microbial consortia constitute valuable resources for the production of enzyme cocktails for the efficient saccharification of plant biomass.","author":[{"dropping-particle":"","family":"Jiménez","given":"Diego Javier","non-dropping-particle":"","parse-names":false,"suffix":""},{"dropping-particle":"","family":"Lima Brossi","given":"Maria Julia","non-dropping-particle":"de","parse-names":false,"suffix":""},{"dropping-particle":"","family":"Schückel","given":"Julia","non-dropping-particle":"","parse-names":false,"suffix":""},{"dropping-particle":"","family":"Kračun","given":"Stjepan Krešimir","non-dropping-particle":"","parse-names":false,"suffix":""},{"dropping-particle":"","family":"Willats","given":"William George Tycho","non-dropping-particle":"","parse-names":false,"suffix":""},{"dropping-particle":"","family":"Elsas","given":"Jan Dirk","non-dropping-particle":"van","parse-names":false,"suffix":""}],"container-title":"Applied Microbiology and Biotechnology","id":"ITEM-2","issue":"24","issued":{"date-parts":[["2016"]]},"page":"10463-10477","title":"Characterization of three plant biomass-degrading microbial consortia by metagenomics- and metasecretomics-based approaches","type":"article-journal","volume":"100"},"uris":["http://www.mendeley.com/documents/?uuid=57d83675-c278-4891-b96f-fc4386d0e7ce"]}],"mendeley":{"formattedCitation":"&lt;sup&gt;9,10&lt;/sup&gt;","plainTextFormattedCitation":"9,10","previouslyFormattedCitation":"&lt;sup&gt;9,10&lt;/sup&gt;"},"properties":{"noteIndex":0},"schema":"https://github.com/citation-style-language/schema/raw/master/csl-citation.json"}</w:instrText>
      </w:r>
      <w:r w:rsidR="00181596" w:rsidRPr="00430A5E">
        <w:rPr>
          <w:rFonts w:ascii="Arial" w:hAnsi="Arial" w:cs="Arial"/>
          <w:lang w:val="en-US"/>
        </w:rPr>
        <w:fldChar w:fldCharType="separate"/>
      </w:r>
      <w:r w:rsidR="00930F35" w:rsidRPr="00430A5E">
        <w:rPr>
          <w:rFonts w:ascii="Arial" w:hAnsi="Arial" w:cs="Arial"/>
          <w:noProof/>
          <w:vertAlign w:val="superscript"/>
          <w:lang w:val="en-US"/>
        </w:rPr>
        <w:t>9,10</w:t>
      </w:r>
      <w:r w:rsidR="00181596" w:rsidRPr="00430A5E">
        <w:rPr>
          <w:rFonts w:ascii="Arial" w:hAnsi="Arial" w:cs="Arial"/>
          <w:lang w:val="en-US"/>
        </w:rPr>
        <w:fldChar w:fldCharType="end"/>
      </w:r>
      <w:r w:rsidR="00181596" w:rsidRPr="00430A5E">
        <w:rPr>
          <w:rFonts w:ascii="Arial" w:hAnsi="Arial" w:cs="Arial"/>
          <w:lang w:val="en-US"/>
        </w:rPr>
        <w:t xml:space="preserve"> </w:t>
      </w:r>
      <w:r w:rsidR="00DD5C83" w:rsidRPr="00430A5E">
        <w:rPr>
          <w:rFonts w:ascii="Arial" w:hAnsi="Arial" w:cs="Arial"/>
          <w:lang w:val="en-US"/>
        </w:rPr>
        <w:t>However, recent studies have shown that especially short-range interactions play a pivotal role in functions of microbial communities</w:t>
      </w:r>
      <w:r w:rsidR="00B4002D" w:rsidRPr="00430A5E">
        <w:rPr>
          <w:rFonts w:ascii="Arial" w:hAnsi="Arial" w:cs="Arial"/>
          <w:lang w:val="en-US"/>
        </w:rPr>
        <w:t>.</w:t>
      </w:r>
      <w:r w:rsidR="00DD5C83" w:rsidRPr="00430A5E">
        <w:rPr>
          <w:rFonts w:ascii="Arial" w:hAnsi="Arial" w:cs="Arial"/>
          <w:lang w:val="en-US"/>
        </w:rPr>
        <w:fldChar w:fldCharType="begin" w:fldLock="1"/>
      </w:r>
      <w:r w:rsidR="003D068F" w:rsidRPr="00430A5E">
        <w:rPr>
          <w:rFonts w:ascii="Arial" w:hAnsi="Arial" w:cs="Arial"/>
          <w:lang w:val="en-US"/>
        </w:rPr>
        <w:instrText>ADDIN CSL_CITATION {"citationItems":[{"id":"ITEM-1","itemData":{"DOI":"10.1038/s41559-019-1080-2","ISSN":"2397-334X","author":[{"dropping-particle":"","family":"Co","given":"Alma Dal","non-dropping-particle":"","parse-names":false,"suffix":""},{"dropping-particle":"","family":"Vliet","given":"Simon","non-dropping-particle":"van","parse-names":false,"suffix":""},{"dropping-particle":"","family":"Kiviet","given":"Daniel Johannes","non-dropping-particle":"","parse-names":false,"suffix":""},{"dropping-particle":"","family":"Schlegel","given":"Susan","non-dropping-particle":"","parse-names":false,"suffix":""},{"dropping-particle":"","family":"Ackermann","given":"Martin","non-dropping-particle":"","parse-names":false,"suffix":""}],"container-title":"Nature Ecology &amp; Evolution","id":"ITEM-1","issued":{"date-parts":[["2020","2","10"]]},"publisher":"Springer US","title":"Short-range interactions govern the dynamics and functions of microbial communities","type":"article-journal"},"uris":["http://www.mendeley.com/documents/?uuid=d4b64507-800c-4c13-8aa3-23d6039a3ead"]},{"id":"ITEM-2","itemData":{"DOI":"10.1016/j.cels.2018.03.009","ISSN":"24054720","abstract":"Gene expression levels in clonal bacterial groups have been found to be spatially correlated. These correlations can partly be explained by the shared lineage history of nearby cells, although they could also arise from local cell-cell interactions. Here, we present a quantitative framework that allows us to disentangle the contributions of lineage history, long-range spatial gradients, and local cell-cell interactions to spatial correlations in gene expression. We study pathways involved in toxin production, SOS stress response, and metabolism in Escherichia coli microcolonies and find for all pathways that shared lineage history is the main cause of spatial correlations in gene expression levels. However, long-range spatial gradients and local cell-cell interactions also contributed to spatial correlations in SOS response, amino acid biosynthesis, and overall metabolic activity. Together, our data show that the phenotype of a cell is influenced by its lineage history and population context, raising the question of whether bacteria can arrange their activities in space to perform functions they cannot achieve alone. Neighboring cells in bacterial groups tend to have similar gene expression levels. We showed that three factors contribute to these spatial correlations: (1) nearby cells tend to share a recent common ancestor, (2) large-scale gradients affect neighboring cells in similar ways, and (3) local cell-cell interactions can couple expression levels between neighbors. Our data show that spatial patterns of gene expression are highly non-random, raising the question of whether bacteria can coordinate their activities in space to achieve new functionality.","author":[{"dropping-particle":"","family":"Vliet","given":"Simon","non-dropping-particle":"van","parse-names":false,"suffix":""},{"dropping-particle":"","family":"Dal Co","given":"Alma","non-dropping-particle":"","parse-names":false,"suffix":""},{"dropping-particle":"","family":"Winkler","given":"Annina R.","non-dropping-particle":"","parse-names":false,"suffix":""},{"dropping-particle":"","family":"Spriewald","given":"Stefanie","non-dropping-particle":"","parse-names":false,"suffix":""},{"dropping-particle":"","family":"Stecher","given":"Bärbel","non-dropping-particle":"","parse-names":false,"suffix":""},{"dropping-particle":"","family":"Ackermann","given":"Martin","non-dropping-particle":"","parse-names":false,"suffix":""}],"container-title":"Cell Systems","id":"ITEM-2","issue":"4","issued":{"date-parts":[["2018"]]},"page":"496-507.e6","title":"Spatially Correlated Gene Expression in Bacterial Groups: The Role of Lineage History, Spatial Gradients, and Cell-Cell Interactions","type":"article-journal","volume":"6"},"uris":["http://www.mendeley.com/documents/?uuid=faa9360b-82c0-4c1a-b2a4-1c6eb6406140"]}],"mendeley":{"formattedCitation":"&lt;sup&gt;11,12&lt;/sup&gt;","plainTextFormattedCitation":"11,12","previouslyFormattedCitation":"&lt;sup&gt;11,12&lt;/sup&gt;"},"properties":{"noteIndex":0},"schema":"https://github.com/citation-style-language/schema/raw/master/csl-citation.json"}</w:instrText>
      </w:r>
      <w:r w:rsidR="00DD5C83" w:rsidRPr="00430A5E">
        <w:rPr>
          <w:rFonts w:ascii="Arial" w:hAnsi="Arial" w:cs="Arial"/>
          <w:lang w:val="en-US"/>
        </w:rPr>
        <w:fldChar w:fldCharType="separate"/>
      </w:r>
      <w:r w:rsidR="00930F35" w:rsidRPr="00430A5E">
        <w:rPr>
          <w:rFonts w:ascii="Arial" w:hAnsi="Arial" w:cs="Arial"/>
          <w:noProof/>
          <w:vertAlign w:val="superscript"/>
          <w:lang w:val="en-US"/>
        </w:rPr>
        <w:t>11,12</w:t>
      </w:r>
      <w:r w:rsidR="00DD5C83" w:rsidRPr="00430A5E">
        <w:rPr>
          <w:rFonts w:ascii="Arial" w:hAnsi="Arial" w:cs="Arial"/>
          <w:lang w:val="en-US"/>
        </w:rPr>
        <w:fldChar w:fldCharType="end"/>
      </w:r>
      <w:r w:rsidR="00DD5C83" w:rsidRPr="00430A5E">
        <w:rPr>
          <w:rFonts w:ascii="Arial" w:hAnsi="Arial" w:cs="Arial"/>
          <w:lang w:val="en-US"/>
        </w:rPr>
        <w:t xml:space="preserve"> </w:t>
      </w:r>
      <w:r w:rsidR="005C0995" w:rsidRPr="00430A5E">
        <w:rPr>
          <w:rFonts w:ascii="Arial" w:hAnsi="Arial" w:cs="Arial"/>
          <w:lang w:val="en-US"/>
        </w:rPr>
        <w:t xml:space="preserve">According to </w:t>
      </w:r>
      <w:r w:rsidR="00713B0C" w:rsidRPr="00430A5E">
        <w:rPr>
          <w:rFonts w:ascii="Arial" w:hAnsi="Arial" w:cs="Arial"/>
          <w:lang w:val="en-US"/>
        </w:rPr>
        <w:t xml:space="preserve">Co </w:t>
      </w:r>
      <w:r w:rsidR="00713B0C" w:rsidRPr="00430A5E">
        <w:rPr>
          <w:rFonts w:ascii="Arial" w:hAnsi="Arial" w:cs="Arial"/>
          <w:i/>
          <w:iCs/>
          <w:lang w:val="en-US"/>
        </w:rPr>
        <w:t>et al.</w:t>
      </w:r>
      <w:r w:rsidR="005C0995" w:rsidRPr="00430A5E">
        <w:rPr>
          <w:rFonts w:ascii="Arial" w:hAnsi="Arial" w:cs="Arial"/>
          <w:lang w:val="en-US"/>
        </w:rPr>
        <w:t>,</w:t>
      </w:r>
      <w:r w:rsidR="00713B0C" w:rsidRPr="00430A5E">
        <w:rPr>
          <w:rFonts w:ascii="Arial" w:hAnsi="Arial" w:cs="Arial"/>
          <w:lang w:val="en-US"/>
        </w:rPr>
        <w:t xml:space="preserve"> cells interact only in a range of a few cell length with community members to exchange metabolites</w:t>
      </w:r>
      <w:r w:rsidR="00B4002D" w:rsidRPr="00430A5E">
        <w:rPr>
          <w:rFonts w:ascii="Arial" w:hAnsi="Arial" w:cs="Arial"/>
          <w:lang w:val="en-US"/>
        </w:rPr>
        <w:t>.</w:t>
      </w:r>
      <w:r w:rsidR="00713B0C" w:rsidRPr="00430A5E">
        <w:rPr>
          <w:rFonts w:ascii="Arial" w:hAnsi="Arial" w:cs="Arial"/>
          <w:lang w:val="en-US"/>
        </w:rPr>
        <w:fldChar w:fldCharType="begin" w:fldLock="1"/>
      </w:r>
      <w:r w:rsidR="003D068F" w:rsidRPr="00430A5E">
        <w:rPr>
          <w:rFonts w:ascii="Arial" w:hAnsi="Arial" w:cs="Arial"/>
          <w:lang w:val="en-US"/>
        </w:rPr>
        <w:instrText>ADDIN CSL_CITATION {"citationItems":[{"id":"ITEM-1","itemData":{"DOI":"10.1038/s41559-019-1080-2","ISSN":"2397-334X","author":[{"dropping-particle":"","family":"Co","given":"Alma Dal","non-dropping-particle":"","parse-names":false,"suffix":""},{"dropping-particle":"","family":"Vliet","given":"Simon","non-dropping-particle":"van","parse-names":false,"suffix":""},{"dropping-particle":"","family":"Kiviet","given":"Daniel Johannes","non-dropping-particle":"","parse-names":false,"suffix":""},{"dropping-particle":"","family":"Schlegel","given":"Susan","non-dropping-particle":"","parse-names":false,"suffix":""},{"dropping-particle":"","family":"Ackermann","given":"Martin","non-dropping-particle":"","parse-names":false,"suffix":""}],"container-title":"Nature Ecology &amp; Evolution","id":"ITEM-1","issued":{"date-parts":[["2020","2","10"]]},"publisher":"Springer US","title":"Short-range interactions govern the dynamics and functions of microbial communities","type":"article-journal"},"uris":["http://www.mendeley.com/documents/?uuid=d4b64507-800c-4c13-8aa3-23d6039a3ead"]}],"mendeley":{"formattedCitation":"&lt;sup&gt;11&lt;/sup&gt;","plainTextFormattedCitation":"11","previouslyFormattedCitation":"&lt;sup&gt;11&lt;/sup&gt;"},"properties":{"noteIndex":0},"schema":"https://github.com/citation-style-language/schema/raw/master/csl-citation.json"}</w:instrText>
      </w:r>
      <w:r w:rsidR="00713B0C" w:rsidRPr="00430A5E">
        <w:rPr>
          <w:rFonts w:ascii="Arial" w:hAnsi="Arial" w:cs="Arial"/>
          <w:lang w:val="en-US"/>
        </w:rPr>
        <w:fldChar w:fldCharType="separate"/>
      </w:r>
      <w:r w:rsidR="00930F35" w:rsidRPr="00430A5E">
        <w:rPr>
          <w:rFonts w:ascii="Arial" w:hAnsi="Arial" w:cs="Arial"/>
          <w:noProof/>
          <w:vertAlign w:val="superscript"/>
          <w:lang w:val="en-US"/>
        </w:rPr>
        <w:t>11</w:t>
      </w:r>
      <w:r w:rsidR="00713B0C" w:rsidRPr="00430A5E">
        <w:rPr>
          <w:rFonts w:ascii="Arial" w:hAnsi="Arial" w:cs="Arial"/>
          <w:lang w:val="en-US"/>
        </w:rPr>
        <w:fldChar w:fldCharType="end"/>
      </w:r>
    </w:p>
    <w:p w14:paraId="007DC3C6" w14:textId="5AB19910" w:rsidR="00A64A1D" w:rsidRPr="00430A5E" w:rsidRDefault="00DD5C83" w:rsidP="007C437C">
      <w:pPr>
        <w:spacing w:after="0" w:line="360" w:lineRule="auto"/>
        <w:jc w:val="both"/>
        <w:rPr>
          <w:rFonts w:ascii="Arial" w:hAnsi="Arial" w:cs="Arial"/>
          <w:lang w:val="en-US"/>
        </w:rPr>
      </w:pPr>
      <w:r w:rsidRPr="00430A5E">
        <w:rPr>
          <w:rFonts w:ascii="Arial" w:hAnsi="Arial" w:cs="Arial"/>
          <w:lang w:val="en-US"/>
        </w:rPr>
        <w:t>Th</w:t>
      </w:r>
      <w:r w:rsidR="00561B81" w:rsidRPr="00430A5E">
        <w:rPr>
          <w:rFonts w:ascii="Arial" w:hAnsi="Arial" w:cs="Arial"/>
          <w:lang w:val="en-US"/>
        </w:rPr>
        <w:t>ese</w:t>
      </w:r>
      <w:r w:rsidRPr="00430A5E">
        <w:rPr>
          <w:rFonts w:ascii="Arial" w:hAnsi="Arial" w:cs="Arial"/>
          <w:lang w:val="en-US"/>
        </w:rPr>
        <w:t xml:space="preserve"> s</w:t>
      </w:r>
      <w:r w:rsidR="00D80AFA" w:rsidRPr="00430A5E">
        <w:rPr>
          <w:rFonts w:ascii="Arial" w:hAnsi="Arial" w:cs="Arial"/>
          <w:lang w:val="en-US"/>
        </w:rPr>
        <w:t>hort-range cell-cell interaction</w:t>
      </w:r>
      <w:r w:rsidR="00561B81" w:rsidRPr="00430A5E">
        <w:rPr>
          <w:rFonts w:ascii="Arial" w:hAnsi="Arial" w:cs="Arial"/>
          <w:lang w:val="en-US"/>
        </w:rPr>
        <w:t>s</w:t>
      </w:r>
      <w:r w:rsidR="00193F76" w:rsidRPr="00430A5E">
        <w:rPr>
          <w:rFonts w:ascii="Arial" w:hAnsi="Arial" w:cs="Arial"/>
          <w:lang w:val="en-US"/>
        </w:rPr>
        <w:t xml:space="preserve"> can be </w:t>
      </w:r>
      <w:r w:rsidR="00561B81" w:rsidRPr="00430A5E">
        <w:rPr>
          <w:rFonts w:ascii="Arial" w:hAnsi="Arial" w:cs="Arial"/>
          <w:lang w:val="en-US"/>
        </w:rPr>
        <w:t>analyzed</w:t>
      </w:r>
      <w:r w:rsidR="00C44AFB" w:rsidRPr="00430A5E">
        <w:rPr>
          <w:rFonts w:ascii="Arial" w:hAnsi="Arial" w:cs="Arial"/>
          <w:lang w:val="en-US"/>
        </w:rPr>
        <w:t xml:space="preserve"> </w:t>
      </w:r>
      <w:r w:rsidR="00193F76" w:rsidRPr="00430A5E">
        <w:rPr>
          <w:rFonts w:ascii="Arial" w:hAnsi="Arial" w:cs="Arial"/>
          <w:lang w:val="en-US"/>
        </w:rPr>
        <w:t>with</w:t>
      </w:r>
      <w:r w:rsidR="004440C0" w:rsidRPr="00430A5E">
        <w:rPr>
          <w:rFonts w:ascii="Arial" w:hAnsi="Arial" w:cs="Arial"/>
          <w:lang w:val="en-US"/>
        </w:rPr>
        <w:t xml:space="preserve"> m</w:t>
      </w:r>
      <w:r w:rsidR="00366C9C" w:rsidRPr="00430A5E">
        <w:rPr>
          <w:rFonts w:ascii="Arial" w:hAnsi="Arial" w:cs="Arial"/>
          <w:lang w:val="en-US"/>
        </w:rPr>
        <w:t>icrofluidic</w:t>
      </w:r>
      <w:r w:rsidR="00FB0BF8" w:rsidRPr="00430A5E">
        <w:rPr>
          <w:rFonts w:ascii="Arial" w:hAnsi="Arial" w:cs="Arial"/>
          <w:lang w:val="en-US"/>
        </w:rPr>
        <w:t xml:space="preserve"> </w:t>
      </w:r>
      <w:r w:rsidR="00561B81" w:rsidRPr="00430A5E">
        <w:rPr>
          <w:rFonts w:ascii="Arial" w:hAnsi="Arial" w:cs="Arial"/>
          <w:lang w:val="en-US"/>
        </w:rPr>
        <w:t>cultivation devices and appropriate time-lapse microscopy</w:t>
      </w:r>
      <w:r w:rsidR="00B4002D" w:rsidRPr="00430A5E">
        <w:rPr>
          <w:rFonts w:ascii="Arial" w:hAnsi="Arial" w:cs="Arial"/>
          <w:lang w:val="en-US"/>
        </w:rPr>
        <w:t>.</w:t>
      </w:r>
      <w:r w:rsidR="005A0265" w:rsidRPr="00430A5E">
        <w:rPr>
          <w:rFonts w:ascii="Arial" w:hAnsi="Arial" w:cs="Arial"/>
          <w:lang w:val="en-US"/>
        </w:rPr>
        <w:fldChar w:fldCharType="begin" w:fldLock="1"/>
      </w:r>
      <w:r w:rsidR="003D068F" w:rsidRPr="00430A5E">
        <w:rPr>
          <w:rFonts w:ascii="Arial" w:hAnsi="Arial" w:cs="Arial"/>
          <w:lang w:val="en-US"/>
        </w:rPr>
        <w:instrText>ADDIN CSL_CITATION {"citationItems":[{"id":"ITEM-1","itemData":{"DOI":"10.1016/j.mee.2019.01.004","ISSN":"01679317","abstract":"This review covers several aspects of microfluidic devices used for culturing and monitoring of both adherent and non-adherent cells, including a multitude of applications. A comparison of available platforms with high throughput analysis, automation capability, interface to sensors and integration, is reported. Aspects, such as operational versatility of the devices, are scrutinized in terms of their analytical efficacy. It is found that due to multi-functionality capability of modern microfluidics, there is big amount of experimental data obtainable from a single device, allowing complex experimental control and efficient data correlation, particularly important when biomedical studies are considered. Hence several examples on cell culture and monitoring are given in this review, including details on design of microfluidic devices with their distinctive technological peculiarities.","author":[{"dropping-particle":"","family":"Coluccio","given":"Maria Laura","non-dropping-particle":"","parse-names":false,"suffix":""},{"dropping-particle":"","family":"Perozziello","given":"Gerardo","non-dropping-particle":"","parse-names":false,"suffix":""},{"dropping-particle":"","family":"Malara","given":"Natalia","non-dropping-particle":"","parse-names":false,"suffix":""},{"dropping-particle":"","family":"Parrotta","given":"Elvira","non-dropping-particle":"","parse-names":false,"suffix":""},{"dropping-particle":"","family":"Zhang","given":"Peng","non-dropping-particle":"","parse-names":false,"suffix":""},{"dropping-particle":"","family":"Gentile","given":"Francesco","non-dropping-particle":"","parse-names":false,"suffix":""},{"dropping-particle":"","family":"Limongi","given":"Tania","non-dropping-particle":"","parse-names":false,"suffix":""},{"dropping-particle":"","family":"Raj","given":"Pushparani Michael","non-dropping-particle":"","parse-names":false,"suffix":""},{"dropping-particle":"","family":"Cuda","given":"Gianni","non-dropping-particle":"","parse-names":false,"suffix":""},{"dropping-particle":"","family":"Candeloro","given":"Patrizio","non-dropping-particle":"","parse-names":false,"suffix":""},{"dropping-particle":"","family":"Fabrizio","given":"Enzo","non-dropping-particle":"Di","parse-names":false,"suffix":""}],"container-title":"Microelectronic Engineering","id":"ITEM-1","issue":"January","issued":{"date-parts":[["2019"]]},"page":"14-28","publisher":"Elsevier","title":"Microfluidic platforms for cell cultures and investigations","type":"article-journal","volume":"208"},"uris":["http://www.mendeley.com/documents/?uuid=74207f0c-833a-431d-84cf-bcb97475bca5"]}],"mendeley":{"formattedCitation":"&lt;sup&gt;13&lt;/sup&gt;","plainTextFormattedCitation":"13","previouslyFormattedCitation":"&lt;sup&gt;13&lt;/sup&gt;"},"properties":{"noteIndex":0},"schema":"https://github.com/citation-style-language/schema/raw/master/csl-citation.json"}</w:instrText>
      </w:r>
      <w:r w:rsidR="005A0265" w:rsidRPr="00430A5E">
        <w:rPr>
          <w:rFonts w:ascii="Arial" w:hAnsi="Arial" w:cs="Arial"/>
          <w:lang w:val="en-US"/>
        </w:rPr>
        <w:fldChar w:fldCharType="separate"/>
      </w:r>
      <w:r w:rsidR="00930F35" w:rsidRPr="00430A5E">
        <w:rPr>
          <w:rFonts w:ascii="Arial" w:hAnsi="Arial" w:cs="Arial"/>
          <w:noProof/>
          <w:vertAlign w:val="superscript"/>
          <w:lang w:val="en-US"/>
        </w:rPr>
        <w:t>13</w:t>
      </w:r>
      <w:r w:rsidR="005A0265" w:rsidRPr="00430A5E">
        <w:rPr>
          <w:rFonts w:ascii="Arial" w:hAnsi="Arial" w:cs="Arial"/>
          <w:lang w:val="en-US"/>
        </w:rPr>
        <w:fldChar w:fldCharType="end"/>
      </w:r>
      <w:r w:rsidR="00FB0BF8" w:rsidRPr="00430A5E">
        <w:rPr>
          <w:rFonts w:ascii="Arial" w:hAnsi="Arial" w:cs="Arial"/>
          <w:lang w:val="en-US"/>
        </w:rPr>
        <w:t xml:space="preserve"> </w:t>
      </w:r>
      <w:r w:rsidR="0039158B" w:rsidRPr="00430A5E">
        <w:rPr>
          <w:rFonts w:ascii="Arial" w:hAnsi="Arial" w:cs="Arial"/>
          <w:lang w:val="en-US"/>
        </w:rPr>
        <w:t xml:space="preserve">In the past, </w:t>
      </w:r>
      <w:r w:rsidR="00561B81" w:rsidRPr="00430A5E">
        <w:rPr>
          <w:rFonts w:ascii="Arial" w:hAnsi="Arial" w:cs="Arial"/>
          <w:lang w:val="en-US"/>
        </w:rPr>
        <w:t>microfluidics</w:t>
      </w:r>
      <w:r w:rsidR="00FB0BF8" w:rsidRPr="00430A5E">
        <w:rPr>
          <w:rFonts w:ascii="Arial" w:hAnsi="Arial" w:cs="Arial"/>
          <w:lang w:val="en-US"/>
        </w:rPr>
        <w:t xml:space="preserve"> </w:t>
      </w:r>
      <w:r w:rsidR="009D41FF" w:rsidRPr="00430A5E">
        <w:rPr>
          <w:rFonts w:ascii="Arial" w:hAnsi="Arial" w:cs="Arial"/>
          <w:lang w:val="en-US"/>
        </w:rPr>
        <w:t>ha</w:t>
      </w:r>
      <w:r w:rsidR="00561B81" w:rsidRPr="00430A5E">
        <w:rPr>
          <w:rFonts w:ascii="Arial" w:hAnsi="Arial" w:cs="Arial"/>
          <w:lang w:val="en-US"/>
        </w:rPr>
        <w:t>s</w:t>
      </w:r>
      <w:r w:rsidR="009D41FF" w:rsidRPr="00430A5E">
        <w:rPr>
          <w:rFonts w:ascii="Arial" w:hAnsi="Arial" w:cs="Arial"/>
          <w:lang w:val="en-US"/>
        </w:rPr>
        <w:t xml:space="preserve"> mainly been</w:t>
      </w:r>
      <w:r w:rsidR="00947433" w:rsidRPr="00430A5E">
        <w:rPr>
          <w:rFonts w:ascii="Arial" w:hAnsi="Arial" w:cs="Arial"/>
          <w:lang w:val="en-US"/>
        </w:rPr>
        <w:t xml:space="preserve"> </w:t>
      </w:r>
      <w:r w:rsidR="009D41FF" w:rsidRPr="00430A5E">
        <w:rPr>
          <w:rFonts w:ascii="Arial" w:hAnsi="Arial" w:cs="Arial"/>
          <w:lang w:val="en-US"/>
        </w:rPr>
        <w:t xml:space="preserve">employed for the analysis of </w:t>
      </w:r>
      <w:r w:rsidR="00561B81" w:rsidRPr="00430A5E">
        <w:rPr>
          <w:rFonts w:ascii="Arial" w:hAnsi="Arial" w:cs="Arial"/>
          <w:lang w:val="en-US"/>
        </w:rPr>
        <w:t xml:space="preserve">microbial </w:t>
      </w:r>
      <w:r w:rsidR="009D41FF" w:rsidRPr="00430A5E">
        <w:rPr>
          <w:rFonts w:ascii="Arial" w:hAnsi="Arial" w:cs="Arial"/>
          <w:lang w:val="en-US"/>
        </w:rPr>
        <w:t>monocultures</w:t>
      </w:r>
      <w:r w:rsidR="0089483D" w:rsidRPr="00430A5E">
        <w:rPr>
          <w:rFonts w:ascii="Arial" w:hAnsi="Arial" w:cs="Arial"/>
          <w:lang w:val="en-US"/>
        </w:rPr>
        <w:fldChar w:fldCharType="begin" w:fldLock="1"/>
      </w:r>
      <w:r w:rsidR="003D068F" w:rsidRPr="00430A5E">
        <w:rPr>
          <w:rFonts w:ascii="Arial" w:hAnsi="Arial" w:cs="Arial"/>
          <w:lang w:val="en-US"/>
        </w:rPr>
        <w:instrText>ADDIN CSL_CITATION {"citationItems":[{"id":"ITEM-1","itemData":{"DOI":"10.1016/j.cbpa.2012.03.022","ISSN":"13675931","PMID":"22525493","abstract":"Methods for single-cell analysis are critical to revealing cell-to-cell variability in biological systems, especially in cases where relevant minority cell populations can be obscured by population-averaged measurements. However, to date single cell studies have been limited by the cost and throughput required to examine large numbers of cells and the difficulties associated with analyzing small amounts of starting material. Microfluidic approaches are well suited to resolving these issues by providing increased senstitivity, economy of scale, and automation. After many years of development microfluidic systems are now finding traction in a variety of single-cell analytics including gene expression measurements, protein analysis, signaling response, and growth dynamics. With newly developed tools now being applied in fields ranging from human haplotyping and drug discovery to stem cell and cancer research, the long-heralded promise of microfluidic single cell analysis is now finally being realized. © 2012 Elsevier Ltd.","author":[{"dropping-particle":"","family":"Lecault","given":"Véronique","non-dropping-particle":"","parse-names":false,"suffix":""},{"dropping-particle":"","family":"White","given":"Adam K.","non-dropping-particle":"","parse-names":false,"suffix":""},{"dropping-particle":"","family":"Singhal","given":"Anupam","non-dropping-particle":"","parse-names":false,"suffix":""},{"dropping-particle":"","family":"Hansen","given":"Carl L.","non-dropping-particle":"","parse-names":false,"suffix":""}],"container-title":"Current Opinion in Chemical Biology","id":"ITEM-1","issue":"3-4","issued":{"date-parts":[["2012"]]},"page":"381-390","title":"Microfluidic single cell analysis: From promise to practice","type":"article-journal","volume":"16"},"uris":["http://www.mendeley.com/documents/?uuid=bc0b2e89-699e-4a14-abdc-942aaf25a4ba","http://www.mendeley.com/documents/?uuid=433c9fee-a8a2-431d-9031-6948ff188151"]},{"id":"ITEM-2","itemData":{"DOI":"10.1039/c2lc41196b","ISBN":"1473-0189 (Electronic)\r1473-0189 (Linking)","PMID":"23334753","abstract":"We designed a microfluidic chemostat consisting of 600 sub-micron trapping/growth channels connected to two feeding channels. The microchemostat traps E. coli cells and forces them to grow in lines for over 50 generations. Excess cells, including the mother cells captured at the start of the process, are removed from both ends of the growth channels by the media flow. With the aid of time-lapse microscopy, we have monitored dynamic properties such as growth rate and GFP expression at the single-cell level for many generations while maintaining a population of bacteria of similar age. We also use the microchemostat to show how the population responds to dynamic changes in the environment. Since more than 100 individual bacterial cells are aligned and immobilized in a single field of view, the microchemostat is an ideal platform for high-throughput intracellular measurements. We demonstrate this capability by tracking with sub-diffraction resolution the movements of fluorescently tagged loci in more than one thousand cells on a single device. The device yields results comparable to conventional agar microscopy experiments with substantial increases in throughput and ease of analysis.","author":[{"dropping-particle":"","family":"Long","given":"Z","non-dropping-particle":"","parse-names":false,"suffix":""},{"dropping-particle":"","family":"Nugent","given":"E","non-dropping-particle":"","parse-names":false,"suffix":""},{"dropping-particle":"","family":"Javer","given":"A","non-dropping-particle":"","parse-names":false,"suffix":""},{"dropping-particle":"","family":"Cicuta","given":"P","non-dropping-particle":"","parse-names":false,"suffix":""},{"dropping-particle":"","family":"Sclavi","given":"B","non-dropping-particle":"","parse-names":false,"suffix":""},{"dropping-particle":"","family":"Cosentino Lagomarsino","given":"M","non-dropping-particle":"","parse-names":false,"suffix":""},{"dropping-particle":"","family":"Dorfman","given":"K D","non-dropping-particle":"","parse-names":false,"suffix":""}],"container-title":"Lab Chip","id":"ITEM-2","issue":"5","issued":{"date-parts":[["2013"]]},"note":"Long, Zhicheng\nNugent, Eileen\nJaver, Avelino\nCicuta, Pietro\nSclavi, Bianca\nCosentino Lagomarsino, Marco\nDorfman, Kevin D\neng\nResearch Support, Non-U.S. Gov't\nResearch Support, U.S. Gov't, Non-P.H.S.\nEngland\n2013/01/22 06:00\nLab Chip. 2013 Mar 7;13(5):947-54. doi: 10.1039/c2lc41196b. Epub 2013 Jan 18.","page":"947-954","title":"Microfluidic chemostat for measuring single cell dynamics in bacteria","type":"article-journal","volume":"13"},"uris":["http://www.mendeley.com/documents/?uuid=60b7d186-abc3-4436-94e8-7aaa7c3e41f9"]}],"mendeley":{"formattedCitation":"&lt;sup&gt;14,15&lt;/sup&gt;","plainTextFormattedCitation":"14,15","previouslyFormattedCitation":"&lt;sup&gt;14,15&lt;/sup&gt;"},"properties":{"noteIndex":0},"schema":"https://github.com/citation-style-language/schema/raw/master/csl-citation.json"}</w:instrText>
      </w:r>
      <w:r w:rsidR="0089483D" w:rsidRPr="00430A5E">
        <w:rPr>
          <w:rFonts w:ascii="Arial" w:hAnsi="Arial" w:cs="Arial"/>
          <w:lang w:val="en-US"/>
        </w:rPr>
        <w:fldChar w:fldCharType="separate"/>
      </w:r>
      <w:r w:rsidR="00930F35" w:rsidRPr="00430A5E">
        <w:rPr>
          <w:rFonts w:ascii="Arial" w:hAnsi="Arial" w:cs="Arial"/>
          <w:noProof/>
          <w:vertAlign w:val="superscript"/>
          <w:lang w:val="en-US"/>
        </w:rPr>
        <w:t>14,15</w:t>
      </w:r>
      <w:r w:rsidR="0089483D" w:rsidRPr="00430A5E">
        <w:rPr>
          <w:rFonts w:ascii="Arial" w:hAnsi="Arial" w:cs="Arial"/>
          <w:lang w:val="en-US"/>
        </w:rPr>
        <w:fldChar w:fldCharType="end"/>
      </w:r>
      <w:r w:rsidR="00BA1116" w:rsidRPr="00430A5E">
        <w:rPr>
          <w:rFonts w:ascii="Arial" w:hAnsi="Arial" w:cs="Arial"/>
          <w:lang w:val="en-US"/>
        </w:rPr>
        <w:t>,</w:t>
      </w:r>
      <w:r w:rsidR="00FB0BF8" w:rsidRPr="00430A5E">
        <w:rPr>
          <w:rFonts w:ascii="Arial" w:hAnsi="Arial" w:cs="Arial"/>
          <w:lang w:val="en-US"/>
        </w:rPr>
        <w:t xml:space="preserve"> but</w:t>
      </w:r>
      <w:r w:rsidR="00947433" w:rsidRPr="00430A5E">
        <w:rPr>
          <w:rFonts w:ascii="Arial" w:hAnsi="Arial" w:cs="Arial"/>
          <w:lang w:val="en-US"/>
        </w:rPr>
        <w:t xml:space="preserve"> a few studies </w:t>
      </w:r>
      <w:r w:rsidR="003E2CB0" w:rsidRPr="00430A5E">
        <w:rPr>
          <w:rFonts w:ascii="Arial" w:hAnsi="Arial" w:cs="Arial"/>
          <w:lang w:val="en-US"/>
        </w:rPr>
        <w:t>investigat</w:t>
      </w:r>
      <w:r w:rsidR="00990DBF" w:rsidRPr="00430A5E">
        <w:rPr>
          <w:rFonts w:ascii="Arial" w:hAnsi="Arial" w:cs="Arial"/>
          <w:lang w:val="en-US"/>
        </w:rPr>
        <w:t>ing</w:t>
      </w:r>
      <w:r w:rsidR="00193F76" w:rsidRPr="00430A5E">
        <w:rPr>
          <w:rFonts w:ascii="Arial" w:hAnsi="Arial" w:cs="Arial"/>
          <w:lang w:val="en-US"/>
        </w:rPr>
        <w:t xml:space="preserve"> synthetic co-cultures</w:t>
      </w:r>
      <w:r w:rsidR="00947433" w:rsidRPr="00430A5E">
        <w:rPr>
          <w:rFonts w:ascii="Arial" w:hAnsi="Arial" w:cs="Arial"/>
          <w:lang w:val="en-US"/>
        </w:rPr>
        <w:t xml:space="preserve"> have been published</w:t>
      </w:r>
      <w:r w:rsidR="00D80AFA" w:rsidRPr="00430A5E">
        <w:rPr>
          <w:rFonts w:ascii="Arial" w:hAnsi="Arial" w:cs="Arial"/>
          <w:lang w:val="en-US"/>
        </w:rPr>
        <w:t xml:space="preserve"> recently</w:t>
      </w:r>
      <w:r w:rsidR="00B4002D" w:rsidRPr="00430A5E">
        <w:rPr>
          <w:rFonts w:ascii="Arial" w:hAnsi="Arial" w:cs="Arial"/>
          <w:lang w:val="en-US"/>
        </w:rPr>
        <w:t>.</w:t>
      </w:r>
      <w:r w:rsidR="00193F76" w:rsidRPr="00430A5E">
        <w:rPr>
          <w:rFonts w:ascii="Arial" w:hAnsi="Arial" w:cs="Arial"/>
          <w:lang w:val="en-US"/>
        </w:rPr>
        <w:fldChar w:fldCharType="begin" w:fldLock="1"/>
      </w:r>
      <w:r w:rsidR="003D068F" w:rsidRPr="00430A5E">
        <w:rPr>
          <w:rFonts w:ascii="Arial" w:hAnsi="Arial" w:cs="Arial"/>
          <w:lang w:val="en-US"/>
        </w:rPr>
        <w:instrText>ADDIN CSL_CITATION {"citationItems":[{"id":"ITEM-1","itemData":{"DOI":"10.1021/acssynbio.9b00146","ISSN":"2161-5063","abstract":"Synthetic microbial consortia consist of two or more engineered strains that grow together and share the same resources. When intercellular signaling pathways are included in the engineered strains, close proximity of the microbes can generate complex dynamic behaviors that are difficult to obtain using a single strain. However, when a consortium is not cultured in a well-mixed environment the constituent strains passively compete for space as they grow and divide, complicating cell-cell signaling. Here, we explore the temporal dynamics of the spatial distribution of consortia co-cultured in microfluidic devices. To do this, we grew two different strains of Escherichia coli in microfluidic devices with cell-trapping regions (traps) of several different designs. We found that the size and shape of the traps are critical determinants of spatiotemporal dynamics. In small traps, cells can easily signal one another but the relative proportion of each strain within the trap can fluctuate wildly. In large traps, the relative ratio of strains is stabilized, but intercellular signaling can be hindered by distances between cells. This presents a trade-off between the trap size and the effectiveness of intercellular signaling, which can be mitigated by controlling the initial seeding of cells in the large trap. These results show how synthetic microbial consortia behave in microfluidic traps and provide a method to help remedy the spatial heterogeneity inherent to different trap geometries.","author":[{"dropping-particle":"","family":"Alnahhas","given":"Razan N.","non-dropping-particle":"","parse-names":false,"suffix":""},{"dropping-particle":"","family":"Winkle","given":"James J.","non-dropping-particle":"","parse-names":false,"suffix":""},{"dropping-particle":"","family":"Hirning","given":"Andrew J.","non-dropping-particle":"","parse-names":false,"suffix":""},{"dropping-particle":"","family":"Karamched","given":"Bhargav","non-dropping-particle":"","parse-names":false,"suffix":""},{"dropping-particle":"","family":"Ott","given":"William","non-dropping-particle":"","parse-names":false,"suffix":""},{"dropping-particle":"","family":"Josić","given":"Krešimir","non-dropping-particle":"","parse-names":false,"suffix":""},{"dropping-particle":"","family":"Bennett","given":"Matthew R.","non-dropping-particle":"","parse-names":false,"suffix":""}],"container-title":"ACS Synthetic Biology","id":"ITEM-1","issue":"9","issued":{"date-parts":[["2019","9","20"]]},"page":"2051-2058","title":"Spatiotemporal Dynamics of Synthetic Microbial Consortia in Microfluidic Devices","type":"article-journal","volume":"8"},"uris":["http://www.mendeley.com/documents/?uuid=55666187-e520-4822-b9cc-1118dfef535c"]},{"id":"ITEM-2","itemData":{"DOI":"10.1039/C8LC00977E","ISSN":"1473-0197","abstract":"A microfluidic device for the co-cultivation of microbial cells.","author":[{"dropping-particle":"","family":"Burmeister","given":"Alina","non-dropping-particle":"","parse-names":false,"suffix":""},{"dropping-particle":"","family":"Hilgers","given":"Fabienne","non-dropping-particle":"","parse-names":false,"suffix":""},{"dropping-particle":"","family":"Langner","given":"Annika","non-dropping-particle":"","parse-names":false,"suffix":""},{"dropping-particle":"","family":"Westerwalbesloh","given":"Christoph","non-dropping-particle":"","parse-names":false,"suffix":""},{"dropping-particle":"","family":"Kerkhoff","given":"Yannic","non-dropping-particle":"","parse-names":false,"suffix":""},{"dropping-particle":"","family":"Tenhaef","given":"Niklas","non-dropping-particle":"","parse-names":false,"suffix":""},{"dropping-particle":"","family":"Drepper","given":"Thomas","non-dropping-particle":"","parse-names":false,"suffix":""},{"dropping-particle":"","family":"Kohlheyer","given":"Dietrich","non-dropping-particle":"","parse-names":false,"suffix":""},{"dropping-particle":"","family":"Lieres","given":"Eric","non-dropping-particle":"von","parse-names":false,"suffix":""},{"dropping-particle":"","family":"Noack","given":"Stephan","non-dropping-particle":"","parse-names":false,"suffix":""},{"dropping-particle":"","family":"Grünberger","given":"Alexander","non-dropping-particle":"","parse-names":false,"suffix":""}],"container-title":"Lab on a Chip","id":"ITEM-2","issue":"1","issued":{"date-parts":[["2019"]]},"page":"98-110","publisher":"Royal Society of Chemistry","title":"A microfluidic co-cultivation platform to investigate microbial interactions at defined microenvironments","type":"article-journal","volume":"19"},"uris":["http://www.mendeley.com/documents/?uuid=f09cf1a7-ab41-4506-80bd-52fc2414863c"]}],"mendeley":{"formattedCitation":"&lt;sup&gt;16,17&lt;/sup&gt;","plainTextFormattedCitation":"16,17","previouslyFormattedCitation":"&lt;sup&gt;16,17&lt;/sup&gt;"},"properties":{"noteIndex":0},"schema":"https://github.com/citation-style-language/schema/raw/master/csl-citation.json"}</w:instrText>
      </w:r>
      <w:r w:rsidR="00193F76" w:rsidRPr="00430A5E">
        <w:rPr>
          <w:rFonts w:ascii="Arial" w:hAnsi="Arial" w:cs="Arial"/>
          <w:lang w:val="en-US"/>
        </w:rPr>
        <w:fldChar w:fldCharType="separate"/>
      </w:r>
      <w:r w:rsidR="00930F35" w:rsidRPr="00430A5E">
        <w:rPr>
          <w:rFonts w:ascii="Arial" w:hAnsi="Arial" w:cs="Arial"/>
          <w:noProof/>
          <w:vertAlign w:val="superscript"/>
          <w:lang w:val="en-US"/>
        </w:rPr>
        <w:t>16,17</w:t>
      </w:r>
      <w:r w:rsidR="00193F76" w:rsidRPr="00430A5E">
        <w:rPr>
          <w:rFonts w:ascii="Arial" w:hAnsi="Arial" w:cs="Arial"/>
          <w:lang w:val="en-US"/>
        </w:rPr>
        <w:fldChar w:fldCharType="end"/>
      </w:r>
      <w:r w:rsidR="00D80AFA" w:rsidRPr="00430A5E">
        <w:rPr>
          <w:rFonts w:ascii="Arial" w:hAnsi="Arial" w:cs="Arial"/>
          <w:lang w:val="en-US"/>
        </w:rPr>
        <w:t xml:space="preserve"> </w:t>
      </w:r>
      <w:r w:rsidR="00375E96" w:rsidRPr="00430A5E">
        <w:rPr>
          <w:rFonts w:ascii="Arial" w:hAnsi="Arial" w:cs="Arial"/>
          <w:lang w:val="en-US"/>
        </w:rPr>
        <w:t>Th</w:t>
      </w:r>
      <w:r w:rsidR="003E2CB0" w:rsidRPr="00430A5E">
        <w:rPr>
          <w:rFonts w:ascii="Arial" w:hAnsi="Arial" w:cs="Arial"/>
          <w:lang w:val="en-US"/>
        </w:rPr>
        <w:t>ese devices provide</w:t>
      </w:r>
      <w:r w:rsidR="00845559" w:rsidRPr="00430A5E">
        <w:rPr>
          <w:rFonts w:ascii="Arial" w:hAnsi="Arial" w:cs="Arial"/>
          <w:lang w:val="en-US"/>
        </w:rPr>
        <w:t xml:space="preserve"> </w:t>
      </w:r>
      <w:r w:rsidR="00375E96" w:rsidRPr="00430A5E">
        <w:rPr>
          <w:rFonts w:ascii="Arial" w:hAnsi="Arial" w:cs="Arial"/>
          <w:lang w:val="en-US"/>
        </w:rPr>
        <w:t>a</w:t>
      </w:r>
      <w:r w:rsidR="00561B81" w:rsidRPr="00430A5E">
        <w:rPr>
          <w:rFonts w:ascii="Arial" w:hAnsi="Arial" w:cs="Arial"/>
          <w:lang w:val="en-US"/>
        </w:rPr>
        <w:t>ccess to</w:t>
      </w:r>
      <w:r w:rsidR="00375E96" w:rsidRPr="00430A5E">
        <w:rPr>
          <w:rFonts w:ascii="Arial" w:hAnsi="Arial" w:cs="Arial"/>
          <w:lang w:val="en-US"/>
        </w:rPr>
        <w:t xml:space="preserve"> single-cell </w:t>
      </w:r>
      <w:r w:rsidR="00561B81" w:rsidRPr="00430A5E">
        <w:rPr>
          <w:rFonts w:ascii="Arial" w:hAnsi="Arial" w:cs="Arial"/>
          <w:lang w:val="en-US"/>
        </w:rPr>
        <w:t>resolution</w:t>
      </w:r>
      <w:r w:rsidR="00375E96" w:rsidRPr="00430A5E">
        <w:rPr>
          <w:rFonts w:ascii="Arial" w:hAnsi="Arial" w:cs="Arial"/>
          <w:lang w:val="en-US"/>
        </w:rPr>
        <w:t xml:space="preserve"> a</w:t>
      </w:r>
      <w:r w:rsidR="00561B81" w:rsidRPr="00430A5E">
        <w:rPr>
          <w:rFonts w:ascii="Arial" w:hAnsi="Arial" w:cs="Arial"/>
          <w:lang w:val="en-US"/>
        </w:rPr>
        <w:t>s well as</w:t>
      </w:r>
      <w:r w:rsidR="00375E96" w:rsidRPr="00430A5E">
        <w:rPr>
          <w:rFonts w:ascii="Arial" w:hAnsi="Arial" w:cs="Arial"/>
          <w:lang w:val="en-US"/>
        </w:rPr>
        <w:t xml:space="preserve"> </w:t>
      </w:r>
      <w:r w:rsidR="00845559" w:rsidRPr="00430A5E">
        <w:rPr>
          <w:rFonts w:ascii="Arial" w:hAnsi="Arial" w:cs="Arial"/>
          <w:lang w:val="en-US"/>
        </w:rPr>
        <w:t>controllable</w:t>
      </w:r>
      <w:r w:rsidR="00947433" w:rsidRPr="00430A5E">
        <w:rPr>
          <w:rFonts w:ascii="Arial" w:hAnsi="Arial" w:cs="Arial"/>
          <w:lang w:val="en-US"/>
        </w:rPr>
        <w:t xml:space="preserve"> environmental </w:t>
      </w:r>
      <w:r w:rsidR="009D41FF" w:rsidRPr="00430A5E">
        <w:rPr>
          <w:rFonts w:ascii="Arial" w:hAnsi="Arial" w:cs="Arial"/>
          <w:lang w:val="en-US"/>
        </w:rPr>
        <w:t>conditions</w:t>
      </w:r>
      <w:r w:rsidR="00561B81" w:rsidRPr="00430A5E">
        <w:rPr>
          <w:rFonts w:ascii="Arial" w:hAnsi="Arial" w:cs="Arial"/>
          <w:lang w:val="en-US"/>
        </w:rPr>
        <w:t>. In combination with (fluorescence) time-lapse microscopy</w:t>
      </w:r>
      <w:r w:rsidR="003B5C34" w:rsidRPr="00430A5E">
        <w:rPr>
          <w:rFonts w:ascii="Arial" w:hAnsi="Arial" w:cs="Arial"/>
          <w:lang w:val="en-US"/>
        </w:rPr>
        <w:t>,</w:t>
      </w:r>
      <w:r w:rsidR="00561B81" w:rsidRPr="00430A5E">
        <w:rPr>
          <w:rFonts w:ascii="Arial" w:hAnsi="Arial" w:cs="Arial"/>
          <w:lang w:val="en-US"/>
        </w:rPr>
        <w:t xml:space="preserve"> microfluidics</w:t>
      </w:r>
      <w:r w:rsidR="00EF52F5" w:rsidRPr="00430A5E">
        <w:rPr>
          <w:rFonts w:ascii="Arial" w:hAnsi="Arial" w:cs="Arial"/>
          <w:lang w:val="en-US"/>
        </w:rPr>
        <w:t xml:space="preserve"> enable</w:t>
      </w:r>
      <w:r w:rsidR="003B5C34" w:rsidRPr="00430A5E">
        <w:rPr>
          <w:rFonts w:ascii="Arial" w:hAnsi="Arial" w:cs="Arial"/>
          <w:lang w:val="en-US"/>
        </w:rPr>
        <w:t>s</w:t>
      </w:r>
      <w:r w:rsidR="00EF52F5" w:rsidRPr="00430A5E">
        <w:rPr>
          <w:rFonts w:ascii="Arial" w:hAnsi="Arial" w:cs="Arial"/>
          <w:lang w:val="en-US"/>
        </w:rPr>
        <w:t xml:space="preserve"> cell cultivation</w:t>
      </w:r>
      <w:r w:rsidR="00561B81" w:rsidRPr="00430A5E">
        <w:rPr>
          <w:rFonts w:ascii="Arial" w:hAnsi="Arial" w:cs="Arial"/>
          <w:lang w:val="en-US"/>
        </w:rPr>
        <w:t>s and analysis</w:t>
      </w:r>
      <w:r w:rsidR="00EF52F5" w:rsidRPr="00430A5E">
        <w:rPr>
          <w:rFonts w:ascii="Arial" w:hAnsi="Arial" w:cs="Arial"/>
          <w:lang w:val="en-US"/>
        </w:rPr>
        <w:t xml:space="preserve"> with </w:t>
      </w:r>
      <w:r w:rsidR="00561B81" w:rsidRPr="00430A5E">
        <w:rPr>
          <w:rFonts w:ascii="Arial" w:hAnsi="Arial" w:cs="Arial"/>
          <w:lang w:val="en-US"/>
        </w:rPr>
        <w:t>exceptional</w:t>
      </w:r>
      <w:r w:rsidR="00EF52F5" w:rsidRPr="00430A5E">
        <w:rPr>
          <w:rFonts w:ascii="Arial" w:hAnsi="Arial" w:cs="Arial"/>
          <w:lang w:val="en-US"/>
        </w:rPr>
        <w:t xml:space="preserve"> spatio-temporal resolution</w:t>
      </w:r>
      <w:r w:rsidR="009D41FF" w:rsidRPr="00430A5E">
        <w:rPr>
          <w:rFonts w:ascii="Arial" w:hAnsi="Arial" w:cs="Arial"/>
          <w:lang w:val="en-US"/>
        </w:rPr>
        <w:t>.</w:t>
      </w:r>
      <w:r w:rsidR="00257187" w:rsidRPr="00430A5E">
        <w:rPr>
          <w:rFonts w:ascii="Arial" w:hAnsi="Arial" w:cs="Arial"/>
          <w:lang w:val="en-US"/>
        </w:rPr>
        <w:t xml:space="preserve"> </w:t>
      </w:r>
      <w:r w:rsidR="008F6402" w:rsidRPr="00430A5E">
        <w:rPr>
          <w:rFonts w:ascii="Arial" w:hAnsi="Arial" w:cs="Arial"/>
          <w:lang w:val="en-US"/>
        </w:rPr>
        <w:t>D</w:t>
      </w:r>
      <w:r w:rsidR="00257187" w:rsidRPr="00430A5E">
        <w:rPr>
          <w:rFonts w:ascii="Arial" w:hAnsi="Arial" w:cs="Arial"/>
          <w:lang w:val="en-US"/>
        </w:rPr>
        <w:t>etailed</w:t>
      </w:r>
      <w:r w:rsidR="00A64A1D" w:rsidRPr="00430A5E">
        <w:rPr>
          <w:rFonts w:ascii="Arial" w:hAnsi="Arial" w:cs="Arial"/>
          <w:lang w:val="en-US"/>
        </w:rPr>
        <w:t xml:space="preserve"> insights</w:t>
      </w:r>
      <w:r w:rsidR="00257187" w:rsidRPr="00430A5E">
        <w:rPr>
          <w:rFonts w:ascii="Arial" w:hAnsi="Arial" w:cs="Arial"/>
          <w:lang w:val="en-US"/>
        </w:rPr>
        <w:t xml:space="preserve"> obtained from single-cell analysis</w:t>
      </w:r>
      <w:r w:rsidR="00A64A1D" w:rsidRPr="00430A5E">
        <w:rPr>
          <w:rFonts w:ascii="Arial" w:hAnsi="Arial" w:cs="Arial"/>
          <w:lang w:val="en-US"/>
        </w:rPr>
        <w:t xml:space="preserve"> are indispensable for </w:t>
      </w:r>
      <w:r w:rsidR="003E2CB0" w:rsidRPr="00430A5E">
        <w:rPr>
          <w:rFonts w:ascii="Arial" w:hAnsi="Arial" w:cs="Arial"/>
          <w:lang w:val="en-US"/>
        </w:rPr>
        <w:t xml:space="preserve">the development of </w:t>
      </w:r>
      <w:r w:rsidR="008F6402" w:rsidRPr="00430A5E">
        <w:rPr>
          <w:rFonts w:ascii="Arial" w:hAnsi="Arial" w:cs="Arial"/>
          <w:lang w:val="en-US"/>
        </w:rPr>
        <w:t>promising</w:t>
      </w:r>
      <w:r w:rsidR="003E2CB0" w:rsidRPr="00430A5E">
        <w:rPr>
          <w:rFonts w:ascii="Arial" w:hAnsi="Arial" w:cs="Arial"/>
          <w:lang w:val="en-US"/>
        </w:rPr>
        <w:t xml:space="preserve"> </w:t>
      </w:r>
      <w:r w:rsidR="00A64A1D" w:rsidRPr="00430A5E">
        <w:rPr>
          <w:rFonts w:ascii="Arial" w:hAnsi="Arial" w:cs="Arial"/>
          <w:lang w:val="en-US"/>
        </w:rPr>
        <w:t>control</w:t>
      </w:r>
      <w:r w:rsidR="003E2CB0" w:rsidRPr="00430A5E">
        <w:rPr>
          <w:rFonts w:ascii="Arial" w:hAnsi="Arial" w:cs="Arial"/>
          <w:lang w:val="en-US"/>
        </w:rPr>
        <w:t xml:space="preserve"> strategies</w:t>
      </w:r>
      <w:r w:rsidR="00A64A1D" w:rsidRPr="00430A5E">
        <w:rPr>
          <w:rFonts w:ascii="Arial" w:hAnsi="Arial" w:cs="Arial"/>
          <w:lang w:val="en-US"/>
        </w:rPr>
        <w:t xml:space="preserve"> </w:t>
      </w:r>
      <w:r w:rsidR="003E2CB0" w:rsidRPr="00430A5E">
        <w:rPr>
          <w:rFonts w:ascii="Arial" w:hAnsi="Arial" w:cs="Arial"/>
          <w:lang w:val="en-US"/>
        </w:rPr>
        <w:t>for</w:t>
      </w:r>
      <w:r w:rsidR="00A64A1D" w:rsidRPr="00430A5E">
        <w:rPr>
          <w:rFonts w:ascii="Arial" w:hAnsi="Arial" w:cs="Arial"/>
          <w:lang w:val="en-US"/>
        </w:rPr>
        <w:t xml:space="preserve"> synthetic co-cultures</w:t>
      </w:r>
      <w:r w:rsidR="00257187" w:rsidRPr="00430A5E">
        <w:rPr>
          <w:rFonts w:ascii="Arial" w:hAnsi="Arial" w:cs="Arial"/>
          <w:lang w:val="en-US"/>
        </w:rPr>
        <w:t>.</w:t>
      </w:r>
    </w:p>
    <w:p w14:paraId="26A794F6" w14:textId="7ABE1C9A" w:rsidR="00C865C8" w:rsidRPr="00430A5E" w:rsidRDefault="004F71C9" w:rsidP="007C437C">
      <w:pPr>
        <w:spacing w:after="0" w:line="360" w:lineRule="auto"/>
        <w:jc w:val="both"/>
        <w:rPr>
          <w:rFonts w:ascii="Arial" w:hAnsi="Arial" w:cs="Arial"/>
          <w:lang w:val="en-US"/>
        </w:rPr>
      </w:pPr>
      <w:r w:rsidRPr="00430A5E">
        <w:rPr>
          <w:rFonts w:ascii="Arial" w:hAnsi="Arial" w:cs="Arial"/>
          <w:lang w:val="en-US"/>
        </w:rPr>
        <w:t>Control</w:t>
      </w:r>
      <w:r w:rsidR="008F6402" w:rsidRPr="00430A5E">
        <w:rPr>
          <w:rFonts w:ascii="Arial" w:hAnsi="Arial" w:cs="Arial"/>
          <w:lang w:val="en-US"/>
        </w:rPr>
        <w:t xml:space="preserve">ling </w:t>
      </w:r>
      <w:r w:rsidRPr="00430A5E">
        <w:rPr>
          <w:rFonts w:ascii="Arial" w:hAnsi="Arial" w:cs="Arial"/>
          <w:lang w:val="en-US"/>
        </w:rPr>
        <w:t>co-cultures</w:t>
      </w:r>
      <w:r w:rsidR="008F6402" w:rsidRPr="00430A5E">
        <w:rPr>
          <w:rFonts w:ascii="Arial" w:hAnsi="Arial" w:cs="Arial"/>
          <w:lang w:val="en-US"/>
        </w:rPr>
        <w:t xml:space="preserve"> is </w:t>
      </w:r>
      <w:r w:rsidR="004D6597" w:rsidRPr="00430A5E">
        <w:rPr>
          <w:rFonts w:ascii="Arial" w:hAnsi="Arial" w:cs="Arial"/>
          <w:lang w:val="en-US"/>
        </w:rPr>
        <w:t>an emerging topic</w:t>
      </w:r>
      <w:r w:rsidRPr="00430A5E">
        <w:rPr>
          <w:rFonts w:ascii="Arial" w:hAnsi="Arial" w:cs="Arial"/>
          <w:lang w:val="en-US"/>
        </w:rPr>
        <w:t xml:space="preserve"> within the research field</w:t>
      </w:r>
      <w:r w:rsidR="0042113C" w:rsidRPr="00430A5E">
        <w:rPr>
          <w:rFonts w:ascii="Arial" w:hAnsi="Arial" w:cs="Arial"/>
          <w:lang w:val="en-US"/>
        </w:rPr>
        <w:t xml:space="preserve"> of synthetic co-cultures</w:t>
      </w:r>
      <w:r w:rsidRPr="00430A5E">
        <w:rPr>
          <w:rFonts w:ascii="Arial" w:hAnsi="Arial" w:cs="Arial"/>
          <w:lang w:val="en-US"/>
        </w:rPr>
        <w:t xml:space="preserve">. </w:t>
      </w:r>
      <w:r w:rsidR="0042113C" w:rsidRPr="00430A5E">
        <w:rPr>
          <w:rFonts w:ascii="Arial" w:hAnsi="Arial" w:cs="Arial"/>
          <w:lang w:val="en-US"/>
        </w:rPr>
        <w:t>T</w:t>
      </w:r>
      <w:r w:rsidR="00257187" w:rsidRPr="00430A5E">
        <w:rPr>
          <w:rFonts w:ascii="Arial" w:hAnsi="Arial" w:cs="Arial"/>
          <w:lang w:val="en-US"/>
        </w:rPr>
        <w:t xml:space="preserve">he </w:t>
      </w:r>
      <w:r w:rsidR="00680244" w:rsidRPr="00430A5E">
        <w:rPr>
          <w:rFonts w:ascii="Arial" w:hAnsi="Arial" w:cs="Arial"/>
          <w:lang w:val="en-US"/>
        </w:rPr>
        <w:t>application</w:t>
      </w:r>
      <w:r w:rsidR="00257187" w:rsidRPr="00430A5E">
        <w:rPr>
          <w:rFonts w:ascii="Arial" w:hAnsi="Arial" w:cs="Arial"/>
          <w:lang w:val="en-US"/>
        </w:rPr>
        <w:t xml:space="preserve"> of co-cultures in biotechnological processes</w:t>
      </w:r>
      <w:r w:rsidR="003B5C34" w:rsidRPr="00430A5E">
        <w:rPr>
          <w:rFonts w:ascii="Arial" w:hAnsi="Arial" w:cs="Arial"/>
          <w:lang w:val="en-US"/>
        </w:rPr>
        <w:t xml:space="preserve"> is still scarce</w:t>
      </w:r>
      <w:r w:rsidR="00257187" w:rsidRPr="00430A5E">
        <w:rPr>
          <w:rFonts w:ascii="Arial" w:hAnsi="Arial" w:cs="Arial"/>
          <w:lang w:val="en-US"/>
        </w:rPr>
        <w:t xml:space="preserve">, as </w:t>
      </w:r>
      <w:r w:rsidR="00BE0A91" w:rsidRPr="00430A5E">
        <w:rPr>
          <w:rFonts w:ascii="Arial" w:hAnsi="Arial" w:cs="Arial"/>
          <w:lang w:val="en-US"/>
        </w:rPr>
        <w:t>the</w:t>
      </w:r>
      <w:r w:rsidR="00257187" w:rsidRPr="00430A5E">
        <w:rPr>
          <w:rFonts w:ascii="Arial" w:hAnsi="Arial" w:cs="Arial"/>
          <w:lang w:val="en-US"/>
        </w:rPr>
        <w:t>ir</w:t>
      </w:r>
      <w:r w:rsidR="00BE0A91" w:rsidRPr="00430A5E">
        <w:rPr>
          <w:rFonts w:ascii="Arial" w:hAnsi="Arial" w:cs="Arial"/>
          <w:lang w:val="en-US"/>
        </w:rPr>
        <w:t xml:space="preserve"> dynamic control remains challenging</w:t>
      </w:r>
      <w:r w:rsidR="00680244" w:rsidRPr="00430A5E">
        <w:rPr>
          <w:rFonts w:ascii="Arial" w:hAnsi="Arial" w:cs="Arial"/>
          <w:lang w:val="en-US"/>
        </w:rPr>
        <w:t xml:space="preserve"> at the bulk level</w:t>
      </w:r>
      <w:r w:rsidR="00BE0A91" w:rsidRPr="00430A5E">
        <w:rPr>
          <w:rFonts w:ascii="Arial" w:hAnsi="Arial" w:cs="Arial"/>
          <w:lang w:val="en-US"/>
        </w:rPr>
        <w:t>. Recently</w:t>
      </w:r>
      <w:r w:rsidR="00554B2D" w:rsidRPr="00430A5E">
        <w:rPr>
          <w:rFonts w:ascii="Arial" w:hAnsi="Arial" w:cs="Arial"/>
          <w:lang w:val="en-US"/>
        </w:rPr>
        <w:t>,</w:t>
      </w:r>
      <w:r w:rsidR="00BE0A91" w:rsidRPr="00430A5E">
        <w:rPr>
          <w:rFonts w:ascii="Arial" w:hAnsi="Arial" w:cs="Arial"/>
          <w:lang w:val="en-US"/>
        </w:rPr>
        <w:t xml:space="preserve"> control </w:t>
      </w:r>
      <w:r w:rsidR="00554B2D" w:rsidRPr="00430A5E">
        <w:rPr>
          <w:rFonts w:ascii="Arial" w:hAnsi="Arial" w:cs="Arial"/>
          <w:lang w:val="en-US"/>
        </w:rPr>
        <w:t>mechanisms</w:t>
      </w:r>
      <w:r w:rsidR="009D41FF" w:rsidRPr="00430A5E">
        <w:rPr>
          <w:rFonts w:ascii="Arial" w:hAnsi="Arial" w:cs="Arial"/>
          <w:lang w:val="en-US"/>
        </w:rPr>
        <w:t xml:space="preserve"> for co-cultures</w:t>
      </w:r>
      <w:r w:rsidR="00BE0A91" w:rsidRPr="00430A5E">
        <w:rPr>
          <w:rFonts w:ascii="Arial" w:hAnsi="Arial" w:cs="Arial"/>
          <w:lang w:val="en-US"/>
        </w:rPr>
        <w:t xml:space="preserve"> includ</w:t>
      </w:r>
      <w:r w:rsidR="00554B2D" w:rsidRPr="00430A5E">
        <w:rPr>
          <w:rFonts w:ascii="Arial" w:hAnsi="Arial" w:cs="Arial"/>
          <w:lang w:val="en-US"/>
        </w:rPr>
        <w:t>ing</w:t>
      </w:r>
      <w:r w:rsidR="007068B6" w:rsidRPr="00430A5E">
        <w:rPr>
          <w:rFonts w:ascii="Arial" w:hAnsi="Arial" w:cs="Arial"/>
          <w:lang w:val="en-US"/>
        </w:rPr>
        <w:t xml:space="preserve"> the engineering of </w:t>
      </w:r>
      <w:r w:rsidR="00EC5C32" w:rsidRPr="00430A5E">
        <w:rPr>
          <w:rFonts w:ascii="Arial" w:hAnsi="Arial" w:cs="Arial"/>
          <w:lang w:val="en-US"/>
        </w:rPr>
        <w:t>strains for co-culture self-regulation via</w:t>
      </w:r>
      <w:r w:rsidR="00B35467" w:rsidRPr="00430A5E">
        <w:rPr>
          <w:rFonts w:ascii="Arial" w:hAnsi="Arial" w:cs="Arial"/>
          <w:lang w:val="en-US"/>
        </w:rPr>
        <w:t xml:space="preserve"> </w:t>
      </w:r>
      <w:r w:rsidR="00BE0A91" w:rsidRPr="00430A5E">
        <w:rPr>
          <w:rFonts w:ascii="Arial" w:hAnsi="Arial" w:cs="Arial"/>
          <w:lang w:val="en-US"/>
        </w:rPr>
        <w:t>quorum sensing</w:t>
      </w:r>
      <w:r w:rsidR="002F6D66" w:rsidRPr="00430A5E">
        <w:rPr>
          <w:rFonts w:ascii="Arial" w:hAnsi="Arial" w:cs="Arial"/>
          <w:lang w:val="en-US"/>
        </w:rPr>
        <w:t xml:space="preserve"> (QS)</w:t>
      </w:r>
      <w:r w:rsidR="002C3E05" w:rsidRPr="00430A5E">
        <w:rPr>
          <w:rFonts w:ascii="Arial" w:hAnsi="Arial" w:cs="Arial"/>
          <w:lang w:val="en-US"/>
        </w:rPr>
        <w:fldChar w:fldCharType="begin" w:fldLock="1"/>
      </w:r>
      <w:r w:rsidR="003D068F" w:rsidRPr="00430A5E">
        <w:rPr>
          <w:rFonts w:ascii="Arial" w:hAnsi="Arial" w:cs="Arial"/>
          <w:lang w:val="en-US"/>
        </w:rPr>
        <w:instrText>ADDIN CSL_CITATION {"citationItems":[{"id":"ITEM-1","itemData":{"DOI":"10.1126/science.aaa3794","ISBN":"1095-9203 (Electronic)\\r0036-8075 (Linking)","ISSN":"0036-8075","PMID":"26315440","abstract":"A challenge of synthetic biology is the creation of cooperative microbial systems that exhibit population-level behaviors. Such systems use cellular signaling mechanisms to regulate gene expression across multiple cell types. We describe the construction of a synthetic microbial consortium consisting of two distinct cell types—an “activator” strain and a “repressor” strain. These strains produced two orthogonal cell-signaling molecules that regulate gene expression within a synthetic circuit spanning both strains. The two strains generated emergent, population-level oscillations only when cultured together. Certain network topologies of the two-strain circuit were better at maintaining robust oscillations than others. The ability to program population-level dynamics through the genetic engineering of multiple cooperative strains points the way toward engineering complex synthetic tissues and organs with multiple cell types.","author":[{"dropping-particle":"","family":"Chen","given":"Ye","non-dropping-particle":"","parse-names":false,"suffix":""},{"dropping-particle":"","family":"Kim","given":"Jae Kyoung","non-dropping-particle":"","parse-names":false,"suffix":""},{"dropping-particle":"","family":"Hirning","given":"Andrew J.","non-dropping-particle":"","parse-names":false,"suffix":""},{"dropping-particle":"","family":"Josi","given":"K.","non-dropping-particle":"","parse-names":false,"suffix":""},{"dropping-particle":"","family":"Bennett","given":"Matthew R.","non-dropping-particle":"","parse-names":false,"suffix":""}],"container-title":"Science","id":"ITEM-1","issue":"6251","issued":{"date-parts":[["2015","8","28"]]},"page":"986-989","title":"Emergent genetic oscillations in a synthetic microbial consortium","type":"article-journal","volume":"349"},"uris":["http://www.mendeley.com/documents/?uuid=6a38f1db-7284-48fd-98e5-c659e07933cc"]},{"id":"ITEM-2","itemData":{"DOI":"10.1002/bit.24975","ISSN":"00063592","abstract":"The use of mixtures of microorganisms, or microbial consortia, has the potential to improve the productivity and efficiency of increasingly complex bioprocesses. However, the use of microbial consortia has been limited by our ability to control and coordinate the behaviors of microorganisms in synthetic communities. Synthetic biologists have previously engineered cell-cell communication systems that employ machinery from bacterial quorum-sensing (QS) networks to enable population-level control of gene expression. However, additional communication systems, such as those that enable communication between different species of bacteria, are needed to enable the use of diverse species in microbial consortia for bioprocessing. Here, we use the agr QS system from Staphylococcus aureus to generate an orthogonal synthetic communication system between Gram-negative Escherichia coli and Gram-positive Bacillus megaterium that is based on the production and recognition of autoinducing peptides (AIPs). We describe the construction and characterization of two types of B. megaterium \"receiver\" cells, capable of AIP-dependent gene expression in response to AIPs that differ by a single amino acid. Further, we observed interspecies communication when these receiver cells were co-cultured with AIP-producing E. coli. We show that the two AIP-based systems exhibit differences in sensitivity and specificity that may be advantageous in tuning communication-dependent networks in synthetic consortia. These peptide-based communication systems will enable the coordination of gene expression, metabolic pathways and growth between diverse microbial species, and represent a key step towards the use of microbial consortia in bioprocessing and biomanufacturing. © 2013 Wiley Periodicals, Inc.","author":[{"dropping-particle":"","family":"Marchand","given":"Nicholas","non-dropping-particle":"","parse-names":false,"suffix":""},{"dropping-particle":"","family":"Collins","given":"Cynthia H.","non-dropping-particle":"","parse-names":false,"suffix":""}],"container-title":"Biotechnology and Bioengineering","id":"ITEM-2","issue":"11","issued":{"date-parts":[["2013"]]},"page":"3003-3012","title":"Peptide-based communication system enables Escherichia coli to Bacillus megaterium interspecies signaling","type":"article-journal","volume":"110"},"uris":["http://www.mendeley.com/documents/?uuid=3183c437-7c69-47d4-b954-dd29edabe454"]}],"mendeley":{"formattedCitation":"&lt;sup&gt;18,19&lt;/sup&gt;","plainTextFormattedCitation":"18,19","previouslyFormattedCitation":"&lt;sup&gt;18,19&lt;/sup&gt;"},"properties":{"noteIndex":0},"schema":"https://github.com/citation-style-language/schema/raw/master/csl-citation.json"}</w:instrText>
      </w:r>
      <w:r w:rsidR="002C3E05" w:rsidRPr="00430A5E">
        <w:rPr>
          <w:rFonts w:ascii="Arial" w:hAnsi="Arial" w:cs="Arial"/>
          <w:lang w:val="en-US"/>
        </w:rPr>
        <w:fldChar w:fldCharType="separate"/>
      </w:r>
      <w:r w:rsidR="00930F35" w:rsidRPr="00430A5E">
        <w:rPr>
          <w:rFonts w:ascii="Arial" w:hAnsi="Arial" w:cs="Arial"/>
          <w:noProof/>
          <w:vertAlign w:val="superscript"/>
          <w:lang w:val="en-US"/>
        </w:rPr>
        <w:t>18,19</w:t>
      </w:r>
      <w:r w:rsidR="002C3E05" w:rsidRPr="00430A5E">
        <w:rPr>
          <w:rFonts w:ascii="Arial" w:hAnsi="Arial" w:cs="Arial"/>
          <w:lang w:val="en-US"/>
        </w:rPr>
        <w:fldChar w:fldCharType="end"/>
      </w:r>
      <w:r w:rsidR="00BE0A91" w:rsidRPr="00430A5E">
        <w:rPr>
          <w:rFonts w:ascii="Arial" w:hAnsi="Arial" w:cs="Arial"/>
          <w:lang w:val="en-US"/>
        </w:rPr>
        <w:t>, toxin-antitoxin</w:t>
      </w:r>
      <w:r w:rsidR="00577E9B" w:rsidRPr="00430A5E">
        <w:rPr>
          <w:rFonts w:ascii="Arial" w:hAnsi="Arial" w:cs="Arial"/>
          <w:lang w:val="en-US"/>
        </w:rPr>
        <w:t xml:space="preserve"> interaction</w:t>
      </w:r>
      <w:r w:rsidR="00577E9B" w:rsidRPr="00430A5E">
        <w:rPr>
          <w:rFonts w:ascii="Arial" w:hAnsi="Arial" w:cs="Arial"/>
          <w:lang w:val="en-US"/>
        </w:rPr>
        <w:fldChar w:fldCharType="begin" w:fldLock="1"/>
      </w:r>
      <w:r w:rsidR="003D068F" w:rsidRPr="00430A5E">
        <w:rPr>
          <w:rFonts w:ascii="Arial" w:hAnsi="Arial" w:cs="Arial"/>
          <w:lang w:val="en-US"/>
        </w:rPr>
        <w:instrText>ADDIN CSL_CITATION {"citationItems":[{"id":"ITEM-1","itemData":{"DOI":"10.1186/s12915-014-0068-2","ISSN":"17417007","abstract":"Background: Antagonistic interactions mediated by antibiotics are strong drivers of bacterial community dynamics which shape biodiversity. Colicin production by Escherichia coli is such an interaction that governs intraspecific competition and is involved in promoting biodiversity. It is unknown how environmental cues affect regulation of the colicin operon and thus influence antibiotic-mediated community dynamics.Results: Here, we investigate the community dynamics of colicin-producing, -sensitive, and -resistant/non-producer E. coli strains that colonize a microfabricated spatially-structured habitat. Nutrients are found to strongly influence community dynamics: when growing on amino acids and peptides, colicin-mediated competition is intense and the three strains do not coexist unless spatially separated at large scales (millimeters). Surprisingly, when growing on sugars, colicin-mediated competition is minimal and the three strains coexist at the micrometer scale. Carbon storage regulator A (CsrA) is found to play a key role in translating the type of nutrients into the observed community dynamics by controlling colicin release. We demonstrate that by mitigating lysis, CsrA shapes the community dynamics and determines whether the three strains coexist. Indeed, a mutant producer that is unable to suppress colicin release, causes the collapse of biodiversity in media that would otherwise support co-localized growth of the three strains.Conclusions: Our results show how the environmental regulation of an antagonistic trait shapes</w:instrText>
      </w:r>
      <w:r w:rsidR="003D068F" w:rsidRPr="00430A5E">
        <w:rPr>
          <w:rFonts w:ascii="Arial" w:hAnsi="Arial" w:cs="Arial"/>
        </w:rPr>
        <w:instrText xml:space="preserve"> community dynamics. We demonstrate that nutrient-responsive regulation of colicin release by CsrA, determines whether colicin producer, resistant non-producer, and sensitive strains coexist at small spatial scales, or whether the sensitive strain is eradicated. This study highlights how molecular-level regulatory mechanisms that govern interference competition give rise to community-level biodiversity patterns.","author":[{"dropping-particle":"","family":"Hol","given":"Felix J.H.","non-dropping-particle":"","parse-names":false,"suffix":""},{"dropping-particle":"","family":"Voges","given":"Mathias J.","non-dropping-particle":"","parse-names":false,"suffix":""},{"dropping-particle":"","family":"Dekker","given":"Cees","non-dropping-particle":"","parse-names":false,"suffix":""},{"dropping-particle":"","family":"Keymer","given":"Juan E.","non-dropping-particle":"","parse-names":false,"suffix":""}],"container-title":"BMC Biology","id":"ITEM-1","issue":"1","issued":{"date-parts":[["2014"]]},"page":"1-14","title":"Nutrient-responsive regulation determines biodiversity in a colicin-mediated bacterial community","type":"article-journal","volume":"12"},"uris":["http://www.mendeley.com/documents/?uuid=13bac472-b4aa-4500-ae92-a97a4948252a"]}],"mendeley":{"formattedCitation":"&lt;sup&gt;20&lt;/sup&gt;","plainTextFormattedCitation":"20","previouslyFormattedCitation":"&lt;sup&gt;20&lt;/sup&gt;"},"properties":{"noteIndex":0},"schema":"https://github.com/citation-style-language/schema/raw/master/csl-citation.json"}</w:instrText>
      </w:r>
      <w:r w:rsidR="00577E9B" w:rsidRPr="00430A5E">
        <w:rPr>
          <w:rFonts w:ascii="Arial" w:hAnsi="Arial" w:cs="Arial"/>
          <w:lang w:val="en-US"/>
        </w:rPr>
        <w:fldChar w:fldCharType="separate"/>
      </w:r>
      <w:r w:rsidR="00930F35" w:rsidRPr="00430A5E">
        <w:rPr>
          <w:rFonts w:ascii="Arial" w:hAnsi="Arial" w:cs="Arial"/>
          <w:noProof/>
          <w:vertAlign w:val="superscript"/>
        </w:rPr>
        <w:t>20</w:t>
      </w:r>
      <w:r w:rsidR="00577E9B" w:rsidRPr="00430A5E">
        <w:rPr>
          <w:rFonts w:ascii="Arial" w:hAnsi="Arial" w:cs="Arial"/>
          <w:lang w:val="en-US"/>
        </w:rPr>
        <w:fldChar w:fldCharType="end"/>
      </w:r>
      <w:r w:rsidR="00BE0A91" w:rsidRPr="00430A5E">
        <w:rPr>
          <w:rFonts w:ascii="Arial" w:hAnsi="Arial" w:cs="Arial"/>
        </w:rPr>
        <w:t>, gene transfer</w:t>
      </w:r>
      <w:r w:rsidR="00577E9B" w:rsidRPr="00430A5E">
        <w:rPr>
          <w:rFonts w:ascii="Arial" w:hAnsi="Arial" w:cs="Arial"/>
          <w:lang w:val="en-US"/>
        </w:rPr>
        <w:fldChar w:fldCharType="begin" w:fldLock="1"/>
      </w:r>
      <w:r w:rsidR="003D068F" w:rsidRPr="00430A5E">
        <w:rPr>
          <w:rFonts w:ascii="Arial" w:hAnsi="Arial" w:cs="Arial"/>
        </w:rPr>
        <w:instrText>ADDIN CSL_CITATION {"citationItems":[{"id":"ITEM-1","itemData":{"DOI":"10.1371/journal.pone.0065986","ISBN":"0011-3891","ISSN":"1932-6203","PMID":"1000090690","abstract":"We introduce the concept of control centrality to quantify the ability of a single node to control a directed weighted network. We calculate the distribution of control centrality for several real networks and find that it is mainly determined by the network's degree distribution. We rigorously prove that in a directed network without loops the control centrality of a node is uniquely determined by its layer index or topological position in the underlying hierarchical structure of the network. Inspired by the deep relation between control centrality and hierarchical structure in a general directed network, we design an efficient attack strategy against the controllability of malicious networks.","author":[{"dropping-particle":"","family":"Goñi-Moreno","given":"Angel","non-dropping-particle":"","parse-names":false,"suffix":""},{"dropping-particle":"","family":"Amos","given":"Martyn","non-dropping-particle":"","parse-names":false,"suffix":""},{"dropping-particle":"","family":"la Cruz","given":"Fernando","non-dropping-particle":"de","parse-names":false,"suffix":""}],"container-title":"PLoS ONE","editor":[{"dropping-particle":"","family":"Isalan","given":"Mark","non-dropping-particle":"","parse-names":false,"suffix":""}],"id":"ITEM-1","issue":"6","issued":{"date-parts":[["2013","6","20"]]},"page":"e65986","title":"Multicellular Computing Using Conjugation for Wiring","type":"article-journal","volume":"8"},"uris":["http://www.mendeley.com/documents/?uuid=c9fc2f2c-af8c-4d2f-b93c-97ba55afe933"]}],"mendeley":{"formattedCitation":"&lt;sup&gt;21&lt;/sup&gt;","plainTextFormattedCitation":"21","previouslyFormattedCitation":"&lt;sup&gt;21&lt;/sup&gt;"},"properties":{"noteIndex":0},"schema":"https://github.com/citation-style-language/schema/raw/master/csl-citation.json"}</w:instrText>
      </w:r>
      <w:r w:rsidR="00577E9B" w:rsidRPr="00430A5E">
        <w:rPr>
          <w:rFonts w:ascii="Arial" w:hAnsi="Arial" w:cs="Arial"/>
          <w:lang w:val="en-US"/>
        </w:rPr>
        <w:fldChar w:fldCharType="separate"/>
      </w:r>
      <w:r w:rsidR="00930F35" w:rsidRPr="00430A5E">
        <w:rPr>
          <w:rFonts w:ascii="Arial" w:hAnsi="Arial" w:cs="Arial"/>
          <w:noProof/>
          <w:vertAlign w:val="superscript"/>
        </w:rPr>
        <w:t>21</w:t>
      </w:r>
      <w:r w:rsidR="00577E9B" w:rsidRPr="00430A5E">
        <w:rPr>
          <w:rFonts w:ascii="Arial" w:hAnsi="Arial" w:cs="Arial"/>
          <w:lang w:val="en-US"/>
        </w:rPr>
        <w:fldChar w:fldCharType="end"/>
      </w:r>
      <w:r w:rsidR="00EC5C32" w:rsidRPr="00430A5E">
        <w:rPr>
          <w:rFonts w:ascii="Arial" w:hAnsi="Arial" w:cs="Arial"/>
        </w:rPr>
        <w:t xml:space="preserve"> and</w:t>
      </w:r>
      <w:r w:rsidR="00BE0A91" w:rsidRPr="00430A5E">
        <w:rPr>
          <w:rFonts w:ascii="Arial" w:hAnsi="Arial" w:cs="Arial"/>
        </w:rPr>
        <w:t xml:space="preserve"> metabolite exchange</w:t>
      </w:r>
      <w:r w:rsidR="00577E9B" w:rsidRPr="00430A5E">
        <w:rPr>
          <w:rFonts w:ascii="Arial" w:hAnsi="Arial" w:cs="Arial"/>
          <w:lang w:val="en-US"/>
        </w:rPr>
        <w:fldChar w:fldCharType="begin" w:fldLock="1"/>
      </w:r>
      <w:r w:rsidR="003D068F" w:rsidRPr="00430A5E">
        <w:rPr>
          <w:rFonts w:ascii="Arial" w:hAnsi="Arial" w:cs="Arial"/>
        </w:rPr>
        <w:instrText>ADDIN CSL_CITATION {"citationItems":[{"id":"ITEM-1","itemData":{"DOI":"10.1016/j.jbiosc.2012.09.005","ISBN":"1389-1723","ISSN":"13891723","PMID":"23040994","abstract":"Using a co-cultivation system developed previously, positive interaction for cell growth between Bifidobacterium adolescentis and Propionibacterium freudenreichii was evaluated. The total dry cell weight (DCW) of these two strains obtained in the co-cultivation system was 1.5-1.7-fold of the sum of the DCWs obtained in two single cultivations of each bacterium. © 2012 The Society for Biotechnology, Japan.","author":[{"dropping-particle":"","family":"Kouya","given":"Tomoaki","non-dropping-particle":"","parse-names":false,"suffix":""},{"dropping-particle":"","family":"Ishiyama","given":"Yohei","non-dropping-particle":"","parse-names":false,"suffix":""},{"dropping-particle":"","family":"Tanaka","given":"Takaaki","non-dropping-particle":"","parse-names":false,"suffix":""},{"dropping-particle":"","family":"Taniguchi","given":"Masayuki","non-dropping-particle":"","parse-names":false,"suffix":""}],"container-title":"Journal of Bioscience and Bioengineering","id":"ITEM-1","issue":"2","issued":{"date-parts":[["2013"]]},"page":"189-192","publisher":"Elsevier Ltd","title":"Evaluation of positive interaction for cell growth between Bifidobacterium adolescentis and Propionibacterium freudenreichii using a co-cultivation system with two microfiltration modules","type":"article-journal","volume":"115"},"uris":["http://www.mendeley.com/documents/?uuid=e81b8106-1e66-418f-9a83-5bd68d03be2a"]}],"mendeley":{"formattedCitation":"&lt;sup&gt;22&lt;/sup&gt;","plainTextFormattedCitation":"22","previouslyFormattedCitation":"&lt;sup&gt;22&lt;/sup&gt;"},"properties":{"noteIndex":0},"schema":"https://github.com/citation-style-language/schema/raw/master/csl-citation.json"}</w:instrText>
      </w:r>
      <w:r w:rsidR="00577E9B" w:rsidRPr="00430A5E">
        <w:rPr>
          <w:rFonts w:ascii="Arial" w:hAnsi="Arial" w:cs="Arial"/>
          <w:lang w:val="en-US"/>
        </w:rPr>
        <w:fldChar w:fldCharType="separate"/>
      </w:r>
      <w:r w:rsidR="00930F35" w:rsidRPr="00430A5E">
        <w:rPr>
          <w:rFonts w:ascii="Arial" w:hAnsi="Arial" w:cs="Arial"/>
          <w:noProof/>
          <w:vertAlign w:val="superscript"/>
        </w:rPr>
        <w:t>22</w:t>
      </w:r>
      <w:r w:rsidR="00577E9B" w:rsidRPr="00430A5E">
        <w:rPr>
          <w:rFonts w:ascii="Arial" w:hAnsi="Arial" w:cs="Arial"/>
          <w:lang w:val="en-US"/>
        </w:rPr>
        <w:fldChar w:fldCharType="end"/>
      </w:r>
      <w:r w:rsidR="00554B2D" w:rsidRPr="00430A5E">
        <w:rPr>
          <w:rFonts w:ascii="Arial" w:hAnsi="Arial" w:cs="Arial"/>
        </w:rPr>
        <w:t xml:space="preserve"> have been successfully demonstrated</w:t>
      </w:r>
      <w:r w:rsidR="004D6597" w:rsidRPr="00430A5E">
        <w:rPr>
          <w:rFonts w:ascii="Arial" w:hAnsi="Arial" w:cs="Arial"/>
        </w:rPr>
        <w:t xml:space="preserve"> (Table 1A)</w:t>
      </w:r>
      <w:r w:rsidR="00EC5C32" w:rsidRPr="00430A5E">
        <w:rPr>
          <w:rFonts w:ascii="Arial" w:hAnsi="Arial" w:cs="Arial"/>
        </w:rPr>
        <w:t xml:space="preserve">. </w:t>
      </w:r>
      <w:r w:rsidR="00EC5C32" w:rsidRPr="00430A5E">
        <w:rPr>
          <w:rFonts w:ascii="Arial" w:hAnsi="Arial" w:cs="Arial"/>
          <w:lang w:val="en-US"/>
        </w:rPr>
        <w:t>O</w:t>
      </w:r>
      <w:r w:rsidR="00E6534D" w:rsidRPr="00430A5E">
        <w:rPr>
          <w:rFonts w:ascii="Arial" w:hAnsi="Arial" w:cs="Arial"/>
          <w:lang w:val="en-US"/>
        </w:rPr>
        <w:t xml:space="preserve">nline </w:t>
      </w:r>
      <w:r w:rsidR="00EC5C32" w:rsidRPr="00430A5E">
        <w:rPr>
          <w:rFonts w:ascii="Arial" w:hAnsi="Arial" w:cs="Arial"/>
          <w:lang w:val="en-US"/>
        </w:rPr>
        <w:t xml:space="preserve">control of </w:t>
      </w:r>
      <w:r w:rsidR="00B35467" w:rsidRPr="00430A5E">
        <w:rPr>
          <w:rFonts w:ascii="Arial" w:hAnsi="Arial" w:cs="Arial"/>
          <w:lang w:val="en-US"/>
        </w:rPr>
        <w:t>individual</w:t>
      </w:r>
      <w:r w:rsidR="00E6534D" w:rsidRPr="00430A5E">
        <w:rPr>
          <w:rFonts w:ascii="Arial" w:hAnsi="Arial" w:cs="Arial"/>
          <w:lang w:val="en-US"/>
        </w:rPr>
        <w:t xml:space="preserve"> </w:t>
      </w:r>
      <w:r w:rsidR="00B35467" w:rsidRPr="00430A5E">
        <w:rPr>
          <w:rFonts w:ascii="Arial" w:hAnsi="Arial" w:cs="Arial"/>
          <w:lang w:val="en-US"/>
        </w:rPr>
        <w:t xml:space="preserve">co-culture members </w:t>
      </w:r>
      <w:r w:rsidR="00E6534D" w:rsidRPr="00430A5E">
        <w:rPr>
          <w:rFonts w:ascii="Arial" w:hAnsi="Arial" w:cs="Arial"/>
          <w:lang w:val="en-US"/>
        </w:rPr>
        <w:t>(Table 1B)</w:t>
      </w:r>
      <w:r w:rsidR="00EC5C32" w:rsidRPr="00430A5E">
        <w:rPr>
          <w:rFonts w:ascii="Arial" w:hAnsi="Arial" w:cs="Arial"/>
          <w:lang w:val="en-US"/>
        </w:rPr>
        <w:t xml:space="preserve"> or </w:t>
      </w:r>
      <w:r w:rsidR="00B35467" w:rsidRPr="00430A5E">
        <w:rPr>
          <w:rFonts w:ascii="Arial" w:hAnsi="Arial" w:cs="Arial"/>
          <w:lang w:val="en-US"/>
        </w:rPr>
        <w:t>a single</w:t>
      </w:r>
      <w:r w:rsidR="00E6534D" w:rsidRPr="00430A5E">
        <w:rPr>
          <w:rFonts w:ascii="Arial" w:hAnsi="Arial" w:cs="Arial"/>
          <w:lang w:val="en-US"/>
        </w:rPr>
        <w:t xml:space="preserve"> </w:t>
      </w:r>
      <w:r w:rsidR="00B35467" w:rsidRPr="00430A5E">
        <w:rPr>
          <w:rFonts w:ascii="Arial" w:hAnsi="Arial" w:cs="Arial"/>
          <w:lang w:val="en-US"/>
        </w:rPr>
        <w:t>co-culture member</w:t>
      </w:r>
      <w:r w:rsidR="00E6534D" w:rsidRPr="00430A5E">
        <w:rPr>
          <w:rFonts w:ascii="Arial" w:hAnsi="Arial" w:cs="Arial"/>
          <w:lang w:val="en-US"/>
        </w:rPr>
        <w:t xml:space="preserve"> </w:t>
      </w:r>
      <w:r w:rsidR="00B35467" w:rsidRPr="00430A5E">
        <w:rPr>
          <w:rFonts w:ascii="Arial" w:hAnsi="Arial" w:cs="Arial"/>
          <w:lang w:val="en-US"/>
        </w:rPr>
        <w:t xml:space="preserve">(Table 1C) </w:t>
      </w:r>
      <w:r w:rsidR="00E6534D" w:rsidRPr="00430A5E">
        <w:rPr>
          <w:rFonts w:ascii="Arial" w:hAnsi="Arial" w:cs="Arial"/>
          <w:lang w:val="en-US"/>
        </w:rPr>
        <w:t>has been achieved</w:t>
      </w:r>
      <w:r w:rsidR="00EC5C32" w:rsidRPr="00430A5E">
        <w:rPr>
          <w:rFonts w:ascii="Arial" w:hAnsi="Arial" w:cs="Arial"/>
          <w:lang w:val="en-US"/>
        </w:rPr>
        <w:t xml:space="preserve"> </w:t>
      </w:r>
      <w:r w:rsidR="00554B2D" w:rsidRPr="00430A5E">
        <w:rPr>
          <w:rFonts w:ascii="Arial" w:hAnsi="Arial" w:cs="Arial"/>
          <w:lang w:val="en-US"/>
        </w:rPr>
        <w:t>by</w:t>
      </w:r>
      <w:r w:rsidR="00EC5C32" w:rsidRPr="00430A5E">
        <w:rPr>
          <w:rFonts w:ascii="Arial" w:hAnsi="Arial" w:cs="Arial"/>
          <w:lang w:val="en-US"/>
        </w:rPr>
        <w:t xml:space="preserve"> the addition of QS molecules</w:t>
      </w:r>
      <w:r w:rsidR="00E6534D" w:rsidRPr="00430A5E">
        <w:rPr>
          <w:rFonts w:ascii="Arial" w:hAnsi="Arial" w:cs="Arial"/>
          <w:lang w:val="en-US"/>
        </w:rPr>
        <w:fldChar w:fldCharType="begin" w:fldLock="1"/>
      </w:r>
      <w:r w:rsidR="003D068F" w:rsidRPr="00430A5E">
        <w:rPr>
          <w:rFonts w:ascii="Arial" w:hAnsi="Arial" w:cs="Arial"/>
          <w:lang w:val="en-US"/>
        </w:rPr>
        <w:instrText>ADDIN CSL_CITATION {"citationItems":[{"id":"ITEM-1","itemData":{"DOI":"10.1038/s41467-019-12027-6","ISSN":"20411723","abstract":"Synthetic biology and metabolic engineering have expanded the possibilities for engineered cell-based systems. The addition of non-native biosynthetic and regulatory components can, however, overburden the reprogrammed cells. In order to avoid metabolic overload, an emerging area of focus is on engineering consortia, wherein cell subpopulations work together to carry out a desired function. This strategy requires regulation of the cell populations. Here, we design a synthetic co-culture controller consisting of cell-based signal translator and growth-controller modules that, when implemented, provide for autonomous regulation of the consortia composition. The system co-opts the orthogonal autoinducer AI-1 and AI-2 cell-cell signaling mechanisms of bacterial quorum sensing (QS) to enable cross-talk between strains and a QS signal-controlled growth rate controller to modulate relative population densities. We further develop a simple mathematical model that enables cell and system design for autonomous closed-loop control of population trajectories.","author":[{"dropping-particle":"","family":"Stephens","given":"Kristina","non-dropping-particle":"","parse-names":false,"suffix":""},{"dropping-particle":"","family":"Pozo","given":"Maria","non-dropping-particle":"","parse-names":false,"suffix":""},{"dropping-particle":"","family":"Tsao","given":"Chen Yu","non-dropping-particle":"","parse-names":false,"suffix":""},{"dropping-particle":"","family":"Hauk","given":"Pricila","non-dropping-particle":"","parse-names":false,"suffix":""},{"dropping-particle":"","family":"Bentley","given":"William E.","non-dropping-particle":"","parse-names":false,"suffix":""}],"container-title":"Nature Communications","id":"ITEM-1","issue":"1","issued":{"date-parts":[["2019"]]},"page":"4129","publisher":"Springer US","title":"Bacterial co-culture with cell signaling translator and growth controller modules for autonomously regulated culture composition","type":"article-journal","volume":"10"},"uris":["http://www.mendeley.com/documents/?uuid=4f10cf48-fa68-48a5-8c2e-3b7389c086fc"]}],"mendeley":{"formattedCitation":"&lt;sup&gt;23&lt;/sup&gt;","plainTextFormattedCitation":"23","previouslyFormattedCitation":"&lt;sup&gt;23&lt;/sup&gt;"},"properties":{"noteIndex":0},"schema":"https://github.com/citation-style-language/schema/raw/master/csl-citation.json"}</w:instrText>
      </w:r>
      <w:r w:rsidR="00E6534D" w:rsidRPr="00430A5E">
        <w:rPr>
          <w:rFonts w:ascii="Arial" w:hAnsi="Arial" w:cs="Arial"/>
          <w:lang w:val="en-US"/>
        </w:rPr>
        <w:fldChar w:fldCharType="separate"/>
      </w:r>
      <w:r w:rsidR="00930F35" w:rsidRPr="00430A5E">
        <w:rPr>
          <w:rFonts w:ascii="Arial" w:hAnsi="Arial" w:cs="Arial"/>
          <w:noProof/>
          <w:vertAlign w:val="superscript"/>
          <w:lang w:val="en-US"/>
        </w:rPr>
        <w:t>23</w:t>
      </w:r>
      <w:r w:rsidR="00E6534D" w:rsidRPr="00430A5E">
        <w:rPr>
          <w:rFonts w:ascii="Arial" w:hAnsi="Arial" w:cs="Arial"/>
          <w:lang w:val="en-US"/>
        </w:rPr>
        <w:fldChar w:fldCharType="end"/>
      </w:r>
      <w:r w:rsidR="00577E9B" w:rsidRPr="00430A5E">
        <w:rPr>
          <w:rFonts w:ascii="Arial" w:hAnsi="Arial" w:cs="Arial"/>
          <w:lang w:val="en-US"/>
        </w:rPr>
        <w:t xml:space="preserve"> or antibiotics</w:t>
      </w:r>
      <w:r w:rsidR="00B4002D" w:rsidRPr="00430A5E">
        <w:rPr>
          <w:rFonts w:ascii="Arial" w:hAnsi="Arial" w:cs="Arial"/>
          <w:lang w:val="en-US"/>
        </w:rPr>
        <w:t>.</w:t>
      </w:r>
      <w:r w:rsidR="00577E9B" w:rsidRPr="00430A5E">
        <w:rPr>
          <w:rFonts w:ascii="Arial" w:hAnsi="Arial" w:cs="Arial"/>
          <w:lang w:val="en-US"/>
        </w:rPr>
        <w:fldChar w:fldCharType="begin" w:fldLock="1"/>
      </w:r>
      <w:r w:rsidR="003D068F" w:rsidRPr="00430A5E">
        <w:rPr>
          <w:rFonts w:ascii="Arial" w:hAnsi="Arial" w:cs="Arial"/>
          <w:lang w:val="en-US"/>
        </w:rPr>
        <w:instrText>ADDIN CSL_CITATION {"citationItems":[{"id":"ITEM-1","itemData":{"DOI":"10.1021/cb500313f","ISBN":"1554-8937 (Electronic)\\r1554-8929 (Linking)","ISSN":"15548937","PMID":"25055227","abstract":"Selection of a single bacterial strain out of a mixture of microorganisms is of crucial importance in healthcare and microbiology research. Novel approaches that can externally control bacterial selection are a valuable addition to the microbiology toolbox. In this proof-of-concept, two complementary antibiotics are protected with photocleavable groups that can be orthogonally addressed with different wavelengths of light. This allows for the light-triggered selection of a single bacterial strain out of a mixture of multiple strains, by choosing the right wavelength. Further improvement toward additional orthogonally addressable antibiotics might ultimately lead to a novel methodology for bacterial selection in complex populations.","author":[{"dropping-particle":"","family":"Velema","given":"Willem A.","non-dropping-particle":"","parse-names":false,"suffix":""},{"dropping-particle":"","family":"Berg","given":"Jan Pieter","non-dropping-particle":"Van Der","parse-names":false,"suffix":""},{"dropping-particle":"","family":"Szymanski","given":"Wiktor","non-dropping-particle":"","parse-names":false,"suffix":""},{"dropping-particle":"","family":"Driessen","given":"Arnold J.M.","non-dropping-particle":"","parse-names":false,"suffix":""},{"dropping-particle":"","family":"Feringa","given":"Ben L.","non-dropping-particle":"","parse-names":false,"suffix":""}],"container-title":"ACS Chemical Biology","id":"ITEM-1","issue":"9","issued":{"date-parts":[["2014"]]},"page":"1969-1974","title":"Orthogonal control of antibacterial activity with light","type":"article-journal","volume":"9"},"uris":["http://www.mendeley.com/documents/?uuid=86165624-85d4-4aa4-a295-acacbf2416fe"]}],"mendeley":{"formattedCitation":"&lt;sup&gt;24&lt;/sup&gt;","plainTextFormattedCitation":"24","previouslyFormattedCitation":"&lt;sup&gt;24&lt;/sup&gt;"},"properties":{"noteIndex":0},"schema":"https://github.com/citation-style-language/schema/raw/master/csl-citation.json"}</w:instrText>
      </w:r>
      <w:r w:rsidR="00577E9B" w:rsidRPr="00430A5E">
        <w:rPr>
          <w:rFonts w:ascii="Arial" w:hAnsi="Arial" w:cs="Arial"/>
          <w:lang w:val="en-US"/>
        </w:rPr>
        <w:fldChar w:fldCharType="separate"/>
      </w:r>
      <w:r w:rsidR="00930F35" w:rsidRPr="00430A5E">
        <w:rPr>
          <w:rFonts w:ascii="Arial" w:hAnsi="Arial" w:cs="Arial"/>
          <w:noProof/>
          <w:vertAlign w:val="superscript"/>
          <w:lang w:val="en-US"/>
        </w:rPr>
        <w:t>24</w:t>
      </w:r>
      <w:r w:rsidR="00577E9B" w:rsidRPr="00430A5E">
        <w:rPr>
          <w:rFonts w:ascii="Arial" w:hAnsi="Arial" w:cs="Arial"/>
          <w:lang w:val="en-US"/>
        </w:rPr>
        <w:fldChar w:fldCharType="end"/>
      </w:r>
      <w:r w:rsidR="00947433" w:rsidRPr="00430A5E">
        <w:rPr>
          <w:rFonts w:ascii="Arial" w:hAnsi="Arial" w:cs="Arial"/>
          <w:lang w:val="en-US"/>
        </w:rPr>
        <w:t xml:space="preserve"> </w:t>
      </w:r>
      <w:r w:rsidR="00AD0235" w:rsidRPr="00430A5E">
        <w:rPr>
          <w:rFonts w:ascii="Arial" w:hAnsi="Arial" w:cs="Arial"/>
          <w:lang w:val="en-US"/>
        </w:rPr>
        <w:t>Particularly</w:t>
      </w:r>
      <w:r w:rsidR="003513E4" w:rsidRPr="00430A5E">
        <w:rPr>
          <w:rFonts w:ascii="Arial" w:hAnsi="Arial" w:cs="Arial"/>
          <w:lang w:val="en-US"/>
        </w:rPr>
        <w:t>,</w:t>
      </w:r>
      <w:r w:rsidR="00AD0235" w:rsidRPr="00430A5E">
        <w:rPr>
          <w:rFonts w:ascii="Arial" w:hAnsi="Arial" w:cs="Arial"/>
          <w:lang w:val="en-US"/>
        </w:rPr>
        <w:t xml:space="preserve"> </w:t>
      </w:r>
      <w:r w:rsidR="003513E4" w:rsidRPr="00430A5E">
        <w:rPr>
          <w:rFonts w:ascii="Arial" w:hAnsi="Arial" w:cs="Arial"/>
          <w:lang w:val="en-US"/>
        </w:rPr>
        <w:t>supplementing</w:t>
      </w:r>
      <w:r w:rsidR="00AD0235" w:rsidRPr="00430A5E">
        <w:rPr>
          <w:rFonts w:ascii="Arial" w:hAnsi="Arial" w:cs="Arial"/>
          <w:lang w:val="en-US"/>
        </w:rPr>
        <w:t xml:space="preserve"> inducer molecules</w:t>
      </w:r>
      <w:r w:rsidR="00947433" w:rsidRPr="00430A5E">
        <w:rPr>
          <w:rFonts w:ascii="Arial" w:hAnsi="Arial" w:cs="Arial"/>
          <w:lang w:val="en-US"/>
        </w:rPr>
        <w:t xml:space="preserve"> or antibiotics </w:t>
      </w:r>
      <w:r w:rsidR="009D41FF" w:rsidRPr="00430A5E">
        <w:rPr>
          <w:rFonts w:ascii="Arial" w:hAnsi="Arial" w:cs="Arial"/>
          <w:lang w:val="en-US"/>
        </w:rPr>
        <w:t>provides</w:t>
      </w:r>
      <w:r w:rsidR="00947433" w:rsidRPr="00430A5E">
        <w:rPr>
          <w:rFonts w:ascii="Arial" w:hAnsi="Arial" w:cs="Arial"/>
          <w:lang w:val="en-US"/>
        </w:rPr>
        <w:t xml:space="preserve"> dynamic control of </w:t>
      </w:r>
      <w:r w:rsidR="003513E4" w:rsidRPr="00430A5E">
        <w:rPr>
          <w:rFonts w:ascii="Arial" w:hAnsi="Arial" w:cs="Arial"/>
          <w:lang w:val="en-US"/>
        </w:rPr>
        <w:t>individual</w:t>
      </w:r>
      <w:r w:rsidR="00947433" w:rsidRPr="00430A5E">
        <w:rPr>
          <w:rFonts w:ascii="Arial" w:hAnsi="Arial" w:cs="Arial"/>
          <w:lang w:val="en-US"/>
        </w:rPr>
        <w:t xml:space="preserve"> populations in a </w:t>
      </w:r>
      <w:r w:rsidR="00671C1A" w:rsidRPr="00430A5E">
        <w:rPr>
          <w:rFonts w:ascii="Arial" w:hAnsi="Arial" w:cs="Arial"/>
          <w:lang w:val="en-US"/>
        </w:rPr>
        <w:t>co-culture.</w:t>
      </w:r>
      <w:r w:rsidRPr="00430A5E">
        <w:rPr>
          <w:rFonts w:ascii="Arial" w:hAnsi="Arial" w:cs="Arial"/>
          <w:lang w:val="en-US"/>
        </w:rPr>
        <w:t xml:space="preserve"> </w:t>
      </w:r>
      <w:r w:rsidR="003513E4" w:rsidRPr="00430A5E">
        <w:rPr>
          <w:rFonts w:ascii="Arial" w:hAnsi="Arial" w:cs="Arial"/>
          <w:lang w:val="en-US"/>
        </w:rPr>
        <w:t>Furthermore,</w:t>
      </w:r>
      <w:r w:rsidRPr="00430A5E">
        <w:rPr>
          <w:rFonts w:ascii="Arial" w:hAnsi="Arial" w:cs="Arial"/>
          <w:lang w:val="en-US"/>
        </w:rPr>
        <w:t xml:space="preserve"> theoretical </w:t>
      </w:r>
      <w:r w:rsidRPr="00430A5E">
        <w:rPr>
          <w:rFonts w:ascii="Arial" w:hAnsi="Arial" w:cs="Arial"/>
          <w:lang w:val="en-US"/>
        </w:rPr>
        <w:lastRenderedPageBreak/>
        <w:t>strategies</w:t>
      </w:r>
      <w:r w:rsidR="0013385C" w:rsidRPr="00430A5E">
        <w:rPr>
          <w:rFonts w:ascii="Arial" w:hAnsi="Arial" w:cs="Arial"/>
          <w:lang w:val="en-US"/>
        </w:rPr>
        <w:t xml:space="preserve"> enabling the control of co-cultures were described</w:t>
      </w:r>
      <w:r w:rsidR="00B4002D" w:rsidRPr="00430A5E">
        <w:rPr>
          <w:rFonts w:ascii="Arial" w:hAnsi="Arial" w:cs="Arial"/>
          <w:lang w:val="en-US"/>
        </w:rPr>
        <w:t>.</w:t>
      </w:r>
      <w:r w:rsidR="00632CC0" w:rsidRPr="00430A5E">
        <w:rPr>
          <w:rFonts w:ascii="Arial" w:hAnsi="Arial" w:cs="Arial"/>
          <w:lang w:val="en-US"/>
        </w:rPr>
        <w:fldChar w:fldCharType="begin" w:fldLock="1"/>
      </w:r>
      <w:r w:rsidR="003D068F" w:rsidRPr="00430A5E">
        <w:rPr>
          <w:rFonts w:ascii="Arial" w:hAnsi="Arial" w:cs="Arial"/>
          <w:lang w:val="en-US"/>
        </w:rPr>
        <w:instrText>ADDIN CSL_CITATION {"citationItems":[{"id":"ITEM-1","itemData":{"DOI":"10.1371/journal.pone.0065986","ISBN":"0011-3891","ISSN":"1932-6203","PMID":"1000090690","abstract":"We introduce the concept of control centrality to quantify the ability of a single node to control a directed weighted network. We calculate the distribution of control centrality for several real networks and find that it is mainly determined by the network's degree distribution. We rigorously prove that in a directed network without loops the control centrality of a node is uniquely determined by its layer index or topological position in the underlying hierarchical structure of the network. Inspired by the deep relation between control centrality and hierarchical structure in a general directed network, we design an efficient attack strategy against the controllability of malicious networks.","author":[{"dropping-particle":"","family":"Goñi-Moreno","given":"Angel","non-dropping-particle":"","parse-names":false,"suffix":""},{"dropping-particle":"","family":"Amos","given":"Martyn","non-dropping-particle":"","parse-names":false,"suffix":""},{"dropping-particle":"","family":"la Cruz","given":"Fernando","non-dropping-particle":"de","parse-names":false,"suffix":""}],"container-title":"PLoS ONE","editor":[{"dropping-particle":"","family":"Isalan","given":"Mark","non-dropping-particle":"","parse-names":false,"suffix":""}],"id":"ITEM-1","issue":"6","issued":{"date-parts":[["2013","6","20"]]},"page":"e65986","title":"Multicellular Computing Using Conjugation for Wiring","type":"article-journal","volume":"8"},"uris":["http://www.mendeley.com/documents/?uuid=c9fc2f2c-af8c-4d2f-b93c-97ba55afe933"]},{"id":"ITEM-2","itemData":{"DOI":"10.1109/CDC.2017.8264450","ISBN":"978-1-5090-2873-3","abstract":"An ongoing area of study in synthetic biology has been the design and construction of synthetic circuits that maintain homeostasis at the population level. Here, we are interested in designing a synthetic control circuit that regulates the total cell population and the relative ratio between cell strains in a culture containing two different cell strains. We have developed a dual feedback control strategy that uses two separate control loops to achieve the two functions respectively. By combining both of these control loops, we have created a population regulation circuit where both the total population size and relative cell type ratio can be set by reference signals. The dynamics of the regulation circuit show robustness and adaptation to perturbations in cell growth rate and changes in cell numbers. The control architecture is general and could apply to any organism for which synthetic biology tools for quorum sensing, comparison between outputs, and growth control are available.","author":[{"dropping-particle":"","family":"Ren","given":"Xinying","non-dropping-particle":"","parse-names":false,"suffix":""},{"dropping-particle":"","family":"Baetica","given":"Ania-Ariadna","non-dropping-particle":"","parse-names":false,"suffix":""},{"dropping-particle":"","family":"Swaminathan","given":"Anandh","non-dropping-particle":"","parse-names":false,"suffix":""},{"dropping-particle":"","family":"Murray","given":"Richard M.","non-dropping-particle":"","parse-names":false,"suffix":""}],"container-title":"2017 IEEE 56th Annual Conference on Decision and Control (CDC)","id":"ITEM-2","issued":{"date-parts":[["2017","12"]]},"page":"5341-5347","publisher":"IEEE","title":"Population regulation in microbial consortia using dual feedback control","type":"paper-conference","volume":"2018-Janua"},"uris":["http://www.mendeley.com/documents/?uuid=298dc7c1-2c02-4bac-b59b-2572dfc0d50d"]}],"mendeley":{"formattedCitation":"&lt;sup&gt;21,25&lt;/sup&gt;","plainTextFormattedCitation":"21,25","previouslyFormattedCitation":"&lt;sup&gt;21,25&lt;/sup&gt;"},"properties":{"noteIndex":0},"schema":"https://github.com/citation-style-language/schema/raw/master/csl-citation.json"}</w:instrText>
      </w:r>
      <w:r w:rsidR="00632CC0" w:rsidRPr="00430A5E">
        <w:rPr>
          <w:rFonts w:ascii="Arial" w:hAnsi="Arial" w:cs="Arial"/>
          <w:lang w:val="en-US"/>
        </w:rPr>
        <w:fldChar w:fldCharType="separate"/>
      </w:r>
      <w:r w:rsidR="00930F35" w:rsidRPr="00430A5E">
        <w:rPr>
          <w:rFonts w:ascii="Arial" w:hAnsi="Arial" w:cs="Arial"/>
          <w:noProof/>
          <w:vertAlign w:val="superscript"/>
          <w:lang w:val="en-US"/>
        </w:rPr>
        <w:t>21,25</w:t>
      </w:r>
      <w:r w:rsidR="00632CC0" w:rsidRPr="00430A5E">
        <w:rPr>
          <w:rFonts w:ascii="Arial" w:hAnsi="Arial" w:cs="Arial"/>
          <w:lang w:val="en-US"/>
        </w:rPr>
        <w:fldChar w:fldCharType="end"/>
      </w:r>
      <w:r w:rsidRPr="00430A5E">
        <w:rPr>
          <w:rFonts w:ascii="Arial" w:hAnsi="Arial" w:cs="Arial"/>
          <w:lang w:val="en-US"/>
        </w:rPr>
        <w:t xml:space="preserve"> </w:t>
      </w:r>
      <w:r w:rsidR="0013385C" w:rsidRPr="00430A5E">
        <w:rPr>
          <w:rFonts w:ascii="Arial" w:hAnsi="Arial" w:cs="Arial"/>
          <w:lang w:val="en-US"/>
        </w:rPr>
        <w:t>However, most of the recently demonstrated approaches have in common</w:t>
      </w:r>
      <w:r w:rsidR="001A52BF" w:rsidRPr="00430A5E">
        <w:rPr>
          <w:rFonts w:ascii="Arial" w:hAnsi="Arial" w:cs="Arial"/>
          <w:lang w:val="en-US"/>
        </w:rPr>
        <w:t xml:space="preserve"> that they enable the essential stabilization of the population ratios of the interacting organisms (Table 1A)</w:t>
      </w:r>
      <w:r w:rsidR="00C015D5" w:rsidRPr="00430A5E">
        <w:rPr>
          <w:rFonts w:ascii="Arial" w:hAnsi="Arial" w:cs="Arial"/>
          <w:lang w:val="en-US"/>
        </w:rPr>
        <w:t xml:space="preserve">, </w:t>
      </w:r>
      <w:r w:rsidR="001A52BF" w:rsidRPr="00430A5E">
        <w:rPr>
          <w:rFonts w:ascii="Arial" w:hAnsi="Arial" w:cs="Arial"/>
          <w:lang w:val="en-US"/>
        </w:rPr>
        <w:t xml:space="preserve">but are </w:t>
      </w:r>
      <w:r w:rsidR="00C015D5" w:rsidRPr="00430A5E">
        <w:rPr>
          <w:rFonts w:ascii="Arial" w:hAnsi="Arial" w:cs="Arial"/>
          <w:lang w:val="en-US"/>
        </w:rPr>
        <w:t>not suitable for online process control</w:t>
      </w:r>
      <w:r w:rsidRPr="00430A5E">
        <w:rPr>
          <w:rFonts w:ascii="Arial" w:hAnsi="Arial" w:cs="Arial"/>
          <w:lang w:val="en-US"/>
        </w:rPr>
        <w:t>.</w:t>
      </w:r>
      <w:r w:rsidR="003B62E9" w:rsidRPr="00430A5E">
        <w:rPr>
          <w:rFonts w:ascii="Arial" w:hAnsi="Arial" w:cs="Arial"/>
          <w:lang w:val="en-US"/>
        </w:rPr>
        <w:t xml:space="preserve"> </w:t>
      </w:r>
      <w:r w:rsidR="00E6534D" w:rsidRPr="00430A5E">
        <w:rPr>
          <w:rFonts w:ascii="Arial" w:hAnsi="Arial" w:cs="Arial"/>
          <w:lang w:val="en-US"/>
        </w:rPr>
        <w:t>D</w:t>
      </w:r>
      <w:r w:rsidR="003B62E9" w:rsidRPr="00430A5E">
        <w:rPr>
          <w:rFonts w:ascii="Arial" w:hAnsi="Arial" w:cs="Arial"/>
          <w:lang w:val="en-US"/>
        </w:rPr>
        <w:t>ynamic control</w:t>
      </w:r>
      <w:r w:rsidR="00E6534D" w:rsidRPr="00430A5E">
        <w:rPr>
          <w:rFonts w:ascii="Arial" w:hAnsi="Arial" w:cs="Arial"/>
          <w:lang w:val="en-US"/>
        </w:rPr>
        <w:t xml:space="preserve"> tools</w:t>
      </w:r>
      <w:r w:rsidR="003B62E9" w:rsidRPr="00430A5E">
        <w:rPr>
          <w:rFonts w:ascii="Arial" w:hAnsi="Arial" w:cs="Arial"/>
          <w:lang w:val="en-US"/>
        </w:rPr>
        <w:t xml:space="preserve"> in terms of online</w:t>
      </w:r>
      <w:r w:rsidR="0003265C" w:rsidRPr="00430A5E">
        <w:rPr>
          <w:rFonts w:ascii="Arial" w:hAnsi="Arial" w:cs="Arial"/>
          <w:lang w:val="en-US"/>
        </w:rPr>
        <w:t xml:space="preserve"> and</w:t>
      </w:r>
      <w:r w:rsidR="003B62E9" w:rsidRPr="00430A5E">
        <w:rPr>
          <w:rFonts w:ascii="Arial" w:hAnsi="Arial" w:cs="Arial"/>
          <w:lang w:val="en-US"/>
        </w:rPr>
        <w:t xml:space="preserve"> </w:t>
      </w:r>
      <w:r w:rsidR="00007BF4" w:rsidRPr="00430A5E">
        <w:rPr>
          <w:rFonts w:ascii="Arial" w:hAnsi="Arial" w:cs="Arial"/>
          <w:lang w:val="en-US"/>
        </w:rPr>
        <w:t>non</w:t>
      </w:r>
      <w:r w:rsidR="003B62E9" w:rsidRPr="00430A5E">
        <w:rPr>
          <w:rFonts w:ascii="Arial" w:hAnsi="Arial" w:cs="Arial"/>
          <w:lang w:val="en-US"/>
        </w:rPr>
        <w:t>invasive regulation of co-cultures ha</w:t>
      </w:r>
      <w:r w:rsidR="002F6D66" w:rsidRPr="00430A5E">
        <w:rPr>
          <w:rFonts w:ascii="Arial" w:hAnsi="Arial" w:cs="Arial"/>
          <w:lang w:val="en-US"/>
        </w:rPr>
        <w:t>ve</w:t>
      </w:r>
      <w:r w:rsidR="00CC4DAA" w:rsidRPr="00430A5E">
        <w:rPr>
          <w:rFonts w:ascii="Arial" w:hAnsi="Arial" w:cs="Arial"/>
          <w:lang w:val="en-US"/>
        </w:rPr>
        <w:t xml:space="preserve"> rarely been applied i</w:t>
      </w:r>
      <w:r w:rsidR="003B62E9" w:rsidRPr="00430A5E">
        <w:rPr>
          <w:rFonts w:ascii="Arial" w:hAnsi="Arial" w:cs="Arial"/>
          <w:lang w:val="en-US"/>
        </w:rPr>
        <w:t xml:space="preserve">n </w:t>
      </w:r>
      <w:r w:rsidR="00864DAA" w:rsidRPr="00430A5E">
        <w:rPr>
          <w:rFonts w:ascii="Arial" w:hAnsi="Arial" w:cs="Arial"/>
          <w:lang w:val="en-US"/>
        </w:rPr>
        <w:t xml:space="preserve">previous </w:t>
      </w:r>
      <w:r w:rsidR="003B62E9" w:rsidRPr="00430A5E">
        <w:rPr>
          <w:rFonts w:ascii="Arial" w:hAnsi="Arial" w:cs="Arial"/>
          <w:lang w:val="en-US"/>
        </w:rPr>
        <w:t>studies.</w:t>
      </w:r>
    </w:p>
    <w:p w14:paraId="06A339AE" w14:textId="7D80BFFC" w:rsidR="004D3713" w:rsidRPr="00430A5E" w:rsidRDefault="001F767A" w:rsidP="007C437C">
      <w:pPr>
        <w:spacing w:after="0" w:line="360" w:lineRule="auto"/>
        <w:jc w:val="both"/>
        <w:rPr>
          <w:rFonts w:ascii="Arial" w:hAnsi="Arial" w:cs="Arial"/>
          <w:lang w:val="en-US"/>
        </w:rPr>
      </w:pPr>
      <w:bookmarkStart w:id="2" w:name="_Hlk59368152"/>
      <w:r w:rsidRPr="00430A5E">
        <w:rPr>
          <w:rFonts w:ascii="Arial" w:hAnsi="Arial" w:cs="Arial"/>
          <w:lang w:val="en-US"/>
        </w:rPr>
        <w:t xml:space="preserve">Optogenetics is a relatively new technology, </w:t>
      </w:r>
      <w:r w:rsidR="00C676C9" w:rsidRPr="00430A5E">
        <w:rPr>
          <w:rFonts w:ascii="Arial" w:hAnsi="Arial" w:cs="Arial"/>
          <w:lang w:val="en-US"/>
        </w:rPr>
        <w:t xml:space="preserve">that employs </w:t>
      </w:r>
      <w:r w:rsidRPr="00430A5E">
        <w:rPr>
          <w:rFonts w:ascii="Arial" w:hAnsi="Arial" w:cs="Arial"/>
          <w:lang w:val="en-US"/>
        </w:rPr>
        <w:t xml:space="preserve">naturally occurring light-responsive proteins </w:t>
      </w:r>
      <w:r w:rsidR="00C676C9" w:rsidRPr="00430A5E">
        <w:rPr>
          <w:rFonts w:ascii="Arial" w:hAnsi="Arial" w:cs="Arial"/>
          <w:lang w:val="en-US"/>
        </w:rPr>
        <w:t xml:space="preserve">and transfers them </w:t>
      </w:r>
      <w:r w:rsidRPr="00430A5E">
        <w:rPr>
          <w:rFonts w:ascii="Arial" w:hAnsi="Arial" w:cs="Arial"/>
          <w:lang w:val="en-US"/>
        </w:rPr>
        <w:t xml:space="preserve">into genetically encoded protein switches to control cellular processes with </w:t>
      </w:r>
      <w:r w:rsidR="00C676C9" w:rsidRPr="00430A5E">
        <w:rPr>
          <w:rFonts w:ascii="Arial" w:hAnsi="Arial" w:cs="Arial"/>
          <w:lang w:val="en-US"/>
        </w:rPr>
        <w:t>unprecedented temporal and spatial resolution.</w:t>
      </w:r>
      <w:r w:rsidR="00C676C9" w:rsidRPr="00430A5E">
        <w:rPr>
          <w:rFonts w:ascii="Arial" w:hAnsi="Arial" w:cs="Arial"/>
          <w:lang w:val="en-US"/>
        </w:rPr>
        <w:fldChar w:fldCharType="begin" w:fldLock="1"/>
      </w:r>
      <w:r w:rsidR="00FC3BF2" w:rsidRPr="00430A5E">
        <w:rPr>
          <w:rFonts w:ascii="Arial" w:hAnsi="Arial" w:cs="Arial"/>
          <w:lang w:val="en-US"/>
        </w:rPr>
        <w:instrText>ADDIN CSL_CITATION {"citationItems":[{"id":"ITEM-1","itemData":{"DOI":"10.1021/acssynbio.8b00120","ISSN":"21615063","PMID":"29913065","abstract":"OptoBase is an online platform for molecular optogenetics. At its core is a hand-annotated and ontology-supported database that aims to cover all existing optogenetic switches and publications, which is further complemented with a collection of convenient optogenetics-related web tools. OptoBase is meant both for expert optogeneticists to easily keep track of the field, as well as for all researchers who find optogenetics inviting as a powerful tool to address their biological questions of interest. It is available at https://www.optobase.org. This work also presents OptoBase-based analysis of the trends in molecular optogenetics.","author":[{"dropping-particle":"","family":"Kolar","given":"Katja","non-dropping-particle":"","parse-names":false,"suffix":""},{"dropping-particle":"","family":"Knobloch","given":"Christian","non-dropping-particle":"","parse-names":false,"suffix":""},{"dropping-particle":"","family":"Stork","given":"Hendrik","non-dropping-particle":"","parse-names":false,"suffix":""},{"dropping-particle":"","family":"Žnidarič","given":"Matej","non-dropping-particle":"","parse-names":false,"suffix":""},{"dropping-particle":"","family":"Weber","given":"Wilfried","non-dropping-particle":"","parse-names":false,"suffix":""}],"container-title":"ACS Synthetic Biology","id":"ITEM-1","issue":"7","issued":{"date-parts":[["2018"]]},"page":"1825-1828","title":"OptoBase: A Web Platform for Molecular Optogenetics","type":"article-journal","volume":"7"},"uris":["http://www.mendeley.com/documents/?uuid=827bb3aa-28be-4514-b037-0d67400844d5"]}],"mendeley":{"formattedCitation":"&lt;sup&gt;26&lt;/sup&gt;","plainTextFormattedCitation":"26","previouslyFormattedCitation":"&lt;sup&gt;26&lt;/sup&gt;"},"properties":{"noteIndex":0},"schema":"https://github.com/citation-style-language/schema/raw/master/csl-citation.json"}</w:instrText>
      </w:r>
      <w:r w:rsidR="00C676C9" w:rsidRPr="00430A5E">
        <w:rPr>
          <w:rFonts w:ascii="Arial" w:hAnsi="Arial" w:cs="Arial"/>
          <w:lang w:val="en-US"/>
        </w:rPr>
        <w:fldChar w:fldCharType="separate"/>
      </w:r>
      <w:r w:rsidR="00C676C9" w:rsidRPr="00430A5E">
        <w:rPr>
          <w:rFonts w:ascii="Arial" w:hAnsi="Arial" w:cs="Arial"/>
          <w:noProof/>
          <w:vertAlign w:val="superscript"/>
          <w:lang w:val="en-US"/>
        </w:rPr>
        <w:t>26</w:t>
      </w:r>
      <w:r w:rsidR="00C676C9" w:rsidRPr="00430A5E">
        <w:rPr>
          <w:rFonts w:ascii="Arial" w:hAnsi="Arial" w:cs="Arial"/>
          <w:lang w:val="en-US"/>
        </w:rPr>
        <w:fldChar w:fldCharType="end"/>
      </w:r>
      <w:r w:rsidRPr="00430A5E">
        <w:rPr>
          <w:rFonts w:ascii="Arial" w:hAnsi="Arial" w:cs="Arial"/>
          <w:lang w:val="en-US"/>
        </w:rPr>
        <w:t xml:space="preserve"> </w:t>
      </w:r>
      <w:r w:rsidR="00C676C9" w:rsidRPr="00430A5E">
        <w:rPr>
          <w:rFonts w:ascii="Arial" w:hAnsi="Arial" w:cs="Arial"/>
          <w:lang w:val="en-US"/>
        </w:rPr>
        <w:t>It</w:t>
      </w:r>
      <w:r w:rsidR="0003265C" w:rsidRPr="00430A5E">
        <w:rPr>
          <w:rFonts w:ascii="Arial" w:hAnsi="Arial" w:cs="Arial"/>
          <w:lang w:val="en-US"/>
        </w:rPr>
        <w:t xml:space="preserve"> carries great potential for </w:t>
      </w:r>
      <w:r w:rsidR="00C676C9" w:rsidRPr="00430A5E">
        <w:rPr>
          <w:rFonts w:ascii="Arial" w:hAnsi="Arial" w:cs="Arial"/>
          <w:lang w:val="en-US"/>
        </w:rPr>
        <w:t xml:space="preserve">the </w:t>
      </w:r>
      <w:r w:rsidR="0003265C" w:rsidRPr="00430A5E">
        <w:rPr>
          <w:rFonts w:ascii="Arial" w:hAnsi="Arial" w:cs="Arial"/>
          <w:lang w:val="en-US"/>
        </w:rPr>
        <w:t>online control</w:t>
      </w:r>
      <w:r w:rsidR="00C676C9" w:rsidRPr="00430A5E">
        <w:rPr>
          <w:rFonts w:ascii="Arial" w:hAnsi="Arial" w:cs="Arial"/>
          <w:lang w:val="en-US"/>
        </w:rPr>
        <w:t xml:space="preserve"> of cultures</w:t>
      </w:r>
      <w:r w:rsidR="00221CDA" w:rsidRPr="00430A5E">
        <w:rPr>
          <w:rFonts w:ascii="Arial" w:hAnsi="Arial" w:cs="Arial"/>
          <w:lang w:val="en-US"/>
        </w:rPr>
        <w:t xml:space="preserve"> with</w:t>
      </w:r>
      <w:r w:rsidR="0003265C" w:rsidRPr="00430A5E">
        <w:rPr>
          <w:rFonts w:ascii="Arial" w:hAnsi="Arial" w:cs="Arial"/>
          <w:lang w:val="en-US"/>
        </w:rPr>
        <w:t xml:space="preserve"> light in an extraordinary fast, </w:t>
      </w:r>
      <w:r w:rsidR="00855D66" w:rsidRPr="00430A5E">
        <w:rPr>
          <w:rFonts w:ascii="Arial" w:hAnsi="Arial" w:cs="Arial"/>
          <w:lang w:val="en-US"/>
        </w:rPr>
        <w:t>precise,</w:t>
      </w:r>
      <w:r w:rsidR="0003265C" w:rsidRPr="00430A5E">
        <w:rPr>
          <w:rFonts w:ascii="Arial" w:hAnsi="Arial" w:cs="Arial"/>
          <w:lang w:val="en-US"/>
        </w:rPr>
        <w:t xml:space="preserve"> and </w:t>
      </w:r>
      <w:r w:rsidR="00221CDA" w:rsidRPr="00430A5E">
        <w:rPr>
          <w:rFonts w:ascii="Arial" w:hAnsi="Arial" w:cs="Arial"/>
          <w:lang w:val="en-US"/>
        </w:rPr>
        <w:t xml:space="preserve">minimal </w:t>
      </w:r>
      <w:r w:rsidR="0003265C" w:rsidRPr="00430A5E">
        <w:rPr>
          <w:rFonts w:ascii="Arial" w:hAnsi="Arial" w:cs="Arial"/>
          <w:lang w:val="en-US"/>
        </w:rPr>
        <w:t xml:space="preserve">invasive </w:t>
      </w:r>
      <w:r w:rsidR="0052061E" w:rsidRPr="00430A5E">
        <w:rPr>
          <w:rFonts w:ascii="Arial" w:hAnsi="Arial" w:cs="Arial"/>
          <w:lang w:val="en-US"/>
        </w:rPr>
        <w:t>fashion</w:t>
      </w:r>
      <w:r w:rsidR="00C953BD" w:rsidRPr="00430A5E">
        <w:rPr>
          <w:rFonts w:ascii="Arial" w:hAnsi="Arial" w:cs="Arial"/>
          <w:lang w:val="en-US"/>
        </w:rPr>
        <w:t>.</w:t>
      </w:r>
      <w:r w:rsidR="00221CDA" w:rsidRPr="00430A5E">
        <w:rPr>
          <w:rFonts w:ascii="Arial" w:hAnsi="Arial" w:cs="Arial"/>
          <w:lang w:val="en-US"/>
        </w:rPr>
        <w:fldChar w:fldCharType="begin" w:fldLock="1"/>
      </w:r>
      <w:r w:rsidR="00FC3BF2" w:rsidRPr="00430A5E">
        <w:rPr>
          <w:rFonts w:ascii="Arial" w:hAnsi="Arial" w:cs="Arial"/>
          <w:lang w:val="en-US"/>
        </w:rPr>
        <w:instrText>ADDIN CSL_CITATION {"citationItems":[{"id":"ITEM-1","itemData":{"DOI":"10.1038/nmeth.f.324","ISBN":"1548-7091","ISSN":"1548-7091","PMID":"21191368","abstract":"Optogenetics is a technology that allows targeted, fast control of precisely defined events in biological systems as complex as freely moving mammals. By delivering optical control at the speed (millisecond-scale) and with the precision (cell type–specific) required for biological processing, optogenetic approaches have opened new landscapes for the study of biology, both in health and disease.","author":[{"dropping-particle":"","family":"Deisseroth","given":"Karl","non-dropping-particle":"","parse-names":false,"suffix":""}],"container-title":"Nature Methods","id":"ITEM-1","issue":"1","issued":{"date-parts":[["2011"]]},"page":"26-29","title":"Optogenetics","type":"article-journal","volume":"8"},"uris":["http://www.mendeley.com/documents/?uuid=5790c4fb-5f07-433b-bda6-21968d1c3bde"]}],"mendeley":{"formattedCitation":"&lt;sup&gt;27&lt;/sup&gt;","plainTextFormattedCitation":"27","previouslyFormattedCitation":"&lt;sup&gt;27&lt;/sup&gt;"},"properties":{"noteIndex":0},"schema":"https://github.com/citation-style-language/schema/raw/master/csl-citation.json"}</w:instrText>
      </w:r>
      <w:r w:rsidR="00221CDA" w:rsidRPr="00430A5E">
        <w:rPr>
          <w:rFonts w:ascii="Arial" w:hAnsi="Arial" w:cs="Arial"/>
          <w:lang w:val="en-US"/>
        </w:rPr>
        <w:fldChar w:fldCharType="separate"/>
      </w:r>
      <w:r w:rsidR="00221CDA" w:rsidRPr="00430A5E">
        <w:rPr>
          <w:rFonts w:ascii="Arial" w:hAnsi="Arial" w:cs="Arial"/>
          <w:noProof/>
          <w:vertAlign w:val="superscript"/>
          <w:lang w:val="en-US"/>
        </w:rPr>
        <w:t>27</w:t>
      </w:r>
      <w:r w:rsidR="00221CDA" w:rsidRPr="00430A5E">
        <w:rPr>
          <w:rFonts w:ascii="Arial" w:hAnsi="Arial" w:cs="Arial"/>
          <w:lang w:val="en-US"/>
        </w:rPr>
        <w:fldChar w:fldCharType="end"/>
      </w:r>
      <w:r w:rsidR="00845559" w:rsidRPr="00430A5E">
        <w:rPr>
          <w:rFonts w:ascii="Arial" w:hAnsi="Arial" w:cs="Arial"/>
          <w:lang w:val="en-US"/>
        </w:rPr>
        <w:t xml:space="preserve"> </w:t>
      </w:r>
      <w:r w:rsidR="00FC3BF2" w:rsidRPr="00430A5E">
        <w:rPr>
          <w:rFonts w:ascii="Arial" w:hAnsi="Arial" w:cs="Arial"/>
          <w:lang w:val="en-US"/>
        </w:rPr>
        <w:t xml:space="preserve">The </w:t>
      </w:r>
      <w:r w:rsidR="004D3713" w:rsidRPr="00430A5E">
        <w:rPr>
          <w:rFonts w:ascii="Arial" w:hAnsi="Arial" w:cs="Arial"/>
          <w:lang w:val="en-US"/>
        </w:rPr>
        <w:t xml:space="preserve">different </w:t>
      </w:r>
      <w:r w:rsidR="00FC3BF2" w:rsidRPr="00430A5E">
        <w:rPr>
          <w:rFonts w:ascii="Arial" w:hAnsi="Arial" w:cs="Arial"/>
          <w:lang w:val="en-US"/>
        </w:rPr>
        <w:t>methods applied for light control can be divided into three categories, namely irreversible photo(de)activation (uncaging), reversible photo</w:t>
      </w:r>
      <w:r w:rsidR="004D3713" w:rsidRPr="00430A5E">
        <w:rPr>
          <w:rFonts w:ascii="Arial" w:hAnsi="Arial" w:cs="Arial"/>
          <w:lang w:val="en-US"/>
        </w:rPr>
        <w:t>-</w:t>
      </w:r>
      <w:r w:rsidR="00FC3BF2" w:rsidRPr="00430A5E">
        <w:rPr>
          <w:rFonts w:ascii="Arial" w:hAnsi="Arial" w:cs="Arial"/>
          <w:lang w:val="en-US"/>
        </w:rPr>
        <w:t>switching and optogenetics.</w:t>
      </w:r>
      <w:r w:rsidR="00FC3BF2" w:rsidRPr="00430A5E">
        <w:rPr>
          <w:rFonts w:ascii="Arial" w:hAnsi="Arial" w:cs="Arial"/>
          <w:lang w:val="en-US"/>
        </w:rPr>
        <w:fldChar w:fldCharType="begin" w:fldLock="1"/>
      </w:r>
      <w:r w:rsidR="006355DF" w:rsidRPr="00430A5E">
        <w:rPr>
          <w:rFonts w:ascii="Arial" w:hAnsi="Arial" w:cs="Arial"/>
          <w:lang w:val="en-US"/>
        </w:rPr>
        <w:instrText>ADDIN CSL_CITATION {"citationItems":[{"id":"ITEM-1","itemData":{"DOI":"10.1002/anie.201202134","ISBN":"1433-7851","ISSN":"14337851","PMID":"22829531","abstract":"Spatial and temporal control over chemical and biological processes plays a key role in life, where the whole is often much more than the sum of its parts. Quite trivially, the molecules of a cell do not form a living system if they are only arranged in a random fashion. If we want to understand these relationships and especially the problems arising from malfunction, tools are necessary that allow us to design sophisticated experiments that address these questions. Highly valuable in this respect are external triggers that enable us to precisely determine where, when, and to what extent a process is started or stopped. Light is an ideal external trigger: It is highly selective and if applied correctly also harmless. It can be generated and manipulated with well-established techniques, and many ways exist to apply light to living systems--from cells to higher organisms. This Review will focus on developments over the last six years and includes discussions on the underlying technologies as well as their applications.","author":[{"dropping-particle":"","family":"Brieke","given":"Clara","non-dropping-particle":"","parse-names":false,"suffix":""},{"dropping-particle":"","family":"Rohrbach","given":"Falk","non-dropping-particle":"","parse-names":false,"suffix":""},{"dropping-particle":"","family":"Gottschalk","given":"Alexander","non-dropping-particle":"","parse-names":false,"suffix":""},{"dropping-particle":"","family":"Mayer","given":"Günter","non-dropping-particle":"","parse-names":false,"suffix":""},{"dropping-particle":"","family":"Heckel","given":"Alexander","non-dropping-particle":"","parse-names":false,"suffix":""}],"container-title":"Angewandte Chemie - International Edition","id":"ITEM-1","issue":"34","issued":{"date-parts":[["2012"]]},"page":"8446-8476","title":"Light-controlled tools","type":"article-journal","volume":"51"},"uris":["http://www.mendeley.com/documents/?uuid=8f1b5c6e-b2a3-4720-8cca-c7e14459f6ee"]}],"mendeley":{"formattedCitation":"&lt;sup&gt;28&lt;/sup&gt;","plainTextFormattedCitation":"28","previouslyFormattedCitation":"&lt;sup&gt;28&lt;/sup&gt;"},"properties":{"noteIndex":0},"schema":"https://github.com/citation-style-language/schema/raw/master/csl-citation.json"}</w:instrText>
      </w:r>
      <w:r w:rsidR="00FC3BF2" w:rsidRPr="00430A5E">
        <w:rPr>
          <w:rFonts w:ascii="Arial" w:hAnsi="Arial" w:cs="Arial"/>
          <w:lang w:val="en-US"/>
        </w:rPr>
        <w:fldChar w:fldCharType="separate"/>
      </w:r>
      <w:r w:rsidR="00FC3BF2" w:rsidRPr="00430A5E">
        <w:rPr>
          <w:rFonts w:ascii="Arial" w:hAnsi="Arial" w:cs="Arial"/>
          <w:noProof/>
          <w:vertAlign w:val="superscript"/>
          <w:lang w:val="en-US"/>
        </w:rPr>
        <w:t>28</w:t>
      </w:r>
      <w:r w:rsidR="00FC3BF2" w:rsidRPr="00430A5E">
        <w:rPr>
          <w:rFonts w:ascii="Arial" w:hAnsi="Arial" w:cs="Arial"/>
          <w:lang w:val="en-US"/>
        </w:rPr>
        <w:fldChar w:fldCharType="end"/>
      </w:r>
      <w:r w:rsidR="00FC3BF2" w:rsidRPr="00430A5E">
        <w:rPr>
          <w:rFonts w:ascii="Arial" w:hAnsi="Arial" w:cs="Arial"/>
          <w:lang w:val="en-US"/>
        </w:rPr>
        <w:t xml:space="preserve"> </w:t>
      </w:r>
    </w:p>
    <w:p w14:paraId="6FE25BD3" w14:textId="47E6265F" w:rsidR="00C43554" w:rsidRPr="00430A5E" w:rsidRDefault="00C43554" w:rsidP="007C437C">
      <w:pPr>
        <w:spacing w:after="0" w:line="360" w:lineRule="auto"/>
        <w:jc w:val="both"/>
        <w:rPr>
          <w:rFonts w:ascii="Arial" w:hAnsi="Arial" w:cs="Arial"/>
          <w:lang w:val="en-US"/>
        </w:rPr>
      </w:pPr>
      <w:r w:rsidRPr="00430A5E">
        <w:rPr>
          <w:rFonts w:ascii="Arial" w:hAnsi="Arial" w:cs="Arial"/>
          <w:lang w:val="en-US"/>
        </w:rPr>
        <w:t xml:space="preserve">With irreversible photo(de)activation molecular processes </w:t>
      </w:r>
      <w:r w:rsidR="0067682E" w:rsidRPr="00430A5E">
        <w:rPr>
          <w:rFonts w:ascii="Arial" w:hAnsi="Arial" w:cs="Arial"/>
          <w:lang w:val="en-US"/>
        </w:rPr>
        <w:t>are</w:t>
      </w:r>
      <w:r w:rsidRPr="00430A5E">
        <w:rPr>
          <w:rFonts w:ascii="Arial" w:hAnsi="Arial" w:cs="Arial"/>
          <w:lang w:val="en-US"/>
        </w:rPr>
        <w:t xml:space="preserve"> regulated using photolabile protection groups linked to key locations or molecules</w:t>
      </w:r>
      <w:r w:rsidR="004B2BD8" w:rsidRPr="00430A5E">
        <w:rPr>
          <w:rFonts w:ascii="Arial" w:hAnsi="Arial" w:cs="Arial"/>
          <w:lang w:val="en-US"/>
        </w:rPr>
        <w:t>, which can be cleaved upon light exposure, thereby releasing the active inducer compound</w:t>
      </w:r>
      <w:r w:rsidRPr="00430A5E">
        <w:rPr>
          <w:rFonts w:ascii="Arial" w:hAnsi="Arial" w:cs="Arial"/>
          <w:lang w:val="en-US"/>
        </w:rPr>
        <w:t>. These protection groups can be linked to a wide range of molecules such as IPTG, carbohydrates or antibiotics.</w:t>
      </w:r>
      <w:r w:rsidRPr="00430A5E">
        <w:rPr>
          <w:rFonts w:ascii="Arial" w:hAnsi="Arial" w:cs="Arial"/>
          <w:lang w:val="en-US"/>
        </w:rPr>
        <w:fldChar w:fldCharType="begin" w:fldLock="1"/>
      </w:r>
      <w:r w:rsidR="00C225D7" w:rsidRPr="00430A5E">
        <w:rPr>
          <w:rFonts w:ascii="Arial" w:hAnsi="Arial" w:cs="Arial"/>
          <w:lang w:val="en-US"/>
        </w:rPr>
        <w:instrText>ADDIN CSL_CITATION {"citationItems":[{"id":"ITEM-1","itemData":{"DOI":"10.1039/c4ib00027g","ISBN":"1757-9694","ISSN":"17579708","PMID":"24894989","abstract":"Light can be used to control numerous cellular processes including protein function and interaction as well as gene expression in a non-invasive fashion and with unprecedented spatiotemporal resolution. However, for chemical phototriggers tight, gradual, and homogeneous light response has never been attained in living cells. Here, we report on a light-responsive bacterial T7 RNA polymerase expression system based on a photocaged derivative of the inducer molecule isopropyl-b-D-thiogalactopyranoside (IPTG). We have comparatively analyzed different Escherichia coli lac promoter-regulated expression systems in batch and microfluidic single-cell cultivation. The lacY-deficient E. coli strain Tuner(DE3) harboring additional plasmid-born copies of the lacI gene exhibited a sensitive and defined response to increasing IPTG concentrations. Photocaged IPTG served as a synthetic photo-switch to convert the E. coli system into an optogenetic expression module allowing for precise and gradual light-triggering of gene expression as demonstrated at the single cell level. Insight, innovation, integration Optogenetic approaches aim to trigger biological processes by light. For the establishment of a light-responsive E. coli expression system, we validate different lac promoter-controlled, T7 RNA polymerase-dependent expression modules. Using microfluidic techniques we were able to pin down and abolish bottlenecks of inducer-dependent regulatory response. By implementing a derivative of the synthetic inducer IPTG, which is coupled to the light-sensitive photocaging group 6-nitropiperonal, we assembled a precise photoswitch that can be controlled by UV-A light.","author":[{"dropping-particle":"","family":"Binder","given":"Dennis","non-dropping-particle":"","parse-names":false,"suffix":""},{"dropping-particle":"","family":"Grünberger","given":"Alexander","non-dropping-particle":"","parse-names":false,"suffix":""},{"dropping-particle":"","family":"Loeschcke","given":"Anita","non-dropping-particle":"","parse-names":false,"suffix":""},{"dropping-particle":"","family":"Probst","given":"Christopher","non-dropping-particle":"","parse-names":false,"suffix":""},{"dropping-particle":"","family":"Bier","given":"Claus","non-dropping-particle":"","parse-names":false,"suffix":""},{"dropping-particle":"","family":"Pietruszka","given":"Jörg","non-dropping-particle":"","parse-names":false,"suffix":""},{"dropping-particle":"","family":"Wiechert","given":"Wolfgang","non-dropping-particle":"","parse-names":false,"suffix":""},{"dropping-particle":"","family":"Kohlheyer","given":"Dietrich","non-dropping-particle":"","parse-names":false,"suffix":""},{"dropping-particle":"","family":"Jaeger","given":"Karl Erich","non-dropping-particle":"","parse-names":false,"suffix":""},{"dropping-particle":"","family":"Drepper","given":"Thomas","non-dropping-particle":"","parse-names":false,"suffix":""}],"container-title":"Integrative Biology (United Kingdom)","id":"ITEM-1","issue":"8","issued":{"date-parts":[["2014"]]},"page":"755-765","title":"Light-responsive control of bacterial gene expression: Precise triggering of the lac promoter activity using photocaged IPTG","type":"article-journal","volume":"6"},"uris":["http://www.mendeley.com/documents/?uuid=bb9db291-87c0-440c-bc64-64f1c3e9076f"]},{"id":"ITEM-2","itemData":{"DOI":"10.1002/cbic.201500609","ISBN":"1439-7633 (Electronic)\\r1439-4227 (Linking)","ISSN":"14397633","PMID":"26677142","abstract":"Controlling cellular functions by light allows for a simple triggering of biological processes in a non-invasive fashion with high spatiotemporal resolution. In this context, light-regulated gene expression exhibits an enormous potential for achieving optogenetic control over almost any cellular process of interest. Here, we report on two novel one-step cleavable photocaged arabinose compounds that were applied as light-sensitive inducers of transcription in bacteria. Exposure of caged arabinose to UV-A light resulted in a rapid activation of protein production as demonstrated for the green fluorescent protein and the complete violacein biosynthetic pathway. Moreover, single-cell analysis revealed that intrinsic heterogeneity of arabinose-mediated induction of gene expression could be abolished using photocaged arabinose. We thus established a novel phototrigger for synthetic bio(techno)logy applications that enables precise and homogeneous control of bacterial target gene expression.","author":[{"dropping-particle":"","family":"Binder","given":"Dennis","non-dropping-particle":"","parse-names":false,"suffix":""},{"dropping-particle":"","family":"Bier","given":"Claus","non-dropping-particle":"","parse-names":false,"suffix":""},{"dropping-particle":"","family":"Grünberger","given":"Alexander","non-dropping-particle":"","parse-names":false,"suffix":""},{"dropping-particle":"","family":"Drobietz","given":"Dagmar","non-dropping-particle":"","parse-names":false,"suffix":""},{"dropping-particle":"","family":"Hage-Hülsmann","given":"Jennifer","non-dropping-particle":"","parse-names":false,"suffix":""},{"dropping-particle":"","family":"Wandrey","given":"Georg","non-dropping-particle":"","parse-names":false,"suffix":""},{"dropping-particle":"","family":"Büchs","given":"Jochen","non-dropping-particle":"","parse-names":false,"suffix":""},{"dropping-particle":"","family":"Kohlheyer","given":"Dietrich","non-dropping-particle":"","parse-names":false,"suffix":""},{"dropping-particle":"","family":"Loeschcke","given":"Anita","non-dropping-particle":"","parse-names":false,"suffix":""},{"dropping-particle":"","family":"Wiechert","given":"Wolfgang","non-dropping-particle":"","parse-names":false,"suffix":""},{"dropping-particle":"","family":"Jaeger","given":"Karl Erich","non-dropping-particle":"","parse-names":false,"suffix":""},{"dropping-particle":"","family":"Pietruszka","given":"Jörg","non-dropping-particle":"","parse-names":false,"suffix":""},{"dropping-particle":"","family":"Drepper","given":"Thomas","non-dropping-particle":"","parse-names":false,"suffix":""}],"container-title":"ChemBioChem","id":"ITEM-2","issue":"4","issued":{"date-parts":[["2016"]]},"page":"296-299","title":"Photocaged Arabinose: A Novel Optogenetic Switch for Rapid and Gradual Control of Microbial Gene Expression","type":"article-journal","volume":"17"},"uris":["http://www.mendeley.com/documents/?uuid=16c32775-6a15-4bb3-b6e1-ce078b18ae2c"]}],"mendeley":{"formattedCitation":"&lt;sup&gt;29,30&lt;/sup&gt;","plainTextFormattedCitation":"29,30","previouslyFormattedCitation":"&lt;sup&gt;29,30&lt;/sup&gt;"},"properties":{"noteIndex":0},"schema":"https://github.com/citation-style-language/schema/raw/master/csl-citation.json"}</w:instrText>
      </w:r>
      <w:r w:rsidRPr="00430A5E">
        <w:rPr>
          <w:rFonts w:ascii="Arial" w:hAnsi="Arial" w:cs="Arial"/>
          <w:lang w:val="en-US"/>
        </w:rPr>
        <w:fldChar w:fldCharType="separate"/>
      </w:r>
      <w:r w:rsidR="006355DF" w:rsidRPr="00430A5E">
        <w:rPr>
          <w:rFonts w:ascii="Arial" w:hAnsi="Arial" w:cs="Arial"/>
          <w:noProof/>
          <w:vertAlign w:val="superscript"/>
          <w:lang w:val="en-US"/>
        </w:rPr>
        <w:t>29,30</w:t>
      </w:r>
      <w:r w:rsidRPr="00430A5E">
        <w:rPr>
          <w:rFonts w:ascii="Arial" w:hAnsi="Arial" w:cs="Arial"/>
          <w:lang w:val="en-US"/>
        </w:rPr>
        <w:fldChar w:fldCharType="end"/>
      </w:r>
      <w:r w:rsidRPr="00430A5E">
        <w:rPr>
          <w:rFonts w:ascii="Arial" w:hAnsi="Arial" w:cs="Arial"/>
          <w:lang w:val="en-US"/>
        </w:rPr>
        <w:t xml:space="preserve"> By implementing two complementary antibiotics caged by different photo-sensitive protection groups, Velema </w:t>
      </w:r>
      <w:r w:rsidRPr="00430A5E">
        <w:rPr>
          <w:rFonts w:ascii="Arial" w:hAnsi="Arial" w:cs="Arial"/>
          <w:i/>
          <w:lang w:val="en-US"/>
        </w:rPr>
        <w:t>et al.</w:t>
      </w:r>
      <w:r w:rsidRPr="00430A5E">
        <w:rPr>
          <w:rFonts w:ascii="Arial" w:hAnsi="Arial" w:cs="Arial"/>
          <w:lang w:val="en-US"/>
        </w:rPr>
        <w:t xml:space="preserve"> demonstrated the online control of a co-culture incorporating </w:t>
      </w:r>
      <w:r w:rsidRPr="00430A5E">
        <w:rPr>
          <w:rFonts w:ascii="Arial" w:hAnsi="Arial" w:cs="Arial"/>
          <w:i/>
          <w:iCs/>
          <w:lang w:val="en-US"/>
        </w:rPr>
        <w:t>Escherichia coli</w:t>
      </w:r>
      <w:r w:rsidRPr="00430A5E">
        <w:rPr>
          <w:rFonts w:ascii="Arial" w:hAnsi="Arial" w:cs="Arial"/>
          <w:lang w:val="en-US"/>
        </w:rPr>
        <w:t xml:space="preserve"> and </w:t>
      </w:r>
      <w:r w:rsidRPr="00430A5E">
        <w:rPr>
          <w:rFonts w:ascii="Arial" w:hAnsi="Arial" w:cs="Arial"/>
          <w:i/>
          <w:iCs/>
          <w:lang w:val="en-US"/>
        </w:rPr>
        <w:t>Staphylococcus aureus</w:t>
      </w:r>
      <w:r w:rsidRPr="00430A5E">
        <w:rPr>
          <w:rFonts w:ascii="Arial" w:hAnsi="Arial" w:cs="Arial"/>
          <w:lang w:val="en-US"/>
        </w:rPr>
        <w:t xml:space="preserve"> cells by releasing the specific antibiotics upon exposure to different wavelengths.</w:t>
      </w:r>
      <w:r w:rsidRPr="00430A5E">
        <w:rPr>
          <w:rFonts w:ascii="Arial" w:hAnsi="Arial" w:cs="Arial"/>
          <w:lang w:val="en-US"/>
        </w:rPr>
        <w:fldChar w:fldCharType="begin" w:fldLock="1"/>
      </w:r>
      <w:r w:rsidRPr="00430A5E">
        <w:rPr>
          <w:rFonts w:ascii="Arial" w:hAnsi="Arial" w:cs="Arial"/>
          <w:lang w:val="en-US"/>
        </w:rPr>
        <w:instrText>ADDIN CSL_CITATION {"citationItems":[{"id":"ITEM-1","itemData":{"DOI":"10.1021/cb500313f","ISBN":"1554-8937 (Electronic)\\r1554-8929 (Linking)","ISSN":"15548937","PMID":"25055227","abstract":"Selection of a single bacterial strain out of a mixture of microorganisms is of crucial importance in healthcare and microbiology research. Novel approaches that can externally control bacterial selection are a valuable addition to the microbiology toolbox. In this proof-of-concept, two complementary antibiotics are protected with photocleavable groups that can be orthogonally addressed with different wavelengths of light. This allows for the light-triggered selection of a single bacterial strain out of a mixture of multiple strains, by choosing the right wavelength. Further improvement toward additional orthogonally addressable antibiotics might ultimately lead to a novel methodology for bacterial selection in complex populations.","author":[{"dropping-particle":"","family":"Velema","given":"Willem A.","non-dropping-particle":"","parse-names":false,"suffix":""},{"dropping-particle":"","family":"Berg","given":"Jan Pieter","non-dropping-particle":"Van Der","parse-names":false,"suffix":""},{"dropping-particle":"","family":"Szymanski","given":"Wiktor","non-dropping-particle":"","parse-names":false,"suffix":""},{"dropping-particle":"","family":"Driessen","given":"Arnold J.M.","non-dropping-particle":"","parse-names":false,"suffix":""},{"dropping-particle":"","family":"Feringa","given":"Ben L.","non-dropping-particle":"","parse-names":false,"suffix":""}],"container-title":"ACS Chemical Biology","id":"ITEM-1","issue":"9","issued":{"date-parts":[["2014"]]},"page":"1969-1974","title":"Orthogonal control of antibacterial activity with light","type":"article-journal","volume":"9"},"uris":["http://www.mendeley.com/documents/?uuid=86165624-85d4-4aa4-a295-acacbf2416fe"]}],"mendeley":{"formattedCitation":"&lt;sup&gt;24&lt;/sup&gt;","plainTextFormattedCitation":"24","previouslyFormattedCitation":"&lt;sup&gt;24&lt;/sup&gt;"},"properties":{"noteIndex":0},"schema":"https://github.com/citation-style-language/schema/raw/master/csl-citation.json"}</w:instrText>
      </w:r>
      <w:r w:rsidRPr="00430A5E">
        <w:rPr>
          <w:rFonts w:ascii="Arial" w:hAnsi="Arial" w:cs="Arial"/>
          <w:lang w:val="en-US"/>
        </w:rPr>
        <w:fldChar w:fldCharType="separate"/>
      </w:r>
      <w:r w:rsidRPr="00430A5E">
        <w:rPr>
          <w:rFonts w:ascii="Arial" w:hAnsi="Arial" w:cs="Arial"/>
          <w:noProof/>
          <w:vertAlign w:val="superscript"/>
          <w:lang w:val="en-US"/>
        </w:rPr>
        <w:t>24</w:t>
      </w:r>
      <w:r w:rsidRPr="00430A5E">
        <w:rPr>
          <w:rFonts w:ascii="Arial" w:hAnsi="Arial" w:cs="Arial"/>
          <w:lang w:val="en-US"/>
        </w:rPr>
        <w:fldChar w:fldCharType="end"/>
      </w:r>
      <w:r w:rsidRPr="00430A5E">
        <w:rPr>
          <w:rFonts w:ascii="Arial" w:hAnsi="Arial" w:cs="Arial"/>
          <w:lang w:val="en-US"/>
        </w:rPr>
        <w:t xml:space="preserve"> </w:t>
      </w:r>
    </w:p>
    <w:p w14:paraId="46CF49E0" w14:textId="183EB2E7" w:rsidR="00C225D7" w:rsidRPr="00430A5E" w:rsidRDefault="0067682E" w:rsidP="007C437C">
      <w:pPr>
        <w:spacing w:after="0" w:line="360" w:lineRule="auto"/>
        <w:jc w:val="both"/>
        <w:rPr>
          <w:rFonts w:ascii="Arial" w:hAnsi="Arial" w:cs="Arial"/>
          <w:lang w:val="en-US"/>
        </w:rPr>
      </w:pPr>
      <w:r w:rsidRPr="00430A5E">
        <w:rPr>
          <w:rFonts w:ascii="Arial" w:hAnsi="Arial" w:cs="Arial"/>
          <w:lang w:val="en-US"/>
        </w:rPr>
        <w:t xml:space="preserve">If a </w:t>
      </w:r>
      <w:r w:rsidR="00C43554" w:rsidRPr="00430A5E">
        <w:rPr>
          <w:rFonts w:ascii="Arial" w:hAnsi="Arial" w:cs="Arial"/>
          <w:lang w:val="en-US"/>
        </w:rPr>
        <w:t>reversible control over cellular processes</w:t>
      </w:r>
      <w:r w:rsidRPr="00430A5E">
        <w:rPr>
          <w:rFonts w:ascii="Arial" w:hAnsi="Arial" w:cs="Arial"/>
          <w:lang w:val="en-US"/>
        </w:rPr>
        <w:t xml:space="preserve"> is required,</w:t>
      </w:r>
      <w:r w:rsidR="00C43554" w:rsidRPr="00430A5E">
        <w:rPr>
          <w:rFonts w:ascii="Arial" w:hAnsi="Arial" w:cs="Arial"/>
          <w:lang w:val="en-US"/>
        </w:rPr>
        <w:t xml:space="preserve"> reversible photo-switch</w:t>
      </w:r>
      <w:r w:rsidR="00C32BCB" w:rsidRPr="00430A5E">
        <w:rPr>
          <w:rFonts w:ascii="Arial" w:hAnsi="Arial" w:cs="Arial"/>
          <w:lang w:val="en-US"/>
        </w:rPr>
        <w:t>es</w:t>
      </w:r>
      <w:r w:rsidR="00C43554" w:rsidRPr="00430A5E">
        <w:rPr>
          <w:rFonts w:ascii="Arial" w:hAnsi="Arial" w:cs="Arial"/>
          <w:lang w:val="en-US"/>
        </w:rPr>
        <w:t xml:space="preserve"> can be applied</w:t>
      </w:r>
      <w:r w:rsidR="006355DF" w:rsidRPr="00430A5E">
        <w:rPr>
          <w:rFonts w:ascii="Arial" w:hAnsi="Arial" w:cs="Arial"/>
          <w:lang w:val="en-US"/>
        </w:rPr>
        <w:t>, where bistable molecules can undergo a reversible change of their structure upon light irradiation.</w:t>
      </w:r>
      <w:r w:rsidR="006355DF" w:rsidRPr="00430A5E">
        <w:rPr>
          <w:rFonts w:ascii="Arial" w:hAnsi="Arial" w:cs="Arial"/>
          <w:lang w:val="en-US"/>
        </w:rPr>
        <w:fldChar w:fldCharType="begin" w:fldLock="1"/>
      </w:r>
      <w:r w:rsidR="00C225D7" w:rsidRPr="00430A5E">
        <w:rPr>
          <w:rFonts w:ascii="Arial" w:hAnsi="Arial" w:cs="Arial"/>
          <w:lang w:val="en-US"/>
        </w:rPr>
        <w:instrText>ADDIN CSL_CITATION {"citationItems":[{"id":"ITEM-1","itemData":{"DOI":"10.1021/cr300179f","ISSN":"00092665","PMID":"23614556","author":[{"dropping-particle":"","family":"Szymański","given":"Wiktor","non-dropping-particle":"","parse-names":false,"suffix":""},{"dropping-particle":"","family":"Beierle","given":"John M.","non-dropping-particle":"","parse-names":false,"suffix":""},{"dropping-particle":"","family":"Kistemaker","given":"Hans A.V.","non-dropping-particle":"","parse-names":false,"suffix":""},{"dropping-particle":"","family":"Velema","given":"Willem A.","non-dropping-particle":"","parse-names":false,"suffix":""},{"dropping-particle":"","family":"Feringa","given":"Ben L.","non-dropping-particle":"","parse-names":false,"suffix":""}],"container-title":"Chemical Reviews","id":"ITEM-1","issued":{"date-parts":[["2013"]]},"title":"Reversible photocontrol of biological systems by the incorporation of molecular photoswitches","type":"article"},"uris":["http://www.mendeley.com/documents/?uuid=dbe7a9b7-bbdf-4784-9836-5c6b15a65ffe"]}],"mendeley":{"formattedCitation":"&lt;sup&gt;31&lt;/sup&gt;","plainTextFormattedCitation":"31","previouslyFormattedCitation":"&lt;sup&gt;31&lt;/sup&gt;"},"properties":{"noteIndex":0},"schema":"https://github.com/citation-style-language/schema/raw/master/csl-citation.json"}</w:instrText>
      </w:r>
      <w:r w:rsidR="006355DF" w:rsidRPr="00430A5E">
        <w:rPr>
          <w:rFonts w:ascii="Arial" w:hAnsi="Arial" w:cs="Arial"/>
          <w:lang w:val="en-US"/>
        </w:rPr>
        <w:fldChar w:fldCharType="separate"/>
      </w:r>
      <w:r w:rsidR="006355DF" w:rsidRPr="00430A5E">
        <w:rPr>
          <w:rFonts w:ascii="Arial" w:hAnsi="Arial" w:cs="Arial"/>
          <w:noProof/>
          <w:vertAlign w:val="superscript"/>
          <w:lang w:val="en-US"/>
        </w:rPr>
        <w:t>31</w:t>
      </w:r>
      <w:r w:rsidR="006355DF" w:rsidRPr="00430A5E">
        <w:rPr>
          <w:rFonts w:ascii="Arial" w:hAnsi="Arial" w:cs="Arial"/>
          <w:lang w:val="en-US"/>
        </w:rPr>
        <w:fldChar w:fldCharType="end"/>
      </w:r>
      <w:r w:rsidR="00C43554" w:rsidRPr="00430A5E">
        <w:rPr>
          <w:rFonts w:ascii="Arial" w:hAnsi="Arial" w:cs="Arial"/>
          <w:lang w:val="en-US"/>
        </w:rPr>
        <w:t xml:space="preserve"> </w:t>
      </w:r>
      <w:r w:rsidR="00C97960" w:rsidRPr="00430A5E">
        <w:rPr>
          <w:rFonts w:ascii="Arial" w:hAnsi="Arial" w:cs="Arial"/>
          <w:lang w:val="en-US"/>
        </w:rPr>
        <w:t>Optogenetics combines these rather synthetic</w:t>
      </w:r>
      <w:r w:rsidR="00C43554" w:rsidRPr="00430A5E">
        <w:rPr>
          <w:rFonts w:ascii="Arial" w:hAnsi="Arial" w:cs="Arial"/>
          <w:lang w:val="en-US"/>
        </w:rPr>
        <w:t xml:space="preserve"> </w:t>
      </w:r>
      <w:r w:rsidR="00C97960" w:rsidRPr="00430A5E">
        <w:rPr>
          <w:rFonts w:ascii="Arial" w:hAnsi="Arial" w:cs="Arial"/>
          <w:lang w:val="en-US"/>
        </w:rPr>
        <w:t xml:space="preserve">chemical approaches and aims at introducing them into living organisms by utilizing genetically encoded photosensitive proteins. However, the </w:t>
      </w:r>
      <w:r w:rsidR="00C225D7" w:rsidRPr="00430A5E">
        <w:rPr>
          <w:rFonts w:ascii="Arial" w:hAnsi="Arial" w:cs="Arial"/>
          <w:lang w:val="en-US"/>
        </w:rPr>
        <w:t>natural and synthetic control tools are often combined and a clear discrimination is not possible.</w:t>
      </w:r>
      <w:r w:rsidR="00C225D7" w:rsidRPr="00430A5E">
        <w:rPr>
          <w:rFonts w:ascii="Arial" w:hAnsi="Arial" w:cs="Arial"/>
          <w:lang w:val="en-US"/>
        </w:rPr>
        <w:fldChar w:fldCharType="begin" w:fldLock="1"/>
      </w:r>
      <w:r w:rsidR="00D96EE6" w:rsidRPr="00430A5E">
        <w:rPr>
          <w:rFonts w:ascii="Arial" w:hAnsi="Arial" w:cs="Arial"/>
          <w:lang w:val="en-US"/>
        </w:rPr>
        <w:instrText>ADDIN CSL_CITATION {"citationItems":[{"id":"ITEM-1","itemData":{"DOI":"10.1002/anie.201202134","ISBN":"1433-7851","ISSN":"14337851","PMID":"22829531","abstract":"Spatial and temporal control over chemical and biological processes plays a key role in life, where the whole is often much more than the sum of its parts. Quite trivially, the molecules of a cell do not form a living system if they are only arranged in a random fashion. If we want to understand these relationships and especially the problems arising from malfunction, tools are necessary that allow us to design sophisticated experiments that address these questions. Highly valuable in this respect are external triggers that enable us to precisely determine where, when, and to what extent a process is started or stopped. Light is an ideal external trigger: It is highly selective and if applied correctly also harmless. It can be generated and manipulated with well-established techniques, and many ways exist to apply light to living systems--from cells to higher organisms. This Review will focus on developments over the last six years and includes discussions on the underlying technologies as well as their applications.","author":[{"dropping-particle":"","family":"Brieke","given":"Clara","non-dropping-particle":"","parse-names":false,"suffix":""},{"dropping-particle":"","family":"Rohrbach","given":"Falk","non-dropping-particle":"","parse-names":false,"suffix":""},{"dropping-particle":"","family":"Gottschalk","given":"Alexander","non-dropping-particle":"","parse-names":false,"suffix":""},{"dropping-particle":"","family":"Mayer","given":"Günter","non-dropping-particle":"","parse-names":false,"suffix":""},{"dropping-particle":"","family":"Heckel","given":"Alexander","non-dropping-particle":"","parse-names":false,"suffix":""}],"container-title":"Angewandte Chemie - International Edition","id":"ITEM-1","issue":"34","issued":{"date-parts":[["2012"]]},"page":"8446-8476","title":"Light-controlled tools","type":"article-journal","volume":"51"},"uris":["http://www.mendeley.com/documents/?uuid=8f1b5c6e-b2a3-4720-8cca-c7e14459f6ee"]}],"mendeley":{"formattedCitation":"&lt;sup&gt;28&lt;/sup&gt;","plainTextFormattedCitation":"28","previouslyFormattedCitation":"&lt;sup&gt;28&lt;/sup&gt;"},"properties":{"noteIndex":0},"schema":"https://github.com/citation-style-language/schema/raw/master/csl-citation.json"}</w:instrText>
      </w:r>
      <w:r w:rsidR="00C225D7" w:rsidRPr="00430A5E">
        <w:rPr>
          <w:rFonts w:ascii="Arial" w:hAnsi="Arial" w:cs="Arial"/>
          <w:lang w:val="en-US"/>
        </w:rPr>
        <w:fldChar w:fldCharType="separate"/>
      </w:r>
      <w:r w:rsidR="00C225D7" w:rsidRPr="00430A5E">
        <w:rPr>
          <w:rFonts w:ascii="Arial" w:hAnsi="Arial" w:cs="Arial"/>
          <w:noProof/>
          <w:vertAlign w:val="superscript"/>
          <w:lang w:val="en-US"/>
        </w:rPr>
        <w:t>28</w:t>
      </w:r>
      <w:r w:rsidR="00C225D7" w:rsidRPr="00430A5E">
        <w:rPr>
          <w:rFonts w:ascii="Arial" w:hAnsi="Arial" w:cs="Arial"/>
          <w:lang w:val="en-US"/>
        </w:rPr>
        <w:fldChar w:fldCharType="end"/>
      </w:r>
      <w:r w:rsidR="00C97960" w:rsidRPr="00430A5E">
        <w:rPr>
          <w:rFonts w:ascii="Arial" w:hAnsi="Arial" w:cs="Arial"/>
          <w:lang w:val="en-US"/>
        </w:rPr>
        <w:t xml:space="preserve"> </w:t>
      </w:r>
    </w:p>
    <w:p w14:paraId="1D7DC3C7" w14:textId="2D974E19" w:rsidR="009073E2" w:rsidRPr="00430A5E" w:rsidRDefault="006F0EB1" w:rsidP="007C437C">
      <w:pPr>
        <w:spacing w:after="0" w:line="360" w:lineRule="auto"/>
        <w:jc w:val="both"/>
        <w:rPr>
          <w:rFonts w:ascii="Arial" w:hAnsi="Arial" w:cs="Arial"/>
          <w:lang w:val="en-US"/>
        </w:rPr>
      </w:pPr>
      <w:r w:rsidRPr="00430A5E">
        <w:rPr>
          <w:rFonts w:ascii="Arial" w:hAnsi="Arial" w:cs="Arial"/>
          <w:lang w:val="en-US"/>
        </w:rPr>
        <w:t>S</w:t>
      </w:r>
      <w:r w:rsidR="000F1F5F" w:rsidRPr="00430A5E">
        <w:rPr>
          <w:rFonts w:ascii="Arial" w:hAnsi="Arial" w:cs="Arial"/>
          <w:lang w:val="en-US"/>
        </w:rPr>
        <w:t xml:space="preserve">uccessful gene regulation on </w:t>
      </w:r>
      <w:r w:rsidRPr="00430A5E">
        <w:rPr>
          <w:rFonts w:ascii="Arial" w:hAnsi="Arial" w:cs="Arial"/>
          <w:lang w:val="en-US"/>
        </w:rPr>
        <w:t>the single-cell level</w:t>
      </w:r>
      <w:r w:rsidR="000F1F5F" w:rsidRPr="00430A5E">
        <w:rPr>
          <w:rFonts w:ascii="Arial" w:hAnsi="Arial" w:cs="Arial"/>
          <w:lang w:val="en-US"/>
        </w:rPr>
        <w:t xml:space="preserve"> </w:t>
      </w:r>
      <w:r w:rsidRPr="00430A5E">
        <w:rPr>
          <w:rFonts w:ascii="Arial" w:hAnsi="Arial" w:cs="Arial"/>
          <w:lang w:val="en-US"/>
        </w:rPr>
        <w:t xml:space="preserve">was published by Rullan </w:t>
      </w:r>
      <w:r w:rsidRPr="00430A5E">
        <w:rPr>
          <w:rFonts w:ascii="Arial" w:hAnsi="Arial" w:cs="Arial"/>
          <w:i/>
          <w:iCs/>
          <w:lang w:val="en-US"/>
        </w:rPr>
        <w:t>et al.</w:t>
      </w:r>
      <w:r w:rsidRPr="00430A5E">
        <w:rPr>
          <w:rFonts w:ascii="Arial" w:hAnsi="Arial" w:cs="Arial"/>
          <w:lang w:val="en-US"/>
        </w:rPr>
        <w:t xml:space="preserve"> in a study showing transcriptional regulation in yeast with a photosensitive transcription factor by using a digital micromirror device projector.</w:t>
      </w:r>
      <w:r w:rsidR="00D96EE6" w:rsidRPr="00430A5E">
        <w:rPr>
          <w:rFonts w:ascii="Arial" w:hAnsi="Arial" w:cs="Arial"/>
          <w:lang w:val="en-US"/>
        </w:rPr>
        <w:fldChar w:fldCharType="begin" w:fldLock="1"/>
      </w:r>
      <w:r w:rsidR="00D96EE6" w:rsidRPr="00430A5E">
        <w:rPr>
          <w:rFonts w:ascii="Arial" w:hAnsi="Arial" w:cs="Arial"/>
          <w:lang w:val="en-US"/>
        </w:rPr>
        <w:instrText>ADDIN CSL_CITATION {"citationItems":[{"id":"ITEM-1","itemData":{"DOI":"10.1016/j.molcel.2018.04.012","ISSN":"10974164","PMID":"29775585","abstract":"Transcription is a highly regulated and inherently stochastic process. The complexity of signal transduction and gene regulation makes it challenging to analyze how the dynamic activity of transcriptional regulators affects stochastic transcription. By combining a fast-acting, photo-regulatable transcription factor with nascent RNA quantification in live cells and an experimental setup for precise spatiotemporal delivery of light inputs, we constructed a platform for the real-time, single-cell interrogation of transcription in Saccharomyces cerevisiae. We show that transcriptional activation and deactivation are fast and memoryless. By analyzing the temporal activity of individual cells, we found that transcription occurs in bursts, whose duration and timing are modulated by transcription factor activity. Using our platform, we regulated transcription via light-driven feedback loops at the single-cell level. Feedback markedly reduced cell-to-cell variability and led to qualitative differences in cellular transcriptional dynamics. Our platform establishes a flexible method for studying transcriptional dynamics in single cells. Rullan et al. develop an optogenetic framework for elucidating stochastic transcription at the single-cell level. Combining live-cell nascent RNA quantification with optogenetic transcription in an automated setup for spatiotemporal light delivery, the authors establish real-time light-based feedback control in single cells. The method is used to study transcriptional burst dynamics.","author":[{"dropping-particle":"","family":"Rullan","given":"Marc","non-dropping-particle":"","parse-names":false,"suffix":""},{"dropping-particle":"","family":"Benzinger","given":"Dirk","non-dropping-particle":"","parse-names":false,"suffix":""},{"dropping-particle":"","family":"Schmidt","given":"Gregor W.","non-dropping-particle":"","parse-names":false,"suffix":""},{"dropping-particle":"","family":"Milias-Argeitis","given":"Andreas","non-dropping-particle":"","parse-names":false,"suffix":""},{"dropping-particle":"","family":"Khammash","given":"Mustafa","non-dropping-particle":"","parse-names":false,"suffix":""}],"container-title":"Molecular Cell","id":"ITEM-1","issue":"4","issued":{"date-parts":[["2018"]]},"page":"745-756.e6","publisher":"Elsevier Inc.","title":"An Optogenetic Platform for Real-Time, Single-Cell Interrogation of Stochastic Transcriptional Regulation","type":"article-journal","volume":"70"},"uris":["http://www.mendeley.com/documents/?uuid=f3a3f4b1-7e96-43c5-810e-0c095d885856"]}],"mendeley":{"formattedCitation":"&lt;sup&gt;32&lt;/sup&gt;","plainTextFormattedCitation":"32","previouslyFormattedCitation":"&lt;sup&gt;32&lt;/sup&gt;"},"properties":{"noteIndex":0},"schema":"https://github.com/citation-style-language/schema/raw/master/csl-citation.json"}</w:instrText>
      </w:r>
      <w:r w:rsidR="00D96EE6" w:rsidRPr="00430A5E">
        <w:rPr>
          <w:rFonts w:ascii="Arial" w:hAnsi="Arial" w:cs="Arial"/>
          <w:lang w:val="en-US"/>
        </w:rPr>
        <w:fldChar w:fldCharType="separate"/>
      </w:r>
      <w:r w:rsidR="00D96EE6" w:rsidRPr="00430A5E">
        <w:rPr>
          <w:rFonts w:ascii="Arial" w:hAnsi="Arial" w:cs="Arial"/>
          <w:noProof/>
          <w:vertAlign w:val="superscript"/>
          <w:lang w:val="en-US"/>
        </w:rPr>
        <w:t>32</w:t>
      </w:r>
      <w:r w:rsidR="00D96EE6" w:rsidRPr="00430A5E">
        <w:rPr>
          <w:rFonts w:ascii="Arial" w:hAnsi="Arial" w:cs="Arial"/>
          <w:lang w:val="en-US"/>
        </w:rPr>
        <w:fldChar w:fldCharType="end"/>
      </w:r>
      <w:r w:rsidRPr="00430A5E">
        <w:rPr>
          <w:rFonts w:ascii="Arial" w:hAnsi="Arial" w:cs="Arial"/>
          <w:lang w:val="en-US"/>
        </w:rPr>
        <w:t xml:space="preserve"> Another example on the population level is the automated optogenetic feedback control of a key metabolic enzyme </w:t>
      </w:r>
      <w:r w:rsidR="00D96EE6" w:rsidRPr="00430A5E">
        <w:rPr>
          <w:rFonts w:ascii="Arial" w:hAnsi="Arial" w:cs="Arial"/>
          <w:lang w:val="en-US"/>
        </w:rPr>
        <w:t xml:space="preserve">in </w:t>
      </w:r>
      <w:r w:rsidR="00D96EE6" w:rsidRPr="00430A5E">
        <w:rPr>
          <w:rFonts w:ascii="Arial" w:hAnsi="Arial" w:cs="Arial"/>
          <w:i/>
          <w:iCs/>
          <w:lang w:val="en-US"/>
        </w:rPr>
        <w:t>E. coli</w:t>
      </w:r>
      <w:r w:rsidR="00D96EE6" w:rsidRPr="00430A5E">
        <w:rPr>
          <w:rFonts w:ascii="Arial" w:hAnsi="Arial" w:cs="Arial"/>
          <w:lang w:val="en-US"/>
        </w:rPr>
        <w:t xml:space="preserve"> </w:t>
      </w:r>
      <w:r w:rsidRPr="00430A5E">
        <w:rPr>
          <w:rFonts w:ascii="Arial" w:hAnsi="Arial" w:cs="Arial"/>
          <w:lang w:val="en-US"/>
        </w:rPr>
        <w:t xml:space="preserve">for dynamic </w:t>
      </w:r>
      <w:r w:rsidR="00D96EE6" w:rsidRPr="00430A5E">
        <w:rPr>
          <w:rFonts w:ascii="Arial" w:hAnsi="Arial" w:cs="Arial"/>
          <w:lang w:val="en-US"/>
        </w:rPr>
        <w:t xml:space="preserve">control </w:t>
      </w:r>
      <w:r w:rsidRPr="00430A5E">
        <w:rPr>
          <w:rFonts w:ascii="Arial" w:hAnsi="Arial" w:cs="Arial"/>
          <w:lang w:val="en-US"/>
        </w:rPr>
        <w:t xml:space="preserve">of the growth rate by using a light-switchable cyanobacterial two-component system as described by Milias-Argeitis </w:t>
      </w:r>
      <w:r w:rsidRPr="00430A5E">
        <w:rPr>
          <w:rFonts w:ascii="Arial" w:hAnsi="Arial" w:cs="Arial"/>
          <w:i/>
          <w:iCs/>
          <w:lang w:val="en-US"/>
        </w:rPr>
        <w:t>et al</w:t>
      </w:r>
      <w:r w:rsidRPr="00430A5E">
        <w:rPr>
          <w:rFonts w:ascii="Arial" w:hAnsi="Arial" w:cs="Arial"/>
          <w:lang w:val="en-US"/>
        </w:rPr>
        <w:t>..</w:t>
      </w:r>
      <w:r w:rsidR="00D96EE6" w:rsidRPr="00430A5E">
        <w:rPr>
          <w:rFonts w:ascii="Arial" w:hAnsi="Arial" w:cs="Arial"/>
          <w:lang w:val="en-US"/>
        </w:rPr>
        <w:fldChar w:fldCharType="begin" w:fldLock="1"/>
      </w:r>
      <w:r w:rsidR="00D96EE6" w:rsidRPr="00430A5E">
        <w:rPr>
          <w:rFonts w:ascii="Arial" w:hAnsi="Arial" w:cs="Arial"/>
          <w:lang w:val="en-US"/>
        </w:rPr>
        <w:instrText>ADDIN CSL_CITATION {"citationItems":[{"id":"ITEM-1","itemData":{"DOI":"10.1038/ncomms12546","ISSN":"20411723","PMID":"27562138","abstract":"Dynamic control of gene expression can have far-reaching implications for biotechnological applications and biological discovery. Thanks to the advantages of light, optogenetics has emerged as an ideal technology for this task. Current state-of-the-art methods for optical expression control fail to combine precision with repeatability and cannot withstand changing operating culture conditions. Here, we present a novel fully automatic experimental platform for the robust and precise long-term optogenetic regulation of protein production in liquid Escherichia coli cultures. Using a computer-controlled light-responsive two-component system, we accurately track prescribed dynamic green fluorescent protein expression profiles through the application of feedback control, and show that the system adapts to global perturbations such as nutrient and temperature changes. We demonstrate the efficacy and potential utility of our approach by placing a key metabolic enzyme under optogenetic control, thus enabling dynamic regulation of the culture growth rate with potential applications in bacterial physiology studies and biotechnology.","author":[{"dropping-particle":"","family":"Milias-Argeitis","given":"Andreas","non-dropping-particle":"","parse-names":false,"suffix":""},{"dropping-particle":"","family":"Rullan","given":"Marc","non-dropping-particle":"","parse-names":false,"suffix":""},{"dropping-particle":"","family":"Aoki","given":"Stephanie K.","non-dropping-particle":"","parse-names":false,"suffix":""},{"dropping-particle":"","family":"Buchmann","given":"Peter","non-dropping-particle":"","parse-names":false,"suffix":""},{"dropping-particle":"","family":"Khammash","given":"Mustafa","non-dropping-particle":"","parse-names":false,"suffix":""}],"container-title":"Nature Communications","id":"ITEM-1","issue":"May","issued":{"date-parts":[["2016"]]},"publisher":"Nature Publishing Group","title":"Automated optogenetic feedback control for precise and robust regulation of gene expression and cell growth","type":"article-journal","volume":"7"},"uris":["http://www.mendeley.com/documents/?uuid=616ac2dd-b202-4724-b294-475afff16d38"]}],"mendeley":{"formattedCitation":"&lt;sup&gt;33&lt;/sup&gt;","plainTextFormattedCitation":"33","previouslyFormattedCitation":"&lt;sup&gt;33&lt;/sup&gt;"},"properties":{"noteIndex":0},"schema":"https://github.com/citation-style-language/schema/raw/master/csl-citation.json"}</w:instrText>
      </w:r>
      <w:r w:rsidR="00D96EE6" w:rsidRPr="00430A5E">
        <w:rPr>
          <w:rFonts w:ascii="Arial" w:hAnsi="Arial" w:cs="Arial"/>
          <w:lang w:val="en-US"/>
        </w:rPr>
        <w:fldChar w:fldCharType="separate"/>
      </w:r>
      <w:r w:rsidR="00D96EE6" w:rsidRPr="00430A5E">
        <w:rPr>
          <w:rFonts w:ascii="Arial" w:hAnsi="Arial" w:cs="Arial"/>
          <w:noProof/>
          <w:vertAlign w:val="superscript"/>
          <w:lang w:val="en-US"/>
        </w:rPr>
        <w:t>33</w:t>
      </w:r>
      <w:r w:rsidR="00D96EE6" w:rsidRPr="00430A5E">
        <w:rPr>
          <w:rFonts w:ascii="Arial" w:hAnsi="Arial" w:cs="Arial"/>
          <w:lang w:val="en-US"/>
        </w:rPr>
        <w:fldChar w:fldCharType="end"/>
      </w:r>
      <w:r w:rsidRPr="00430A5E">
        <w:rPr>
          <w:rFonts w:ascii="Arial" w:hAnsi="Arial" w:cs="Arial"/>
          <w:lang w:val="en-US"/>
        </w:rPr>
        <w:t xml:space="preserve"> Other examples of light switchable cellular systems are described in the review of </w:t>
      </w:r>
      <w:r w:rsidR="00D96EE6" w:rsidRPr="00430A5E">
        <w:rPr>
          <w:rFonts w:ascii="Arial" w:hAnsi="Arial" w:cs="Arial"/>
          <w:lang w:val="en-US"/>
        </w:rPr>
        <w:t xml:space="preserve">Szymanski </w:t>
      </w:r>
      <w:r w:rsidRPr="00430A5E">
        <w:rPr>
          <w:rFonts w:ascii="Arial" w:hAnsi="Arial" w:cs="Arial"/>
          <w:lang w:val="en-US"/>
        </w:rPr>
        <w:t>et al.</w:t>
      </w:r>
      <w:r w:rsidR="000F1F5F" w:rsidRPr="00430A5E">
        <w:rPr>
          <w:rFonts w:ascii="Arial" w:hAnsi="Arial" w:cs="Arial"/>
          <w:lang w:val="en-US"/>
        </w:rPr>
        <w:t>.</w:t>
      </w:r>
      <w:r w:rsidR="00D96EE6" w:rsidRPr="00430A5E">
        <w:rPr>
          <w:rFonts w:ascii="Arial" w:hAnsi="Arial" w:cs="Arial"/>
          <w:lang w:val="en-US"/>
        </w:rPr>
        <w:fldChar w:fldCharType="begin" w:fldLock="1"/>
      </w:r>
      <w:r w:rsidR="005A4A59" w:rsidRPr="00430A5E">
        <w:rPr>
          <w:rFonts w:ascii="Arial" w:hAnsi="Arial" w:cs="Arial"/>
          <w:lang w:val="en-US"/>
        </w:rPr>
        <w:instrText>ADDIN CSL_CITATION {"citationItems":[{"id":"ITEM-1","itemData":{"DOI":"10.1021/cr300179f","ISSN":"00092665","PMID":"23614556","author":[{"dropping-particle":"","family":"Szymański","given":"Wiktor","non-dropping-particle":"","parse-names":false,"suffix":""},{"dropping-particle":"","family":"Beierle","given":"John M.","non-dropping-particle":"","parse-names":false,"suffix":""},{"dropping-particle":"","family":"Kistemaker","given":"Hans A.V.","non-dropping-particle":"","parse-names":false,"suffix":""},{"dropping-particle":"","family":"Velema","given":"Willem A.","non-dropping-particle":"","parse-names":false,"suffix":""},{"dropping-particle":"","family":"Feringa","given":"Ben L.","non-dropping-particle":"","parse-names":false,"suffix":""}],"container-title":"Chemical Reviews","id":"ITEM-1","issued":{"date-parts":[["2013"]]},"title":"Reversible photocontrol of biological systems by the incorporation of molecular photoswitches","type":"article"},"uris":["http://www.mendeley.com/documents/?uuid=dbe7a9b7-bbdf-4784-9836-5c6b15a65ffe"]}],"mendeley":{"formattedCitation":"&lt;sup&gt;31&lt;/sup&gt;","plainTextFormattedCitation":"31","previouslyFormattedCitation":"&lt;sup&gt;31&lt;/sup&gt;"},"properties":{"noteIndex":0},"schema":"https://github.com/citation-style-language/schema/raw/master/csl-citation.json"}</w:instrText>
      </w:r>
      <w:r w:rsidR="00D96EE6" w:rsidRPr="00430A5E">
        <w:rPr>
          <w:rFonts w:ascii="Arial" w:hAnsi="Arial" w:cs="Arial"/>
          <w:lang w:val="en-US"/>
        </w:rPr>
        <w:fldChar w:fldCharType="separate"/>
      </w:r>
      <w:r w:rsidR="00D96EE6" w:rsidRPr="00430A5E">
        <w:rPr>
          <w:rFonts w:ascii="Arial" w:hAnsi="Arial" w:cs="Arial"/>
          <w:noProof/>
          <w:vertAlign w:val="superscript"/>
          <w:lang w:val="en-US"/>
        </w:rPr>
        <w:t>31</w:t>
      </w:r>
      <w:r w:rsidR="00D96EE6" w:rsidRPr="00430A5E">
        <w:rPr>
          <w:rFonts w:ascii="Arial" w:hAnsi="Arial" w:cs="Arial"/>
          <w:lang w:val="en-US"/>
        </w:rPr>
        <w:fldChar w:fldCharType="end"/>
      </w:r>
      <w:r w:rsidR="000F1F5F" w:rsidRPr="00430A5E">
        <w:rPr>
          <w:rFonts w:ascii="Arial" w:hAnsi="Arial" w:cs="Arial"/>
          <w:lang w:val="en-US"/>
        </w:rPr>
        <w:t xml:space="preserve"> </w:t>
      </w:r>
      <w:r w:rsidR="00433008" w:rsidRPr="00430A5E">
        <w:rPr>
          <w:rFonts w:ascii="Arial" w:hAnsi="Arial" w:cs="Arial"/>
          <w:lang w:val="en-US"/>
        </w:rPr>
        <w:t>However, m</w:t>
      </w:r>
      <w:r w:rsidRPr="00430A5E">
        <w:rPr>
          <w:rFonts w:ascii="Arial" w:hAnsi="Arial" w:cs="Arial"/>
          <w:lang w:val="en-US"/>
        </w:rPr>
        <w:t>ost</w:t>
      </w:r>
      <w:r w:rsidR="00A85A4E" w:rsidRPr="00430A5E">
        <w:rPr>
          <w:rFonts w:ascii="Arial" w:hAnsi="Arial" w:cs="Arial"/>
          <w:lang w:val="en-US"/>
        </w:rPr>
        <w:t xml:space="preserve"> </w:t>
      </w:r>
      <w:r w:rsidR="006A111E" w:rsidRPr="00430A5E">
        <w:rPr>
          <w:rFonts w:ascii="Arial" w:hAnsi="Arial" w:cs="Arial"/>
          <w:lang w:val="en-US"/>
        </w:rPr>
        <w:t xml:space="preserve">of </w:t>
      </w:r>
      <w:r w:rsidR="00AD0235" w:rsidRPr="00430A5E">
        <w:rPr>
          <w:rFonts w:ascii="Arial" w:hAnsi="Arial" w:cs="Arial"/>
          <w:lang w:val="en-US"/>
        </w:rPr>
        <w:t xml:space="preserve">these </w:t>
      </w:r>
      <w:r w:rsidR="00A85A4E" w:rsidRPr="00430A5E">
        <w:rPr>
          <w:rFonts w:ascii="Arial" w:hAnsi="Arial" w:cs="Arial"/>
          <w:lang w:val="en-US"/>
        </w:rPr>
        <w:t xml:space="preserve">optogenetic </w:t>
      </w:r>
      <w:r w:rsidR="00AD0235" w:rsidRPr="00430A5E">
        <w:rPr>
          <w:rFonts w:ascii="Arial" w:hAnsi="Arial" w:cs="Arial"/>
          <w:lang w:val="en-US"/>
        </w:rPr>
        <w:t>tools have not</w:t>
      </w:r>
      <w:r w:rsidR="00A85A4E" w:rsidRPr="00430A5E">
        <w:rPr>
          <w:rFonts w:ascii="Arial" w:hAnsi="Arial" w:cs="Arial"/>
          <w:lang w:val="en-US"/>
        </w:rPr>
        <w:t xml:space="preserve"> yet</w:t>
      </w:r>
      <w:r w:rsidR="00AD0235" w:rsidRPr="00430A5E">
        <w:rPr>
          <w:rFonts w:ascii="Arial" w:hAnsi="Arial" w:cs="Arial"/>
          <w:lang w:val="en-US"/>
        </w:rPr>
        <w:t xml:space="preserve"> been implemented for the control of </w:t>
      </w:r>
      <w:r w:rsidR="00DB0255" w:rsidRPr="00430A5E">
        <w:rPr>
          <w:rFonts w:ascii="Arial" w:hAnsi="Arial" w:cs="Arial"/>
          <w:lang w:val="en-US"/>
        </w:rPr>
        <w:t xml:space="preserve">the </w:t>
      </w:r>
      <w:r w:rsidR="00AD0235" w:rsidRPr="00430A5E">
        <w:rPr>
          <w:rFonts w:ascii="Arial" w:hAnsi="Arial" w:cs="Arial"/>
          <w:lang w:val="en-US"/>
        </w:rPr>
        <w:t>co-culture</w:t>
      </w:r>
      <w:r w:rsidR="00AC3A03" w:rsidRPr="00430A5E">
        <w:rPr>
          <w:rFonts w:ascii="Arial" w:hAnsi="Arial" w:cs="Arial"/>
          <w:lang w:val="en-US"/>
        </w:rPr>
        <w:t xml:space="preserve"> behavior</w:t>
      </w:r>
      <w:r w:rsidR="00AD0235" w:rsidRPr="00430A5E">
        <w:rPr>
          <w:rFonts w:ascii="Arial" w:hAnsi="Arial" w:cs="Arial"/>
          <w:lang w:val="en-US"/>
        </w:rPr>
        <w:t xml:space="preserve">. </w:t>
      </w:r>
    </w:p>
    <w:bookmarkEnd w:id="2"/>
    <w:p w14:paraId="717219C5" w14:textId="33D85970" w:rsidR="00202ACF" w:rsidRPr="00430A5E" w:rsidRDefault="00202ACF" w:rsidP="007C437C">
      <w:pPr>
        <w:spacing w:after="0" w:line="360" w:lineRule="auto"/>
        <w:jc w:val="both"/>
        <w:rPr>
          <w:rFonts w:ascii="Arial" w:hAnsi="Arial" w:cs="Arial"/>
          <w:lang w:val="en-US"/>
        </w:rPr>
      </w:pPr>
      <w:r w:rsidRPr="00430A5E">
        <w:rPr>
          <w:rFonts w:ascii="Arial" w:hAnsi="Arial" w:cs="Arial"/>
          <w:lang w:val="en-US"/>
        </w:rPr>
        <w:t>Here</w:t>
      </w:r>
      <w:r w:rsidR="00A41C60" w:rsidRPr="00430A5E">
        <w:rPr>
          <w:rFonts w:ascii="Arial" w:hAnsi="Arial" w:cs="Arial"/>
          <w:lang w:val="en-US"/>
        </w:rPr>
        <w:t>,</w:t>
      </w:r>
      <w:r w:rsidRPr="00430A5E">
        <w:rPr>
          <w:rFonts w:ascii="Arial" w:hAnsi="Arial" w:cs="Arial"/>
          <w:lang w:val="en-US"/>
        </w:rPr>
        <w:t xml:space="preserve"> we </w:t>
      </w:r>
      <w:r w:rsidR="009073E2" w:rsidRPr="00430A5E">
        <w:rPr>
          <w:rFonts w:ascii="Arial" w:hAnsi="Arial" w:cs="Arial"/>
          <w:lang w:val="en-US"/>
        </w:rPr>
        <w:t xml:space="preserve">demonstrate </w:t>
      </w:r>
      <w:r w:rsidR="004D6597" w:rsidRPr="00430A5E">
        <w:rPr>
          <w:rFonts w:ascii="Arial" w:hAnsi="Arial" w:cs="Arial"/>
          <w:lang w:val="en-US"/>
        </w:rPr>
        <w:t>the control of a</w:t>
      </w:r>
      <w:r w:rsidR="009073E2" w:rsidRPr="00430A5E">
        <w:rPr>
          <w:rFonts w:ascii="Arial" w:hAnsi="Arial" w:cs="Arial"/>
          <w:lang w:val="en-US"/>
        </w:rPr>
        <w:t xml:space="preserve"> synthetic co-culture </w:t>
      </w:r>
      <w:r w:rsidR="00B35467" w:rsidRPr="00430A5E">
        <w:rPr>
          <w:rFonts w:ascii="Arial" w:hAnsi="Arial" w:cs="Arial"/>
          <w:lang w:val="en-US"/>
        </w:rPr>
        <w:t xml:space="preserve">at the </w:t>
      </w:r>
      <w:r w:rsidR="000D67AE" w:rsidRPr="00430A5E">
        <w:rPr>
          <w:rFonts w:ascii="Arial" w:hAnsi="Arial" w:cs="Arial"/>
          <w:lang w:val="en-US"/>
        </w:rPr>
        <w:t>microcolony</w:t>
      </w:r>
      <w:r w:rsidR="00B35467" w:rsidRPr="00430A5E">
        <w:rPr>
          <w:rFonts w:ascii="Arial" w:hAnsi="Arial" w:cs="Arial"/>
          <w:lang w:val="en-US"/>
        </w:rPr>
        <w:t xml:space="preserve"> level </w:t>
      </w:r>
      <w:r w:rsidR="009073E2" w:rsidRPr="00430A5E">
        <w:rPr>
          <w:rFonts w:ascii="Arial" w:hAnsi="Arial" w:cs="Arial"/>
          <w:lang w:val="en-US"/>
        </w:rPr>
        <w:t xml:space="preserve">based on engineered </w:t>
      </w:r>
      <w:r w:rsidR="009073E2" w:rsidRPr="00430A5E">
        <w:rPr>
          <w:rFonts w:ascii="Arial" w:hAnsi="Arial" w:cs="Arial"/>
          <w:i/>
          <w:iCs/>
          <w:lang w:val="en-US"/>
        </w:rPr>
        <w:t>C. glutamicum</w:t>
      </w:r>
      <w:r w:rsidR="009073E2" w:rsidRPr="00430A5E">
        <w:rPr>
          <w:rFonts w:ascii="Arial" w:hAnsi="Arial" w:cs="Arial"/>
          <w:lang w:val="en-US"/>
        </w:rPr>
        <w:t xml:space="preserve"> strains</w:t>
      </w:r>
      <w:r w:rsidRPr="00430A5E">
        <w:rPr>
          <w:rFonts w:ascii="Arial" w:hAnsi="Arial" w:cs="Arial"/>
          <w:lang w:val="en-US"/>
        </w:rPr>
        <w:t>.</w:t>
      </w:r>
      <w:r w:rsidR="004F71C9" w:rsidRPr="00430A5E">
        <w:rPr>
          <w:rFonts w:ascii="Arial" w:hAnsi="Arial" w:cs="Arial"/>
          <w:lang w:val="en-US"/>
        </w:rPr>
        <w:t xml:space="preserve"> In</w:t>
      </w:r>
      <w:r w:rsidR="00433008" w:rsidRPr="00430A5E">
        <w:rPr>
          <w:rFonts w:ascii="Arial" w:hAnsi="Arial" w:cs="Arial"/>
          <w:lang w:val="en-US"/>
        </w:rPr>
        <w:t xml:space="preserve"> this co-culture</w:t>
      </w:r>
      <w:r w:rsidR="009073E2" w:rsidRPr="00430A5E">
        <w:rPr>
          <w:rFonts w:ascii="Arial" w:hAnsi="Arial" w:cs="Arial"/>
          <w:lang w:val="en-US"/>
        </w:rPr>
        <w:t xml:space="preserve">, </w:t>
      </w:r>
      <w:r w:rsidR="008B7722" w:rsidRPr="00430A5E">
        <w:rPr>
          <w:rFonts w:ascii="Arial" w:hAnsi="Arial" w:cs="Arial"/>
          <w:lang w:val="en-US"/>
        </w:rPr>
        <w:t xml:space="preserve">a </w:t>
      </w:r>
      <w:r w:rsidR="009073E2" w:rsidRPr="00430A5E">
        <w:rPr>
          <w:rFonts w:ascii="Arial" w:hAnsi="Arial" w:cs="Arial"/>
          <w:smallCaps/>
          <w:lang w:val="en-US"/>
        </w:rPr>
        <w:t>L</w:t>
      </w:r>
      <w:r w:rsidR="004A1C51" w:rsidRPr="00430A5E">
        <w:rPr>
          <w:rFonts w:ascii="Arial" w:hAnsi="Arial" w:cs="Arial"/>
          <w:lang w:val="en-US"/>
        </w:rPr>
        <w:t>-lysine production</w:t>
      </w:r>
      <w:r w:rsidR="009073E2" w:rsidRPr="00430A5E">
        <w:rPr>
          <w:rFonts w:ascii="Arial" w:hAnsi="Arial" w:cs="Arial"/>
          <w:lang w:val="en-US"/>
        </w:rPr>
        <w:t xml:space="preserve"> strain is directly controlled, which in turn influences the growth of</w:t>
      </w:r>
      <w:r w:rsidR="004C37AC" w:rsidRPr="00430A5E">
        <w:rPr>
          <w:rFonts w:ascii="Arial" w:hAnsi="Arial" w:cs="Arial"/>
          <w:lang w:val="en-US"/>
        </w:rPr>
        <w:t xml:space="preserve"> the interacting partner, </w:t>
      </w:r>
      <w:r w:rsidR="008B7722" w:rsidRPr="00430A5E">
        <w:rPr>
          <w:rFonts w:ascii="Arial" w:hAnsi="Arial" w:cs="Arial"/>
          <w:lang w:val="en-US"/>
        </w:rPr>
        <w:t xml:space="preserve">a </w:t>
      </w:r>
      <w:r w:rsidR="004C37AC" w:rsidRPr="00430A5E">
        <w:rPr>
          <w:rFonts w:ascii="Arial" w:hAnsi="Arial" w:cs="Arial"/>
          <w:smallCaps/>
          <w:lang w:val="en-US"/>
        </w:rPr>
        <w:t>L</w:t>
      </w:r>
      <w:r w:rsidR="004C37AC" w:rsidRPr="00430A5E">
        <w:rPr>
          <w:rFonts w:ascii="Arial" w:hAnsi="Arial" w:cs="Arial"/>
          <w:lang w:val="en-US"/>
        </w:rPr>
        <w:t xml:space="preserve">-lysine </w:t>
      </w:r>
      <w:r w:rsidR="004C37AC" w:rsidRPr="00430A5E">
        <w:rPr>
          <w:rFonts w:ascii="Arial" w:hAnsi="Arial" w:cs="Arial"/>
          <w:lang w:val="en-US"/>
        </w:rPr>
        <w:lastRenderedPageBreak/>
        <w:t>auxotrophic strain</w:t>
      </w:r>
      <w:r w:rsidR="00C707E0" w:rsidRPr="00430A5E">
        <w:rPr>
          <w:rFonts w:ascii="Arial" w:hAnsi="Arial" w:cs="Arial"/>
          <w:lang w:val="en-US"/>
        </w:rPr>
        <w:t xml:space="preserve">. </w:t>
      </w:r>
      <w:r w:rsidRPr="00430A5E">
        <w:rPr>
          <w:rFonts w:ascii="Arial" w:hAnsi="Arial" w:cs="Arial"/>
          <w:lang w:val="en-US"/>
        </w:rPr>
        <w:t xml:space="preserve">We </w:t>
      </w:r>
      <w:r w:rsidR="009F0C8D" w:rsidRPr="00430A5E">
        <w:rPr>
          <w:rFonts w:ascii="Arial" w:hAnsi="Arial" w:cs="Arial"/>
          <w:lang w:val="en-US"/>
        </w:rPr>
        <w:t xml:space="preserve">applied two </w:t>
      </w:r>
      <w:r w:rsidR="00745EDE" w:rsidRPr="00430A5E">
        <w:rPr>
          <w:rFonts w:ascii="Arial" w:hAnsi="Arial" w:cs="Arial"/>
          <w:lang w:val="en-US"/>
        </w:rPr>
        <w:t xml:space="preserve">gradually engineered co-culture </w:t>
      </w:r>
      <w:r w:rsidR="00465F85" w:rsidRPr="00430A5E">
        <w:rPr>
          <w:rFonts w:ascii="Arial" w:hAnsi="Arial" w:cs="Arial"/>
          <w:lang w:val="en-US"/>
        </w:rPr>
        <w:t xml:space="preserve">control </w:t>
      </w:r>
      <w:r w:rsidR="00E813DF" w:rsidRPr="00430A5E">
        <w:rPr>
          <w:rFonts w:ascii="Arial" w:hAnsi="Arial" w:cs="Arial"/>
          <w:lang w:val="en-US"/>
        </w:rPr>
        <w:t>strategies</w:t>
      </w:r>
      <w:r w:rsidR="004B0C32" w:rsidRPr="00430A5E">
        <w:rPr>
          <w:rFonts w:ascii="Arial" w:hAnsi="Arial" w:cs="Arial"/>
          <w:lang w:val="en-US"/>
        </w:rPr>
        <w:t>. First,</w:t>
      </w:r>
      <w:r w:rsidR="009F0C8D" w:rsidRPr="00430A5E">
        <w:rPr>
          <w:rFonts w:ascii="Arial" w:hAnsi="Arial" w:cs="Arial"/>
          <w:lang w:val="en-US"/>
        </w:rPr>
        <w:t xml:space="preserve"> an</w:t>
      </w:r>
      <w:r w:rsidR="00A64A1D" w:rsidRPr="00430A5E">
        <w:rPr>
          <w:rFonts w:ascii="Arial" w:hAnsi="Arial" w:cs="Arial"/>
          <w:lang w:val="en-US"/>
        </w:rPr>
        <w:t xml:space="preserve"> invasive</w:t>
      </w:r>
      <w:r w:rsidR="004B0C32" w:rsidRPr="00430A5E">
        <w:rPr>
          <w:rFonts w:ascii="Arial" w:hAnsi="Arial" w:cs="Arial"/>
          <w:lang w:val="en-US"/>
        </w:rPr>
        <w:t>,</w:t>
      </w:r>
      <w:r w:rsidR="009F0C8D" w:rsidRPr="00430A5E">
        <w:rPr>
          <w:rFonts w:ascii="Arial" w:hAnsi="Arial" w:cs="Arial"/>
          <w:lang w:val="en-US"/>
        </w:rPr>
        <w:t xml:space="preserve"> IPTG-inducible </w:t>
      </w:r>
      <w:r w:rsidR="005B5379" w:rsidRPr="00430A5E">
        <w:rPr>
          <w:rFonts w:ascii="Arial" w:hAnsi="Arial" w:cs="Arial"/>
          <w:smallCaps/>
          <w:lang w:val="en-US"/>
        </w:rPr>
        <w:t>L</w:t>
      </w:r>
      <w:r w:rsidR="005B5379" w:rsidRPr="00430A5E">
        <w:rPr>
          <w:rFonts w:ascii="Arial" w:hAnsi="Arial" w:cs="Arial"/>
          <w:lang w:val="en-US"/>
        </w:rPr>
        <w:t>-</w:t>
      </w:r>
      <w:r w:rsidR="009F0C8D" w:rsidRPr="00430A5E">
        <w:rPr>
          <w:rFonts w:ascii="Arial" w:hAnsi="Arial" w:cs="Arial"/>
          <w:lang w:val="en-US"/>
        </w:rPr>
        <w:t>lysine expression system and</w:t>
      </w:r>
      <w:r w:rsidR="00A64A1D" w:rsidRPr="00430A5E">
        <w:rPr>
          <w:rFonts w:ascii="Arial" w:hAnsi="Arial" w:cs="Arial"/>
          <w:lang w:val="en-US"/>
        </w:rPr>
        <w:t xml:space="preserve"> </w:t>
      </w:r>
      <w:r w:rsidR="004B0C32" w:rsidRPr="00430A5E">
        <w:rPr>
          <w:rFonts w:ascii="Arial" w:hAnsi="Arial" w:cs="Arial"/>
          <w:lang w:val="en-US"/>
        </w:rPr>
        <w:t>secondly, a</w:t>
      </w:r>
      <w:r w:rsidR="009F0C8D" w:rsidRPr="00430A5E">
        <w:rPr>
          <w:rFonts w:ascii="Arial" w:hAnsi="Arial" w:cs="Arial"/>
          <w:lang w:val="en-US"/>
        </w:rPr>
        <w:t xml:space="preserve"> light control</w:t>
      </w:r>
      <w:r w:rsidR="004B0EF5" w:rsidRPr="00430A5E">
        <w:rPr>
          <w:rFonts w:ascii="Arial" w:hAnsi="Arial" w:cs="Arial"/>
          <w:lang w:val="en-US"/>
        </w:rPr>
        <w:t>-</w:t>
      </w:r>
      <w:r w:rsidR="004B0C32" w:rsidRPr="00430A5E">
        <w:rPr>
          <w:rFonts w:ascii="Arial" w:hAnsi="Arial" w:cs="Arial"/>
          <w:lang w:val="en-US"/>
        </w:rPr>
        <w:t xml:space="preserve">based approach by supplementing </w:t>
      </w:r>
      <w:r w:rsidR="009F0C8D" w:rsidRPr="00430A5E">
        <w:rPr>
          <w:rFonts w:ascii="Arial" w:hAnsi="Arial" w:cs="Arial"/>
          <w:lang w:val="en-US"/>
        </w:rPr>
        <w:t>photocaged IPTG</w:t>
      </w:r>
      <w:r w:rsidR="0069628D" w:rsidRPr="00430A5E">
        <w:rPr>
          <w:rFonts w:ascii="Arial" w:hAnsi="Arial" w:cs="Arial"/>
          <w:lang w:val="en-US"/>
        </w:rPr>
        <w:t xml:space="preserve"> (cIPTG)</w:t>
      </w:r>
      <w:r w:rsidR="009F0C8D" w:rsidRPr="00430A5E">
        <w:rPr>
          <w:rFonts w:ascii="Arial" w:hAnsi="Arial" w:cs="Arial"/>
          <w:lang w:val="en-US"/>
        </w:rPr>
        <w:t xml:space="preserve"> </w:t>
      </w:r>
      <w:r w:rsidR="004B0C32" w:rsidRPr="00430A5E">
        <w:rPr>
          <w:rFonts w:ascii="Arial" w:hAnsi="Arial" w:cs="Arial"/>
          <w:lang w:val="en-US"/>
        </w:rPr>
        <w:t>to the culture</w:t>
      </w:r>
      <w:r w:rsidR="00D64EFB" w:rsidRPr="00430A5E">
        <w:rPr>
          <w:rFonts w:ascii="Arial" w:hAnsi="Arial" w:cs="Arial"/>
          <w:lang w:val="en-US"/>
        </w:rPr>
        <w:t xml:space="preserve"> medium, whereby the </w:t>
      </w:r>
      <w:r w:rsidR="005B5379" w:rsidRPr="00430A5E">
        <w:rPr>
          <w:rFonts w:ascii="Arial" w:hAnsi="Arial" w:cs="Arial"/>
          <w:smallCaps/>
          <w:lang w:val="en-US"/>
        </w:rPr>
        <w:t>L</w:t>
      </w:r>
      <w:r w:rsidR="005B5379" w:rsidRPr="00430A5E">
        <w:rPr>
          <w:rFonts w:ascii="Arial" w:hAnsi="Arial" w:cs="Arial"/>
          <w:lang w:val="en-US"/>
        </w:rPr>
        <w:t>-</w:t>
      </w:r>
      <w:r w:rsidR="009F0C8D" w:rsidRPr="00430A5E">
        <w:rPr>
          <w:rFonts w:ascii="Arial" w:hAnsi="Arial" w:cs="Arial"/>
          <w:lang w:val="en-US"/>
        </w:rPr>
        <w:t>lysine production</w:t>
      </w:r>
      <w:r w:rsidR="00D64EFB" w:rsidRPr="00430A5E">
        <w:rPr>
          <w:rFonts w:ascii="Arial" w:hAnsi="Arial" w:cs="Arial"/>
          <w:lang w:val="en-US"/>
        </w:rPr>
        <w:t xml:space="preserve"> is induced after releasing the active IPTG molecules</w:t>
      </w:r>
      <w:r w:rsidR="009F0C8D" w:rsidRPr="00430A5E">
        <w:rPr>
          <w:rFonts w:ascii="Arial" w:hAnsi="Arial" w:cs="Arial"/>
          <w:lang w:val="en-US"/>
        </w:rPr>
        <w:t xml:space="preserve"> upon UV</w:t>
      </w:r>
      <w:r w:rsidR="00C707E0" w:rsidRPr="00430A5E">
        <w:rPr>
          <w:rFonts w:ascii="Arial" w:hAnsi="Arial" w:cs="Arial"/>
          <w:lang w:val="en-US"/>
        </w:rPr>
        <w:t>-</w:t>
      </w:r>
      <w:r w:rsidR="009F0C8D" w:rsidRPr="00430A5E">
        <w:rPr>
          <w:rFonts w:ascii="Arial" w:hAnsi="Arial" w:cs="Arial"/>
          <w:lang w:val="en-US"/>
        </w:rPr>
        <w:t>A light exposure</w:t>
      </w:r>
      <w:r w:rsidR="00671C1A" w:rsidRPr="00430A5E">
        <w:rPr>
          <w:rFonts w:ascii="Arial" w:hAnsi="Arial" w:cs="Arial"/>
          <w:lang w:val="en-US"/>
        </w:rPr>
        <w:t>.</w:t>
      </w:r>
      <w:r w:rsidR="00C707E0" w:rsidRPr="00430A5E">
        <w:rPr>
          <w:rFonts w:ascii="Arial" w:hAnsi="Arial" w:cs="Arial"/>
          <w:lang w:val="en-US"/>
        </w:rPr>
        <w:t xml:space="preserve"> </w:t>
      </w:r>
      <w:r w:rsidR="00D64EFB" w:rsidRPr="00430A5E">
        <w:rPr>
          <w:rFonts w:ascii="Arial" w:hAnsi="Arial" w:cs="Arial"/>
          <w:lang w:val="en-US"/>
        </w:rPr>
        <w:t xml:space="preserve">Our </w:t>
      </w:r>
      <w:r w:rsidR="000D67AE" w:rsidRPr="00430A5E">
        <w:rPr>
          <w:rFonts w:ascii="Arial" w:hAnsi="Arial" w:cs="Arial"/>
          <w:lang w:val="en-US"/>
        </w:rPr>
        <w:t>microcolony</w:t>
      </w:r>
      <w:r w:rsidR="00D64EFB" w:rsidRPr="00430A5E">
        <w:rPr>
          <w:rFonts w:ascii="Arial" w:hAnsi="Arial" w:cs="Arial"/>
          <w:lang w:val="en-US"/>
        </w:rPr>
        <w:t xml:space="preserve"> cultivations and </w:t>
      </w:r>
      <w:r w:rsidR="008B7722" w:rsidRPr="00430A5E">
        <w:rPr>
          <w:rFonts w:ascii="Arial" w:hAnsi="Arial" w:cs="Arial"/>
          <w:lang w:val="en-US"/>
        </w:rPr>
        <w:t xml:space="preserve">analyses </w:t>
      </w:r>
      <w:r w:rsidR="00D64EFB" w:rsidRPr="00430A5E">
        <w:rPr>
          <w:rFonts w:ascii="Arial" w:hAnsi="Arial" w:cs="Arial"/>
          <w:lang w:val="en-US"/>
        </w:rPr>
        <w:t>were performed utilizing our</w:t>
      </w:r>
      <w:r w:rsidR="00C707E0" w:rsidRPr="00430A5E">
        <w:rPr>
          <w:rFonts w:ascii="Arial" w:hAnsi="Arial" w:cs="Arial"/>
          <w:lang w:val="en-US"/>
        </w:rPr>
        <w:t xml:space="preserve"> recently developed microfluidic co-cultivation </w:t>
      </w:r>
      <w:r w:rsidR="00D64EFB" w:rsidRPr="00430A5E">
        <w:rPr>
          <w:rFonts w:ascii="Arial" w:hAnsi="Arial" w:cs="Arial"/>
          <w:lang w:val="en-US"/>
        </w:rPr>
        <w:t>platform enabling environmental control as well as defined light exposure to monolayer cell colonies</w:t>
      </w:r>
      <w:r w:rsidR="00B4002D" w:rsidRPr="00430A5E">
        <w:rPr>
          <w:rFonts w:ascii="Arial" w:hAnsi="Arial" w:cs="Arial"/>
          <w:lang w:val="en-US"/>
        </w:rPr>
        <w:t>.</w:t>
      </w:r>
      <w:r w:rsidR="00C707E0" w:rsidRPr="00430A5E">
        <w:rPr>
          <w:rFonts w:ascii="Arial" w:hAnsi="Arial" w:cs="Arial"/>
          <w:lang w:val="en-US"/>
        </w:rPr>
        <w:fldChar w:fldCharType="begin" w:fldLock="1"/>
      </w:r>
      <w:r w:rsidR="003D068F" w:rsidRPr="00430A5E">
        <w:rPr>
          <w:rFonts w:ascii="Arial" w:hAnsi="Arial" w:cs="Arial"/>
          <w:lang w:val="en-US"/>
        </w:rPr>
        <w:instrText>ADDIN CSL_CITATION {"citationItems":[{"id":"ITEM-1","itemData":{"DOI":"10.1039/C8LC00977E","ISSN":"1473-0197","abstract":"A microfluidic device for the co-cultivation of microbial cells.","author":[{"dropping-particle":"","family":"Burmeister","given":"Alina","non-dropping-particle":"","parse-names":false,"suffix":""},{"dropping-particle":"","family":"Hilgers","given":"Fabienne","non-dropping-particle":"","parse-names":false,"suffix":""},{"dropping-particle":"","family":"Langner","given":"Annika","non-dropping-particle":"","parse-names":false,"suffix":""},{"dropping-particle":"","family":"Westerwalbesloh","given":"Christoph","non-dropping-particle":"","parse-names":false,"suffix":""},{"dropping-particle":"","family":"Kerkhoff","given":"Yannic","non-dropping-particle":"","parse-names":false,"suffix":""},{"dropping-particle":"","family":"Tenhaef","given":"Niklas","non-dropping-particle":"","parse-names":false,"suffix":""},{"dropping-particle":"","family":"Drepper","given":"Thomas","non-dropping-particle":"","parse-names":false,"suffix":""},{"dropping-particle":"","family":"Kohlheyer","given":"Dietrich","non-dropping-particle":"","parse-names":false,"suffix":""},{"dropping-particle":"","family":"Lieres","given":"Eric","non-dropping-particle":"von","parse-names":false,"suffix":""},{"dropping-particle":"","family":"Noack","given":"Stephan","non-dropping-particle":"","parse-names":false,"suffix":""},{"dropping-particle":"","family":"Grünberger","given":"Alexander","non-dropping-particle":"","parse-names":false,"suffix":""}],"container-title":"Lab on a Chip","id":"ITEM-1","issue":"1","issued":{"date-parts":[["2019"]]},"page":"98-110","publisher":"Royal Society of Chemistry","title":"A microfluidic co-cultivation platform to investigate microbial interactions at defined microenvironments","type":"article-journal","volume":"19"},"uris":["http://www.mendeley.com/documents/?uuid=f09cf1a7-ab41-4506-80bd-52fc2414863c"]}],"mendeley":{"formattedCitation":"&lt;sup&gt;17&lt;/sup&gt;","plainTextFormattedCitation":"17","previouslyFormattedCitation":"&lt;sup&gt;17&lt;/sup&gt;"},"properties":{"noteIndex":0},"schema":"https://github.com/citation-style-language/schema/raw/master/csl-citation.json"}</w:instrText>
      </w:r>
      <w:r w:rsidR="00C707E0" w:rsidRPr="00430A5E">
        <w:rPr>
          <w:rFonts w:ascii="Arial" w:hAnsi="Arial" w:cs="Arial"/>
          <w:lang w:val="en-US"/>
        </w:rPr>
        <w:fldChar w:fldCharType="separate"/>
      </w:r>
      <w:r w:rsidR="00930F35" w:rsidRPr="00430A5E">
        <w:rPr>
          <w:rFonts w:ascii="Arial" w:hAnsi="Arial" w:cs="Arial"/>
          <w:noProof/>
          <w:vertAlign w:val="superscript"/>
          <w:lang w:val="en-US"/>
        </w:rPr>
        <w:t>17</w:t>
      </w:r>
      <w:r w:rsidR="00C707E0" w:rsidRPr="00430A5E">
        <w:rPr>
          <w:rFonts w:ascii="Arial" w:hAnsi="Arial" w:cs="Arial"/>
          <w:lang w:val="en-US"/>
        </w:rPr>
        <w:fldChar w:fldCharType="end"/>
      </w:r>
      <w:r w:rsidR="00C707E0" w:rsidRPr="00430A5E">
        <w:rPr>
          <w:rFonts w:ascii="Arial" w:hAnsi="Arial" w:cs="Arial"/>
          <w:lang w:val="en-US"/>
        </w:rPr>
        <w:t xml:space="preserve"> </w:t>
      </w:r>
    </w:p>
    <w:bookmarkEnd w:id="1"/>
    <w:p w14:paraId="3EBBF06C" w14:textId="4B033A7F" w:rsidR="0076229E" w:rsidRPr="00430A5E" w:rsidRDefault="0076229E" w:rsidP="007C437C">
      <w:pPr>
        <w:spacing w:after="0" w:line="360" w:lineRule="auto"/>
        <w:jc w:val="both"/>
        <w:rPr>
          <w:rFonts w:ascii="Arial" w:hAnsi="Arial" w:cs="Arial"/>
          <w:lang w:val="en-US"/>
        </w:rPr>
      </w:pPr>
    </w:p>
    <w:p w14:paraId="55E7FD1E" w14:textId="77777777" w:rsidR="0076229E" w:rsidRPr="00430A5E" w:rsidRDefault="0076229E" w:rsidP="007C437C">
      <w:pPr>
        <w:spacing w:after="0" w:line="360" w:lineRule="auto"/>
        <w:jc w:val="both"/>
        <w:rPr>
          <w:rFonts w:ascii="Arial" w:hAnsi="Arial" w:cs="Arial"/>
          <w:lang w:val="en-US"/>
        </w:rPr>
      </w:pPr>
    </w:p>
    <w:p w14:paraId="42A5F2A7" w14:textId="5E2FF4EF" w:rsidR="009350D2" w:rsidRPr="00430A5E" w:rsidRDefault="00C83A21" w:rsidP="004A0988">
      <w:pPr>
        <w:pStyle w:val="Beschriftung"/>
        <w:keepNext/>
        <w:spacing w:line="360" w:lineRule="auto"/>
        <w:rPr>
          <w:rFonts w:ascii="Arial" w:hAnsi="Arial" w:cs="Arial"/>
          <w:color w:val="auto"/>
          <w:lang w:val="en-US"/>
        </w:rPr>
      </w:pPr>
      <w:r w:rsidRPr="00430A5E">
        <w:rPr>
          <w:rFonts w:ascii="Arial" w:hAnsi="Arial" w:cs="Arial"/>
          <w:b/>
          <w:bCs/>
          <w:color w:val="auto"/>
          <w:lang w:val="en-US"/>
        </w:rPr>
        <w:t xml:space="preserve">Table </w:t>
      </w:r>
      <w:r w:rsidRPr="00430A5E">
        <w:rPr>
          <w:rFonts w:ascii="Arial" w:hAnsi="Arial" w:cs="Arial"/>
          <w:b/>
          <w:bCs/>
          <w:color w:val="auto"/>
          <w:lang w:val="en-US"/>
        </w:rPr>
        <w:fldChar w:fldCharType="begin"/>
      </w:r>
      <w:r w:rsidRPr="00430A5E">
        <w:rPr>
          <w:rFonts w:ascii="Arial" w:hAnsi="Arial" w:cs="Arial"/>
          <w:b/>
          <w:bCs/>
          <w:color w:val="auto"/>
          <w:lang w:val="en-US"/>
        </w:rPr>
        <w:instrText xml:space="preserve"> SEQ Table \* ARABIC </w:instrText>
      </w:r>
      <w:r w:rsidRPr="00430A5E">
        <w:rPr>
          <w:rFonts w:ascii="Arial" w:hAnsi="Arial" w:cs="Arial"/>
          <w:b/>
          <w:bCs/>
          <w:color w:val="auto"/>
          <w:lang w:val="en-US"/>
        </w:rPr>
        <w:fldChar w:fldCharType="separate"/>
      </w:r>
      <w:r w:rsidR="006855F1" w:rsidRPr="00430A5E">
        <w:rPr>
          <w:rFonts w:ascii="Arial" w:hAnsi="Arial" w:cs="Arial"/>
          <w:b/>
          <w:bCs/>
          <w:noProof/>
          <w:color w:val="auto"/>
          <w:lang w:val="en-US"/>
        </w:rPr>
        <w:t>1</w:t>
      </w:r>
      <w:r w:rsidRPr="00430A5E">
        <w:rPr>
          <w:rFonts w:ascii="Arial" w:hAnsi="Arial" w:cs="Arial"/>
          <w:b/>
          <w:bCs/>
          <w:color w:val="auto"/>
          <w:lang w:val="en-US"/>
        </w:rPr>
        <w:fldChar w:fldCharType="end"/>
      </w:r>
      <w:r w:rsidRPr="00430A5E">
        <w:rPr>
          <w:rFonts w:ascii="Arial" w:hAnsi="Arial" w:cs="Arial"/>
          <w:color w:val="auto"/>
          <w:lang w:val="en-US"/>
        </w:rPr>
        <w:t xml:space="preserve"> </w:t>
      </w:r>
      <w:r w:rsidR="00EC1D0B" w:rsidRPr="00430A5E">
        <w:rPr>
          <w:rFonts w:ascii="Arial" w:hAnsi="Arial" w:cs="Arial"/>
          <w:color w:val="auto"/>
          <w:lang w:val="en-US"/>
        </w:rPr>
        <w:t>Recently employed</w:t>
      </w:r>
      <w:r w:rsidRPr="00430A5E">
        <w:rPr>
          <w:rFonts w:ascii="Arial" w:hAnsi="Arial" w:cs="Arial"/>
          <w:color w:val="auto"/>
          <w:lang w:val="en-US"/>
        </w:rPr>
        <w:t xml:space="preserve"> tools for the control of co-cultures.</w:t>
      </w:r>
    </w:p>
    <w:p w14:paraId="20B194E7" w14:textId="548B5FDC" w:rsidR="006C4E5F" w:rsidRPr="00430A5E" w:rsidRDefault="00EC1D0B" w:rsidP="007C437C">
      <w:pPr>
        <w:spacing w:line="360" w:lineRule="auto"/>
        <w:rPr>
          <w:rFonts w:ascii="Arial" w:eastAsia="Times New Roman" w:hAnsi="Arial" w:cs="Arial"/>
          <w:b/>
          <w:sz w:val="32"/>
          <w:szCs w:val="32"/>
          <w:lang w:val="en-US" w:eastAsia="de-DE"/>
        </w:rPr>
      </w:pPr>
      <w:r w:rsidRPr="00430A5E">
        <w:rPr>
          <w:rFonts w:ascii="Arial" w:eastAsia="Times New Roman" w:hAnsi="Arial" w:cs="Arial"/>
          <w:b/>
          <w:noProof/>
          <w:sz w:val="32"/>
          <w:szCs w:val="32"/>
          <w:lang w:eastAsia="de-DE"/>
        </w:rPr>
        <w:drawing>
          <wp:inline distT="0" distB="0" distL="0" distR="0" wp14:anchorId="01E94F5F" wp14:editId="639B4241">
            <wp:extent cx="5086797" cy="5255754"/>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a:extLst>
                        <a:ext uri="{28A0092B-C50C-407E-A947-70E740481C1C}">
                          <a14:useLocalDpi xmlns:a14="http://schemas.microsoft.com/office/drawing/2010/main" val="0"/>
                        </a:ext>
                      </a:extLst>
                    </a:blip>
                    <a:stretch>
                      <a:fillRect/>
                    </a:stretch>
                  </pic:blipFill>
                  <pic:spPr>
                    <a:xfrm>
                      <a:off x="0" y="0"/>
                      <a:ext cx="5086797" cy="5255754"/>
                    </a:xfrm>
                    <a:prstGeom prst="rect">
                      <a:avLst/>
                    </a:prstGeom>
                  </pic:spPr>
                </pic:pic>
              </a:graphicData>
            </a:graphic>
          </wp:inline>
        </w:drawing>
      </w:r>
      <w:r w:rsidR="006C4E5F" w:rsidRPr="00430A5E">
        <w:rPr>
          <w:rFonts w:ascii="Arial" w:eastAsia="Times New Roman" w:hAnsi="Arial" w:cs="Arial"/>
          <w:b/>
          <w:sz w:val="32"/>
          <w:szCs w:val="32"/>
          <w:lang w:val="en-US" w:eastAsia="de-DE"/>
        </w:rPr>
        <w:br w:type="page"/>
      </w:r>
    </w:p>
    <w:p w14:paraId="7F6C55B2" w14:textId="62144F4D" w:rsidR="00650F8A" w:rsidRPr="00430A5E" w:rsidRDefault="004A32B1" w:rsidP="00135511">
      <w:pPr>
        <w:rPr>
          <w:rFonts w:ascii="Arial" w:eastAsia="Times New Roman" w:hAnsi="Arial" w:cs="Arial"/>
          <w:b/>
          <w:sz w:val="32"/>
          <w:szCs w:val="32"/>
          <w:lang w:val="en-US" w:eastAsia="de-DE"/>
        </w:rPr>
      </w:pPr>
      <w:r w:rsidRPr="00430A5E">
        <w:rPr>
          <w:rFonts w:ascii="Arial" w:eastAsia="Times New Roman" w:hAnsi="Arial" w:cs="Arial"/>
          <w:b/>
          <w:sz w:val="32"/>
          <w:szCs w:val="32"/>
          <w:lang w:val="en-US" w:eastAsia="de-DE"/>
        </w:rPr>
        <w:lastRenderedPageBreak/>
        <w:t>Results</w:t>
      </w:r>
      <w:r w:rsidR="00EE4E14">
        <w:rPr>
          <w:rFonts w:ascii="Arial" w:eastAsia="Times New Roman" w:hAnsi="Arial" w:cs="Arial"/>
          <w:b/>
          <w:sz w:val="32"/>
          <w:szCs w:val="32"/>
          <w:lang w:val="en-US" w:eastAsia="de-DE"/>
        </w:rPr>
        <w:t xml:space="preserve"> and Discussion</w:t>
      </w:r>
    </w:p>
    <w:p w14:paraId="7CCD4D40" w14:textId="77777777" w:rsidR="00DC396C" w:rsidRPr="00430A5E" w:rsidRDefault="00DC396C" w:rsidP="007C437C">
      <w:pPr>
        <w:spacing w:after="0" w:line="360" w:lineRule="auto"/>
        <w:rPr>
          <w:rFonts w:ascii="Arial" w:hAnsi="Arial" w:cs="Arial"/>
          <w:b/>
          <w:lang w:val="en-US"/>
        </w:rPr>
      </w:pPr>
    </w:p>
    <w:p w14:paraId="527F6855" w14:textId="7A9F510B" w:rsidR="002A75CD" w:rsidRPr="00430A5E" w:rsidRDefault="00474D6D" w:rsidP="007C437C">
      <w:pPr>
        <w:spacing w:after="0" w:line="360" w:lineRule="auto"/>
        <w:rPr>
          <w:rFonts w:ascii="Arial" w:hAnsi="Arial" w:cs="Arial"/>
          <w:b/>
          <w:sz w:val="24"/>
          <w:szCs w:val="24"/>
          <w:lang w:val="en-US"/>
        </w:rPr>
      </w:pPr>
      <w:r w:rsidRPr="00430A5E">
        <w:rPr>
          <w:rFonts w:ascii="Arial" w:hAnsi="Arial" w:cs="Arial"/>
          <w:b/>
          <w:sz w:val="24"/>
          <w:szCs w:val="24"/>
          <w:lang w:val="en-US"/>
        </w:rPr>
        <w:t>Pre-evaluation</w:t>
      </w:r>
      <w:r w:rsidR="00454E84" w:rsidRPr="00430A5E">
        <w:rPr>
          <w:rFonts w:ascii="Arial" w:hAnsi="Arial" w:cs="Arial"/>
          <w:b/>
          <w:sz w:val="24"/>
          <w:szCs w:val="24"/>
          <w:lang w:val="en-US"/>
        </w:rPr>
        <w:t xml:space="preserve"> of </w:t>
      </w:r>
      <w:r w:rsidR="00826FB6" w:rsidRPr="00430A5E">
        <w:rPr>
          <w:rFonts w:ascii="Arial" w:hAnsi="Arial" w:cs="Arial"/>
          <w:b/>
          <w:sz w:val="24"/>
          <w:szCs w:val="24"/>
          <w:lang w:val="en-US"/>
        </w:rPr>
        <w:t xml:space="preserve">the </w:t>
      </w:r>
      <w:r w:rsidR="00913705" w:rsidRPr="00430A5E">
        <w:rPr>
          <w:rFonts w:ascii="Arial" w:hAnsi="Arial" w:cs="Arial"/>
          <w:b/>
          <w:sz w:val="24"/>
          <w:szCs w:val="24"/>
          <w:lang w:val="en-US"/>
        </w:rPr>
        <w:t>synthetic co-culture</w:t>
      </w:r>
      <w:r w:rsidR="00826FB6" w:rsidRPr="00430A5E">
        <w:rPr>
          <w:rFonts w:ascii="Arial" w:hAnsi="Arial" w:cs="Arial"/>
          <w:b/>
          <w:sz w:val="24"/>
          <w:szCs w:val="24"/>
          <w:lang w:val="en-US"/>
        </w:rPr>
        <w:t xml:space="preserve"> model</w:t>
      </w:r>
    </w:p>
    <w:p w14:paraId="1C289C89" w14:textId="77777777" w:rsidR="00913705" w:rsidRPr="00430A5E" w:rsidRDefault="00913705" w:rsidP="007C437C">
      <w:pPr>
        <w:spacing w:after="0" w:line="360" w:lineRule="auto"/>
        <w:rPr>
          <w:rFonts w:ascii="Arial" w:hAnsi="Arial" w:cs="Arial"/>
          <w:b/>
          <w:lang w:val="en-US"/>
        </w:rPr>
      </w:pPr>
    </w:p>
    <w:p w14:paraId="5A73C2E8" w14:textId="48EB6205" w:rsidR="00E86965" w:rsidRPr="00430A5E" w:rsidRDefault="00E86965" w:rsidP="00E86965">
      <w:pPr>
        <w:spacing w:after="0" w:line="360" w:lineRule="auto"/>
        <w:jc w:val="both"/>
        <w:rPr>
          <w:rFonts w:ascii="Arial" w:hAnsi="Arial" w:cs="Arial"/>
          <w:lang w:val="en-US"/>
        </w:rPr>
      </w:pPr>
      <w:bookmarkStart w:id="3" w:name="_Hlk58773281"/>
      <w:r w:rsidRPr="00430A5E">
        <w:rPr>
          <w:rFonts w:ascii="Arial" w:hAnsi="Arial" w:cs="Arial"/>
          <w:lang w:val="en-US"/>
        </w:rPr>
        <w:t>For the analysis of int</w:t>
      </w:r>
      <w:r w:rsidR="002D7BDF" w:rsidRPr="00430A5E">
        <w:rPr>
          <w:rFonts w:ascii="Arial" w:hAnsi="Arial" w:cs="Arial"/>
          <w:lang w:val="en-US"/>
        </w:rPr>
        <w:t>ra</w:t>
      </w:r>
      <w:r w:rsidRPr="00430A5E">
        <w:rPr>
          <w:rFonts w:ascii="Arial" w:hAnsi="Arial" w:cs="Arial"/>
          <w:lang w:val="en-US"/>
        </w:rPr>
        <w:t xml:space="preserve">species interaction, we assembled synthetic co-cultures with unidirectional dependency. </w:t>
      </w:r>
      <w:r w:rsidR="00FC2B09" w:rsidRPr="00430A5E">
        <w:rPr>
          <w:rFonts w:ascii="Arial" w:hAnsi="Arial" w:cs="Arial"/>
          <w:lang w:val="en-US"/>
        </w:rPr>
        <w:t>In search of a suitable co-culture model</w:t>
      </w:r>
      <w:r w:rsidR="00D07220" w:rsidRPr="00430A5E">
        <w:rPr>
          <w:rFonts w:ascii="Arial" w:hAnsi="Arial" w:cs="Arial"/>
          <w:lang w:val="en-US"/>
        </w:rPr>
        <w:t>,</w:t>
      </w:r>
      <w:r w:rsidR="00FC2B09" w:rsidRPr="00430A5E">
        <w:rPr>
          <w:rFonts w:ascii="Arial" w:hAnsi="Arial" w:cs="Arial"/>
          <w:lang w:val="en-US"/>
        </w:rPr>
        <w:t xml:space="preserve"> we cultivated</w:t>
      </w:r>
      <w:r w:rsidR="0064481C" w:rsidRPr="00430A5E">
        <w:rPr>
          <w:rFonts w:ascii="Arial" w:hAnsi="Arial" w:cs="Arial"/>
          <w:lang w:val="en-US"/>
        </w:rPr>
        <w:t xml:space="preserve"> the lysine auxotrophic strain</w:t>
      </w:r>
      <w:r w:rsidR="004A2E6D" w:rsidRPr="00430A5E">
        <w:rPr>
          <w:rFonts w:ascii="Arial" w:hAnsi="Arial" w:cs="Arial"/>
          <w:lang w:val="en-US"/>
        </w:rPr>
        <w:t xml:space="preserve"> </w:t>
      </w:r>
      <w:r w:rsidR="004A2E6D" w:rsidRPr="00430A5E">
        <w:rPr>
          <w:rFonts w:ascii="Arial" w:hAnsi="Arial" w:cs="Arial"/>
          <w:i/>
          <w:lang w:val="en-US"/>
        </w:rPr>
        <w:t>C. glutamicum</w:t>
      </w:r>
      <w:r w:rsidR="004A2E6D" w:rsidRPr="00430A5E">
        <w:rPr>
          <w:rFonts w:ascii="Arial" w:hAnsi="Arial" w:cs="Arial"/>
          <w:lang w:val="en-US"/>
        </w:rPr>
        <w:t xml:space="preserve"> Δ</w:t>
      </w:r>
      <w:r w:rsidR="004A2E6D" w:rsidRPr="00430A5E">
        <w:rPr>
          <w:rFonts w:ascii="Arial" w:hAnsi="Arial" w:cs="Arial"/>
          <w:i/>
          <w:iCs/>
          <w:lang w:val="en-US"/>
        </w:rPr>
        <w:t xml:space="preserve">lysA </w:t>
      </w:r>
      <w:r w:rsidR="005A4A59" w:rsidRPr="00430A5E">
        <w:rPr>
          <w:rFonts w:ascii="Arial" w:hAnsi="Arial" w:cs="Arial"/>
          <w:lang w:val="en-US"/>
        </w:rPr>
        <w:t>pEKEx2-eYFP</w:t>
      </w:r>
      <w:r w:rsidR="005A4A59" w:rsidRPr="00430A5E">
        <w:rPr>
          <w:rFonts w:ascii="Arial" w:hAnsi="Arial" w:cs="Arial"/>
          <w:i/>
          <w:iCs/>
          <w:lang w:val="en-US"/>
        </w:rPr>
        <w:t xml:space="preserve"> </w:t>
      </w:r>
      <w:r w:rsidR="00D07220" w:rsidRPr="00430A5E">
        <w:rPr>
          <w:rFonts w:ascii="Arial" w:hAnsi="Arial" w:cs="Arial"/>
          <w:lang w:val="en-US"/>
        </w:rPr>
        <w:t>together</w:t>
      </w:r>
      <w:r w:rsidR="004A2E6D" w:rsidRPr="00430A5E">
        <w:rPr>
          <w:rFonts w:ascii="Arial" w:hAnsi="Arial" w:cs="Arial"/>
          <w:lang w:val="en-US"/>
        </w:rPr>
        <w:t xml:space="preserve"> with a wild-type strain </w:t>
      </w:r>
      <w:r w:rsidR="00D07220" w:rsidRPr="00430A5E">
        <w:rPr>
          <w:rFonts w:ascii="Arial" w:hAnsi="Arial" w:cs="Arial"/>
          <w:lang w:val="en-US"/>
        </w:rPr>
        <w:t>and</w:t>
      </w:r>
      <w:r w:rsidR="004A2E6D" w:rsidRPr="00430A5E">
        <w:rPr>
          <w:rFonts w:ascii="Arial" w:hAnsi="Arial" w:cs="Arial"/>
          <w:lang w:val="en-US"/>
        </w:rPr>
        <w:t xml:space="preserve"> with </w:t>
      </w:r>
      <w:r w:rsidR="004A2E6D" w:rsidRPr="00430A5E">
        <w:rPr>
          <w:rFonts w:ascii="Arial" w:hAnsi="Arial" w:cs="Arial"/>
          <w:i/>
          <w:lang w:val="en-US"/>
        </w:rPr>
        <w:t>C. glutamicum</w:t>
      </w:r>
      <w:r w:rsidR="004A2E6D" w:rsidRPr="00430A5E">
        <w:rPr>
          <w:rFonts w:ascii="Arial" w:hAnsi="Arial" w:cs="Arial"/>
          <w:lang w:val="en-US"/>
        </w:rPr>
        <w:t xml:space="preserve"> DM1727</w:t>
      </w:r>
      <w:r w:rsidR="00D07220" w:rsidRPr="00430A5E">
        <w:rPr>
          <w:rFonts w:ascii="Arial" w:hAnsi="Arial" w:cs="Arial"/>
          <w:lang w:val="en-US"/>
        </w:rPr>
        <w:t xml:space="preserve">, which carries a </w:t>
      </w:r>
      <w:r w:rsidR="00D07220" w:rsidRPr="00430A5E">
        <w:rPr>
          <w:rFonts w:ascii="Arial" w:hAnsi="Arial" w:cs="Arial"/>
          <w:i/>
          <w:iCs/>
          <w:lang w:val="en-US"/>
        </w:rPr>
        <w:t>pyc</w:t>
      </w:r>
      <w:r w:rsidR="00D07220" w:rsidRPr="00430A5E">
        <w:rPr>
          <w:rFonts w:ascii="Arial" w:hAnsi="Arial" w:cs="Arial"/>
          <w:lang w:val="en-US"/>
        </w:rPr>
        <w:t xml:space="preserve"> mutation. Both co-cultures</w:t>
      </w:r>
      <w:r w:rsidR="004A2E6D" w:rsidRPr="00430A5E">
        <w:rPr>
          <w:rFonts w:ascii="Arial" w:hAnsi="Arial" w:cs="Arial"/>
          <w:lang w:val="en-US"/>
        </w:rPr>
        <w:t xml:space="preserve"> </w:t>
      </w:r>
      <w:r w:rsidR="00D07220" w:rsidRPr="00430A5E">
        <w:rPr>
          <w:rFonts w:ascii="Arial" w:hAnsi="Arial" w:cs="Arial"/>
          <w:lang w:val="en-US"/>
        </w:rPr>
        <w:t>showed no</w:t>
      </w:r>
      <w:r w:rsidR="004A2E6D" w:rsidRPr="00430A5E">
        <w:rPr>
          <w:rFonts w:ascii="Arial" w:hAnsi="Arial" w:cs="Arial"/>
          <w:lang w:val="en-US"/>
        </w:rPr>
        <w:t xml:space="preserve"> significant fluorescence signal, indicating that not enough </w:t>
      </w:r>
      <w:r w:rsidR="004A2E6D" w:rsidRPr="00430A5E">
        <w:rPr>
          <w:rFonts w:ascii="Arial" w:hAnsi="Arial" w:cs="Arial"/>
          <w:smallCaps/>
          <w:lang w:val="en-US"/>
        </w:rPr>
        <w:t>L</w:t>
      </w:r>
      <w:r w:rsidR="004A2E6D" w:rsidRPr="00430A5E">
        <w:rPr>
          <w:rFonts w:ascii="Arial" w:hAnsi="Arial" w:cs="Arial"/>
          <w:lang w:val="en-US"/>
        </w:rPr>
        <w:t xml:space="preserve">-lysine </w:t>
      </w:r>
      <w:r w:rsidR="00D07220" w:rsidRPr="00430A5E">
        <w:rPr>
          <w:rFonts w:ascii="Arial" w:hAnsi="Arial" w:cs="Arial"/>
          <w:lang w:val="en-US"/>
        </w:rPr>
        <w:t>was</w:t>
      </w:r>
      <w:r w:rsidR="004A2E6D" w:rsidRPr="00430A5E">
        <w:rPr>
          <w:rFonts w:ascii="Arial" w:hAnsi="Arial" w:cs="Arial"/>
          <w:lang w:val="en-US"/>
        </w:rPr>
        <w:t xml:space="preserve"> secreted by these strains to sufficiently feed </w:t>
      </w:r>
      <w:r w:rsidR="004A2E6D" w:rsidRPr="00430A5E">
        <w:rPr>
          <w:rFonts w:ascii="Arial" w:hAnsi="Arial" w:cs="Arial"/>
          <w:i/>
          <w:lang w:val="en-US"/>
        </w:rPr>
        <w:t>C. glutamicum</w:t>
      </w:r>
      <w:r w:rsidR="004A2E6D" w:rsidRPr="00430A5E">
        <w:rPr>
          <w:rFonts w:ascii="Arial" w:hAnsi="Arial" w:cs="Arial"/>
          <w:lang w:val="en-US"/>
        </w:rPr>
        <w:t xml:space="preserve"> Δ</w:t>
      </w:r>
      <w:r w:rsidR="004A2E6D" w:rsidRPr="00430A5E">
        <w:rPr>
          <w:rFonts w:ascii="Arial" w:hAnsi="Arial" w:cs="Arial"/>
          <w:i/>
          <w:iCs/>
          <w:lang w:val="en-US"/>
        </w:rPr>
        <w:t xml:space="preserve">lysA </w:t>
      </w:r>
      <w:r w:rsidR="004A2E6D" w:rsidRPr="00430A5E">
        <w:rPr>
          <w:rFonts w:ascii="Arial" w:hAnsi="Arial" w:cs="Arial"/>
          <w:lang w:val="en-US"/>
        </w:rPr>
        <w:t>for cell growth (Figure S2).</w:t>
      </w:r>
      <w:r w:rsidRPr="00430A5E">
        <w:rPr>
          <w:rFonts w:ascii="Arial" w:hAnsi="Arial" w:cs="Arial"/>
          <w:lang w:val="en-US"/>
        </w:rPr>
        <w:t xml:space="preserve"> Consequently, we aimed for L-lysine production strains with higher L-lysine titers and chose </w:t>
      </w:r>
      <w:r w:rsidRPr="00430A5E">
        <w:rPr>
          <w:rFonts w:ascii="Arial" w:hAnsi="Arial" w:cs="Arial"/>
          <w:i/>
          <w:iCs/>
          <w:lang w:val="en-US"/>
        </w:rPr>
        <w:t>C.</w:t>
      </w:r>
      <w:r w:rsidR="0064481C" w:rsidRPr="00430A5E">
        <w:rPr>
          <w:rFonts w:ascii="Arial" w:hAnsi="Arial" w:cs="Arial"/>
          <w:i/>
          <w:iCs/>
          <w:lang w:val="en-US"/>
        </w:rPr>
        <w:t> </w:t>
      </w:r>
      <w:r w:rsidRPr="00430A5E">
        <w:rPr>
          <w:rFonts w:ascii="Arial" w:hAnsi="Arial" w:cs="Arial"/>
          <w:i/>
          <w:iCs/>
          <w:lang w:val="en-US"/>
        </w:rPr>
        <w:t>glutamicum</w:t>
      </w:r>
      <w:r w:rsidRPr="00430A5E">
        <w:rPr>
          <w:rFonts w:ascii="Arial" w:hAnsi="Arial" w:cs="Arial"/>
          <w:lang w:val="en-US"/>
        </w:rPr>
        <w:t xml:space="preserve"> DM1800 and DM1727 pEKEx2-</w:t>
      </w:r>
      <w:r w:rsidRPr="00430A5E">
        <w:rPr>
          <w:rFonts w:ascii="Arial" w:hAnsi="Arial" w:cs="Arial"/>
          <w:i/>
          <w:lang w:val="en-US"/>
        </w:rPr>
        <w:t>lysC</w:t>
      </w:r>
      <w:r w:rsidRPr="00430A5E">
        <w:rPr>
          <w:rFonts w:ascii="Arial" w:hAnsi="Arial" w:cs="Arial"/>
          <w:lang w:val="en-US"/>
        </w:rPr>
        <w:t>-β</w:t>
      </w:r>
      <w:r w:rsidRPr="00430A5E">
        <w:rPr>
          <w:rFonts w:ascii="Arial" w:hAnsi="Arial" w:cs="Arial"/>
          <w:vertAlign w:val="superscript"/>
          <w:lang w:val="en-US"/>
        </w:rPr>
        <w:t>FBR</w:t>
      </w:r>
      <w:r w:rsidRPr="00430A5E">
        <w:rPr>
          <w:rFonts w:ascii="Arial" w:hAnsi="Arial" w:cs="Arial"/>
          <w:lang w:val="en-US"/>
        </w:rPr>
        <w:t xml:space="preserve">. </w:t>
      </w:r>
      <w:r w:rsidRPr="00430A5E">
        <w:rPr>
          <w:rFonts w:ascii="Arial" w:hAnsi="Arial" w:cs="Arial"/>
          <w:i/>
          <w:lang w:val="en-US"/>
        </w:rPr>
        <w:t>C. glutamicum</w:t>
      </w:r>
      <w:r w:rsidRPr="00430A5E">
        <w:rPr>
          <w:rFonts w:ascii="Arial" w:hAnsi="Arial" w:cs="Arial"/>
          <w:lang w:val="en-US"/>
        </w:rPr>
        <w:t xml:space="preserve"> DM1800 carries a </w:t>
      </w:r>
      <w:r w:rsidRPr="00430A5E">
        <w:rPr>
          <w:rFonts w:ascii="Arial" w:hAnsi="Arial" w:cs="Arial"/>
          <w:i/>
          <w:iCs/>
          <w:lang w:val="en-US"/>
        </w:rPr>
        <w:t>pyc</w:t>
      </w:r>
      <w:r w:rsidRPr="00430A5E">
        <w:rPr>
          <w:rFonts w:ascii="Arial" w:hAnsi="Arial" w:cs="Arial"/>
          <w:lang w:val="en-US"/>
        </w:rPr>
        <w:t xml:space="preserve"> and </w:t>
      </w:r>
      <w:r w:rsidRPr="00430A5E">
        <w:rPr>
          <w:rFonts w:ascii="Arial" w:hAnsi="Arial" w:cs="Arial"/>
          <w:i/>
          <w:iCs/>
          <w:lang w:val="en-US"/>
        </w:rPr>
        <w:t>lysC</w:t>
      </w:r>
      <w:r w:rsidRPr="00430A5E">
        <w:rPr>
          <w:rFonts w:ascii="Arial" w:hAnsi="Arial" w:cs="Arial"/>
          <w:lang w:val="en-US"/>
        </w:rPr>
        <w:t xml:space="preserve"> mutation for an improved </w:t>
      </w:r>
      <w:r w:rsidRPr="00430A5E">
        <w:rPr>
          <w:rFonts w:ascii="Arial" w:hAnsi="Arial" w:cs="Arial"/>
          <w:smallCaps/>
          <w:lang w:val="en-US"/>
        </w:rPr>
        <w:t>L</w:t>
      </w:r>
      <w:r w:rsidRPr="00430A5E">
        <w:rPr>
          <w:rFonts w:ascii="Arial" w:hAnsi="Arial" w:cs="Arial"/>
          <w:lang w:val="en-US"/>
        </w:rPr>
        <w:t xml:space="preserve">-lysine production (Figure </w:t>
      </w:r>
      <w:r w:rsidR="006B0862">
        <w:rPr>
          <w:rFonts w:ascii="Arial" w:hAnsi="Arial" w:cs="Arial"/>
          <w:lang w:val="en-US"/>
        </w:rPr>
        <w:t>1</w:t>
      </w:r>
      <w:r w:rsidRPr="00430A5E">
        <w:rPr>
          <w:rFonts w:ascii="Arial" w:hAnsi="Arial" w:cs="Arial"/>
          <w:lang w:val="en-US"/>
        </w:rPr>
        <w:t xml:space="preserve">A), </w:t>
      </w:r>
      <w:r w:rsidRPr="00430A5E">
        <w:rPr>
          <w:rFonts w:ascii="Arial" w:hAnsi="Arial" w:cs="Arial"/>
          <w:i/>
          <w:lang w:val="en-US"/>
        </w:rPr>
        <w:t>C. glutamicum</w:t>
      </w:r>
      <w:r w:rsidRPr="00430A5E">
        <w:rPr>
          <w:rFonts w:ascii="Arial" w:hAnsi="Arial" w:cs="Arial"/>
          <w:lang w:val="en-US"/>
        </w:rPr>
        <w:t xml:space="preserve"> DM1727 pEKEx2-</w:t>
      </w:r>
      <w:r w:rsidRPr="00430A5E">
        <w:rPr>
          <w:rFonts w:ascii="Arial" w:hAnsi="Arial" w:cs="Arial"/>
          <w:i/>
          <w:lang w:val="en-US"/>
        </w:rPr>
        <w:t>lysC</w:t>
      </w:r>
      <w:r w:rsidRPr="00430A5E">
        <w:rPr>
          <w:rFonts w:ascii="Arial" w:hAnsi="Arial" w:cs="Arial"/>
          <w:lang w:val="en-US"/>
        </w:rPr>
        <w:t>-β</w:t>
      </w:r>
      <w:r w:rsidRPr="00430A5E">
        <w:rPr>
          <w:rFonts w:ascii="Arial" w:hAnsi="Arial" w:cs="Arial"/>
          <w:vertAlign w:val="superscript"/>
          <w:lang w:val="en-US"/>
        </w:rPr>
        <w:t>FBR</w:t>
      </w:r>
      <w:r w:rsidRPr="00430A5E">
        <w:rPr>
          <w:rFonts w:ascii="Arial" w:hAnsi="Arial" w:cs="Arial"/>
          <w:lang w:val="en-US"/>
        </w:rPr>
        <w:t xml:space="preserve"> carries also a </w:t>
      </w:r>
      <w:r w:rsidRPr="00430A5E">
        <w:rPr>
          <w:rFonts w:ascii="Arial" w:hAnsi="Arial" w:cs="Arial"/>
          <w:i/>
          <w:iCs/>
          <w:lang w:val="en-US"/>
        </w:rPr>
        <w:t>pyc</w:t>
      </w:r>
      <w:r w:rsidRPr="00430A5E">
        <w:rPr>
          <w:rFonts w:ascii="Arial" w:hAnsi="Arial" w:cs="Arial"/>
          <w:lang w:val="en-US"/>
        </w:rPr>
        <w:t xml:space="preserve"> mutation but additionally the IPTG-inducible feedback resistant aspartate kinase (</w:t>
      </w:r>
      <w:r w:rsidRPr="00430A5E">
        <w:rPr>
          <w:rFonts w:ascii="Arial" w:hAnsi="Arial" w:cs="Arial"/>
          <w:i/>
          <w:iCs/>
          <w:lang w:val="en-US"/>
        </w:rPr>
        <w:t>lysC</w:t>
      </w:r>
      <w:r w:rsidRPr="00430A5E">
        <w:rPr>
          <w:rFonts w:ascii="Arial" w:hAnsi="Arial" w:cs="Arial"/>
          <w:lang w:val="en-US"/>
        </w:rPr>
        <w:t xml:space="preserve">) on a plasmid for controlled </w:t>
      </w:r>
      <w:r w:rsidRPr="00430A5E">
        <w:rPr>
          <w:rFonts w:ascii="Arial" w:hAnsi="Arial" w:cs="Arial"/>
          <w:smallCaps/>
          <w:lang w:val="en-US"/>
        </w:rPr>
        <w:t>L</w:t>
      </w:r>
      <w:r w:rsidRPr="00430A5E">
        <w:rPr>
          <w:rFonts w:ascii="Arial" w:hAnsi="Arial" w:cs="Arial"/>
          <w:lang w:val="en-US"/>
        </w:rPr>
        <w:t xml:space="preserve">-lysine production (Figure </w:t>
      </w:r>
      <w:r w:rsidR="006B0862">
        <w:rPr>
          <w:rFonts w:ascii="Arial" w:hAnsi="Arial" w:cs="Arial"/>
          <w:lang w:val="en-US"/>
        </w:rPr>
        <w:t>1</w:t>
      </w:r>
      <w:r w:rsidRPr="00430A5E">
        <w:rPr>
          <w:rFonts w:ascii="Arial" w:hAnsi="Arial" w:cs="Arial"/>
          <w:lang w:val="en-US"/>
        </w:rPr>
        <w:t>B). If the strain DM1727 pEKEx2-</w:t>
      </w:r>
      <w:r w:rsidRPr="00430A5E">
        <w:rPr>
          <w:rFonts w:ascii="Arial" w:hAnsi="Arial" w:cs="Arial"/>
          <w:i/>
          <w:lang w:val="en-US"/>
        </w:rPr>
        <w:t>lysC</w:t>
      </w:r>
      <w:r w:rsidRPr="00430A5E">
        <w:rPr>
          <w:rFonts w:ascii="Arial" w:hAnsi="Arial" w:cs="Arial"/>
          <w:lang w:val="en-US"/>
        </w:rPr>
        <w:t>-β</w:t>
      </w:r>
      <w:r w:rsidRPr="00430A5E">
        <w:rPr>
          <w:rFonts w:ascii="Arial" w:hAnsi="Arial" w:cs="Arial"/>
          <w:vertAlign w:val="superscript"/>
          <w:lang w:val="en-US"/>
        </w:rPr>
        <w:t>FBR</w:t>
      </w:r>
      <w:r w:rsidRPr="00430A5E">
        <w:rPr>
          <w:rFonts w:ascii="Arial" w:hAnsi="Arial" w:cs="Arial"/>
          <w:lang w:val="en-US"/>
        </w:rPr>
        <w:t xml:space="preserve"> is induced by IPTG, it is expected to have a similar </w:t>
      </w:r>
      <w:r w:rsidRPr="00430A5E">
        <w:rPr>
          <w:rFonts w:ascii="Arial" w:hAnsi="Arial" w:cs="Arial"/>
          <w:smallCaps/>
          <w:lang w:val="en-US"/>
        </w:rPr>
        <w:t>L</w:t>
      </w:r>
      <w:r w:rsidRPr="00430A5E">
        <w:rPr>
          <w:rFonts w:ascii="Arial" w:hAnsi="Arial" w:cs="Arial"/>
          <w:lang w:val="en-US"/>
        </w:rPr>
        <w:t xml:space="preserve">-lysine production as strain DM1800. </w:t>
      </w:r>
    </w:p>
    <w:bookmarkEnd w:id="3"/>
    <w:p w14:paraId="3697FAF6" w14:textId="77777777" w:rsidR="00551FC8" w:rsidRPr="00430A5E" w:rsidRDefault="00551FC8" w:rsidP="00551FC8">
      <w:pPr>
        <w:spacing w:after="0" w:line="360" w:lineRule="auto"/>
        <w:jc w:val="both"/>
        <w:rPr>
          <w:rFonts w:ascii="Arial" w:hAnsi="Arial" w:cs="Arial"/>
          <w:lang w:val="en-US"/>
        </w:rPr>
      </w:pPr>
      <w:r w:rsidRPr="00430A5E">
        <w:rPr>
          <w:rFonts w:ascii="Arial" w:hAnsi="Arial" w:cs="Arial"/>
          <w:lang w:val="en-US"/>
        </w:rPr>
        <w:t xml:space="preserve">All experiments were performed in defined CGXII medium and the auxotrophic strain was fed with the </w:t>
      </w:r>
      <w:r w:rsidRPr="00430A5E">
        <w:rPr>
          <w:rFonts w:ascii="Arial" w:hAnsi="Arial" w:cs="Arial"/>
          <w:smallCaps/>
          <w:lang w:val="en-US"/>
        </w:rPr>
        <w:t>L</w:t>
      </w:r>
      <w:r w:rsidRPr="00430A5E">
        <w:rPr>
          <w:rFonts w:ascii="Arial" w:hAnsi="Arial" w:cs="Arial"/>
          <w:lang w:val="en-US"/>
        </w:rPr>
        <w:t xml:space="preserve">-lysine secreted by a corresponding producer strain in the co-culture. </w:t>
      </w:r>
      <w:r w:rsidRPr="00430A5E">
        <w:rPr>
          <w:rFonts w:ascii="Arial" w:hAnsi="Arial" w:cs="Arial"/>
          <w:smallCaps/>
          <w:lang w:val="en-US"/>
        </w:rPr>
        <w:t>L</w:t>
      </w:r>
      <w:r w:rsidRPr="00430A5E">
        <w:rPr>
          <w:rFonts w:ascii="Arial" w:hAnsi="Arial" w:cs="Arial"/>
          <w:lang w:val="en-US"/>
        </w:rPr>
        <w:t xml:space="preserve">-lysine was the only growth-limiting factor as all other nutrients were present in excess. </w:t>
      </w:r>
    </w:p>
    <w:p w14:paraId="7F83836F" w14:textId="77777777" w:rsidR="00551FC8" w:rsidRPr="00430A5E" w:rsidRDefault="00551FC8" w:rsidP="00551FC8">
      <w:pPr>
        <w:spacing w:after="0" w:line="360" w:lineRule="auto"/>
        <w:jc w:val="both"/>
        <w:rPr>
          <w:rFonts w:ascii="Arial" w:hAnsi="Arial" w:cs="Arial"/>
          <w:lang w:val="en-US"/>
        </w:rPr>
      </w:pPr>
    </w:p>
    <w:p w14:paraId="735631E2" w14:textId="1B8053FD" w:rsidR="00551FC8" w:rsidRPr="00430A5E" w:rsidRDefault="00551FC8" w:rsidP="00551FC8">
      <w:pPr>
        <w:spacing w:after="0" w:line="360" w:lineRule="auto"/>
        <w:jc w:val="both"/>
        <w:rPr>
          <w:rFonts w:ascii="Arial" w:hAnsi="Arial" w:cs="Arial"/>
          <w:lang w:val="en-US"/>
        </w:rPr>
      </w:pPr>
      <w:r w:rsidRPr="00430A5E">
        <w:rPr>
          <w:rFonts w:ascii="Arial" w:hAnsi="Arial" w:cs="Arial"/>
          <w:lang w:val="en-US"/>
        </w:rPr>
        <w:t xml:space="preserve">To quantify the lysine secretion of the producer strains, we analytically determined the </w:t>
      </w:r>
      <w:r w:rsidRPr="00430A5E">
        <w:rPr>
          <w:rFonts w:ascii="Arial" w:hAnsi="Arial" w:cs="Arial"/>
          <w:smallCaps/>
          <w:lang w:val="en-US"/>
        </w:rPr>
        <w:t>L</w:t>
      </w:r>
      <w:r w:rsidRPr="00430A5E">
        <w:rPr>
          <w:rFonts w:ascii="Arial" w:hAnsi="Arial" w:cs="Arial"/>
          <w:lang w:val="en-US"/>
        </w:rPr>
        <w:t xml:space="preserve">-lysine concentration in the culture supernatant at different time points during microbioreactor cultivation of the producer strains (Figure </w:t>
      </w:r>
      <w:r w:rsidR="006B0862">
        <w:rPr>
          <w:rFonts w:ascii="Arial" w:hAnsi="Arial" w:cs="Arial"/>
          <w:lang w:val="en-US"/>
        </w:rPr>
        <w:t>1</w:t>
      </w:r>
      <w:r w:rsidRPr="00430A5E">
        <w:rPr>
          <w:rFonts w:ascii="Arial" w:hAnsi="Arial" w:cs="Arial"/>
          <w:lang w:val="en-US"/>
        </w:rPr>
        <w:t xml:space="preserve">C). </w:t>
      </w:r>
      <w:r w:rsidRPr="00430A5E">
        <w:rPr>
          <w:rFonts w:ascii="Arial" w:hAnsi="Arial" w:cs="Arial"/>
          <w:i/>
          <w:lang w:val="en-US"/>
        </w:rPr>
        <w:t>C. glutamicum</w:t>
      </w:r>
      <w:r w:rsidRPr="00430A5E">
        <w:rPr>
          <w:rFonts w:ascii="Arial" w:hAnsi="Arial" w:cs="Arial"/>
          <w:lang w:val="en-US"/>
        </w:rPr>
        <w:t xml:space="preserve"> DM1800 produced the highest amount of </w:t>
      </w:r>
      <w:r w:rsidRPr="00430A5E">
        <w:rPr>
          <w:rFonts w:ascii="Arial" w:hAnsi="Arial" w:cs="Arial"/>
          <w:smallCaps/>
          <w:lang w:val="en-US"/>
        </w:rPr>
        <w:t>L</w:t>
      </w:r>
      <w:r w:rsidRPr="00430A5E">
        <w:rPr>
          <w:rFonts w:ascii="Arial" w:hAnsi="Arial" w:cs="Arial"/>
          <w:lang w:val="en-US"/>
        </w:rPr>
        <w:t>-lysine with a measured maximum concentration of 4.89 mM after 20 hours cultivation time. Strain DM1727 pEKEx2-</w:t>
      </w:r>
      <w:r w:rsidRPr="00430A5E">
        <w:rPr>
          <w:rFonts w:ascii="Arial" w:hAnsi="Arial" w:cs="Arial"/>
          <w:i/>
          <w:lang w:val="en-US"/>
        </w:rPr>
        <w:t>lysC</w:t>
      </w:r>
      <w:r w:rsidRPr="00430A5E">
        <w:rPr>
          <w:rFonts w:ascii="Arial" w:hAnsi="Arial" w:cs="Arial"/>
          <w:lang w:val="en-US"/>
        </w:rPr>
        <w:t>-β</w:t>
      </w:r>
      <w:r w:rsidRPr="00430A5E">
        <w:rPr>
          <w:rFonts w:ascii="Arial" w:hAnsi="Arial" w:cs="Arial"/>
          <w:vertAlign w:val="superscript"/>
          <w:lang w:val="en-US"/>
        </w:rPr>
        <w:t>FBR</w:t>
      </w:r>
      <w:r w:rsidRPr="00430A5E">
        <w:rPr>
          <w:rFonts w:ascii="Arial" w:hAnsi="Arial" w:cs="Arial"/>
          <w:lang w:val="en-US"/>
        </w:rPr>
        <w:t xml:space="preserve"> induced with 15 µM IPTG produced nearly the same amount and reached a maximum concentration of 4.61 mM in the supernatant. Without the addition of IPTG, </w:t>
      </w:r>
      <w:r w:rsidRPr="00430A5E">
        <w:rPr>
          <w:rFonts w:ascii="Arial" w:hAnsi="Arial" w:cs="Arial"/>
          <w:i/>
          <w:lang w:val="en-US"/>
        </w:rPr>
        <w:t>C. glutamicum</w:t>
      </w:r>
      <w:r w:rsidRPr="00430A5E">
        <w:rPr>
          <w:rFonts w:ascii="Arial" w:hAnsi="Arial" w:cs="Arial"/>
          <w:lang w:val="en-US"/>
        </w:rPr>
        <w:t xml:space="preserve"> DM1727 pEKEx2-</w:t>
      </w:r>
      <w:r w:rsidRPr="00430A5E">
        <w:rPr>
          <w:rFonts w:ascii="Arial" w:hAnsi="Arial" w:cs="Arial"/>
          <w:i/>
          <w:lang w:val="en-US"/>
        </w:rPr>
        <w:t>lysC</w:t>
      </w:r>
      <w:r w:rsidRPr="00430A5E">
        <w:rPr>
          <w:rFonts w:ascii="Arial" w:hAnsi="Arial" w:cs="Arial"/>
          <w:lang w:val="en-US"/>
        </w:rPr>
        <w:t>-β</w:t>
      </w:r>
      <w:r w:rsidRPr="00430A5E">
        <w:rPr>
          <w:rFonts w:ascii="Arial" w:hAnsi="Arial" w:cs="Arial"/>
          <w:vertAlign w:val="superscript"/>
          <w:lang w:val="en-US"/>
        </w:rPr>
        <w:t>FBR</w:t>
      </w:r>
      <w:r w:rsidRPr="00430A5E">
        <w:rPr>
          <w:rFonts w:ascii="Arial" w:hAnsi="Arial" w:cs="Arial"/>
          <w:lang w:val="en-US"/>
        </w:rPr>
        <w:t xml:space="preserve"> produced around 1 mM </w:t>
      </w:r>
      <w:r w:rsidRPr="00430A5E">
        <w:rPr>
          <w:rFonts w:ascii="Arial" w:hAnsi="Arial" w:cs="Arial"/>
          <w:smallCaps/>
          <w:lang w:val="en-US"/>
        </w:rPr>
        <w:t>L</w:t>
      </w:r>
      <w:r w:rsidRPr="00430A5E">
        <w:rPr>
          <w:rFonts w:ascii="Arial" w:hAnsi="Arial" w:cs="Arial"/>
          <w:lang w:val="en-US"/>
        </w:rPr>
        <w:t>-lysine, which proves that the promotor system is not completely tightly regulated.</w:t>
      </w:r>
    </w:p>
    <w:p w14:paraId="4CC48EFB" w14:textId="77777777" w:rsidR="00551FC8" w:rsidRPr="00430A5E" w:rsidRDefault="00551FC8" w:rsidP="00551FC8">
      <w:pPr>
        <w:spacing w:after="0" w:line="360" w:lineRule="auto"/>
        <w:jc w:val="both"/>
        <w:rPr>
          <w:rFonts w:ascii="Arial" w:hAnsi="Arial" w:cs="Arial"/>
          <w:bCs/>
          <w:lang w:val="en-US"/>
        </w:rPr>
      </w:pPr>
    </w:p>
    <w:p w14:paraId="2BAE11F8" w14:textId="7AF24A13" w:rsidR="00551FC8" w:rsidRPr="00430A5E" w:rsidRDefault="00551FC8" w:rsidP="00551FC8">
      <w:pPr>
        <w:spacing w:after="0" w:line="360" w:lineRule="auto"/>
        <w:jc w:val="both"/>
        <w:rPr>
          <w:rFonts w:ascii="Arial" w:hAnsi="Arial" w:cs="Arial"/>
          <w:lang w:val="en-US"/>
        </w:rPr>
      </w:pPr>
      <w:r w:rsidRPr="00430A5E">
        <w:rPr>
          <w:rFonts w:ascii="Arial" w:hAnsi="Arial" w:cs="Arial"/>
          <w:bCs/>
          <w:lang w:val="en-US"/>
        </w:rPr>
        <w:t xml:space="preserve">For co-cultivation experiments, we performed microbioreactor </w:t>
      </w:r>
      <w:r w:rsidRPr="00430A5E">
        <w:rPr>
          <w:rFonts w:ascii="Arial" w:hAnsi="Arial" w:cs="Arial"/>
          <w:lang w:val="en-US"/>
        </w:rPr>
        <w:t xml:space="preserve">cultivations with online measurement of backscatter and YFP intensity to characterize the general strain behavior. As we used strains with similar phenotypes regarding cell size and morphology, the increase in biomass of the two populations in our co-cultures could not be differentiated by the applied backscatter measurements (Figure </w:t>
      </w:r>
      <w:r w:rsidR="006B0862">
        <w:rPr>
          <w:rFonts w:ascii="Arial" w:hAnsi="Arial" w:cs="Arial"/>
          <w:lang w:val="en-US"/>
        </w:rPr>
        <w:t>1</w:t>
      </w:r>
      <w:r w:rsidRPr="00430A5E">
        <w:rPr>
          <w:rFonts w:ascii="Arial" w:hAnsi="Arial" w:cs="Arial"/>
          <w:lang w:val="en-US"/>
        </w:rPr>
        <w:t xml:space="preserve">D top). </w:t>
      </w:r>
      <w:r w:rsidR="00466711" w:rsidRPr="00430A5E">
        <w:rPr>
          <w:rFonts w:ascii="Arial" w:hAnsi="Arial" w:cs="Arial"/>
          <w:lang w:val="en-US"/>
        </w:rPr>
        <w:t xml:space="preserve">The growth rates </w:t>
      </w:r>
      <w:r w:rsidR="009D3807" w:rsidRPr="00430A5E">
        <w:rPr>
          <w:rFonts w:ascii="Arial" w:hAnsi="Arial" w:cs="Arial"/>
          <w:lang w:val="en-US"/>
        </w:rPr>
        <w:t xml:space="preserve">of all co-cultures calculated from backscatter measurements </w:t>
      </w:r>
      <w:r w:rsidR="00466711" w:rsidRPr="00430A5E">
        <w:rPr>
          <w:rFonts w:ascii="Arial" w:hAnsi="Arial" w:cs="Arial"/>
          <w:lang w:val="en-US"/>
        </w:rPr>
        <w:t xml:space="preserve">are listed in table </w:t>
      </w:r>
      <w:r w:rsidR="006B0862">
        <w:rPr>
          <w:rFonts w:ascii="Arial" w:hAnsi="Arial" w:cs="Arial"/>
          <w:lang w:val="en-US"/>
        </w:rPr>
        <w:t>2</w:t>
      </w:r>
      <w:r w:rsidR="00466711" w:rsidRPr="00430A5E">
        <w:rPr>
          <w:rFonts w:ascii="Arial" w:hAnsi="Arial" w:cs="Arial"/>
          <w:lang w:val="en-US"/>
        </w:rPr>
        <w:t xml:space="preserve">. </w:t>
      </w:r>
      <w:r w:rsidRPr="00430A5E">
        <w:rPr>
          <w:rFonts w:ascii="Arial" w:hAnsi="Arial" w:cs="Arial"/>
          <w:lang w:val="en-US"/>
        </w:rPr>
        <w:t>Yet, due to the Δ</w:t>
      </w:r>
      <w:r w:rsidRPr="00430A5E">
        <w:rPr>
          <w:rFonts w:ascii="Arial" w:hAnsi="Arial" w:cs="Arial"/>
          <w:i/>
          <w:iCs/>
          <w:lang w:val="en-US"/>
        </w:rPr>
        <w:t xml:space="preserve">lysA </w:t>
      </w:r>
      <w:r w:rsidRPr="00430A5E">
        <w:rPr>
          <w:rFonts w:ascii="Arial" w:hAnsi="Arial" w:cs="Arial"/>
          <w:lang w:val="en-US"/>
        </w:rPr>
        <w:t xml:space="preserve">strain expressing </w:t>
      </w:r>
      <w:r w:rsidRPr="00430A5E">
        <w:rPr>
          <w:rFonts w:ascii="Arial" w:hAnsi="Arial" w:cs="Arial"/>
          <w:lang w:val="en-US"/>
        </w:rPr>
        <w:lastRenderedPageBreak/>
        <w:t xml:space="preserve">eYFP, co-cultures showed different average fluorescence intensities (Figure </w:t>
      </w:r>
      <w:r w:rsidR="006B0862">
        <w:rPr>
          <w:rFonts w:ascii="Arial" w:hAnsi="Arial" w:cs="Arial"/>
          <w:lang w:val="en-US"/>
        </w:rPr>
        <w:t>1</w:t>
      </w:r>
      <w:r w:rsidRPr="00430A5E">
        <w:rPr>
          <w:rFonts w:ascii="Arial" w:hAnsi="Arial" w:cs="Arial"/>
          <w:lang w:val="en-US"/>
        </w:rPr>
        <w:t xml:space="preserve">D bottom). The fluorescence intensities revealed that the co-culture of </w:t>
      </w:r>
      <w:r w:rsidRPr="00430A5E">
        <w:rPr>
          <w:rFonts w:ascii="Arial" w:hAnsi="Arial" w:cs="Arial"/>
          <w:i/>
          <w:lang w:val="en-US"/>
        </w:rPr>
        <w:t>C. glutamicum</w:t>
      </w:r>
      <w:r w:rsidRPr="00430A5E">
        <w:rPr>
          <w:rFonts w:ascii="Arial" w:hAnsi="Arial" w:cs="Arial"/>
          <w:lang w:val="en-US"/>
        </w:rPr>
        <w:t xml:space="preserve"> Δ</w:t>
      </w:r>
      <w:r w:rsidRPr="00430A5E">
        <w:rPr>
          <w:rFonts w:ascii="Arial" w:hAnsi="Arial" w:cs="Arial"/>
          <w:i/>
          <w:iCs/>
          <w:lang w:val="en-US"/>
        </w:rPr>
        <w:t>lysA</w:t>
      </w:r>
      <w:r w:rsidRPr="00430A5E">
        <w:rPr>
          <w:rFonts w:ascii="Arial" w:hAnsi="Arial" w:cs="Arial"/>
          <w:lang w:val="en-US"/>
        </w:rPr>
        <w:t xml:space="preserve"> + DM1727 pEKEx2-</w:t>
      </w:r>
      <w:r w:rsidRPr="00430A5E">
        <w:rPr>
          <w:rFonts w:ascii="Arial" w:hAnsi="Arial" w:cs="Arial"/>
          <w:i/>
          <w:lang w:val="en-US"/>
        </w:rPr>
        <w:t>lysC</w:t>
      </w:r>
      <w:r w:rsidRPr="00430A5E">
        <w:rPr>
          <w:rFonts w:ascii="Arial" w:hAnsi="Arial" w:cs="Arial"/>
          <w:lang w:val="en-US"/>
        </w:rPr>
        <w:t>-β</w:t>
      </w:r>
      <w:r w:rsidRPr="00430A5E">
        <w:rPr>
          <w:rFonts w:ascii="Arial" w:hAnsi="Arial" w:cs="Arial"/>
          <w:vertAlign w:val="superscript"/>
          <w:lang w:val="en-US"/>
        </w:rPr>
        <w:t>FBR</w:t>
      </w:r>
      <w:r w:rsidRPr="00430A5E">
        <w:rPr>
          <w:rFonts w:ascii="Arial" w:hAnsi="Arial" w:cs="Arial"/>
          <w:lang w:val="en-US"/>
        </w:rPr>
        <w:t xml:space="preserve"> with IPTG induction reached a slightly lower final fluorescence intensity compared to the co-culture of </w:t>
      </w:r>
      <w:r w:rsidRPr="00430A5E">
        <w:rPr>
          <w:rFonts w:ascii="Arial" w:hAnsi="Arial" w:cs="Arial"/>
          <w:i/>
          <w:lang w:val="en-US"/>
        </w:rPr>
        <w:t>C. glutamicum</w:t>
      </w:r>
      <w:r w:rsidRPr="00430A5E">
        <w:rPr>
          <w:rFonts w:ascii="Arial" w:hAnsi="Arial" w:cs="Arial"/>
          <w:lang w:val="en-US"/>
        </w:rPr>
        <w:t xml:space="preserve"> Δ</w:t>
      </w:r>
      <w:r w:rsidRPr="00430A5E">
        <w:rPr>
          <w:rFonts w:ascii="Arial" w:hAnsi="Arial" w:cs="Arial"/>
          <w:i/>
          <w:iCs/>
          <w:lang w:val="en-US"/>
        </w:rPr>
        <w:t>lysA</w:t>
      </w:r>
      <w:r w:rsidRPr="00430A5E">
        <w:rPr>
          <w:rFonts w:ascii="Arial" w:hAnsi="Arial" w:cs="Arial"/>
          <w:lang w:val="en-US"/>
        </w:rPr>
        <w:t> + </w:t>
      </w:r>
      <w:r w:rsidRPr="00430A5E">
        <w:rPr>
          <w:rFonts w:ascii="Arial" w:hAnsi="Arial" w:cs="Arial"/>
          <w:i/>
          <w:lang w:val="en-US"/>
        </w:rPr>
        <w:t>C. glutamicum</w:t>
      </w:r>
      <w:r w:rsidRPr="00430A5E">
        <w:rPr>
          <w:rFonts w:ascii="Arial" w:hAnsi="Arial" w:cs="Arial"/>
          <w:lang w:val="en-US"/>
        </w:rPr>
        <w:t xml:space="preserve"> DM1800. </w:t>
      </w:r>
    </w:p>
    <w:p w14:paraId="4FF42851" w14:textId="3497AC86" w:rsidR="00551FC8" w:rsidRPr="00430A5E" w:rsidRDefault="00551FC8" w:rsidP="00551FC8">
      <w:pPr>
        <w:spacing w:after="0" w:line="360" w:lineRule="auto"/>
        <w:jc w:val="both"/>
        <w:rPr>
          <w:rFonts w:ascii="Arial" w:hAnsi="Arial" w:cs="Arial"/>
          <w:lang w:val="en-US"/>
        </w:rPr>
      </w:pPr>
      <w:r w:rsidRPr="00430A5E">
        <w:rPr>
          <w:rFonts w:ascii="Arial" w:hAnsi="Arial" w:cs="Arial"/>
          <w:lang w:val="en-US"/>
        </w:rPr>
        <w:t>The control co-cultivation of the Δ</w:t>
      </w:r>
      <w:r w:rsidRPr="00430A5E">
        <w:rPr>
          <w:rFonts w:ascii="Arial" w:hAnsi="Arial" w:cs="Arial"/>
          <w:i/>
          <w:iCs/>
          <w:lang w:val="en-US"/>
        </w:rPr>
        <w:t xml:space="preserve">lysA </w:t>
      </w:r>
      <w:r w:rsidRPr="00430A5E">
        <w:rPr>
          <w:rFonts w:ascii="Arial" w:hAnsi="Arial" w:cs="Arial"/>
          <w:iCs/>
          <w:lang w:val="en-US"/>
        </w:rPr>
        <w:t>strain</w:t>
      </w:r>
      <w:r w:rsidRPr="00430A5E">
        <w:rPr>
          <w:rFonts w:ascii="Arial" w:hAnsi="Arial" w:cs="Arial"/>
          <w:lang w:val="en-US"/>
        </w:rPr>
        <w:t xml:space="preserve"> together with </w:t>
      </w:r>
      <w:r w:rsidRPr="00430A5E">
        <w:rPr>
          <w:rFonts w:ascii="Arial" w:hAnsi="Arial" w:cs="Arial"/>
          <w:i/>
          <w:lang w:val="en-US"/>
        </w:rPr>
        <w:t>C. glutamicum</w:t>
      </w:r>
      <w:r w:rsidRPr="00430A5E">
        <w:rPr>
          <w:rFonts w:ascii="Arial" w:hAnsi="Arial" w:cs="Arial"/>
          <w:lang w:val="en-US"/>
        </w:rPr>
        <w:t xml:space="preserve"> DM1727 pEKEx2-</w:t>
      </w:r>
      <w:r w:rsidRPr="00430A5E">
        <w:rPr>
          <w:rFonts w:ascii="Arial" w:hAnsi="Arial" w:cs="Arial"/>
          <w:i/>
          <w:lang w:val="en-US"/>
        </w:rPr>
        <w:t>lysC</w:t>
      </w:r>
      <w:r w:rsidRPr="00430A5E">
        <w:rPr>
          <w:rFonts w:ascii="Arial" w:hAnsi="Arial" w:cs="Arial"/>
          <w:lang w:val="en-US"/>
        </w:rPr>
        <w:t>-β</w:t>
      </w:r>
      <w:r w:rsidRPr="00430A5E">
        <w:rPr>
          <w:rFonts w:ascii="Arial" w:hAnsi="Arial" w:cs="Arial"/>
          <w:vertAlign w:val="superscript"/>
          <w:lang w:val="en-US"/>
        </w:rPr>
        <w:t>FBR</w:t>
      </w:r>
      <w:r w:rsidRPr="00430A5E">
        <w:rPr>
          <w:rFonts w:ascii="Arial" w:hAnsi="Arial" w:cs="Arial"/>
          <w:lang w:val="en-US"/>
        </w:rPr>
        <w:t xml:space="preserve"> without IPTG addition, showed that even without induction the producer strain secreted obviously low levels of </w:t>
      </w:r>
      <w:r w:rsidRPr="00430A5E">
        <w:rPr>
          <w:rFonts w:ascii="Arial" w:hAnsi="Arial" w:cs="Arial"/>
          <w:smallCaps/>
          <w:lang w:val="en-US"/>
        </w:rPr>
        <w:t>L</w:t>
      </w:r>
      <w:r w:rsidRPr="00430A5E">
        <w:rPr>
          <w:rFonts w:ascii="Arial" w:hAnsi="Arial" w:cs="Arial"/>
          <w:lang w:val="en-US"/>
        </w:rPr>
        <w:t>-lysine, causing growth of the Δ</w:t>
      </w:r>
      <w:r w:rsidRPr="00430A5E">
        <w:rPr>
          <w:rFonts w:ascii="Arial" w:hAnsi="Arial" w:cs="Arial"/>
          <w:i/>
          <w:iCs/>
          <w:lang w:val="en-US"/>
        </w:rPr>
        <w:t xml:space="preserve">lysA </w:t>
      </w:r>
      <w:r w:rsidRPr="00430A5E">
        <w:rPr>
          <w:rFonts w:ascii="Arial" w:hAnsi="Arial" w:cs="Arial"/>
          <w:lang w:val="en-US"/>
        </w:rPr>
        <w:t xml:space="preserve">strain, which becomes apparent in a fluorescence intensity of approximately 25 a.u. (Figure </w:t>
      </w:r>
      <w:r w:rsidR="006B0862">
        <w:rPr>
          <w:rFonts w:ascii="Arial" w:hAnsi="Arial" w:cs="Arial"/>
          <w:lang w:val="en-US"/>
        </w:rPr>
        <w:t>1</w:t>
      </w:r>
      <w:r w:rsidRPr="00430A5E">
        <w:rPr>
          <w:rFonts w:ascii="Arial" w:hAnsi="Arial" w:cs="Arial"/>
          <w:lang w:val="en-US"/>
        </w:rPr>
        <w:t xml:space="preserve">D bottom). These results are in accordance with the measured </w:t>
      </w:r>
      <w:r w:rsidRPr="00430A5E">
        <w:rPr>
          <w:rFonts w:ascii="Arial" w:hAnsi="Arial" w:cs="Arial"/>
          <w:smallCaps/>
          <w:lang w:val="en-US"/>
        </w:rPr>
        <w:t>L</w:t>
      </w:r>
      <w:r w:rsidRPr="00430A5E">
        <w:rPr>
          <w:rFonts w:ascii="Arial" w:hAnsi="Arial" w:cs="Arial"/>
          <w:lang w:val="en-US"/>
        </w:rPr>
        <w:t>-lysine concentrations, determined in the monocultures of the producer strains.</w:t>
      </w:r>
      <w:r w:rsidR="00466711" w:rsidRPr="00430A5E">
        <w:rPr>
          <w:rFonts w:ascii="Arial" w:hAnsi="Arial" w:cs="Arial"/>
          <w:lang w:val="en-US"/>
        </w:rPr>
        <w:t xml:space="preserve"> </w:t>
      </w:r>
    </w:p>
    <w:p w14:paraId="64BB815E" w14:textId="67EC24A3" w:rsidR="00551FC8" w:rsidRPr="00430A5E" w:rsidRDefault="00551FC8" w:rsidP="00551FC8">
      <w:pPr>
        <w:spacing w:after="0" w:line="360" w:lineRule="auto"/>
        <w:jc w:val="both"/>
        <w:rPr>
          <w:rFonts w:ascii="Arial" w:hAnsi="Arial" w:cs="Arial"/>
          <w:lang w:val="en-US"/>
        </w:rPr>
      </w:pPr>
      <w:r w:rsidRPr="00430A5E">
        <w:rPr>
          <w:rFonts w:ascii="Arial" w:hAnsi="Arial" w:cs="Arial"/>
          <w:lang w:val="en-US"/>
        </w:rPr>
        <w:t>For comparison, we additionally performed microbioreactor cultivations, in which all strains were cultured separately and backscatter signals as well as fluorescence intensity values were measured (Figure S</w:t>
      </w:r>
      <w:r w:rsidR="00111708" w:rsidRPr="00430A5E">
        <w:rPr>
          <w:rFonts w:ascii="Arial" w:hAnsi="Arial" w:cs="Arial"/>
          <w:lang w:val="en-US"/>
        </w:rPr>
        <w:t>1</w:t>
      </w:r>
      <w:r w:rsidRPr="00430A5E">
        <w:rPr>
          <w:rFonts w:ascii="Arial" w:hAnsi="Arial" w:cs="Arial"/>
          <w:lang w:val="en-US"/>
        </w:rPr>
        <w:t>). The results show that the fluorescence intensity values of the co-cultures were below the fluorescence intensity values of monocultures with the fluorescing auxotrophic strain (</w:t>
      </w:r>
      <w:r w:rsidRPr="00430A5E">
        <w:rPr>
          <w:rFonts w:ascii="Arial" w:hAnsi="Arial" w:cs="Arial"/>
          <w:smallCaps/>
          <w:lang w:val="en-US"/>
        </w:rPr>
        <w:t>L</w:t>
      </w:r>
      <w:r w:rsidRPr="00430A5E">
        <w:rPr>
          <w:rFonts w:ascii="Arial" w:hAnsi="Arial" w:cs="Arial"/>
          <w:lang w:val="en-US"/>
        </w:rPr>
        <w:t xml:space="preserve">-lysine supplementation), but higher than for cultivations with the non-fluorescing </w:t>
      </w:r>
      <w:r w:rsidRPr="00430A5E">
        <w:rPr>
          <w:rFonts w:ascii="Arial" w:hAnsi="Arial" w:cs="Arial"/>
          <w:smallCaps/>
          <w:lang w:val="en-US"/>
        </w:rPr>
        <w:t>L</w:t>
      </w:r>
      <w:r w:rsidR="004A1C51" w:rsidRPr="00430A5E">
        <w:rPr>
          <w:rFonts w:ascii="Arial" w:hAnsi="Arial" w:cs="Arial"/>
          <w:lang w:val="en-US"/>
        </w:rPr>
        <w:t>-lysine production</w:t>
      </w:r>
      <w:r w:rsidRPr="00430A5E">
        <w:rPr>
          <w:rFonts w:ascii="Arial" w:hAnsi="Arial" w:cs="Arial"/>
          <w:lang w:val="en-US"/>
        </w:rPr>
        <w:t xml:space="preserve"> strains (Figure S</w:t>
      </w:r>
      <w:r w:rsidR="00111708" w:rsidRPr="00430A5E">
        <w:rPr>
          <w:rFonts w:ascii="Arial" w:hAnsi="Arial" w:cs="Arial"/>
          <w:lang w:val="en-US"/>
        </w:rPr>
        <w:t>1</w:t>
      </w:r>
      <w:r w:rsidRPr="00430A5E">
        <w:rPr>
          <w:rFonts w:ascii="Arial" w:hAnsi="Arial" w:cs="Arial"/>
          <w:lang w:val="en-US"/>
        </w:rPr>
        <w:t>). This indicates that the Δ</w:t>
      </w:r>
      <w:r w:rsidRPr="00430A5E">
        <w:rPr>
          <w:rFonts w:ascii="Arial" w:hAnsi="Arial" w:cs="Arial"/>
          <w:i/>
          <w:iCs/>
          <w:lang w:val="en-US"/>
        </w:rPr>
        <w:t>lysA</w:t>
      </w:r>
      <w:r w:rsidRPr="00430A5E">
        <w:rPr>
          <w:rFonts w:ascii="Arial" w:hAnsi="Arial" w:cs="Arial"/>
          <w:lang w:val="en-US"/>
        </w:rPr>
        <w:t xml:space="preserve"> strain grew successfully within the co-cultures, but a precise determination of the biomass would be difficult to implement. However, based on our observations, we assumed that the fluorescence intensities of the auxotrophic strain and thus the average co-culture fluorescence can be used to approximately monitor </w:t>
      </w:r>
      <w:r w:rsidRPr="00430A5E">
        <w:rPr>
          <w:rFonts w:ascii="Arial" w:hAnsi="Arial" w:cs="Arial"/>
          <w:smallCaps/>
          <w:lang w:val="en-US"/>
        </w:rPr>
        <w:t>L</w:t>
      </w:r>
      <w:r w:rsidRPr="00430A5E">
        <w:rPr>
          <w:rFonts w:ascii="Arial" w:hAnsi="Arial" w:cs="Arial"/>
          <w:lang w:val="en-US"/>
        </w:rPr>
        <w:t xml:space="preserve">-lysine production. </w:t>
      </w:r>
    </w:p>
    <w:p w14:paraId="39E1E0F3" w14:textId="77777777" w:rsidR="00551FC8" w:rsidRPr="00430A5E" w:rsidRDefault="00551FC8" w:rsidP="00551FC8">
      <w:pPr>
        <w:spacing w:after="0" w:line="360" w:lineRule="auto"/>
        <w:jc w:val="both"/>
        <w:rPr>
          <w:rFonts w:ascii="Arial" w:hAnsi="Arial" w:cs="Arial"/>
          <w:lang w:val="en-US"/>
        </w:rPr>
      </w:pPr>
    </w:p>
    <w:p w14:paraId="297FAB63" w14:textId="35451D69" w:rsidR="00551FC8" w:rsidRPr="00430A5E" w:rsidRDefault="00551FC8" w:rsidP="00551FC8">
      <w:pPr>
        <w:spacing w:after="0" w:line="360" w:lineRule="auto"/>
        <w:jc w:val="both"/>
        <w:rPr>
          <w:rFonts w:ascii="Arial" w:hAnsi="Arial" w:cs="Arial"/>
          <w:highlight w:val="yellow"/>
          <w:lang w:val="en-US"/>
        </w:rPr>
      </w:pPr>
      <w:r w:rsidRPr="00430A5E">
        <w:rPr>
          <w:rFonts w:ascii="Arial" w:hAnsi="Arial" w:cs="Arial"/>
          <w:lang w:val="en-US"/>
        </w:rPr>
        <w:t xml:space="preserve">The results show that </w:t>
      </w:r>
      <w:r w:rsidRPr="00430A5E">
        <w:rPr>
          <w:rFonts w:ascii="Arial" w:hAnsi="Arial" w:cs="Arial"/>
          <w:i/>
          <w:lang w:val="en-US"/>
        </w:rPr>
        <w:t>C. glutamicum</w:t>
      </w:r>
      <w:r w:rsidRPr="00430A5E">
        <w:rPr>
          <w:rFonts w:ascii="Arial" w:hAnsi="Arial" w:cs="Arial"/>
          <w:lang w:val="en-US"/>
        </w:rPr>
        <w:t xml:space="preserve"> Δ</w:t>
      </w:r>
      <w:r w:rsidRPr="00430A5E">
        <w:rPr>
          <w:rFonts w:ascii="Arial" w:hAnsi="Arial" w:cs="Arial"/>
          <w:i/>
          <w:iCs/>
          <w:lang w:val="en-US"/>
        </w:rPr>
        <w:t>lysA</w:t>
      </w:r>
      <w:r w:rsidRPr="00430A5E">
        <w:rPr>
          <w:rFonts w:ascii="Arial" w:hAnsi="Arial" w:cs="Arial"/>
          <w:lang w:val="en-US"/>
        </w:rPr>
        <w:t xml:space="preserve"> grew successfully in co-cultivation with the different </w:t>
      </w:r>
      <w:r w:rsidRPr="00430A5E">
        <w:rPr>
          <w:rFonts w:ascii="Arial" w:hAnsi="Arial" w:cs="Arial"/>
          <w:smallCaps/>
          <w:lang w:val="en-US"/>
        </w:rPr>
        <w:t>L</w:t>
      </w:r>
      <w:r w:rsidRPr="00430A5E">
        <w:rPr>
          <w:rFonts w:ascii="Arial" w:hAnsi="Arial" w:cs="Arial"/>
          <w:lang w:val="en-US"/>
        </w:rPr>
        <w:t xml:space="preserve">-lysine producers and even a control of </w:t>
      </w:r>
      <w:r w:rsidRPr="00430A5E">
        <w:rPr>
          <w:rFonts w:ascii="Arial" w:hAnsi="Arial" w:cs="Arial"/>
          <w:smallCaps/>
          <w:lang w:val="en-US"/>
        </w:rPr>
        <w:t>L</w:t>
      </w:r>
      <w:r w:rsidRPr="00430A5E">
        <w:rPr>
          <w:rFonts w:ascii="Arial" w:hAnsi="Arial" w:cs="Arial"/>
          <w:lang w:val="en-US"/>
        </w:rPr>
        <w:t>-lysine production by IPTG supplementation was achieved. However, detailed measurements of the correlation between fluorescence and cell mass and individual growth dynamics of the co-culture members are challenging to obtained in bulk measurements. The fluorescence indicates growth of the Δ</w:t>
      </w:r>
      <w:r w:rsidRPr="00430A5E">
        <w:rPr>
          <w:rFonts w:ascii="Arial" w:hAnsi="Arial" w:cs="Arial"/>
          <w:i/>
          <w:iCs/>
          <w:lang w:val="en-US"/>
        </w:rPr>
        <w:t>lysA</w:t>
      </w:r>
      <w:r w:rsidRPr="00430A5E">
        <w:rPr>
          <w:rFonts w:ascii="Arial" w:hAnsi="Arial" w:cs="Arial"/>
          <w:lang w:val="en-US"/>
        </w:rPr>
        <w:t xml:space="preserve"> strain in co-cultures but the correlation of the fluorescence intensity to the cell mass could be imprecise. For detailed insights into the population and analysis of the time-resolved cell-to-cell heterogeneity and strain interactions, we performed </w:t>
      </w:r>
      <w:r w:rsidR="000D67AE" w:rsidRPr="00430A5E">
        <w:rPr>
          <w:rFonts w:ascii="Arial" w:hAnsi="Arial" w:cs="Arial"/>
          <w:lang w:val="en-US"/>
        </w:rPr>
        <w:t>microcolony</w:t>
      </w:r>
      <w:r w:rsidRPr="00430A5E">
        <w:rPr>
          <w:rFonts w:ascii="Arial" w:hAnsi="Arial" w:cs="Arial"/>
          <w:lang w:val="en-US"/>
        </w:rPr>
        <w:t xml:space="preserve"> cultivation experiments in microfluidic devices, as described in the following section</w:t>
      </w:r>
      <w:r w:rsidR="00293533" w:rsidRPr="00430A5E">
        <w:rPr>
          <w:rFonts w:ascii="Arial" w:hAnsi="Arial" w:cs="Arial"/>
          <w:lang w:val="en-US"/>
        </w:rPr>
        <w:t>s</w:t>
      </w:r>
      <w:r w:rsidRPr="00430A5E">
        <w:rPr>
          <w:rFonts w:ascii="Arial" w:hAnsi="Arial" w:cs="Arial"/>
          <w:lang w:val="en-US"/>
        </w:rPr>
        <w:t>.</w:t>
      </w:r>
    </w:p>
    <w:p w14:paraId="21DEB807" w14:textId="77777777" w:rsidR="00551FC8" w:rsidRPr="00430A5E" w:rsidRDefault="00551FC8" w:rsidP="00551FC8">
      <w:pPr>
        <w:rPr>
          <w:lang w:val="en-US"/>
        </w:rPr>
      </w:pPr>
    </w:p>
    <w:p w14:paraId="0995A3D5" w14:textId="77777777" w:rsidR="000318D2" w:rsidRPr="00430A5E" w:rsidRDefault="000318D2" w:rsidP="007C437C">
      <w:pPr>
        <w:spacing w:after="0" w:line="360" w:lineRule="auto"/>
        <w:rPr>
          <w:rFonts w:ascii="Arial" w:hAnsi="Arial" w:cs="Arial"/>
          <w:highlight w:val="lightGray"/>
          <w:lang w:val="en-US"/>
        </w:rPr>
      </w:pPr>
    </w:p>
    <w:p w14:paraId="5C51E94B" w14:textId="77777777" w:rsidR="000318D2" w:rsidRPr="00430A5E" w:rsidRDefault="000318D2" w:rsidP="007C437C">
      <w:pPr>
        <w:spacing w:after="0" w:line="360" w:lineRule="auto"/>
        <w:rPr>
          <w:rFonts w:ascii="Arial" w:hAnsi="Arial" w:cs="Arial"/>
          <w:highlight w:val="lightGray"/>
          <w:lang w:val="en-US"/>
        </w:rPr>
      </w:pPr>
    </w:p>
    <w:p w14:paraId="02A09E13" w14:textId="77777777" w:rsidR="00F51EAB" w:rsidRPr="00430A5E" w:rsidRDefault="00F51EAB" w:rsidP="007C437C">
      <w:pPr>
        <w:spacing w:after="0" w:line="360" w:lineRule="auto"/>
        <w:rPr>
          <w:rFonts w:ascii="Arial" w:hAnsi="Arial" w:cs="Arial"/>
          <w:b/>
          <w:lang w:val="en-US"/>
        </w:rPr>
      </w:pPr>
    </w:p>
    <w:p w14:paraId="0E4CDB1D" w14:textId="74AD398C" w:rsidR="00E43C9C" w:rsidRPr="00430A5E" w:rsidRDefault="00E43C9C" w:rsidP="007C437C">
      <w:pPr>
        <w:spacing w:after="0" w:line="360" w:lineRule="auto"/>
        <w:jc w:val="both"/>
        <w:rPr>
          <w:rFonts w:ascii="Arial" w:hAnsi="Arial" w:cs="Arial"/>
          <w:lang w:val="en-US"/>
        </w:rPr>
      </w:pPr>
    </w:p>
    <w:p w14:paraId="74584429" w14:textId="4770EB7C" w:rsidR="00E43C9C" w:rsidRPr="00430A5E" w:rsidRDefault="00E43C9C" w:rsidP="007C437C">
      <w:pPr>
        <w:spacing w:after="0" w:line="360" w:lineRule="auto"/>
        <w:jc w:val="both"/>
        <w:rPr>
          <w:rFonts w:ascii="Arial" w:hAnsi="Arial" w:cs="Arial"/>
          <w:lang w:val="en-US"/>
        </w:rPr>
      </w:pPr>
    </w:p>
    <w:p w14:paraId="00B0460C" w14:textId="77777777" w:rsidR="00F011DD" w:rsidRPr="00430A5E" w:rsidRDefault="00F011DD" w:rsidP="007C437C">
      <w:pPr>
        <w:spacing w:after="0" w:line="360" w:lineRule="auto"/>
        <w:jc w:val="both"/>
        <w:rPr>
          <w:rFonts w:ascii="Arial" w:hAnsi="Arial" w:cs="Arial"/>
          <w:b/>
          <w:lang w:val="en-US"/>
        </w:rPr>
      </w:pPr>
    </w:p>
    <w:p w14:paraId="4A8FF055" w14:textId="659C4D1A" w:rsidR="006C7750" w:rsidRPr="00430A5E" w:rsidRDefault="00C328FC" w:rsidP="007C437C">
      <w:pPr>
        <w:keepNext/>
        <w:spacing w:after="0" w:line="360" w:lineRule="auto"/>
        <w:jc w:val="both"/>
        <w:rPr>
          <w:rFonts w:ascii="Arial" w:hAnsi="Arial" w:cs="Arial"/>
          <w:lang w:val="en-US"/>
        </w:rPr>
      </w:pPr>
      <w:r w:rsidRPr="00430A5E">
        <w:rPr>
          <w:noProof/>
          <w:lang w:eastAsia="de-DE"/>
        </w:rPr>
        <w:lastRenderedPageBreak/>
        <w:drawing>
          <wp:inline distT="0" distB="0" distL="0" distR="0" wp14:anchorId="3846B8E2" wp14:editId="6F9E160F">
            <wp:extent cx="4494257" cy="6553361"/>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494257" cy="6553361"/>
                    </a:xfrm>
                    <a:prstGeom prst="rect">
                      <a:avLst/>
                    </a:prstGeom>
                    <a:noFill/>
                    <a:ln>
                      <a:noFill/>
                    </a:ln>
                    <a:extLst>
                      <a:ext uri="{53640926-AAD7-44D8-BBD7-CCE9431645EC}">
                        <a14:shadowObscured xmlns:a14="http://schemas.microsoft.com/office/drawing/2010/main"/>
                      </a:ext>
                    </a:extLst>
                  </pic:spPr>
                </pic:pic>
              </a:graphicData>
            </a:graphic>
          </wp:inline>
        </w:drawing>
      </w:r>
    </w:p>
    <w:p w14:paraId="5416B44E" w14:textId="17A0BAC2" w:rsidR="003F0D91" w:rsidRPr="00430A5E" w:rsidRDefault="006C7750" w:rsidP="007C437C">
      <w:pPr>
        <w:pStyle w:val="Beschriftung"/>
        <w:spacing w:line="360" w:lineRule="auto"/>
        <w:jc w:val="both"/>
        <w:rPr>
          <w:rFonts w:ascii="Arial" w:hAnsi="Arial" w:cs="Arial"/>
          <w:color w:val="auto"/>
          <w:lang w:val="en-US"/>
        </w:rPr>
      </w:pPr>
      <w:bookmarkStart w:id="4" w:name="_Hlk36783841"/>
      <w:r w:rsidRPr="00430A5E">
        <w:rPr>
          <w:rFonts w:ascii="Arial" w:hAnsi="Arial" w:cs="Arial"/>
          <w:b/>
          <w:bCs/>
          <w:color w:val="auto"/>
          <w:lang w:val="en-US"/>
        </w:rPr>
        <w:t xml:space="preserve">Figure </w:t>
      </w:r>
      <w:r w:rsidR="006B0862">
        <w:rPr>
          <w:rFonts w:ascii="Arial" w:hAnsi="Arial" w:cs="Arial"/>
          <w:b/>
          <w:bCs/>
          <w:color w:val="auto"/>
          <w:lang w:val="en-US"/>
        </w:rPr>
        <w:t>1</w:t>
      </w:r>
      <w:r w:rsidRPr="00430A5E">
        <w:rPr>
          <w:rFonts w:ascii="Arial" w:hAnsi="Arial" w:cs="Arial"/>
          <w:color w:val="auto"/>
          <w:lang w:val="en-US"/>
        </w:rPr>
        <w:t xml:space="preserve"> </w:t>
      </w:r>
      <w:r w:rsidR="00292039" w:rsidRPr="00430A5E">
        <w:rPr>
          <w:rFonts w:ascii="Arial" w:hAnsi="Arial" w:cs="Arial"/>
          <w:color w:val="auto"/>
          <w:lang w:val="en-US"/>
        </w:rPr>
        <w:t>Bulk analysis of</w:t>
      </w:r>
      <w:r w:rsidR="00C328FC" w:rsidRPr="00430A5E">
        <w:rPr>
          <w:rFonts w:ascii="Arial" w:hAnsi="Arial" w:cs="Arial"/>
          <w:color w:val="auto"/>
          <w:lang w:val="en-US"/>
        </w:rPr>
        <w:t xml:space="preserve"> </w:t>
      </w:r>
      <w:r w:rsidR="005B5379" w:rsidRPr="00430A5E">
        <w:rPr>
          <w:rFonts w:ascii="Arial" w:hAnsi="Arial" w:cs="Arial"/>
          <w:smallCaps/>
          <w:color w:val="auto"/>
          <w:lang w:val="en-US"/>
        </w:rPr>
        <w:t>L</w:t>
      </w:r>
      <w:r w:rsidR="005B5379" w:rsidRPr="00430A5E">
        <w:rPr>
          <w:rFonts w:ascii="Arial" w:hAnsi="Arial" w:cs="Arial"/>
          <w:color w:val="auto"/>
          <w:lang w:val="en-US"/>
        </w:rPr>
        <w:t>-</w:t>
      </w:r>
      <w:r w:rsidR="00C328FC" w:rsidRPr="00430A5E">
        <w:rPr>
          <w:rFonts w:ascii="Arial" w:hAnsi="Arial" w:cs="Arial"/>
          <w:color w:val="auto"/>
          <w:lang w:val="en-US"/>
        </w:rPr>
        <w:t xml:space="preserve">lysine production </w:t>
      </w:r>
      <w:r w:rsidR="00292039" w:rsidRPr="00430A5E">
        <w:rPr>
          <w:rFonts w:ascii="Arial" w:hAnsi="Arial" w:cs="Arial"/>
          <w:color w:val="auto"/>
          <w:lang w:val="en-US"/>
        </w:rPr>
        <w:t xml:space="preserve">and co-cultures </w:t>
      </w:r>
      <w:r w:rsidR="00C328FC" w:rsidRPr="00430A5E">
        <w:rPr>
          <w:rFonts w:ascii="Arial" w:hAnsi="Arial" w:cs="Arial"/>
          <w:color w:val="auto"/>
          <w:lang w:val="en-US"/>
        </w:rPr>
        <w:t xml:space="preserve">using microtiter plate cultivations. (A) </w:t>
      </w:r>
      <w:r w:rsidR="00F34C1B" w:rsidRPr="00430A5E">
        <w:rPr>
          <w:rFonts w:ascii="Arial" w:hAnsi="Arial" w:cs="Arial"/>
          <w:color w:val="auto"/>
          <w:lang w:val="en-US"/>
        </w:rPr>
        <w:t>Illustration of s</w:t>
      </w:r>
      <w:r w:rsidR="00292039" w:rsidRPr="00430A5E">
        <w:rPr>
          <w:rFonts w:ascii="Arial" w:hAnsi="Arial" w:cs="Arial"/>
          <w:color w:val="auto"/>
          <w:lang w:val="en-US"/>
        </w:rPr>
        <w:t xml:space="preserve">ynthetic co-culture model with uncontrolled interaction between a </w:t>
      </w:r>
      <w:r w:rsidR="00292039" w:rsidRPr="00430A5E">
        <w:rPr>
          <w:rFonts w:ascii="Arial" w:hAnsi="Arial" w:cs="Arial"/>
          <w:smallCaps/>
          <w:color w:val="auto"/>
          <w:lang w:val="en-US"/>
        </w:rPr>
        <w:t>L</w:t>
      </w:r>
      <w:r w:rsidR="00292039" w:rsidRPr="00430A5E">
        <w:rPr>
          <w:rFonts w:ascii="Arial" w:hAnsi="Arial" w:cs="Arial"/>
          <w:color w:val="auto"/>
          <w:lang w:val="en-US"/>
        </w:rPr>
        <w:t xml:space="preserve">-lysine production strain and a </w:t>
      </w:r>
      <w:r w:rsidR="00292039" w:rsidRPr="00430A5E">
        <w:rPr>
          <w:rFonts w:ascii="Arial" w:hAnsi="Arial" w:cs="Arial"/>
          <w:smallCaps/>
          <w:color w:val="auto"/>
          <w:lang w:val="en-US"/>
        </w:rPr>
        <w:t>L</w:t>
      </w:r>
      <w:r w:rsidR="00292039" w:rsidRPr="00430A5E">
        <w:rPr>
          <w:rFonts w:ascii="Arial" w:hAnsi="Arial" w:cs="Arial"/>
          <w:color w:val="auto"/>
          <w:lang w:val="en-US"/>
        </w:rPr>
        <w:t xml:space="preserve">-lysine auxotrophic strain. (B) </w:t>
      </w:r>
      <w:r w:rsidR="00F34C1B" w:rsidRPr="00430A5E">
        <w:rPr>
          <w:rFonts w:ascii="Arial" w:hAnsi="Arial" w:cs="Arial"/>
          <w:color w:val="auto"/>
          <w:lang w:val="en-US"/>
        </w:rPr>
        <w:t>Illustration of s</w:t>
      </w:r>
      <w:r w:rsidR="00292039" w:rsidRPr="00430A5E">
        <w:rPr>
          <w:rFonts w:ascii="Arial" w:hAnsi="Arial" w:cs="Arial"/>
          <w:color w:val="auto"/>
          <w:lang w:val="en-US"/>
        </w:rPr>
        <w:t xml:space="preserve">ynthetic co-culture model with IPTG-controlled L-lysine production, which feeds a </w:t>
      </w:r>
      <w:r w:rsidR="00292039" w:rsidRPr="00430A5E">
        <w:rPr>
          <w:rFonts w:ascii="Arial" w:hAnsi="Arial" w:cs="Arial"/>
          <w:smallCaps/>
          <w:color w:val="auto"/>
          <w:lang w:val="en-US"/>
        </w:rPr>
        <w:t>L</w:t>
      </w:r>
      <w:r w:rsidR="00292039" w:rsidRPr="00430A5E">
        <w:rPr>
          <w:rFonts w:ascii="Arial" w:hAnsi="Arial" w:cs="Arial"/>
          <w:color w:val="auto"/>
          <w:lang w:val="en-US"/>
        </w:rPr>
        <w:t xml:space="preserve">-lysine auxotrophic strain for cell growth. </w:t>
      </w:r>
      <w:r w:rsidR="00F34C1B" w:rsidRPr="00430A5E">
        <w:rPr>
          <w:rFonts w:ascii="Arial" w:hAnsi="Arial" w:cs="Arial"/>
          <w:color w:val="auto"/>
          <w:lang w:val="en-US"/>
        </w:rPr>
        <w:t xml:space="preserve">(C) Measurement of extracellular </w:t>
      </w:r>
      <w:r w:rsidR="00F34C1B" w:rsidRPr="00430A5E">
        <w:rPr>
          <w:rFonts w:ascii="Arial" w:hAnsi="Arial" w:cs="Arial"/>
          <w:smallCaps/>
          <w:color w:val="auto"/>
          <w:lang w:val="en-US"/>
        </w:rPr>
        <w:t>L</w:t>
      </w:r>
      <w:r w:rsidR="00F34C1B" w:rsidRPr="00430A5E">
        <w:rPr>
          <w:rFonts w:ascii="Arial" w:hAnsi="Arial" w:cs="Arial"/>
          <w:color w:val="auto"/>
          <w:lang w:val="en-US"/>
        </w:rPr>
        <w:t>-lysine accumulation during cultivation of C. glutamicum DM1800 and DM1727 pEKEx2-lysC-β</w:t>
      </w:r>
      <w:r w:rsidR="00F34C1B" w:rsidRPr="00430A5E">
        <w:rPr>
          <w:rFonts w:ascii="Arial" w:hAnsi="Arial" w:cs="Arial"/>
          <w:color w:val="auto"/>
          <w:vertAlign w:val="superscript"/>
          <w:lang w:val="en-US"/>
        </w:rPr>
        <w:t>FBR</w:t>
      </w:r>
      <w:r w:rsidR="00F34C1B" w:rsidRPr="00430A5E">
        <w:rPr>
          <w:rFonts w:ascii="Arial" w:hAnsi="Arial" w:cs="Arial"/>
          <w:color w:val="auto"/>
          <w:lang w:val="en-US"/>
        </w:rPr>
        <w:t xml:space="preserve"> with and without IPTG addition. Samples were drawn by a liquid handling system at distinct sampling points and measured via HPLC. Mean values (points) and standard deviations (error bars) were estimated via error propagation from two analytical replicates. (D) </w:t>
      </w:r>
      <w:r w:rsidR="00C328FC" w:rsidRPr="00430A5E">
        <w:rPr>
          <w:rFonts w:ascii="Arial" w:hAnsi="Arial" w:cs="Arial"/>
          <w:color w:val="auto"/>
          <w:lang w:val="en-US"/>
        </w:rPr>
        <w:t>Time course of online backscatter and fluorescence data for</w:t>
      </w:r>
      <w:r w:rsidR="00A05412" w:rsidRPr="00430A5E">
        <w:rPr>
          <w:rFonts w:ascii="Arial" w:hAnsi="Arial" w:cs="Arial"/>
          <w:color w:val="auto"/>
          <w:lang w:val="en-US"/>
        </w:rPr>
        <w:t xml:space="preserve"> co-cultures</w:t>
      </w:r>
      <w:r w:rsidR="0030115E" w:rsidRPr="00430A5E">
        <w:rPr>
          <w:rFonts w:ascii="Arial" w:hAnsi="Arial" w:cs="Arial"/>
          <w:color w:val="auto"/>
          <w:lang w:val="en-US"/>
        </w:rPr>
        <w:t xml:space="preserve"> of C.</w:t>
      </w:r>
      <w:r w:rsidR="00BD4F1C" w:rsidRPr="00430A5E">
        <w:rPr>
          <w:rFonts w:ascii="Arial" w:hAnsi="Arial" w:cs="Arial"/>
          <w:color w:val="auto"/>
          <w:lang w:val="en-US"/>
        </w:rPr>
        <w:t> </w:t>
      </w:r>
      <w:r w:rsidR="0030115E" w:rsidRPr="00430A5E">
        <w:rPr>
          <w:rFonts w:ascii="Arial" w:hAnsi="Arial" w:cs="Arial"/>
          <w:color w:val="auto"/>
          <w:lang w:val="en-US"/>
        </w:rPr>
        <w:t>glutamicum</w:t>
      </w:r>
      <w:r w:rsidR="00C328FC" w:rsidRPr="00430A5E">
        <w:rPr>
          <w:rFonts w:ascii="Arial" w:hAnsi="Arial" w:cs="Arial"/>
          <w:color w:val="auto"/>
          <w:lang w:val="en-US"/>
        </w:rPr>
        <w:t xml:space="preserve"> ΔlysA</w:t>
      </w:r>
      <w:r w:rsidR="00A05412" w:rsidRPr="00430A5E">
        <w:rPr>
          <w:rFonts w:ascii="Arial" w:hAnsi="Arial" w:cs="Arial"/>
          <w:color w:val="auto"/>
          <w:lang w:val="en-US"/>
        </w:rPr>
        <w:t xml:space="preserve"> + </w:t>
      </w:r>
      <w:r w:rsidR="00C328FC" w:rsidRPr="00430A5E">
        <w:rPr>
          <w:rFonts w:ascii="Arial" w:hAnsi="Arial" w:cs="Arial"/>
          <w:color w:val="auto"/>
          <w:lang w:val="en-US"/>
        </w:rPr>
        <w:t>DM1800</w:t>
      </w:r>
      <w:r w:rsidR="00A05412" w:rsidRPr="00430A5E">
        <w:rPr>
          <w:rFonts w:ascii="Arial" w:hAnsi="Arial" w:cs="Arial"/>
          <w:color w:val="auto"/>
          <w:lang w:val="en-US"/>
        </w:rPr>
        <w:t xml:space="preserve"> and</w:t>
      </w:r>
      <w:r w:rsidR="003528AD" w:rsidRPr="00430A5E">
        <w:rPr>
          <w:rFonts w:ascii="Arial" w:hAnsi="Arial" w:cs="Arial"/>
          <w:color w:val="auto"/>
          <w:lang w:val="en-US"/>
        </w:rPr>
        <w:t xml:space="preserve"> C. glutamicum </w:t>
      </w:r>
      <w:r w:rsidR="00A05412" w:rsidRPr="00430A5E">
        <w:rPr>
          <w:rFonts w:ascii="Arial" w:hAnsi="Arial" w:cs="Arial"/>
          <w:color w:val="auto"/>
          <w:lang w:val="en-US"/>
        </w:rPr>
        <w:t>ΔlysA + DM1727 pEKEx2-lysC-β</w:t>
      </w:r>
      <w:r w:rsidR="00A05412" w:rsidRPr="00430A5E">
        <w:rPr>
          <w:rFonts w:ascii="Arial" w:hAnsi="Arial" w:cs="Arial"/>
          <w:color w:val="auto"/>
          <w:vertAlign w:val="superscript"/>
          <w:lang w:val="en-US"/>
        </w:rPr>
        <w:t xml:space="preserve">FBR </w:t>
      </w:r>
      <w:r w:rsidR="00A05412" w:rsidRPr="00430A5E">
        <w:rPr>
          <w:rFonts w:ascii="Arial" w:hAnsi="Arial" w:cs="Arial"/>
          <w:color w:val="auto"/>
          <w:lang w:val="en-US"/>
        </w:rPr>
        <w:t>with and without IPTG</w:t>
      </w:r>
      <w:r w:rsidR="00C328FC" w:rsidRPr="00430A5E">
        <w:rPr>
          <w:rFonts w:ascii="Arial" w:hAnsi="Arial" w:cs="Arial"/>
          <w:color w:val="auto"/>
          <w:lang w:val="en-US"/>
        </w:rPr>
        <w:t>. Mean values (lines) and standard deviations (underlaying areas) were estimated from three independent replic</w:t>
      </w:r>
      <w:r w:rsidR="00F34C1B" w:rsidRPr="00430A5E">
        <w:rPr>
          <w:rFonts w:ascii="Arial" w:hAnsi="Arial" w:cs="Arial"/>
          <w:color w:val="auto"/>
          <w:lang w:val="en-US"/>
        </w:rPr>
        <w:t>ate cultures, respectively.</w:t>
      </w:r>
    </w:p>
    <w:bookmarkEnd w:id="4"/>
    <w:p w14:paraId="4CA4B496" w14:textId="0AFD95AC" w:rsidR="003F0D91" w:rsidRPr="00430A5E" w:rsidRDefault="003F0D91" w:rsidP="007C437C">
      <w:pPr>
        <w:spacing w:after="0" w:line="360" w:lineRule="auto"/>
        <w:jc w:val="both"/>
        <w:rPr>
          <w:rFonts w:ascii="Arial" w:hAnsi="Arial" w:cs="Arial"/>
          <w:lang w:val="en-US"/>
        </w:rPr>
      </w:pPr>
    </w:p>
    <w:tbl>
      <w:tblPr>
        <w:tblStyle w:val="Tabellenraster"/>
        <w:tblpPr w:leftFromText="141" w:rightFromText="141" w:horzAnchor="margin" w:tblpY="945"/>
        <w:tblW w:w="9067" w:type="dxa"/>
        <w:tblLook w:val="04A0" w:firstRow="1" w:lastRow="0" w:firstColumn="1" w:lastColumn="0" w:noHBand="0" w:noVBand="1"/>
      </w:tblPr>
      <w:tblGrid>
        <w:gridCol w:w="4531"/>
        <w:gridCol w:w="4536"/>
      </w:tblGrid>
      <w:tr w:rsidR="00430A5E" w:rsidRPr="00616C12" w14:paraId="6700E802" w14:textId="77777777" w:rsidTr="00850CBF">
        <w:tc>
          <w:tcPr>
            <w:tcW w:w="4531" w:type="dxa"/>
          </w:tcPr>
          <w:p w14:paraId="2CB503F9" w14:textId="431FA5D5" w:rsidR="00D837C2" w:rsidRPr="00430A5E" w:rsidRDefault="00850CBF" w:rsidP="00466711">
            <w:pPr>
              <w:rPr>
                <w:rFonts w:ascii="Arial" w:hAnsi="Arial" w:cs="Arial"/>
                <w:b/>
                <w:bCs/>
                <w:lang w:val="en-US"/>
              </w:rPr>
            </w:pPr>
            <w:r w:rsidRPr="00430A5E">
              <w:rPr>
                <w:rFonts w:ascii="Arial" w:hAnsi="Arial" w:cs="Arial"/>
                <w:b/>
                <w:bCs/>
                <w:lang w:val="en-US"/>
              </w:rPr>
              <w:lastRenderedPageBreak/>
              <w:t>Co-culture and c</w:t>
            </w:r>
            <w:r w:rsidR="00D837C2" w:rsidRPr="00430A5E">
              <w:rPr>
                <w:rFonts w:ascii="Arial" w:hAnsi="Arial" w:cs="Arial"/>
                <w:b/>
                <w:bCs/>
                <w:lang w:val="en-US"/>
              </w:rPr>
              <w:t>ondition</w:t>
            </w:r>
          </w:p>
        </w:tc>
        <w:tc>
          <w:tcPr>
            <w:tcW w:w="4536" w:type="dxa"/>
          </w:tcPr>
          <w:p w14:paraId="376634B5" w14:textId="1EA7C952" w:rsidR="00D837C2" w:rsidRPr="00430A5E" w:rsidRDefault="00D837C2" w:rsidP="00466711">
            <w:pPr>
              <w:rPr>
                <w:rFonts w:ascii="Arial" w:hAnsi="Arial" w:cs="Arial"/>
                <w:b/>
                <w:bCs/>
                <w:lang w:val="en-US"/>
              </w:rPr>
            </w:pPr>
            <w:r w:rsidRPr="00430A5E">
              <w:rPr>
                <w:rFonts w:ascii="Arial" w:hAnsi="Arial" w:cs="Arial"/>
                <w:b/>
                <w:bCs/>
                <w:lang w:val="en-US"/>
              </w:rPr>
              <w:t xml:space="preserve">Average specific growth rate </w:t>
            </w:r>
            <w:r w:rsidR="00850CBF" w:rsidRPr="00430A5E">
              <w:rPr>
                <w:rFonts w:ascii="Arial" w:hAnsi="Arial" w:cs="Arial"/>
                <w:b/>
                <w:bCs/>
                <w:lang w:val="en-US"/>
              </w:rPr>
              <w:t>(</w:t>
            </w:r>
            <w:r w:rsidRPr="00430A5E">
              <w:rPr>
                <w:rFonts w:ascii="Arial" w:hAnsi="Arial" w:cs="Arial"/>
                <w:b/>
                <w:bCs/>
                <w:lang w:val="en-US"/>
              </w:rPr>
              <w:t>h</w:t>
            </w:r>
            <w:r w:rsidRPr="00430A5E">
              <w:rPr>
                <w:rFonts w:ascii="Arial" w:hAnsi="Arial" w:cs="Arial"/>
                <w:b/>
                <w:bCs/>
                <w:vertAlign w:val="superscript"/>
                <w:lang w:val="en-US"/>
              </w:rPr>
              <w:t>-1</w:t>
            </w:r>
            <w:r w:rsidR="00850CBF" w:rsidRPr="00430A5E">
              <w:rPr>
                <w:rFonts w:ascii="Arial" w:hAnsi="Arial" w:cs="Arial"/>
                <w:b/>
                <w:bCs/>
                <w:lang w:val="en-US"/>
              </w:rPr>
              <w:t>)</w:t>
            </w:r>
          </w:p>
        </w:tc>
      </w:tr>
      <w:tr w:rsidR="00430A5E" w:rsidRPr="00430A5E" w14:paraId="1507DBC2" w14:textId="77777777" w:rsidTr="00850CBF">
        <w:tc>
          <w:tcPr>
            <w:tcW w:w="4531" w:type="dxa"/>
            <w:vAlign w:val="center"/>
          </w:tcPr>
          <w:p w14:paraId="676658D5" w14:textId="77777777" w:rsidR="00850CBF" w:rsidRPr="00430A5E" w:rsidRDefault="00D837C2" w:rsidP="00850CBF">
            <w:pPr>
              <w:rPr>
                <w:rFonts w:ascii="Arial" w:hAnsi="Arial" w:cs="Arial"/>
              </w:rPr>
            </w:pPr>
            <w:r w:rsidRPr="00430A5E">
              <w:rPr>
                <w:rFonts w:ascii="Arial" w:hAnsi="Arial" w:cs="Arial"/>
                <w:lang w:val="en-US"/>
              </w:rPr>
              <w:t>Δ</w:t>
            </w:r>
            <w:r w:rsidRPr="00430A5E">
              <w:rPr>
                <w:rFonts w:ascii="Arial" w:hAnsi="Arial" w:cs="Arial"/>
                <w:i/>
                <w:iCs/>
              </w:rPr>
              <w:t>lysA</w:t>
            </w:r>
            <w:r w:rsidRPr="00430A5E">
              <w:rPr>
                <w:rFonts w:ascii="Arial" w:hAnsi="Arial" w:cs="Arial"/>
              </w:rPr>
              <w:t xml:space="preserve"> + DM1727 </w:t>
            </w:r>
            <w:r w:rsidR="00850CBF" w:rsidRPr="00430A5E">
              <w:rPr>
                <w:rFonts w:ascii="Arial" w:hAnsi="Arial" w:cs="Arial"/>
              </w:rPr>
              <w:t>pEKEx2-</w:t>
            </w:r>
            <w:r w:rsidR="00850CBF" w:rsidRPr="00430A5E">
              <w:rPr>
                <w:rFonts w:ascii="Arial" w:hAnsi="Arial" w:cs="Arial"/>
                <w:i/>
                <w:iCs/>
              </w:rPr>
              <w:t>lysC</w:t>
            </w:r>
            <w:r w:rsidR="00850CBF" w:rsidRPr="00430A5E">
              <w:rPr>
                <w:rFonts w:ascii="Arial" w:hAnsi="Arial" w:cs="Arial"/>
              </w:rPr>
              <w:t>-</w:t>
            </w:r>
            <w:r w:rsidR="00850CBF" w:rsidRPr="00430A5E">
              <w:rPr>
                <w:rFonts w:ascii="Arial" w:hAnsi="Arial" w:cs="Arial"/>
                <w:lang w:val="en-US"/>
              </w:rPr>
              <w:t>β</w:t>
            </w:r>
            <w:r w:rsidR="00850CBF" w:rsidRPr="00430A5E">
              <w:rPr>
                <w:rFonts w:ascii="Arial" w:hAnsi="Arial" w:cs="Arial"/>
                <w:vertAlign w:val="superscript"/>
              </w:rPr>
              <w:t>FBR</w:t>
            </w:r>
            <w:r w:rsidRPr="00430A5E">
              <w:rPr>
                <w:rFonts w:ascii="Arial" w:hAnsi="Arial" w:cs="Arial"/>
              </w:rPr>
              <w:t xml:space="preserve">, </w:t>
            </w:r>
          </w:p>
          <w:p w14:paraId="28D16FEB" w14:textId="633445CB" w:rsidR="00D837C2" w:rsidRPr="00430A5E" w:rsidRDefault="00D837C2" w:rsidP="00850CBF">
            <w:pPr>
              <w:rPr>
                <w:rFonts w:ascii="Arial" w:hAnsi="Arial" w:cs="Arial"/>
                <w:lang w:val="en-US"/>
              </w:rPr>
            </w:pPr>
            <w:r w:rsidRPr="00430A5E">
              <w:rPr>
                <w:rFonts w:ascii="Arial" w:hAnsi="Arial" w:cs="Arial"/>
                <w:lang w:val="en-US"/>
              </w:rPr>
              <w:t>CGXII + 15 µM IPTG</w:t>
            </w:r>
          </w:p>
        </w:tc>
        <w:tc>
          <w:tcPr>
            <w:tcW w:w="4536" w:type="dxa"/>
            <w:vAlign w:val="center"/>
          </w:tcPr>
          <w:p w14:paraId="05BF4006" w14:textId="77777777" w:rsidR="00D837C2" w:rsidRPr="00430A5E" w:rsidRDefault="00D837C2" w:rsidP="00850CBF">
            <w:pPr>
              <w:rPr>
                <w:rFonts w:ascii="Arial" w:hAnsi="Arial" w:cs="Arial"/>
                <w:lang w:val="en-US"/>
              </w:rPr>
            </w:pPr>
            <w:r w:rsidRPr="00430A5E">
              <w:rPr>
                <w:rFonts w:ascii="Arial" w:hAnsi="Arial" w:cs="Arial"/>
                <w:lang w:val="en-US"/>
              </w:rPr>
              <w:t>0.36 ± 0.01</w:t>
            </w:r>
          </w:p>
        </w:tc>
      </w:tr>
      <w:tr w:rsidR="00430A5E" w:rsidRPr="00430A5E" w14:paraId="03308190" w14:textId="77777777" w:rsidTr="00850CBF">
        <w:tc>
          <w:tcPr>
            <w:tcW w:w="4531" w:type="dxa"/>
            <w:vAlign w:val="center"/>
          </w:tcPr>
          <w:p w14:paraId="73761363" w14:textId="48174054" w:rsidR="00850CBF" w:rsidRPr="00430A5E" w:rsidRDefault="00D837C2" w:rsidP="00850CBF">
            <w:pPr>
              <w:rPr>
                <w:rFonts w:ascii="Arial" w:hAnsi="Arial" w:cs="Arial"/>
              </w:rPr>
            </w:pPr>
            <w:r w:rsidRPr="00430A5E">
              <w:rPr>
                <w:rFonts w:ascii="Arial" w:hAnsi="Arial" w:cs="Arial"/>
                <w:lang w:val="en-US"/>
              </w:rPr>
              <w:t>Δ</w:t>
            </w:r>
            <w:r w:rsidRPr="00430A5E">
              <w:rPr>
                <w:rFonts w:ascii="Arial" w:hAnsi="Arial" w:cs="Arial"/>
                <w:i/>
                <w:iCs/>
              </w:rPr>
              <w:t>lysA</w:t>
            </w:r>
            <w:r w:rsidRPr="00430A5E">
              <w:rPr>
                <w:rFonts w:ascii="Arial" w:hAnsi="Arial" w:cs="Arial"/>
              </w:rPr>
              <w:t xml:space="preserve"> + </w:t>
            </w:r>
            <w:r w:rsidR="00850CBF" w:rsidRPr="00430A5E">
              <w:rPr>
                <w:rFonts w:ascii="Arial" w:hAnsi="Arial" w:cs="Arial"/>
              </w:rPr>
              <w:t>DM1727 pEKEx2-</w:t>
            </w:r>
            <w:r w:rsidR="00850CBF" w:rsidRPr="00430A5E">
              <w:rPr>
                <w:rFonts w:ascii="Arial" w:hAnsi="Arial" w:cs="Arial"/>
                <w:i/>
                <w:iCs/>
              </w:rPr>
              <w:t>lysC</w:t>
            </w:r>
            <w:r w:rsidR="00850CBF" w:rsidRPr="00430A5E">
              <w:rPr>
                <w:rFonts w:ascii="Arial" w:hAnsi="Arial" w:cs="Arial"/>
              </w:rPr>
              <w:t>-</w:t>
            </w:r>
            <w:r w:rsidR="00850CBF" w:rsidRPr="00430A5E">
              <w:rPr>
                <w:rFonts w:ascii="Arial" w:hAnsi="Arial" w:cs="Arial"/>
                <w:lang w:val="en-US"/>
              </w:rPr>
              <w:t>β</w:t>
            </w:r>
            <w:r w:rsidR="00850CBF" w:rsidRPr="00430A5E">
              <w:rPr>
                <w:rFonts w:ascii="Arial" w:hAnsi="Arial" w:cs="Arial"/>
                <w:vertAlign w:val="superscript"/>
              </w:rPr>
              <w:t>FBR</w:t>
            </w:r>
            <w:r w:rsidRPr="00430A5E">
              <w:rPr>
                <w:rFonts w:ascii="Arial" w:hAnsi="Arial" w:cs="Arial"/>
              </w:rPr>
              <w:t xml:space="preserve">, </w:t>
            </w:r>
          </w:p>
          <w:p w14:paraId="69865014" w14:textId="1DC6ECC5" w:rsidR="00D837C2" w:rsidRPr="00430A5E" w:rsidRDefault="00D837C2" w:rsidP="00850CBF">
            <w:pPr>
              <w:rPr>
                <w:rFonts w:ascii="Arial" w:hAnsi="Arial" w:cs="Arial"/>
                <w:lang w:val="en-US"/>
              </w:rPr>
            </w:pPr>
            <w:r w:rsidRPr="00430A5E">
              <w:rPr>
                <w:rFonts w:ascii="Arial" w:hAnsi="Arial" w:cs="Arial"/>
                <w:lang w:val="en-US"/>
              </w:rPr>
              <w:t>CGXII</w:t>
            </w:r>
          </w:p>
        </w:tc>
        <w:tc>
          <w:tcPr>
            <w:tcW w:w="4536" w:type="dxa"/>
            <w:vAlign w:val="center"/>
          </w:tcPr>
          <w:p w14:paraId="60BB0EB8" w14:textId="77777777" w:rsidR="00D837C2" w:rsidRPr="00430A5E" w:rsidRDefault="00D837C2" w:rsidP="00850CBF">
            <w:pPr>
              <w:rPr>
                <w:rFonts w:ascii="Arial" w:hAnsi="Arial" w:cs="Arial"/>
                <w:lang w:val="en-US"/>
              </w:rPr>
            </w:pPr>
            <w:r w:rsidRPr="00430A5E">
              <w:rPr>
                <w:rFonts w:ascii="Arial" w:hAnsi="Arial" w:cs="Arial"/>
                <w:lang w:val="en-US"/>
              </w:rPr>
              <w:t>0.38 ± 0.01</w:t>
            </w:r>
          </w:p>
        </w:tc>
      </w:tr>
      <w:tr w:rsidR="00430A5E" w:rsidRPr="00430A5E" w14:paraId="04FCE50F" w14:textId="77777777" w:rsidTr="00850CBF">
        <w:tc>
          <w:tcPr>
            <w:tcW w:w="4531" w:type="dxa"/>
            <w:vAlign w:val="center"/>
          </w:tcPr>
          <w:p w14:paraId="677156E0" w14:textId="77777777" w:rsidR="00850CBF" w:rsidRPr="00430A5E" w:rsidRDefault="00D837C2" w:rsidP="00850CBF">
            <w:pPr>
              <w:rPr>
                <w:rFonts w:ascii="Arial" w:hAnsi="Arial" w:cs="Arial"/>
                <w:lang w:val="en-US"/>
              </w:rPr>
            </w:pPr>
            <w:r w:rsidRPr="00430A5E">
              <w:rPr>
                <w:rFonts w:ascii="Arial" w:hAnsi="Arial" w:cs="Arial"/>
                <w:lang w:val="en-US"/>
              </w:rPr>
              <w:t>Δ</w:t>
            </w:r>
            <w:r w:rsidRPr="00430A5E">
              <w:rPr>
                <w:rFonts w:ascii="Arial" w:hAnsi="Arial" w:cs="Arial"/>
                <w:i/>
                <w:iCs/>
                <w:lang w:val="en-US"/>
              </w:rPr>
              <w:t>lysA</w:t>
            </w:r>
            <w:r w:rsidRPr="00430A5E">
              <w:rPr>
                <w:rFonts w:ascii="Arial" w:hAnsi="Arial" w:cs="Arial"/>
                <w:lang w:val="en-US"/>
              </w:rPr>
              <w:t xml:space="preserve"> + DM1800, </w:t>
            </w:r>
          </w:p>
          <w:p w14:paraId="76E7272F" w14:textId="1821E595" w:rsidR="00D837C2" w:rsidRPr="00430A5E" w:rsidRDefault="00D837C2" w:rsidP="00850CBF">
            <w:pPr>
              <w:rPr>
                <w:rFonts w:ascii="Arial" w:hAnsi="Arial" w:cs="Arial"/>
                <w:lang w:val="en-US"/>
              </w:rPr>
            </w:pPr>
            <w:r w:rsidRPr="00430A5E">
              <w:rPr>
                <w:rFonts w:ascii="Arial" w:hAnsi="Arial" w:cs="Arial"/>
                <w:lang w:val="en-US"/>
              </w:rPr>
              <w:t>CGXII</w:t>
            </w:r>
          </w:p>
        </w:tc>
        <w:tc>
          <w:tcPr>
            <w:tcW w:w="4536" w:type="dxa"/>
            <w:vAlign w:val="center"/>
          </w:tcPr>
          <w:p w14:paraId="1CD726EC" w14:textId="77777777" w:rsidR="00D837C2" w:rsidRPr="00430A5E" w:rsidRDefault="00D837C2" w:rsidP="00850CBF">
            <w:pPr>
              <w:rPr>
                <w:rFonts w:ascii="Arial" w:hAnsi="Arial" w:cs="Arial"/>
                <w:lang w:val="en-US"/>
              </w:rPr>
            </w:pPr>
            <w:r w:rsidRPr="00430A5E">
              <w:rPr>
                <w:rFonts w:ascii="Arial" w:hAnsi="Arial" w:cs="Arial"/>
                <w:lang w:val="en-US"/>
              </w:rPr>
              <w:t>0.39 ± 0.01</w:t>
            </w:r>
          </w:p>
        </w:tc>
      </w:tr>
    </w:tbl>
    <w:p w14:paraId="74EC2233" w14:textId="71B40B0A" w:rsidR="00D837C2" w:rsidRPr="00430A5E" w:rsidRDefault="00D837C2" w:rsidP="00D837C2">
      <w:pPr>
        <w:jc w:val="both"/>
        <w:rPr>
          <w:rFonts w:ascii="Arial" w:hAnsi="Arial" w:cs="Arial"/>
          <w:i/>
          <w:iCs/>
          <w:sz w:val="18"/>
          <w:szCs w:val="18"/>
          <w:lang w:val="en-US"/>
        </w:rPr>
      </w:pPr>
      <w:r w:rsidRPr="00430A5E">
        <w:rPr>
          <w:rFonts w:ascii="Arial" w:hAnsi="Arial" w:cs="Arial"/>
          <w:b/>
          <w:bCs/>
          <w:i/>
          <w:iCs/>
          <w:sz w:val="18"/>
          <w:szCs w:val="18"/>
          <w:lang w:val="en-US"/>
        </w:rPr>
        <w:t xml:space="preserve">Table </w:t>
      </w:r>
      <w:r w:rsidR="006B0862">
        <w:rPr>
          <w:rFonts w:ascii="Arial" w:hAnsi="Arial" w:cs="Arial"/>
          <w:b/>
          <w:bCs/>
          <w:i/>
          <w:iCs/>
          <w:sz w:val="18"/>
          <w:szCs w:val="18"/>
          <w:lang w:val="en-US"/>
        </w:rPr>
        <w:t>2</w:t>
      </w:r>
      <w:r w:rsidRPr="00430A5E">
        <w:rPr>
          <w:rFonts w:ascii="Arial" w:hAnsi="Arial" w:cs="Arial"/>
          <w:i/>
          <w:iCs/>
          <w:sz w:val="18"/>
          <w:szCs w:val="18"/>
          <w:lang w:val="en-US"/>
        </w:rPr>
        <w:t xml:space="preserve"> Average growth rates of co-cultures in microtiter plate cultivations. Growth rates and standard deviations were calculated from three independent replicates using spline approximation.</w:t>
      </w:r>
    </w:p>
    <w:p w14:paraId="6AB3B58D" w14:textId="11BD0016" w:rsidR="00D837C2" w:rsidRPr="00430A5E" w:rsidRDefault="00D837C2" w:rsidP="007C437C">
      <w:pPr>
        <w:spacing w:after="0" w:line="360" w:lineRule="auto"/>
        <w:rPr>
          <w:rFonts w:ascii="Arial" w:hAnsi="Arial" w:cs="Arial"/>
          <w:b/>
          <w:sz w:val="24"/>
          <w:szCs w:val="24"/>
          <w:lang w:val="en-US"/>
        </w:rPr>
      </w:pPr>
    </w:p>
    <w:p w14:paraId="3FA4CED1" w14:textId="77777777" w:rsidR="00D837C2" w:rsidRPr="00430A5E" w:rsidRDefault="00D837C2" w:rsidP="007C437C">
      <w:pPr>
        <w:spacing w:after="0" w:line="360" w:lineRule="auto"/>
        <w:rPr>
          <w:rFonts w:ascii="Arial" w:hAnsi="Arial" w:cs="Arial"/>
          <w:b/>
          <w:sz w:val="24"/>
          <w:szCs w:val="24"/>
          <w:lang w:val="en-US"/>
        </w:rPr>
      </w:pPr>
    </w:p>
    <w:p w14:paraId="2775381C" w14:textId="4E6544DD" w:rsidR="00C419AA" w:rsidRPr="00430A5E" w:rsidRDefault="00ED612F" w:rsidP="007C437C">
      <w:pPr>
        <w:spacing w:after="0" w:line="360" w:lineRule="auto"/>
        <w:rPr>
          <w:rFonts w:ascii="Arial" w:hAnsi="Arial" w:cs="Arial"/>
          <w:b/>
          <w:sz w:val="24"/>
          <w:szCs w:val="24"/>
          <w:lang w:val="en-US"/>
        </w:rPr>
      </w:pPr>
      <w:r w:rsidRPr="00430A5E">
        <w:rPr>
          <w:rFonts w:ascii="Arial" w:hAnsi="Arial" w:cs="Arial"/>
          <w:b/>
          <w:sz w:val="24"/>
          <w:szCs w:val="24"/>
          <w:lang w:val="en-US"/>
        </w:rPr>
        <w:t>Interaction a</w:t>
      </w:r>
      <w:r w:rsidR="007166DD" w:rsidRPr="00430A5E">
        <w:rPr>
          <w:rFonts w:ascii="Arial" w:hAnsi="Arial" w:cs="Arial"/>
          <w:b/>
          <w:sz w:val="24"/>
          <w:szCs w:val="24"/>
          <w:lang w:val="en-US"/>
        </w:rPr>
        <w:t>nalysis</w:t>
      </w:r>
      <w:r w:rsidR="00EF7BBA" w:rsidRPr="00430A5E">
        <w:rPr>
          <w:rFonts w:ascii="Arial" w:hAnsi="Arial" w:cs="Arial"/>
          <w:b/>
          <w:sz w:val="24"/>
          <w:szCs w:val="24"/>
          <w:lang w:val="en-US"/>
        </w:rPr>
        <w:t xml:space="preserve"> </w:t>
      </w:r>
      <w:r w:rsidR="00AA5426" w:rsidRPr="00430A5E">
        <w:rPr>
          <w:rFonts w:ascii="Arial" w:hAnsi="Arial" w:cs="Arial"/>
          <w:b/>
          <w:sz w:val="24"/>
          <w:szCs w:val="24"/>
          <w:lang w:val="en-US"/>
        </w:rPr>
        <w:t>on microcolony level</w:t>
      </w:r>
    </w:p>
    <w:p w14:paraId="04049556" w14:textId="77777777" w:rsidR="00EF7BBA" w:rsidRPr="00430A5E" w:rsidRDefault="00EF7BBA" w:rsidP="007C437C">
      <w:pPr>
        <w:spacing w:after="0" w:line="360" w:lineRule="auto"/>
        <w:rPr>
          <w:rFonts w:ascii="Arial" w:hAnsi="Arial" w:cs="Arial"/>
          <w:lang w:val="en-US"/>
        </w:rPr>
      </w:pPr>
    </w:p>
    <w:p w14:paraId="36B85925" w14:textId="79709CE6" w:rsidR="00C419AA" w:rsidRPr="00430A5E" w:rsidRDefault="00DF6E0F" w:rsidP="007C437C">
      <w:pPr>
        <w:spacing w:after="0" w:line="360" w:lineRule="auto"/>
        <w:jc w:val="both"/>
        <w:rPr>
          <w:rFonts w:ascii="Arial" w:hAnsi="Arial" w:cs="Arial"/>
          <w:lang w:val="en-US"/>
        </w:rPr>
      </w:pPr>
      <w:r w:rsidRPr="00430A5E">
        <w:rPr>
          <w:rFonts w:ascii="Arial" w:hAnsi="Arial" w:cs="Arial"/>
          <w:lang w:val="en-US"/>
        </w:rPr>
        <w:t xml:space="preserve">For microfluidic co-cultivation experiments, cells were cultivated in monolayer growth chambers, which restricted cell growth to </w:t>
      </w:r>
      <w:r w:rsidR="005A15C9" w:rsidRPr="00430A5E">
        <w:rPr>
          <w:rFonts w:ascii="Arial" w:hAnsi="Arial" w:cs="Arial"/>
          <w:lang w:val="en-US"/>
        </w:rPr>
        <w:t>a single cell</w:t>
      </w:r>
      <w:r w:rsidRPr="00430A5E">
        <w:rPr>
          <w:rFonts w:ascii="Arial" w:hAnsi="Arial" w:cs="Arial"/>
          <w:lang w:val="en-US"/>
        </w:rPr>
        <w:t xml:space="preserve"> layer</w:t>
      </w:r>
      <w:r w:rsidR="005A15C9" w:rsidRPr="00430A5E">
        <w:rPr>
          <w:rFonts w:ascii="Arial" w:hAnsi="Arial" w:cs="Arial"/>
          <w:lang w:val="en-US"/>
        </w:rPr>
        <w:t xml:space="preserve"> ideally</w:t>
      </w:r>
      <w:r w:rsidRPr="00430A5E">
        <w:rPr>
          <w:rFonts w:ascii="Arial" w:hAnsi="Arial" w:cs="Arial"/>
          <w:lang w:val="en-US"/>
        </w:rPr>
        <w:t xml:space="preserve"> for</w:t>
      </w:r>
      <w:r w:rsidR="005A15C9" w:rsidRPr="00430A5E">
        <w:rPr>
          <w:rFonts w:ascii="Arial" w:hAnsi="Arial" w:cs="Arial"/>
          <w:lang w:val="en-US"/>
        </w:rPr>
        <w:t xml:space="preserve"> the</w:t>
      </w:r>
      <w:r w:rsidRPr="00430A5E">
        <w:rPr>
          <w:rFonts w:ascii="Arial" w:hAnsi="Arial" w:cs="Arial"/>
          <w:lang w:val="en-US"/>
        </w:rPr>
        <w:t xml:space="preserve"> </w:t>
      </w:r>
      <w:r w:rsidR="005A15C9" w:rsidRPr="00430A5E">
        <w:rPr>
          <w:rFonts w:ascii="Arial" w:hAnsi="Arial" w:cs="Arial"/>
          <w:lang w:val="en-US"/>
        </w:rPr>
        <w:t>subsequent image analysis</w:t>
      </w:r>
      <w:r w:rsidR="003D068F" w:rsidRPr="00430A5E">
        <w:rPr>
          <w:rFonts w:ascii="Arial" w:hAnsi="Arial" w:cs="Arial"/>
          <w:lang w:val="en-US"/>
        </w:rPr>
        <w:t>.</w:t>
      </w:r>
      <w:r w:rsidR="000E79BC" w:rsidRPr="00430A5E">
        <w:rPr>
          <w:rFonts w:ascii="Arial" w:hAnsi="Arial" w:cs="Arial"/>
          <w:lang w:val="en-US"/>
        </w:rPr>
        <w:fldChar w:fldCharType="begin" w:fldLock="1"/>
      </w:r>
      <w:r w:rsidR="00F74091">
        <w:rPr>
          <w:rFonts w:ascii="Arial" w:hAnsi="Arial" w:cs="Arial"/>
          <w:lang w:val="en-US"/>
        </w:rPr>
        <w:instrText>ADDIN CSL_CITATION {"citationItems":[{"id":"ITEM-1","itemData":{"DOI":"10.1002/cyto.a.22779","ISSN":"15524930","PMID":"26348020","abstract":"Cell-to-cell heterogeneity typically evolves due to a manifold of biological and environmental factors and special phenotypes are often relevant for the fate of the whole population but challenging to detect during conventional analysis. We demonstrate a microfluidic single-cell cultivation platform that incorporates several hundred growth chambers, in which isogenic bacteria microcolonies growing in cell monolayers are tracked by automated time-lapse microscopy with spatiotemporal resolution. The device was not explicitly developed for a specific organism, but has a very generic configuration suitable for various different microbial organisms. In the present study, we analyzed Corynebacterium glutamicum microcolonies, thereby generating complete lineage trees and detailed single-cell data on division behavior and morphology in order to demonstrate the platform's overall capabilities. Furthermore, the occurrence of spontaneously induced stress in individual C. glutamicum cells was investigated by analyzing strains with genetically encoded reporter systems and optically visualizing SOS response. The experiments revealed spontaneous SOS induction in the absence of any external trigger comparable to results obtained by flow cytometry (FC) analyzing cell samples from conventional shake flask cultivation. Our microfluidic setup delivers detailed single-cell data with spatial and temporal resolution; complementary information to conventional FC results. © 2015 International Society for Advancement of Cytometry.","author":[{"dropping-particle":"","family":"Grünberger","given":"Alexander","non-dropping-particle":"","parse-names":false,"suffix":""},{"dropping-particle":"","family":"Probst","given":"Christopher","non-dropping-particle":"","parse-names":false,"suffix":""},{"dropping-particle":"","family":"Helfrich","given":"Stefan","non-dropping-particle":"","parse-names":false,"suffix":""},{"dropping-particle":"","family":"Nanda","given":"Arun","non-dropping-particle":"","parse-names":false,"suffix":""},{"dropping-particle":"","family":"Stute","given":"Birgit","non-dropping-particle":"","parse-names":false,"suffix":""},{"dropping-particle":"","family":"Wiechert","given":"Wolfgang","non-dropping-particle":"","parse-names":false,"suffix":""},{"dropping-particle":"","family":"Lieres","given":"Eric","non-dropping-particle":"von","parse-names":false,"suffix":""},{"dropping-particle":"","family":"Nöh","given":"Katharina","non-dropping-particle":"","parse-names":false,"suffix":""},{"dropping-particle":"","family":"Frunzke","given":"Julia","non-dropping-particle":"","parse-names":false,"suffix":""},{"dropping-particle":"","family":"Kohlheyer","given":"Dietrich","non-dropping-particle":"","parse-names":false,"suffix":""}],"container-title":"Cytometry Part A","id":"ITEM-1","issue":"12","issued":{"date-parts":[["2015"]]},"page":"1101-1115","title":"Spatiotemporal microbial single-cell analysis using a high-throughput microfluidics cultivation platform","type":"article-journal","volume":"87"},"uris":["http://www.mendeley.com/documents/?uuid=3482cd78-b518-4c28-a017-c595eadaf070"]}],"mendeley":{"formattedCitation":"&lt;sup&gt;34&lt;/sup&gt;","plainTextFormattedCitation":"34","previouslyFormattedCitation":"&lt;sup&gt;51&lt;/sup&gt;"},"properties":{"noteIndex":0},"schema":"https://github.com/citation-style-language/schema/raw/master/csl-citation.json"}</w:instrText>
      </w:r>
      <w:r w:rsidR="000E79BC" w:rsidRPr="00430A5E">
        <w:rPr>
          <w:rFonts w:ascii="Arial" w:hAnsi="Arial" w:cs="Arial"/>
          <w:lang w:val="en-US"/>
        </w:rPr>
        <w:fldChar w:fldCharType="separate"/>
      </w:r>
      <w:r w:rsidR="00F74091" w:rsidRPr="00F74091">
        <w:rPr>
          <w:rFonts w:ascii="Arial" w:hAnsi="Arial" w:cs="Arial"/>
          <w:noProof/>
          <w:vertAlign w:val="superscript"/>
          <w:lang w:val="en-US"/>
        </w:rPr>
        <w:t>34</w:t>
      </w:r>
      <w:r w:rsidR="000E79BC" w:rsidRPr="00430A5E">
        <w:rPr>
          <w:rFonts w:ascii="Arial" w:hAnsi="Arial" w:cs="Arial"/>
          <w:lang w:val="en-US"/>
        </w:rPr>
        <w:fldChar w:fldCharType="end"/>
      </w:r>
      <w:r w:rsidR="00714300" w:rsidRPr="00430A5E">
        <w:rPr>
          <w:rFonts w:ascii="Arial" w:hAnsi="Arial" w:cs="Arial"/>
          <w:lang w:val="en-US"/>
        </w:rPr>
        <w:t xml:space="preserve"> </w:t>
      </w:r>
      <w:r w:rsidR="00EF7BBA" w:rsidRPr="00430A5E">
        <w:rPr>
          <w:rFonts w:ascii="Arial" w:hAnsi="Arial" w:cs="Arial"/>
          <w:lang w:val="en-US"/>
        </w:rPr>
        <w:t>Strains were spatially separated in</w:t>
      </w:r>
      <w:r w:rsidR="00DF66CE" w:rsidRPr="00430A5E">
        <w:rPr>
          <w:rFonts w:ascii="Arial" w:hAnsi="Arial" w:cs="Arial"/>
          <w:lang w:val="en-US"/>
        </w:rPr>
        <w:t>side</w:t>
      </w:r>
      <w:r w:rsidR="00CD7E54" w:rsidRPr="00430A5E">
        <w:rPr>
          <w:rFonts w:ascii="Arial" w:hAnsi="Arial" w:cs="Arial"/>
          <w:lang w:val="en-US"/>
        </w:rPr>
        <w:t xml:space="preserve"> </w:t>
      </w:r>
      <w:r w:rsidR="005A15C9" w:rsidRPr="00430A5E">
        <w:rPr>
          <w:rFonts w:ascii="Arial" w:hAnsi="Arial" w:cs="Arial"/>
          <w:lang w:val="en-US"/>
        </w:rPr>
        <w:t xml:space="preserve">the </w:t>
      </w:r>
      <w:r w:rsidR="00CD7E54" w:rsidRPr="00430A5E">
        <w:rPr>
          <w:rFonts w:ascii="Arial" w:hAnsi="Arial" w:cs="Arial"/>
          <w:lang w:val="en-US"/>
        </w:rPr>
        <w:t>monolayer growth chambers</w:t>
      </w:r>
      <w:r w:rsidR="00DF66CE" w:rsidRPr="00430A5E">
        <w:rPr>
          <w:rFonts w:ascii="Arial" w:hAnsi="Arial" w:cs="Arial"/>
          <w:lang w:val="en-US"/>
        </w:rPr>
        <w:t xml:space="preserve"> by a membrane with several</w:t>
      </w:r>
      <w:r w:rsidR="005A15C9" w:rsidRPr="00430A5E">
        <w:rPr>
          <w:rFonts w:ascii="Arial" w:hAnsi="Arial" w:cs="Arial"/>
          <w:lang w:val="en-US"/>
        </w:rPr>
        <w:t xml:space="preserve"> interconnecting</w:t>
      </w:r>
      <w:r w:rsidR="00DF66CE" w:rsidRPr="00430A5E">
        <w:rPr>
          <w:rFonts w:ascii="Arial" w:hAnsi="Arial" w:cs="Arial"/>
          <w:lang w:val="en-US"/>
        </w:rPr>
        <w:t xml:space="preserve"> nanochannels</w:t>
      </w:r>
      <w:r w:rsidR="00317639" w:rsidRPr="00430A5E">
        <w:rPr>
          <w:rFonts w:ascii="Arial" w:hAnsi="Arial" w:cs="Arial"/>
          <w:lang w:val="en-US"/>
        </w:rPr>
        <w:t xml:space="preserve">, which allowed </w:t>
      </w:r>
      <w:r w:rsidR="005A15C9" w:rsidRPr="00430A5E">
        <w:rPr>
          <w:rFonts w:ascii="Arial" w:hAnsi="Arial" w:cs="Arial"/>
          <w:lang w:val="en-US"/>
        </w:rPr>
        <w:t xml:space="preserve">the </w:t>
      </w:r>
      <w:r w:rsidR="00EF7BBA" w:rsidRPr="00430A5E">
        <w:rPr>
          <w:rFonts w:ascii="Arial" w:hAnsi="Arial" w:cs="Arial"/>
          <w:lang w:val="en-US"/>
        </w:rPr>
        <w:t>exchange</w:t>
      </w:r>
      <w:r w:rsidR="00DF66CE" w:rsidRPr="00430A5E">
        <w:rPr>
          <w:rFonts w:ascii="Arial" w:hAnsi="Arial" w:cs="Arial"/>
          <w:lang w:val="en-US"/>
        </w:rPr>
        <w:t xml:space="preserve"> of</w:t>
      </w:r>
      <w:r w:rsidR="00EF7BBA" w:rsidRPr="00430A5E">
        <w:rPr>
          <w:rFonts w:ascii="Arial" w:hAnsi="Arial" w:cs="Arial"/>
          <w:lang w:val="en-US"/>
        </w:rPr>
        <w:t xml:space="preserve"> metabolites</w:t>
      </w:r>
      <w:r w:rsidR="005A15C9" w:rsidRPr="00430A5E">
        <w:rPr>
          <w:rFonts w:ascii="Arial" w:hAnsi="Arial" w:cs="Arial"/>
          <w:lang w:val="en-US"/>
        </w:rPr>
        <w:t xml:space="preserve"> by diffusion</w:t>
      </w:r>
      <w:r w:rsidR="00DF66CE" w:rsidRPr="00430A5E">
        <w:rPr>
          <w:rFonts w:ascii="Arial" w:hAnsi="Arial" w:cs="Arial"/>
          <w:lang w:val="en-US"/>
        </w:rPr>
        <w:t xml:space="preserve">. </w:t>
      </w:r>
      <w:r w:rsidR="00EF7BBA" w:rsidRPr="00430A5E">
        <w:rPr>
          <w:rFonts w:ascii="Arial" w:hAnsi="Arial" w:cs="Arial"/>
          <w:lang w:val="en-US"/>
        </w:rPr>
        <w:t>Th</w:t>
      </w:r>
      <w:r w:rsidR="00CD7E54" w:rsidRPr="00430A5E">
        <w:rPr>
          <w:rFonts w:ascii="Arial" w:hAnsi="Arial" w:cs="Arial"/>
          <w:lang w:val="en-US"/>
        </w:rPr>
        <w:t>e spatial s</w:t>
      </w:r>
      <w:r w:rsidR="00317639" w:rsidRPr="00430A5E">
        <w:rPr>
          <w:rFonts w:ascii="Arial" w:hAnsi="Arial" w:cs="Arial"/>
          <w:lang w:val="en-US"/>
        </w:rPr>
        <w:t>e</w:t>
      </w:r>
      <w:r w:rsidR="00CD7E54" w:rsidRPr="00430A5E">
        <w:rPr>
          <w:rFonts w:ascii="Arial" w:hAnsi="Arial" w:cs="Arial"/>
          <w:lang w:val="en-US"/>
        </w:rPr>
        <w:t>paration</w:t>
      </w:r>
      <w:r w:rsidR="00EF7BBA" w:rsidRPr="00430A5E">
        <w:rPr>
          <w:rFonts w:ascii="Arial" w:hAnsi="Arial" w:cs="Arial"/>
          <w:lang w:val="en-US"/>
        </w:rPr>
        <w:t xml:space="preserve"> was necessary to </w:t>
      </w:r>
      <w:r w:rsidR="005A15C9" w:rsidRPr="00430A5E">
        <w:rPr>
          <w:rFonts w:ascii="Arial" w:hAnsi="Arial" w:cs="Arial"/>
          <w:lang w:val="en-US"/>
        </w:rPr>
        <w:t>restrict</w:t>
      </w:r>
      <w:r w:rsidR="00EF7BBA" w:rsidRPr="00430A5E">
        <w:rPr>
          <w:rFonts w:ascii="Arial" w:hAnsi="Arial" w:cs="Arial"/>
          <w:lang w:val="en-US"/>
        </w:rPr>
        <w:t xml:space="preserve"> the faster growing producer strain</w:t>
      </w:r>
      <w:r w:rsidRPr="00430A5E">
        <w:rPr>
          <w:rFonts w:ascii="Arial" w:hAnsi="Arial" w:cs="Arial"/>
          <w:lang w:val="en-US"/>
        </w:rPr>
        <w:t xml:space="preserve"> from </w:t>
      </w:r>
      <w:r w:rsidR="005A15C9" w:rsidRPr="00430A5E">
        <w:rPr>
          <w:rFonts w:ascii="Arial" w:hAnsi="Arial" w:cs="Arial"/>
          <w:lang w:val="en-US"/>
        </w:rPr>
        <w:t>overgrowing</w:t>
      </w:r>
      <w:r w:rsidR="00EF7BBA" w:rsidRPr="00430A5E">
        <w:rPr>
          <w:rFonts w:ascii="Arial" w:hAnsi="Arial" w:cs="Arial"/>
          <w:lang w:val="en-US"/>
        </w:rPr>
        <w:t xml:space="preserve"> the slower</w:t>
      </w:r>
      <w:r w:rsidR="007F0779" w:rsidRPr="00430A5E">
        <w:rPr>
          <w:rFonts w:ascii="Arial" w:hAnsi="Arial" w:cs="Arial"/>
          <w:lang w:val="en-US"/>
        </w:rPr>
        <w:t xml:space="preserve"> growing</w:t>
      </w:r>
      <w:r w:rsidR="00EF7BBA" w:rsidRPr="00430A5E">
        <w:rPr>
          <w:rFonts w:ascii="Arial" w:hAnsi="Arial" w:cs="Arial"/>
          <w:lang w:val="en-US"/>
        </w:rPr>
        <w:t xml:space="preserve"> auxotrophic strain</w:t>
      </w:r>
      <w:r w:rsidR="005A15C9" w:rsidRPr="00430A5E">
        <w:rPr>
          <w:rFonts w:ascii="Arial" w:hAnsi="Arial" w:cs="Arial"/>
          <w:lang w:val="en-US"/>
        </w:rPr>
        <w:t xml:space="preserve"> when cultivated in a single chamber simultaneously</w:t>
      </w:r>
      <w:r w:rsidRPr="00430A5E">
        <w:rPr>
          <w:rFonts w:ascii="Arial" w:hAnsi="Arial" w:cs="Arial"/>
          <w:lang w:val="en-US"/>
        </w:rPr>
        <w:t xml:space="preserve"> </w:t>
      </w:r>
      <w:r w:rsidR="005A15C9" w:rsidRPr="00430A5E">
        <w:rPr>
          <w:rFonts w:ascii="Arial" w:hAnsi="Arial" w:cs="Arial"/>
          <w:lang w:val="en-US"/>
        </w:rPr>
        <w:t>(see</w:t>
      </w:r>
      <w:r w:rsidR="00293533" w:rsidRPr="00430A5E">
        <w:rPr>
          <w:rFonts w:ascii="Arial" w:hAnsi="Arial" w:cs="Arial"/>
          <w:lang w:val="en-US"/>
        </w:rPr>
        <w:t xml:space="preserve"> </w:t>
      </w:r>
      <w:r w:rsidR="00111708" w:rsidRPr="00430A5E">
        <w:rPr>
          <w:rFonts w:ascii="Arial" w:hAnsi="Arial" w:cs="Arial"/>
          <w:lang w:val="en-US"/>
        </w:rPr>
        <w:t>Burmeister</w:t>
      </w:r>
      <w:r w:rsidR="00293533" w:rsidRPr="00430A5E">
        <w:rPr>
          <w:rFonts w:ascii="Arial" w:hAnsi="Arial" w:cs="Arial"/>
          <w:lang w:val="en-US"/>
        </w:rPr>
        <w:t xml:space="preserve"> </w:t>
      </w:r>
      <w:r w:rsidR="00293533" w:rsidRPr="00430A5E">
        <w:rPr>
          <w:rFonts w:ascii="Arial" w:hAnsi="Arial" w:cs="Arial"/>
          <w:i/>
          <w:iCs/>
          <w:lang w:val="en-US"/>
        </w:rPr>
        <w:t>et al.</w:t>
      </w:r>
      <w:r w:rsidR="00293533" w:rsidRPr="00430A5E">
        <w:rPr>
          <w:rFonts w:ascii="Arial" w:hAnsi="Arial" w:cs="Arial"/>
          <w:lang w:val="en-US"/>
        </w:rPr>
        <w:t>,</w:t>
      </w:r>
      <w:r w:rsidR="005A15C9" w:rsidRPr="00430A5E">
        <w:rPr>
          <w:rFonts w:ascii="Arial" w:hAnsi="Arial" w:cs="Arial"/>
          <w:lang w:val="en-US"/>
        </w:rPr>
        <w:t xml:space="preserve"> </w:t>
      </w:r>
      <w:r w:rsidR="005A15C9" w:rsidRPr="00430A5E">
        <w:rPr>
          <w:rFonts w:ascii="Arial" w:hAnsi="Arial" w:cs="Arial"/>
          <w:lang w:val="en-US"/>
        </w:rPr>
        <w:fldChar w:fldCharType="begin" w:fldLock="1"/>
      </w:r>
      <w:r w:rsidR="003D068F" w:rsidRPr="00430A5E">
        <w:rPr>
          <w:rFonts w:ascii="Arial" w:hAnsi="Arial" w:cs="Arial"/>
          <w:lang w:val="en-US"/>
        </w:rPr>
        <w:instrText>ADDIN CSL_CITATION {"citationItems":[{"id":"ITEM-1","itemData":{"DOI":"10.1039/C8LC00977E","ISSN":"1473-0197","abstract":"A microfluidic device for the co-cultivation of microbial cells.","author":[{"dropping-particle":"","family":"Burmeister","given":"Alina","non-dropping-particle":"","parse-names":false,"suffix":""},{"dropping-particle":"","family":"Hilgers","given":"Fabienne","non-dropping-particle":"","parse-names":false,"suffix":""},{"dropping-particle":"","family":"Langner","given":"Annika","non-dropping-particle":"","parse-names":false,"suffix":""},{"dropping-particle":"","family":"Westerwalbesloh","given":"Christoph","non-dropping-particle":"","parse-names":false,"suffix":""},{"dropping-particle":"","family":"Kerkhoff","given":"Yannic","non-dropping-particle":"","parse-names":false,"suffix":""},{"dropping-particle":"","family":"Tenhaef","given":"Niklas","non-dropping-particle":"","parse-names":false,"suffix":""},{"dropping-particle":"","family":"Drepper","given":"Thomas","non-dropping-particle":"","parse-names":false,"suffix":""},{"dropping-particle":"","family":"Kohlheyer","given":"Dietrich","non-dropping-particle":"","parse-names":false,"suffix":""},{"dropping-particle":"","family":"Lieres","given":"Eric","non-dropping-particle":"von","parse-names":false,"suffix":""},{"dropping-particle":"","family":"Noack","given":"Stephan","non-dropping-particle":"","parse-names":false,"suffix":""},{"dropping-particle":"","family":"Grünberger","given":"Alexander","non-dropping-particle":"","parse-names":false,"suffix":""}],"container-title":"Lab on a Chip","id":"ITEM-1","issue":"1","issued":{"date-parts":[["2019"]]},"page":"98-110","publisher":"Royal Society of Chemistry","title":"A microfluidic co-cultivation platform to investigate microbial interactions at defined microenvironments","type":"article-journal","volume":"19"},"uris":["http://www.mendeley.com/documents/?uuid=f09cf1a7-ab41-4506-80bd-52fc2414863c"]}],"mendeley":{"formattedCitation":"&lt;sup&gt;17&lt;/sup&gt;","plainTextFormattedCitation":"17","previouslyFormattedCitation":"&lt;sup&gt;17&lt;/sup&gt;"},"properties":{"noteIndex":0},"schema":"https://github.com/citation-style-language/schema/raw/master/csl-citation.json"}</w:instrText>
      </w:r>
      <w:r w:rsidR="005A15C9" w:rsidRPr="00430A5E">
        <w:rPr>
          <w:rFonts w:ascii="Arial" w:hAnsi="Arial" w:cs="Arial"/>
          <w:lang w:val="en-US"/>
        </w:rPr>
        <w:fldChar w:fldCharType="separate"/>
      </w:r>
      <w:r w:rsidR="00930F35" w:rsidRPr="00430A5E">
        <w:rPr>
          <w:rFonts w:ascii="Arial" w:hAnsi="Arial" w:cs="Arial"/>
          <w:noProof/>
          <w:vertAlign w:val="superscript"/>
          <w:lang w:val="en-US"/>
        </w:rPr>
        <w:t>17</w:t>
      </w:r>
      <w:r w:rsidR="005A15C9" w:rsidRPr="00430A5E">
        <w:rPr>
          <w:rFonts w:ascii="Arial" w:hAnsi="Arial" w:cs="Arial"/>
          <w:lang w:val="en-US"/>
        </w:rPr>
        <w:fldChar w:fldCharType="end"/>
      </w:r>
      <w:r w:rsidR="005A15C9" w:rsidRPr="00430A5E">
        <w:rPr>
          <w:rFonts w:ascii="Arial" w:hAnsi="Arial" w:cs="Arial"/>
          <w:lang w:val="en-US"/>
        </w:rPr>
        <w:t>)</w:t>
      </w:r>
      <w:r w:rsidR="00EF7BBA" w:rsidRPr="00430A5E">
        <w:rPr>
          <w:rFonts w:ascii="Arial" w:hAnsi="Arial" w:cs="Arial"/>
          <w:lang w:val="en-US"/>
        </w:rPr>
        <w:t>.</w:t>
      </w:r>
      <w:r w:rsidR="00C866DA" w:rsidRPr="00430A5E">
        <w:rPr>
          <w:rFonts w:ascii="Arial" w:hAnsi="Arial" w:cs="Arial"/>
          <w:lang w:val="en-US"/>
        </w:rPr>
        <w:t xml:space="preserve"> </w:t>
      </w:r>
      <w:r w:rsidR="00A06D88" w:rsidRPr="00430A5E">
        <w:rPr>
          <w:rFonts w:ascii="Arial" w:hAnsi="Arial" w:cs="Arial"/>
          <w:lang w:val="en-US"/>
        </w:rPr>
        <w:t xml:space="preserve">Metabolite </w:t>
      </w:r>
      <w:r w:rsidR="00C866DA" w:rsidRPr="00430A5E">
        <w:rPr>
          <w:rFonts w:ascii="Arial" w:hAnsi="Arial" w:cs="Arial"/>
          <w:lang w:val="en-US"/>
        </w:rPr>
        <w:t xml:space="preserve">exchange inside the chambers </w:t>
      </w:r>
      <w:r w:rsidR="00516996" w:rsidRPr="00430A5E">
        <w:rPr>
          <w:rFonts w:ascii="Arial" w:hAnsi="Arial" w:cs="Arial"/>
          <w:lang w:val="en-US"/>
        </w:rPr>
        <w:t>was</w:t>
      </w:r>
      <w:r w:rsidR="007F0779" w:rsidRPr="00430A5E">
        <w:rPr>
          <w:rFonts w:ascii="Arial" w:hAnsi="Arial" w:cs="Arial"/>
          <w:lang w:val="en-US"/>
        </w:rPr>
        <w:t xml:space="preserve"> </w:t>
      </w:r>
      <w:r w:rsidR="00317639" w:rsidRPr="00430A5E">
        <w:rPr>
          <w:rFonts w:ascii="Arial" w:hAnsi="Arial" w:cs="Arial"/>
          <w:lang w:val="en-US"/>
        </w:rPr>
        <w:t xml:space="preserve">mainly </w:t>
      </w:r>
      <w:r w:rsidR="007F0779" w:rsidRPr="00430A5E">
        <w:rPr>
          <w:rFonts w:ascii="Arial" w:hAnsi="Arial" w:cs="Arial"/>
          <w:lang w:val="en-US"/>
        </w:rPr>
        <w:t>dependent on</w:t>
      </w:r>
      <w:r w:rsidR="00C866DA" w:rsidRPr="00430A5E">
        <w:rPr>
          <w:rFonts w:ascii="Arial" w:hAnsi="Arial" w:cs="Arial"/>
          <w:lang w:val="en-US"/>
        </w:rPr>
        <w:t xml:space="preserve"> diffusion through the </w:t>
      </w:r>
      <w:r w:rsidR="005A15C9" w:rsidRPr="00430A5E">
        <w:rPr>
          <w:rFonts w:ascii="Arial" w:hAnsi="Arial" w:cs="Arial"/>
          <w:lang w:val="en-US"/>
        </w:rPr>
        <w:t xml:space="preserve">interconnecting </w:t>
      </w:r>
      <w:r w:rsidR="00C866DA" w:rsidRPr="00430A5E">
        <w:rPr>
          <w:rFonts w:ascii="Arial" w:hAnsi="Arial" w:cs="Arial"/>
          <w:lang w:val="en-US"/>
        </w:rPr>
        <w:t>nanochannels</w:t>
      </w:r>
      <w:r w:rsidR="00A06D88" w:rsidRPr="00430A5E">
        <w:rPr>
          <w:rFonts w:ascii="Arial" w:hAnsi="Arial" w:cs="Arial"/>
          <w:lang w:val="en-US"/>
        </w:rPr>
        <w:t xml:space="preserve"> </w:t>
      </w:r>
      <w:r w:rsidR="007033DF" w:rsidRPr="00430A5E">
        <w:rPr>
          <w:rFonts w:ascii="Arial" w:hAnsi="Arial" w:cs="Arial"/>
          <w:lang w:val="en-US"/>
        </w:rPr>
        <w:t>defined by</w:t>
      </w:r>
      <w:r w:rsidR="00A06D88" w:rsidRPr="00430A5E">
        <w:rPr>
          <w:rFonts w:ascii="Arial" w:hAnsi="Arial" w:cs="Arial"/>
          <w:lang w:val="en-US"/>
        </w:rPr>
        <w:t xml:space="preserve"> the chamber </w:t>
      </w:r>
      <w:r w:rsidR="005D1D69" w:rsidRPr="00430A5E">
        <w:rPr>
          <w:rFonts w:ascii="Arial" w:hAnsi="Arial" w:cs="Arial"/>
          <w:lang w:val="en-US"/>
        </w:rPr>
        <w:t>geometry</w:t>
      </w:r>
      <w:r w:rsidR="003D068F" w:rsidRPr="00430A5E">
        <w:rPr>
          <w:rFonts w:ascii="Arial" w:hAnsi="Arial" w:cs="Arial"/>
          <w:lang w:val="en-US"/>
        </w:rPr>
        <w:t>.</w:t>
      </w:r>
      <w:r w:rsidR="005A15C9" w:rsidRPr="00430A5E">
        <w:rPr>
          <w:rFonts w:ascii="Arial" w:hAnsi="Arial" w:cs="Arial"/>
          <w:lang w:val="en-US"/>
        </w:rPr>
        <w:fldChar w:fldCharType="begin" w:fldLock="1"/>
      </w:r>
      <w:r w:rsidR="003D068F" w:rsidRPr="00430A5E">
        <w:rPr>
          <w:rFonts w:ascii="Arial" w:hAnsi="Arial" w:cs="Arial"/>
          <w:lang w:val="en-US"/>
        </w:rPr>
        <w:instrText>ADDIN CSL_CITATION {"citationItems":[{"id":"ITEM-1","itemData":{"DOI":"10.1039/C8LC00977E","ISSN":"1473-0197","abstract":"A microfluidic device for the co-cultivation of microbial cells.","author":[{"dropping-particle":"","family":"Burmeister","given":"Alina","non-dropping-particle":"","parse-names":false,"suffix":""},{"dropping-particle":"","family":"Hilgers","given":"Fabienne","non-dropping-particle":"","parse-names":false,"suffix":""},{"dropping-particle":"","family":"Langner","given":"Annika","non-dropping-particle":"","parse-names":false,"suffix":""},{"dropping-particle":"","family":"Westerwalbesloh","given":"Christoph","non-dropping-particle":"","parse-names":false,"suffix":""},{"dropping-particle":"","family":"Kerkhoff","given":"Yannic","non-dropping-particle":"","parse-names":false,"suffix":""},{"dropping-particle":"","family":"Tenhaef","given":"Niklas","non-dropping-particle":"","parse-names":false,"suffix":""},{"dropping-particle":"","family":"Drepper","given":"Thomas","non-dropping-particle":"","parse-names":false,"suffix":""},{"dropping-particle":"","family":"Kohlheyer","given":"Dietrich","non-dropping-particle":"","parse-names":false,"suffix":""},{"dropping-particle":"","family":"Lieres","given":"Eric","non-dropping-particle":"von","parse-names":false,"suffix":""},{"dropping-particle":"","family":"Noack","given":"Stephan","non-dropping-particle":"","parse-names":false,"suffix":""},{"dropping-particle":"","family":"Grünberger","given":"Alexander","non-dropping-particle":"","parse-names":false,"suffix":""}],"container-title":"Lab on a Chip","id":"ITEM-1","issue":"1","issued":{"date-parts":[["2019"]]},"page":"98-110","publisher":"Royal Society of Chemistry","title":"A microfluidic co-cultivation platform to investigate microbial interactions at defined microenvironments","type":"article-journal","volume":"19"},"uris":["http://www.mendeley.com/documents/?uuid=f09cf1a7-ab41-4506-80bd-52fc2414863c"]}],"mendeley":{"formattedCitation":"&lt;sup&gt;17&lt;/sup&gt;","plainTextFormattedCitation":"17","previouslyFormattedCitation":"&lt;sup&gt;17&lt;/sup&gt;"},"properties":{"noteIndex":0},"schema":"https://github.com/citation-style-language/schema/raw/master/csl-citation.json"}</w:instrText>
      </w:r>
      <w:r w:rsidR="005A15C9" w:rsidRPr="00430A5E">
        <w:rPr>
          <w:rFonts w:ascii="Arial" w:hAnsi="Arial" w:cs="Arial"/>
          <w:lang w:val="en-US"/>
        </w:rPr>
        <w:fldChar w:fldCharType="separate"/>
      </w:r>
      <w:r w:rsidR="00930F35" w:rsidRPr="00430A5E">
        <w:rPr>
          <w:rFonts w:ascii="Arial" w:hAnsi="Arial" w:cs="Arial"/>
          <w:noProof/>
          <w:vertAlign w:val="superscript"/>
          <w:lang w:val="en-US"/>
        </w:rPr>
        <w:t>17</w:t>
      </w:r>
      <w:r w:rsidR="005A15C9" w:rsidRPr="00430A5E">
        <w:rPr>
          <w:rFonts w:ascii="Arial" w:hAnsi="Arial" w:cs="Arial"/>
          <w:lang w:val="en-US"/>
        </w:rPr>
        <w:fldChar w:fldCharType="end"/>
      </w:r>
      <w:r w:rsidR="00C866DA" w:rsidRPr="00430A5E">
        <w:rPr>
          <w:rFonts w:ascii="Arial" w:hAnsi="Arial" w:cs="Arial"/>
          <w:lang w:val="en-US"/>
        </w:rPr>
        <w:t xml:space="preserve"> To examine the </w:t>
      </w:r>
      <w:r w:rsidR="007F0779" w:rsidRPr="00430A5E">
        <w:rPr>
          <w:rFonts w:ascii="Arial" w:hAnsi="Arial" w:cs="Arial"/>
          <w:lang w:val="en-US"/>
        </w:rPr>
        <w:t>growth rate of</w:t>
      </w:r>
      <w:r w:rsidR="00C866DA" w:rsidRPr="00430A5E">
        <w:rPr>
          <w:rFonts w:ascii="Arial" w:hAnsi="Arial" w:cs="Arial"/>
          <w:lang w:val="en-US"/>
        </w:rPr>
        <w:t xml:space="preserve"> </w:t>
      </w:r>
      <w:r w:rsidR="008F48AC" w:rsidRPr="00430A5E">
        <w:rPr>
          <w:rFonts w:ascii="Arial" w:hAnsi="Arial" w:cs="Arial"/>
          <w:i/>
          <w:lang w:val="en-US"/>
        </w:rPr>
        <w:t>C. glutamicum</w:t>
      </w:r>
      <w:r w:rsidR="008F48AC" w:rsidRPr="00430A5E">
        <w:rPr>
          <w:rFonts w:ascii="Arial" w:hAnsi="Arial" w:cs="Arial"/>
          <w:lang w:val="en-US"/>
        </w:rPr>
        <w:t xml:space="preserve"> </w:t>
      </w:r>
      <w:r w:rsidR="007F0779" w:rsidRPr="00430A5E">
        <w:rPr>
          <w:rFonts w:ascii="Arial" w:hAnsi="Arial" w:cs="Arial"/>
          <w:lang w:val="en-US"/>
        </w:rPr>
        <w:t>Δ</w:t>
      </w:r>
      <w:r w:rsidR="007F0779" w:rsidRPr="00430A5E">
        <w:rPr>
          <w:rFonts w:ascii="Arial" w:hAnsi="Arial" w:cs="Arial"/>
          <w:i/>
          <w:iCs/>
          <w:lang w:val="en-US"/>
        </w:rPr>
        <w:t>lysA</w:t>
      </w:r>
      <w:r w:rsidR="007F0779" w:rsidRPr="00430A5E">
        <w:rPr>
          <w:rFonts w:ascii="Arial" w:hAnsi="Arial" w:cs="Arial"/>
          <w:lang w:val="en-US"/>
        </w:rPr>
        <w:t xml:space="preserve"> </w:t>
      </w:r>
      <w:r w:rsidR="00A510D3" w:rsidRPr="00430A5E">
        <w:rPr>
          <w:rFonts w:ascii="Arial" w:hAnsi="Arial" w:cs="Arial"/>
          <w:lang w:val="en-US"/>
        </w:rPr>
        <w:t>in co-cultivation</w:t>
      </w:r>
      <w:r w:rsidR="003D71FE" w:rsidRPr="00430A5E">
        <w:rPr>
          <w:rFonts w:ascii="Arial" w:hAnsi="Arial" w:cs="Arial"/>
          <w:lang w:val="en-US"/>
        </w:rPr>
        <w:t xml:space="preserve"> together</w:t>
      </w:r>
      <w:r w:rsidR="00A510D3" w:rsidRPr="00430A5E">
        <w:rPr>
          <w:rFonts w:ascii="Arial" w:hAnsi="Arial" w:cs="Arial"/>
          <w:lang w:val="en-US"/>
        </w:rPr>
        <w:t xml:space="preserve"> with the </w:t>
      </w:r>
      <w:r w:rsidR="005B5379" w:rsidRPr="00430A5E">
        <w:rPr>
          <w:rFonts w:ascii="Arial" w:hAnsi="Arial" w:cs="Arial"/>
          <w:smallCaps/>
          <w:lang w:val="en-US"/>
        </w:rPr>
        <w:t>L</w:t>
      </w:r>
      <w:r w:rsidR="005B5379" w:rsidRPr="00430A5E">
        <w:rPr>
          <w:rFonts w:ascii="Arial" w:hAnsi="Arial" w:cs="Arial"/>
          <w:lang w:val="en-US"/>
        </w:rPr>
        <w:t>-</w:t>
      </w:r>
      <w:r w:rsidR="00A510D3" w:rsidRPr="00430A5E">
        <w:rPr>
          <w:rFonts w:ascii="Arial" w:hAnsi="Arial" w:cs="Arial"/>
          <w:lang w:val="en-US"/>
        </w:rPr>
        <w:t xml:space="preserve">lysine producer </w:t>
      </w:r>
      <w:r w:rsidR="008F48AC" w:rsidRPr="00430A5E">
        <w:rPr>
          <w:rFonts w:ascii="Arial" w:hAnsi="Arial" w:cs="Arial"/>
          <w:i/>
          <w:lang w:val="en-US"/>
        </w:rPr>
        <w:t>C. glutamicum</w:t>
      </w:r>
      <w:r w:rsidR="008F48AC" w:rsidRPr="00430A5E">
        <w:rPr>
          <w:rFonts w:ascii="Arial" w:hAnsi="Arial" w:cs="Arial"/>
          <w:lang w:val="en-US"/>
        </w:rPr>
        <w:t xml:space="preserve"> </w:t>
      </w:r>
      <w:r w:rsidR="00A510D3" w:rsidRPr="00430A5E">
        <w:rPr>
          <w:rFonts w:ascii="Arial" w:hAnsi="Arial" w:cs="Arial"/>
          <w:lang w:val="en-US"/>
        </w:rPr>
        <w:t>DM1800</w:t>
      </w:r>
      <w:r w:rsidR="008039F8" w:rsidRPr="00430A5E">
        <w:rPr>
          <w:rFonts w:ascii="Arial" w:hAnsi="Arial" w:cs="Arial"/>
          <w:lang w:val="en-US"/>
        </w:rPr>
        <w:t>,</w:t>
      </w:r>
      <w:r w:rsidR="007F0779" w:rsidRPr="00430A5E">
        <w:rPr>
          <w:rFonts w:ascii="Arial" w:hAnsi="Arial" w:cs="Arial"/>
          <w:lang w:val="en-US"/>
        </w:rPr>
        <w:t xml:space="preserve"> </w:t>
      </w:r>
      <w:r w:rsidR="00C866DA" w:rsidRPr="00430A5E">
        <w:rPr>
          <w:rFonts w:ascii="Arial" w:hAnsi="Arial" w:cs="Arial"/>
          <w:lang w:val="en-US"/>
        </w:rPr>
        <w:t xml:space="preserve">we </w:t>
      </w:r>
      <w:r w:rsidR="003D71FE" w:rsidRPr="00430A5E">
        <w:rPr>
          <w:rFonts w:ascii="Arial" w:hAnsi="Arial" w:cs="Arial"/>
          <w:lang w:val="en-US"/>
        </w:rPr>
        <w:t>emulated</w:t>
      </w:r>
      <w:r w:rsidR="00C866DA" w:rsidRPr="00430A5E">
        <w:rPr>
          <w:rFonts w:ascii="Arial" w:hAnsi="Arial" w:cs="Arial"/>
          <w:lang w:val="en-US"/>
        </w:rPr>
        <w:t xml:space="preserve"> batch cultivation</w:t>
      </w:r>
      <w:r w:rsidR="003D71FE" w:rsidRPr="00430A5E">
        <w:rPr>
          <w:rFonts w:ascii="Arial" w:hAnsi="Arial" w:cs="Arial"/>
          <w:lang w:val="en-US"/>
        </w:rPr>
        <w:t xml:space="preserve"> conditions by stopping</w:t>
      </w:r>
      <w:r w:rsidR="00C866DA" w:rsidRPr="00430A5E">
        <w:rPr>
          <w:rFonts w:ascii="Arial" w:hAnsi="Arial" w:cs="Arial"/>
          <w:lang w:val="en-US"/>
        </w:rPr>
        <w:t xml:space="preserve"> </w:t>
      </w:r>
      <w:r w:rsidR="000A5863" w:rsidRPr="00430A5E">
        <w:rPr>
          <w:rFonts w:ascii="Arial" w:hAnsi="Arial" w:cs="Arial"/>
          <w:lang w:val="en-US"/>
        </w:rPr>
        <w:t>the continuous medium flow w</w:t>
      </w:r>
      <w:r w:rsidR="003D71FE" w:rsidRPr="00430A5E">
        <w:rPr>
          <w:rFonts w:ascii="Arial" w:hAnsi="Arial" w:cs="Arial"/>
          <w:lang w:val="en-US"/>
        </w:rPr>
        <w:t xml:space="preserve">hen </w:t>
      </w:r>
      <w:r w:rsidR="00A510D3" w:rsidRPr="00430A5E">
        <w:rPr>
          <w:rFonts w:ascii="Arial" w:hAnsi="Arial" w:cs="Arial"/>
          <w:lang w:val="en-US"/>
        </w:rPr>
        <w:t>the ch</w:t>
      </w:r>
      <w:r w:rsidR="003D71FE" w:rsidRPr="00430A5E">
        <w:rPr>
          <w:rFonts w:ascii="Arial" w:hAnsi="Arial" w:cs="Arial"/>
          <w:lang w:val="en-US"/>
        </w:rPr>
        <w:t>annels</w:t>
      </w:r>
      <w:r w:rsidR="00A510D3" w:rsidRPr="00430A5E">
        <w:rPr>
          <w:rFonts w:ascii="Arial" w:hAnsi="Arial" w:cs="Arial"/>
          <w:lang w:val="en-US"/>
        </w:rPr>
        <w:t xml:space="preserve"> w</w:t>
      </w:r>
      <w:r w:rsidR="003D71FE" w:rsidRPr="00430A5E">
        <w:rPr>
          <w:rFonts w:ascii="Arial" w:hAnsi="Arial" w:cs="Arial"/>
          <w:lang w:val="en-US"/>
        </w:rPr>
        <w:t>ere</w:t>
      </w:r>
      <w:r w:rsidR="00A510D3" w:rsidRPr="00430A5E">
        <w:rPr>
          <w:rFonts w:ascii="Arial" w:hAnsi="Arial" w:cs="Arial"/>
          <w:lang w:val="en-US"/>
        </w:rPr>
        <w:t xml:space="preserve"> </w:t>
      </w:r>
      <w:r w:rsidR="00771D94" w:rsidRPr="00430A5E">
        <w:rPr>
          <w:rFonts w:ascii="Arial" w:hAnsi="Arial" w:cs="Arial"/>
          <w:lang w:val="en-US"/>
        </w:rPr>
        <w:t>perfused</w:t>
      </w:r>
      <w:r w:rsidR="00A510D3" w:rsidRPr="00430A5E">
        <w:rPr>
          <w:rFonts w:ascii="Arial" w:hAnsi="Arial" w:cs="Arial"/>
          <w:lang w:val="en-US"/>
        </w:rPr>
        <w:t xml:space="preserve"> with fresh</w:t>
      </w:r>
      <w:r w:rsidR="000E0041" w:rsidRPr="00430A5E">
        <w:rPr>
          <w:rFonts w:ascii="Arial" w:hAnsi="Arial" w:cs="Arial"/>
          <w:lang w:val="en-US"/>
        </w:rPr>
        <w:t xml:space="preserve"> defined </w:t>
      </w:r>
      <w:r w:rsidR="00A510D3" w:rsidRPr="00430A5E">
        <w:rPr>
          <w:rFonts w:ascii="Arial" w:hAnsi="Arial" w:cs="Arial"/>
          <w:lang w:val="en-US"/>
        </w:rPr>
        <w:t>CGXII medium for one hour after cell inoculation</w:t>
      </w:r>
      <w:r w:rsidR="00C866DA" w:rsidRPr="00430A5E">
        <w:rPr>
          <w:rFonts w:ascii="Arial" w:hAnsi="Arial" w:cs="Arial"/>
          <w:lang w:val="en-US"/>
        </w:rPr>
        <w:t>.</w:t>
      </w:r>
    </w:p>
    <w:p w14:paraId="47F27D4F" w14:textId="5EFD39F8" w:rsidR="007D4A36" w:rsidRPr="00430A5E" w:rsidRDefault="00A510D3" w:rsidP="007C437C">
      <w:pPr>
        <w:spacing w:after="0" w:line="360" w:lineRule="auto"/>
        <w:jc w:val="both"/>
        <w:rPr>
          <w:rFonts w:ascii="Arial" w:hAnsi="Arial" w:cs="Arial"/>
          <w:lang w:val="en-US"/>
        </w:rPr>
      </w:pPr>
      <w:r w:rsidRPr="00430A5E">
        <w:rPr>
          <w:rFonts w:ascii="Arial" w:hAnsi="Arial" w:cs="Arial"/>
          <w:lang w:val="en-US"/>
        </w:rPr>
        <w:t xml:space="preserve">Figure </w:t>
      </w:r>
      <w:r w:rsidR="006B0862">
        <w:rPr>
          <w:rFonts w:ascii="Arial" w:hAnsi="Arial" w:cs="Arial"/>
          <w:lang w:val="en-US"/>
        </w:rPr>
        <w:t>2</w:t>
      </w:r>
      <w:r w:rsidR="00AD37AF" w:rsidRPr="00430A5E">
        <w:rPr>
          <w:rFonts w:ascii="Arial" w:hAnsi="Arial" w:cs="Arial"/>
          <w:lang w:val="en-US"/>
        </w:rPr>
        <w:t>A</w:t>
      </w:r>
      <w:r w:rsidR="00027763" w:rsidRPr="00430A5E">
        <w:rPr>
          <w:rFonts w:ascii="Arial" w:hAnsi="Arial" w:cs="Arial"/>
          <w:lang w:val="en-US"/>
        </w:rPr>
        <w:t xml:space="preserve"> </w:t>
      </w:r>
      <w:r w:rsidR="00516996" w:rsidRPr="00430A5E">
        <w:rPr>
          <w:rFonts w:ascii="Arial" w:hAnsi="Arial" w:cs="Arial"/>
          <w:lang w:val="en-US"/>
        </w:rPr>
        <w:t>depicts</w:t>
      </w:r>
      <w:r w:rsidRPr="00430A5E">
        <w:rPr>
          <w:rFonts w:ascii="Arial" w:hAnsi="Arial" w:cs="Arial"/>
          <w:lang w:val="en-US"/>
        </w:rPr>
        <w:t xml:space="preserve"> growth curves of</w:t>
      </w:r>
      <w:r w:rsidR="008F48AC" w:rsidRPr="00430A5E">
        <w:rPr>
          <w:rFonts w:ascii="Arial" w:hAnsi="Arial" w:cs="Arial"/>
          <w:lang w:val="en-US"/>
        </w:rPr>
        <w:t xml:space="preserve"> strains</w:t>
      </w:r>
      <w:r w:rsidR="00027763" w:rsidRPr="00430A5E">
        <w:rPr>
          <w:rFonts w:ascii="Arial" w:hAnsi="Arial" w:cs="Arial"/>
          <w:lang w:val="en-US"/>
        </w:rPr>
        <w:t xml:space="preserve"> DM1800 and</w:t>
      </w:r>
      <w:r w:rsidRPr="00430A5E">
        <w:rPr>
          <w:rFonts w:ascii="Arial" w:hAnsi="Arial" w:cs="Arial"/>
          <w:lang w:val="en-US"/>
        </w:rPr>
        <w:t xml:space="preserve"> </w:t>
      </w:r>
      <w:r w:rsidR="001445ED" w:rsidRPr="00430A5E">
        <w:rPr>
          <w:rFonts w:ascii="Arial" w:hAnsi="Arial" w:cs="Arial"/>
          <w:lang w:val="en-US"/>
        </w:rPr>
        <w:t>Δ</w:t>
      </w:r>
      <w:r w:rsidR="001445ED" w:rsidRPr="00430A5E">
        <w:rPr>
          <w:rFonts w:ascii="Arial" w:hAnsi="Arial" w:cs="Arial"/>
          <w:i/>
          <w:iCs/>
          <w:lang w:val="en-US"/>
        </w:rPr>
        <w:t>lysA</w:t>
      </w:r>
      <w:r w:rsidR="00027763" w:rsidRPr="00430A5E">
        <w:rPr>
          <w:rFonts w:ascii="Arial" w:hAnsi="Arial" w:cs="Arial"/>
          <w:lang w:val="en-US"/>
        </w:rPr>
        <w:t xml:space="preserve"> </w:t>
      </w:r>
      <w:r w:rsidRPr="00430A5E">
        <w:rPr>
          <w:rFonts w:ascii="Arial" w:hAnsi="Arial" w:cs="Arial"/>
          <w:lang w:val="en-US"/>
        </w:rPr>
        <w:t xml:space="preserve">in five </w:t>
      </w:r>
      <w:r w:rsidR="009E78E6" w:rsidRPr="00430A5E">
        <w:rPr>
          <w:rFonts w:ascii="Arial" w:hAnsi="Arial" w:cs="Arial"/>
          <w:lang w:val="en-US"/>
        </w:rPr>
        <w:t xml:space="preserve">separate </w:t>
      </w:r>
      <w:r w:rsidRPr="00430A5E">
        <w:rPr>
          <w:rFonts w:ascii="Arial" w:hAnsi="Arial" w:cs="Arial"/>
          <w:lang w:val="en-US"/>
        </w:rPr>
        <w:t>growth chambers.</w:t>
      </w:r>
      <w:r w:rsidR="00027763" w:rsidRPr="00430A5E">
        <w:rPr>
          <w:rFonts w:ascii="Arial" w:hAnsi="Arial" w:cs="Arial"/>
          <w:lang w:val="en-US"/>
        </w:rPr>
        <w:t xml:space="preserve"> </w:t>
      </w:r>
      <w:r w:rsidR="00BB18EC" w:rsidRPr="00430A5E">
        <w:rPr>
          <w:rFonts w:ascii="Arial" w:hAnsi="Arial" w:cs="Arial"/>
          <w:i/>
          <w:lang w:val="en-US"/>
        </w:rPr>
        <w:t>C. glutamicum</w:t>
      </w:r>
      <w:r w:rsidR="00BB18EC" w:rsidRPr="00430A5E">
        <w:rPr>
          <w:rFonts w:ascii="Arial" w:hAnsi="Arial" w:cs="Arial"/>
          <w:lang w:val="en-US"/>
        </w:rPr>
        <w:t xml:space="preserve"> </w:t>
      </w:r>
      <w:r w:rsidR="00027763" w:rsidRPr="00430A5E">
        <w:rPr>
          <w:rFonts w:ascii="Arial" w:hAnsi="Arial" w:cs="Arial"/>
          <w:lang w:val="en-US"/>
        </w:rPr>
        <w:t>DM1800 grew exponentially with a</w:t>
      </w:r>
      <w:r w:rsidR="00BB18EC" w:rsidRPr="00430A5E">
        <w:rPr>
          <w:rFonts w:ascii="Arial" w:hAnsi="Arial" w:cs="Arial"/>
          <w:lang w:val="en-US"/>
        </w:rPr>
        <w:t>n average</w:t>
      </w:r>
      <w:r w:rsidR="009E78E6" w:rsidRPr="00430A5E">
        <w:rPr>
          <w:rFonts w:ascii="Arial" w:hAnsi="Arial" w:cs="Arial"/>
          <w:lang w:val="en-US"/>
        </w:rPr>
        <w:t xml:space="preserve"> </w:t>
      </w:r>
      <w:r w:rsidR="00027763" w:rsidRPr="00430A5E">
        <w:rPr>
          <w:rFonts w:ascii="Arial" w:hAnsi="Arial" w:cs="Arial"/>
          <w:lang w:val="en-US"/>
        </w:rPr>
        <w:t xml:space="preserve">growth rate of </w:t>
      </w:r>
      <w:r w:rsidR="00C40A32" w:rsidRPr="00430A5E">
        <w:rPr>
          <w:rFonts w:ascii="Symbol" w:hAnsi="Symbol" w:cs="Arial"/>
          <w:i/>
          <w:lang w:val="en-US"/>
        </w:rPr>
        <w:t></w:t>
      </w:r>
      <w:r w:rsidR="00C40A32" w:rsidRPr="00430A5E">
        <w:rPr>
          <w:rFonts w:ascii="Arial" w:hAnsi="Arial" w:cs="Arial"/>
          <w:vertAlign w:val="subscript"/>
          <w:lang w:val="en-US"/>
        </w:rPr>
        <w:t>avg</w:t>
      </w:r>
      <w:r w:rsidR="00C40A32" w:rsidRPr="00430A5E">
        <w:rPr>
          <w:rFonts w:ascii="Arial" w:hAnsi="Arial" w:cs="Arial"/>
          <w:lang w:val="en-US"/>
        </w:rPr>
        <w:t xml:space="preserve"> = </w:t>
      </w:r>
      <w:r w:rsidR="00FD3C0F" w:rsidRPr="00430A5E">
        <w:rPr>
          <w:rFonts w:ascii="Arial" w:hAnsi="Arial" w:cs="Arial"/>
          <w:lang w:val="en-US"/>
        </w:rPr>
        <w:t>0.34 ± 0.01</w:t>
      </w:r>
      <w:r w:rsidR="001D4A77" w:rsidRPr="00430A5E">
        <w:rPr>
          <w:rFonts w:ascii="Arial" w:hAnsi="Arial" w:cs="Arial"/>
          <w:lang w:val="en-US"/>
        </w:rPr>
        <w:t> </w:t>
      </w:r>
      <w:r w:rsidR="00FD3C0F" w:rsidRPr="00430A5E">
        <w:rPr>
          <w:rFonts w:ascii="Arial" w:hAnsi="Arial" w:cs="Arial"/>
          <w:lang w:val="en-US"/>
        </w:rPr>
        <w:t>h</w:t>
      </w:r>
      <w:r w:rsidR="00FD3C0F" w:rsidRPr="00430A5E">
        <w:rPr>
          <w:rFonts w:ascii="Arial" w:hAnsi="Arial" w:cs="Arial"/>
          <w:vertAlign w:val="superscript"/>
          <w:lang w:val="en-US"/>
        </w:rPr>
        <w:t>-1</w:t>
      </w:r>
      <w:r w:rsidR="00027763" w:rsidRPr="00430A5E">
        <w:rPr>
          <w:rFonts w:ascii="Arial" w:hAnsi="Arial" w:cs="Arial"/>
          <w:lang w:val="en-US"/>
        </w:rPr>
        <w:t xml:space="preserve"> until the chamber was completely overgrown and </w:t>
      </w:r>
      <w:r w:rsidR="009E78E6" w:rsidRPr="00430A5E">
        <w:rPr>
          <w:rFonts w:ascii="Arial" w:hAnsi="Arial" w:cs="Arial"/>
          <w:lang w:val="en-US"/>
        </w:rPr>
        <w:t xml:space="preserve">the </w:t>
      </w:r>
      <w:r w:rsidR="00027763" w:rsidRPr="00430A5E">
        <w:rPr>
          <w:rFonts w:ascii="Arial" w:hAnsi="Arial" w:cs="Arial"/>
          <w:lang w:val="en-US"/>
        </w:rPr>
        <w:t>cell numbers stagnated after approximately 5 h cultivation time.</w:t>
      </w:r>
      <w:r w:rsidR="000E0041" w:rsidRPr="00430A5E">
        <w:rPr>
          <w:rFonts w:ascii="Arial" w:hAnsi="Arial" w:cs="Arial"/>
          <w:lang w:val="en-US"/>
        </w:rPr>
        <w:t xml:space="preserve"> Noteworthy, image analysis was not viable from this timepoint on because the cells grew so densely that single cells were not recognizable. </w:t>
      </w:r>
      <w:r w:rsidR="000E0041" w:rsidRPr="00430A5E">
        <w:rPr>
          <w:rFonts w:ascii="Arial" w:hAnsi="Arial" w:cs="Arial"/>
          <w:i/>
          <w:lang w:val="en-US"/>
        </w:rPr>
        <w:t>C. glutamicum</w:t>
      </w:r>
      <w:r w:rsidRPr="00430A5E">
        <w:rPr>
          <w:rFonts w:ascii="Arial" w:hAnsi="Arial" w:cs="Arial"/>
          <w:lang w:val="en-US"/>
        </w:rPr>
        <w:t xml:space="preserve"> Δ</w:t>
      </w:r>
      <w:r w:rsidRPr="00430A5E">
        <w:rPr>
          <w:rFonts w:ascii="Arial" w:hAnsi="Arial" w:cs="Arial"/>
          <w:i/>
          <w:iCs/>
          <w:lang w:val="en-US"/>
        </w:rPr>
        <w:t>lysA</w:t>
      </w:r>
      <w:r w:rsidRPr="00430A5E">
        <w:rPr>
          <w:rFonts w:ascii="Arial" w:hAnsi="Arial" w:cs="Arial"/>
          <w:lang w:val="en-US"/>
        </w:rPr>
        <w:t xml:space="preserve"> </w:t>
      </w:r>
      <w:r w:rsidR="007715EE" w:rsidRPr="00430A5E">
        <w:rPr>
          <w:rFonts w:ascii="Arial" w:hAnsi="Arial" w:cs="Arial"/>
          <w:lang w:val="en-US"/>
        </w:rPr>
        <w:t>showed a</w:t>
      </w:r>
      <w:r w:rsidR="00BB18EC" w:rsidRPr="00430A5E">
        <w:rPr>
          <w:rFonts w:ascii="Arial" w:hAnsi="Arial" w:cs="Arial"/>
          <w:lang w:val="en-US"/>
        </w:rPr>
        <w:t>n average</w:t>
      </w:r>
      <w:r w:rsidR="007715EE" w:rsidRPr="00430A5E">
        <w:rPr>
          <w:rFonts w:ascii="Arial" w:hAnsi="Arial" w:cs="Arial"/>
          <w:lang w:val="en-US"/>
        </w:rPr>
        <w:t xml:space="preserve"> growth rate of </w:t>
      </w:r>
      <w:r w:rsidR="00C40A32" w:rsidRPr="00430A5E">
        <w:rPr>
          <w:rFonts w:ascii="Symbol" w:hAnsi="Symbol" w:cs="Arial"/>
          <w:i/>
          <w:lang w:val="en-US"/>
        </w:rPr>
        <w:t></w:t>
      </w:r>
      <w:r w:rsidR="00C40A32" w:rsidRPr="00430A5E">
        <w:rPr>
          <w:rFonts w:ascii="Arial" w:hAnsi="Arial" w:cs="Arial"/>
          <w:vertAlign w:val="subscript"/>
          <w:lang w:val="en-US"/>
        </w:rPr>
        <w:t>avg</w:t>
      </w:r>
      <w:r w:rsidR="00C40A32" w:rsidRPr="00430A5E">
        <w:rPr>
          <w:rFonts w:ascii="Arial" w:hAnsi="Arial" w:cs="Arial"/>
          <w:lang w:val="en-US"/>
        </w:rPr>
        <w:t xml:space="preserve"> = </w:t>
      </w:r>
      <w:r w:rsidR="007715EE" w:rsidRPr="00430A5E">
        <w:rPr>
          <w:rFonts w:ascii="Arial" w:hAnsi="Arial" w:cs="Arial"/>
          <w:lang w:val="en-US"/>
        </w:rPr>
        <w:t>0.3</w:t>
      </w:r>
      <w:r w:rsidR="00FD3C0F" w:rsidRPr="00430A5E">
        <w:rPr>
          <w:rFonts w:ascii="Arial" w:hAnsi="Arial" w:cs="Arial"/>
          <w:lang w:val="en-US"/>
        </w:rPr>
        <w:t>0</w:t>
      </w:r>
      <w:r w:rsidR="007715EE" w:rsidRPr="00430A5E">
        <w:rPr>
          <w:rFonts w:ascii="Arial" w:hAnsi="Arial" w:cs="Arial"/>
          <w:lang w:val="en-US"/>
        </w:rPr>
        <w:t xml:space="preserve"> ± 0.02</w:t>
      </w:r>
      <w:r w:rsidR="001D4A77" w:rsidRPr="00430A5E">
        <w:rPr>
          <w:rFonts w:ascii="Arial" w:hAnsi="Arial" w:cs="Arial"/>
          <w:lang w:val="en-US"/>
        </w:rPr>
        <w:t> </w:t>
      </w:r>
      <w:r w:rsidR="007715EE" w:rsidRPr="00430A5E">
        <w:rPr>
          <w:rFonts w:ascii="Arial" w:hAnsi="Arial" w:cs="Arial"/>
          <w:lang w:val="en-US"/>
        </w:rPr>
        <w:t>h</w:t>
      </w:r>
      <w:r w:rsidR="007715EE" w:rsidRPr="00430A5E">
        <w:rPr>
          <w:rFonts w:ascii="Arial" w:hAnsi="Arial" w:cs="Arial"/>
          <w:vertAlign w:val="superscript"/>
          <w:lang w:val="en-US"/>
        </w:rPr>
        <w:t>-1</w:t>
      </w:r>
      <w:r w:rsidR="007715EE" w:rsidRPr="00430A5E">
        <w:rPr>
          <w:rFonts w:ascii="Arial" w:hAnsi="Arial" w:cs="Arial"/>
          <w:lang w:val="en-US"/>
        </w:rPr>
        <w:t xml:space="preserve">. </w:t>
      </w:r>
      <w:r w:rsidR="00C40A32" w:rsidRPr="00430A5E">
        <w:rPr>
          <w:rFonts w:ascii="Arial" w:hAnsi="Arial" w:cs="Arial"/>
          <w:lang w:val="en-US"/>
        </w:rPr>
        <w:t>After around 4 </w:t>
      </w:r>
      <w:r w:rsidRPr="00430A5E">
        <w:rPr>
          <w:rFonts w:ascii="Arial" w:hAnsi="Arial" w:cs="Arial"/>
          <w:lang w:val="en-US"/>
        </w:rPr>
        <w:t>h cultivation time, in which mainly the producer strain increase</w:t>
      </w:r>
      <w:r w:rsidR="00317639" w:rsidRPr="00430A5E">
        <w:rPr>
          <w:rFonts w:ascii="Arial" w:hAnsi="Arial" w:cs="Arial"/>
          <w:lang w:val="en-US"/>
        </w:rPr>
        <w:t>d</w:t>
      </w:r>
      <w:r w:rsidRPr="00430A5E">
        <w:rPr>
          <w:rFonts w:ascii="Arial" w:hAnsi="Arial" w:cs="Arial"/>
          <w:lang w:val="en-US"/>
        </w:rPr>
        <w:t xml:space="preserve"> its cell </w:t>
      </w:r>
      <w:r w:rsidR="009E78E6" w:rsidRPr="00430A5E">
        <w:rPr>
          <w:rFonts w:ascii="Arial" w:hAnsi="Arial" w:cs="Arial"/>
          <w:lang w:val="en-US"/>
        </w:rPr>
        <w:t>number</w:t>
      </w:r>
      <w:r w:rsidRPr="00430A5E">
        <w:rPr>
          <w:rFonts w:ascii="Arial" w:hAnsi="Arial" w:cs="Arial"/>
          <w:lang w:val="en-US"/>
        </w:rPr>
        <w:t xml:space="preserve">, </w:t>
      </w:r>
      <w:r w:rsidR="005B5379" w:rsidRPr="00430A5E">
        <w:rPr>
          <w:rFonts w:ascii="Arial" w:hAnsi="Arial" w:cs="Arial"/>
          <w:smallCaps/>
          <w:lang w:val="en-US"/>
        </w:rPr>
        <w:t>L</w:t>
      </w:r>
      <w:r w:rsidR="005B5379" w:rsidRPr="00430A5E">
        <w:rPr>
          <w:rFonts w:ascii="Arial" w:hAnsi="Arial" w:cs="Arial"/>
          <w:lang w:val="en-US"/>
        </w:rPr>
        <w:t>-</w:t>
      </w:r>
      <w:r w:rsidRPr="00430A5E">
        <w:rPr>
          <w:rFonts w:ascii="Arial" w:hAnsi="Arial" w:cs="Arial"/>
          <w:lang w:val="en-US"/>
        </w:rPr>
        <w:t>lysine accumulate</w:t>
      </w:r>
      <w:r w:rsidR="009E78E6" w:rsidRPr="00430A5E">
        <w:rPr>
          <w:rFonts w:ascii="Arial" w:hAnsi="Arial" w:cs="Arial"/>
          <w:lang w:val="en-US"/>
        </w:rPr>
        <w:t>d</w:t>
      </w:r>
      <w:r w:rsidR="005D1D69" w:rsidRPr="00430A5E">
        <w:rPr>
          <w:rFonts w:ascii="Arial" w:hAnsi="Arial" w:cs="Arial"/>
          <w:lang w:val="en-US"/>
        </w:rPr>
        <w:t xml:space="preserve"> inside the chambers</w:t>
      </w:r>
      <w:r w:rsidRPr="00430A5E">
        <w:rPr>
          <w:rFonts w:ascii="Arial" w:hAnsi="Arial" w:cs="Arial"/>
          <w:lang w:val="en-US"/>
        </w:rPr>
        <w:t xml:space="preserve"> </w:t>
      </w:r>
      <w:r w:rsidR="009E78E6" w:rsidRPr="00430A5E">
        <w:rPr>
          <w:rFonts w:ascii="Arial" w:hAnsi="Arial" w:cs="Arial"/>
          <w:lang w:val="en-US"/>
        </w:rPr>
        <w:t xml:space="preserve">at concentrations high enough </w:t>
      </w:r>
      <w:r w:rsidR="003F4097" w:rsidRPr="00430A5E">
        <w:rPr>
          <w:rFonts w:ascii="Arial" w:hAnsi="Arial" w:cs="Arial"/>
          <w:lang w:val="en-US"/>
        </w:rPr>
        <w:t xml:space="preserve">to enable </w:t>
      </w:r>
      <w:r w:rsidR="009E78E6" w:rsidRPr="00430A5E">
        <w:rPr>
          <w:rFonts w:ascii="Arial" w:hAnsi="Arial" w:cs="Arial"/>
          <w:lang w:val="en-US"/>
        </w:rPr>
        <w:t>growth of</w:t>
      </w:r>
      <w:r w:rsidR="003F4097" w:rsidRPr="00430A5E">
        <w:rPr>
          <w:rFonts w:ascii="Arial" w:hAnsi="Arial" w:cs="Arial"/>
          <w:lang w:val="en-US"/>
        </w:rPr>
        <w:t xml:space="preserve"> the</w:t>
      </w:r>
      <w:r w:rsidR="009E78E6" w:rsidRPr="00430A5E">
        <w:rPr>
          <w:rFonts w:ascii="Arial" w:hAnsi="Arial" w:cs="Arial"/>
          <w:lang w:val="en-US"/>
        </w:rPr>
        <w:t xml:space="preserve"> </w:t>
      </w:r>
      <w:r w:rsidRPr="00430A5E">
        <w:rPr>
          <w:rFonts w:ascii="Arial" w:hAnsi="Arial" w:cs="Arial"/>
          <w:lang w:val="en-US"/>
        </w:rPr>
        <w:t>Δ</w:t>
      </w:r>
      <w:r w:rsidRPr="00430A5E">
        <w:rPr>
          <w:rFonts w:ascii="Arial" w:hAnsi="Arial" w:cs="Arial"/>
          <w:i/>
          <w:iCs/>
          <w:lang w:val="en-US"/>
        </w:rPr>
        <w:t>lysA</w:t>
      </w:r>
      <w:r w:rsidR="003F4097" w:rsidRPr="00430A5E">
        <w:rPr>
          <w:rFonts w:ascii="Arial" w:hAnsi="Arial" w:cs="Arial"/>
          <w:iCs/>
          <w:lang w:val="en-US"/>
        </w:rPr>
        <w:t xml:space="preserve"> strain</w:t>
      </w:r>
      <w:r w:rsidR="00CC5B3E" w:rsidRPr="00430A5E">
        <w:rPr>
          <w:rFonts w:ascii="Arial" w:hAnsi="Arial" w:cs="Arial"/>
          <w:lang w:val="en-US"/>
        </w:rPr>
        <w:t>.</w:t>
      </w:r>
      <w:r w:rsidR="00D3431F" w:rsidRPr="00430A5E">
        <w:rPr>
          <w:rFonts w:ascii="Arial" w:hAnsi="Arial" w:cs="Arial"/>
          <w:lang w:val="en-US"/>
        </w:rPr>
        <w:t xml:space="preserve"> </w:t>
      </w:r>
      <w:r w:rsidR="00317639" w:rsidRPr="00430A5E">
        <w:rPr>
          <w:rFonts w:ascii="Arial" w:hAnsi="Arial" w:cs="Arial"/>
          <w:lang w:val="en-US"/>
        </w:rPr>
        <w:t>Th</w:t>
      </w:r>
      <w:r w:rsidR="00D3431F" w:rsidRPr="00430A5E">
        <w:rPr>
          <w:rFonts w:ascii="Arial" w:hAnsi="Arial" w:cs="Arial"/>
          <w:lang w:val="en-US"/>
        </w:rPr>
        <w:t>e</w:t>
      </w:r>
      <w:r w:rsidR="009E78E6" w:rsidRPr="00430A5E">
        <w:rPr>
          <w:rFonts w:ascii="Arial" w:hAnsi="Arial" w:cs="Arial"/>
          <w:lang w:val="en-US"/>
        </w:rPr>
        <w:t xml:space="preserve"> apparent</w:t>
      </w:r>
      <w:r w:rsidR="004D7EC4" w:rsidRPr="00430A5E">
        <w:rPr>
          <w:rFonts w:ascii="Arial" w:hAnsi="Arial" w:cs="Arial"/>
          <w:lang w:val="en-US"/>
        </w:rPr>
        <w:t xml:space="preserve"> </w:t>
      </w:r>
      <w:r w:rsidR="009E78E6" w:rsidRPr="00430A5E">
        <w:rPr>
          <w:rFonts w:ascii="Arial" w:hAnsi="Arial" w:cs="Arial"/>
          <w:lang w:val="en-US"/>
        </w:rPr>
        <w:t>lag phase</w:t>
      </w:r>
      <w:r w:rsidR="00317639" w:rsidRPr="00430A5E">
        <w:rPr>
          <w:rFonts w:ascii="Arial" w:hAnsi="Arial" w:cs="Arial"/>
          <w:lang w:val="en-US"/>
        </w:rPr>
        <w:t xml:space="preserve"> of</w:t>
      </w:r>
      <w:r w:rsidR="008F48AC" w:rsidRPr="00430A5E">
        <w:rPr>
          <w:rFonts w:ascii="Arial" w:hAnsi="Arial" w:cs="Arial"/>
          <w:lang w:val="en-US"/>
        </w:rPr>
        <w:t xml:space="preserve"> the</w:t>
      </w:r>
      <w:r w:rsidR="00317639" w:rsidRPr="00430A5E">
        <w:rPr>
          <w:rFonts w:ascii="Arial" w:hAnsi="Arial" w:cs="Arial"/>
          <w:lang w:val="en-US"/>
        </w:rPr>
        <w:t xml:space="preserve"> Δ</w:t>
      </w:r>
      <w:r w:rsidR="00317639" w:rsidRPr="00430A5E">
        <w:rPr>
          <w:rFonts w:ascii="Arial" w:hAnsi="Arial" w:cs="Arial"/>
          <w:i/>
          <w:iCs/>
          <w:lang w:val="en-US"/>
        </w:rPr>
        <w:t>lysA</w:t>
      </w:r>
      <w:r w:rsidR="00317639" w:rsidRPr="00430A5E">
        <w:rPr>
          <w:rFonts w:ascii="Arial" w:hAnsi="Arial" w:cs="Arial"/>
          <w:lang w:val="en-US"/>
        </w:rPr>
        <w:t xml:space="preserve"> </w:t>
      </w:r>
      <w:r w:rsidR="008F48AC" w:rsidRPr="00430A5E">
        <w:rPr>
          <w:rFonts w:ascii="Arial" w:hAnsi="Arial" w:cs="Arial"/>
          <w:lang w:val="en-US"/>
        </w:rPr>
        <w:t xml:space="preserve">strain </w:t>
      </w:r>
      <w:r w:rsidR="00317639" w:rsidRPr="00430A5E">
        <w:rPr>
          <w:rFonts w:ascii="Arial" w:hAnsi="Arial" w:cs="Arial"/>
          <w:lang w:val="en-US"/>
        </w:rPr>
        <w:t>also</w:t>
      </w:r>
      <w:r w:rsidR="009E78E6" w:rsidRPr="00430A5E">
        <w:rPr>
          <w:rFonts w:ascii="Arial" w:hAnsi="Arial" w:cs="Arial"/>
          <w:lang w:val="en-US"/>
        </w:rPr>
        <w:t xml:space="preserve"> occurred during</w:t>
      </w:r>
      <w:r w:rsidR="00317639" w:rsidRPr="00430A5E">
        <w:rPr>
          <w:rFonts w:ascii="Arial" w:hAnsi="Arial" w:cs="Arial"/>
          <w:lang w:val="en-US"/>
        </w:rPr>
        <w:t xml:space="preserve"> the </w:t>
      </w:r>
      <w:r w:rsidR="009E78E6" w:rsidRPr="00430A5E">
        <w:rPr>
          <w:rFonts w:ascii="Arial" w:hAnsi="Arial" w:cs="Arial"/>
          <w:lang w:val="en-US"/>
        </w:rPr>
        <w:t>microbioreactor</w:t>
      </w:r>
      <w:r w:rsidR="00317639" w:rsidRPr="00430A5E">
        <w:rPr>
          <w:rFonts w:ascii="Arial" w:hAnsi="Arial" w:cs="Arial"/>
          <w:lang w:val="en-US"/>
        </w:rPr>
        <w:t xml:space="preserve"> co-cultivations. The </w:t>
      </w:r>
      <w:r w:rsidR="009E78E6" w:rsidRPr="00430A5E">
        <w:rPr>
          <w:rFonts w:ascii="Arial" w:hAnsi="Arial" w:cs="Arial"/>
          <w:lang w:val="en-US"/>
        </w:rPr>
        <w:t>Y</w:t>
      </w:r>
      <w:r w:rsidR="00317639" w:rsidRPr="00430A5E">
        <w:rPr>
          <w:rFonts w:ascii="Arial" w:hAnsi="Arial" w:cs="Arial"/>
          <w:lang w:val="en-US"/>
        </w:rPr>
        <w:t xml:space="preserve">FP </w:t>
      </w:r>
      <w:r w:rsidR="009E78E6" w:rsidRPr="00430A5E">
        <w:rPr>
          <w:rFonts w:ascii="Arial" w:hAnsi="Arial" w:cs="Arial"/>
          <w:lang w:val="en-US"/>
        </w:rPr>
        <w:t xml:space="preserve">fluorescence </w:t>
      </w:r>
      <w:r w:rsidR="00317639" w:rsidRPr="00430A5E">
        <w:rPr>
          <w:rFonts w:ascii="Arial" w:hAnsi="Arial" w:cs="Arial"/>
          <w:lang w:val="en-US"/>
        </w:rPr>
        <w:t xml:space="preserve">of the co-culture showed a delay of several hours compared to the </w:t>
      </w:r>
      <w:r w:rsidR="009E78E6" w:rsidRPr="00430A5E">
        <w:rPr>
          <w:rFonts w:ascii="Arial" w:hAnsi="Arial" w:cs="Arial"/>
          <w:lang w:val="en-US"/>
        </w:rPr>
        <w:t>Y</w:t>
      </w:r>
      <w:r w:rsidR="00317639" w:rsidRPr="00430A5E">
        <w:rPr>
          <w:rFonts w:ascii="Arial" w:hAnsi="Arial" w:cs="Arial"/>
          <w:lang w:val="en-US"/>
        </w:rPr>
        <w:t>FP signal of the Δ</w:t>
      </w:r>
      <w:r w:rsidR="00317639" w:rsidRPr="00430A5E">
        <w:rPr>
          <w:rFonts w:ascii="Arial" w:hAnsi="Arial" w:cs="Arial"/>
          <w:i/>
          <w:iCs/>
          <w:lang w:val="en-US"/>
        </w:rPr>
        <w:t xml:space="preserve">lysA </w:t>
      </w:r>
      <w:r w:rsidR="00317639" w:rsidRPr="00430A5E">
        <w:rPr>
          <w:rFonts w:ascii="Arial" w:hAnsi="Arial" w:cs="Arial"/>
          <w:lang w:val="en-US"/>
        </w:rPr>
        <w:t xml:space="preserve">monoculture </w:t>
      </w:r>
      <w:r w:rsidR="009E78E6" w:rsidRPr="00430A5E">
        <w:rPr>
          <w:rFonts w:ascii="Arial" w:hAnsi="Arial" w:cs="Arial"/>
          <w:lang w:val="en-US"/>
        </w:rPr>
        <w:t xml:space="preserve">in the microbioreactor </w:t>
      </w:r>
      <w:r w:rsidR="00317639" w:rsidRPr="00430A5E">
        <w:rPr>
          <w:rFonts w:ascii="Arial" w:hAnsi="Arial" w:cs="Arial"/>
          <w:lang w:val="en-US"/>
        </w:rPr>
        <w:t>(</w:t>
      </w:r>
      <w:r w:rsidR="00AA5426" w:rsidRPr="00430A5E">
        <w:rPr>
          <w:rFonts w:ascii="Arial" w:hAnsi="Arial" w:cs="Arial"/>
          <w:lang w:val="en-US"/>
        </w:rPr>
        <w:t>see</w:t>
      </w:r>
      <w:r w:rsidR="003F61A5" w:rsidRPr="00430A5E">
        <w:rPr>
          <w:rFonts w:ascii="Arial" w:hAnsi="Arial" w:cs="Arial"/>
          <w:lang w:val="en-US"/>
        </w:rPr>
        <w:t xml:space="preserve"> Figure </w:t>
      </w:r>
      <w:r w:rsidR="006B0862">
        <w:rPr>
          <w:rFonts w:ascii="Arial" w:hAnsi="Arial" w:cs="Arial"/>
          <w:lang w:val="en-US"/>
        </w:rPr>
        <w:t>1</w:t>
      </w:r>
      <w:r w:rsidR="003F61A5" w:rsidRPr="00430A5E">
        <w:rPr>
          <w:rFonts w:ascii="Arial" w:hAnsi="Arial" w:cs="Arial"/>
          <w:lang w:val="en-US"/>
        </w:rPr>
        <w:t xml:space="preserve">D and </w:t>
      </w:r>
      <w:r w:rsidR="00317639" w:rsidRPr="00430A5E">
        <w:rPr>
          <w:rFonts w:ascii="Arial" w:hAnsi="Arial" w:cs="Arial"/>
          <w:lang w:val="en-US"/>
        </w:rPr>
        <w:t xml:space="preserve">Figure </w:t>
      </w:r>
      <w:r w:rsidR="003F61A5" w:rsidRPr="00430A5E">
        <w:rPr>
          <w:rFonts w:ascii="Arial" w:hAnsi="Arial" w:cs="Arial"/>
          <w:lang w:val="en-US"/>
        </w:rPr>
        <w:t>S1</w:t>
      </w:r>
      <w:r w:rsidR="00317639" w:rsidRPr="00430A5E">
        <w:rPr>
          <w:rFonts w:ascii="Arial" w:hAnsi="Arial" w:cs="Arial"/>
          <w:lang w:val="en-US"/>
        </w:rPr>
        <w:t xml:space="preserve">). </w:t>
      </w:r>
      <w:r w:rsidR="00C47CB2" w:rsidRPr="00430A5E">
        <w:rPr>
          <w:rFonts w:ascii="Arial" w:hAnsi="Arial" w:cs="Arial"/>
          <w:lang w:val="en-US"/>
        </w:rPr>
        <w:t xml:space="preserve">This indicates that a </w:t>
      </w:r>
      <w:r w:rsidR="009E78E6" w:rsidRPr="00430A5E">
        <w:rPr>
          <w:rFonts w:ascii="Arial" w:hAnsi="Arial" w:cs="Arial"/>
          <w:lang w:val="en-US"/>
        </w:rPr>
        <w:t>minimum</w:t>
      </w:r>
      <w:r w:rsidR="00C47CB2" w:rsidRPr="00430A5E">
        <w:rPr>
          <w:rFonts w:ascii="Arial" w:hAnsi="Arial" w:cs="Arial"/>
          <w:lang w:val="en-US"/>
        </w:rPr>
        <w:t xml:space="preserve"> </w:t>
      </w:r>
      <w:r w:rsidR="005B5379" w:rsidRPr="00430A5E">
        <w:rPr>
          <w:rFonts w:ascii="Arial" w:hAnsi="Arial" w:cs="Arial"/>
          <w:smallCaps/>
          <w:lang w:val="en-US"/>
        </w:rPr>
        <w:t>L</w:t>
      </w:r>
      <w:r w:rsidR="005B5379" w:rsidRPr="00430A5E">
        <w:rPr>
          <w:rFonts w:ascii="Arial" w:hAnsi="Arial" w:cs="Arial"/>
          <w:lang w:val="en-US"/>
        </w:rPr>
        <w:t>-</w:t>
      </w:r>
      <w:r w:rsidR="00C47CB2" w:rsidRPr="00430A5E">
        <w:rPr>
          <w:rFonts w:ascii="Arial" w:hAnsi="Arial" w:cs="Arial"/>
          <w:lang w:val="en-US"/>
        </w:rPr>
        <w:t xml:space="preserve">lysine concentration </w:t>
      </w:r>
      <w:r w:rsidR="00364B9C" w:rsidRPr="00430A5E">
        <w:rPr>
          <w:rFonts w:ascii="Arial" w:hAnsi="Arial" w:cs="Arial"/>
          <w:lang w:val="en-US"/>
        </w:rPr>
        <w:t xml:space="preserve">was </w:t>
      </w:r>
      <w:r w:rsidR="00C47CB2" w:rsidRPr="00430A5E">
        <w:rPr>
          <w:rFonts w:ascii="Arial" w:hAnsi="Arial" w:cs="Arial"/>
          <w:lang w:val="en-US"/>
        </w:rPr>
        <w:t xml:space="preserve">necessary to induce cell growth of </w:t>
      </w:r>
      <w:r w:rsidR="008F48AC" w:rsidRPr="00430A5E">
        <w:rPr>
          <w:rFonts w:ascii="Arial" w:hAnsi="Arial" w:cs="Arial"/>
          <w:i/>
          <w:lang w:val="en-US"/>
        </w:rPr>
        <w:t>C. glutamicum</w:t>
      </w:r>
      <w:r w:rsidR="008F48AC" w:rsidRPr="00430A5E">
        <w:rPr>
          <w:rFonts w:ascii="Arial" w:hAnsi="Arial" w:cs="Arial"/>
          <w:lang w:val="en-US"/>
        </w:rPr>
        <w:t xml:space="preserve"> </w:t>
      </w:r>
      <w:r w:rsidR="00C47CB2" w:rsidRPr="00430A5E">
        <w:rPr>
          <w:rFonts w:ascii="Arial" w:hAnsi="Arial" w:cs="Arial"/>
          <w:lang w:val="en-US"/>
        </w:rPr>
        <w:t>Δ</w:t>
      </w:r>
      <w:r w:rsidR="00C47CB2" w:rsidRPr="00430A5E">
        <w:rPr>
          <w:rFonts w:ascii="Arial" w:hAnsi="Arial" w:cs="Arial"/>
          <w:i/>
          <w:iCs/>
          <w:lang w:val="en-US"/>
        </w:rPr>
        <w:t>lysA</w:t>
      </w:r>
      <w:r w:rsidR="00364B9C" w:rsidRPr="00430A5E">
        <w:rPr>
          <w:rFonts w:ascii="Arial" w:hAnsi="Arial" w:cs="Arial"/>
          <w:iCs/>
          <w:lang w:val="en-US"/>
        </w:rPr>
        <w:t>. This in turn</w:t>
      </w:r>
      <w:r w:rsidR="00C47CB2" w:rsidRPr="00430A5E">
        <w:rPr>
          <w:rFonts w:ascii="Arial" w:hAnsi="Arial" w:cs="Arial"/>
          <w:lang w:val="en-US"/>
        </w:rPr>
        <w:t xml:space="preserve"> </w:t>
      </w:r>
      <w:r w:rsidR="00D37100" w:rsidRPr="00430A5E">
        <w:rPr>
          <w:rFonts w:ascii="Arial" w:hAnsi="Arial" w:cs="Arial"/>
          <w:lang w:val="en-US"/>
        </w:rPr>
        <w:t xml:space="preserve">could </w:t>
      </w:r>
      <w:r w:rsidR="00C47CB2" w:rsidRPr="00430A5E">
        <w:rPr>
          <w:rFonts w:ascii="Arial" w:hAnsi="Arial" w:cs="Arial"/>
          <w:lang w:val="en-US"/>
        </w:rPr>
        <w:t xml:space="preserve">only </w:t>
      </w:r>
      <w:r w:rsidR="00D37100" w:rsidRPr="00430A5E">
        <w:rPr>
          <w:rFonts w:ascii="Arial" w:hAnsi="Arial" w:cs="Arial"/>
          <w:lang w:val="en-US"/>
        </w:rPr>
        <w:t xml:space="preserve">be </w:t>
      </w:r>
      <w:r w:rsidR="00C47CB2" w:rsidRPr="00430A5E">
        <w:rPr>
          <w:rFonts w:ascii="Arial" w:hAnsi="Arial" w:cs="Arial"/>
          <w:lang w:val="en-US"/>
        </w:rPr>
        <w:t xml:space="preserve">achieved </w:t>
      </w:r>
      <w:r w:rsidR="00D37100" w:rsidRPr="00430A5E">
        <w:rPr>
          <w:rFonts w:ascii="Arial" w:hAnsi="Arial" w:cs="Arial"/>
          <w:lang w:val="en-US"/>
        </w:rPr>
        <w:t>when a sufficient amount of</w:t>
      </w:r>
      <w:r w:rsidR="004D6597" w:rsidRPr="00430A5E">
        <w:rPr>
          <w:rFonts w:ascii="Arial" w:hAnsi="Arial" w:cs="Arial"/>
          <w:lang w:val="en-US"/>
        </w:rPr>
        <w:t xml:space="preserve"> </w:t>
      </w:r>
      <w:r w:rsidR="0018116B" w:rsidRPr="00430A5E">
        <w:rPr>
          <w:rFonts w:ascii="Arial" w:hAnsi="Arial" w:cs="Arial"/>
          <w:lang w:val="en-US"/>
        </w:rPr>
        <w:t>producer cells</w:t>
      </w:r>
      <w:r w:rsidR="00D37100" w:rsidRPr="00430A5E">
        <w:rPr>
          <w:rFonts w:ascii="Arial" w:hAnsi="Arial" w:cs="Arial"/>
          <w:lang w:val="en-US"/>
        </w:rPr>
        <w:t xml:space="preserve"> was reached (here approx. 600 cells)</w:t>
      </w:r>
      <w:r w:rsidR="0018116B" w:rsidRPr="00430A5E">
        <w:rPr>
          <w:rFonts w:ascii="Arial" w:hAnsi="Arial" w:cs="Arial"/>
          <w:lang w:val="en-US"/>
        </w:rPr>
        <w:t xml:space="preserve">, which </w:t>
      </w:r>
      <w:r w:rsidR="0018116B" w:rsidRPr="00430A5E">
        <w:rPr>
          <w:rFonts w:ascii="Arial" w:hAnsi="Arial" w:cs="Arial"/>
          <w:lang w:val="en-US"/>
        </w:rPr>
        <w:lastRenderedPageBreak/>
        <w:t xml:space="preserve">depends on </w:t>
      </w:r>
      <w:r w:rsidR="004A1C51" w:rsidRPr="00430A5E">
        <w:rPr>
          <w:rFonts w:ascii="Arial" w:hAnsi="Arial" w:cs="Arial"/>
          <w:lang w:val="en-US"/>
        </w:rPr>
        <w:t>the</w:t>
      </w:r>
      <w:r w:rsidR="00D4423A" w:rsidRPr="00430A5E">
        <w:rPr>
          <w:rFonts w:ascii="Arial" w:hAnsi="Arial" w:cs="Arial"/>
          <w:lang w:val="en-US"/>
        </w:rPr>
        <w:t xml:space="preserve"> microfluidic chamber </w:t>
      </w:r>
      <w:r w:rsidR="0018116B" w:rsidRPr="00430A5E">
        <w:rPr>
          <w:rFonts w:ascii="Arial" w:hAnsi="Arial" w:cs="Arial"/>
          <w:lang w:val="en-US"/>
        </w:rPr>
        <w:t xml:space="preserve">design, </w:t>
      </w:r>
      <w:r w:rsidR="00D4423A" w:rsidRPr="00430A5E">
        <w:rPr>
          <w:rFonts w:ascii="Arial" w:hAnsi="Arial" w:cs="Arial"/>
          <w:lang w:val="en-US"/>
        </w:rPr>
        <w:t xml:space="preserve">the </w:t>
      </w:r>
      <w:r w:rsidR="0018116B" w:rsidRPr="00430A5E">
        <w:rPr>
          <w:rFonts w:ascii="Arial" w:hAnsi="Arial" w:cs="Arial"/>
          <w:lang w:val="en-US"/>
        </w:rPr>
        <w:t xml:space="preserve">cultivation mode and </w:t>
      </w:r>
      <w:r w:rsidR="00D4423A" w:rsidRPr="00430A5E">
        <w:rPr>
          <w:rFonts w:ascii="Arial" w:hAnsi="Arial" w:cs="Arial"/>
          <w:lang w:val="en-US"/>
        </w:rPr>
        <w:t xml:space="preserve">the genetic background of the </w:t>
      </w:r>
      <w:r w:rsidR="00096E99" w:rsidRPr="00430A5E">
        <w:rPr>
          <w:rFonts w:ascii="Arial" w:hAnsi="Arial" w:cs="Arial"/>
          <w:lang w:val="en-US"/>
        </w:rPr>
        <w:t xml:space="preserve">producer </w:t>
      </w:r>
      <w:r w:rsidR="0018116B" w:rsidRPr="00430A5E">
        <w:rPr>
          <w:rFonts w:ascii="Arial" w:hAnsi="Arial" w:cs="Arial"/>
          <w:lang w:val="en-US"/>
        </w:rPr>
        <w:t xml:space="preserve">strain. </w:t>
      </w:r>
      <w:r w:rsidR="0012396B" w:rsidRPr="00430A5E">
        <w:rPr>
          <w:rFonts w:ascii="Arial" w:hAnsi="Arial" w:cs="Arial"/>
          <w:lang w:val="en-US"/>
        </w:rPr>
        <w:t xml:space="preserve"> </w:t>
      </w:r>
    </w:p>
    <w:p w14:paraId="7F874940" w14:textId="6658C0C5" w:rsidR="00B672B8" w:rsidRPr="00430A5E" w:rsidRDefault="007D4A36" w:rsidP="007C437C">
      <w:pPr>
        <w:spacing w:after="0" w:line="360" w:lineRule="auto"/>
        <w:jc w:val="both"/>
        <w:rPr>
          <w:rFonts w:ascii="Arial" w:hAnsi="Arial" w:cs="Arial"/>
          <w:lang w:val="en-US"/>
        </w:rPr>
      </w:pPr>
      <w:r w:rsidRPr="00430A5E">
        <w:rPr>
          <w:rFonts w:ascii="Arial" w:hAnsi="Arial" w:cs="Arial"/>
          <w:lang w:val="en-US"/>
        </w:rPr>
        <w:t xml:space="preserve">In order to get an estimate for </w:t>
      </w:r>
      <w:r w:rsidR="00C47CB2" w:rsidRPr="00430A5E">
        <w:rPr>
          <w:rFonts w:ascii="Arial" w:hAnsi="Arial" w:cs="Arial"/>
          <w:lang w:val="en-US"/>
        </w:rPr>
        <w:t xml:space="preserve">this </w:t>
      </w:r>
      <w:r w:rsidR="005B5379" w:rsidRPr="00430A5E">
        <w:rPr>
          <w:rFonts w:ascii="Arial" w:hAnsi="Arial" w:cs="Arial"/>
          <w:smallCaps/>
          <w:lang w:val="en-US"/>
        </w:rPr>
        <w:t>L</w:t>
      </w:r>
      <w:r w:rsidR="005B5379" w:rsidRPr="00430A5E">
        <w:rPr>
          <w:rFonts w:ascii="Arial" w:hAnsi="Arial" w:cs="Arial"/>
          <w:lang w:val="en-US"/>
        </w:rPr>
        <w:t>-</w:t>
      </w:r>
      <w:r w:rsidR="00C47CB2" w:rsidRPr="00430A5E">
        <w:rPr>
          <w:rFonts w:ascii="Arial" w:hAnsi="Arial" w:cs="Arial"/>
          <w:lang w:val="en-US"/>
        </w:rPr>
        <w:t>lysine concentration threshold</w:t>
      </w:r>
      <w:r w:rsidRPr="00430A5E">
        <w:rPr>
          <w:rFonts w:ascii="Arial" w:hAnsi="Arial" w:cs="Arial"/>
          <w:lang w:val="en-US"/>
        </w:rPr>
        <w:t xml:space="preserve"> in our setup</w:t>
      </w:r>
      <w:r w:rsidR="00C47CB2" w:rsidRPr="00430A5E">
        <w:rPr>
          <w:rFonts w:ascii="Arial" w:hAnsi="Arial" w:cs="Arial"/>
          <w:lang w:val="en-US"/>
        </w:rPr>
        <w:t>, we performed microfluidic perfusion cultivations with</w:t>
      </w:r>
      <w:r w:rsidR="003F4B83" w:rsidRPr="00430A5E">
        <w:rPr>
          <w:rFonts w:ascii="Arial" w:hAnsi="Arial" w:cs="Arial"/>
          <w:lang w:val="en-US"/>
        </w:rPr>
        <w:t xml:space="preserve"> monocultures of</w:t>
      </w:r>
      <w:r w:rsidR="00C47CB2" w:rsidRPr="00430A5E">
        <w:rPr>
          <w:rFonts w:ascii="Arial" w:hAnsi="Arial" w:cs="Arial"/>
          <w:lang w:val="en-US"/>
        </w:rPr>
        <w:t xml:space="preserve"> </w:t>
      </w:r>
      <w:r w:rsidR="008F48AC" w:rsidRPr="00430A5E">
        <w:rPr>
          <w:rFonts w:ascii="Arial" w:hAnsi="Arial" w:cs="Arial"/>
          <w:lang w:val="en-US"/>
        </w:rPr>
        <w:t xml:space="preserve">the </w:t>
      </w:r>
      <w:r w:rsidR="00C47CB2" w:rsidRPr="00430A5E">
        <w:rPr>
          <w:rFonts w:ascii="Arial" w:hAnsi="Arial" w:cs="Arial"/>
          <w:lang w:val="en-US"/>
        </w:rPr>
        <w:t>Δ</w:t>
      </w:r>
      <w:r w:rsidR="00C47CB2" w:rsidRPr="00430A5E">
        <w:rPr>
          <w:rFonts w:ascii="Arial" w:hAnsi="Arial" w:cs="Arial"/>
          <w:i/>
          <w:iCs/>
          <w:lang w:val="en-US"/>
        </w:rPr>
        <w:t xml:space="preserve">lysA </w:t>
      </w:r>
      <w:r w:rsidR="008F48AC" w:rsidRPr="00430A5E">
        <w:rPr>
          <w:rFonts w:ascii="Arial" w:hAnsi="Arial" w:cs="Arial"/>
          <w:iCs/>
          <w:lang w:val="en-US"/>
        </w:rPr>
        <w:t xml:space="preserve">strain </w:t>
      </w:r>
      <w:r w:rsidR="00C47CB2" w:rsidRPr="00430A5E">
        <w:rPr>
          <w:rFonts w:ascii="Arial" w:hAnsi="Arial" w:cs="Arial"/>
          <w:lang w:val="en-US"/>
        </w:rPr>
        <w:t xml:space="preserve">under </w:t>
      </w:r>
      <w:r w:rsidR="003F4B83" w:rsidRPr="00430A5E">
        <w:rPr>
          <w:rFonts w:ascii="Arial" w:hAnsi="Arial" w:cs="Arial"/>
          <w:lang w:val="en-US"/>
        </w:rPr>
        <w:t>various constant</w:t>
      </w:r>
      <w:r w:rsidR="00C47CB2" w:rsidRPr="00430A5E">
        <w:rPr>
          <w:rFonts w:ascii="Arial" w:hAnsi="Arial" w:cs="Arial"/>
          <w:lang w:val="en-US"/>
        </w:rPr>
        <w:t xml:space="preserve"> </w:t>
      </w:r>
      <w:r w:rsidR="005B5379" w:rsidRPr="00430A5E">
        <w:rPr>
          <w:rFonts w:ascii="Arial" w:hAnsi="Arial" w:cs="Arial"/>
          <w:smallCaps/>
          <w:lang w:val="en-US"/>
        </w:rPr>
        <w:t>L</w:t>
      </w:r>
      <w:r w:rsidR="005B5379" w:rsidRPr="00430A5E">
        <w:rPr>
          <w:rFonts w:ascii="Arial" w:hAnsi="Arial" w:cs="Arial"/>
          <w:lang w:val="en-US"/>
        </w:rPr>
        <w:t>-</w:t>
      </w:r>
      <w:r w:rsidR="00C47CB2" w:rsidRPr="00430A5E">
        <w:rPr>
          <w:rFonts w:ascii="Arial" w:hAnsi="Arial" w:cs="Arial"/>
          <w:lang w:val="en-US"/>
        </w:rPr>
        <w:t>lysine concentrations</w:t>
      </w:r>
      <w:r w:rsidR="00DB1E30" w:rsidRPr="00430A5E">
        <w:rPr>
          <w:rFonts w:ascii="Arial" w:hAnsi="Arial" w:cs="Arial"/>
          <w:lang w:val="en-US"/>
        </w:rPr>
        <w:t xml:space="preserve"> (Figure S</w:t>
      </w:r>
      <w:r w:rsidR="00A05412" w:rsidRPr="00430A5E">
        <w:rPr>
          <w:rFonts w:ascii="Arial" w:hAnsi="Arial" w:cs="Arial"/>
          <w:lang w:val="en-US"/>
        </w:rPr>
        <w:t>3</w:t>
      </w:r>
      <w:r w:rsidR="00DB1E30" w:rsidRPr="00430A5E">
        <w:rPr>
          <w:rFonts w:ascii="Arial" w:hAnsi="Arial" w:cs="Arial"/>
          <w:lang w:val="en-US"/>
        </w:rPr>
        <w:t xml:space="preserve"> A)</w:t>
      </w:r>
      <w:r w:rsidR="00C47CB2" w:rsidRPr="00430A5E">
        <w:rPr>
          <w:rFonts w:ascii="Arial" w:hAnsi="Arial" w:cs="Arial"/>
          <w:lang w:val="en-US"/>
        </w:rPr>
        <w:t xml:space="preserve">. </w:t>
      </w:r>
      <w:r w:rsidR="003F4B83" w:rsidRPr="00430A5E">
        <w:rPr>
          <w:rFonts w:ascii="Arial" w:hAnsi="Arial" w:cs="Arial"/>
          <w:lang w:val="en-US"/>
        </w:rPr>
        <w:t>Our r</w:t>
      </w:r>
      <w:r w:rsidR="00C47CB2" w:rsidRPr="00430A5E">
        <w:rPr>
          <w:rFonts w:ascii="Arial" w:hAnsi="Arial" w:cs="Arial"/>
          <w:lang w:val="en-US"/>
        </w:rPr>
        <w:t xml:space="preserve">esults show that a minimum of 10 µM </w:t>
      </w:r>
      <w:r w:rsidR="005B5379" w:rsidRPr="00430A5E">
        <w:rPr>
          <w:rFonts w:ascii="Arial" w:hAnsi="Arial" w:cs="Arial"/>
          <w:smallCaps/>
          <w:lang w:val="en-US"/>
        </w:rPr>
        <w:t>L</w:t>
      </w:r>
      <w:r w:rsidR="005B5379" w:rsidRPr="00430A5E">
        <w:rPr>
          <w:rFonts w:ascii="Arial" w:hAnsi="Arial" w:cs="Arial"/>
          <w:lang w:val="en-US"/>
        </w:rPr>
        <w:t>-</w:t>
      </w:r>
      <w:r w:rsidR="00C47CB2" w:rsidRPr="00430A5E">
        <w:rPr>
          <w:rFonts w:ascii="Arial" w:hAnsi="Arial" w:cs="Arial"/>
          <w:lang w:val="en-US"/>
        </w:rPr>
        <w:t xml:space="preserve">lysine is necessary to induce cell division of </w:t>
      </w:r>
      <w:r w:rsidR="008F48AC" w:rsidRPr="00430A5E">
        <w:rPr>
          <w:rFonts w:ascii="Arial" w:hAnsi="Arial" w:cs="Arial"/>
          <w:i/>
          <w:lang w:val="en-US"/>
        </w:rPr>
        <w:t>C. glutamicum</w:t>
      </w:r>
      <w:r w:rsidR="008F48AC" w:rsidRPr="00430A5E">
        <w:rPr>
          <w:rFonts w:ascii="Arial" w:hAnsi="Arial" w:cs="Arial"/>
          <w:lang w:val="en-US"/>
        </w:rPr>
        <w:t xml:space="preserve"> </w:t>
      </w:r>
      <w:r w:rsidR="00C47CB2" w:rsidRPr="00430A5E">
        <w:rPr>
          <w:rFonts w:ascii="Arial" w:hAnsi="Arial" w:cs="Arial"/>
          <w:lang w:val="en-US"/>
        </w:rPr>
        <w:t>Δ</w:t>
      </w:r>
      <w:r w:rsidR="00C47CB2" w:rsidRPr="00430A5E">
        <w:rPr>
          <w:rFonts w:ascii="Arial" w:hAnsi="Arial" w:cs="Arial"/>
          <w:i/>
          <w:iCs/>
          <w:lang w:val="en-US"/>
        </w:rPr>
        <w:t>lysA</w:t>
      </w:r>
      <w:r w:rsidR="007B6FB8" w:rsidRPr="00430A5E">
        <w:rPr>
          <w:rFonts w:ascii="Arial" w:hAnsi="Arial" w:cs="Arial"/>
          <w:i/>
          <w:iCs/>
          <w:lang w:val="en-US"/>
        </w:rPr>
        <w:t xml:space="preserve">. </w:t>
      </w:r>
      <w:r w:rsidR="007B6FB8" w:rsidRPr="00430A5E">
        <w:rPr>
          <w:rFonts w:ascii="Arial" w:hAnsi="Arial" w:cs="Arial"/>
          <w:iCs/>
          <w:lang w:val="en-US"/>
        </w:rPr>
        <w:t xml:space="preserve">With </w:t>
      </w:r>
      <w:r w:rsidR="007B6FB8" w:rsidRPr="00430A5E">
        <w:rPr>
          <w:rFonts w:ascii="Arial" w:hAnsi="Arial" w:cs="Arial"/>
          <w:iCs/>
          <w:smallCaps/>
          <w:lang w:val="en-US"/>
        </w:rPr>
        <w:t>L</w:t>
      </w:r>
      <w:r w:rsidR="007B6FB8" w:rsidRPr="00430A5E">
        <w:rPr>
          <w:rFonts w:ascii="Arial" w:hAnsi="Arial" w:cs="Arial"/>
          <w:iCs/>
          <w:lang w:val="en-US"/>
        </w:rPr>
        <w:t>-lysine concentrations below 10 µM no cell growth could be observed.</w:t>
      </w:r>
      <w:r w:rsidR="00DB1E30" w:rsidRPr="00430A5E">
        <w:rPr>
          <w:rFonts w:ascii="Arial" w:hAnsi="Arial" w:cs="Arial"/>
          <w:i/>
          <w:iCs/>
          <w:lang w:val="en-US"/>
        </w:rPr>
        <w:t xml:space="preserve"> </w:t>
      </w:r>
      <w:r w:rsidR="00C47CB2" w:rsidRPr="00430A5E">
        <w:rPr>
          <w:rFonts w:ascii="Arial" w:hAnsi="Arial" w:cs="Arial"/>
          <w:lang w:val="en-US"/>
        </w:rPr>
        <w:t>However, under these</w:t>
      </w:r>
      <w:r w:rsidR="007B6FB8" w:rsidRPr="00430A5E">
        <w:rPr>
          <w:rFonts w:ascii="Arial" w:hAnsi="Arial" w:cs="Arial"/>
          <w:lang w:val="en-US"/>
        </w:rPr>
        <w:t xml:space="preserve"> very</w:t>
      </w:r>
      <w:r w:rsidR="00C47CB2" w:rsidRPr="00430A5E">
        <w:rPr>
          <w:rFonts w:ascii="Arial" w:hAnsi="Arial" w:cs="Arial"/>
          <w:lang w:val="en-US"/>
        </w:rPr>
        <w:t xml:space="preserve"> low concentrations </w:t>
      </w:r>
      <w:r w:rsidR="001633CF" w:rsidRPr="00430A5E">
        <w:rPr>
          <w:rFonts w:ascii="Arial" w:hAnsi="Arial" w:cs="Arial"/>
          <w:lang w:val="en-US"/>
        </w:rPr>
        <w:t>cells show</w:t>
      </w:r>
      <w:r w:rsidR="004A1C51" w:rsidRPr="00430A5E">
        <w:rPr>
          <w:rFonts w:ascii="Arial" w:hAnsi="Arial" w:cs="Arial"/>
          <w:lang w:val="en-US"/>
        </w:rPr>
        <w:t>ed</w:t>
      </w:r>
      <w:r w:rsidR="001633CF" w:rsidRPr="00430A5E">
        <w:rPr>
          <w:rFonts w:ascii="Arial" w:hAnsi="Arial" w:cs="Arial"/>
          <w:lang w:val="en-US"/>
        </w:rPr>
        <w:t xml:space="preserve"> </w:t>
      </w:r>
      <w:r w:rsidR="007B6FB8" w:rsidRPr="00430A5E">
        <w:rPr>
          <w:rFonts w:ascii="Arial" w:hAnsi="Arial" w:cs="Arial"/>
          <w:lang w:val="en-US"/>
        </w:rPr>
        <w:t xml:space="preserve">long </w:t>
      </w:r>
      <w:r w:rsidR="004A1C51" w:rsidRPr="00430A5E">
        <w:rPr>
          <w:rFonts w:ascii="Arial" w:hAnsi="Arial" w:cs="Arial"/>
          <w:lang w:val="en-US"/>
        </w:rPr>
        <w:t>division ages</w:t>
      </w:r>
      <w:r w:rsidR="001633CF" w:rsidRPr="00430A5E">
        <w:rPr>
          <w:rFonts w:ascii="Arial" w:hAnsi="Arial" w:cs="Arial"/>
          <w:lang w:val="en-US"/>
        </w:rPr>
        <w:t xml:space="preserve"> and </w:t>
      </w:r>
      <w:r w:rsidR="00CA1141" w:rsidRPr="00430A5E">
        <w:rPr>
          <w:rFonts w:ascii="Arial" w:hAnsi="Arial" w:cs="Arial"/>
          <w:lang w:val="en-US"/>
        </w:rPr>
        <w:t xml:space="preserve">highly </w:t>
      </w:r>
      <w:r w:rsidR="001633CF" w:rsidRPr="00430A5E">
        <w:rPr>
          <w:rFonts w:ascii="Arial" w:hAnsi="Arial" w:cs="Arial"/>
          <w:lang w:val="en-US"/>
        </w:rPr>
        <w:t>heterogeneous growth behavior</w:t>
      </w:r>
      <w:r w:rsidR="007B6FB8" w:rsidRPr="00430A5E">
        <w:rPr>
          <w:rFonts w:ascii="Arial" w:hAnsi="Arial" w:cs="Arial"/>
          <w:lang w:val="en-US"/>
        </w:rPr>
        <w:t xml:space="preserve"> (Figure S3 B)</w:t>
      </w:r>
      <w:r w:rsidR="000E79BC" w:rsidRPr="00430A5E">
        <w:rPr>
          <w:rFonts w:ascii="Arial" w:hAnsi="Arial" w:cs="Arial"/>
          <w:lang w:val="en-US"/>
        </w:rPr>
        <w:t>.</w:t>
      </w:r>
      <w:r w:rsidR="00FD3C0F" w:rsidRPr="00430A5E">
        <w:rPr>
          <w:rFonts w:ascii="Arial" w:hAnsi="Arial" w:cs="Arial"/>
          <w:lang w:val="en-US"/>
        </w:rPr>
        <w:t xml:space="preserve"> </w:t>
      </w:r>
      <w:r w:rsidR="007B6FB8" w:rsidRPr="00430A5E">
        <w:rPr>
          <w:rFonts w:ascii="Arial" w:hAnsi="Arial" w:cs="Arial"/>
          <w:lang w:val="en-US"/>
        </w:rPr>
        <w:t>The variance of division age</w:t>
      </w:r>
      <w:r w:rsidR="00FF7683" w:rsidRPr="00430A5E">
        <w:rPr>
          <w:rFonts w:ascii="Arial" w:hAnsi="Arial" w:cs="Arial"/>
          <w:lang w:val="en-US"/>
        </w:rPr>
        <w:t xml:space="preserve"> </w:t>
      </w:r>
      <w:r w:rsidR="00C40A32" w:rsidRPr="00430A5E">
        <w:rPr>
          <w:rFonts w:ascii="Arial" w:hAnsi="Arial" w:cs="Arial"/>
          <w:lang w:val="en-US"/>
        </w:rPr>
        <w:t>was</w:t>
      </w:r>
      <w:r w:rsidR="00FF7683" w:rsidRPr="00430A5E">
        <w:rPr>
          <w:rFonts w:ascii="Arial" w:hAnsi="Arial" w:cs="Arial"/>
          <w:lang w:val="en-US"/>
        </w:rPr>
        <w:t xml:space="preserve"> at approximately 3 h</w:t>
      </w:r>
      <w:r w:rsidR="00FF7683" w:rsidRPr="00430A5E">
        <w:rPr>
          <w:rFonts w:ascii="Arial" w:hAnsi="Arial" w:cs="Arial"/>
          <w:vertAlign w:val="superscript"/>
          <w:lang w:val="en-US"/>
        </w:rPr>
        <w:t>2</w:t>
      </w:r>
      <w:r w:rsidR="00FF7683" w:rsidRPr="00430A5E">
        <w:rPr>
          <w:rFonts w:ascii="Arial" w:hAnsi="Arial" w:cs="Arial"/>
          <w:lang w:val="en-US"/>
        </w:rPr>
        <w:t xml:space="preserve"> for 10 µM, while </w:t>
      </w:r>
      <w:r w:rsidR="000D434D" w:rsidRPr="00430A5E">
        <w:rPr>
          <w:rFonts w:ascii="Arial" w:hAnsi="Arial" w:cs="Arial"/>
          <w:lang w:val="en-US"/>
        </w:rPr>
        <w:t>no heterogeneity effects could be observed at supplemented conce</w:t>
      </w:r>
      <w:r w:rsidR="0021721B" w:rsidRPr="00430A5E">
        <w:rPr>
          <w:rFonts w:ascii="Arial" w:hAnsi="Arial" w:cs="Arial"/>
          <w:lang w:val="en-US"/>
        </w:rPr>
        <w:t>n</w:t>
      </w:r>
      <w:r w:rsidR="000D434D" w:rsidRPr="00430A5E">
        <w:rPr>
          <w:rFonts w:ascii="Arial" w:hAnsi="Arial" w:cs="Arial"/>
          <w:lang w:val="en-US"/>
        </w:rPr>
        <w:t>trati</w:t>
      </w:r>
      <w:r w:rsidR="0021721B" w:rsidRPr="00430A5E">
        <w:rPr>
          <w:rFonts w:ascii="Arial" w:hAnsi="Arial" w:cs="Arial"/>
          <w:lang w:val="en-US"/>
        </w:rPr>
        <w:t>o</w:t>
      </w:r>
      <w:r w:rsidR="000D434D" w:rsidRPr="00430A5E">
        <w:rPr>
          <w:rFonts w:ascii="Arial" w:hAnsi="Arial" w:cs="Arial"/>
          <w:lang w:val="en-US"/>
        </w:rPr>
        <w:t xml:space="preserve">ns </w:t>
      </w:r>
      <w:r w:rsidR="0021721B" w:rsidRPr="00430A5E">
        <w:rPr>
          <w:rFonts w:ascii="Arial" w:hAnsi="Arial" w:cs="Arial"/>
          <w:lang w:val="en-US"/>
        </w:rPr>
        <w:t>above</w:t>
      </w:r>
      <w:r w:rsidR="000D434D" w:rsidRPr="00430A5E">
        <w:rPr>
          <w:rFonts w:ascii="Arial" w:hAnsi="Arial" w:cs="Arial"/>
          <w:lang w:val="en-US"/>
        </w:rPr>
        <w:t xml:space="preserve"> 1</w:t>
      </w:r>
      <w:r w:rsidR="00221CDA" w:rsidRPr="00430A5E">
        <w:rPr>
          <w:rFonts w:ascii="Arial" w:hAnsi="Arial" w:cs="Arial"/>
          <w:lang w:val="en-US"/>
        </w:rPr>
        <w:t> </w:t>
      </w:r>
      <w:r w:rsidR="000D434D" w:rsidRPr="00430A5E">
        <w:rPr>
          <w:rFonts w:ascii="Arial" w:hAnsi="Arial" w:cs="Arial"/>
          <w:lang w:val="en-US"/>
        </w:rPr>
        <w:t>mM</w:t>
      </w:r>
      <w:r w:rsidR="004A1C51" w:rsidRPr="00430A5E">
        <w:rPr>
          <w:rFonts w:ascii="Arial" w:hAnsi="Arial" w:cs="Arial"/>
          <w:lang w:val="en-US"/>
        </w:rPr>
        <w:t>.</w:t>
      </w:r>
    </w:p>
    <w:p w14:paraId="371C725A" w14:textId="17DDA70A" w:rsidR="00516996" w:rsidRPr="00430A5E" w:rsidRDefault="00FD3C0F" w:rsidP="007C437C">
      <w:pPr>
        <w:spacing w:after="0" w:line="360" w:lineRule="auto"/>
        <w:jc w:val="both"/>
        <w:rPr>
          <w:rFonts w:ascii="Arial" w:hAnsi="Arial" w:cs="Arial"/>
          <w:i/>
          <w:iCs/>
          <w:lang w:val="en-US"/>
        </w:rPr>
      </w:pPr>
      <w:r w:rsidRPr="00430A5E">
        <w:rPr>
          <w:rFonts w:ascii="Arial" w:hAnsi="Arial" w:cs="Arial"/>
          <w:lang w:val="en-US"/>
        </w:rPr>
        <w:t xml:space="preserve">As a control experiment, we also performed </w:t>
      </w:r>
      <w:r w:rsidR="00C40A32" w:rsidRPr="00430A5E">
        <w:rPr>
          <w:rFonts w:ascii="Arial" w:hAnsi="Arial" w:cs="Arial"/>
          <w:lang w:val="en-US"/>
        </w:rPr>
        <w:t xml:space="preserve">microfluidic </w:t>
      </w:r>
      <w:r w:rsidRPr="00430A5E">
        <w:rPr>
          <w:rFonts w:ascii="Arial" w:hAnsi="Arial" w:cs="Arial"/>
          <w:lang w:val="en-US"/>
        </w:rPr>
        <w:t>co-cultivation</w:t>
      </w:r>
      <w:r w:rsidR="003F4B83" w:rsidRPr="00430A5E">
        <w:rPr>
          <w:rFonts w:ascii="Arial" w:hAnsi="Arial" w:cs="Arial"/>
          <w:lang w:val="en-US"/>
        </w:rPr>
        <w:t>s</w:t>
      </w:r>
      <w:r w:rsidRPr="00430A5E">
        <w:rPr>
          <w:rFonts w:ascii="Arial" w:hAnsi="Arial" w:cs="Arial"/>
          <w:lang w:val="en-US"/>
        </w:rPr>
        <w:t xml:space="preserve"> of</w:t>
      </w:r>
      <w:r w:rsidR="000E79BC" w:rsidRPr="00430A5E">
        <w:rPr>
          <w:rFonts w:ascii="Arial" w:hAnsi="Arial" w:cs="Arial"/>
          <w:lang w:val="en-US"/>
        </w:rPr>
        <w:t xml:space="preserve"> </w:t>
      </w:r>
      <w:r w:rsidR="00BF18C0" w:rsidRPr="00430A5E">
        <w:rPr>
          <w:rFonts w:ascii="Arial" w:hAnsi="Arial" w:cs="Arial"/>
          <w:i/>
          <w:lang w:val="en-US"/>
        </w:rPr>
        <w:t>C. glutamicum</w:t>
      </w:r>
      <w:r w:rsidR="00BF18C0" w:rsidRPr="00430A5E">
        <w:rPr>
          <w:rFonts w:ascii="Arial" w:hAnsi="Arial" w:cs="Arial"/>
          <w:lang w:val="en-US"/>
        </w:rPr>
        <w:t xml:space="preserve"> </w:t>
      </w:r>
      <w:r w:rsidRPr="00430A5E">
        <w:rPr>
          <w:rFonts w:ascii="Arial" w:hAnsi="Arial" w:cs="Arial"/>
          <w:lang w:val="en-US"/>
        </w:rPr>
        <w:t>Δ</w:t>
      </w:r>
      <w:r w:rsidRPr="00430A5E">
        <w:rPr>
          <w:rFonts w:ascii="Arial" w:hAnsi="Arial" w:cs="Arial"/>
          <w:i/>
          <w:iCs/>
          <w:lang w:val="en-US"/>
        </w:rPr>
        <w:t xml:space="preserve">lysA </w:t>
      </w:r>
      <w:r w:rsidR="003F4B83" w:rsidRPr="00430A5E">
        <w:rPr>
          <w:rFonts w:ascii="Arial" w:hAnsi="Arial" w:cs="Arial"/>
          <w:lang w:val="en-US"/>
        </w:rPr>
        <w:t xml:space="preserve">together </w:t>
      </w:r>
      <w:r w:rsidRPr="00430A5E">
        <w:rPr>
          <w:rFonts w:ascii="Arial" w:hAnsi="Arial" w:cs="Arial"/>
          <w:lang w:val="en-US"/>
        </w:rPr>
        <w:t xml:space="preserve">with a </w:t>
      </w:r>
      <w:r w:rsidRPr="00430A5E">
        <w:rPr>
          <w:rFonts w:ascii="Arial" w:hAnsi="Arial" w:cs="Arial"/>
          <w:i/>
          <w:iCs/>
          <w:lang w:val="en-US"/>
        </w:rPr>
        <w:t>C.</w:t>
      </w:r>
      <w:r w:rsidR="001D4A77" w:rsidRPr="00430A5E">
        <w:rPr>
          <w:rFonts w:ascii="Arial" w:hAnsi="Arial" w:cs="Arial"/>
          <w:i/>
          <w:iCs/>
          <w:lang w:val="en-US"/>
        </w:rPr>
        <w:t> </w:t>
      </w:r>
      <w:r w:rsidRPr="00430A5E">
        <w:rPr>
          <w:rFonts w:ascii="Arial" w:hAnsi="Arial" w:cs="Arial"/>
          <w:i/>
          <w:iCs/>
          <w:lang w:val="en-US"/>
        </w:rPr>
        <w:t>glutamicum</w:t>
      </w:r>
      <w:r w:rsidRPr="00430A5E">
        <w:rPr>
          <w:rFonts w:ascii="Arial" w:hAnsi="Arial" w:cs="Arial"/>
          <w:lang w:val="en-US"/>
        </w:rPr>
        <w:t xml:space="preserve"> wildtype strain (Figure S</w:t>
      </w:r>
      <w:r w:rsidR="00A05412" w:rsidRPr="00430A5E">
        <w:rPr>
          <w:rFonts w:ascii="Arial" w:hAnsi="Arial" w:cs="Arial"/>
          <w:lang w:val="en-US"/>
        </w:rPr>
        <w:t>4</w:t>
      </w:r>
      <w:r w:rsidRPr="00430A5E">
        <w:rPr>
          <w:rFonts w:ascii="Arial" w:hAnsi="Arial" w:cs="Arial"/>
          <w:lang w:val="en-US"/>
        </w:rPr>
        <w:t xml:space="preserve"> A). </w:t>
      </w:r>
      <w:r w:rsidR="00DE792D" w:rsidRPr="00430A5E">
        <w:rPr>
          <w:rFonts w:ascii="Arial" w:hAnsi="Arial" w:cs="Arial"/>
          <w:lang w:val="en-US"/>
        </w:rPr>
        <w:t>R</w:t>
      </w:r>
      <w:r w:rsidRPr="00430A5E">
        <w:rPr>
          <w:rFonts w:ascii="Arial" w:hAnsi="Arial" w:cs="Arial"/>
          <w:lang w:val="en-US"/>
        </w:rPr>
        <w:t xml:space="preserve">esults show that the wildtype did not </w:t>
      </w:r>
      <w:r w:rsidR="003F4B83" w:rsidRPr="00430A5E">
        <w:rPr>
          <w:rFonts w:ascii="Arial" w:hAnsi="Arial" w:cs="Arial"/>
          <w:lang w:val="en-US"/>
        </w:rPr>
        <w:t>secrete</w:t>
      </w:r>
      <w:r w:rsidRPr="00430A5E">
        <w:rPr>
          <w:rFonts w:ascii="Arial" w:hAnsi="Arial" w:cs="Arial"/>
          <w:lang w:val="en-US"/>
        </w:rPr>
        <w:t xml:space="preserve"> </w:t>
      </w:r>
      <w:r w:rsidR="003F4B83" w:rsidRPr="00430A5E">
        <w:rPr>
          <w:rFonts w:ascii="Arial" w:hAnsi="Arial" w:cs="Arial"/>
          <w:lang w:val="en-US"/>
        </w:rPr>
        <w:t>sufficient amounts of</w:t>
      </w:r>
      <w:r w:rsidR="00CA1141" w:rsidRPr="00430A5E">
        <w:rPr>
          <w:rFonts w:ascii="Arial" w:hAnsi="Arial" w:cs="Arial"/>
          <w:lang w:val="en-US"/>
        </w:rPr>
        <w:t xml:space="preserve"> </w:t>
      </w:r>
      <w:r w:rsidR="005B5379" w:rsidRPr="00430A5E">
        <w:rPr>
          <w:rFonts w:ascii="Arial" w:hAnsi="Arial" w:cs="Arial"/>
          <w:smallCaps/>
          <w:lang w:val="en-US"/>
        </w:rPr>
        <w:t>L</w:t>
      </w:r>
      <w:r w:rsidR="005B5379" w:rsidRPr="00430A5E">
        <w:rPr>
          <w:rFonts w:ascii="Arial" w:hAnsi="Arial" w:cs="Arial"/>
          <w:lang w:val="en-US"/>
        </w:rPr>
        <w:t>-</w:t>
      </w:r>
      <w:r w:rsidR="00CA1141" w:rsidRPr="00430A5E">
        <w:rPr>
          <w:rFonts w:ascii="Arial" w:hAnsi="Arial" w:cs="Arial"/>
          <w:lang w:val="en-US"/>
        </w:rPr>
        <w:t>lysine</w:t>
      </w:r>
      <w:r w:rsidRPr="00430A5E">
        <w:rPr>
          <w:rFonts w:ascii="Arial" w:hAnsi="Arial" w:cs="Arial"/>
          <w:lang w:val="en-US"/>
        </w:rPr>
        <w:t xml:space="preserve"> to induce growth of </w:t>
      </w:r>
      <w:r w:rsidR="00BF18C0" w:rsidRPr="00430A5E">
        <w:rPr>
          <w:rFonts w:ascii="Arial" w:hAnsi="Arial" w:cs="Arial"/>
          <w:lang w:val="en-US"/>
        </w:rPr>
        <w:t xml:space="preserve">the </w:t>
      </w:r>
      <w:r w:rsidR="00BE431B" w:rsidRPr="00430A5E">
        <w:rPr>
          <w:rFonts w:ascii="Arial" w:hAnsi="Arial" w:cs="Arial"/>
          <w:lang w:val="en-US"/>
        </w:rPr>
        <w:t>Δ</w:t>
      </w:r>
      <w:r w:rsidR="00BE431B" w:rsidRPr="00430A5E">
        <w:rPr>
          <w:rFonts w:ascii="Arial" w:hAnsi="Arial" w:cs="Arial"/>
          <w:i/>
          <w:iCs/>
          <w:lang w:val="en-US"/>
        </w:rPr>
        <w:t>lysA</w:t>
      </w:r>
      <w:r w:rsidR="00BF18C0" w:rsidRPr="00430A5E">
        <w:rPr>
          <w:rFonts w:ascii="Arial" w:hAnsi="Arial" w:cs="Arial"/>
          <w:i/>
          <w:iCs/>
          <w:lang w:val="en-US"/>
        </w:rPr>
        <w:t xml:space="preserve"> </w:t>
      </w:r>
      <w:r w:rsidR="00BF18C0" w:rsidRPr="00430A5E">
        <w:rPr>
          <w:rFonts w:ascii="Arial" w:hAnsi="Arial" w:cs="Arial"/>
          <w:iCs/>
          <w:lang w:val="en-US"/>
        </w:rPr>
        <w:t>strain</w:t>
      </w:r>
      <w:r w:rsidR="00BE431B" w:rsidRPr="00430A5E">
        <w:rPr>
          <w:rFonts w:ascii="Arial" w:hAnsi="Arial" w:cs="Arial"/>
          <w:i/>
          <w:iCs/>
          <w:lang w:val="en-US"/>
        </w:rPr>
        <w:t>,</w:t>
      </w:r>
      <w:r w:rsidR="00BE431B" w:rsidRPr="00430A5E">
        <w:rPr>
          <w:rFonts w:ascii="Arial" w:hAnsi="Arial" w:cs="Arial"/>
          <w:iCs/>
          <w:lang w:val="en-US"/>
        </w:rPr>
        <w:t xml:space="preserve"> which</w:t>
      </w:r>
      <w:r w:rsidR="00DB1E30" w:rsidRPr="00430A5E">
        <w:rPr>
          <w:rFonts w:ascii="Arial" w:hAnsi="Arial" w:cs="Arial"/>
          <w:lang w:val="en-US"/>
        </w:rPr>
        <w:t xml:space="preserve"> </w:t>
      </w:r>
      <w:r w:rsidR="004D7EC4" w:rsidRPr="00430A5E">
        <w:rPr>
          <w:rFonts w:ascii="Arial" w:hAnsi="Arial" w:cs="Arial"/>
          <w:lang w:val="en-US"/>
        </w:rPr>
        <w:t xml:space="preserve">was </w:t>
      </w:r>
      <w:r w:rsidR="00DB1E30" w:rsidRPr="00430A5E">
        <w:rPr>
          <w:rFonts w:ascii="Arial" w:hAnsi="Arial" w:cs="Arial"/>
          <w:lang w:val="en-US"/>
        </w:rPr>
        <w:t xml:space="preserve">in accordance with our </w:t>
      </w:r>
      <w:r w:rsidR="00BE431B" w:rsidRPr="00430A5E">
        <w:rPr>
          <w:rFonts w:ascii="Arial" w:hAnsi="Arial" w:cs="Arial"/>
          <w:lang w:val="en-US"/>
        </w:rPr>
        <w:t>expectations,</w:t>
      </w:r>
      <w:r w:rsidR="00DB1E30" w:rsidRPr="00430A5E">
        <w:rPr>
          <w:rFonts w:ascii="Arial" w:hAnsi="Arial" w:cs="Arial"/>
          <w:lang w:val="en-US"/>
        </w:rPr>
        <w:t xml:space="preserve"> as the </w:t>
      </w:r>
      <w:r w:rsidR="005B5379" w:rsidRPr="00430A5E">
        <w:rPr>
          <w:rFonts w:ascii="Arial" w:hAnsi="Arial" w:cs="Arial"/>
          <w:smallCaps/>
          <w:lang w:val="en-US"/>
        </w:rPr>
        <w:t>L</w:t>
      </w:r>
      <w:r w:rsidR="005B5379" w:rsidRPr="00430A5E">
        <w:rPr>
          <w:rFonts w:ascii="Arial" w:hAnsi="Arial" w:cs="Arial"/>
          <w:lang w:val="en-US"/>
        </w:rPr>
        <w:t>-</w:t>
      </w:r>
      <w:r w:rsidR="00DB1E30" w:rsidRPr="00430A5E">
        <w:rPr>
          <w:rFonts w:ascii="Arial" w:hAnsi="Arial" w:cs="Arial"/>
          <w:lang w:val="en-US"/>
        </w:rPr>
        <w:t xml:space="preserve">lysine production is </w:t>
      </w:r>
      <w:r w:rsidR="005026D5" w:rsidRPr="00430A5E">
        <w:rPr>
          <w:rFonts w:ascii="Arial" w:hAnsi="Arial" w:cs="Arial"/>
          <w:lang w:val="en-US"/>
        </w:rPr>
        <w:t xml:space="preserve">negatively </w:t>
      </w:r>
      <w:r w:rsidR="00DB1E30" w:rsidRPr="00430A5E">
        <w:rPr>
          <w:rFonts w:ascii="Arial" w:hAnsi="Arial" w:cs="Arial"/>
          <w:lang w:val="en-US"/>
        </w:rPr>
        <w:t xml:space="preserve">feedback regulated in </w:t>
      </w:r>
      <w:r w:rsidR="00BF46CD" w:rsidRPr="00430A5E">
        <w:rPr>
          <w:rFonts w:ascii="Arial" w:hAnsi="Arial" w:cs="Arial"/>
          <w:lang w:val="en-US"/>
        </w:rPr>
        <w:t xml:space="preserve">the </w:t>
      </w:r>
      <w:r w:rsidR="00DB1E30" w:rsidRPr="00430A5E">
        <w:rPr>
          <w:rFonts w:ascii="Arial" w:hAnsi="Arial" w:cs="Arial"/>
          <w:lang w:val="en-US"/>
        </w:rPr>
        <w:t>wild</w:t>
      </w:r>
      <w:r w:rsidR="00CA5CC1" w:rsidRPr="00430A5E">
        <w:rPr>
          <w:rFonts w:ascii="Arial" w:hAnsi="Arial" w:cs="Arial"/>
          <w:lang w:val="en-US"/>
        </w:rPr>
        <w:t xml:space="preserve"> </w:t>
      </w:r>
      <w:r w:rsidR="00DB1E30" w:rsidRPr="00430A5E">
        <w:rPr>
          <w:rFonts w:ascii="Arial" w:hAnsi="Arial" w:cs="Arial"/>
          <w:lang w:val="en-US"/>
        </w:rPr>
        <w:t>type</w:t>
      </w:r>
      <w:r w:rsidR="003D068F" w:rsidRPr="00430A5E">
        <w:rPr>
          <w:rFonts w:ascii="Arial" w:hAnsi="Arial" w:cs="Arial"/>
          <w:lang w:val="en-US"/>
        </w:rPr>
        <w:t>.</w:t>
      </w:r>
      <w:r w:rsidR="00787B8A" w:rsidRPr="00430A5E">
        <w:rPr>
          <w:rFonts w:ascii="Arial" w:hAnsi="Arial" w:cs="Arial"/>
          <w:lang w:val="en-US"/>
        </w:rPr>
        <w:fldChar w:fldCharType="begin" w:fldLock="1"/>
      </w:r>
      <w:r w:rsidR="00F74091">
        <w:rPr>
          <w:rFonts w:ascii="Arial" w:hAnsi="Arial" w:cs="Arial"/>
          <w:lang w:val="en-US"/>
        </w:rPr>
        <w:instrText>ADDIN CSL_CITATION {"citationItems":[{"id":"ITEM-1","itemData":{"DOI":"10.1007/s00253-001-0883-6","ISBN":"0025300108836","ISSN":"01757598","PMID":"11876415","abstract":"Classical whole-cell mutagenesis has achieved great success in development of many industrial fermentation strains, but has the serious disadvantage of accumulation of uncharacterized secondary mutations that are detrimental to their performance. In the post-genomic era, a novel methodology which avoids this drawback presents itself. This \"genome-based strain reconstruction\" involves identifying mutations by comparative genomic analysis, defining mutations beneficial for production, and assembling them in a single wild-type background. Described herein is an initial challenge involving reconstruction of classically derived L-lysine-producing Corynebacterium glutamicum. Comparative genomic analysis for the relevant terminal pathways, the efflux step, and the anaplerotic reactions between the wild-type and production strains identified a Val-59→Ala mutation in the homoserine dehydrogenase gene (hom), a Thr-311→Ile mutation in the aspartokinase gene (lysC), and a Pro-458→Ser mutation in the pyruvate carboxylase gene (pyc). Introduction of the hom and lysC mutations into the wild-type strain by allelic replacement resulted in accumulation of 8 g and 55 g of L-lysine/l, respectively, indicating that both these specific mutations are relevant to production. The two mutations were then reconstituted in the wild-type genome, which led to a synergistic effect on production (75 g/l). Further introduction of the pyc mutation resulted in an additional contribution and accumulation of 80 g/l after only 27 h. This high-speed fermentation achieved the highest productivity (3.0 g l-1 h-1) so far reported for microbes producing L-lysine in fed-batch fermentation.","author":[{"dropping-particle":"","family":"Ohnishi","given":"J.","non-dropping-particle":"","parse-names":false,"suffix":""},{"dropping-particle":"","family":"Mitsuhashi","given":"S.","non-dropping-particle":"","parse-names":false,"suffix":""},{"dropping-particle":"","family":"Hayashi","given":"M.","non-dropping-particle":"","parse-names":false,"suffix":""},{"dropping-particle":"","family":"Ando","given":"S.","non-dropping-particle":"","parse-names":false,"suffix":""},{"dropping-particle":"","family":"Yokoi","given":"H.","non-dropping-particle":"","parse-names":false,"suffix":""},{"dropping-particle":"","family":"Ochiai","given":"K.","non-dropping-particle":"","parse-names":false,"suffix":""},{"dropping-particle":"","family":"Ikeda","given":"M.","non-dropping-particle":"","parse-names":false,"suffix":""}],"container-title":"Applied Microbiology and Biotechnology","id":"ITEM-1","issue":"2","issued":{"date-parts":[["2002"]]},"page":"217-223","title":"A novel methodology employing Corynebacterium glutamicum genome information to generate a new L-lysine-producing mutant","type":"article-journal","volume":"58"},"uris":["http://www.mendeley.com/documents/?uuid=4bc2c916-33a0-43fc-9830-3ef8a72ae937"]}],"mendeley":{"formattedCitation":"&lt;sup&gt;35&lt;/sup&gt;","plainTextFormattedCitation":"35","previouslyFormattedCitation":"&lt;sup&gt;52&lt;/sup&gt;"},"properties":{"noteIndex":0},"schema":"https://github.com/citation-style-language/schema/raw/master/csl-citation.json"}</w:instrText>
      </w:r>
      <w:r w:rsidR="00787B8A" w:rsidRPr="00430A5E">
        <w:rPr>
          <w:rFonts w:ascii="Arial" w:hAnsi="Arial" w:cs="Arial"/>
          <w:lang w:val="en-US"/>
        </w:rPr>
        <w:fldChar w:fldCharType="separate"/>
      </w:r>
      <w:r w:rsidR="00F74091" w:rsidRPr="00F74091">
        <w:rPr>
          <w:rFonts w:ascii="Arial" w:hAnsi="Arial" w:cs="Arial"/>
          <w:noProof/>
          <w:vertAlign w:val="superscript"/>
          <w:lang w:val="en-US"/>
        </w:rPr>
        <w:t>35</w:t>
      </w:r>
      <w:r w:rsidR="00787B8A" w:rsidRPr="00430A5E">
        <w:rPr>
          <w:rFonts w:ascii="Arial" w:hAnsi="Arial" w:cs="Arial"/>
          <w:lang w:val="en-US"/>
        </w:rPr>
        <w:fldChar w:fldCharType="end"/>
      </w:r>
    </w:p>
    <w:p w14:paraId="61DB4804" w14:textId="7567276F" w:rsidR="001633CF" w:rsidRPr="00430A5E" w:rsidRDefault="00350B1F" w:rsidP="007C437C">
      <w:pPr>
        <w:spacing w:after="0" w:line="360" w:lineRule="auto"/>
        <w:jc w:val="both"/>
        <w:rPr>
          <w:rFonts w:ascii="Arial" w:hAnsi="Arial" w:cs="Arial"/>
          <w:sz w:val="20"/>
          <w:szCs w:val="20"/>
          <w:lang w:val="en-US"/>
        </w:rPr>
      </w:pPr>
      <w:r w:rsidRPr="00430A5E">
        <w:rPr>
          <w:rFonts w:ascii="Arial" w:hAnsi="Arial" w:cs="Arial"/>
          <w:lang w:val="en-US"/>
        </w:rPr>
        <w:t>In a next step, we aimed to control the interaction and analyzed the growth behavior of</w:t>
      </w:r>
      <w:r w:rsidR="00BF18C0" w:rsidRPr="00430A5E">
        <w:rPr>
          <w:rFonts w:ascii="Arial" w:hAnsi="Arial" w:cs="Arial"/>
          <w:lang w:val="en-US"/>
        </w:rPr>
        <w:t xml:space="preserve"> </w:t>
      </w:r>
      <w:r w:rsidR="00BF18C0" w:rsidRPr="00430A5E">
        <w:rPr>
          <w:rFonts w:ascii="Arial" w:hAnsi="Arial" w:cs="Arial"/>
          <w:i/>
          <w:lang w:val="en-US"/>
        </w:rPr>
        <w:t>C. glutamicum</w:t>
      </w:r>
      <w:r w:rsidRPr="00430A5E">
        <w:rPr>
          <w:rFonts w:ascii="Arial" w:hAnsi="Arial" w:cs="Arial"/>
          <w:lang w:val="en-US"/>
        </w:rPr>
        <w:t xml:space="preserve"> Δ</w:t>
      </w:r>
      <w:r w:rsidRPr="00430A5E">
        <w:rPr>
          <w:rFonts w:ascii="Arial" w:hAnsi="Arial" w:cs="Arial"/>
          <w:i/>
          <w:iCs/>
          <w:lang w:val="en-US"/>
        </w:rPr>
        <w:t xml:space="preserve">lysA </w:t>
      </w:r>
      <w:r w:rsidRPr="00430A5E">
        <w:rPr>
          <w:rFonts w:ascii="Arial" w:hAnsi="Arial" w:cs="Arial"/>
          <w:lang w:val="en-US"/>
        </w:rPr>
        <w:t xml:space="preserve">in co-culture </w:t>
      </w:r>
      <w:r w:rsidR="005026D5" w:rsidRPr="00430A5E">
        <w:rPr>
          <w:rFonts w:ascii="Arial" w:hAnsi="Arial" w:cs="Arial"/>
          <w:lang w:val="en-US"/>
        </w:rPr>
        <w:t xml:space="preserve">together </w:t>
      </w:r>
      <w:r w:rsidRPr="00430A5E">
        <w:rPr>
          <w:rFonts w:ascii="Arial" w:hAnsi="Arial" w:cs="Arial"/>
          <w:lang w:val="en-US"/>
        </w:rPr>
        <w:t>with</w:t>
      </w:r>
      <w:r w:rsidR="00C40A32" w:rsidRPr="00430A5E">
        <w:rPr>
          <w:rFonts w:ascii="Arial" w:hAnsi="Arial" w:cs="Arial"/>
          <w:lang w:val="en-US"/>
        </w:rPr>
        <w:t xml:space="preserve"> strain</w:t>
      </w:r>
      <w:r w:rsidRPr="00430A5E">
        <w:rPr>
          <w:rFonts w:ascii="Arial" w:hAnsi="Arial" w:cs="Arial"/>
          <w:lang w:val="en-US"/>
        </w:rPr>
        <w:t xml:space="preserve"> </w:t>
      </w:r>
      <w:r w:rsidR="00BF18C0" w:rsidRPr="00430A5E">
        <w:rPr>
          <w:rFonts w:ascii="Arial" w:hAnsi="Arial" w:cs="Arial"/>
          <w:i/>
          <w:lang w:val="en-US"/>
        </w:rPr>
        <w:t>C. glutamicum</w:t>
      </w:r>
      <w:r w:rsidR="00BF18C0" w:rsidRPr="00430A5E">
        <w:rPr>
          <w:rFonts w:ascii="Arial" w:hAnsi="Arial" w:cs="Arial"/>
          <w:lang w:val="en-US"/>
        </w:rPr>
        <w:t xml:space="preserve"> </w:t>
      </w:r>
      <w:r w:rsidRPr="00430A5E">
        <w:rPr>
          <w:rFonts w:ascii="Arial" w:hAnsi="Arial" w:cs="Arial"/>
          <w:lang w:val="en-US"/>
        </w:rPr>
        <w:t xml:space="preserve">DM1727 </w:t>
      </w:r>
      <w:r w:rsidR="00A2155F" w:rsidRPr="00430A5E">
        <w:rPr>
          <w:rFonts w:ascii="Arial" w:hAnsi="Arial" w:cs="Arial"/>
          <w:lang w:val="en-US"/>
        </w:rPr>
        <w:t>pEKEx2-</w:t>
      </w:r>
      <w:r w:rsidR="00A2155F" w:rsidRPr="00430A5E">
        <w:rPr>
          <w:rFonts w:ascii="Arial" w:hAnsi="Arial" w:cs="Arial"/>
          <w:i/>
          <w:lang w:val="en-US"/>
        </w:rPr>
        <w:t>lysC</w:t>
      </w:r>
      <w:r w:rsidR="00A2155F" w:rsidRPr="00430A5E">
        <w:rPr>
          <w:rFonts w:ascii="Arial" w:hAnsi="Arial" w:cs="Arial"/>
          <w:lang w:val="en-US"/>
        </w:rPr>
        <w:t>-β</w:t>
      </w:r>
      <w:r w:rsidR="00A2155F" w:rsidRPr="00430A5E">
        <w:rPr>
          <w:rFonts w:ascii="Arial" w:hAnsi="Arial" w:cs="Arial"/>
          <w:vertAlign w:val="superscript"/>
          <w:lang w:val="en-US"/>
        </w:rPr>
        <w:t>FBR</w:t>
      </w:r>
      <w:r w:rsidRPr="00430A5E">
        <w:rPr>
          <w:rFonts w:ascii="Arial" w:hAnsi="Arial" w:cs="Arial"/>
          <w:i/>
          <w:iCs/>
          <w:lang w:val="en-US"/>
        </w:rPr>
        <w:t>.</w:t>
      </w:r>
    </w:p>
    <w:p w14:paraId="567D3FD0" w14:textId="02427C8D" w:rsidR="00DF6E0F" w:rsidRPr="00430A5E" w:rsidRDefault="00DF6E0F" w:rsidP="007C437C">
      <w:pPr>
        <w:spacing w:after="0" w:line="360" w:lineRule="auto"/>
        <w:jc w:val="both"/>
        <w:rPr>
          <w:rFonts w:ascii="Arial" w:hAnsi="Arial" w:cs="Arial"/>
          <w:sz w:val="20"/>
          <w:szCs w:val="20"/>
          <w:lang w:val="en-US"/>
        </w:rPr>
      </w:pPr>
    </w:p>
    <w:p w14:paraId="4BB0CBDE" w14:textId="56591921" w:rsidR="00516996" w:rsidRPr="00430A5E" w:rsidRDefault="001633CF" w:rsidP="007C437C">
      <w:pPr>
        <w:spacing w:after="0" w:line="360" w:lineRule="auto"/>
        <w:jc w:val="both"/>
        <w:rPr>
          <w:rFonts w:ascii="Arial" w:hAnsi="Arial" w:cs="Arial"/>
          <w:b/>
          <w:lang w:val="en-US"/>
        </w:rPr>
      </w:pPr>
      <w:r w:rsidRPr="00430A5E">
        <w:rPr>
          <w:rFonts w:ascii="Arial" w:hAnsi="Arial" w:cs="Arial"/>
          <w:noProof/>
          <w:lang w:eastAsia="de-DE"/>
        </w:rPr>
        <w:drawing>
          <wp:inline distT="0" distB="0" distL="0" distR="0" wp14:anchorId="3325F8CE" wp14:editId="6724649E">
            <wp:extent cx="5689270" cy="2303803"/>
            <wp:effectExtent l="0" t="0" r="6985" b="127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3_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9270" cy="2303803"/>
                    </a:xfrm>
                    <a:prstGeom prst="rect">
                      <a:avLst/>
                    </a:prstGeom>
                  </pic:spPr>
                </pic:pic>
              </a:graphicData>
            </a:graphic>
          </wp:inline>
        </w:drawing>
      </w:r>
    </w:p>
    <w:p w14:paraId="4317DDDC" w14:textId="022657DA" w:rsidR="001633CF" w:rsidRPr="00430A5E" w:rsidRDefault="001633CF" w:rsidP="007C437C">
      <w:pPr>
        <w:pStyle w:val="Beschriftung"/>
        <w:spacing w:line="360" w:lineRule="auto"/>
        <w:jc w:val="both"/>
        <w:rPr>
          <w:rFonts w:ascii="Arial" w:hAnsi="Arial" w:cs="Arial"/>
          <w:color w:val="auto"/>
          <w:lang w:val="en-US"/>
        </w:rPr>
      </w:pPr>
      <w:bookmarkStart w:id="5" w:name="_Hlk58789100"/>
      <w:r w:rsidRPr="00430A5E">
        <w:rPr>
          <w:rFonts w:ascii="Arial" w:hAnsi="Arial" w:cs="Arial"/>
          <w:b/>
          <w:bCs/>
          <w:color w:val="auto"/>
          <w:lang w:val="en-US"/>
        </w:rPr>
        <w:t xml:space="preserve">Figure </w:t>
      </w:r>
      <w:r w:rsidR="006B0862">
        <w:rPr>
          <w:rFonts w:ascii="Arial" w:hAnsi="Arial" w:cs="Arial"/>
          <w:b/>
          <w:bCs/>
          <w:color w:val="auto"/>
          <w:lang w:val="en-US"/>
        </w:rPr>
        <w:t>2</w:t>
      </w:r>
      <w:r w:rsidRPr="00430A5E">
        <w:rPr>
          <w:rFonts w:ascii="Arial" w:hAnsi="Arial" w:cs="Arial"/>
          <w:color w:val="auto"/>
          <w:lang w:val="en-US"/>
        </w:rPr>
        <w:t xml:space="preserve"> </w:t>
      </w:r>
      <w:r w:rsidR="000D67AE" w:rsidRPr="00430A5E">
        <w:rPr>
          <w:rFonts w:ascii="Arial" w:hAnsi="Arial" w:cs="Arial"/>
          <w:color w:val="auto"/>
          <w:lang w:val="en-US"/>
        </w:rPr>
        <w:t>Microcolony</w:t>
      </w:r>
      <w:r w:rsidRPr="00430A5E">
        <w:rPr>
          <w:rFonts w:ascii="Arial" w:hAnsi="Arial" w:cs="Arial"/>
          <w:color w:val="auto"/>
          <w:lang w:val="en-US"/>
        </w:rPr>
        <w:t xml:space="preserve"> growth analysis of</w:t>
      </w:r>
      <w:r w:rsidR="006E4815" w:rsidRPr="00430A5E">
        <w:rPr>
          <w:rFonts w:ascii="Arial" w:hAnsi="Arial" w:cs="Arial"/>
          <w:color w:val="auto"/>
          <w:lang w:val="en-US"/>
        </w:rPr>
        <w:t xml:space="preserve"> C. glutamicum co-cultures</w:t>
      </w:r>
      <w:r w:rsidRPr="00430A5E">
        <w:rPr>
          <w:rFonts w:ascii="Arial" w:hAnsi="Arial" w:cs="Arial"/>
          <w:color w:val="auto"/>
          <w:lang w:val="en-US"/>
        </w:rPr>
        <w:t xml:space="preserve"> </w:t>
      </w:r>
      <w:r w:rsidR="006E4815" w:rsidRPr="00430A5E">
        <w:rPr>
          <w:rFonts w:ascii="Arial" w:hAnsi="Arial" w:cs="Arial"/>
          <w:color w:val="auto"/>
          <w:lang w:val="en-US"/>
        </w:rPr>
        <w:t xml:space="preserve">during </w:t>
      </w:r>
      <w:r w:rsidRPr="00430A5E">
        <w:rPr>
          <w:rFonts w:ascii="Arial" w:hAnsi="Arial" w:cs="Arial"/>
          <w:color w:val="auto"/>
          <w:lang w:val="en-US"/>
        </w:rPr>
        <w:t>uncontrolled and controlled interaction. (A)</w:t>
      </w:r>
      <w:r w:rsidR="00C2465D" w:rsidRPr="00430A5E">
        <w:rPr>
          <w:rFonts w:ascii="Arial" w:hAnsi="Arial" w:cs="Arial"/>
          <w:color w:val="auto"/>
          <w:lang w:val="en-US"/>
        </w:rPr>
        <w:t xml:space="preserve"> </w:t>
      </w:r>
      <w:r w:rsidR="004A6997" w:rsidRPr="00430A5E">
        <w:rPr>
          <w:rFonts w:ascii="Arial" w:hAnsi="Arial" w:cs="Arial"/>
          <w:color w:val="auto"/>
          <w:lang w:val="en-US"/>
        </w:rPr>
        <w:t xml:space="preserve">Growth curves of five growth chambers of </w:t>
      </w:r>
      <w:r w:rsidR="005B5379" w:rsidRPr="00430A5E">
        <w:rPr>
          <w:rFonts w:ascii="Arial" w:hAnsi="Arial" w:cs="Arial"/>
          <w:smallCaps/>
          <w:color w:val="auto"/>
          <w:lang w:val="en-US"/>
        </w:rPr>
        <w:t>L</w:t>
      </w:r>
      <w:r w:rsidR="005B5379" w:rsidRPr="00430A5E">
        <w:rPr>
          <w:rFonts w:ascii="Arial" w:hAnsi="Arial" w:cs="Arial"/>
          <w:color w:val="auto"/>
          <w:lang w:val="en-US"/>
        </w:rPr>
        <w:t>-</w:t>
      </w:r>
      <w:r w:rsidR="00C2465D" w:rsidRPr="00430A5E">
        <w:rPr>
          <w:rFonts w:ascii="Arial" w:hAnsi="Arial" w:cs="Arial"/>
          <w:color w:val="auto"/>
          <w:lang w:val="en-US"/>
        </w:rPr>
        <w:t xml:space="preserve">lysine producer </w:t>
      </w:r>
      <w:r w:rsidR="00BF18C0" w:rsidRPr="00430A5E">
        <w:rPr>
          <w:rFonts w:ascii="Arial" w:hAnsi="Arial" w:cs="Arial"/>
          <w:color w:val="auto"/>
          <w:lang w:val="en-US"/>
        </w:rPr>
        <w:t xml:space="preserve">C. glutamicum </w:t>
      </w:r>
      <w:r w:rsidR="00C2465D" w:rsidRPr="00430A5E">
        <w:rPr>
          <w:rFonts w:ascii="Arial" w:hAnsi="Arial" w:cs="Arial"/>
          <w:color w:val="auto"/>
          <w:lang w:val="en-US"/>
        </w:rPr>
        <w:t>DM1800</w:t>
      </w:r>
      <w:r w:rsidR="004A6997" w:rsidRPr="00430A5E">
        <w:rPr>
          <w:rFonts w:ascii="Arial" w:hAnsi="Arial" w:cs="Arial"/>
          <w:color w:val="auto"/>
          <w:lang w:val="en-US"/>
        </w:rPr>
        <w:t xml:space="preserve"> (triangles)</w:t>
      </w:r>
      <w:r w:rsidR="00C2465D" w:rsidRPr="00430A5E">
        <w:rPr>
          <w:rFonts w:ascii="Arial" w:hAnsi="Arial" w:cs="Arial"/>
          <w:color w:val="auto"/>
          <w:lang w:val="en-US"/>
        </w:rPr>
        <w:t xml:space="preserve"> and </w:t>
      </w:r>
      <w:r w:rsidR="00BF18C0" w:rsidRPr="00430A5E">
        <w:rPr>
          <w:rFonts w:ascii="Arial" w:hAnsi="Arial" w:cs="Arial"/>
          <w:color w:val="auto"/>
          <w:lang w:val="en-US"/>
        </w:rPr>
        <w:t xml:space="preserve">C. glutamicum </w:t>
      </w:r>
      <w:r w:rsidR="00C2465D" w:rsidRPr="00430A5E">
        <w:rPr>
          <w:rFonts w:ascii="Arial" w:hAnsi="Arial" w:cs="Arial"/>
          <w:color w:val="auto"/>
          <w:lang w:val="en-US"/>
        </w:rPr>
        <w:t>ΔlysA</w:t>
      </w:r>
      <w:r w:rsidR="004A6997" w:rsidRPr="00430A5E">
        <w:rPr>
          <w:rFonts w:ascii="Arial" w:hAnsi="Arial" w:cs="Arial"/>
          <w:color w:val="auto"/>
          <w:lang w:val="en-US"/>
        </w:rPr>
        <w:t xml:space="preserve"> (squares) in co-cultivation</w:t>
      </w:r>
      <w:r w:rsidR="00C2465D" w:rsidRPr="00430A5E">
        <w:rPr>
          <w:rFonts w:ascii="Arial" w:hAnsi="Arial" w:cs="Arial"/>
          <w:color w:val="auto"/>
          <w:lang w:val="en-US"/>
        </w:rPr>
        <w:t>. (B) Growth curves of</w:t>
      </w:r>
      <w:r w:rsidR="004A6997" w:rsidRPr="00430A5E">
        <w:rPr>
          <w:rFonts w:ascii="Arial" w:hAnsi="Arial" w:cs="Arial"/>
          <w:color w:val="auto"/>
          <w:lang w:val="en-US"/>
        </w:rPr>
        <w:t xml:space="preserve"> five growth chambers of inducible </w:t>
      </w:r>
      <w:r w:rsidR="004A6997" w:rsidRPr="00430A5E">
        <w:rPr>
          <w:rFonts w:ascii="Arial" w:hAnsi="Arial" w:cs="Arial"/>
          <w:smallCaps/>
          <w:color w:val="auto"/>
          <w:lang w:val="en-US"/>
        </w:rPr>
        <w:t>L</w:t>
      </w:r>
      <w:r w:rsidR="004A6997" w:rsidRPr="00430A5E">
        <w:rPr>
          <w:rFonts w:ascii="Arial" w:hAnsi="Arial" w:cs="Arial"/>
          <w:color w:val="auto"/>
          <w:lang w:val="en-US"/>
        </w:rPr>
        <w:t>-lysine producer</w:t>
      </w:r>
      <w:r w:rsidRPr="00430A5E">
        <w:rPr>
          <w:rFonts w:ascii="Arial" w:hAnsi="Arial" w:cs="Arial"/>
          <w:color w:val="auto"/>
          <w:lang w:val="en-US"/>
        </w:rPr>
        <w:t xml:space="preserve"> </w:t>
      </w:r>
      <w:r w:rsidR="004A6997" w:rsidRPr="00430A5E">
        <w:rPr>
          <w:rFonts w:ascii="Arial" w:hAnsi="Arial" w:cs="Arial"/>
          <w:color w:val="auto"/>
          <w:lang w:val="en-US"/>
        </w:rPr>
        <w:t>C. glutamicum DM1727 pEKEx2-lysC-β</w:t>
      </w:r>
      <w:r w:rsidR="004A6997" w:rsidRPr="00430A5E">
        <w:rPr>
          <w:rFonts w:ascii="Arial" w:hAnsi="Arial" w:cs="Arial"/>
          <w:color w:val="auto"/>
          <w:vertAlign w:val="superscript"/>
          <w:lang w:val="en-US"/>
        </w:rPr>
        <w:t>FBR</w:t>
      </w:r>
      <w:r w:rsidR="004A6997" w:rsidRPr="00430A5E">
        <w:rPr>
          <w:rFonts w:ascii="Arial" w:hAnsi="Arial" w:cs="Arial"/>
          <w:color w:val="auto"/>
          <w:lang w:val="en-US"/>
        </w:rPr>
        <w:t xml:space="preserve"> (triangles) and </w:t>
      </w:r>
      <w:r w:rsidR="00BF18C0" w:rsidRPr="00430A5E">
        <w:rPr>
          <w:rFonts w:ascii="Arial" w:hAnsi="Arial" w:cs="Arial"/>
          <w:color w:val="auto"/>
          <w:lang w:val="en-US"/>
        </w:rPr>
        <w:t xml:space="preserve">C. glutamicum </w:t>
      </w:r>
      <w:r w:rsidRPr="00430A5E">
        <w:rPr>
          <w:rFonts w:ascii="Arial" w:hAnsi="Arial" w:cs="Arial"/>
          <w:color w:val="auto"/>
          <w:lang w:val="en-US"/>
        </w:rPr>
        <w:t>ΔlysA</w:t>
      </w:r>
      <w:r w:rsidR="00C2465D" w:rsidRPr="00430A5E">
        <w:rPr>
          <w:rFonts w:ascii="Arial" w:hAnsi="Arial" w:cs="Arial"/>
          <w:color w:val="auto"/>
          <w:lang w:val="en-US"/>
        </w:rPr>
        <w:t xml:space="preserve"> (squares)</w:t>
      </w:r>
      <w:r w:rsidRPr="00430A5E">
        <w:rPr>
          <w:rFonts w:ascii="Arial" w:hAnsi="Arial" w:cs="Arial"/>
          <w:color w:val="auto"/>
          <w:lang w:val="en-US"/>
        </w:rPr>
        <w:t xml:space="preserve"> </w:t>
      </w:r>
      <w:r w:rsidR="00C2465D" w:rsidRPr="00430A5E">
        <w:rPr>
          <w:rFonts w:ascii="Arial" w:hAnsi="Arial" w:cs="Arial"/>
          <w:color w:val="auto"/>
          <w:lang w:val="en-US"/>
        </w:rPr>
        <w:t>in co-cultivation</w:t>
      </w:r>
      <w:r w:rsidRPr="00430A5E">
        <w:rPr>
          <w:rFonts w:ascii="Arial" w:hAnsi="Arial" w:cs="Arial"/>
          <w:color w:val="auto"/>
          <w:lang w:val="en-US"/>
        </w:rPr>
        <w:t>.</w:t>
      </w:r>
      <w:r w:rsidR="0093749B" w:rsidRPr="00430A5E">
        <w:rPr>
          <w:rFonts w:ascii="Arial" w:hAnsi="Arial" w:cs="Arial"/>
          <w:color w:val="auto"/>
          <w:lang w:val="en-US"/>
        </w:rPr>
        <w:t xml:space="preserve"> Each color represents one </w:t>
      </w:r>
      <w:r w:rsidR="00AA5426" w:rsidRPr="00430A5E">
        <w:rPr>
          <w:rFonts w:ascii="Arial" w:hAnsi="Arial" w:cs="Arial"/>
          <w:color w:val="auto"/>
          <w:lang w:val="en-US"/>
        </w:rPr>
        <w:t>pair of microcolonies in on cultivation chamber</w:t>
      </w:r>
      <w:r w:rsidR="0093749B" w:rsidRPr="00430A5E">
        <w:rPr>
          <w:rFonts w:ascii="Arial" w:hAnsi="Arial" w:cs="Arial"/>
          <w:color w:val="auto"/>
          <w:lang w:val="en-US"/>
        </w:rPr>
        <w:t>.</w:t>
      </w:r>
    </w:p>
    <w:bookmarkEnd w:id="5"/>
    <w:p w14:paraId="138AF587" w14:textId="77777777" w:rsidR="001633CF" w:rsidRPr="00430A5E" w:rsidRDefault="001633CF" w:rsidP="007C437C">
      <w:pPr>
        <w:spacing w:after="0" w:line="360" w:lineRule="auto"/>
        <w:rPr>
          <w:rFonts w:ascii="Arial" w:hAnsi="Arial" w:cs="Arial"/>
          <w:b/>
          <w:lang w:val="en-US"/>
        </w:rPr>
      </w:pPr>
    </w:p>
    <w:p w14:paraId="2C530E3A" w14:textId="77777777" w:rsidR="003C0F77" w:rsidRPr="00430A5E" w:rsidRDefault="003C0F77" w:rsidP="007C437C">
      <w:pPr>
        <w:spacing w:after="0" w:line="360" w:lineRule="auto"/>
        <w:rPr>
          <w:rFonts w:ascii="Arial" w:hAnsi="Arial" w:cs="Arial"/>
          <w:b/>
          <w:sz w:val="24"/>
          <w:szCs w:val="24"/>
          <w:lang w:val="en-US"/>
        </w:rPr>
      </w:pPr>
    </w:p>
    <w:p w14:paraId="7F14DFFF" w14:textId="77777777" w:rsidR="003C0F77" w:rsidRPr="00430A5E" w:rsidRDefault="003C0F77" w:rsidP="007C437C">
      <w:pPr>
        <w:spacing w:after="0" w:line="360" w:lineRule="auto"/>
        <w:rPr>
          <w:rFonts w:ascii="Arial" w:hAnsi="Arial" w:cs="Arial"/>
          <w:b/>
          <w:sz w:val="24"/>
          <w:szCs w:val="24"/>
          <w:lang w:val="en-US"/>
        </w:rPr>
      </w:pPr>
    </w:p>
    <w:p w14:paraId="35368338" w14:textId="77777777" w:rsidR="00EE4E14" w:rsidRDefault="00EE4E14" w:rsidP="007C437C">
      <w:pPr>
        <w:spacing w:after="0" w:line="360" w:lineRule="auto"/>
        <w:rPr>
          <w:rFonts w:ascii="Arial" w:hAnsi="Arial" w:cs="Arial"/>
          <w:b/>
          <w:sz w:val="24"/>
          <w:szCs w:val="24"/>
          <w:lang w:val="en-US"/>
        </w:rPr>
      </w:pPr>
    </w:p>
    <w:p w14:paraId="492DE094" w14:textId="41A01445" w:rsidR="007166DD" w:rsidRPr="00430A5E" w:rsidRDefault="006511B7" w:rsidP="007C437C">
      <w:pPr>
        <w:spacing w:after="0" w:line="360" w:lineRule="auto"/>
        <w:rPr>
          <w:rFonts w:ascii="Arial" w:hAnsi="Arial" w:cs="Arial"/>
          <w:b/>
          <w:sz w:val="24"/>
          <w:szCs w:val="24"/>
          <w:lang w:val="en-US"/>
        </w:rPr>
      </w:pPr>
      <w:r w:rsidRPr="00430A5E">
        <w:rPr>
          <w:rFonts w:ascii="Arial" w:hAnsi="Arial" w:cs="Arial"/>
          <w:b/>
          <w:sz w:val="24"/>
          <w:szCs w:val="24"/>
          <w:lang w:val="en-US"/>
        </w:rPr>
        <w:t>Interaction control</w:t>
      </w:r>
      <w:r w:rsidR="007166DD" w:rsidRPr="00430A5E">
        <w:rPr>
          <w:rFonts w:ascii="Arial" w:hAnsi="Arial" w:cs="Arial"/>
          <w:b/>
          <w:sz w:val="24"/>
          <w:szCs w:val="24"/>
          <w:lang w:val="en-US"/>
        </w:rPr>
        <w:t xml:space="preserve"> </w:t>
      </w:r>
      <w:r w:rsidR="00AA5426" w:rsidRPr="00430A5E">
        <w:rPr>
          <w:rFonts w:ascii="Arial" w:hAnsi="Arial" w:cs="Arial"/>
          <w:b/>
          <w:sz w:val="24"/>
          <w:szCs w:val="24"/>
          <w:lang w:val="en-US"/>
        </w:rPr>
        <w:t>on microcolony level</w:t>
      </w:r>
    </w:p>
    <w:p w14:paraId="3B9567F1" w14:textId="77777777" w:rsidR="00CC5B3E" w:rsidRPr="00430A5E" w:rsidRDefault="00CC5B3E" w:rsidP="007C437C">
      <w:pPr>
        <w:spacing w:after="0" w:line="360" w:lineRule="auto"/>
        <w:rPr>
          <w:rFonts w:ascii="Arial" w:hAnsi="Arial" w:cs="Arial"/>
          <w:b/>
          <w:lang w:val="en-US"/>
        </w:rPr>
      </w:pPr>
    </w:p>
    <w:p w14:paraId="00766172" w14:textId="7B0D13F4" w:rsidR="00CC5B3E" w:rsidRPr="00430A5E" w:rsidRDefault="00CC5B3E" w:rsidP="007C437C">
      <w:pPr>
        <w:spacing w:after="0" w:line="360" w:lineRule="auto"/>
        <w:jc w:val="both"/>
        <w:rPr>
          <w:rFonts w:ascii="Arial" w:hAnsi="Arial" w:cs="Arial"/>
          <w:lang w:val="en-US"/>
        </w:rPr>
      </w:pPr>
      <w:r w:rsidRPr="00430A5E">
        <w:rPr>
          <w:rFonts w:ascii="Arial" w:hAnsi="Arial" w:cs="Arial"/>
          <w:lang w:val="en-US"/>
        </w:rPr>
        <w:t>The inducer-controlled c</w:t>
      </w:r>
      <w:r w:rsidR="006511B7" w:rsidRPr="00430A5E">
        <w:rPr>
          <w:rFonts w:ascii="Arial" w:hAnsi="Arial" w:cs="Arial"/>
          <w:lang w:val="en-US"/>
        </w:rPr>
        <w:t>o-culture</w:t>
      </w:r>
      <w:r w:rsidRPr="00430A5E">
        <w:rPr>
          <w:rFonts w:ascii="Arial" w:hAnsi="Arial" w:cs="Arial"/>
          <w:lang w:val="en-US"/>
        </w:rPr>
        <w:t xml:space="preserve"> </w:t>
      </w:r>
      <w:r w:rsidR="007919A3" w:rsidRPr="00430A5E">
        <w:rPr>
          <w:rFonts w:ascii="Arial" w:hAnsi="Arial" w:cs="Arial"/>
          <w:lang w:val="en-US"/>
        </w:rPr>
        <w:t xml:space="preserve">model </w:t>
      </w:r>
      <w:r w:rsidR="00BE1575" w:rsidRPr="00430A5E">
        <w:rPr>
          <w:rFonts w:ascii="Arial" w:hAnsi="Arial" w:cs="Arial"/>
          <w:lang w:val="en-US"/>
        </w:rPr>
        <w:t>consisted of</w:t>
      </w:r>
      <w:r w:rsidR="006511B7" w:rsidRPr="00430A5E">
        <w:rPr>
          <w:rFonts w:ascii="Arial" w:hAnsi="Arial" w:cs="Arial"/>
          <w:lang w:val="en-US"/>
        </w:rPr>
        <w:t xml:space="preserve"> the two strains</w:t>
      </w:r>
      <w:r w:rsidRPr="00430A5E">
        <w:rPr>
          <w:rFonts w:ascii="Arial" w:hAnsi="Arial" w:cs="Arial"/>
          <w:lang w:val="en-US"/>
        </w:rPr>
        <w:t xml:space="preserve"> Δ</w:t>
      </w:r>
      <w:r w:rsidRPr="00430A5E">
        <w:rPr>
          <w:rFonts w:ascii="Arial" w:hAnsi="Arial" w:cs="Arial"/>
          <w:i/>
          <w:iCs/>
          <w:lang w:val="en-US"/>
        </w:rPr>
        <w:t>lysA</w:t>
      </w:r>
      <w:r w:rsidRPr="00430A5E">
        <w:rPr>
          <w:rFonts w:ascii="Arial" w:hAnsi="Arial" w:cs="Arial"/>
          <w:lang w:val="en-US"/>
        </w:rPr>
        <w:t xml:space="preserve"> and </w:t>
      </w:r>
      <w:bookmarkStart w:id="6" w:name="_Hlk40174476"/>
      <w:r w:rsidRPr="00430A5E">
        <w:rPr>
          <w:rFonts w:ascii="Arial" w:hAnsi="Arial" w:cs="Arial"/>
          <w:lang w:val="en-US"/>
        </w:rPr>
        <w:t xml:space="preserve">DM1727 </w:t>
      </w:r>
      <w:r w:rsidR="00A2155F" w:rsidRPr="00430A5E">
        <w:rPr>
          <w:rFonts w:ascii="Arial" w:hAnsi="Arial" w:cs="Arial"/>
          <w:lang w:val="en-US"/>
        </w:rPr>
        <w:t>pEKEx2-</w:t>
      </w:r>
      <w:r w:rsidR="00A2155F" w:rsidRPr="00430A5E">
        <w:rPr>
          <w:rFonts w:ascii="Arial" w:hAnsi="Arial" w:cs="Arial"/>
          <w:i/>
          <w:lang w:val="en-US"/>
        </w:rPr>
        <w:t>lysC</w:t>
      </w:r>
      <w:r w:rsidR="00A2155F" w:rsidRPr="00430A5E">
        <w:rPr>
          <w:rFonts w:ascii="Arial" w:hAnsi="Arial" w:cs="Arial"/>
          <w:lang w:val="en-US"/>
        </w:rPr>
        <w:t>-β</w:t>
      </w:r>
      <w:r w:rsidR="00A2155F" w:rsidRPr="00430A5E">
        <w:rPr>
          <w:rFonts w:ascii="Arial" w:hAnsi="Arial" w:cs="Arial"/>
          <w:vertAlign w:val="superscript"/>
          <w:lang w:val="en-US"/>
        </w:rPr>
        <w:t>FBR</w:t>
      </w:r>
      <w:bookmarkEnd w:id="6"/>
      <w:r w:rsidRPr="00430A5E">
        <w:rPr>
          <w:rFonts w:ascii="Arial" w:hAnsi="Arial" w:cs="Arial"/>
          <w:lang w:val="en-US"/>
        </w:rPr>
        <w:t>. IPTG</w:t>
      </w:r>
      <w:r w:rsidR="00177C66" w:rsidRPr="00430A5E">
        <w:rPr>
          <w:rFonts w:ascii="Arial" w:hAnsi="Arial" w:cs="Arial"/>
          <w:lang w:val="en-US"/>
        </w:rPr>
        <w:t xml:space="preserve"> </w:t>
      </w:r>
      <w:r w:rsidR="006511B7" w:rsidRPr="00430A5E">
        <w:rPr>
          <w:rFonts w:ascii="Arial" w:hAnsi="Arial" w:cs="Arial"/>
          <w:lang w:val="en-US"/>
        </w:rPr>
        <w:t xml:space="preserve">supplemented to the medium </w:t>
      </w:r>
      <w:r w:rsidR="005077F1" w:rsidRPr="00430A5E">
        <w:rPr>
          <w:rFonts w:ascii="Arial" w:hAnsi="Arial" w:cs="Arial"/>
          <w:lang w:val="en-US"/>
        </w:rPr>
        <w:t xml:space="preserve">induced </w:t>
      </w:r>
      <w:r w:rsidR="006511B7" w:rsidRPr="00430A5E">
        <w:rPr>
          <w:rFonts w:ascii="Arial" w:hAnsi="Arial" w:cs="Arial"/>
          <w:lang w:val="en-US"/>
        </w:rPr>
        <w:t xml:space="preserve">the </w:t>
      </w:r>
      <w:r w:rsidR="00E4275D" w:rsidRPr="00430A5E">
        <w:rPr>
          <w:rFonts w:ascii="Arial" w:hAnsi="Arial" w:cs="Arial"/>
          <w:lang w:val="en-US"/>
        </w:rPr>
        <w:t>production</w:t>
      </w:r>
      <w:r w:rsidR="00177C66" w:rsidRPr="00430A5E">
        <w:rPr>
          <w:rFonts w:ascii="Arial" w:hAnsi="Arial" w:cs="Arial"/>
          <w:lang w:val="en-US"/>
        </w:rPr>
        <w:t xml:space="preserve"> of </w:t>
      </w:r>
      <w:r w:rsidR="005B5379" w:rsidRPr="00430A5E">
        <w:rPr>
          <w:rFonts w:ascii="Arial" w:hAnsi="Arial" w:cs="Arial"/>
          <w:smallCaps/>
          <w:lang w:val="en-US"/>
        </w:rPr>
        <w:t>L</w:t>
      </w:r>
      <w:r w:rsidR="005B5379" w:rsidRPr="00430A5E">
        <w:rPr>
          <w:rFonts w:ascii="Arial" w:hAnsi="Arial" w:cs="Arial"/>
          <w:lang w:val="en-US"/>
        </w:rPr>
        <w:t>-</w:t>
      </w:r>
      <w:r w:rsidR="00177C66" w:rsidRPr="00430A5E">
        <w:rPr>
          <w:rFonts w:ascii="Arial" w:hAnsi="Arial" w:cs="Arial"/>
          <w:lang w:val="en-US"/>
        </w:rPr>
        <w:t xml:space="preserve">lysine </w:t>
      </w:r>
      <w:r w:rsidR="00E4275D" w:rsidRPr="00430A5E">
        <w:rPr>
          <w:rFonts w:ascii="Arial" w:hAnsi="Arial" w:cs="Arial"/>
          <w:lang w:val="en-US"/>
        </w:rPr>
        <w:t>by</w:t>
      </w:r>
      <w:r w:rsidR="00BE1575" w:rsidRPr="00430A5E">
        <w:rPr>
          <w:rFonts w:ascii="Arial" w:hAnsi="Arial" w:cs="Arial"/>
          <w:lang w:val="en-US"/>
        </w:rPr>
        <w:t xml:space="preserve"> </w:t>
      </w:r>
      <w:r w:rsidR="00BF18C0" w:rsidRPr="00430A5E">
        <w:rPr>
          <w:rFonts w:ascii="Arial" w:hAnsi="Arial" w:cs="Arial"/>
          <w:lang w:val="en-US"/>
        </w:rPr>
        <w:t xml:space="preserve">strain </w:t>
      </w:r>
      <w:r w:rsidR="00BE1575" w:rsidRPr="00430A5E">
        <w:rPr>
          <w:rFonts w:ascii="Arial" w:hAnsi="Arial" w:cs="Arial"/>
          <w:lang w:val="en-US"/>
        </w:rPr>
        <w:t xml:space="preserve">DM1727 </w:t>
      </w:r>
      <w:r w:rsidR="00A2155F" w:rsidRPr="00430A5E">
        <w:rPr>
          <w:rFonts w:ascii="Arial" w:hAnsi="Arial" w:cs="Arial"/>
          <w:lang w:val="en-US"/>
        </w:rPr>
        <w:t>pEKEx2-</w:t>
      </w:r>
      <w:r w:rsidR="00A2155F" w:rsidRPr="00430A5E">
        <w:rPr>
          <w:rFonts w:ascii="Arial" w:hAnsi="Arial" w:cs="Arial"/>
          <w:i/>
          <w:lang w:val="en-US"/>
        </w:rPr>
        <w:t>lysC</w:t>
      </w:r>
      <w:r w:rsidR="00A2155F" w:rsidRPr="00430A5E">
        <w:rPr>
          <w:rFonts w:ascii="Arial" w:hAnsi="Arial" w:cs="Arial"/>
          <w:lang w:val="en-US"/>
        </w:rPr>
        <w:t>-β</w:t>
      </w:r>
      <w:r w:rsidR="00A2155F" w:rsidRPr="00430A5E">
        <w:rPr>
          <w:rFonts w:ascii="Arial" w:hAnsi="Arial" w:cs="Arial"/>
          <w:vertAlign w:val="superscript"/>
          <w:lang w:val="en-US"/>
        </w:rPr>
        <w:t>FBR</w:t>
      </w:r>
      <w:r w:rsidR="00BE1575" w:rsidRPr="00430A5E">
        <w:rPr>
          <w:rFonts w:ascii="Arial" w:hAnsi="Arial" w:cs="Arial"/>
          <w:lang w:val="en-US"/>
        </w:rPr>
        <w:t>, which feeds</w:t>
      </w:r>
      <w:r w:rsidR="00BF18C0" w:rsidRPr="00430A5E">
        <w:rPr>
          <w:rFonts w:ascii="Arial" w:hAnsi="Arial" w:cs="Arial"/>
          <w:lang w:val="en-US"/>
        </w:rPr>
        <w:t xml:space="preserve"> the</w:t>
      </w:r>
      <w:r w:rsidR="00BE1575" w:rsidRPr="00430A5E">
        <w:rPr>
          <w:rFonts w:ascii="Arial" w:hAnsi="Arial" w:cs="Arial"/>
          <w:lang w:val="en-US"/>
        </w:rPr>
        <w:t xml:space="preserve"> Δ</w:t>
      </w:r>
      <w:r w:rsidR="00BE1575" w:rsidRPr="00430A5E">
        <w:rPr>
          <w:rFonts w:ascii="Arial" w:hAnsi="Arial" w:cs="Arial"/>
          <w:i/>
          <w:iCs/>
          <w:lang w:val="en-US"/>
        </w:rPr>
        <w:t xml:space="preserve">lysA </w:t>
      </w:r>
      <w:r w:rsidR="00BF18C0" w:rsidRPr="00430A5E">
        <w:rPr>
          <w:rFonts w:ascii="Arial" w:hAnsi="Arial" w:cs="Arial"/>
          <w:iCs/>
          <w:lang w:val="en-US"/>
        </w:rPr>
        <w:t>strain</w:t>
      </w:r>
      <w:r w:rsidR="00BF18C0" w:rsidRPr="00430A5E">
        <w:rPr>
          <w:rFonts w:ascii="Arial" w:hAnsi="Arial" w:cs="Arial"/>
          <w:i/>
          <w:iCs/>
          <w:lang w:val="en-US"/>
        </w:rPr>
        <w:t xml:space="preserve"> </w:t>
      </w:r>
      <w:r w:rsidR="006511B7" w:rsidRPr="00430A5E">
        <w:rPr>
          <w:rFonts w:ascii="Arial" w:hAnsi="Arial" w:cs="Arial"/>
          <w:lang w:val="en-US"/>
        </w:rPr>
        <w:t>enabling</w:t>
      </w:r>
      <w:r w:rsidR="004D67D9" w:rsidRPr="00430A5E">
        <w:rPr>
          <w:rFonts w:ascii="Arial" w:hAnsi="Arial" w:cs="Arial"/>
          <w:lang w:val="en-US"/>
        </w:rPr>
        <w:t xml:space="preserve"> </w:t>
      </w:r>
      <w:r w:rsidR="00BE1575" w:rsidRPr="00430A5E">
        <w:rPr>
          <w:rFonts w:ascii="Arial" w:hAnsi="Arial" w:cs="Arial"/>
          <w:lang w:val="en-US"/>
        </w:rPr>
        <w:t>cell growth</w:t>
      </w:r>
      <w:r w:rsidR="00BE1575" w:rsidRPr="00430A5E">
        <w:rPr>
          <w:rFonts w:ascii="Arial" w:hAnsi="Arial" w:cs="Arial"/>
          <w:i/>
          <w:iCs/>
          <w:lang w:val="en-US"/>
        </w:rPr>
        <w:t>.</w:t>
      </w:r>
      <w:r w:rsidRPr="00430A5E">
        <w:rPr>
          <w:rFonts w:ascii="Arial" w:hAnsi="Arial" w:cs="Arial"/>
          <w:lang w:val="en-US"/>
        </w:rPr>
        <w:t xml:space="preserve"> </w:t>
      </w:r>
      <w:r w:rsidR="00BE1575" w:rsidRPr="00430A5E">
        <w:rPr>
          <w:rFonts w:ascii="Arial" w:hAnsi="Arial" w:cs="Arial"/>
          <w:lang w:val="en-US"/>
        </w:rPr>
        <w:t xml:space="preserve">The induced co-cultures revealed similar results compared to the uncontrolled co-cultivations. </w:t>
      </w:r>
      <w:r w:rsidR="00BF18C0" w:rsidRPr="00430A5E">
        <w:rPr>
          <w:rFonts w:ascii="Arial" w:hAnsi="Arial" w:cs="Arial"/>
          <w:i/>
          <w:lang w:val="en-US"/>
        </w:rPr>
        <w:t>C. glutamicum</w:t>
      </w:r>
      <w:r w:rsidR="00BF18C0" w:rsidRPr="00430A5E">
        <w:rPr>
          <w:rFonts w:ascii="Arial" w:hAnsi="Arial" w:cs="Arial"/>
          <w:lang w:val="en-US"/>
        </w:rPr>
        <w:t xml:space="preserve"> </w:t>
      </w:r>
      <w:r w:rsidRPr="00430A5E">
        <w:rPr>
          <w:rFonts w:ascii="Arial" w:hAnsi="Arial" w:cs="Arial"/>
          <w:lang w:val="en-US"/>
        </w:rPr>
        <w:t>Δ</w:t>
      </w:r>
      <w:r w:rsidRPr="00430A5E">
        <w:rPr>
          <w:rFonts w:ascii="Arial" w:hAnsi="Arial" w:cs="Arial"/>
          <w:i/>
          <w:iCs/>
          <w:lang w:val="en-US"/>
        </w:rPr>
        <w:t>lysA</w:t>
      </w:r>
      <w:r w:rsidRPr="00430A5E">
        <w:rPr>
          <w:rFonts w:ascii="Arial" w:hAnsi="Arial" w:cs="Arial"/>
          <w:lang w:val="en-US"/>
        </w:rPr>
        <w:t xml:space="preserve"> grew with </w:t>
      </w:r>
      <w:r w:rsidR="005077F1" w:rsidRPr="00430A5E">
        <w:rPr>
          <w:rFonts w:ascii="Arial" w:hAnsi="Arial" w:cs="Arial"/>
          <w:lang w:val="en-US"/>
        </w:rPr>
        <w:t>an average</w:t>
      </w:r>
      <w:r w:rsidRPr="00430A5E">
        <w:rPr>
          <w:rFonts w:ascii="Arial" w:hAnsi="Arial" w:cs="Arial"/>
          <w:lang w:val="en-US"/>
        </w:rPr>
        <w:t xml:space="preserve"> growth rate of </w:t>
      </w:r>
      <w:r w:rsidR="00D064F0" w:rsidRPr="00430A5E">
        <w:rPr>
          <w:rFonts w:ascii="Symbol" w:hAnsi="Symbol" w:cs="Arial"/>
          <w:i/>
          <w:lang w:val="en-US"/>
        </w:rPr>
        <w:t></w:t>
      </w:r>
      <w:r w:rsidR="005077F1" w:rsidRPr="00430A5E">
        <w:rPr>
          <w:rFonts w:ascii="Arial" w:hAnsi="Arial" w:cs="Arial"/>
          <w:vertAlign w:val="subscript"/>
          <w:lang w:val="en-US"/>
        </w:rPr>
        <w:t>avg</w:t>
      </w:r>
      <w:r w:rsidR="005077F1" w:rsidRPr="00430A5E">
        <w:rPr>
          <w:rFonts w:ascii="Arial" w:hAnsi="Arial" w:cs="Arial"/>
          <w:lang w:val="en-US"/>
        </w:rPr>
        <w:t xml:space="preserve"> = </w:t>
      </w:r>
      <w:r w:rsidRPr="00430A5E">
        <w:rPr>
          <w:rFonts w:ascii="Arial" w:hAnsi="Arial" w:cs="Arial"/>
          <w:lang w:val="en-US"/>
        </w:rPr>
        <w:t>0.29 ± 0.01</w:t>
      </w:r>
      <w:r w:rsidR="001D4A77" w:rsidRPr="00430A5E">
        <w:rPr>
          <w:rFonts w:ascii="Arial" w:hAnsi="Arial" w:cs="Arial"/>
          <w:lang w:val="en-US"/>
        </w:rPr>
        <w:t> </w:t>
      </w:r>
      <w:r w:rsidRPr="00430A5E">
        <w:rPr>
          <w:rFonts w:ascii="Arial" w:hAnsi="Arial" w:cs="Arial"/>
          <w:lang w:val="en-US"/>
        </w:rPr>
        <w:t>h</w:t>
      </w:r>
      <w:r w:rsidRPr="00430A5E">
        <w:rPr>
          <w:rFonts w:ascii="Arial" w:hAnsi="Arial" w:cs="Arial"/>
          <w:vertAlign w:val="superscript"/>
          <w:lang w:val="en-US"/>
        </w:rPr>
        <w:t>-1</w:t>
      </w:r>
      <w:r w:rsidRPr="00430A5E">
        <w:rPr>
          <w:rFonts w:ascii="Arial" w:hAnsi="Arial" w:cs="Arial"/>
          <w:lang w:val="en-US"/>
        </w:rPr>
        <w:t xml:space="preserve"> in co-cultivation </w:t>
      </w:r>
      <w:r w:rsidR="006511B7" w:rsidRPr="00430A5E">
        <w:rPr>
          <w:rFonts w:ascii="Arial" w:hAnsi="Arial" w:cs="Arial"/>
          <w:lang w:val="en-US"/>
        </w:rPr>
        <w:t xml:space="preserve">together </w:t>
      </w:r>
      <w:r w:rsidRPr="00430A5E">
        <w:rPr>
          <w:rFonts w:ascii="Arial" w:hAnsi="Arial" w:cs="Arial"/>
          <w:lang w:val="en-US"/>
        </w:rPr>
        <w:t>with</w:t>
      </w:r>
      <w:r w:rsidR="00445FA1" w:rsidRPr="00430A5E">
        <w:rPr>
          <w:rFonts w:ascii="Arial" w:hAnsi="Arial" w:cs="Arial"/>
          <w:i/>
          <w:lang w:val="en-US"/>
        </w:rPr>
        <w:t xml:space="preserve"> C. glutamicum</w:t>
      </w:r>
      <w:r w:rsidRPr="00430A5E">
        <w:rPr>
          <w:rFonts w:ascii="Arial" w:hAnsi="Arial" w:cs="Arial"/>
          <w:lang w:val="en-US"/>
        </w:rPr>
        <w:t xml:space="preserve"> DM1727 </w:t>
      </w:r>
      <w:r w:rsidR="00A2155F" w:rsidRPr="00430A5E">
        <w:rPr>
          <w:rFonts w:ascii="Arial" w:hAnsi="Arial" w:cs="Arial"/>
          <w:lang w:val="en-US"/>
        </w:rPr>
        <w:t>pEKEx2-</w:t>
      </w:r>
      <w:r w:rsidR="00A2155F" w:rsidRPr="00430A5E">
        <w:rPr>
          <w:rFonts w:ascii="Arial" w:hAnsi="Arial" w:cs="Arial"/>
          <w:i/>
          <w:lang w:val="en-US"/>
        </w:rPr>
        <w:t>lysC</w:t>
      </w:r>
      <w:r w:rsidR="00A2155F" w:rsidRPr="00430A5E">
        <w:rPr>
          <w:rFonts w:ascii="Arial" w:hAnsi="Arial" w:cs="Arial"/>
          <w:lang w:val="en-US"/>
        </w:rPr>
        <w:t>-β</w:t>
      </w:r>
      <w:r w:rsidR="00A2155F" w:rsidRPr="00430A5E">
        <w:rPr>
          <w:rFonts w:ascii="Arial" w:hAnsi="Arial" w:cs="Arial"/>
          <w:vertAlign w:val="superscript"/>
          <w:lang w:val="en-US"/>
        </w:rPr>
        <w:t>FBR</w:t>
      </w:r>
      <w:r w:rsidR="00A2155F" w:rsidRPr="00430A5E">
        <w:rPr>
          <w:rFonts w:ascii="Arial" w:hAnsi="Arial" w:cs="Arial"/>
          <w:lang w:val="en-US"/>
        </w:rPr>
        <w:t xml:space="preserve"> </w:t>
      </w:r>
      <w:r w:rsidR="00177C66" w:rsidRPr="00430A5E">
        <w:rPr>
          <w:rFonts w:ascii="Arial" w:hAnsi="Arial" w:cs="Arial"/>
          <w:lang w:val="en-US"/>
        </w:rPr>
        <w:t>(</w:t>
      </w:r>
      <w:r w:rsidR="00C40A32" w:rsidRPr="00430A5E">
        <w:rPr>
          <w:rFonts w:ascii="Symbol" w:hAnsi="Symbol" w:cs="Arial"/>
          <w:i/>
          <w:lang w:val="en-US"/>
        </w:rPr>
        <w:t></w:t>
      </w:r>
      <w:r w:rsidR="00C40A32" w:rsidRPr="00430A5E">
        <w:rPr>
          <w:rFonts w:ascii="Arial" w:hAnsi="Arial" w:cs="Arial"/>
          <w:vertAlign w:val="subscript"/>
          <w:lang w:val="en-US"/>
        </w:rPr>
        <w:t>avg</w:t>
      </w:r>
      <w:r w:rsidR="00C40A32" w:rsidRPr="00430A5E">
        <w:rPr>
          <w:rFonts w:ascii="Arial" w:hAnsi="Arial" w:cs="Arial"/>
          <w:lang w:val="en-US"/>
        </w:rPr>
        <w:t xml:space="preserve"> =</w:t>
      </w:r>
      <w:r w:rsidR="00177C66" w:rsidRPr="00430A5E">
        <w:rPr>
          <w:rFonts w:ascii="Arial" w:hAnsi="Arial" w:cs="Arial"/>
          <w:lang w:val="en-US"/>
        </w:rPr>
        <w:t xml:space="preserve"> 0.31 ± 0.01</w:t>
      </w:r>
      <w:r w:rsidR="001D4A77" w:rsidRPr="00430A5E">
        <w:rPr>
          <w:rFonts w:ascii="Arial" w:hAnsi="Arial" w:cs="Arial"/>
          <w:lang w:val="en-US"/>
        </w:rPr>
        <w:t> </w:t>
      </w:r>
      <w:r w:rsidR="00177C66" w:rsidRPr="00430A5E">
        <w:rPr>
          <w:rFonts w:ascii="Arial" w:hAnsi="Arial" w:cs="Arial"/>
          <w:lang w:val="en-US"/>
        </w:rPr>
        <w:t>h</w:t>
      </w:r>
      <w:r w:rsidR="00177C66" w:rsidRPr="00430A5E">
        <w:rPr>
          <w:rFonts w:ascii="Arial" w:hAnsi="Arial" w:cs="Arial"/>
          <w:vertAlign w:val="superscript"/>
          <w:lang w:val="en-US"/>
        </w:rPr>
        <w:t>-1</w:t>
      </w:r>
      <w:r w:rsidR="00177C66" w:rsidRPr="00430A5E">
        <w:rPr>
          <w:rFonts w:ascii="Arial" w:hAnsi="Arial" w:cs="Arial"/>
          <w:lang w:val="en-US"/>
        </w:rPr>
        <w:t xml:space="preserve">) </w:t>
      </w:r>
      <w:r w:rsidR="00EE357C" w:rsidRPr="00430A5E">
        <w:rPr>
          <w:rFonts w:ascii="Arial" w:hAnsi="Arial" w:cs="Arial"/>
          <w:lang w:val="en-US"/>
        </w:rPr>
        <w:t xml:space="preserve">and 15 µM IPTG </w:t>
      </w:r>
      <w:r w:rsidRPr="00430A5E">
        <w:rPr>
          <w:rFonts w:ascii="Arial" w:hAnsi="Arial" w:cs="Arial"/>
          <w:lang w:val="en-US"/>
        </w:rPr>
        <w:t xml:space="preserve">(Figure </w:t>
      </w:r>
      <w:r w:rsidR="006B0862">
        <w:rPr>
          <w:rFonts w:ascii="Arial" w:hAnsi="Arial" w:cs="Arial"/>
          <w:lang w:val="en-US"/>
        </w:rPr>
        <w:t>2</w:t>
      </w:r>
      <w:r w:rsidR="00D3431F" w:rsidRPr="00430A5E">
        <w:rPr>
          <w:rFonts w:ascii="Arial" w:hAnsi="Arial" w:cs="Arial"/>
          <w:lang w:val="en-US"/>
        </w:rPr>
        <w:t>B</w:t>
      </w:r>
      <w:r w:rsidRPr="00430A5E">
        <w:rPr>
          <w:rFonts w:ascii="Arial" w:hAnsi="Arial" w:cs="Arial"/>
          <w:lang w:val="en-US"/>
        </w:rPr>
        <w:t>).</w:t>
      </w:r>
      <w:r w:rsidR="001633CF" w:rsidRPr="00430A5E">
        <w:rPr>
          <w:rFonts w:ascii="Arial" w:hAnsi="Arial" w:cs="Arial"/>
          <w:lang w:val="en-US"/>
        </w:rPr>
        <w:t xml:space="preserve"> </w:t>
      </w:r>
      <w:r w:rsidR="00C40A32" w:rsidRPr="00430A5E">
        <w:rPr>
          <w:rFonts w:ascii="Arial" w:hAnsi="Arial" w:cs="Arial"/>
          <w:lang w:val="en-US"/>
        </w:rPr>
        <w:t xml:space="preserve">The similar growth behavior of the co-cultures </w:t>
      </w:r>
      <w:r w:rsidR="00F75613" w:rsidRPr="00430A5E">
        <w:rPr>
          <w:rFonts w:ascii="Arial" w:hAnsi="Arial" w:cs="Arial"/>
          <w:lang w:val="en-US"/>
        </w:rPr>
        <w:t>is</w:t>
      </w:r>
      <w:r w:rsidR="003047D7" w:rsidRPr="00430A5E">
        <w:rPr>
          <w:rFonts w:ascii="Arial" w:hAnsi="Arial" w:cs="Arial"/>
          <w:lang w:val="en-US"/>
        </w:rPr>
        <w:t xml:space="preserve"> in accordance with our expectations regarding their genotypes as both production strains exhibit a </w:t>
      </w:r>
      <w:r w:rsidR="003047D7" w:rsidRPr="00430A5E">
        <w:rPr>
          <w:rFonts w:ascii="Arial" w:hAnsi="Arial" w:cs="Arial"/>
          <w:i/>
          <w:lang w:val="en-US"/>
        </w:rPr>
        <w:t>pyc</w:t>
      </w:r>
      <w:r w:rsidR="003047D7" w:rsidRPr="00430A5E">
        <w:rPr>
          <w:rFonts w:ascii="Arial" w:hAnsi="Arial" w:cs="Arial"/>
          <w:lang w:val="en-US"/>
        </w:rPr>
        <w:t xml:space="preserve"> mutation and (for DM1727 pEKEx2-</w:t>
      </w:r>
      <w:r w:rsidR="003047D7" w:rsidRPr="00430A5E">
        <w:rPr>
          <w:rFonts w:ascii="Arial" w:hAnsi="Arial" w:cs="Arial"/>
          <w:i/>
          <w:lang w:val="en-US"/>
        </w:rPr>
        <w:t>lysC</w:t>
      </w:r>
      <w:r w:rsidR="003047D7" w:rsidRPr="00430A5E">
        <w:rPr>
          <w:rFonts w:ascii="Arial" w:hAnsi="Arial" w:cs="Arial"/>
          <w:lang w:val="en-US"/>
        </w:rPr>
        <w:t>-β</w:t>
      </w:r>
      <w:r w:rsidR="003047D7" w:rsidRPr="00430A5E">
        <w:rPr>
          <w:rFonts w:ascii="Arial" w:hAnsi="Arial" w:cs="Arial"/>
          <w:vertAlign w:val="superscript"/>
          <w:lang w:val="en-US"/>
        </w:rPr>
        <w:t>FBR</w:t>
      </w:r>
      <w:r w:rsidR="003047D7" w:rsidRPr="00430A5E">
        <w:rPr>
          <w:rFonts w:ascii="Arial" w:hAnsi="Arial" w:cs="Arial"/>
          <w:lang w:val="en-US"/>
        </w:rPr>
        <w:t xml:space="preserve"> an</w:t>
      </w:r>
      <w:r w:rsidR="003047D7" w:rsidRPr="00430A5E">
        <w:rPr>
          <w:rFonts w:ascii="Arial" w:hAnsi="Arial" w:cs="Arial"/>
          <w:vertAlign w:val="superscript"/>
          <w:lang w:val="en-US"/>
        </w:rPr>
        <w:t xml:space="preserve"> </w:t>
      </w:r>
      <w:r w:rsidR="003047D7" w:rsidRPr="00430A5E">
        <w:rPr>
          <w:rFonts w:ascii="Arial" w:hAnsi="Arial" w:cs="Arial"/>
          <w:lang w:val="en-US"/>
        </w:rPr>
        <w:t>induced) feedback resistant aspartate kinase (</w:t>
      </w:r>
      <w:r w:rsidR="003047D7" w:rsidRPr="00430A5E">
        <w:rPr>
          <w:rFonts w:ascii="Arial" w:hAnsi="Arial" w:cs="Arial"/>
          <w:i/>
          <w:lang w:val="en-US"/>
        </w:rPr>
        <w:t>lysC</w:t>
      </w:r>
      <w:r w:rsidR="003047D7" w:rsidRPr="00430A5E">
        <w:rPr>
          <w:rFonts w:ascii="Arial" w:hAnsi="Arial" w:cs="Arial"/>
          <w:lang w:val="en-US"/>
        </w:rPr>
        <w:t>) for improved L-lysine production.</w:t>
      </w:r>
    </w:p>
    <w:p w14:paraId="76C0E986" w14:textId="3F49507B" w:rsidR="00E324E4" w:rsidRPr="00430A5E" w:rsidRDefault="00EE357C" w:rsidP="007C437C">
      <w:pPr>
        <w:spacing w:after="0" w:line="360" w:lineRule="auto"/>
        <w:jc w:val="both"/>
        <w:rPr>
          <w:rFonts w:ascii="Arial" w:hAnsi="Arial" w:cs="Arial"/>
          <w:lang w:val="en-US"/>
        </w:rPr>
      </w:pPr>
      <w:r w:rsidRPr="00430A5E">
        <w:rPr>
          <w:rFonts w:ascii="Arial" w:hAnsi="Arial" w:cs="Arial"/>
          <w:lang w:val="en-US"/>
        </w:rPr>
        <w:t xml:space="preserve">Control experiments without </w:t>
      </w:r>
      <w:r w:rsidR="006511B7" w:rsidRPr="00430A5E">
        <w:rPr>
          <w:rFonts w:ascii="Arial" w:hAnsi="Arial" w:cs="Arial"/>
          <w:lang w:val="en-US"/>
        </w:rPr>
        <w:t xml:space="preserve">adding </w:t>
      </w:r>
      <w:r w:rsidRPr="00430A5E">
        <w:rPr>
          <w:rFonts w:ascii="Arial" w:hAnsi="Arial" w:cs="Arial"/>
          <w:lang w:val="en-US"/>
        </w:rPr>
        <w:t xml:space="preserve">IPTG </w:t>
      </w:r>
      <w:r w:rsidR="006511B7" w:rsidRPr="00430A5E">
        <w:rPr>
          <w:rFonts w:ascii="Arial" w:hAnsi="Arial" w:cs="Arial"/>
          <w:lang w:val="en-US"/>
        </w:rPr>
        <w:t>to</w:t>
      </w:r>
      <w:r w:rsidRPr="00430A5E">
        <w:rPr>
          <w:rFonts w:ascii="Arial" w:hAnsi="Arial" w:cs="Arial"/>
          <w:lang w:val="en-US"/>
        </w:rPr>
        <w:t xml:space="preserve"> the inducer-controll</w:t>
      </w:r>
      <w:r w:rsidR="006511B7" w:rsidRPr="00430A5E">
        <w:rPr>
          <w:rFonts w:ascii="Arial" w:hAnsi="Arial" w:cs="Arial"/>
          <w:lang w:val="en-US"/>
        </w:rPr>
        <w:t>able</w:t>
      </w:r>
      <w:r w:rsidRPr="00430A5E">
        <w:rPr>
          <w:rFonts w:ascii="Arial" w:hAnsi="Arial" w:cs="Arial"/>
          <w:lang w:val="en-US"/>
        </w:rPr>
        <w:t xml:space="preserve"> co</w:t>
      </w:r>
      <w:r w:rsidR="006511B7" w:rsidRPr="00430A5E">
        <w:rPr>
          <w:rFonts w:ascii="Arial" w:hAnsi="Arial" w:cs="Arial"/>
          <w:lang w:val="en-US"/>
        </w:rPr>
        <w:t>-culture</w:t>
      </w:r>
      <w:r w:rsidRPr="00430A5E">
        <w:rPr>
          <w:rFonts w:ascii="Arial" w:hAnsi="Arial" w:cs="Arial"/>
          <w:lang w:val="en-US"/>
        </w:rPr>
        <w:t xml:space="preserve"> resulted in no growth of </w:t>
      </w:r>
      <w:r w:rsidR="00445FA1" w:rsidRPr="00430A5E">
        <w:rPr>
          <w:rFonts w:ascii="Arial" w:hAnsi="Arial" w:cs="Arial"/>
          <w:lang w:val="en-US"/>
        </w:rPr>
        <w:t xml:space="preserve">the </w:t>
      </w:r>
      <w:r w:rsidRPr="00430A5E">
        <w:rPr>
          <w:rFonts w:ascii="Arial" w:hAnsi="Arial" w:cs="Arial"/>
          <w:lang w:val="en-US"/>
        </w:rPr>
        <w:t>Δ</w:t>
      </w:r>
      <w:r w:rsidRPr="00430A5E">
        <w:rPr>
          <w:rFonts w:ascii="Arial" w:hAnsi="Arial" w:cs="Arial"/>
          <w:i/>
          <w:iCs/>
          <w:lang w:val="en-US"/>
        </w:rPr>
        <w:t>lysA</w:t>
      </w:r>
      <w:r w:rsidRPr="00430A5E">
        <w:rPr>
          <w:rFonts w:ascii="Arial" w:hAnsi="Arial" w:cs="Arial"/>
          <w:lang w:val="en-US"/>
        </w:rPr>
        <w:t xml:space="preserve"> </w:t>
      </w:r>
      <w:r w:rsidR="00445FA1" w:rsidRPr="00430A5E">
        <w:rPr>
          <w:rFonts w:ascii="Arial" w:hAnsi="Arial" w:cs="Arial"/>
          <w:lang w:val="en-US"/>
        </w:rPr>
        <w:t xml:space="preserve">strain </w:t>
      </w:r>
      <w:r w:rsidR="00E4275D" w:rsidRPr="00430A5E">
        <w:rPr>
          <w:rFonts w:ascii="Arial" w:hAnsi="Arial" w:cs="Arial"/>
          <w:lang w:val="en-US"/>
        </w:rPr>
        <w:t>in the microfluidic setup (</w:t>
      </w:r>
      <w:r w:rsidR="00177C66" w:rsidRPr="00430A5E">
        <w:rPr>
          <w:rFonts w:ascii="Arial" w:hAnsi="Arial" w:cs="Arial"/>
          <w:lang w:val="en-US"/>
        </w:rPr>
        <w:t>Figure S</w:t>
      </w:r>
      <w:r w:rsidR="00C02579" w:rsidRPr="00430A5E">
        <w:rPr>
          <w:rFonts w:ascii="Arial" w:hAnsi="Arial" w:cs="Arial"/>
          <w:lang w:val="en-US"/>
        </w:rPr>
        <w:t>5</w:t>
      </w:r>
      <w:r w:rsidRPr="00430A5E">
        <w:rPr>
          <w:rFonts w:ascii="Arial" w:hAnsi="Arial" w:cs="Arial"/>
          <w:lang w:val="en-US"/>
        </w:rPr>
        <w:t xml:space="preserve">). </w:t>
      </w:r>
      <w:bookmarkStart w:id="7" w:name="_Hlk59606291"/>
      <w:bookmarkStart w:id="8" w:name="_Hlk58792402"/>
      <w:r w:rsidR="001B714A" w:rsidRPr="00430A5E">
        <w:rPr>
          <w:rFonts w:ascii="Arial" w:hAnsi="Arial" w:cs="Arial"/>
          <w:lang w:val="en-US"/>
        </w:rPr>
        <w:t xml:space="preserve">In comparison to the microbioreactor cultivations, where a slight growth of ΔlysA was visible, small amounts of produced lysine are rapidly washed away with the medium flow in the microfluidic setup because of the continuous cultivation mode. </w:t>
      </w:r>
      <w:bookmarkEnd w:id="7"/>
      <w:r w:rsidR="001B714A" w:rsidRPr="00430A5E">
        <w:rPr>
          <w:rFonts w:ascii="Arial" w:hAnsi="Arial" w:cs="Arial"/>
          <w:lang w:val="en-US"/>
        </w:rPr>
        <w:t xml:space="preserve">In microbioreactor batch cultivations small amounts of produced lysine could accumulate over time and induce cell growth of ΔlysA. </w:t>
      </w:r>
      <w:r w:rsidR="00E324E4" w:rsidRPr="00430A5E">
        <w:rPr>
          <w:rFonts w:ascii="Arial" w:hAnsi="Arial" w:cs="Arial"/>
          <w:lang w:val="en-US"/>
        </w:rPr>
        <w:t xml:space="preserve">Here, the leakiness of the used promotor becomes apparent and confirms the results of previous studies describing the leakiness of several promotors in </w:t>
      </w:r>
      <w:r w:rsidR="00E324E4" w:rsidRPr="00430A5E">
        <w:rPr>
          <w:rFonts w:ascii="Arial" w:hAnsi="Arial" w:cs="Arial"/>
          <w:i/>
          <w:iCs/>
          <w:lang w:val="en-US"/>
        </w:rPr>
        <w:t>C. glutamicum</w:t>
      </w:r>
      <w:r w:rsidR="00E324E4" w:rsidRPr="00430A5E">
        <w:rPr>
          <w:rFonts w:ascii="Arial" w:hAnsi="Arial" w:cs="Arial"/>
          <w:lang w:val="en-US"/>
        </w:rPr>
        <w:t>.</w:t>
      </w:r>
      <w:r w:rsidR="00E324E4" w:rsidRPr="00430A5E">
        <w:rPr>
          <w:rFonts w:ascii="Arial" w:hAnsi="Arial" w:cs="Arial"/>
          <w:lang w:val="en-US"/>
        </w:rPr>
        <w:fldChar w:fldCharType="begin" w:fldLock="1"/>
      </w:r>
      <w:r w:rsidR="00F74091">
        <w:rPr>
          <w:rFonts w:ascii="Arial" w:hAnsi="Arial" w:cs="Arial"/>
          <w:lang w:val="en-US"/>
        </w:rPr>
        <w:instrText>ADDIN CSL_CITATION {"citationItems":[{"id":"ITEM-1","itemData":{"DOI":"10.1016/S0168-1656(03)00155-X","ISSN":"01681656","PMID":"12948648","abstract":"Regulation of gene expression in Corynebacterium glutamicum represents an important issue since this Gram-positive bacterium is a notable industrial amino acid producer. Transcription initiation, beginning by binding of RNA polymerase to the promoter DNA sequence, is one of the main points at which bacterial gene expression is regulated. More than 50 transcriptional promoters have so far been experimentally localized in C. glutamicum. Most of them are assumed to be promoters of vegetative genes recognized by the main sigma factor. Although transcription initiation rate defined by many of these promoters may be affected by transcription factors, which activate or repress their function, the promoter regions share common sequence features, which may be generalized in a consensus sequence. In the consensus C. glutamicum promoter, the prominent feature is a conserved extended -10 region tgngnTA(c/t)aaTgg, while the -35 region is much less conserved. Some commonly utilized heterologous promoters were shown to drive strong gene expression in C. glutamicum. Conversely, some C. glutamicum promoters were found to function in Escherichia coli and in other bacteria. These observations suggest that C. glutamicum promoters functionally conform with the common bacterial promoter scheme, although they differ in some sequence structures. © 2003 Elsevier B.V. All rights reserved.","author":[{"dropping-particle":"","family":"Pátek","given":"Miroslav","non-dropping-particle":"","parse-names":false,"suffix":""},{"dropping-particle":"","family":"Nešvera","given":"Jan","non-dropping-particle":"","parse-names":false,"suffix":""},{"dropping-particle":"","family":"Guyonvarch","given":"Armel","non-dropping-particle":"","parse-names":false,"suffix":""},{"dropping-particle":"","family":"Reyes","given":"Oscar","non-dropping-particle":"","parse-names":false,"suffix":""},{"dropping-particle":"","family":"Leblon","given":"Gérard","non-dropping-particle":"","parse-names":false,"suffix":""}],"container-title":"Journal of Biotechnology","id":"ITEM-1","issue":"1-3","issued":{"date-parts":[["2003"]]},"page":"311-323","title":"Promoters of Corynebacterium glutamicum","type":"article-journal","volume":"104"},"uris":["http://www.mendeley.com/documents/?uuid=f0b7bac2-0612-4d5b-aba9-239ce679b795"]},{"id":"ITEM-2","itemData":{"DOI":"10.1016/j.plasmid.2012.05.001","ISBN":"1095-9890 (Electronic)\\r0147-619X (Linking)","ISSN":"0147619X","PMID":"22587824","abstract":"Here we report on the construction of a tetracycline inducible expression vector that allows a tightly regulable gene expression in Corynebacterium glutamicum which is used in industry for production of small molecules such as amino acids. Using the green fluorescent protein (GFP) as a reporter protein we show that this vector, named pCLTON1, is characterized by tight repression under non-induced conditions as compared to a conventional IPTG inducible expression vector, and that it allows gradual GFP synthesis upon gradual increase of anhydrotetracycline addition. © 2012 Elsevier Inc.","author":[{"dropping-particle":"","family":"Lausberg","given":"Frank","non-dropping-particle":"","parse-names":false,"suffix":""},{"dropping-particle":"","family":"Chattopadhyay","given":"Ava Rebecca","non-dropping-particle":"","parse-names":false,"suffix":""},{"dropping-particle":"","family":"Heyer","given":"Antonia","non-dropping-particle":"","parse-names":false,"suffix":""},{"dropping-particle":"","family":"Eggeling","given":"Lothar","non-dropping-particle":"","parse-names":false,"suffix":""},{"dropping-particle":"","family":"Freudl","given":"Roland","non-dropping-particle":"","parse-names":false,"suffix":""}],"container-title":"Plasmid","id":"ITEM-2","issue":"2","issued":{"date-parts":[["2012"]]},"page":"142-147","publisher":"Elsevier Inc.","title":"A tetracycline inducible expression vector for Corynebacterium glutamicum allowing tightly regulable gene expression","type":"article-journal","volume":"68"},"uris":["http://www.mendeley.com/documents/?uuid=986a6200-b7c6-4627-ad6f-31f4005657a1"]}],"mendeley":{"formattedCitation":"&lt;sup&gt;36,37&lt;/sup&gt;","plainTextFormattedCitation":"36,37","previouslyFormattedCitation":"&lt;sup&gt;53,54&lt;/sup&gt;"},"properties":{"noteIndex":0},"schema":"https://github.com/citation-style-language/schema/raw/master/csl-citation.json"}</w:instrText>
      </w:r>
      <w:r w:rsidR="00E324E4" w:rsidRPr="00430A5E">
        <w:rPr>
          <w:rFonts w:ascii="Arial" w:hAnsi="Arial" w:cs="Arial"/>
          <w:lang w:val="en-US"/>
        </w:rPr>
        <w:fldChar w:fldCharType="separate"/>
      </w:r>
      <w:r w:rsidR="00F74091" w:rsidRPr="00F74091">
        <w:rPr>
          <w:rFonts w:ascii="Arial" w:hAnsi="Arial" w:cs="Arial"/>
          <w:noProof/>
          <w:vertAlign w:val="superscript"/>
          <w:lang w:val="en-US"/>
        </w:rPr>
        <w:t>36,37</w:t>
      </w:r>
      <w:r w:rsidR="00E324E4" w:rsidRPr="00430A5E">
        <w:rPr>
          <w:rFonts w:ascii="Arial" w:hAnsi="Arial" w:cs="Arial"/>
          <w:lang w:val="en-US"/>
        </w:rPr>
        <w:fldChar w:fldCharType="end"/>
      </w:r>
      <w:r w:rsidR="00E324E4" w:rsidRPr="00430A5E">
        <w:rPr>
          <w:rFonts w:ascii="Arial" w:hAnsi="Arial" w:cs="Arial"/>
          <w:lang w:val="en-US"/>
        </w:rPr>
        <w:t xml:space="preserve"> </w:t>
      </w:r>
    </w:p>
    <w:bookmarkEnd w:id="8"/>
    <w:p w14:paraId="4F736046" w14:textId="73B4B642" w:rsidR="00EE357C" w:rsidRPr="00430A5E" w:rsidRDefault="00EE357C" w:rsidP="007C437C">
      <w:pPr>
        <w:spacing w:after="0" w:line="360" w:lineRule="auto"/>
        <w:jc w:val="both"/>
        <w:rPr>
          <w:rFonts w:ascii="Arial" w:hAnsi="Arial" w:cs="Arial"/>
          <w:lang w:val="en-US"/>
        </w:rPr>
      </w:pPr>
      <w:r w:rsidRPr="00430A5E">
        <w:rPr>
          <w:rFonts w:ascii="Arial" w:hAnsi="Arial" w:cs="Arial"/>
          <w:lang w:val="en-US"/>
        </w:rPr>
        <w:t>We also tested the strain DM1727 without</w:t>
      </w:r>
      <w:r w:rsidR="006511B7" w:rsidRPr="00430A5E">
        <w:rPr>
          <w:rFonts w:ascii="Arial" w:hAnsi="Arial" w:cs="Arial"/>
          <w:lang w:val="en-US"/>
        </w:rPr>
        <w:t xml:space="preserve"> the</w:t>
      </w:r>
      <w:r w:rsidRPr="00430A5E">
        <w:rPr>
          <w:rFonts w:ascii="Arial" w:hAnsi="Arial" w:cs="Arial"/>
          <w:lang w:val="en-US"/>
        </w:rPr>
        <w:t xml:space="preserve"> plasmid </w:t>
      </w:r>
      <w:r w:rsidR="00A2155F" w:rsidRPr="00430A5E">
        <w:rPr>
          <w:rFonts w:ascii="Arial" w:hAnsi="Arial" w:cs="Arial"/>
          <w:lang w:val="en-US"/>
        </w:rPr>
        <w:t>pEKEx2-</w:t>
      </w:r>
      <w:r w:rsidR="00A2155F" w:rsidRPr="00430A5E">
        <w:rPr>
          <w:rFonts w:ascii="Arial" w:hAnsi="Arial" w:cs="Arial"/>
          <w:i/>
          <w:lang w:val="en-US"/>
        </w:rPr>
        <w:t>lysC</w:t>
      </w:r>
      <w:r w:rsidR="00A2155F" w:rsidRPr="00430A5E">
        <w:rPr>
          <w:rFonts w:ascii="Arial" w:hAnsi="Arial" w:cs="Arial"/>
          <w:lang w:val="en-US"/>
        </w:rPr>
        <w:t>-β</w:t>
      </w:r>
      <w:r w:rsidR="00A2155F" w:rsidRPr="00430A5E">
        <w:rPr>
          <w:rFonts w:ascii="Arial" w:hAnsi="Arial" w:cs="Arial"/>
          <w:vertAlign w:val="superscript"/>
          <w:lang w:val="en-US"/>
        </w:rPr>
        <w:t>FBR</w:t>
      </w:r>
      <w:r w:rsidR="00A2155F" w:rsidRPr="00430A5E">
        <w:rPr>
          <w:rFonts w:ascii="Arial" w:hAnsi="Arial" w:cs="Arial"/>
          <w:lang w:val="en-US"/>
        </w:rPr>
        <w:t xml:space="preserve"> </w:t>
      </w:r>
      <w:r w:rsidRPr="00430A5E">
        <w:rPr>
          <w:rFonts w:ascii="Arial" w:hAnsi="Arial" w:cs="Arial"/>
          <w:lang w:val="en-US"/>
        </w:rPr>
        <w:t xml:space="preserve">in a co-culture with </w:t>
      </w:r>
      <w:r w:rsidR="00445FA1" w:rsidRPr="00430A5E">
        <w:rPr>
          <w:rFonts w:ascii="Arial" w:hAnsi="Arial" w:cs="Arial"/>
          <w:i/>
          <w:lang w:val="en-US"/>
        </w:rPr>
        <w:t>C. glutamicum</w:t>
      </w:r>
      <w:r w:rsidR="00445FA1" w:rsidRPr="00430A5E">
        <w:rPr>
          <w:rFonts w:ascii="Arial" w:hAnsi="Arial" w:cs="Arial"/>
          <w:lang w:val="en-US"/>
        </w:rPr>
        <w:t xml:space="preserve"> </w:t>
      </w:r>
      <w:r w:rsidRPr="00430A5E">
        <w:rPr>
          <w:rFonts w:ascii="Arial" w:hAnsi="Arial" w:cs="Arial"/>
          <w:lang w:val="en-US"/>
        </w:rPr>
        <w:t>Δ</w:t>
      </w:r>
      <w:r w:rsidRPr="00430A5E">
        <w:rPr>
          <w:rFonts w:ascii="Arial" w:hAnsi="Arial" w:cs="Arial"/>
          <w:i/>
          <w:iCs/>
          <w:lang w:val="en-US"/>
        </w:rPr>
        <w:t>lysA</w:t>
      </w:r>
      <w:r w:rsidRPr="00430A5E">
        <w:rPr>
          <w:rFonts w:ascii="Arial" w:hAnsi="Arial" w:cs="Arial"/>
          <w:lang w:val="en-US"/>
        </w:rPr>
        <w:t xml:space="preserve">. </w:t>
      </w:r>
      <w:r w:rsidR="00A06D88" w:rsidRPr="00430A5E">
        <w:rPr>
          <w:rFonts w:ascii="Arial" w:hAnsi="Arial" w:cs="Arial"/>
          <w:lang w:val="en-US"/>
        </w:rPr>
        <w:t>T</w:t>
      </w:r>
      <w:r w:rsidRPr="00430A5E">
        <w:rPr>
          <w:rFonts w:ascii="Arial" w:hAnsi="Arial" w:cs="Arial"/>
          <w:lang w:val="en-US"/>
        </w:rPr>
        <w:t>he</w:t>
      </w:r>
      <w:r w:rsidR="006511B7" w:rsidRPr="00430A5E">
        <w:rPr>
          <w:rFonts w:ascii="Arial" w:hAnsi="Arial" w:cs="Arial"/>
          <w:lang w:val="en-US"/>
        </w:rPr>
        <w:t xml:space="preserve"> minimal amount of</w:t>
      </w:r>
      <w:r w:rsidRPr="00430A5E">
        <w:rPr>
          <w:rFonts w:ascii="Arial" w:hAnsi="Arial" w:cs="Arial"/>
          <w:lang w:val="en-US"/>
        </w:rPr>
        <w:t xml:space="preserve"> </w:t>
      </w:r>
      <w:r w:rsidR="005B5379" w:rsidRPr="00430A5E">
        <w:rPr>
          <w:rFonts w:ascii="Arial" w:hAnsi="Arial" w:cs="Arial"/>
          <w:smallCaps/>
          <w:lang w:val="en-US"/>
        </w:rPr>
        <w:t>L</w:t>
      </w:r>
      <w:r w:rsidR="005B5379" w:rsidRPr="00430A5E">
        <w:rPr>
          <w:rFonts w:ascii="Arial" w:hAnsi="Arial" w:cs="Arial"/>
          <w:lang w:val="en-US"/>
        </w:rPr>
        <w:t>-</w:t>
      </w:r>
      <w:r w:rsidRPr="00430A5E">
        <w:rPr>
          <w:rFonts w:ascii="Arial" w:hAnsi="Arial" w:cs="Arial"/>
          <w:lang w:val="en-US"/>
        </w:rPr>
        <w:t>lysine produced</w:t>
      </w:r>
      <w:r w:rsidR="00CD6BFB" w:rsidRPr="00430A5E">
        <w:rPr>
          <w:rFonts w:ascii="Arial" w:hAnsi="Arial" w:cs="Arial"/>
          <w:lang w:val="en-US"/>
        </w:rPr>
        <w:t xml:space="preserve"> and secreted</w:t>
      </w:r>
      <w:r w:rsidRPr="00430A5E">
        <w:rPr>
          <w:rFonts w:ascii="Arial" w:hAnsi="Arial" w:cs="Arial"/>
          <w:lang w:val="en-US"/>
        </w:rPr>
        <w:t xml:space="preserve"> by this </w:t>
      </w:r>
      <w:r w:rsidR="006511B7" w:rsidRPr="00430A5E">
        <w:rPr>
          <w:rFonts w:ascii="Arial" w:hAnsi="Arial" w:cs="Arial"/>
          <w:lang w:val="en-US"/>
        </w:rPr>
        <w:t>mutant</w:t>
      </w:r>
      <w:r w:rsidRPr="00430A5E">
        <w:rPr>
          <w:rFonts w:ascii="Arial" w:hAnsi="Arial" w:cs="Arial"/>
          <w:lang w:val="en-US"/>
        </w:rPr>
        <w:t xml:space="preserve"> was also not </w:t>
      </w:r>
      <w:r w:rsidR="007033DF" w:rsidRPr="00430A5E">
        <w:rPr>
          <w:rFonts w:ascii="Arial" w:hAnsi="Arial" w:cs="Arial"/>
          <w:lang w:val="en-US"/>
        </w:rPr>
        <w:t>sufficient to promote</w:t>
      </w:r>
      <w:r w:rsidRPr="00430A5E">
        <w:rPr>
          <w:rFonts w:ascii="Arial" w:hAnsi="Arial" w:cs="Arial"/>
          <w:lang w:val="en-US"/>
        </w:rPr>
        <w:t xml:space="preserve"> growth of </w:t>
      </w:r>
      <w:r w:rsidR="00445FA1" w:rsidRPr="00430A5E">
        <w:rPr>
          <w:rFonts w:ascii="Arial" w:hAnsi="Arial" w:cs="Arial"/>
          <w:i/>
          <w:lang w:val="en-US"/>
        </w:rPr>
        <w:t>C. glutamicum</w:t>
      </w:r>
      <w:r w:rsidR="00445FA1" w:rsidRPr="00430A5E">
        <w:rPr>
          <w:rFonts w:ascii="Arial" w:hAnsi="Arial" w:cs="Arial"/>
          <w:lang w:val="en-US"/>
        </w:rPr>
        <w:t xml:space="preserve"> </w:t>
      </w:r>
      <w:r w:rsidRPr="00430A5E">
        <w:rPr>
          <w:rFonts w:ascii="Arial" w:hAnsi="Arial" w:cs="Arial"/>
          <w:lang w:val="en-US"/>
        </w:rPr>
        <w:t>Δ</w:t>
      </w:r>
      <w:r w:rsidRPr="00430A5E">
        <w:rPr>
          <w:rFonts w:ascii="Arial" w:hAnsi="Arial" w:cs="Arial"/>
          <w:i/>
          <w:iCs/>
          <w:lang w:val="en-US"/>
        </w:rPr>
        <w:t xml:space="preserve">lysA </w:t>
      </w:r>
      <w:r w:rsidRPr="00430A5E">
        <w:rPr>
          <w:rFonts w:ascii="Arial" w:hAnsi="Arial" w:cs="Arial"/>
          <w:lang w:val="en-US"/>
        </w:rPr>
        <w:t>(</w:t>
      </w:r>
      <w:r w:rsidR="00177C66" w:rsidRPr="00430A5E">
        <w:rPr>
          <w:rFonts w:ascii="Arial" w:hAnsi="Arial" w:cs="Arial"/>
          <w:lang w:val="en-US"/>
        </w:rPr>
        <w:t>Figure S</w:t>
      </w:r>
      <w:r w:rsidR="00A05412" w:rsidRPr="00430A5E">
        <w:rPr>
          <w:rFonts w:ascii="Arial" w:hAnsi="Arial" w:cs="Arial"/>
          <w:lang w:val="en-US"/>
        </w:rPr>
        <w:t>4</w:t>
      </w:r>
      <w:r w:rsidR="007028CB" w:rsidRPr="00430A5E">
        <w:rPr>
          <w:rFonts w:ascii="Arial" w:hAnsi="Arial" w:cs="Arial"/>
          <w:lang w:val="en-US"/>
        </w:rPr>
        <w:t xml:space="preserve"> B</w:t>
      </w:r>
      <w:r w:rsidRPr="00430A5E">
        <w:rPr>
          <w:rFonts w:ascii="Arial" w:hAnsi="Arial" w:cs="Arial"/>
          <w:lang w:val="en-US"/>
        </w:rPr>
        <w:t>).</w:t>
      </w:r>
    </w:p>
    <w:p w14:paraId="33D6F566" w14:textId="37EB8A87" w:rsidR="00E4275D" w:rsidRPr="00430A5E" w:rsidRDefault="00177C66" w:rsidP="007C437C">
      <w:pPr>
        <w:spacing w:after="0" w:line="360" w:lineRule="auto"/>
        <w:jc w:val="both"/>
        <w:rPr>
          <w:rFonts w:ascii="Arial" w:hAnsi="Arial" w:cs="Arial"/>
          <w:lang w:val="en-US"/>
        </w:rPr>
      </w:pPr>
      <w:r w:rsidRPr="00430A5E">
        <w:rPr>
          <w:rFonts w:ascii="Arial" w:hAnsi="Arial" w:cs="Arial"/>
          <w:lang w:val="en-US"/>
        </w:rPr>
        <w:t>Similar to</w:t>
      </w:r>
      <w:r w:rsidR="00EE357C" w:rsidRPr="00430A5E">
        <w:rPr>
          <w:rFonts w:ascii="Arial" w:hAnsi="Arial" w:cs="Arial"/>
          <w:lang w:val="en-US"/>
        </w:rPr>
        <w:t xml:space="preserve"> the uncontrolled co-culture,</w:t>
      </w:r>
      <w:r w:rsidR="00A301E0" w:rsidRPr="00430A5E">
        <w:rPr>
          <w:rFonts w:ascii="Arial" w:hAnsi="Arial" w:cs="Arial"/>
          <w:lang w:val="en-US"/>
        </w:rPr>
        <w:t xml:space="preserve"> a growth </w:t>
      </w:r>
      <w:r w:rsidR="006511B7" w:rsidRPr="00430A5E">
        <w:rPr>
          <w:rFonts w:ascii="Arial" w:hAnsi="Arial" w:cs="Arial"/>
          <w:lang w:val="en-US"/>
        </w:rPr>
        <w:t>lag-phase</w:t>
      </w:r>
      <w:r w:rsidR="00A301E0" w:rsidRPr="00430A5E">
        <w:rPr>
          <w:rFonts w:ascii="Arial" w:hAnsi="Arial" w:cs="Arial"/>
          <w:lang w:val="en-US"/>
        </w:rPr>
        <w:t xml:space="preserve"> of</w:t>
      </w:r>
      <w:r w:rsidR="00445FA1" w:rsidRPr="00430A5E">
        <w:rPr>
          <w:rFonts w:ascii="Arial" w:hAnsi="Arial" w:cs="Arial"/>
          <w:i/>
          <w:lang w:val="en-US"/>
        </w:rPr>
        <w:t xml:space="preserve"> C. glutamicum</w:t>
      </w:r>
      <w:r w:rsidR="00A301E0" w:rsidRPr="00430A5E">
        <w:rPr>
          <w:rFonts w:ascii="Arial" w:hAnsi="Arial" w:cs="Arial"/>
          <w:lang w:val="en-US"/>
        </w:rPr>
        <w:t xml:space="preserve"> Δ</w:t>
      </w:r>
      <w:r w:rsidR="00A301E0" w:rsidRPr="00430A5E">
        <w:rPr>
          <w:rFonts w:ascii="Arial" w:hAnsi="Arial" w:cs="Arial"/>
          <w:i/>
          <w:iCs/>
          <w:lang w:val="en-US"/>
        </w:rPr>
        <w:t xml:space="preserve">lysA </w:t>
      </w:r>
      <w:r w:rsidR="00A301E0" w:rsidRPr="00430A5E">
        <w:rPr>
          <w:rFonts w:ascii="Arial" w:hAnsi="Arial" w:cs="Arial"/>
          <w:lang w:val="en-US"/>
        </w:rPr>
        <w:t>was observed</w:t>
      </w:r>
      <w:r w:rsidR="00EE357C" w:rsidRPr="00430A5E">
        <w:rPr>
          <w:rFonts w:ascii="Arial" w:hAnsi="Arial" w:cs="Arial"/>
          <w:lang w:val="en-US"/>
        </w:rPr>
        <w:t xml:space="preserve"> in the controlled co-culture </w:t>
      </w:r>
      <w:r w:rsidR="00A301E0" w:rsidRPr="00430A5E">
        <w:rPr>
          <w:rFonts w:ascii="Arial" w:hAnsi="Arial" w:cs="Arial"/>
          <w:lang w:val="en-US"/>
        </w:rPr>
        <w:t xml:space="preserve">and the auxotrophic strain only started to grow, when </w:t>
      </w:r>
      <w:r w:rsidR="00445FA1" w:rsidRPr="00430A5E">
        <w:rPr>
          <w:rFonts w:ascii="Arial" w:hAnsi="Arial" w:cs="Arial"/>
          <w:i/>
          <w:lang w:val="en-US"/>
        </w:rPr>
        <w:t>C. glutamicum</w:t>
      </w:r>
      <w:r w:rsidR="00445FA1" w:rsidRPr="00430A5E">
        <w:rPr>
          <w:rFonts w:ascii="Arial" w:hAnsi="Arial" w:cs="Arial"/>
          <w:lang w:val="en-US"/>
        </w:rPr>
        <w:t xml:space="preserve"> </w:t>
      </w:r>
      <w:r w:rsidR="00A301E0" w:rsidRPr="00430A5E">
        <w:rPr>
          <w:rFonts w:ascii="Arial" w:hAnsi="Arial" w:cs="Arial"/>
          <w:lang w:val="en-US"/>
        </w:rPr>
        <w:t xml:space="preserve">DM1727 </w:t>
      </w:r>
      <w:r w:rsidR="00A2155F" w:rsidRPr="00430A5E">
        <w:rPr>
          <w:rFonts w:ascii="Arial" w:hAnsi="Arial" w:cs="Arial"/>
          <w:lang w:val="en-US"/>
        </w:rPr>
        <w:t>pEKEx2-</w:t>
      </w:r>
      <w:r w:rsidR="00A2155F" w:rsidRPr="00430A5E">
        <w:rPr>
          <w:rFonts w:ascii="Arial" w:hAnsi="Arial" w:cs="Arial"/>
          <w:i/>
          <w:lang w:val="en-US"/>
        </w:rPr>
        <w:t>lysC</w:t>
      </w:r>
      <w:r w:rsidR="00A2155F" w:rsidRPr="00430A5E">
        <w:rPr>
          <w:rFonts w:ascii="Arial" w:hAnsi="Arial" w:cs="Arial"/>
          <w:lang w:val="en-US"/>
        </w:rPr>
        <w:t>-β</w:t>
      </w:r>
      <w:r w:rsidR="00A2155F" w:rsidRPr="00430A5E">
        <w:rPr>
          <w:rFonts w:ascii="Arial" w:hAnsi="Arial" w:cs="Arial"/>
          <w:vertAlign w:val="superscript"/>
          <w:lang w:val="en-US"/>
        </w:rPr>
        <w:t>FBR</w:t>
      </w:r>
      <w:r w:rsidR="00A2155F" w:rsidRPr="00430A5E">
        <w:rPr>
          <w:rFonts w:ascii="Arial" w:hAnsi="Arial" w:cs="Arial"/>
          <w:lang w:val="en-US"/>
        </w:rPr>
        <w:t xml:space="preserve"> </w:t>
      </w:r>
      <w:r w:rsidR="00A301E0" w:rsidRPr="00430A5E">
        <w:rPr>
          <w:rFonts w:ascii="Arial" w:hAnsi="Arial" w:cs="Arial"/>
          <w:lang w:val="en-US"/>
        </w:rPr>
        <w:t xml:space="preserve">had </w:t>
      </w:r>
      <w:r w:rsidR="00C40A32" w:rsidRPr="00430A5E">
        <w:rPr>
          <w:rFonts w:ascii="Arial" w:hAnsi="Arial" w:cs="Arial"/>
          <w:lang w:val="en-US"/>
        </w:rPr>
        <w:t>reached a cell number of approximately 500 cells</w:t>
      </w:r>
      <w:r w:rsidR="00A301E0" w:rsidRPr="00430A5E">
        <w:rPr>
          <w:rFonts w:ascii="Arial" w:hAnsi="Arial" w:cs="Arial"/>
          <w:lang w:val="en-US"/>
        </w:rPr>
        <w:t>.</w:t>
      </w:r>
    </w:p>
    <w:p w14:paraId="59D9187B" w14:textId="77777777" w:rsidR="00882F28" w:rsidRPr="00430A5E" w:rsidRDefault="00882F28" w:rsidP="00882F28">
      <w:pPr>
        <w:spacing w:line="360" w:lineRule="auto"/>
        <w:rPr>
          <w:rFonts w:ascii="Arial" w:hAnsi="Arial" w:cs="Arial"/>
          <w:b/>
          <w:sz w:val="24"/>
          <w:szCs w:val="24"/>
          <w:lang w:val="en-US"/>
        </w:rPr>
      </w:pPr>
    </w:p>
    <w:p w14:paraId="26A51A26" w14:textId="514186B1" w:rsidR="00650F8A" w:rsidRPr="00430A5E" w:rsidRDefault="00882F28" w:rsidP="00882F28">
      <w:pPr>
        <w:spacing w:line="360" w:lineRule="auto"/>
        <w:rPr>
          <w:rFonts w:ascii="Arial" w:hAnsi="Arial" w:cs="Arial"/>
          <w:lang w:val="en-US"/>
        </w:rPr>
      </w:pPr>
      <w:r w:rsidRPr="00430A5E">
        <w:rPr>
          <w:rFonts w:ascii="Arial" w:hAnsi="Arial" w:cs="Arial"/>
          <w:b/>
          <w:sz w:val="24"/>
          <w:szCs w:val="24"/>
          <w:lang w:val="en-US"/>
        </w:rPr>
        <w:t>Interaction control by UV illumination</w:t>
      </w:r>
    </w:p>
    <w:p w14:paraId="0B013321" w14:textId="7859FA46" w:rsidR="009F20CC" w:rsidRPr="00430A5E" w:rsidRDefault="00F40683" w:rsidP="007C437C">
      <w:pPr>
        <w:spacing w:after="0" w:line="360" w:lineRule="auto"/>
        <w:jc w:val="both"/>
        <w:rPr>
          <w:rFonts w:ascii="Arial" w:hAnsi="Arial" w:cs="Arial"/>
          <w:bCs/>
          <w:lang w:val="en-US"/>
        </w:rPr>
      </w:pPr>
      <w:r w:rsidRPr="00430A5E">
        <w:rPr>
          <w:rFonts w:ascii="Arial" w:hAnsi="Arial" w:cs="Arial"/>
          <w:bCs/>
          <w:lang w:val="en-US"/>
        </w:rPr>
        <w:t>F</w:t>
      </w:r>
      <w:r w:rsidR="009F20CC" w:rsidRPr="00430A5E">
        <w:rPr>
          <w:rFonts w:ascii="Arial" w:hAnsi="Arial" w:cs="Arial"/>
          <w:bCs/>
          <w:lang w:val="en-US"/>
        </w:rPr>
        <w:t>ast</w:t>
      </w:r>
      <w:r w:rsidR="0052061E" w:rsidRPr="00430A5E">
        <w:rPr>
          <w:rFonts w:ascii="Arial" w:hAnsi="Arial" w:cs="Arial"/>
          <w:bCs/>
          <w:lang w:val="en-US"/>
        </w:rPr>
        <w:t xml:space="preserve"> and precise control</w:t>
      </w:r>
      <w:r w:rsidR="00350B1F" w:rsidRPr="00430A5E">
        <w:rPr>
          <w:rFonts w:ascii="Arial" w:hAnsi="Arial" w:cs="Arial"/>
          <w:bCs/>
          <w:lang w:val="en-US"/>
        </w:rPr>
        <w:t xml:space="preserve"> of interaction between</w:t>
      </w:r>
      <w:r w:rsidR="002A6DB1" w:rsidRPr="00430A5E">
        <w:rPr>
          <w:rFonts w:ascii="Arial" w:hAnsi="Arial" w:cs="Arial"/>
          <w:bCs/>
          <w:lang w:val="en-US"/>
        </w:rPr>
        <w:t xml:space="preserve"> our strains</w:t>
      </w:r>
      <w:r w:rsidR="00C27E9D" w:rsidRPr="00430A5E">
        <w:rPr>
          <w:rFonts w:ascii="Arial" w:hAnsi="Arial" w:cs="Arial"/>
          <w:bCs/>
          <w:lang w:val="en-US"/>
        </w:rPr>
        <w:t xml:space="preserve"> </w:t>
      </w:r>
      <w:r w:rsidR="001445ED" w:rsidRPr="00430A5E">
        <w:rPr>
          <w:rFonts w:ascii="Arial" w:hAnsi="Arial" w:cs="Arial"/>
          <w:lang w:val="en-US"/>
        </w:rPr>
        <w:t>Δ</w:t>
      </w:r>
      <w:r w:rsidR="001445ED" w:rsidRPr="00430A5E">
        <w:rPr>
          <w:rFonts w:ascii="Arial" w:hAnsi="Arial" w:cs="Arial"/>
          <w:i/>
          <w:iCs/>
          <w:lang w:val="en-US"/>
        </w:rPr>
        <w:t>lysA</w:t>
      </w:r>
      <w:r w:rsidR="00C27E9D" w:rsidRPr="00430A5E">
        <w:rPr>
          <w:rFonts w:ascii="Arial" w:hAnsi="Arial" w:cs="Arial"/>
          <w:bCs/>
          <w:lang w:val="en-US"/>
        </w:rPr>
        <w:t xml:space="preserve"> and </w:t>
      </w:r>
      <w:r w:rsidR="00280D0F" w:rsidRPr="00430A5E">
        <w:rPr>
          <w:rFonts w:ascii="Arial" w:hAnsi="Arial" w:cs="Arial"/>
          <w:bCs/>
          <w:lang w:val="en-US"/>
        </w:rPr>
        <w:t xml:space="preserve">DM1727 </w:t>
      </w:r>
      <w:r w:rsidR="00A2155F" w:rsidRPr="00430A5E">
        <w:rPr>
          <w:rFonts w:ascii="Arial" w:hAnsi="Arial" w:cs="Arial"/>
          <w:lang w:val="en-US"/>
        </w:rPr>
        <w:t>pEKEx2-</w:t>
      </w:r>
      <w:r w:rsidR="00A2155F" w:rsidRPr="00430A5E">
        <w:rPr>
          <w:rFonts w:ascii="Arial" w:hAnsi="Arial" w:cs="Arial"/>
          <w:i/>
          <w:lang w:val="en-US"/>
        </w:rPr>
        <w:t>lysC</w:t>
      </w:r>
      <w:r w:rsidR="00A2155F" w:rsidRPr="00430A5E">
        <w:rPr>
          <w:rFonts w:ascii="Arial" w:hAnsi="Arial" w:cs="Arial"/>
          <w:lang w:val="en-US"/>
        </w:rPr>
        <w:t>-β</w:t>
      </w:r>
      <w:r w:rsidR="00A2155F" w:rsidRPr="00430A5E">
        <w:rPr>
          <w:rFonts w:ascii="Arial" w:hAnsi="Arial" w:cs="Arial"/>
          <w:vertAlign w:val="superscript"/>
          <w:lang w:val="en-US"/>
        </w:rPr>
        <w:t>FBR</w:t>
      </w:r>
      <w:r w:rsidR="00A2155F" w:rsidRPr="00430A5E">
        <w:rPr>
          <w:rFonts w:ascii="Arial" w:hAnsi="Arial" w:cs="Arial"/>
          <w:bCs/>
          <w:lang w:val="en-US"/>
        </w:rPr>
        <w:t xml:space="preserve"> </w:t>
      </w:r>
      <w:r w:rsidR="0052061E" w:rsidRPr="00430A5E">
        <w:rPr>
          <w:rFonts w:ascii="Arial" w:hAnsi="Arial" w:cs="Arial"/>
          <w:bCs/>
          <w:lang w:val="en-US"/>
        </w:rPr>
        <w:t xml:space="preserve">in a noninvasive fashion </w:t>
      </w:r>
      <w:r w:rsidR="00280D0F" w:rsidRPr="00430A5E">
        <w:rPr>
          <w:rFonts w:ascii="Arial" w:hAnsi="Arial" w:cs="Arial"/>
          <w:bCs/>
          <w:lang w:val="en-US"/>
        </w:rPr>
        <w:t>was</w:t>
      </w:r>
      <w:r w:rsidR="00365612" w:rsidRPr="00430A5E">
        <w:rPr>
          <w:rFonts w:ascii="Arial" w:hAnsi="Arial" w:cs="Arial"/>
          <w:bCs/>
          <w:lang w:val="en-US"/>
        </w:rPr>
        <w:t xml:space="preserve"> </w:t>
      </w:r>
      <w:r w:rsidR="004D67D9" w:rsidRPr="00430A5E">
        <w:rPr>
          <w:rFonts w:ascii="Arial" w:hAnsi="Arial" w:cs="Arial"/>
          <w:bCs/>
          <w:lang w:val="en-US"/>
        </w:rPr>
        <w:t xml:space="preserve">achieved by the </w:t>
      </w:r>
      <w:r w:rsidR="002A6DB1" w:rsidRPr="00430A5E">
        <w:rPr>
          <w:rFonts w:ascii="Arial" w:hAnsi="Arial" w:cs="Arial"/>
          <w:bCs/>
          <w:lang w:val="en-US"/>
        </w:rPr>
        <w:t>photo</w:t>
      </w:r>
      <w:r w:rsidR="004D67D9" w:rsidRPr="00430A5E">
        <w:rPr>
          <w:rFonts w:ascii="Arial" w:hAnsi="Arial" w:cs="Arial"/>
          <w:bCs/>
          <w:lang w:val="en-US"/>
        </w:rPr>
        <w:t>caged comp</w:t>
      </w:r>
      <w:r w:rsidRPr="00430A5E">
        <w:rPr>
          <w:rFonts w:ascii="Arial" w:hAnsi="Arial" w:cs="Arial"/>
          <w:bCs/>
          <w:lang w:val="en-US"/>
        </w:rPr>
        <w:t>ound</w:t>
      </w:r>
      <w:r w:rsidR="004D67D9" w:rsidRPr="00430A5E">
        <w:rPr>
          <w:rFonts w:ascii="Arial" w:hAnsi="Arial" w:cs="Arial"/>
          <w:bCs/>
          <w:lang w:val="en-US"/>
        </w:rPr>
        <w:t xml:space="preserve"> </w:t>
      </w:r>
      <w:r w:rsidR="00EF1A45" w:rsidRPr="00430A5E">
        <w:rPr>
          <w:rFonts w:ascii="Arial" w:hAnsi="Arial" w:cs="Arial"/>
          <w:bCs/>
          <w:lang w:val="en-US"/>
        </w:rPr>
        <w:t>cIPTG</w:t>
      </w:r>
      <w:r w:rsidR="000E79BC" w:rsidRPr="00430A5E">
        <w:rPr>
          <w:rFonts w:ascii="Arial" w:hAnsi="Arial" w:cs="Arial"/>
          <w:bCs/>
          <w:lang w:val="en-US"/>
        </w:rPr>
        <w:fldChar w:fldCharType="begin" w:fldLock="1"/>
      </w:r>
      <w:r w:rsidR="00F74091">
        <w:rPr>
          <w:rFonts w:ascii="Arial" w:hAnsi="Arial" w:cs="Arial"/>
          <w:bCs/>
          <w:lang w:val="en-US"/>
        </w:rPr>
        <w:instrText>ADDIN CSL_CITATION {"citationItems":[{"id":"ITEM-1","itemData":{"DOI":"10.1002/anie.200700057","ISSN":"14337851","abstract":"Turning genes on with light: Photochemical control of gene expression is a versatile tool for the elucidation of biological processes and the programming of new biological functions. Activation of protein expression in prokaryotic cells through light irradiation is achieved through a photocaged small molecule. Spatiotemporal regulation of the lac operon was obtained through the application of a photocaged isopropyl-β-D-thiogalactopyranoside derivative. (Figure Presented) © 2007 Wiley-VCH Verlag GmbH &amp; Co. KGaA.","author":[{"dropping-particle":"","family":"Young","given":"Douglas D.","non-dropping-particle":"","parse-names":false,"suffix":""},{"dropping-particle":"","family":"Deiters","given":"Alexander","non-dropping-particle":"","parse-names":false,"suffix":""}],"container-title":"Angewandte Chemie - International Edition","id":"ITEM-1","issue":"23","issued":{"date-parts":[["2007"]]},"page":"4290-4292","title":"Photochemical activation of protein expression in bacterial cells","type":"article-journal","volume":"46"},"uris":["http://www.mendeley.com/documents/?uuid=5f200af3-1e3d-4ff1-8d78-39537f817fd4"]}],"mendeley":{"formattedCitation":"&lt;sup&gt;38&lt;/sup&gt;","plainTextFormattedCitation":"38","previouslyFormattedCitation":"&lt;sup&gt;41&lt;/sup&gt;"},"properties":{"noteIndex":0},"schema":"https://github.com/citation-style-language/schema/raw/master/csl-citation.json"}</w:instrText>
      </w:r>
      <w:r w:rsidR="000E79BC" w:rsidRPr="00430A5E">
        <w:rPr>
          <w:rFonts w:ascii="Arial" w:hAnsi="Arial" w:cs="Arial"/>
          <w:bCs/>
          <w:lang w:val="en-US"/>
        </w:rPr>
        <w:fldChar w:fldCharType="separate"/>
      </w:r>
      <w:r w:rsidR="00F74091" w:rsidRPr="00F74091">
        <w:rPr>
          <w:rFonts w:ascii="Arial" w:hAnsi="Arial" w:cs="Arial"/>
          <w:bCs/>
          <w:noProof/>
          <w:vertAlign w:val="superscript"/>
          <w:lang w:val="en-US"/>
        </w:rPr>
        <w:t>38</w:t>
      </w:r>
      <w:r w:rsidR="000E79BC" w:rsidRPr="00430A5E">
        <w:rPr>
          <w:rFonts w:ascii="Arial" w:hAnsi="Arial" w:cs="Arial"/>
          <w:bCs/>
          <w:lang w:val="en-US"/>
        </w:rPr>
        <w:fldChar w:fldCharType="end"/>
      </w:r>
      <w:r w:rsidR="00365612" w:rsidRPr="00430A5E">
        <w:rPr>
          <w:rFonts w:ascii="Arial" w:hAnsi="Arial" w:cs="Arial"/>
          <w:bCs/>
          <w:lang w:val="en-US"/>
        </w:rPr>
        <w:t>, which was activated upon</w:t>
      </w:r>
      <w:r w:rsidR="001F7F47" w:rsidRPr="00430A5E">
        <w:rPr>
          <w:rFonts w:ascii="Arial" w:hAnsi="Arial" w:cs="Arial"/>
          <w:bCs/>
          <w:lang w:val="en-US"/>
        </w:rPr>
        <w:t xml:space="preserve"> short</w:t>
      </w:r>
      <w:r w:rsidR="00365612" w:rsidRPr="00430A5E">
        <w:rPr>
          <w:rFonts w:ascii="Arial" w:hAnsi="Arial" w:cs="Arial"/>
          <w:bCs/>
          <w:lang w:val="en-US"/>
        </w:rPr>
        <w:t xml:space="preserve"> UV-A exposure</w:t>
      </w:r>
      <w:r w:rsidR="00EF1A45" w:rsidRPr="00430A5E">
        <w:rPr>
          <w:rFonts w:ascii="Arial" w:hAnsi="Arial" w:cs="Arial"/>
          <w:bCs/>
          <w:lang w:val="en-US"/>
        </w:rPr>
        <w:t xml:space="preserve"> (Figure </w:t>
      </w:r>
      <w:r w:rsidR="006B0862">
        <w:rPr>
          <w:rFonts w:ascii="Arial" w:hAnsi="Arial" w:cs="Arial"/>
          <w:bCs/>
          <w:lang w:val="en-US"/>
        </w:rPr>
        <w:t>3</w:t>
      </w:r>
      <w:r w:rsidR="00EF1A45" w:rsidRPr="00430A5E">
        <w:rPr>
          <w:rFonts w:ascii="Arial" w:hAnsi="Arial" w:cs="Arial"/>
          <w:bCs/>
          <w:lang w:val="en-US"/>
        </w:rPr>
        <w:t>A</w:t>
      </w:r>
      <w:r w:rsidR="00144849" w:rsidRPr="00430A5E">
        <w:rPr>
          <w:rFonts w:ascii="Arial" w:hAnsi="Arial" w:cs="Arial"/>
          <w:bCs/>
          <w:lang w:val="en-US"/>
        </w:rPr>
        <w:t xml:space="preserve">, </w:t>
      </w:r>
      <w:r w:rsidR="00B9436A" w:rsidRPr="00430A5E">
        <w:rPr>
          <w:rFonts w:ascii="Arial" w:hAnsi="Arial" w:cs="Arial"/>
          <w:bCs/>
          <w:lang w:val="en-US"/>
        </w:rPr>
        <w:t>B</w:t>
      </w:r>
      <w:r w:rsidR="00EF1A45" w:rsidRPr="00430A5E">
        <w:rPr>
          <w:rFonts w:ascii="Arial" w:hAnsi="Arial" w:cs="Arial"/>
          <w:bCs/>
          <w:lang w:val="en-US"/>
        </w:rPr>
        <w:t>)</w:t>
      </w:r>
      <w:r w:rsidR="003D068F" w:rsidRPr="00430A5E">
        <w:rPr>
          <w:rFonts w:ascii="Arial" w:hAnsi="Arial" w:cs="Arial"/>
          <w:bCs/>
          <w:lang w:val="en-US"/>
        </w:rPr>
        <w:t>.</w:t>
      </w:r>
      <w:r w:rsidR="0052061E" w:rsidRPr="00430A5E">
        <w:rPr>
          <w:rFonts w:ascii="Arial" w:hAnsi="Arial" w:cs="Arial"/>
          <w:bCs/>
          <w:lang w:val="en-US"/>
        </w:rPr>
        <w:fldChar w:fldCharType="begin" w:fldLock="1"/>
      </w:r>
      <w:r w:rsidR="00F74091">
        <w:rPr>
          <w:rFonts w:ascii="Arial" w:hAnsi="Arial" w:cs="Arial"/>
          <w:bCs/>
          <w:lang w:val="en-US"/>
        </w:rPr>
        <w:instrText>ADDIN CSL_CITATION {"citationItems":[{"id":"ITEM-1","itemData":{"DOI":"10.1128/AEM.01457-16.Editor","ISSN":"10985336","PMID":"27520809","abstract":"Precise control of microbial gene expression resulting in a defined, fast, and homogeneous response is of utmost importance for synthetic bio(techno)logical applications. However, even broadly applied biotechnological workhorses, such as Corynebacterium glutamicum, for which induction of recombinant gene expression commonly relies on the addition of appropriate inducer mole-cules, perform moderately in this respect. Light offers an alternative to accurately control gene expression, as it allows for simple triggering in a noninvasive fashion with unprecedented spatiotemporal resolution. Thus, optogenetic switches are promising tools to improve the controllability of existing gene expression systems. In this regard, photocaged inducers, whose activities are initially inhibited by light-removable protection groups, represent one of the most valuable photoswitches for microbial gene expression. Here, we report on the evaluation of photocaged isopropyl-</w:instrText>
      </w:r>
      <w:r w:rsidR="00F74091">
        <w:rPr>
          <w:rFonts w:ascii="Arial Unicode MS" w:eastAsia="Arial Unicode MS" w:hAnsi="Arial Unicode MS" w:cs="Arial Unicode MS" w:hint="eastAsia"/>
          <w:bCs/>
          <w:lang w:val="en-US"/>
        </w:rPr>
        <w:instrText>␤</w:instrText>
      </w:r>
      <w:r w:rsidR="00F74091">
        <w:rPr>
          <w:rFonts w:ascii="Arial" w:hAnsi="Arial" w:cs="Arial"/>
          <w:bCs/>
          <w:lang w:val="en-US"/>
        </w:rPr>
        <w:instrText>-D-thiogalactopyranoside (IPTG) as a light-responsive control element for the frequently applied tac-based expression module in C. glutamicum. In contrast to conventional IPTG, the photocaged inducer mediates a tightly controlled, strong, and homogeneous expression response upon short exposure to UV-A light. To further demonstrate the unique potential of photocaged IPTG for the optimization of production processes in C. glu-tamicum, the optogenetic switch was finally used to improve biosynthesis of the growth-inhibiting sesquiterpene (؉)-valencene, a flavoring agent and aroma compound precursor in food industry. The variation in light intensity as well as the time point of light induction proved crucial for efficient production of this toxic compound. IMPORTANCE","author":[{"dropping-particle":"","family":"Binder","given":"D","non-dropping-particle":"","parse-names":false,"suffix":""},{"dropping-particle":"","family":"Frohwitter","given":"J","non-dropping-particle":"","parse-names":false,"suffix":""},{"dropping-particle":"","family":"Mahr","given":"R","non-dropping-particle":"","parse-names":false,"suffix":""},{"dropping-particle":"","family":"Bier","given":"C","non-dropping-particle":"","parse-names":false,"suffix":""},{"dropping-particle":"","family":"Grünberger","given":"A","non-dropping-particle":"","parse-names":false,"suffix":""},{"dropping-particle":"","family":"Loeschcke","given":"A","non-dropping-particle":"","parse-names":false,"suffix":""},{"dropping-particle":"","family":"Peters-Wendisch","given":"P","non-dropping-particle":"","parse-names":false,"suffix":""},{"dropping-particle":"","family":"Kohlheyer","given":"D","non-dropping-particle":"","parse-names":false,"suffix":""},{"dropping-particle":"","family":"Pietruszka","given":"J","non-dropping-particle":"","parse-names":false,"suffix":""},{"dropping-particle":"","family":"Frunzke","given":"J","non-dropping-particle":"","parse-names":false,"suffix":""},{"dropping-particle":"","family":"Jaeger","given":"KE","non-dropping-particle":"","parse-names":false,"suffix":""},{"dropping-particle":"","family":"Wendisch","given":"VF","non-dropping-particle":"","parse-names":false,"suffix":""},{"dropping-particle":"","family":"Drepper","given":"T","non-dropping-particle":"","parse-names":false,"suffix":""}],"container-title":"Applied and Environmental Microbiology","id":"ITEM-1","issue":"20","issued":{"date-parts":[["2016"]]},"page":"6141-6149","title":"Light-controlled cell factories – Employing photocaged IPTG for light-mediated optimization of lac-based gene expression and (+)-valencene biosynthesis in Corynebacterium glutamicum","type":"article-journal"},"uris":["http://www.mendeley.com/documents/?uuid=66a1041d-85fa-447c-9a9f-0964fd5cae45"]}],"mendeley":{"formattedCitation":"&lt;sup&gt;39&lt;/sup&gt;","plainTextFormattedCitation":"39","previouslyFormattedCitation":"&lt;sup&gt;55&lt;/sup&gt;"},"properties":{"noteIndex":0},"schema":"https://github.com/citation-style-language/schema/raw/master/csl-citation.json"}</w:instrText>
      </w:r>
      <w:r w:rsidR="0052061E" w:rsidRPr="00430A5E">
        <w:rPr>
          <w:rFonts w:ascii="Arial" w:hAnsi="Arial" w:cs="Arial"/>
          <w:bCs/>
          <w:lang w:val="en-US"/>
        </w:rPr>
        <w:fldChar w:fldCharType="separate"/>
      </w:r>
      <w:r w:rsidR="00F74091" w:rsidRPr="00F74091">
        <w:rPr>
          <w:rFonts w:ascii="Arial" w:hAnsi="Arial" w:cs="Arial"/>
          <w:bCs/>
          <w:noProof/>
          <w:vertAlign w:val="superscript"/>
          <w:lang w:val="en-US"/>
        </w:rPr>
        <w:t>39</w:t>
      </w:r>
      <w:r w:rsidR="0052061E" w:rsidRPr="00430A5E">
        <w:rPr>
          <w:rFonts w:ascii="Arial" w:hAnsi="Arial" w:cs="Arial"/>
          <w:bCs/>
          <w:lang w:val="en-US"/>
        </w:rPr>
        <w:fldChar w:fldCharType="end"/>
      </w:r>
      <w:r w:rsidR="00280D0F" w:rsidRPr="00430A5E">
        <w:rPr>
          <w:rFonts w:ascii="Arial" w:hAnsi="Arial" w:cs="Arial"/>
          <w:bCs/>
          <w:lang w:val="en-US"/>
        </w:rPr>
        <w:t xml:space="preserve"> This way, </w:t>
      </w:r>
      <w:r w:rsidR="004D67D9" w:rsidRPr="00430A5E">
        <w:rPr>
          <w:rFonts w:ascii="Arial" w:hAnsi="Arial" w:cs="Arial"/>
          <w:bCs/>
          <w:lang w:val="en-US"/>
        </w:rPr>
        <w:t>cIPTG molecules are</w:t>
      </w:r>
      <w:r w:rsidR="00FD2A76" w:rsidRPr="00430A5E">
        <w:rPr>
          <w:rFonts w:ascii="Arial" w:hAnsi="Arial" w:cs="Arial"/>
          <w:bCs/>
          <w:lang w:val="en-US"/>
        </w:rPr>
        <w:t xml:space="preserve"> transported</w:t>
      </w:r>
      <w:r w:rsidR="00280D0F" w:rsidRPr="00430A5E">
        <w:rPr>
          <w:rFonts w:ascii="Arial" w:hAnsi="Arial" w:cs="Arial"/>
          <w:bCs/>
          <w:lang w:val="en-US"/>
        </w:rPr>
        <w:t xml:space="preserve"> into the cells before </w:t>
      </w:r>
      <w:r w:rsidR="00B36F2C" w:rsidRPr="00430A5E">
        <w:rPr>
          <w:rFonts w:ascii="Arial" w:hAnsi="Arial" w:cs="Arial"/>
          <w:bCs/>
          <w:lang w:val="en-US"/>
        </w:rPr>
        <w:t xml:space="preserve">they </w:t>
      </w:r>
      <w:r w:rsidR="004D67D9" w:rsidRPr="00430A5E">
        <w:rPr>
          <w:rFonts w:ascii="Arial" w:hAnsi="Arial" w:cs="Arial"/>
          <w:bCs/>
          <w:lang w:val="en-US"/>
        </w:rPr>
        <w:t>are</w:t>
      </w:r>
      <w:r w:rsidR="00280D0F" w:rsidRPr="00430A5E">
        <w:rPr>
          <w:rFonts w:ascii="Arial" w:hAnsi="Arial" w:cs="Arial"/>
          <w:bCs/>
          <w:lang w:val="en-US"/>
        </w:rPr>
        <w:t xml:space="preserve"> uncaged with UV-A light, leading to a </w:t>
      </w:r>
      <w:r w:rsidR="00350B1F" w:rsidRPr="00430A5E">
        <w:rPr>
          <w:rFonts w:ascii="Arial" w:hAnsi="Arial" w:cs="Arial"/>
          <w:bCs/>
          <w:lang w:val="en-US"/>
        </w:rPr>
        <w:t>faster induction</w:t>
      </w:r>
      <w:r w:rsidR="00FD2A76" w:rsidRPr="00430A5E">
        <w:rPr>
          <w:rFonts w:ascii="Arial" w:hAnsi="Arial" w:cs="Arial"/>
          <w:bCs/>
          <w:lang w:val="en-US"/>
        </w:rPr>
        <w:t xml:space="preserve"> and more homogeneous</w:t>
      </w:r>
      <w:r w:rsidR="00280D0F" w:rsidRPr="00430A5E">
        <w:rPr>
          <w:rFonts w:ascii="Arial" w:hAnsi="Arial" w:cs="Arial"/>
          <w:bCs/>
          <w:lang w:val="en-US"/>
        </w:rPr>
        <w:t xml:space="preserve"> promotor activation</w:t>
      </w:r>
      <w:r w:rsidR="00EF1A45" w:rsidRPr="00430A5E">
        <w:rPr>
          <w:rFonts w:ascii="Arial" w:hAnsi="Arial" w:cs="Arial"/>
          <w:bCs/>
          <w:lang w:val="en-US"/>
        </w:rPr>
        <w:t xml:space="preserve">, which </w:t>
      </w:r>
      <w:r w:rsidR="00AA0586" w:rsidRPr="00430A5E">
        <w:rPr>
          <w:rFonts w:ascii="Arial" w:hAnsi="Arial" w:cs="Arial"/>
          <w:bCs/>
          <w:lang w:val="en-US"/>
        </w:rPr>
        <w:t>could be demonstrated</w:t>
      </w:r>
      <w:r w:rsidR="00EF1A45" w:rsidRPr="00430A5E">
        <w:rPr>
          <w:rFonts w:ascii="Arial" w:hAnsi="Arial" w:cs="Arial"/>
          <w:bCs/>
          <w:lang w:val="en-US"/>
        </w:rPr>
        <w:t xml:space="preserve"> in previous studies</w:t>
      </w:r>
      <w:r w:rsidR="003D068F" w:rsidRPr="00430A5E">
        <w:rPr>
          <w:rFonts w:ascii="Arial" w:hAnsi="Arial" w:cs="Arial"/>
          <w:bCs/>
          <w:lang w:val="en-US"/>
        </w:rPr>
        <w:t>.</w:t>
      </w:r>
      <w:r w:rsidR="00FD2A76" w:rsidRPr="00430A5E">
        <w:rPr>
          <w:rFonts w:ascii="Arial" w:hAnsi="Arial" w:cs="Arial"/>
          <w:bCs/>
          <w:lang w:val="en-US"/>
        </w:rPr>
        <w:fldChar w:fldCharType="begin" w:fldLock="1"/>
      </w:r>
      <w:r w:rsidR="00F74091">
        <w:rPr>
          <w:rFonts w:ascii="Arial" w:hAnsi="Arial" w:cs="Arial"/>
          <w:bCs/>
          <w:lang w:val="en-US"/>
        </w:rPr>
        <w:instrText>ADDIN CSL_CITATION {"citationItems":[{"id":"ITEM-1","itemData":{"DOI":"10.1016/j.ymben.2017.06.009","ISBN":"1096-7184 (Electronic)\r1096-7176 (Linking)","PMID":"28645641","abstract":"In natural habitats, microbes form multispecies communities that commonly face rapidly changing and highly competitive environments. Thus, phenotypic heterogeneity has evolved as an innate and important survival strategy to gain an overall fitness advantage over cohabiting competitors. However, in defined artificial environments such as monocultures in small- to large-scale bioreactors, cell-to-cell variations are presumed to cause reduced production yields as well as process instability. Hence, engineering microbial production toward phenotypic homogeneity is a highly promising approach for synthetic biology and bioprocess optimization. In this review, we discuss recent studies that have unraveled the cell-to-cell heterogeneity observed during bacterial gene expression and metabolite production as well as the molecular mechanisms involved. In addition, current single-cell technologies are briefly reviewed with respect to their applicability in exploring cell-to-cell variations. We highlight emerging strategies and tools to reduce phenotypic heterogeneity in biotechnological expression setups. Here, strain or inducer modifications are combined with cell physiology manipulations to achieve the ultimate goal of equalizing bacterial populations. In this way, the majority of cells can be forced into high productivity, thus reducing less productive subpopulations that tend to consume valuable resources during production. Modifications in uptake systems, inducer molecules or nutrients represent valuable tools for diminishing heterogeneity. Finally, we address the challenge of transferring homogeneously responding cells into large-scale bioprocesses. Environmental heterogeneity originating from extrinsic factors such as stirring speed and pH, oxygen, temperature or nutrient distribution can significantly influence cellular physiology. We conclude that engineering microbial populations toward phenotypic homogeneity is an increasingly important task to take biotechnological productions to the next level of control.","author":[{"dropping-particle":"","family":"Binder","given":"D","non-dropping-particle":"","parse-names":false,"suffix":""},{"dropping-particle":"","family":"Drepper","given":"T","non-dropping-particle":"","parse-names":false,"suffix":""},{"dropping-particle":"","family":"Jaeger","given":"K E","non-dropping-particle":"","parse-names":false,"suffix":""},{"dropping-particle":"","family":"Delvigne","given":"F","non-dropping-particle":"","parse-names":false,"suffix":""},{"dropping-particle":"","family":"Wiechert","given":"W","non-dropping-particle":"","parse-names":false,"suffix":""},{"dropping-particle":"","family":"Kohlheyer","given":"D","non-dropping-particle":"","parse-names":false,"suffix":""},{"dropping-particle":"","family":"Grunberger","given":"A","non-dropping-particle":"","parse-names":false,"suffix":""}],"container-title":"Metab Eng","id":"ITEM-1","issued":{"date-parts":[["2017"]]},"note":"Binder, Dennis\nDrepper, Thomas\nJaeger, Karl-Erich\nDelvigne, Frank\nWiechert, Wolfgang\nKohlheyer, Dietrich\nGrunberger, Alexander\neng\nReview\nBelgium\n2017/06/25 06:00\nMetab Eng. 2017 Jul;42:145-156. doi: 10.1016/j.ymben.2017.06.009. Epub 2017 Jun 20.","page":"145-156","title":"Homogenizing bacterial cell factories: Analysis and engineering of phenotypic heterogeneity","type":"article-journal","volume":"42"},"uris":["http://www.mendeley.com/documents/?uuid=f8b1a559-c030-43ec-be84-3d25fb88a9ca"]}],"mendeley":{"formattedCitation":"&lt;sup&gt;40&lt;/sup&gt;","plainTextFormattedCitation":"40","previouslyFormattedCitation":"&lt;sup&gt;56&lt;/sup&gt;"},"properties":{"noteIndex":0},"schema":"https://github.com/citation-style-language/schema/raw/master/csl-citation.json"}</w:instrText>
      </w:r>
      <w:r w:rsidR="00FD2A76" w:rsidRPr="00430A5E">
        <w:rPr>
          <w:rFonts w:ascii="Arial" w:hAnsi="Arial" w:cs="Arial"/>
          <w:bCs/>
          <w:lang w:val="en-US"/>
        </w:rPr>
        <w:fldChar w:fldCharType="separate"/>
      </w:r>
      <w:r w:rsidR="00F74091" w:rsidRPr="00F74091">
        <w:rPr>
          <w:rFonts w:ascii="Arial" w:hAnsi="Arial" w:cs="Arial"/>
          <w:bCs/>
          <w:noProof/>
          <w:vertAlign w:val="superscript"/>
          <w:lang w:val="en-US"/>
        </w:rPr>
        <w:t>40</w:t>
      </w:r>
      <w:r w:rsidR="00FD2A76" w:rsidRPr="00430A5E">
        <w:rPr>
          <w:rFonts w:ascii="Arial" w:hAnsi="Arial" w:cs="Arial"/>
          <w:bCs/>
          <w:lang w:val="en-US"/>
        </w:rPr>
        <w:fldChar w:fldCharType="end"/>
      </w:r>
      <w:r w:rsidR="00144849" w:rsidRPr="00430A5E">
        <w:rPr>
          <w:rFonts w:ascii="Arial" w:hAnsi="Arial" w:cs="Arial"/>
          <w:bCs/>
          <w:lang w:val="en-US"/>
        </w:rPr>
        <w:t xml:space="preserve"> </w:t>
      </w:r>
      <w:bookmarkStart w:id="9" w:name="_Hlk58766520"/>
      <w:r w:rsidR="00144849" w:rsidRPr="00430A5E">
        <w:rPr>
          <w:rFonts w:ascii="Arial" w:hAnsi="Arial" w:cs="Arial"/>
          <w:bCs/>
          <w:lang w:val="en-US"/>
        </w:rPr>
        <w:t>For a more detailed description of the synthesis and</w:t>
      </w:r>
      <w:r w:rsidR="00AB0874" w:rsidRPr="00430A5E">
        <w:rPr>
          <w:rFonts w:ascii="Arial" w:hAnsi="Arial" w:cs="Arial"/>
          <w:bCs/>
          <w:lang w:val="en-US"/>
        </w:rPr>
        <w:t xml:space="preserve"> molecular </w:t>
      </w:r>
      <w:r w:rsidR="00AB0874" w:rsidRPr="00430A5E">
        <w:rPr>
          <w:rFonts w:ascii="Arial" w:hAnsi="Arial" w:cs="Arial"/>
          <w:bCs/>
          <w:lang w:val="en-US"/>
        </w:rPr>
        <w:lastRenderedPageBreak/>
        <w:t xml:space="preserve">mechanism of uncaging cIPTG the reader is referred to </w:t>
      </w:r>
      <w:r w:rsidR="00B9436A" w:rsidRPr="00430A5E">
        <w:rPr>
          <w:rFonts w:ascii="Arial" w:hAnsi="Arial" w:cs="Arial"/>
          <w:bCs/>
          <w:lang w:val="en-US"/>
        </w:rPr>
        <w:t>Young and Deiters</w:t>
      </w:r>
      <w:r w:rsidR="00B9436A" w:rsidRPr="00430A5E">
        <w:rPr>
          <w:rFonts w:ascii="Arial" w:hAnsi="Arial" w:cs="Arial"/>
          <w:bCs/>
          <w:lang w:val="en-US"/>
        </w:rPr>
        <w:fldChar w:fldCharType="begin" w:fldLock="1"/>
      </w:r>
      <w:r w:rsidR="00F74091">
        <w:rPr>
          <w:rFonts w:ascii="Arial" w:hAnsi="Arial" w:cs="Arial"/>
          <w:bCs/>
          <w:lang w:val="en-US"/>
        </w:rPr>
        <w:instrText>ADDIN CSL_CITATION {"citationItems":[{"id":"ITEM-1","itemData":{"DOI":"10.1002/anie.200700057","ISSN":"14337851","abstract":"Turning genes on with light: Photochemical control of gene expression is a versatile tool for the elucidation of biological processes and the programming of new biological functions. Activation of protein expression in prokaryotic cells through light irradiation is achieved through a photocaged small molecule. Spatiotemporal regulation of the lac operon was obtained through the application of a photocaged isopropyl-β-D-thiogalactopyranoside derivative. (Figure Presented) © 2007 Wiley-VCH Verlag GmbH &amp; Co. KGaA.","author":[{"dropping-particle":"","family":"Young","given":"Douglas D.","non-dropping-particle":"","parse-names":false,"suffix":""},{"dropping-particle":"","family":"Deiters","given":"Alexander","non-dropping-particle":"","parse-names":false,"suffix":""}],"container-title":"Angewandte Chemie - International Edition","id":"ITEM-1","issue":"23","issued":{"date-parts":[["2007"]]},"page":"4290-4292","title":"Photochemical activation of protein expression in bacterial cells","type":"article-journal","volume":"46"},"uris":["http://www.mendeley.com/documents/?uuid=5f200af3-1e3d-4ff1-8d78-39537f817fd4"]}],"mendeley":{"formattedCitation":"&lt;sup&gt;38&lt;/sup&gt;","plainTextFormattedCitation":"38","previouslyFormattedCitation":"&lt;sup&gt;41&lt;/sup&gt;"},"properties":{"noteIndex":0},"schema":"https://github.com/citation-style-language/schema/raw/master/csl-citation.json"}</w:instrText>
      </w:r>
      <w:r w:rsidR="00B9436A" w:rsidRPr="00430A5E">
        <w:rPr>
          <w:rFonts w:ascii="Arial" w:hAnsi="Arial" w:cs="Arial"/>
          <w:bCs/>
          <w:lang w:val="en-US"/>
        </w:rPr>
        <w:fldChar w:fldCharType="separate"/>
      </w:r>
      <w:r w:rsidR="00F74091" w:rsidRPr="00F74091">
        <w:rPr>
          <w:rFonts w:ascii="Arial" w:hAnsi="Arial" w:cs="Arial"/>
          <w:bCs/>
          <w:noProof/>
          <w:vertAlign w:val="superscript"/>
          <w:lang w:val="en-US"/>
        </w:rPr>
        <w:t>38</w:t>
      </w:r>
      <w:r w:rsidR="00B9436A" w:rsidRPr="00430A5E">
        <w:rPr>
          <w:rFonts w:ascii="Arial" w:hAnsi="Arial" w:cs="Arial"/>
          <w:bCs/>
          <w:lang w:val="en-US"/>
        </w:rPr>
        <w:fldChar w:fldCharType="end"/>
      </w:r>
      <w:r w:rsidR="00B9436A" w:rsidRPr="00430A5E">
        <w:rPr>
          <w:rFonts w:ascii="Arial" w:hAnsi="Arial" w:cs="Arial"/>
          <w:bCs/>
          <w:lang w:val="en-US"/>
        </w:rPr>
        <w:t xml:space="preserve"> and </w:t>
      </w:r>
      <w:r w:rsidR="00AB0874" w:rsidRPr="00430A5E">
        <w:rPr>
          <w:rFonts w:ascii="Arial" w:hAnsi="Arial" w:cs="Arial"/>
          <w:bCs/>
          <w:lang w:val="en-US"/>
        </w:rPr>
        <w:t xml:space="preserve">Binder </w:t>
      </w:r>
      <w:r w:rsidR="00AB0874" w:rsidRPr="00430A5E">
        <w:rPr>
          <w:rFonts w:ascii="Arial" w:hAnsi="Arial" w:cs="Arial"/>
          <w:bCs/>
          <w:i/>
          <w:iCs/>
          <w:lang w:val="en-US"/>
        </w:rPr>
        <w:t>et al</w:t>
      </w:r>
      <w:r w:rsidR="00AB0874" w:rsidRPr="00430A5E">
        <w:rPr>
          <w:rFonts w:ascii="Arial" w:hAnsi="Arial" w:cs="Arial"/>
          <w:bCs/>
          <w:lang w:val="en-US"/>
        </w:rPr>
        <w:t>..</w:t>
      </w:r>
      <w:r w:rsidR="00AB0874" w:rsidRPr="00430A5E">
        <w:rPr>
          <w:rFonts w:ascii="Arial" w:hAnsi="Arial" w:cs="Arial"/>
          <w:bCs/>
          <w:lang w:val="en-US"/>
        </w:rPr>
        <w:fldChar w:fldCharType="begin" w:fldLock="1"/>
      </w:r>
      <w:r w:rsidR="00C225D7" w:rsidRPr="00430A5E">
        <w:rPr>
          <w:rFonts w:ascii="Arial" w:hAnsi="Arial" w:cs="Arial"/>
          <w:bCs/>
          <w:lang w:val="en-US"/>
        </w:rPr>
        <w:instrText>ADDIN CSL_CITATION {"citationItems":[{"id":"ITEM-1","itemData":{"DOI":"10.1039/c4ib00027g","ISBN":"1757-9694","ISSN":"17579708","PMID":"24894989","abstract":"Light can be used to control numerous cellular processes including protein function and interaction as well as gene expression in a non-invasive fashion and with unprecedented spatiotemporal resolution. However, for chemical phototriggers tight, gradual, and homogeneous light response has never been attained in living cells. Here, we report on a light-responsive bacterial T7 RNA polymerase expression system based on a photocaged derivative of the inducer molecule isopropyl-b-D-thiogalactopyranoside (IPTG). We have comparatively analyzed different Escherichia coli lac promoter-regulated expression systems in batch and microfluidic single-cell cultivation. The lacY-deficient E. coli strain Tuner(DE3) harboring additional plasmid-born copies of the lacI gene exhibited a sensitive and defined response to increasing IPTG concentrations. Photocaged IPTG served as a synthetic photo-switch to convert the E. coli system into an optogenetic expression module allowing for precise and gradual light-triggering of gene expression as demonstrated at the single cell level. Insight, innovation, integration Optogenetic approaches aim to trigger biological processes by light. For the establishment of a light-responsive E. coli expression system, we validate different lac promoter-controlled, T7 RNA polymerase-dependent expression modules. Using microfluidic techniques we were able to pin down and abolish bottlenecks of inducer-dependent regulatory response. By implementing a derivative of the synthetic inducer IPTG, which is coupled to the light-sensitive photocaging group 6-nitropiperonal, we assembled a precise photoswitch that can be controlled by UV-A light.","author":[{"dropping-particle":"","family":"Binder","given":"Dennis","non-dropping-particle":"","parse-names":false,"suffix":""},{"dropping-particle":"","family":"Grünberger","given":"Alexander","non-dropping-particle":"","parse-names":false,"suffix":""},{"dropping-particle":"","family":"Loeschcke","given":"Anita","non-dropping-particle":"","parse-names":false,"suffix":""},{"dropping-particle":"","family":"Probst","given":"Christopher","non-dropping-particle":"","parse-names":false,"suffix":""},{"dropping-particle":"","family":"Bier","given":"Claus","non-dropping-particle":"","parse-names":false,"suffix":""},{"dropping-particle":"","family":"Pietruszka","given":"Jörg","non-dropping-particle":"","parse-names":false,"suffix":""},{"dropping-particle":"","family":"Wiechert","given":"Wolfgang","non-dropping-particle":"","parse-names":false,"suffix":""},{"dropping-particle":"","family":"Kohlheyer","given":"Dietrich","non-dropping-particle":"","parse-names":false,"suffix":""},{"dropping-particle":"","family":"Jaeger","given":"Karl Erich","non-dropping-particle":"","parse-names":false,"suffix":""},{"dropping-particle":"","family":"Drepper","given":"Thomas","non-dropping-particle":"","parse-names":false,"suffix":""}],"container-title":"Integrative Biology (United Kingdom)","id":"ITEM-1","issue":"8","issued":{"date-parts":[["2014"]]},"page":"755-765","title":"Light-responsive control of bacterial gene expression: Precise triggering of the lac promoter activity using photocaged IPTG","type":"article-journal","volume":"6"},"uris":["http://www.mendeley.com/documents/?uuid=bb9db291-87c0-440c-bc64-64f1c3e9076f"]}],"mendeley":{"formattedCitation":"&lt;sup&gt;29&lt;/sup&gt;","plainTextFormattedCitation":"29","previouslyFormattedCitation":"&lt;sup&gt;29&lt;/sup&gt;"},"properties":{"noteIndex":0},"schema":"https://github.com/citation-style-language/schema/raw/master/csl-citation.json"}</w:instrText>
      </w:r>
      <w:r w:rsidR="00AB0874" w:rsidRPr="00430A5E">
        <w:rPr>
          <w:rFonts w:ascii="Arial" w:hAnsi="Arial" w:cs="Arial"/>
          <w:bCs/>
          <w:lang w:val="en-US"/>
        </w:rPr>
        <w:fldChar w:fldCharType="separate"/>
      </w:r>
      <w:r w:rsidR="006355DF" w:rsidRPr="00430A5E">
        <w:rPr>
          <w:rFonts w:ascii="Arial" w:hAnsi="Arial" w:cs="Arial"/>
          <w:bCs/>
          <w:noProof/>
          <w:vertAlign w:val="superscript"/>
          <w:lang w:val="en-US"/>
        </w:rPr>
        <w:t>29</w:t>
      </w:r>
      <w:r w:rsidR="00AB0874" w:rsidRPr="00430A5E">
        <w:rPr>
          <w:rFonts w:ascii="Arial" w:hAnsi="Arial" w:cs="Arial"/>
          <w:bCs/>
          <w:lang w:val="en-US"/>
        </w:rPr>
        <w:fldChar w:fldCharType="end"/>
      </w:r>
    </w:p>
    <w:p w14:paraId="5BD86D31" w14:textId="650F4797" w:rsidR="00512E78" w:rsidRPr="00430A5E" w:rsidRDefault="00512E78" w:rsidP="00512E78">
      <w:pPr>
        <w:spacing w:after="0" w:line="360" w:lineRule="auto"/>
        <w:jc w:val="both"/>
        <w:rPr>
          <w:rFonts w:ascii="Arial" w:hAnsi="Arial" w:cs="Arial"/>
          <w:bCs/>
          <w:lang w:val="en-US"/>
        </w:rPr>
      </w:pPr>
      <w:bookmarkStart w:id="10" w:name="_Hlk64749148"/>
      <w:bookmarkEnd w:id="9"/>
      <w:r w:rsidRPr="00430A5E">
        <w:rPr>
          <w:rFonts w:ascii="Arial" w:hAnsi="Arial" w:cs="Arial"/>
          <w:bCs/>
          <w:lang w:val="en-US"/>
        </w:rPr>
        <w:t xml:space="preserve">Before microfluidic co-cultivation experiments, a UV-A toxicity test was performed by exposing </w:t>
      </w:r>
      <w:r w:rsidRPr="00430A5E">
        <w:rPr>
          <w:rFonts w:ascii="Arial" w:hAnsi="Arial" w:cs="Arial"/>
          <w:bCs/>
          <w:i/>
          <w:iCs/>
          <w:lang w:val="en-US"/>
        </w:rPr>
        <w:t>C.</w:t>
      </w:r>
      <w:r w:rsidR="00A349FA" w:rsidRPr="00430A5E">
        <w:rPr>
          <w:rFonts w:ascii="Arial" w:hAnsi="Arial" w:cs="Arial"/>
          <w:bCs/>
          <w:i/>
          <w:iCs/>
          <w:lang w:val="en-US"/>
        </w:rPr>
        <w:t> </w:t>
      </w:r>
      <w:r w:rsidRPr="00430A5E">
        <w:rPr>
          <w:rFonts w:ascii="Arial" w:hAnsi="Arial" w:cs="Arial"/>
          <w:bCs/>
          <w:i/>
          <w:iCs/>
          <w:lang w:val="en-US"/>
        </w:rPr>
        <w:t>glutamicum</w:t>
      </w:r>
      <w:r w:rsidRPr="00430A5E">
        <w:rPr>
          <w:rFonts w:ascii="Arial" w:hAnsi="Arial" w:cs="Arial"/>
          <w:bCs/>
          <w:lang w:val="en-US"/>
        </w:rPr>
        <w:t xml:space="preserve"> to UV-A light for 0</w:t>
      </w:r>
      <w:r w:rsidR="00A349FA" w:rsidRPr="00430A5E">
        <w:rPr>
          <w:rFonts w:ascii="Arial" w:hAnsi="Arial" w:cs="Arial"/>
          <w:bCs/>
          <w:lang w:val="en-US"/>
        </w:rPr>
        <w:t> </w:t>
      </w:r>
      <w:r w:rsidRPr="00430A5E">
        <w:rPr>
          <w:rFonts w:ascii="Arial" w:hAnsi="Arial" w:cs="Arial"/>
          <w:bCs/>
          <w:lang w:val="en-US"/>
        </w:rPr>
        <w:t>s, 1</w:t>
      </w:r>
      <w:r w:rsidR="00A349FA" w:rsidRPr="00430A5E">
        <w:rPr>
          <w:rFonts w:ascii="Arial" w:hAnsi="Arial" w:cs="Arial"/>
          <w:bCs/>
          <w:lang w:val="en-US"/>
        </w:rPr>
        <w:t> </w:t>
      </w:r>
      <w:r w:rsidRPr="00430A5E">
        <w:rPr>
          <w:rFonts w:ascii="Arial" w:hAnsi="Arial" w:cs="Arial"/>
          <w:bCs/>
          <w:lang w:val="en-US"/>
        </w:rPr>
        <w:t>min and 5</w:t>
      </w:r>
      <w:r w:rsidR="00A349FA" w:rsidRPr="00430A5E">
        <w:rPr>
          <w:rFonts w:ascii="Arial" w:hAnsi="Arial" w:cs="Arial"/>
          <w:bCs/>
          <w:lang w:val="en-US"/>
        </w:rPr>
        <w:t> </w:t>
      </w:r>
      <w:r w:rsidRPr="00430A5E">
        <w:rPr>
          <w:rFonts w:ascii="Arial" w:hAnsi="Arial" w:cs="Arial"/>
          <w:bCs/>
          <w:lang w:val="en-US"/>
        </w:rPr>
        <w:t>min</w:t>
      </w:r>
      <w:r w:rsidR="00A349FA" w:rsidRPr="00430A5E">
        <w:rPr>
          <w:rFonts w:ascii="Arial" w:hAnsi="Arial" w:cs="Arial"/>
          <w:bCs/>
          <w:lang w:val="en-US"/>
        </w:rPr>
        <w:t xml:space="preserve"> (Figure S7)</w:t>
      </w:r>
      <w:r w:rsidRPr="00430A5E">
        <w:rPr>
          <w:rFonts w:ascii="Arial" w:hAnsi="Arial" w:cs="Arial"/>
          <w:bCs/>
          <w:lang w:val="en-US"/>
        </w:rPr>
        <w:t xml:space="preserve">. Growth rates were compared to find out if the UV-A light has an influence on the viability of the cells. The results showed no significant difference in growth rates between the different exposure times. However, after </w:t>
      </w:r>
      <w:r w:rsidR="00A70D52" w:rsidRPr="00430A5E">
        <w:rPr>
          <w:rFonts w:ascii="Arial" w:hAnsi="Arial" w:cs="Arial"/>
          <w:bCs/>
          <w:lang w:val="en-US"/>
        </w:rPr>
        <w:t xml:space="preserve">1 min UV-A exposure time a slight growth delay could be observed compared to unexposed cells. At </w:t>
      </w:r>
      <w:r w:rsidRPr="00430A5E">
        <w:rPr>
          <w:rFonts w:ascii="Arial" w:hAnsi="Arial" w:cs="Arial"/>
          <w:bCs/>
          <w:lang w:val="en-US"/>
        </w:rPr>
        <w:t>5</w:t>
      </w:r>
      <w:r w:rsidR="00A349FA" w:rsidRPr="00430A5E">
        <w:rPr>
          <w:rFonts w:ascii="Arial" w:hAnsi="Arial" w:cs="Arial"/>
          <w:bCs/>
          <w:lang w:val="en-US"/>
        </w:rPr>
        <w:t> </w:t>
      </w:r>
      <w:r w:rsidRPr="00430A5E">
        <w:rPr>
          <w:rFonts w:ascii="Arial" w:hAnsi="Arial" w:cs="Arial"/>
          <w:bCs/>
          <w:lang w:val="en-US"/>
        </w:rPr>
        <w:t>min UV-A exposure</w:t>
      </w:r>
      <w:r w:rsidR="00A70D52" w:rsidRPr="00430A5E">
        <w:rPr>
          <w:rFonts w:ascii="Arial" w:hAnsi="Arial" w:cs="Arial"/>
          <w:bCs/>
          <w:lang w:val="en-US"/>
        </w:rPr>
        <w:t xml:space="preserve"> an even longer </w:t>
      </w:r>
      <w:r w:rsidRPr="00430A5E">
        <w:rPr>
          <w:rFonts w:ascii="Arial" w:hAnsi="Arial" w:cs="Arial"/>
          <w:bCs/>
          <w:lang w:val="en-US"/>
        </w:rPr>
        <w:t>lag-phase could be observed, indicating that some cells might be killed or impaired in growth. So, we assumed that a maximum exposure time of 1</w:t>
      </w:r>
      <w:r w:rsidR="00A349FA" w:rsidRPr="00430A5E">
        <w:rPr>
          <w:rFonts w:ascii="Arial" w:hAnsi="Arial" w:cs="Arial"/>
          <w:bCs/>
          <w:lang w:val="en-US"/>
        </w:rPr>
        <w:t> </w:t>
      </w:r>
      <w:r w:rsidRPr="00430A5E">
        <w:rPr>
          <w:rFonts w:ascii="Arial" w:hAnsi="Arial" w:cs="Arial"/>
          <w:bCs/>
          <w:lang w:val="en-US"/>
        </w:rPr>
        <w:t xml:space="preserve">min could be applied in our experiments without having a noticeable negative influence on the cell viability. </w:t>
      </w:r>
    </w:p>
    <w:bookmarkEnd w:id="10"/>
    <w:p w14:paraId="23494148" w14:textId="36AF4BBA" w:rsidR="00C64476" w:rsidRPr="00430A5E" w:rsidRDefault="00C64476" w:rsidP="00512E78">
      <w:pPr>
        <w:spacing w:after="0" w:line="360" w:lineRule="auto"/>
        <w:jc w:val="both"/>
        <w:rPr>
          <w:rFonts w:ascii="Arial" w:hAnsi="Arial" w:cs="Arial"/>
          <w:bCs/>
          <w:lang w:val="en-US"/>
        </w:rPr>
      </w:pPr>
      <w:r w:rsidRPr="00430A5E">
        <w:rPr>
          <w:rFonts w:ascii="Arial" w:hAnsi="Arial" w:cs="Arial"/>
          <w:bCs/>
          <w:lang w:val="en-US"/>
        </w:rPr>
        <w:t xml:space="preserve">In microfluidic co-cultivation experiments, cIPTG was added to the medium and the chip was perfused for 1 h. </w:t>
      </w:r>
      <w:r w:rsidR="001F7F47" w:rsidRPr="00430A5E">
        <w:rPr>
          <w:rFonts w:ascii="Arial" w:hAnsi="Arial" w:cs="Arial"/>
          <w:bCs/>
          <w:lang w:val="en-US"/>
        </w:rPr>
        <w:t>Subsequently</w:t>
      </w:r>
      <w:r w:rsidRPr="00430A5E">
        <w:rPr>
          <w:rFonts w:ascii="Arial" w:hAnsi="Arial" w:cs="Arial"/>
          <w:bCs/>
          <w:lang w:val="en-US"/>
        </w:rPr>
        <w:t>, the</w:t>
      </w:r>
      <w:r w:rsidR="00BC06C2" w:rsidRPr="00430A5E">
        <w:rPr>
          <w:rFonts w:ascii="Arial" w:hAnsi="Arial" w:cs="Arial"/>
          <w:bCs/>
          <w:lang w:val="en-US"/>
        </w:rPr>
        <w:t xml:space="preserve"> medium</w:t>
      </w:r>
      <w:r w:rsidRPr="00430A5E">
        <w:rPr>
          <w:rFonts w:ascii="Arial" w:hAnsi="Arial" w:cs="Arial"/>
          <w:bCs/>
          <w:lang w:val="en-US"/>
        </w:rPr>
        <w:t xml:space="preserve"> flow was stopped and an additional </w:t>
      </w:r>
      <w:r w:rsidR="00EF1A45" w:rsidRPr="00430A5E">
        <w:rPr>
          <w:rFonts w:ascii="Arial" w:hAnsi="Arial" w:cs="Arial"/>
          <w:bCs/>
          <w:lang w:val="en-US"/>
        </w:rPr>
        <w:t xml:space="preserve">waiting time of </w:t>
      </w:r>
      <w:r w:rsidRPr="00430A5E">
        <w:rPr>
          <w:rFonts w:ascii="Arial" w:hAnsi="Arial" w:cs="Arial"/>
          <w:bCs/>
          <w:lang w:val="en-US"/>
        </w:rPr>
        <w:t>30 min</w:t>
      </w:r>
      <w:r w:rsidR="00EF1A45" w:rsidRPr="00430A5E">
        <w:rPr>
          <w:rFonts w:ascii="Arial" w:hAnsi="Arial" w:cs="Arial"/>
          <w:bCs/>
          <w:lang w:val="en-US"/>
        </w:rPr>
        <w:t xml:space="preserve"> </w:t>
      </w:r>
      <w:r w:rsidR="00771D94" w:rsidRPr="00430A5E">
        <w:rPr>
          <w:rFonts w:ascii="Arial" w:hAnsi="Arial" w:cs="Arial"/>
          <w:bCs/>
          <w:lang w:val="en-US"/>
        </w:rPr>
        <w:t xml:space="preserve">was applied </w:t>
      </w:r>
      <w:r w:rsidR="00EF1A45" w:rsidRPr="00430A5E">
        <w:rPr>
          <w:rFonts w:ascii="Arial" w:hAnsi="Arial" w:cs="Arial"/>
          <w:bCs/>
          <w:lang w:val="en-US"/>
        </w:rPr>
        <w:t>to e</w:t>
      </w:r>
      <w:r w:rsidR="002A6DB1" w:rsidRPr="00430A5E">
        <w:rPr>
          <w:rFonts w:ascii="Arial" w:hAnsi="Arial" w:cs="Arial"/>
          <w:bCs/>
          <w:lang w:val="en-US"/>
        </w:rPr>
        <w:t>mulate</w:t>
      </w:r>
      <w:r w:rsidR="00EF1A45" w:rsidRPr="00430A5E">
        <w:rPr>
          <w:rFonts w:ascii="Arial" w:hAnsi="Arial" w:cs="Arial"/>
          <w:bCs/>
          <w:lang w:val="en-US"/>
        </w:rPr>
        <w:t xml:space="preserve"> batch conditions</w:t>
      </w:r>
      <w:r w:rsidR="00BC06C2" w:rsidRPr="00430A5E">
        <w:rPr>
          <w:rFonts w:ascii="Arial" w:hAnsi="Arial" w:cs="Arial"/>
          <w:bCs/>
          <w:lang w:val="en-US"/>
        </w:rPr>
        <w:t xml:space="preserve"> </w:t>
      </w:r>
      <w:r w:rsidR="0052061E" w:rsidRPr="00430A5E">
        <w:rPr>
          <w:rFonts w:ascii="Arial" w:hAnsi="Arial" w:cs="Arial"/>
          <w:bCs/>
          <w:lang w:val="en-US"/>
        </w:rPr>
        <w:t xml:space="preserve">and </w:t>
      </w:r>
      <w:r w:rsidR="002A6DB1" w:rsidRPr="00430A5E">
        <w:rPr>
          <w:rFonts w:ascii="Arial" w:hAnsi="Arial" w:cs="Arial"/>
          <w:bCs/>
          <w:lang w:val="en-US"/>
        </w:rPr>
        <w:t xml:space="preserve">to ensure intracellular uptake of cIPTG </w:t>
      </w:r>
      <w:r w:rsidR="00BC06C2" w:rsidRPr="00430A5E">
        <w:rPr>
          <w:rFonts w:ascii="Arial" w:hAnsi="Arial" w:cs="Arial"/>
          <w:bCs/>
          <w:lang w:val="en-US"/>
        </w:rPr>
        <w:t xml:space="preserve">inside the DM1727 </w:t>
      </w:r>
      <w:r w:rsidR="00A2155F" w:rsidRPr="00430A5E">
        <w:rPr>
          <w:rFonts w:ascii="Arial" w:hAnsi="Arial" w:cs="Arial"/>
          <w:lang w:val="en-US"/>
        </w:rPr>
        <w:t>pEKEx2-</w:t>
      </w:r>
      <w:r w:rsidR="00A2155F" w:rsidRPr="00430A5E">
        <w:rPr>
          <w:rFonts w:ascii="Arial" w:hAnsi="Arial" w:cs="Arial"/>
          <w:i/>
          <w:lang w:val="en-US"/>
        </w:rPr>
        <w:t>lysC</w:t>
      </w:r>
      <w:r w:rsidR="00A2155F" w:rsidRPr="00430A5E">
        <w:rPr>
          <w:rFonts w:ascii="Arial" w:hAnsi="Arial" w:cs="Arial"/>
          <w:lang w:val="en-US"/>
        </w:rPr>
        <w:t>-β</w:t>
      </w:r>
      <w:r w:rsidR="00A2155F" w:rsidRPr="00430A5E">
        <w:rPr>
          <w:rFonts w:ascii="Arial" w:hAnsi="Arial" w:cs="Arial"/>
          <w:vertAlign w:val="superscript"/>
          <w:lang w:val="en-US"/>
        </w:rPr>
        <w:t>FBR</w:t>
      </w:r>
      <w:r w:rsidR="00BC06C2" w:rsidRPr="00430A5E">
        <w:rPr>
          <w:rFonts w:ascii="Arial" w:hAnsi="Arial" w:cs="Arial"/>
          <w:bCs/>
          <w:lang w:val="en-US"/>
        </w:rPr>
        <w:t xml:space="preserve"> cells</w:t>
      </w:r>
      <w:r w:rsidR="002A6DB1" w:rsidRPr="00430A5E">
        <w:rPr>
          <w:rFonts w:ascii="Arial" w:hAnsi="Arial" w:cs="Arial"/>
          <w:bCs/>
          <w:lang w:val="en-US"/>
        </w:rPr>
        <w:t>. To uncage the photosensitive molecules,</w:t>
      </w:r>
      <w:r w:rsidRPr="00430A5E">
        <w:rPr>
          <w:rFonts w:ascii="Arial" w:hAnsi="Arial" w:cs="Arial"/>
          <w:bCs/>
          <w:lang w:val="en-US"/>
        </w:rPr>
        <w:t xml:space="preserve"> single chambers were </w:t>
      </w:r>
      <w:r w:rsidR="002A6DB1" w:rsidRPr="00430A5E">
        <w:rPr>
          <w:rFonts w:ascii="Arial" w:hAnsi="Arial" w:cs="Arial"/>
          <w:bCs/>
          <w:lang w:val="en-US"/>
        </w:rPr>
        <w:t xml:space="preserve">illuminated by </w:t>
      </w:r>
      <w:r w:rsidRPr="00430A5E">
        <w:rPr>
          <w:rFonts w:ascii="Arial" w:hAnsi="Arial" w:cs="Arial"/>
          <w:bCs/>
          <w:lang w:val="en-US"/>
        </w:rPr>
        <w:t>UV-A light for 10</w:t>
      </w:r>
      <w:r w:rsidR="001D4A77" w:rsidRPr="00430A5E">
        <w:rPr>
          <w:rFonts w:ascii="Arial" w:hAnsi="Arial" w:cs="Arial"/>
          <w:bCs/>
          <w:lang w:val="en-US"/>
        </w:rPr>
        <w:t> </w:t>
      </w:r>
      <w:r w:rsidRPr="00430A5E">
        <w:rPr>
          <w:rFonts w:ascii="Arial" w:hAnsi="Arial" w:cs="Arial"/>
          <w:bCs/>
          <w:lang w:val="en-US"/>
        </w:rPr>
        <w:t>s, 30</w:t>
      </w:r>
      <w:r w:rsidR="001D4A77" w:rsidRPr="00430A5E">
        <w:rPr>
          <w:rFonts w:ascii="Arial" w:hAnsi="Arial" w:cs="Arial"/>
          <w:bCs/>
          <w:lang w:val="en-US"/>
        </w:rPr>
        <w:t> </w:t>
      </w:r>
      <w:r w:rsidRPr="00430A5E">
        <w:rPr>
          <w:rFonts w:ascii="Arial" w:hAnsi="Arial" w:cs="Arial"/>
          <w:bCs/>
          <w:lang w:val="en-US"/>
        </w:rPr>
        <w:t xml:space="preserve">s and </w:t>
      </w:r>
      <w:r w:rsidR="006855F1" w:rsidRPr="00430A5E">
        <w:rPr>
          <w:rFonts w:ascii="Arial" w:hAnsi="Arial" w:cs="Arial"/>
          <w:bCs/>
          <w:lang w:val="en-US"/>
        </w:rPr>
        <w:t>60 s</w:t>
      </w:r>
      <w:r w:rsidRPr="00430A5E">
        <w:rPr>
          <w:rFonts w:ascii="Arial" w:hAnsi="Arial" w:cs="Arial"/>
          <w:bCs/>
          <w:lang w:val="en-US"/>
        </w:rPr>
        <w:t>.</w:t>
      </w:r>
    </w:p>
    <w:p w14:paraId="65E1DA9A" w14:textId="5FFA3C77" w:rsidR="00EF1A45" w:rsidRPr="00430A5E" w:rsidRDefault="002D4E94" w:rsidP="007C437C">
      <w:pPr>
        <w:spacing w:after="0" w:line="360" w:lineRule="auto"/>
        <w:jc w:val="both"/>
        <w:rPr>
          <w:rFonts w:ascii="Arial" w:hAnsi="Arial" w:cs="Arial"/>
          <w:bCs/>
          <w:lang w:val="en-US"/>
        </w:rPr>
      </w:pPr>
      <w:r w:rsidRPr="00430A5E">
        <w:rPr>
          <w:rFonts w:ascii="Arial" w:hAnsi="Arial" w:cs="Arial"/>
          <w:bCs/>
          <w:lang w:val="en-US"/>
        </w:rPr>
        <w:t xml:space="preserve">Results show that </w:t>
      </w:r>
      <w:r w:rsidR="00445FA1" w:rsidRPr="00430A5E">
        <w:rPr>
          <w:rFonts w:ascii="Arial" w:hAnsi="Arial" w:cs="Arial"/>
          <w:i/>
          <w:lang w:val="en-US"/>
        </w:rPr>
        <w:t>C. glutamicum</w:t>
      </w:r>
      <w:r w:rsidR="00445FA1" w:rsidRPr="00430A5E">
        <w:rPr>
          <w:rFonts w:ascii="Arial" w:hAnsi="Arial" w:cs="Arial"/>
          <w:lang w:val="en-US"/>
        </w:rPr>
        <w:t xml:space="preserve"> </w:t>
      </w:r>
      <w:r w:rsidR="001445ED" w:rsidRPr="00430A5E">
        <w:rPr>
          <w:rFonts w:ascii="Arial" w:hAnsi="Arial" w:cs="Arial"/>
          <w:lang w:val="en-US"/>
        </w:rPr>
        <w:t>Δ</w:t>
      </w:r>
      <w:r w:rsidR="001445ED" w:rsidRPr="00430A5E">
        <w:rPr>
          <w:rFonts w:ascii="Arial" w:hAnsi="Arial" w:cs="Arial"/>
          <w:i/>
          <w:iCs/>
          <w:lang w:val="en-US"/>
        </w:rPr>
        <w:t>lysA</w:t>
      </w:r>
      <w:r w:rsidRPr="00430A5E">
        <w:rPr>
          <w:rFonts w:ascii="Arial" w:hAnsi="Arial" w:cs="Arial"/>
          <w:bCs/>
          <w:lang w:val="en-US"/>
        </w:rPr>
        <w:t xml:space="preserve"> started to grow </w:t>
      </w:r>
      <w:r w:rsidR="001310FC" w:rsidRPr="00430A5E">
        <w:rPr>
          <w:rFonts w:ascii="Arial" w:hAnsi="Arial" w:cs="Arial"/>
          <w:bCs/>
          <w:lang w:val="en-US"/>
        </w:rPr>
        <w:t xml:space="preserve">solely </w:t>
      </w:r>
      <w:r w:rsidRPr="00430A5E">
        <w:rPr>
          <w:rFonts w:ascii="Arial" w:hAnsi="Arial" w:cs="Arial"/>
          <w:bCs/>
          <w:lang w:val="en-US"/>
        </w:rPr>
        <w:t xml:space="preserve">when the chamber was exposed to UV-A light, while in non-exposed chambers </w:t>
      </w:r>
      <w:r w:rsidR="001445ED" w:rsidRPr="00430A5E">
        <w:rPr>
          <w:rFonts w:ascii="Arial" w:hAnsi="Arial" w:cs="Arial"/>
          <w:lang w:val="en-US"/>
        </w:rPr>
        <w:t>Δ</w:t>
      </w:r>
      <w:r w:rsidR="001445ED" w:rsidRPr="00430A5E">
        <w:rPr>
          <w:rFonts w:ascii="Arial" w:hAnsi="Arial" w:cs="Arial"/>
          <w:i/>
          <w:iCs/>
          <w:lang w:val="en-US"/>
        </w:rPr>
        <w:t>lysA</w:t>
      </w:r>
      <w:r w:rsidRPr="00430A5E">
        <w:rPr>
          <w:rFonts w:ascii="Arial" w:hAnsi="Arial" w:cs="Arial"/>
          <w:bCs/>
          <w:lang w:val="en-US"/>
        </w:rPr>
        <w:t xml:space="preserve"> cell numbers remained </w:t>
      </w:r>
      <w:r w:rsidR="00EF1A45" w:rsidRPr="00430A5E">
        <w:rPr>
          <w:rFonts w:ascii="Arial" w:hAnsi="Arial" w:cs="Arial"/>
          <w:bCs/>
          <w:lang w:val="en-US"/>
        </w:rPr>
        <w:t xml:space="preserve">nearly </w:t>
      </w:r>
      <w:r w:rsidRPr="00430A5E">
        <w:rPr>
          <w:rFonts w:ascii="Arial" w:hAnsi="Arial" w:cs="Arial"/>
          <w:bCs/>
          <w:lang w:val="en-US"/>
        </w:rPr>
        <w:t xml:space="preserve">constant </w:t>
      </w:r>
      <w:r w:rsidR="00964D5E" w:rsidRPr="00430A5E">
        <w:rPr>
          <w:rFonts w:ascii="Arial" w:hAnsi="Arial" w:cs="Arial"/>
          <w:bCs/>
          <w:lang w:val="en-US"/>
        </w:rPr>
        <w:t>at the level of</w:t>
      </w:r>
      <w:r w:rsidR="00010203" w:rsidRPr="00430A5E">
        <w:rPr>
          <w:rFonts w:ascii="Arial" w:hAnsi="Arial" w:cs="Arial"/>
          <w:bCs/>
          <w:lang w:val="en-US"/>
        </w:rPr>
        <w:t xml:space="preserve"> inoculation </w:t>
      </w:r>
      <w:r w:rsidRPr="00430A5E">
        <w:rPr>
          <w:rFonts w:ascii="Arial" w:hAnsi="Arial" w:cs="Arial"/>
          <w:bCs/>
          <w:lang w:val="en-US"/>
        </w:rPr>
        <w:t xml:space="preserve">(Figure </w:t>
      </w:r>
      <w:r w:rsidR="006B0862">
        <w:rPr>
          <w:rFonts w:ascii="Arial" w:hAnsi="Arial" w:cs="Arial"/>
          <w:bCs/>
          <w:lang w:val="en-US"/>
        </w:rPr>
        <w:t>3</w:t>
      </w:r>
      <w:r w:rsidR="00112002" w:rsidRPr="00430A5E">
        <w:rPr>
          <w:rFonts w:ascii="Arial" w:hAnsi="Arial" w:cs="Arial"/>
          <w:bCs/>
          <w:lang w:val="en-US"/>
        </w:rPr>
        <w:t>C</w:t>
      </w:r>
      <w:r w:rsidRPr="00430A5E">
        <w:rPr>
          <w:rFonts w:ascii="Arial" w:hAnsi="Arial" w:cs="Arial"/>
          <w:bCs/>
          <w:lang w:val="en-US"/>
        </w:rPr>
        <w:t>).</w:t>
      </w:r>
      <w:r w:rsidR="001310FC" w:rsidRPr="00430A5E">
        <w:rPr>
          <w:rFonts w:ascii="Arial" w:hAnsi="Arial" w:cs="Arial"/>
          <w:bCs/>
          <w:lang w:val="en-US"/>
        </w:rPr>
        <w:t xml:space="preserve"> </w:t>
      </w:r>
    </w:p>
    <w:p w14:paraId="0F8E9DDE" w14:textId="614D4F33" w:rsidR="002D4E94" w:rsidRPr="00430A5E" w:rsidRDefault="001310FC" w:rsidP="007C437C">
      <w:pPr>
        <w:spacing w:after="0" w:line="360" w:lineRule="auto"/>
        <w:jc w:val="both"/>
        <w:rPr>
          <w:rFonts w:ascii="Arial" w:hAnsi="Arial" w:cs="Arial"/>
          <w:bCs/>
          <w:lang w:val="en-US"/>
        </w:rPr>
      </w:pPr>
      <w:r w:rsidRPr="00430A5E">
        <w:rPr>
          <w:rFonts w:ascii="Arial" w:hAnsi="Arial" w:cs="Arial"/>
          <w:bCs/>
          <w:lang w:val="en-US"/>
        </w:rPr>
        <w:t xml:space="preserve">Comparing different exposure times, it becomes </w:t>
      </w:r>
      <w:r w:rsidR="002A6DB1" w:rsidRPr="00430A5E">
        <w:rPr>
          <w:rFonts w:ascii="Arial" w:hAnsi="Arial" w:cs="Arial"/>
          <w:bCs/>
          <w:lang w:val="en-US"/>
        </w:rPr>
        <w:t>evident</w:t>
      </w:r>
      <w:r w:rsidRPr="00430A5E">
        <w:rPr>
          <w:rFonts w:ascii="Arial" w:hAnsi="Arial" w:cs="Arial"/>
          <w:bCs/>
          <w:lang w:val="en-US"/>
        </w:rPr>
        <w:t xml:space="preserve"> that 30</w:t>
      </w:r>
      <w:r w:rsidR="001D4A77" w:rsidRPr="00430A5E">
        <w:rPr>
          <w:rFonts w:ascii="Arial" w:hAnsi="Arial" w:cs="Arial"/>
          <w:bCs/>
          <w:lang w:val="en-US"/>
        </w:rPr>
        <w:t> </w:t>
      </w:r>
      <w:r w:rsidRPr="00430A5E">
        <w:rPr>
          <w:rFonts w:ascii="Arial" w:hAnsi="Arial" w:cs="Arial"/>
          <w:bCs/>
          <w:lang w:val="en-US"/>
        </w:rPr>
        <w:t xml:space="preserve">s and </w:t>
      </w:r>
      <w:r w:rsidR="006855F1" w:rsidRPr="00430A5E">
        <w:rPr>
          <w:rFonts w:ascii="Arial" w:hAnsi="Arial" w:cs="Arial"/>
          <w:bCs/>
          <w:lang w:val="en-US"/>
        </w:rPr>
        <w:t>60</w:t>
      </w:r>
      <w:r w:rsidR="001D4A77" w:rsidRPr="00430A5E">
        <w:rPr>
          <w:rFonts w:ascii="Arial" w:hAnsi="Arial" w:cs="Arial"/>
          <w:bCs/>
          <w:lang w:val="en-US"/>
        </w:rPr>
        <w:t> </w:t>
      </w:r>
      <w:r w:rsidR="006855F1" w:rsidRPr="00430A5E">
        <w:rPr>
          <w:rFonts w:ascii="Arial" w:hAnsi="Arial" w:cs="Arial"/>
          <w:bCs/>
          <w:lang w:val="en-US"/>
        </w:rPr>
        <w:t>s</w:t>
      </w:r>
      <w:r w:rsidRPr="00430A5E">
        <w:rPr>
          <w:rFonts w:ascii="Arial" w:hAnsi="Arial" w:cs="Arial"/>
          <w:bCs/>
          <w:lang w:val="en-US"/>
        </w:rPr>
        <w:t xml:space="preserve"> exposure leads to slightly higher growth rates compared to 10 s exposure time</w:t>
      </w:r>
      <w:r w:rsidR="001B1948" w:rsidRPr="00430A5E">
        <w:rPr>
          <w:rFonts w:ascii="Arial" w:hAnsi="Arial" w:cs="Arial"/>
          <w:bCs/>
          <w:lang w:val="en-US"/>
        </w:rPr>
        <w:t xml:space="preserve"> (Figure </w:t>
      </w:r>
      <w:r w:rsidR="006B0862">
        <w:rPr>
          <w:rFonts w:ascii="Arial" w:hAnsi="Arial" w:cs="Arial"/>
          <w:bCs/>
          <w:lang w:val="en-US"/>
        </w:rPr>
        <w:t>3</w:t>
      </w:r>
      <w:r w:rsidR="00112002" w:rsidRPr="00430A5E">
        <w:rPr>
          <w:rFonts w:ascii="Arial" w:hAnsi="Arial" w:cs="Arial"/>
          <w:bCs/>
          <w:lang w:val="en-US"/>
        </w:rPr>
        <w:t>D</w:t>
      </w:r>
      <w:r w:rsidR="001B1948" w:rsidRPr="00430A5E">
        <w:rPr>
          <w:rFonts w:ascii="Arial" w:hAnsi="Arial" w:cs="Arial"/>
          <w:bCs/>
          <w:lang w:val="en-US"/>
        </w:rPr>
        <w:t>)</w:t>
      </w:r>
      <w:r w:rsidRPr="00430A5E">
        <w:rPr>
          <w:rFonts w:ascii="Arial" w:hAnsi="Arial" w:cs="Arial"/>
          <w:bCs/>
          <w:lang w:val="en-US"/>
        </w:rPr>
        <w:t>.</w:t>
      </w:r>
      <w:r w:rsidR="00CA1266" w:rsidRPr="00430A5E">
        <w:rPr>
          <w:rFonts w:ascii="Arial" w:hAnsi="Arial" w:cs="Arial"/>
          <w:bCs/>
          <w:lang w:val="en-US"/>
        </w:rPr>
        <w:t xml:space="preserve"> After 10 </w:t>
      </w:r>
      <w:r w:rsidR="002A4E8A" w:rsidRPr="00430A5E">
        <w:rPr>
          <w:rFonts w:ascii="Arial" w:hAnsi="Arial" w:cs="Arial"/>
          <w:bCs/>
          <w:lang w:val="en-US"/>
        </w:rPr>
        <w:t xml:space="preserve">s </w:t>
      </w:r>
      <w:r w:rsidR="00445FA1" w:rsidRPr="00430A5E">
        <w:rPr>
          <w:rFonts w:ascii="Arial" w:hAnsi="Arial" w:cs="Arial"/>
          <w:i/>
          <w:lang w:val="en-US"/>
        </w:rPr>
        <w:t>C. glutamicum</w:t>
      </w:r>
      <w:r w:rsidR="00445FA1" w:rsidRPr="00430A5E">
        <w:rPr>
          <w:rFonts w:ascii="Arial" w:hAnsi="Arial" w:cs="Arial"/>
          <w:lang w:val="en-US"/>
        </w:rPr>
        <w:t xml:space="preserve"> </w:t>
      </w:r>
      <w:r w:rsidR="00A2155F" w:rsidRPr="00430A5E">
        <w:rPr>
          <w:rFonts w:ascii="Arial" w:hAnsi="Arial" w:cs="Arial"/>
          <w:lang w:val="en-US"/>
        </w:rPr>
        <w:t>Δ</w:t>
      </w:r>
      <w:r w:rsidR="00A2155F" w:rsidRPr="00430A5E">
        <w:rPr>
          <w:rFonts w:ascii="Arial" w:hAnsi="Arial" w:cs="Arial"/>
          <w:i/>
          <w:iCs/>
          <w:lang w:val="en-US"/>
        </w:rPr>
        <w:t>lysA</w:t>
      </w:r>
      <w:r w:rsidR="00A2155F" w:rsidRPr="00430A5E">
        <w:rPr>
          <w:rFonts w:ascii="Arial" w:hAnsi="Arial" w:cs="Arial"/>
          <w:bCs/>
          <w:lang w:val="en-US"/>
        </w:rPr>
        <w:t xml:space="preserve"> showed</w:t>
      </w:r>
      <w:r w:rsidR="00771D94" w:rsidRPr="00430A5E">
        <w:rPr>
          <w:rFonts w:ascii="Arial" w:hAnsi="Arial" w:cs="Arial"/>
          <w:bCs/>
          <w:lang w:val="en-US"/>
        </w:rPr>
        <w:t xml:space="preserve"> an average </w:t>
      </w:r>
      <w:r w:rsidR="002A4E8A" w:rsidRPr="00430A5E">
        <w:rPr>
          <w:rFonts w:ascii="Arial" w:hAnsi="Arial" w:cs="Arial"/>
          <w:bCs/>
          <w:lang w:val="en-US"/>
        </w:rPr>
        <w:t xml:space="preserve">growth rate of </w:t>
      </w:r>
      <w:r w:rsidR="00771D94" w:rsidRPr="00430A5E">
        <w:rPr>
          <w:rFonts w:ascii="Arial" w:hAnsi="Arial" w:cs="Arial"/>
          <w:bCs/>
          <w:i/>
          <w:lang w:val="en-US"/>
        </w:rPr>
        <w:t>µ</w:t>
      </w:r>
      <w:r w:rsidR="00771D94" w:rsidRPr="00430A5E">
        <w:rPr>
          <w:rFonts w:ascii="Arial" w:hAnsi="Arial" w:cs="Arial"/>
          <w:bCs/>
          <w:vertAlign w:val="subscript"/>
          <w:lang w:val="en-US"/>
        </w:rPr>
        <w:t>avg</w:t>
      </w:r>
      <w:r w:rsidR="00771D94" w:rsidRPr="00430A5E">
        <w:rPr>
          <w:rFonts w:ascii="Arial" w:hAnsi="Arial" w:cs="Arial"/>
          <w:bCs/>
          <w:lang w:val="en-US"/>
        </w:rPr>
        <w:t xml:space="preserve"> = </w:t>
      </w:r>
      <w:r w:rsidR="002A4E8A" w:rsidRPr="00430A5E">
        <w:rPr>
          <w:rFonts w:ascii="Arial" w:hAnsi="Arial" w:cs="Arial"/>
          <w:bCs/>
          <w:lang w:val="en-US"/>
        </w:rPr>
        <w:t>0.17 ± 0.04 h</w:t>
      </w:r>
      <w:r w:rsidR="002A4E8A" w:rsidRPr="00430A5E">
        <w:rPr>
          <w:rFonts w:ascii="Arial" w:hAnsi="Arial" w:cs="Arial"/>
          <w:bCs/>
          <w:vertAlign w:val="superscript"/>
          <w:lang w:val="en-US"/>
        </w:rPr>
        <w:t>-1</w:t>
      </w:r>
      <w:r w:rsidR="002A4E8A" w:rsidRPr="00430A5E">
        <w:rPr>
          <w:rFonts w:ascii="Arial" w:hAnsi="Arial" w:cs="Arial"/>
          <w:bCs/>
          <w:lang w:val="en-US"/>
        </w:rPr>
        <w:t xml:space="preserve">, after 30 s the growth rate determined was </w:t>
      </w:r>
      <w:r w:rsidR="00771D94" w:rsidRPr="00430A5E">
        <w:rPr>
          <w:rFonts w:ascii="Arial" w:hAnsi="Arial" w:cs="Arial"/>
          <w:bCs/>
          <w:i/>
          <w:lang w:val="en-US"/>
        </w:rPr>
        <w:t>µ</w:t>
      </w:r>
      <w:r w:rsidR="00771D94" w:rsidRPr="00430A5E">
        <w:rPr>
          <w:rFonts w:ascii="Arial" w:hAnsi="Arial" w:cs="Arial"/>
          <w:bCs/>
          <w:vertAlign w:val="subscript"/>
          <w:lang w:val="en-US"/>
        </w:rPr>
        <w:t>avg</w:t>
      </w:r>
      <w:r w:rsidR="00771D94" w:rsidRPr="00430A5E">
        <w:rPr>
          <w:rFonts w:ascii="Arial" w:hAnsi="Arial" w:cs="Arial"/>
          <w:bCs/>
          <w:lang w:val="en-US"/>
        </w:rPr>
        <w:t xml:space="preserve"> = </w:t>
      </w:r>
      <w:r w:rsidR="002A4E8A" w:rsidRPr="00430A5E">
        <w:rPr>
          <w:rFonts w:ascii="Arial" w:hAnsi="Arial" w:cs="Arial"/>
          <w:bCs/>
          <w:lang w:val="en-US"/>
        </w:rPr>
        <w:t>0.20 ± 0.02 h</w:t>
      </w:r>
      <w:r w:rsidR="002A4E8A" w:rsidRPr="00430A5E">
        <w:rPr>
          <w:rFonts w:ascii="Arial" w:hAnsi="Arial" w:cs="Arial"/>
          <w:bCs/>
          <w:vertAlign w:val="superscript"/>
          <w:lang w:val="en-US"/>
        </w:rPr>
        <w:t>-1</w:t>
      </w:r>
      <w:r w:rsidR="002A4E8A" w:rsidRPr="00430A5E">
        <w:rPr>
          <w:rFonts w:ascii="Arial" w:hAnsi="Arial" w:cs="Arial"/>
          <w:bCs/>
          <w:lang w:val="en-US"/>
        </w:rPr>
        <w:t xml:space="preserve"> and after </w:t>
      </w:r>
      <w:r w:rsidR="006855F1" w:rsidRPr="00430A5E">
        <w:rPr>
          <w:rFonts w:ascii="Arial" w:hAnsi="Arial" w:cs="Arial"/>
          <w:bCs/>
          <w:lang w:val="en-US"/>
        </w:rPr>
        <w:t>60</w:t>
      </w:r>
      <w:r w:rsidR="002A4E8A" w:rsidRPr="00430A5E">
        <w:rPr>
          <w:rFonts w:ascii="Arial" w:hAnsi="Arial" w:cs="Arial"/>
          <w:bCs/>
          <w:lang w:val="en-US"/>
        </w:rPr>
        <w:t> </w:t>
      </w:r>
      <w:r w:rsidR="006855F1" w:rsidRPr="00430A5E">
        <w:rPr>
          <w:rFonts w:ascii="Arial" w:hAnsi="Arial" w:cs="Arial"/>
          <w:bCs/>
          <w:lang w:val="en-US"/>
        </w:rPr>
        <w:t>s</w:t>
      </w:r>
      <w:r w:rsidR="002A4E8A" w:rsidRPr="00430A5E">
        <w:rPr>
          <w:rFonts w:ascii="Arial" w:hAnsi="Arial" w:cs="Arial"/>
          <w:bCs/>
          <w:lang w:val="en-US"/>
        </w:rPr>
        <w:t xml:space="preserve"> exposure time </w:t>
      </w:r>
      <w:r w:rsidR="002A6DB1" w:rsidRPr="00430A5E">
        <w:rPr>
          <w:rFonts w:ascii="Arial" w:hAnsi="Arial" w:cs="Arial"/>
          <w:bCs/>
          <w:lang w:val="en-US"/>
        </w:rPr>
        <w:t>the growth rate</w:t>
      </w:r>
      <w:r w:rsidR="002A4E8A" w:rsidRPr="00430A5E">
        <w:rPr>
          <w:rFonts w:ascii="Arial" w:hAnsi="Arial" w:cs="Arial"/>
          <w:bCs/>
          <w:lang w:val="en-US"/>
        </w:rPr>
        <w:t xml:space="preserve"> </w:t>
      </w:r>
      <w:r w:rsidR="002A6DB1" w:rsidRPr="00430A5E">
        <w:rPr>
          <w:rFonts w:ascii="Arial" w:hAnsi="Arial" w:cs="Arial"/>
          <w:bCs/>
          <w:lang w:val="en-US"/>
        </w:rPr>
        <w:t>was</w:t>
      </w:r>
      <w:r w:rsidR="002A4E8A" w:rsidRPr="00430A5E">
        <w:rPr>
          <w:rFonts w:ascii="Arial" w:hAnsi="Arial" w:cs="Arial"/>
          <w:bCs/>
          <w:lang w:val="en-US"/>
        </w:rPr>
        <w:t xml:space="preserve"> </w:t>
      </w:r>
      <w:r w:rsidR="00771D94" w:rsidRPr="00430A5E">
        <w:rPr>
          <w:rFonts w:ascii="Arial" w:hAnsi="Arial" w:cs="Arial"/>
          <w:bCs/>
          <w:i/>
          <w:lang w:val="en-US"/>
        </w:rPr>
        <w:t>µ</w:t>
      </w:r>
      <w:r w:rsidR="00771D94" w:rsidRPr="00430A5E">
        <w:rPr>
          <w:rFonts w:ascii="Arial" w:hAnsi="Arial" w:cs="Arial"/>
          <w:bCs/>
          <w:vertAlign w:val="subscript"/>
          <w:lang w:val="en-US"/>
        </w:rPr>
        <w:t>avg</w:t>
      </w:r>
      <w:r w:rsidR="00771D94" w:rsidRPr="00430A5E">
        <w:rPr>
          <w:rFonts w:ascii="Arial" w:hAnsi="Arial" w:cs="Arial"/>
          <w:bCs/>
          <w:lang w:val="en-US"/>
        </w:rPr>
        <w:t xml:space="preserve"> = </w:t>
      </w:r>
      <w:r w:rsidR="002A4E8A" w:rsidRPr="00430A5E">
        <w:rPr>
          <w:rFonts w:ascii="Arial" w:hAnsi="Arial" w:cs="Arial"/>
          <w:bCs/>
          <w:lang w:val="en-US"/>
        </w:rPr>
        <w:t>0.19 ± 0.03 h</w:t>
      </w:r>
      <w:r w:rsidR="002A4E8A" w:rsidRPr="00430A5E">
        <w:rPr>
          <w:rFonts w:ascii="Arial" w:hAnsi="Arial" w:cs="Arial"/>
          <w:bCs/>
          <w:vertAlign w:val="superscript"/>
          <w:lang w:val="en-US"/>
        </w:rPr>
        <w:t>-1</w:t>
      </w:r>
      <w:bookmarkStart w:id="11" w:name="_Hlk64924155"/>
      <w:r w:rsidR="00771D94" w:rsidRPr="00430A5E">
        <w:rPr>
          <w:rFonts w:ascii="Arial" w:hAnsi="Arial" w:cs="Arial"/>
          <w:bCs/>
          <w:lang w:val="en-US"/>
        </w:rPr>
        <w:t xml:space="preserve">. </w:t>
      </w:r>
      <w:r w:rsidR="00A86FD3" w:rsidRPr="00430A5E">
        <w:rPr>
          <w:rFonts w:ascii="Arial" w:hAnsi="Arial" w:cs="Arial"/>
          <w:bCs/>
          <w:lang w:val="en-US"/>
        </w:rPr>
        <w:t>However, only between no UV-A exposure (0</w:t>
      </w:r>
      <w:r w:rsidR="000E5ECE" w:rsidRPr="00430A5E">
        <w:rPr>
          <w:rFonts w:ascii="Arial" w:hAnsi="Arial" w:cs="Arial"/>
          <w:bCs/>
          <w:lang w:val="en-US"/>
        </w:rPr>
        <w:t> </w:t>
      </w:r>
      <w:r w:rsidR="00A86FD3" w:rsidRPr="00430A5E">
        <w:rPr>
          <w:rFonts w:ascii="Arial" w:hAnsi="Arial" w:cs="Arial"/>
          <w:bCs/>
          <w:lang w:val="en-US"/>
        </w:rPr>
        <w:t>s cIPTG) and all three exposure times a significant growth rate difference was found (p</w:t>
      </w:r>
      <w:r w:rsidR="000E5ECE" w:rsidRPr="00430A5E">
        <w:rPr>
          <w:rFonts w:ascii="Arial" w:hAnsi="Arial" w:cs="Arial"/>
          <w:bCs/>
          <w:lang w:val="en-US"/>
        </w:rPr>
        <w:t> </w:t>
      </w:r>
      <w:r w:rsidR="00A86FD3" w:rsidRPr="00430A5E">
        <w:rPr>
          <w:rFonts w:ascii="Arial" w:hAnsi="Arial" w:cs="Arial"/>
          <w:bCs/>
          <w:lang w:val="en-US"/>
        </w:rPr>
        <w:t>&lt;</w:t>
      </w:r>
      <w:r w:rsidR="000E5ECE" w:rsidRPr="00430A5E">
        <w:rPr>
          <w:rFonts w:ascii="Arial" w:hAnsi="Arial" w:cs="Arial"/>
          <w:bCs/>
          <w:lang w:val="en-US"/>
        </w:rPr>
        <w:t> </w:t>
      </w:r>
      <w:r w:rsidR="00A86FD3" w:rsidRPr="00430A5E">
        <w:rPr>
          <w:rFonts w:ascii="Arial" w:hAnsi="Arial" w:cs="Arial"/>
          <w:bCs/>
          <w:lang w:val="en-US"/>
        </w:rPr>
        <w:t>0.05). The difference in growth rate between 10</w:t>
      </w:r>
      <w:r w:rsidR="000E5ECE" w:rsidRPr="00430A5E">
        <w:rPr>
          <w:rFonts w:ascii="Arial" w:hAnsi="Arial" w:cs="Arial"/>
          <w:bCs/>
          <w:lang w:val="en-US"/>
        </w:rPr>
        <w:t> </w:t>
      </w:r>
      <w:r w:rsidR="00A86FD3" w:rsidRPr="00430A5E">
        <w:rPr>
          <w:rFonts w:ascii="Arial" w:hAnsi="Arial" w:cs="Arial"/>
          <w:bCs/>
          <w:lang w:val="en-US"/>
        </w:rPr>
        <w:t>s and 30</w:t>
      </w:r>
      <w:r w:rsidR="000E5ECE" w:rsidRPr="00430A5E">
        <w:rPr>
          <w:rFonts w:ascii="Arial" w:hAnsi="Arial" w:cs="Arial"/>
          <w:bCs/>
          <w:lang w:val="en-US"/>
        </w:rPr>
        <w:t> </w:t>
      </w:r>
      <w:r w:rsidR="00A86FD3" w:rsidRPr="00430A5E">
        <w:rPr>
          <w:rFonts w:ascii="Arial" w:hAnsi="Arial" w:cs="Arial"/>
          <w:bCs/>
          <w:lang w:val="en-US"/>
        </w:rPr>
        <w:t xml:space="preserve">s </w:t>
      </w:r>
      <w:r w:rsidR="000E5ECE" w:rsidRPr="00430A5E">
        <w:rPr>
          <w:rFonts w:ascii="Arial" w:hAnsi="Arial" w:cs="Arial"/>
          <w:bCs/>
          <w:lang w:val="en-US"/>
        </w:rPr>
        <w:t xml:space="preserve">exposure </w:t>
      </w:r>
      <w:r w:rsidR="00A86FD3" w:rsidRPr="00430A5E">
        <w:rPr>
          <w:rFonts w:ascii="Arial" w:hAnsi="Arial" w:cs="Arial"/>
          <w:bCs/>
          <w:lang w:val="en-US"/>
        </w:rPr>
        <w:t>(p</w:t>
      </w:r>
      <w:r w:rsidR="000E5ECE" w:rsidRPr="00430A5E">
        <w:rPr>
          <w:rFonts w:ascii="Arial" w:hAnsi="Arial" w:cs="Arial"/>
          <w:bCs/>
          <w:lang w:val="en-US"/>
        </w:rPr>
        <w:t> </w:t>
      </w:r>
      <w:r w:rsidR="00A86FD3" w:rsidRPr="00430A5E">
        <w:rPr>
          <w:rFonts w:ascii="Arial" w:hAnsi="Arial" w:cs="Arial"/>
          <w:bCs/>
          <w:lang w:val="en-US"/>
        </w:rPr>
        <w:t>=</w:t>
      </w:r>
      <w:r w:rsidR="000E5ECE" w:rsidRPr="00430A5E">
        <w:rPr>
          <w:rFonts w:ascii="Arial" w:hAnsi="Arial" w:cs="Arial"/>
          <w:bCs/>
          <w:lang w:val="en-US"/>
        </w:rPr>
        <w:t> 0.09)</w:t>
      </w:r>
      <w:r w:rsidR="00A86FD3" w:rsidRPr="00430A5E">
        <w:rPr>
          <w:rFonts w:ascii="Arial" w:hAnsi="Arial" w:cs="Arial"/>
          <w:bCs/>
          <w:lang w:val="en-US"/>
        </w:rPr>
        <w:t xml:space="preserve"> as well as between 30</w:t>
      </w:r>
      <w:r w:rsidR="000E5ECE" w:rsidRPr="00430A5E">
        <w:rPr>
          <w:rFonts w:ascii="Arial" w:hAnsi="Arial" w:cs="Arial"/>
          <w:bCs/>
          <w:lang w:val="en-US"/>
        </w:rPr>
        <w:t> </w:t>
      </w:r>
      <w:r w:rsidR="00A86FD3" w:rsidRPr="00430A5E">
        <w:rPr>
          <w:rFonts w:ascii="Arial" w:hAnsi="Arial" w:cs="Arial"/>
          <w:bCs/>
          <w:lang w:val="en-US"/>
        </w:rPr>
        <w:t>s and 60</w:t>
      </w:r>
      <w:r w:rsidR="000E5ECE" w:rsidRPr="00430A5E">
        <w:rPr>
          <w:rFonts w:ascii="Arial" w:hAnsi="Arial" w:cs="Arial"/>
          <w:bCs/>
          <w:lang w:val="en-US"/>
        </w:rPr>
        <w:t> </w:t>
      </w:r>
      <w:r w:rsidR="00A86FD3" w:rsidRPr="00430A5E">
        <w:rPr>
          <w:rFonts w:ascii="Arial" w:hAnsi="Arial" w:cs="Arial"/>
          <w:bCs/>
          <w:lang w:val="en-US"/>
        </w:rPr>
        <w:t>s</w:t>
      </w:r>
      <w:r w:rsidR="000E5ECE" w:rsidRPr="00430A5E">
        <w:rPr>
          <w:rFonts w:ascii="Arial" w:hAnsi="Arial" w:cs="Arial"/>
          <w:bCs/>
          <w:lang w:val="en-US"/>
        </w:rPr>
        <w:t xml:space="preserve"> exposure (p = 0.57)</w:t>
      </w:r>
      <w:r w:rsidR="00A86FD3" w:rsidRPr="00430A5E">
        <w:rPr>
          <w:rFonts w:ascii="Arial" w:hAnsi="Arial" w:cs="Arial"/>
          <w:bCs/>
          <w:lang w:val="en-US"/>
        </w:rPr>
        <w:t xml:space="preserve"> was not significant.  </w:t>
      </w:r>
      <w:bookmarkEnd w:id="11"/>
      <w:r w:rsidR="00771D94" w:rsidRPr="00430A5E">
        <w:rPr>
          <w:rFonts w:ascii="Arial" w:hAnsi="Arial" w:cs="Arial"/>
          <w:bCs/>
          <w:lang w:val="en-US"/>
        </w:rPr>
        <w:t>Yet, the standard deviation was</w:t>
      </w:r>
      <w:r w:rsidR="002A4E8A" w:rsidRPr="00430A5E">
        <w:rPr>
          <w:rFonts w:ascii="Arial" w:hAnsi="Arial" w:cs="Arial"/>
          <w:bCs/>
          <w:lang w:val="en-US"/>
        </w:rPr>
        <w:t xml:space="preserve"> greater for 10 s</w:t>
      </w:r>
      <w:r w:rsidR="00350B1F" w:rsidRPr="00430A5E">
        <w:rPr>
          <w:rFonts w:ascii="Arial" w:hAnsi="Arial" w:cs="Arial"/>
          <w:bCs/>
          <w:lang w:val="en-US"/>
        </w:rPr>
        <w:t>,</w:t>
      </w:r>
      <w:r w:rsidR="002A4E8A" w:rsidRPr="00430A5E">
        <w:rPr>
          <w:rFonts w:ascii="Arial" w:hAnsi="Arial" w:cs="Arial"/>
          <w:bCs/>
          <w:lang w:val="en-US"/>
        </w:rPr>
        <w:t xml:space="preserve"> which might be an indication that not all cIPTG molecules were uncaged after this short exposure time</w:t>
      </w:r>
      <w:r w:rsidR="0099496D" w:rsidRPr="00430A5E">
        <w:rPr>
          <w:rFonts w:ascii="Arial" w:hAnsi="Arial" w:cs="Arial"/>
          <w:bCs/>
          <w:lang w:val="en-US"/>
        </w:rPr>
        <w:t xml:space="preserve"> or not enough cIPTG was taken up by the cells</w:t>
      </w:r>
      <w:r w:rsidR="002A4E8A" w:rsidRPr="00430A5E">
        <w:rPr>
          <w:rFonts w:ascii="Arial" w:hAnsi="Arial" w:cs="Arial"/>
          <w:bCs/>
          <w:lang w:val="en-US"/>
        </w:rPr>
        <w:t xml:space="preserve"> and a more heterogeneous c</w:t>
      </w:r>
      <w:r w:rsidR="00FC0A75" w:rsidRPr="00430A5E">
        <w:rPr>
          <w:rFonts w:ascii="Arial" w:hAnsi="Arial" w:cs="Arial"/>
          <w:bCs/>
          <w:lang w:val="en-US"/>
        </w:rPr>
        <w:t>olony</w:t>
      </w:r>
      <w:r w:rsidR="002A4E8A" w:rsidRPr="00430A5E">
        <w:rPr>
          <w:rFonts w:ascii="Arial" w:hAnsi="Arial" w:cs="Arial"/>
          <w:bCs/>
          <w:lang w:val="en-US"/>
        </w:rPr>
        <w:t xml:space="preserve"> response was the result.</w:t>
      </w:r>
    </w:p>
    <w:p w14:paraId="274F0B06" w14:textId="6A0F693C" w:rsidR="00350B1F" w:rsidRPr="00430A5E" w:rsidRDefault="00350B1F" w:rsidP="00350B1F">
      <w:pPr>
        <w:spacing w:after="0" w:line="360" w:lineRule="auto"/>
        <w:jc w:val="both"/>
        <w:rPr>
          <w:rFonts w:ascii="Arial" w:hAnsi="Arial" w:cs="Arial"/>
          <w:lang w:val="en-US"/>
        </w:rPr>
      </w:pPr>
      <w:r w:rsidRPr="00430A5E">
        <w:rPr>
          <w:rFonts w:ascii="Arial" w:hAnsi="Arial" w:cs="Arial"/>
          <w:lang w:val="en-US"/>
        </w:rPr>
        <w:t>During microfluidic experiments, we also observed heterogeneous YFP expression in Δ</w:t>
      </w:r>
      <w:r w:rsidRPr="00430A5E">
        <w:rPr>
          <w:rFonts w:ascii="Arial" w:hAnsi="Arial" w:cs="Arial"/>
          <w:i/>
          <w:iCs/>
          <w:lang w:val="en-US"/>
        </w:rPr>
        <w:t xml:space="preserve">lysA </w:t>
      </w:r>
      <w:r w:rsidRPr="00430A5E">
        <w:rPr>
          <w:rFonts w:ascii="Arial" w:hAnsi="Arial" w:cs="Arial"/>
          <w:lang w:val="en-US"/>
        </w:rPr>
        <w:t xml:space="preserve">cells. To verify this, we measured the fluorescence distribution in </w:t>
      </w:r>
      <w:r w:rsidR="00445FA1" w:rsidRPr="00430A5E">
        <w:rPr>
          <w:rFonts w:ascii="Arial" w:hAnsi="Arial" w:cs="Arial"/>
          <w:i/>
          <w:lang w:val="en-US"/>
        </w:rPr>
        <w:t>C. glutamicum</w:t>
      </w:r>
      <w:r w:rsidR="00445FA1" w:rsidRPr="00430A5E">
        <w:rPr>
          <w:rFonts w:ascii="Arial" w:hAnsi="Arial" w:cs="Arial"/>
          <w:lang w:val="en-US"/>
        </w:rPr>
        <w:t xml:space="preserve"> </w:t>
      </w:r>
      <w:r w:rsidRPr="00430A5E">
        <w:rPr>
          <w:rFonts w:ascii="Arial" w:hAnsi="Arial" w:cs="Arial"/>
          <w:lang w:val="en-US"/>
        </w:rPr>
        <w:t>Δ</w:t>
      </w:r>
      <w:r w:rsidRPr="00430A5E">
        <w:rPr>
          <w:rFonts w:ascii="Arial" w:hAnsi="Arial" w:cs="Arial"/>
          <w:i/>
          <w:iCs/>
          <w:lang w:val="en-US"/>
        </w:rPr>
        <w:t xml:space="preserve">lysA </w:t>
      </w:r>
      <w:r w:rsidRPr="00430A5E">
        <w:rPr>
          <w:rFonts w:ascii="Arial" w:hAnsi="Arial" w:cs="Arial"/>
          <w:lang w:val="en-US"/>
        </w:rPr>
        <w:t xml:space="preserve">in the different co-culture experiments. Co-cultivation with </w:t>
      </w:r>
      <w:r w:rsidR="00445FA1" w:rsidRPr="00430A5E">
        <w:rPr>
          <w:rFonts w:ascii="Arial" w:hAnsi="Arial" w:cs="Arial"/>
          <w:i/>
          <w:lang w:val="en-US"/>
        </w:rPr>
        <w:t>C. glutamicum</w:t>
      </w:r>
      <w:r w:rsidR="00445FA1" w:rsidRPr="00430A5E">
        <w:rPr>
          <w:rFonts w:ascii="Arial" w:hAnsi="Arial" w:cs="Arial"/>
          <w:lang w:val="en-US"/>
        </w:rPr>
        <w:t xml:space="preserve"> </w:t>
      </w:r>
      <w:r w:rsidRPr="00430A5E">
        <w:rPr>
          <w:rFonts w:ascii="Arial" w:hAnsi="Arial" w:cs="Arial"/>
          <w:lang w:val="en-US"/>
        </w:rPr>
        <w:t xml:space="preserve">DM1800 </w:t>
      </w:r>
      <w:r w:rsidR="00476FD0" w:rsidRPr="00430A5E">
        <w:rPr>
          <w:rFonts w:ascii="Arial" w:hAnsi="Arial" w:cs="Arial"/>
          <w:lang w:val="en-US"/>
        </w:rPr>
        <w:t>or</w:t>
      </w:r>
      <w:r w:rsidRPr="00430A5E">
        <w:rPr>
          <w:rFonts w:ascii="Arial" w:hAnsi="Arial" w:cs="Arial"/>
          <w:lang w:val="en-US"/>
        </w:rPr>
        <w:t xml:space="preserve"> DM1727 </w:t>
      </w:r>
      <w:r w:rsidR="00A2155F" w:rsidRPr="00430A5E">
        <w:rPr>
          <w:rFonts w:ascii="Arial" w:hAnsi="Arial" w:cs="Arial"/>
          <w:lang w:val="en-US"/>
        </w:rPr>
        <w:t>pEKEx2-</w:t>
      </w:r>
      <w:r w:rsidR="00A2155F" w:rsidRPr="00430A5E">
        <w:rPr>
          <w:rFonts w:ascii="Arial" w:hAnsi="Arial" w:cs="Arial"/>
          <w:i/>
          <w:lang w:val="en-US"/>
        </w:rPr>
        <w:t>lysC</w:t>
      </w:r>
      <w:r w:rsidR="00A2155F" w:rsidRPr="00430A5E">
        <w:rPr>
          <w:rFonts w:ascii="Arial" w:hAnsi="Arial" w:cs="Arial"/>
          <w:lang w:val="en-US"/>
        </w:rPr>
        <w:t>-β</w:t>
      </w:r>
      <w:r w:rsidR="00A2155F" w:rsidRPr="00430A5E">
        <w:rPr>
          <w:rFonts w:ascii="Arial" w:hAnsi="Arial" w:cs="Arial"/>
          <w:vertAlign w:val="superscript"/>
          <w:lang w:val="en-US"/>
        </w:rPr>
        <w:t>FBR</w:t>
      </w:r>
      <w:r w:rsidR="00A2155F" w:rsidRPr="00430A5E">
        <w:rPr>
          <w:rFonts w:ascii="Arial" w:hAnsi="Arial" w:cs="Arial"/>
          <w:lang w:val="en-US"/>
        </w:rPr>
        <w:t xml:space="preserve"> </w:t>
      </w:r>
      <w:r w:rsidRPr="00430A5E">
        <w:rPr>
          <w:rFonts w:ascii="Arial" w:hAnsi="Arial" w:cs="Arial"/>
          <w:lang w:val="en-US"/>
        </w:rPr>
        <w:t xml:space="preserve">with IPTG induction revealed </w:t>
      </w:r>
      <w:r w:rsidR="00A914D2" w:rsidRPr="00430A5E">
        <w:rPr>
          <w:rFonts w:ascii="Arial" w:hAnsi="Arial" w:cs="Arial"/>
          <w:lang w:val="en-US"/>
        </w:rPr>
        <w:t xml:space="preserve">average </w:t>
      </w:r>
      <w:r w:rsidR="006A51C0" w:rsidRPr="00430A5E">
        <w:rPr>
          <w:rFonts w:ascii="Arial" w:hAnsi="Arial" w:cs="Arial"/>
          <w:lang w:val="en-US"/>
        </w:rPr>
        <w:t>coefficient</w:t>
      </w:r>
      <w:r w:rsidR="00A914D2" w:rsidRPr="00430A5E">
        <w:rPr>
          <w:rFonts w:ascii="Arial" w:hAnsi="Arial" w:cs="Arial"/>
          <w:lang w:val="en-US"/>
        </w:rPr>
        <w:t>s</w:t>
      </w:r>
      <w:r w:rsidR="006A51C0" w:rsidRPr="00430A5E">
        <w:rPr>
          <w:rFonts w:ascii="Arial" w:hAnsi="Arial" w:cs="Arial"/>
          <w:lang w:val="en-US"/>
        </w:rPr>
        <w:t xml:space="preserve"> of variation</w:t>
      </w:r>
      <w:r w:rsidR="00771D94" w:rsidRPr="00430A5E">
        <w:rPr>
          <w:rFonts w:ascii="Arial" w:hAnsi="Arial" w:cs="Arial"/>
          <w:lang w:val="en-US"/>
        </w:rPr>
        <w:t xml:space="preserve"> </w:t>
      </w:r>
      <w:r w:rsidR="006A51C0" w:rsidRPr="00430A5E">
        <w:rPr>
          <w:rFonts w:ascii="Arial" w:hAnsi="Arial" w:cs="Arial"/>
          <w:lang w:val="en-US"/>
        </w:rPr>
        <w:t>of</w:t>
      </w:r>
      <w:r w:rsidR="00A914D2" w:rsidRPr="00430A5E">
        <w:rPr>
          <w:rFonts w:ascii="Arial" w:hAnsi="Arial" w:cs="Arial"/>
          <w:lang w:val="en-US"/>
        </w:rPr>
        <w:t xml:space="preserve"> CV</w:t>
      </w:r>
      <w:r w:rsidR="000D1550" w:rsidRPr="00430A5E">
        <w:rPr>
          <w:rFonts w:ascii="Arial" w:hAnsi="Arial" w:cs="Arial"/>
          <w:lang w:val="en-US"/>
        </w:rPr>
        <w:t> = </w:t>
      </w:r>
      <w:r w:rsidR="006A51C0" w:rsidRPr="00430A5E">
        <w:rPr>
          <w:rFonts w:ascii="Arial" w:hAnsi="Arial" w:cs="Arial"/>
          <w:lang w:val="en-US"/>
        </w:rPr>
        <w:t>31</w:t>
      </w:r>
      <w:r w:rsidR="000D1550" w:rsidRPr="00430A5E">
        <w:rPr>
          <w:rFonts w:ascii="Arial" w:hAnsi="Arial" w:cs="Arial"/>
          <w:lang w:val="en-US"/>
        </w:rPr>
        <w:t> </w:t>
      </w:r>
      <w:r w:rsidR="006A51C0" w:rsidRPr="00430A5E">
        <w:rPr>
          <w:rFonts w:ascii="Arial" w:hAnsi="Arial" w:cs="Arial"/>
          <w:lang w:val="en-US"/>
        </w:rPr>
        <w:t xml:space="preserve">% and </w:t>
      </w:r>
      <w:r w:rsidR="00A914D2" w:rsidRPr="00430A5E">
        <w:rPr>
          <w:rFonts w:ascii="Arial" w:hAnsi="Arial" w:cs="Arial"/>
          <w:lang w:val="en-US"/>
        </w:rPr>
        <w:t>CV</w:t>
      </w:r>
      <w:r w:rsidR="000D1550" w:rsidRPr="00430A5E">
        <w:rPr>
          <w:rFonts w:ascii="Arial" w:hAnsi="Arial" w:cs="Arial"/>
          <w:lang w:val="en-US"/>
        </w:rPr>
        <w:t> </w:t>
      </w:r>
      <w:r w:rsidR="00A914D2" w:rsidRPr="00430A5E">
        <w:rPr>
          <w:rFonts w:ascii="Arial" w:hAnsi="Arial" w:cs="Arial"/>
          <w:lang w:val="en-US"/>
        </w:rPr>
        <w:t>=</w:t>
      </w:r>
      <w:r w:rsidR="000D1550" w:rsidRPr="00430A5E">
        <w:rPr>
          <w:rFonts w:ascii="Arial" w:hAnsi="Arial" w:cs="Arial"/>
          <w:lang w:val="en-US"/>
        </w:rPr>
        <w:t> </w:t>
      </w:r>
      <w:r w:rsidR="006A51C0" w:rsidRPr="00430A5E">
        <w:rPr>
          <w:rFonts w:ascii="Arial" w:hAnsi="Arial" w:cs="Arial"/>
          <w:lang w:val="en-US"/>
        </w:rPr>
        <w:t>3</w:t>
      </w:r>
      <w:r w:rsidR="00947AFE" w:rsidRPr="00430A5E">
        <w:rPr>
          <w:rFonts w:ascii="Arial" w:hAnsi="Arial" w:cs="Arial"/>
          <w:lang w:val="en-US"/>
        </w:rPr>
        <w:t>5</w:t>
      </w:r>
      <w:r w:rsidR="000D1550" w:rsidRPr="00430A5E">
        <w:rPr>
          <w:rFonts w:ascii="Arial" w:hAnsi="Arial" w:cs="Arial"/>
          <w:lang w:val="en-US"/>
        </w:rPr>
        <w:t> </w:t>
      </w:r>
      <w:r w:rsidR="006A51C0" w:rsidRPr="00430A5E">
        <w:rPr>
          <w:rFonts w:ascii="Arial" w:hAnsi="Arial" w:cs="Arial"/>
          <w:lang w:val="en-US"/>
        </w:rPr>
        <w:t>%</w:t>
      </w:r>
      <w:r w:rsidR="006B5A28" w:rsidRPr="00430A5E">
        <w:rPr>
          <w:rFonts w:ascii="Arial" w:hAnsi="Arial" w:cs="Arial"/>
          <w:lang w:val="en-US"/>
        </w:rPr>
        <w:t>, respectively</w:t>
      </w:r>
      <w:r w:rsidRPr="00430A5E">
        <w:rPr>
          <w:rFonts w:ascii="Arial" w:hAnsi="Arial" w:cs="Arial"/>
          <w:lang w:val="en-US"/>
        </w:rPr>
        <w:t xml:space="preserve"> (Figure S</w:t>
      </w:r>
      <w:r w:rsidR="00C02579" w:rsidRPr="00430A5E">
        <w:rPr>
          <w:rFonts w:ascii="Arial" w:hAnsi="Arial" w:cs="Arial"/>
          <w:lang w:val="en-US"/>
        </w:rPr>
        <w:t>6</w:t>
      </w:r>
      <w:r w:rsidRPr="00430A5E">
        <w:rPr>
          <w:rFonts w:ascii="Arial" w:hAnsi="Arial" w:cs="Arial"/>
          <w:lang w:val="en-US"/>
        </w:rPr>
        <w:t xml:space="preserve"> A,</w:t>
      </w:r>
      <w:r w:rsidR="003D068F" w:rsidRPr="00430A5E">
        <w:rPr>
          <w:rFonts w:ascii="Arial" w:hAnsi="Arial" w:cs="Arial"/>
          <w:lang w:val="en-US"/>
        </w:rPr>
        <w:t xml:space="preserve"> </w:t>
      </w:r>
      <w:r w:rsidRPr="00430A5E">
        <w:rPr>
          <w:rFonts w:ascii="Arial" w:hAnsi="Arial" w:cs="Arial"/>
          <w:lang w:val="en-US"/>
        </w:rPr>
        <w:t>B). Interestingly, heterogeneity in YFP expression was</w:t>
      </w:r>
      <w:r w:rsidR="006A51C0" w:rsidRPr="00430A5E">
        <w:rPr>
          <w:rFonts w:ascii="Arial" w:hAnsi="Arial" w:cs="Arial"/>
          <w:lang w:val="en-US"/>
        </w:rPr>
        <w:t xml:space="preserve"> the </w:t>
      </w:r>
      <w:r w:rsidR="00F75613" w:rsidRPr="00430A5E">
        <w:rPr>
          <w:rFonts w:ascii="Arial" w:hAnsi="Arial" w:cs="Arial"/>
          <w:lang w:val="en-US"/>
        </w:rPr>
        <w:t>highest when</w:t>
      </w:r>
      <w:r w:rsidRPr="00430A5E">
        <w:rPr>
          <w:rFonts w:ascii="Arial" w:hAnsi="Arial" w:cs="Arial"/>
          <w:lang w:val="en-US"/>
        </w:rPr>
        <w:t xml:space="preserve"> </w:t>
      </w:r>
      <w:r w:rsidR="00445FA1" w:rsidRPr="00430A5E">
        <w:rPr>
          <w:rFonts w:ascii="Arial" w:hAnsi="Arial" w:cs="Arial"/>
          <w:i/>
          <w:lang w:val="en-US"/>
        </w:rPr>
        <w:t>C. glutamicum</w:t>
      </w:r>
      <w:r w:rsidR="00445FA1" w:rsidRPr="00430A5E">
        <w:rPr>
          <w:rFonts w:ascii="Arial" w:hAnsi="Arial" w:cs="Arial"/>
          <w:lang w:val="en-US"/>
        </w:rPr>
        <w:t xml:space="preserve"> </w:t>
      </w:r>
      <w:r w:rsidRPr="00430A5E">
        <w:rPr>
          <w:rFonts w:ascii="Arial" w:hAnsi="Arial" w:cs="Arial"/>
          <w:lang w:val="en-US"/>
        </w:rPr>
        <w:t>Δ</w:t>
      </w:r>
      <w:r w:rsidRPr="00430A5E">
        <w:rPr>
          <w:rFonts w:ascii="Arial" w:hAnsi="Arial" w:cs="Arial"/>
          <w:i/>
          <w:iCs/>
          <w:lang w:val="en-US"/>
        </w:rPr>
        <w:t xml:space="preserve">lysA </w:t>
      </w:r>
      <w:r w:rsidRPr="00430A5E">
        <w:rPr>
          <w:rFonts w:ascii="Arial" w:hAnsi="Arial" w:cs="Arial"/>
          <w:lang w:val="en-US"/>
        </w:rPr>
        <w:t xml:space="preserve">was co-cultured with </w:t>
      </w:r>
      <w:r w:rsidR="00445FA1" w:rsidRPr="00430A5E">
        <w:rPr>
          <w:rFonts w:ascii="Arial" w:hAnsi="Arial" w:cs="Arial"/>
          <w:i/>
          <w:lang w:val="en-US"/>
        </w:rPr>
        <w:t>C. glutamicum</w:t>
      </w:r>
      <w:r w:rsidR="00445FA1" w:rsidRPr="00430A5E">
        <w:rPr>
          <w:rFonts w:ascii="Arial" w:hAnsi="Arial" w:cs="Arial"/>
          <w:lang w:val="en-US"/>
        </w:rPr>
        <w:t xml:space="preserve"> </w:t>
      </w:r>
      <w:r w:rsidRPr="00430A5E">
        <w:rPr>
          <w:rFonts w:ascii="Arial" w:hAnsi="Arial" w:cs="Arial"/>
          <w:lang w:val="en-US"/>
        </w:rPr>
        <w:t xml:space="preserve">DM1727 </w:t>
      </w:r>
      <w:r w:rsidR="00A2155F" w:rsidRPr="00430A5E">
        <w:rPr>
          <w:rFonts w:ascii="Arial" w:hAnsi="Arial" w:cs="Arial"/>
          <w:lang w:val="en-US"/>
        </w:rPr>
        <w:t>pEKEx2-</w:t>
      </w:r>
      <w:r w:rsidR="00A2155F" w:rsidRPr="00430A5E">
        <w:rPr>
          <w:rFonts w:ascii="Arial" w:hAnsi="Arial" w:cs="Arial"/>
          <w:i/>
          <w:lang w:val="en-US"/>
        </w:rPr>
        <w:t>lysC</w:t>
      </w:r>
      <w:r w:rsidR="00A2155F" w:rsidRPr="00430A5E">
        <w:rPr>
          <w:rFonts w:ascii="Arial" w:hAnsi="Arial" w:cs="Arial"/>
          <w:lang w:val="en-US"/>
        </w:rPr>
        <w:t>-β</w:t>
      </w:r>
      <w:r w:rsidR="00A2155F" w:rsidRPr="00430A5E">
        <w:rPr>
          <w:rFonts w:ascii="Arial" w:hAnsi="Arial" w:cs="Arial"/>
          <w:vertAlign w:val="superscript"/>
          <w:lang w:val="en-US"/>
        </w:rPr>
        <w:t>FBR</w:t>
      </w:r>
      <w:r w:rsidR="00A2155F" w:rsidRPr="00430A5E">
        <w:rPr>
          <w:rFonts w:ascii="Arial" w:hAnsi="Arial" w:cs="Arial"/>
          <w:lang w:val="en-US"/>
        </w:rPr>
        <w:t xml:space="preserve"> </w:t>
      </w:r>
      <w:r w:rsidRPr="00430A5E">
        <w:rPr>
          <w:rFonts w:ascii="Arial" w:hAnsi="Arial" w:cs="Arial"/>
          <w:lang w:val="en-US"/>
        </w:rPr>
        <w:t xml:space="preserve">and the </w:t>
      </w:r>
      <w:r w:rsidR="005B5379" w:rsidRPr="00430A5E">
        <w:rPr>
          <w:rFonts w:ascii="Arial" w:hAnsi="Arial" w:cs="Arial"/>
          <w:smallCaps/>
          <w:lang w:val="en-US"/>
        </w:rPr>
        <w:t>L</w:t>
      </w:r>
      <w:r w:rsidR="005B5379" w:rsidRPr="00430A5E">
        <w:rPr>
          <w:rFonts w:ascii="Arial" w:hAnsi="Arial" w:cs="Arial"/>
          <w:lang w:val="en-US"/>
        </w:rPr>
        <w:t>-</w:t>
      </w:r>
      <w:r w:rsidRPr="00430A5E">
        <w:rPr>
          <w:rFonts w:ascii="Arial" w:hAnsi="Arial" w:cs="Arial"/>
          <w:lang w:val="en-US"/>
        </w:rPr>
        <w:t>lysine production was induced with cIPTG</w:t>
      </w:r>
      <w:r w:rsidR="006A51C0" w:rsidRPr="00430A5E">
        <w:rPr>
          <w:rFonts w:ascii="Arial" w:hAnsi="Arial" w:cs="Arial"/>
          <w:lang w:val="en-US"/>
        </w:rPr>
        <w:t xml:space="preserve"> (</w:t>
      </w:r>
      <w:r w:rsidR="00A914D2" w:rsidRPr="00430A5E">
        <w:rPr>
          <w:rFonts w:ascii="Arial" w:hAnsi="Arial" w:cs="Arial"/>
          <w:lang w:val="en-US"/>
        </w:rPr>
        <w:t>CV</w:t>
      </w:r>
      <w:r w:rsidR="000D1550" w:rsidRPr="00430A5E">
        <w:rPr>
          <w:rFonts w:ascii="Arial" w:hAnsi="Arial" w:cs="Arial"/>
          <w:lang w:val="en-US"/>
        </w:rPr>
        <w:t> = </w:t>
      </w:r>
      <w:r w:rsidR="006A51C0" w:rsidRPr="00430A5E">
        <w:rPr>
          <w:rFonts w:ascii="Arial" w:hAnsi="Arial" w:cs="Arial"/>
          <w:lang w:val="en-US"/>
        </w:rPr>
        <w:t>3</w:t>
      </w:r>
      <w:r w:rsidR="000B3E40" w:rsidRPr="00430A5E">
        <w:rPr>
          <w:rFonts w:ascii="Arial" w:hAnsi="Arial" w:cs="Arial"/>
          <w:lang w:val="en-US"/>
        </w:rPr>
        <w:t>9</w:t>
      </w:r>
      <w:r w:rsidR="000D1550" w:rsidRPr="00430A5E">
        <w:rPr>
          <w:rFonts w:ascii="Arial" w:hAnsi="Arial" w:cs="Arial"/>
          <w:lang w:val="en-US"/>
        </w:rPr>
        <w:t> </w:t>
      </w:r>
      <w:r w:rsidR="006A51C0" w:rsidRPr="00430A5E">
        <w:rPr>
          <w:rFonts w:ascii="Arial" w:hAnsi="Arial" w:cs="Arial"/>
          <w:lang w:val="en-US"/>
        </w:rPr>
        <w:t xml:space="preserve">%) </w:t>
      </w:r>
      <w:r w:rsidRPr="00430A5E">
        <w:rPr>
          <w:rFonts w:ascii="Arial" w:hAnsi="Arial" w:cs="Arial"/>
          <w:lang w:val="en-US"/>
        </w:rPr>
        <w:lastRenderedPageBreak/>
        <w:t>(Figure S</w:t>
      </w:r>
      <w:r w:rsidR="00C02579" w:rsidRPr="00430A5E">
        <w:rPr>
          <w:rFonts w:ascii="Arial" w:hAnsi="Arial" w:cs="Arial"/>
          <w:lang w:val="en-US"/>
        </w:rPr>
        <w:t>6</w:t>
      </w:r>
      <w:r w:rsidRPr="00430A5E">
        <w:rPr>
          <w:rFonts w:ascii="Arial" w:hAnsi="Arial" w:cs="Arial"/>
          <w:lang w:val="en-US"/>
        </w:rPr>
        <w:t xml:space="preserve"> C). However, the fact that</w:t>
      </w:r>
      <w:r w:rsidR="00445FA1" w:rsidRPr="00430A5E">
        <w:rPr>
          <w:rFonts w:ascii="Arial" w:hAnsi="Arial" w:cs="Arial"/>
          <w:lang w:val="en-US"/>
        </w:rPr>
        <w:t xml:space="preserve"> the</w:t>
      </w:r>
      <w:r w:rsidRPr="00430A5E">
        <w:rPr>
          <w:rFonts w:ascii="Arial" w:hAnsi="Arial" w:cs="Arial"/>
          <w:lang w:val="en-US"/>
        </w:rPr>
        <w:t xml:space="preserve"> Δ</w:t>
      </w:r>
      <w:r w:rsidRPr="00430A5E">
        <w:rPr>
          <w:rFonts w:ascii="Arial" w:hAnsi="Arial" w:cs="Arial"/>
          <w:i/>
          <w:iCs/>
          <w:lang w:val="en-US"/>
        </w:rPr>
        <w:t xml:space="preserve">lysA </w:t>
      </w:r>
      <w:r w:rsidR="00445FA1" w:rsidRPr="00430A5E">
        <w:rPr>
          <w:rFonts w:ascii="Arial" w:hAnsi="Arial" w:cs="Arial"/>
          <w:iCs/>
          <w:lang w:val="en-US"/>
        </w:rPr>
        <w:t>strain</w:t>
      </w:r>
      <w:r w:rsidR="00445FA1" w:rsidRPr="00430A5E">
        <w:rPr>
          <w:rFonts w:ascii="Arial" w:hAnsi="Arial" w:cs="Arial"/>
          <w:i/>
          <w:iCs/>
          <w:lang w:val="en-US"/>
        </w:rPr>
        <w:t xml:space="preserve"> </w:t>
      </w:r>
      <w:r w:rsidRPr="00430A5E">
        <w:rPr>
          <w:rFonts w:ascii="Arial" w:hAnsi="Arial" w:cs="Arial"/>
          <w:lang w:val="en-US"/>
        </w:rPr>
        <w:t xml:space="preserve">is not expressing YFP in a homogeneous manner might influence the interpretation of fluorescence intensities in larger scale co-cultivations that we performed in </w:t>
      </w:r>
      <w:r w:rsidR="00BD4D85" w:rsidRPr="00430A5E">
        <w:rPr>
          <w:rFonts w:ascii="Arial" w:hAnsi="Arial" w:cs="Arial"/>
          <w:lang w:val="en-US"/>
        </w:rPr>
        <w:t xml:space="preserve">the </w:t>
      </w:r>
      <w:r w:rsidRPr="00430A5E">
        <w:rPr>
          <w:rFonts w:ascii="Arial" w:hAnsi="Arial" w:cs="Arial"/>
          <w:lang w:val="en-US"/>
        </w:rPr>
        <w:t>BioLector device (</w:t>
      </w:r>
      <w:r w:rsidR="00BD4D85" w:rsidRPr="00430A5E">
        <w:rPr>
          <w:rFonts w:ascii="Arial" w:hAnsi="Arial" w:cs="Arial"/>
          <w:lang w:val="en-US"/>
        </w:rPr>
        <w:t xml:space="preserve">cmp. Fig. </w:t>
      </w:r>
      <w:r w:rsidR="006B0862">
        <w:rPr>
          <w:rFonts w:ascii="Arial" w:hAnsi="Arial" w:cs="Arial"/>
          <w:lang w:val="en-US"/>
        </w:rPr>
        <w:t>1</w:t>
      </w:r>
      <w:r w:rsidRPr="00430A5E">
        <w:rPr>
          <w:rFonts w:ascii="Arial" w:hAnsi="Arial" w:cs="Arial"/>
          <w:lang w:val="en-US"/>
        </w:rPr>
        <w:t xml:space="preserve">) and a correlation between cell mass and fluorescence intensity might be </w:t>
      </w:r>
      <w:r w:rsidR="001967F0" w:rsidRPr="00430A5E">
        <w:rPr>
          <w:rFonts w:ascii="Arial" w:hAnsi="Arial" w:cs="Arial"/>
          <w:lang w:val="en-US"/>
        </w:rPr>
        <w:t>misleading</w:t>
      </w:r>
      <w:r w:rsidRPr="00430A5E">
        <w:rPr>
          <w:rFonts w:ascii="Arial" w:hAnsi="Arial" w:cs="Arial"/>
          <w:lang w:val="en-US"/>
        </w:rPr>
        <w:t>.</w:t>
      </w:r>
      <w:r w:rsidR="00300D96" w:rsidRPr="00430A5E">
        <w:rPr>
          <w:rFonts w:ascii="Arial" w:hAnsi="Arial" w:cs="Arial"/>
          <w:lang w:val="en-US"/>
        </w:rPr>
        <w:t xml:space="preserve"> </w:t>
      </w:r>
      <w:r w:rsidRPr="00430A5E">
        <w:rPr>
          <w:rFonts w:ascii="Arial" w:hAnsi="Arial" w:cs="Arial"/>
          <w:lang w:val="en-US"/>
        </w:rPr>
        <w:t xml:space="preserve">In contrast, microfluidic co-cultivations depict a more precise analysis of the co-culture with single cell numbers and fluorescence measurements with a high temporal resolution. </w:t>
      </w:r>
    </w:p>
    <w:p w14:paraId="77BA88E0" w14:textId="3CF4C98E" w:rsidR="00706E88" w:rsidRPr="00430A5E" w:rsidRDefault="001310FC" w:rsidP="007C437C">
      <w:pPr>
        <w:spacing w:after="0" w:line="360" w:lineRule="auto"/>
        <w:jc w:val="both"/>
        <w:rPr>
          <w:rFonts w:ascii="Arial" w:hAnsi="Arial" w:cs="Arial"/>
          <w:bCs/>
          <w:lang w:val="en-US"/>
        </w:rPr>
      </w:pPr>
      <w:r w:rsidRPr="00430A5E">
        <w:rPr>
          <w:rFonts w:ascii="Arial" w:hAnsi="Arial" w:cs="Arial"/>
          <w:bCs/>
          <w:lang w:val="en-US"/>
        </w:rPr>
        <w:t>The standard IPTG induction resulted in generally higher growth rates compared to light induction, even though only 15</w:t>
      </w:r>
      <w:r w:rsidR="001D4A77" w:rsidRPr="00430A5E">
        <w:rPr>
          <w:rFonts w:ascii="Arial" w:hAnsi="Arial" w:cs="Arial"/>
          <w:bCs/>
          <w:lang w:val="en-US"/>
        </w:rPr>
        <w:t> </w:t>
      </w:r>
      <w:r w:rsidRPr="00430A5E">
        <w:rPr>
          <w:rFonts w:ascii="Arial" w:hAnsi="Arial" w:cs="Arial"/>
          <w:bCs/>
          <w:lang w:val="en-US"/>
        </w:rPr>
        <w:t>µM IPTG was used comp</w:t>
      </w:r>
      <w:r w:rsidR="00C27E9D" w:rsidRPr="00430A5E">
        <w:rPr>
          <w:rFonts w:ascii="Arial" w:hAnsi="Arial" w:cs="Arial"/>
          <w:bCs/>
          <w:lang w:val="en-US"/>
        </w:rPr>
        <w:t>a</w:t>
      </w:r>
      <w:r w:rsidRPr="00430A5E">
        <w:rPr>
          <w:rFonts w:ascii="Arial" w:hAnsi="Arial" w:cs="Arial"/>
          <w:bCs/>
          <w:lang w:val="en-US"/>
        </w:rPr>
        <w:t>red to 100</w:t>
      </w:r>
      <w:r w:rsidR="001D4A77" w:rsidRPr="00430A5E">
        <w:rPr>
          <w:rFonts w:ascii="Arial" w:hAnsi="Arial" w:cs="Arial"/>
          <w:bCs/>
          <w:lang w:val="en-US"/>
        </w:rPr>
        <w:t> </w:t>
      </w:r>
      <w:r w:rsidRPr="00430A5E">
        <w:rPr>
          <w:rFonts w:ascii="Arial" w:hAnsi="Arial" w:cs="Arial"/>
          <w:bCs/>
          <w:lang w:val="en-US"/>
        </w:rPr>
        <w:t>µM cIPTG</w:t>
      </w:r>
      <w:r w:rsidR="0099496D" w:rsidRPr="00430A5E">
        <w:rPr>
          <w:rFonts w:ascii="Arial" w:hAnsi="Arial" w:cs="Arial"/>
          <w:bCs/>
          <w:lang w:val="en-US"/>
        </w:rPr>
        <w:t xml:space="preserve"> in the light-controlled experiments</w:t>
      </w:r>
      <w:r w:rsidRPr="00430A5E">
        <w:rPr>
          <w:rFonts w:ascii="Arial" w:hAnsi="Arial" w:cs="Arial"/>
          <w:bCs/>
          <w:lang w:val="en-US"/>
        </w:rPr>
        <w:t xml:space="preserve">. </w:t>
      </w:r>
      <w:r w:rsidR="00947F21" w:rsidRPr="00430A5E">
        <w:rPr>
          <w:rFonts w:ascii="Arial" w:hAnsi="Arial" w:cs="Arial"/>
          <w:bCs/>
          <w:lang w:val="en-US"/>
        </w:rPr>
        <w:t>The reason for this might be</w:t>
      </w:r>
      <w:r w:rsidR="001B1948" w:rsidRPr="00430A5E">
        <w:rPr>
          <w:rFonts w:ascii="Arial" w:hAnsi="Arial" w:cs="Arial"/>
          <w:bCs/>
          <w:lang w:val="en-US"/>
        </w:rPr>
        <w:t xml:space="preserve"> that </w:t>
      </w:r>
      <w:r w:rsidR="0099496D" w:rsidRPr="00430A5E">
        <w:rPr>
          <w:rFonts w:ascii="Arial" w:hAnsi="Arial" w:cs="Arial"/>
          <w:bCs/>
          <w:lang w:val="en-US"/>
        </w:rPr>
        <w:t>not enough cIPTG diffused into the cells leading to a weaker induction of the producer cells.</w:t>
      </w:r>
      <w:r w:rsidR="001B1948" w:rsidRPr="00430A5E">
        <w:rPr>
          <w:rFonts w:ascii="Arial" w:hAnsi="Arial" w:cs="Arial"/>
          <w:bCs/>
          <w:lang w:val="en-US"/>
        </w:rPr>
        <w:t xml:space="preserve"> </w:t>
      </w:r>
    </w:p>
    <w:p w14:paraId="5C1BB755" w14:textId="65E999BE" w:rsidR="00706E88" w:rsidRPr="00430A5E" w:rsidRDefault="00583BE4" w:rsidP="007C437C">
      <w:pPr>
        <w:spacing w:after="0" w:line="360" w:lineRule="auto"/>
        <w:jc w:val="both"/>
        <w:rPr>
          <w:rFonts w:ascii="Arial" w:hAnsi="Arial" w:cs="Arial"/>
          <w:lang w:val="en-US"/>
        </w:rPr>
      </w:pPr>
      <w:r w:rsidRPr="00430A5E">
        <w:rPr>
          <w:rFonts w:ascii="Arial" w:hAnsi="Arial" w:cs="Arial"/>
          <w:bCs/>
          <w:lang w:val="en-US"/>
        </w:rPr>
        <w:t>Control chambers without UV-A exposure showed a low growth rate</w:t>
      </w:r>
      <w:r w:rsidR="003C3F84" w:rsidRPr="00430A5E">
        <w:rPr>
          <w:rFonts w:ascii="Arial" w:hAnsi="Arial" w:cs="Arial"/>
          <w:bCs/>
          <w:lang w:val="en-US"/>
        </w:rPr>
        <w:t>, which might be caused by unintentionally uncaged IPTG molecules</w:t>
      </w:r>
      <w:r w:rsidR="00851BDC" w:rsidRPr="00430A5E">
        <w:rPr>
          <w:rFonts w:ascii="Arial" w:hAnsi="Arial" w:cs="Arial"/>
          <w:bCs/>
          <w:lang w:val="en-US"/>
        </w:rPr>
        <w:t xml:space="preserve"> or </w:t>
      </w:r>
      <w:r w:rsidR="006F2E45" w:rsidRPr="00430A5E">
        <w:rPr>
          <w:rFonts w:ascii="Arial" w:hAnsi="Arial" w:cs="Arial"/>
          <w:bCs/>
          <w:lang w:val="en-US"/>
        </w:rPr>
        <w:t xml:space="preserve">a </w:t>
      </w:r>
      <w:r w:rsidR="00851BDC" w:rsidRPr="00430A5E">
        <w:rPr>
          <w:rFonts w:ascii="Arial" w:hAnsi="Arial" w:cs="Arial"/>
          <w:bCs/>
          <w:lang w:val="en-US"/>
        </w:rPr>
        <w:t>not tightly regulated promotor</w:t>
      </w:r>
      <w:r w:rsidR="003C3F84" w:rsidRPr="00430A5E">
        <w:rPr>
          <w:rFonts w:ascii="Arial" w:hAnsi="Arial" w:cs="Arial"/>
          <w:bCs/>
          <w:lang w:val="en-US"/>
        </w:rPr>
        <w:t xml:space="preserve">. </w:t>
      </w:r>
    </w:p>
    <w:p w14:paraId="2540C2B6" w14:textId="12690E24" w:rsidR="008551DD" w:rsidRDefault="005C0995" w:rsidP="008551DD">
      <w:pPr>
        <w:spacing w:after="0" w:line="360" w:lineRule="auto"/>
        <w:jc w:val="both"/>
        <w:rPr>
          <w:rFonts w:ascii="Arial" w:eastAsia="Times New Roman" w:hAnsi="Arial" w:cs="Arial"/>
          <w:b/>
          <w:sz w:val="32"/>
          <w:szCs w:val="32"/>
          <w:lang w:val="en-US" w:eastAsia="de-DE"/>
        </w:rPr>
      </w:pPr>
      <w:r w:rsidRPr="00430A5E">
        <w:rPr>
          <w:rFonts w:ascii="Arial" w:hAnsi="Arial" w:cs="Arial"/>
          <w:lang w:val="en-US"/>
        </w:rPr>
        <w:t xml:space="preserve">Light control was successfully achieved by </w:t>
      </w:r>
      <w:r w:rsidR="00476FD0" w:rsidRPr="00430A5E">
        <w:rPr>
          <w:rFonts w:ascii="Arial" w:hAnsi="Arial" w:cs="Arial"/>
          <w:lang w:val="en-US"/>
        </w:rPr>
        <w:t xml:space="preserve">the </w:t>
      </w:r>
      <w:r w:rsidRPr="00430A5E">
        <w:rPr>
          <w:rFonts w:ascii="Arial" w:hAnsi="Arial" w:cs="Arial"/>
          <w:lang w:val="en-US"/>
        </w:rPr>
        <w:t xml:space="preserve">application of photocaged IPTG and </w:t>
      </w:r>
      <w:r w:rsidR="00476FD0" w:rsidRPr="00430A5E">
        <w:rPr>
          <w:rFonts w:ascii="Arial" w:hAnsi="Arial" w:cs="Arial"/>
          <w:lang w:val="en-US"/>
        </w:rPr>
        <w:t xml:space="preserve">UV-A </w:t>
      </w:r>
      <w:r w:rsidRPr="00430A5E">
        <w:rPr>
          <w:rFonts w:ascii="Arial" w:hAnsi="Arial" w:cs="Arial"/>
          <w:lang w:val="en-US"/>
        </w:rPr>
        <w:t xml:space="preserve">exposure of the microfluidic co-culture. Results revealed that different exposure times could be used in the future to gradually control the interaction as shorter exposure times led to lower growth rates of </w:t>
      </w:r>
      <w:r w:rsidR="00445FA1" w:rsidRPr="00430A5E">
        <w:rPr>
          <w:rFonts w:ascii="Arial" w:hAnsi="Arial" w:cs="Arial"/>
          <w:i/>
          <w:lang w:val="en-US"/>
        </w:rPr>
        <w:t>C. glutamicum</w:t>
      </w:r>
      <w:r w:rsidR="00445FA1" w:rsidRPr="00430A5E">
        <w:rPr>
          <w:rFonts w:ascii="Arial" w:hAnsi="Arial" w:cs="Arial"/>
          <w:lang w:val="en-US"/>
        </w:rPr>
        <w:t xml:space="preserve"> </w:t>
      </w:r>
      <w:r w:rsidRPr="00430A5E">
        <w:rPr>
          <w:rFonts w:ascii="Arial" w:hAnsi="Arial" w:cs="Arial"/>
          <w:lang w:val="en-US"/>
        </w:rPr>
        <w:t>Δ</w:t>
      </w:r>
      <w:r w:rsidRPr="00430A5E">
        <w:rPr>
          <w:rFonts w:ascii="Arial" w:hAnsi="Arial" w:cs="Arial"/>
          <w:i/>
          <w:iCs/>
          <w:lang w:val="en-US"/>
        </w:rPr>
        <w:t xml:space="preserve">lysA. </w:t>
      </w:r>
      <w:r w:rsidRPr="00430A5E">
        <w:rPr>
          <w:rFonts w:ascii="Arial" w:hAnsi="Arial" w:cs="Arial"/>
          <w:lang w:val="en-US"/>
        </w:rPr>
        <w:t xml:space="preserve">Photo-activation of </w:t>
      </w:r>
      <w:r w:rsidR="005B5379" w:rsidRPr="00430A5E">
        <w:rPr>
          <w:rFonts w:ascii="Arial" w:hAnsi="Arial" w:cs="Arial"/>
          <w:smallCaps/>
          <w:lang w:val="en-US"/>
        </w:rPr>
        <w:t>L</w:t>
      </w:r>
      <w:r w:rsidR="005B5379" w:rsidRPr="00430A5E">
        <w:rPr>
          <w:rFonts w:ascii="Arial" w:hAnsi="Arial" w:cs="Arial"/>
          <w:lang w:val="en-US"/>
        </w:rPr>
        <w:t>-</w:t>
      </w:r>
      <w:r w:rsidRPr="00430A5E">
        <w:rPr>
          <w:rFonts w:ascii="Arial" w:hAnsi="Arial" w:cs="Arial"/>
          <w:lang w:val="en-US"/>
        </w:rPr>
        <w:t xml:space="preserve">lysine </w:t>
      </w:r>
      <w:r w:rsidR="00AC2770" w:rsidRPr="00430A5E">
        <w:rPr>
          <w:rFonts w:ascii="Arial" w:hAnsi="Arial" w:cs="Arial"/>
          <w:lang w:val="en-US"/>
        </w:rPr>
        <w:t xml:space="preserve">producer cells </w:t>
      </w:r>
      <w:r w:rsidRPr="00430A5E">
        <w:rPr>
          <w:rFonts w:ascii="Arial" w:hAnsi="Arial" w:cs="Arial"/>
          <w:lang w:val="en-US"/>
        </w:rPr>
        <w:t xml:space="preserve">led to generally lower growth rates compared to standard IPTG induction but by adjusting </w:t>
      </w:r>
      <w:r w:rsidR="00476FD0" w:rsidRPr="00430A5E">
        <w:rPr>
          <w:rFonts w:ascii="Arial" w:hAnsi="Arial" w:cs="Arial"/>
          <w:lang w:val="en-US"/>
        </w:rPr>
        <w:t xml:space="preserve">the </w:t>
      </w:r>
      <w:r w:rsidRPr="00430A5E">
        <w:rPr>
          <w:rFonts w:ascii="Arial" w:hAnsi="Arial" w:cs="Arial"/>
          <w:lang w:val="en-US"/>
        </w:rPr>
        <w:t xml:space="preserve">cIPTG concentrations, exposure times and </w:t>
      </w:r>
      <w:r w:rsidR="00851BDC" w:rsidRPr="00430A5E">
        <w:rPr>
          <w:rFonts w:ascii="Arial" w:hAnsi="Arial" w:cs="Arial"/>
          <w:lang w:val="en-US"/>
        </w:rPr>
        <w:t xml:space="preserve">light </w:t>
      </w:r>
      <w:r w:rsidRPr="00430A5E">
        <w:rPr>
          <w:rFonts w:ascii="Arial" w:hAnsi="Arial" w:cs="Arial"/>
          <w:lang w:val="en-US"/>
        </w:rPr>
        <w:t xml:space="preserve">intensities similar growth rates </w:t>
      </w:r>
      <w:r w:rsidR="009D188E" w:rsidRPr="00430A5E">
        <w:rPr>
          <w:rFonts w:ascii="Arial" w:hAnsi="Arial" w:cs="Arial"/>
          <w:lang w:val="en-US"/>
        </w:rPr>
        <w:t>can</w:t>
      </w:r>
      <w:r w:rsidRPr="00430A5E">
        <w:rPr>
          <w:rFonts w:ascii="Arial" w:hAnsi="Arial" w:cs="Arial"/>
          <w:lang w:val="en-US"/>
        </w:rPr>
        <w:t xml:space="preserve"> be</w:t>
      </w:r>
      <w:r w:rsidR="009D188E" w:rsidRPr="00430A5E">
        <w:rPr>
          <w:rFonts w:ascii="Arial" w:hAnsi="Arial" w:cs="Arial"/>
          <w:lang w:val="en-US"/>
        </w:rPr>
        <w:t xml:space="preserve"> expected</w:t>
      </w:r>
      <w:r w:rsidR="00851BDC" w:rsidRPr="00430A5E">
        <w:rPr>
          <w:rFonts w:ascii="Arial" w:hAnsi="Arial" w:cs="Arial"/>
          <w:lang w:val="en-US"/>
        </w:rPr>
        <w:t xml:space="preserve"> as uncaging of cIPTG and cell induction is highly sensitive to these parameters</w:t>
      </w:r>
      <w:r w:rsidR="003D068F" w:rsidRPr="00430A5E">
        <w:rPr>
          <w:rFonts w:ascii="Arial" w:hAnsi="Arial" w:cs="Arial"/>
          <w:lang w:val="en-US"/>
        </w:rPr>
        <w:t>.</w:t>
      </w:r>
      <w:r w:rsidR="00851BDC" w:rsidRPr="00430A5E">
        <w:rPr>
          <w:rFonts w:ascii="Arial" w:hAnsi="Arial" w:cs="Arial"/>
          <w:lang w:val="en-US"/>
        </w:rPr>
        <w:fldChar w:fldCharType="begin" w:fldLock="1"/>
      </w:r>
      <w:r w:rsidR="00F74091">
        <w:rPr>
          <w:rFonts w:ascii="Arial" w:hAnsi="Arial" w:cs="Arial"/>
          <w:lang w:val="en-US"/>
        </w:rPr>
        <w:instrText>ADDIN CSL_CITATION {"citationItems":[{"id":"ITEM-1","itemData":{"DOI":"10.1186/s12934-016-0461-3","ISSN":"1475-2859","abstract":"Background: Inducible expression systems are frequently used for the production of heterologous proteins. Achieving maximum product concentrations requires induction profiling, namely the optimization of induction time and inducer concentration. However, the respective experiments can be very laborious and time-consuming. In this work, a new approach for induction profiling is presented where induction in a microtiter plate based cultivation system (BioLector) is achieved by light using photocaged isopropyl β-d-1-thiogalactopyranoside (cIPTG). Results: A flavin mononucleotide-based fluorescent reporter protein (FbFP) was expressed using a T7-RNA-polymerase dependent E. coli expression system which required IPTG as inducer. High power UV-A irradiation was directed into a microtiter plate by light-emitting diodes placed above each well of a 48-well plate. Upon UV irradiation, IPTG is released (uncaged) and induces product formation. IPTG uncaging, formation of the fluorescent reporter protein and biomass growth were monitored simultaneously in up to four 48-well microtiter plates in parallel with an in-house constructed BioLector screening system. The amount of released IPTG can be gradually and individually controlled for each well by duration of UV-A exposure, irradiance and concentration of photocaged IPTG added at the start of the cultivation. A comparison of experiments with either optical or conventional IPTG induction shows that product formation and growth are equivalent. Detailed induction profiles revealed that for the strain and conditions used maximum product formation is reached for very early induction times and with just 6-8 s of UV-A irradiation or 60-80 μM IPTG. Conclusions: Optical induction and online monitoring were successfully combined in a high-throughput screening system and the effect of optical induction with photocaged IPTG was shown to be equivalent to conventional induction with IPTG. In contrast to conventional induction, optical induction is less costly to parallelize, easy to automate, non-invasive and without risk of contamination. Therefore, light-induced gene expression with photocaged IPTG is a highly advantageous method for the efficient optimization of heterologous protein production and has the potential to replace conventional induction with IPTG.","author":[{"dropping-particle":"","family":"Wandrey","given":"Georg","non-dropping-particle":"","parse-names":false,"suffix":""},{"dropping-particle":"","family":"Bier","given":"Claus","non-dropping-particle":"","parse-names":false,"suffix":""},{"dropping-particle":"","family":"Binder","given":"Dennis","non-dropping-particle":"","parse-names":false,"suffix":""},{"dropping-particle":"","family":"Hoffmann","given":"Kyra","non-dropping-particle":"","parse-names":false,"suffix":""},{"dropping-particle":"","family":"Jaeger","given":"Karl-Erich","non-dropping-particle":"","parse-names":false,"suffix":""},{"dropping-particle":"","family":"Pietruszka","given":"Jörg","non-dropping-particle":"","parse-names":false,"suffix":""},{"dropping-particle":"","family":"Drepper","given":"Thomas","non-dropping-particle":"","parse-names":false,"suffix":""},{"dropping-particle":"","family":"Büchs","given":"Jochen","non-dropping-particle":"","parse-names":false,"suffix":""}],"container-title":"Microbial Cell Factories","id":"ITEM-1","issue":"1","issued":{"date-parts":[["2016","12","23"]]},"page":"63","publisher":"BioMed Central","title":"Light-induced gene expression with photocaged IPTG for induction profiling in a high-throughput screening system","type":"article-journal","volume":"15"},"uris":["http://www.mendeley.com/documents/?uuid=ec483897-8170-41c3-a90a-cd66cd4173a2"]}],"mendeley":{"formattedCitation":"&lt;sup&gt;41&lt;/sup&gt;","plainTextFormattedCitation":"41","previouslyFormattedCitation":"&lt;sup&gt;57&lt;/sup&gt;"},"properties":{"noteIndex":0},"schema":"https://github.com/citation-style-language/schema/raw/master/csl-citation.json"}</w:instrText>
      </w:r>
      <w:r w:rsidR="00851BDC" w:rsidRPr="00430A5E">
        <w:rPr>
          <w:rFonts w:ascii="Arial" w:hAnsi="Arial" w:cs="Arial"/>
          <w:lang w:val="en-US"/>
        </w:rPr>
        <w:fldChar w:fldCharType="separate"/>
      </w:r>
      <w:r w:rsidR="00F74091" w:rsidRPr="00F74091">
        <w:rPr>
          <w:rFonts w:ascii="Arial" w:hAnsi="Arial" w:cs="Arial"/>
          <w:noProof/>
          <w:vertAlign w:val="superscript"/>
          <w:lang w:val="en-US"/>
        </w:rPr>
        <w:t>41</w:t>
      </w:r>
      <w:r w:rsidR="00851BDC" w:rsidRPr="00430A5E">
        <w:rPr>
          <w:rFonts w:ascii="Arial" w:hAnsi="Arial" w:cs="Arial"/>
          <w:lang w:val="en-US"/>
        </w:rPr>
        <w:fldChar w:fldCharType="end"/>
      </w:r>
      <w:r w:rsidRPr="00430A5E">
        <w:rPr>
          <w:rFonts w:ascii="Arial" w:hAnsi="Arial" w:cs="Arial"/>
          <w:lang w:val="en-US"/>
        </w:rPr>
        <w:t xml:space="preserve"> The exposure of selected chambers </w:t>
      </w:r>
      <w:r w:rsidR="009D188E" w:rsidRPr="00430A5E">
        <w:rPr>
          <w:rFonts w:ascii="Arial" w:hAnsi="Arial" w:cs="Arial"/>
          <w:lang w:val="en-US"/>
        </w:rPr>
        <w:t>during microscopy</w:t>
      </w:r>
      <w:r w:rsidRPr="00430A5E">
        <w:rPr>
          <w:rFonts w:ascii="Arial" w:hAnsi="Arial" w:cs="Arial"/>
          <w:lang w:val="en-US"/>
        </w:rPr>
        <w:t xml:space="preserve"> </w:t>
      </w:r>
      <w:r w:rsidR="00A8482A" w:rsidRPr="00430A5E">
        <w:rPr>
          <w:rFonts w:ascii="Arial" w:hAnsi="Arial" w:cs="Arial"/>
          <w:lang w:val="en-US"/>
        </w:rPr>
        <w:t xml:space="preserve">and </w:t>
      </w:r>
      <w:r w:rsidR="009D188E" w:rsidRPr="00430A5E">
        <w:rPr>
          <w:rFonts w:ascii="Arial" w:hAnsi="Arial" w:cs="Arial"/>
          <w:lang w:val="en-US"/>
        </w:rPr>
        <w:t>the</w:t>
      </w:r>
      <w:r w:rsidR="00A8482A" w:rsidRPr="00430A5E">
        <w:rPr>
          <w:rFonts w:ascii="Arial" w:hAnsi="Arial" w:cs="Arial"/>
          <w:lang w:val="en-US"/>
        </w:rPr>
        <w:t xml:space="preserve"> subsequent analysis of single-cell growth gives precise insight</w:t>
      </w:r>
      <w:r w:rsidR="009D188E" w:rsidRPr="00430A5E">
        <w:rPr>
          <w:rFonts w:ascii="Arial" w:hAnsi="Arial" w:cs="Arial"/>
          <w:lang w:val="en-US"/>
        </w:rPr>
        <w:t>s</w:t>
      </w:r>
      <w:r w:rsidR="00A8482A" w:rsidRPr="00430A5E">
        <w:rPr>
          <w:rFonts w:ascii="Arial" w:hAnsi="Arial" w:cs="Arial"/>
          <w:lang w:val="en-US"/>
        </w:rPr>
        <w:t xml:space="preserve"> into strain interaction and shows that different synthetic biology tools can be combined to create </w:t>
      </w:r>
      <w:r w:rsidR="0052061E" w:rsidRPr="00430A5E">
        <w:rPr>
          <w:rFonts w:ascii="Arial" w:hAnsi="Arial" w:cs="Arial"/>
          <w:lang w:val="en-US"/>
        </w:rPr>
        <w:t>light</w:t>
      </w:r>
      <w:r w:rsidR="00A8482A" w:rsidRPr="00430A5E">
        <w:rPr>
          <w:rFonts w:ascii="Arial" w:hAnsi="Arial" w:cs="Arial"/>
          <w:lang w:val="en-US"/>
        </w:rPr>
        <w:t xml:space="preserve"> controlled consortia.</w:t>
      </w:r>
      <w:r w:rsidR="008551DD" w:rsidRPr="008551DD">
        <w:rPr>
          <w:rFonts w:ascii="Arial" w:eastAsia="Times New Roman" w:hAnsi="Arial" w:cs="Arial"/>
          <w:b/>
          <w:sz w:val="32"/>
          <w:szCs w:val="32"/>
          <w:lang w:val="en-US" w:eastAsia="de-DE"/>
        </w:rPr>
        <w:t xml:space="preserve"> </w:t>
      </w:r>
    </w:p>
    <w:p w14:paraId="11BE6013" w14:textId="77777777" w:rsidR="0012280A" w:rsidRPr="00430A5E" w:rsidRDefault="0012280A" w:rsidP="0012280A">
      <w:pPr>
        <w:keepNext/>
        <w:spacing w:after="0" w:line="360" w:lineRule="auto"/>
        <w:rPr>
          <w:rFonts w:ascii="Arial" w:hAnsi="Arial" w:cs="Arial"/>
          <w:lang w:val="en-US"/>
        </w:rPr>
      </w:pPr>
      <w:r w:rsidRPr="00430A5E">
        <w:rPr>
          <w:rFonts w:ascii="Arial" w:hAnsi="Arial" w:cs="Arial"/>
          <w:noProof/>
          <w:lang w:eastAsia="de-DE"/>
        </w:rPr>
        <w:lastRenderedPageBreak/>
        <w:drawing>
          <wp:inline distT="0" distB="0" distL="0" distR="0" wp14:anchorId="5CC275CD" wp14:editId="55C24BAC">
            <wp:extent cx="5628436" cy="570090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28436" cy="5700905"/>
                    </a:xfrm>
                    <a:prstGeom prst="rect">
                      <a:avLst/>
                    </a:prstGeom>
                    <a:noFill/>
                    <a:ln>
                      <a:noFill/>
                    </a:ln>
                  </pic:spPr>
                </pic:pic>
              </a:graphicData>
            </a:graphic>
          </wp:inline>
        </w:drawing>
      </w:r>
    </w:p>
    <w:p w14:paraId="4F787F8F" w14:textId="48B6ECC4" w:rsidR="0012280A" w:rsidRPr="00430A5E" w:rsidRDefault="0012280A" w:rsidP="0012280A">
      <w:pPr>
        <w:pStyle w:val="Beschriftung"/>
        <w:spacing w:line="360" w:lineRule="auto"/>
        <w:jc w:val="both"/>
        <w:rPr>
          <w:rFonts w:ascii="Arial" w:hAnsi="Arial" w:cs="Arial"/>
          <w:color w:val="auto"/>
          <w:lang w:val="en-US"/>
        </w:rPr>
      </w:pPr>
      <w:bookmarkStart w:id="12" w:name="_Hlk64924192"/>
      <w:r w:rsidRPr="00430A5E">
        <w:rPr>
          <w:rFonts w:ascii="Arial" w:hAnsi="Arial" w:cs="Arial"/>
          <w:b/>
          <w:bCs/>
          <w:color w:val="auto"/>
          <w:lang w:val="en-US"/>
        </w:rPr>
        <w:t xml:space="preserve">Figure </w:t>
      </w:r>
      <w:r w:rsidR="006B0862">
        <w:rPr>
          <w:rFonts w:ascii="Arial" w:hAnsi="Arial" w:cs="Arial"/>
          <w:b/>
          <w:bCs/>
          <w:color w:val="auto"/>
          <w:lang w:val="en-US"/>
        </w:rPr>
        <w:t>3</w:t>
      </w:r>
      <w:r w:rsidRPr="00430A5E">
        <w:rPr>
          <w:rFonts w:ascii="Arial" w:hAnsi="Arial" w:cs="Arial"/>
          <w:color w:val="auto"/>
          <w:lang w:val="en-US"/>
        </w:rPr>
        <w:t xml:space="preserve"> Optochemically-controlled interaction with photocaged IPTG as inducer for </w:t>
      </w:r>
      <w:r w:rsidRPr="00430A5E">
        <w:rPr>
          <w:rFonts w:ascii="Arial" w:hAnsi="Arial" w:cs="Arial"/>
          <w:smallCaps/>
          <w:color w:val="auto"/>
          <w:lang w:val="en-US"/>
        </w:rPr>
        <w:t>L</w:t>
      </w:r>
      <w:r w:rsidRPr="00430A5E">
        <w:rPr>
          <w:rFonts w:ascii="Arial" w:hAnsi="Arial" w:cs="Arial"/>
          <w:color w:val="auto"/>
          <w:lang w:val="en-US"/>
        </w:rPr>
        <w:t>-lysine production. (A) For the optochemical control, 100 µM caged IPTG was added to the medium of a C. glutamicum ΔlysA and DM1727 pEKEx2-lysC-β</w:t>
      </w:r>
      <w:r w:rsidRPr="00430A5E">
        <w:rPr>
          <w:rFonts w:ascii="Arial" w:hAnsi="Arial" w:cs="Arial"/>
          <w:color w:val="auto"/>
          <w:vertAlign w:val="superscript"/>
          <w:lang w:val="en-US"/>
        </w:rPr>
        <w:t>FBR</w:t>
      </w:r>
      <w:r w:rsidRPr="00430A5E">
        <w:rPr>
          <w:rFonts w:ascii="Arial" w:hAnsi="Arial" w:cs="Arial"/>
          <w:color w:val="auto"/>
          <w:lang w:val="en-US"/>
        </w:rPr>
        <w:t xml:space="preserve"> co-culture. Upon UV-A </w:t>
      </w:r>
      <w:bookmarkStart w:id="13" w:name="_Hlk59201613"/>
      <w:r w:rsidRPr="00430A5E">
        <w:rPr>
          <w:rFonts w:ascii="Arial" w:hAnsi="Arial" w:cs="Arial"/>
          <w:color w:val="auto"/>
          <w:lang w:val="en-US"/>
        </w:rPr>
        <w:t xml:space="preserve">exposure (λ = 360 nm, I=1,2 µW) the </w:t>
      </w:r>
      <w:bookmarkEnd w:id="13"/>
      <w:r w:rsidRPr="00430A5E">
        <w:rPr>
          <w:rFonts w:ascii="Arial" w:hAnsi="Arial" w:cs="Arial"/>
          <w:color w:val="auto"/>
          <w:lang w:val="en-US"/>
        </w:rPr>
        <w:t xml:space="preserve">protection group is released and IPTG can induce </w:t>
      </w:r>
      <w:r w:rsidRPr="00430A5E">
        <w:rPr>
          <w:rFonts w:ascii="Arial" w:hAnsi="Arial" w:cs="Arial"/>
          <w:smallCaps/>
          <w:color w:val="auto"/>
          <w:lang w:val="en-US"/>
        </w:rPr>
        <w:t>L</w:t>
      </w:r>
      <w:r w:rsidRPr="00430A5E">
        <w:rPr>
          <w:rFonts w:ascii="Arial" w:hAnsi="Arial" w:cs="Arial"/>
          <w:color w:val="auto"/>
          <w:lang w:val="en-US"/>
        </w:rPr>
        <w:t>-lysine production in DM1727 pEKEx2-lysC-β</w:t>
      </w:r>
      <w:r w:rsidRPr="00430A5E">
        <w:rPr>
          <w:rFonts w:ascii="Arial" w:hAnsi="Arial" w:cs="Arial"/>
          <w:color w:val="auto"/>
          <w:vertAlign w:val="superscript"/>
          <w:lang w:val="en-US"/>
        </w:rPr>
        <w:t>FBR</w:t>
      </w:r>
      <w:r w:rsidRPr="00430A5E">
        <w:rPr>
          <w:rFonts w:ascii="Arial" w:hAnsi="Arial" w:cs="Arial"/>
          <w:color w:val="auto"/>
          <w:lang w:val="en-US"/>
        </w:rPr>
        <w:t>, which feeds the ΔlysA strain. (B) Molecular structure and uncaging mechanism of NP-photocaged IPTG (cIPTG) as described by Young and Deiters.</w:t>
      </w:r>
      <w:r w:rsidRPr="00430A5E">
        <w:rPr>
          <w:rFonts w:ascii="Arial" w:hAnsi="Arial" w:cs="Arial"/>
          <w:color w:val="auto"/>
          <w:lang w:val="en-US"/>
        </w:rPr>
        <w:fldChar w:fldCharType="begin" w:fldLock="1"/>
      </w:r>
      <w:r>
        <w:rPr>
          <w:rFonts w:ascii="Arial" w:hAnsi="Arial" w:cs="Arial"/>
          <w:color w:val="auto"/>
          <w:lang w:val="en-US"/>
        </w:rPr>
        <w:instrText>ADDIN CSL_CITATION {"citationItems":[{"id":"ITEM-1","itemData":{"DOI":"10.1002/anie.200700057","ISSN":"14337851","abstract":"Turning genes on with light: Photochemical control of gene expression is a versatile tool for the elucidation of biological processes and the programming of new biological functions. Activation of protein expression in prokaryotic cells through light irradiation is achieved through a photocaged small molecule. Spatiotemporal regulation of the lac operon was obtained through the application of a photocaged isopropyl-β-D-thiogalactopyranoside derivative. (Figure Presented) © 2007 Wiley-VCH Verlag GmbH &amp; Co. KGaA.","author":[{"dropping-particle":"","family":"Young","given":"Douglas D.","non-dropping-particle":"","parse-names":false,"suffix":""},{"dropping-particle":"","family":"Deiters","given":"Alexander","non-dropping-particle":"","parse-names":false,"suffix":""}],"container-title":"Angewandte Chemie - International Edition","id":"ITEM-1","issue":"23","issued":{"date-parts":[["2007"]]},"page":"4290-4292","title":"Photochemical activation of protein expression in bacterial cells","type":"article-journal","volume":"46"},"uris":["http://www.mendeley.com/documents/?uuid=5f200af3-1e3d-4ff1-8d78-39537f817fd4"]}],"mendeley":{"formattedCitation":"&lt;sup&gt;38&lt;/sup&gt;","plainTextFormattedCitation":"38","previouslyFormattedCitation":"&lt;sup&gt;41&lt;/sup&gt;"},"properties":{"noteIndex":0},"schema":"https://github.com/citation-style-language/schema/raw/master/csl-citation.json"}</w:instrText>
      </w:r>
      <w:r w:rsidRPr="00430A5E">
        <w:rPr>
          <w:rFonts w:ascii="Arial" w:hAnsi="Arial" w:cs="Arial"/>
          <w:color w:val="auto"/>
          <w:lang w:val="en-US"/>
        </w:rPr>
        <w:fldChar w:fldCharType="separate"/>
      </w:r>
      <w:r w:rsidRPr="00F74091">
        <w:rPr>
          <w:rFonts w:ascii="Arial" w:hAnsi="Arial" w:cs="Arial"/>
          <w:i w:val="0"/>
          <w:noProof/>
          <w:color w:val="auto"/>
          <w:vertAlign w:val="superscript"/>
          <w:lang w:val="en-US"/>
        </w:rPr>
        <w:t>38</w:t>
      </w:r>
      <w:r w:rsidRPr="00430A5E">
        <w:rPr>
          <w:rFonts w:ascii="Arial" w:hAnsi="Arial" w:cs="Arial"/>
          <w:color w:val="auto"/>
          <w:lang w:val="en-US"/>
        </w:rPr>
        <w:fldChar w:fldCharType="end"/>
      </w:r>
      <w:r w:rsidRPr="00430A5E">
        <w:rPr>
          <w:rFonts w:ascii="Arial" w:hAnsi="Arial" w:cs="Arial"/>
          <w:color w:val="auto"/>
          <w:lang w:val="en-US"/>
        </w:rPr>
        <w:t xml:space="preserve"> (C) Microscopic time-lapse images showing the cell monolayer of the L-lysine auxotrophic strain in the microfluidic co-culture chamber. Images revealed the growth of C. glutamicum ΔlysA when the chamber was shortly exposed to UV-A light (left). No UV-A exposure resulted in no growth of the ΔlysA strain (right). </w:t>
      </w:r>
      <w:bookmarkStart w:id="14" w:name="_Hlk58789253"/>
      <w:r w:rsidRPr="00430A5E">
        <w:rPr>
          <w:rFonts w:ascii="Arial" w:hAnsi="Arial" w:cs="Arial"/>
          <w:color w:val="auto"/>
          <w:lang w:val="en-US"/>
        </w:rPr>
        <w:t>Scale bars = 10 µm. (D) Comparison of average growth rates of C. glutamicum ΔlysA under different co-culture conditions with C. glutamicum DM1727 pEKEx2-lysC-β</w:t>
      </w:r>
      <w:r w:rsidRPr="00430A5E">
        <w:rPr>
          <w:rFonts w:ascii="Arial" w:hAnsi="Arial" w:cs="Arial"/>
          <w:color w:val="auto"/>
          <w:vertAlign w:val="superscript"/>
          <w:lang w:val="en-US"/>
        </w:rPr>
        <w:t>FBR</w:t>
      </w:r>
      <w:r w:rsidRPr="00430A5E">
        <w:rPr>
          <w:rFonts w:ascii="Arial" w:hAnsi="Arial" w:cs="Arial"/>
          <w:color w:val="auto"/>
          <w:lang w:val="en-US"/>
        </w:rPr>
        <w:t xml:space="preserve">. For each condition eight chambers from two independent experiments were analyzed. </w:t>
      </w:r>
      <w:bookmarkEnd w:id="14"/>
      <w:r w:rsidRPr="00430A5E">
        <w:rPr>
          <w:rFonts w:ascii="Arial" w:hAnsi="Arial" w:cs="Arial"/>
          <w:color w:val="auto"/>
          <w:lang w:val="en-US"/>
        </w:rPr>
        <w:t>Significant differences (p &lt; 0.05) are indicated by stars.</w:t>
      </w:r>
    </w:p>
    <w:bookmarkEnd w:id="12"/>
    <w:p w14:paraId="46D9B029" w14:textId="77777777" w:rsidR="00EE4E14" w:rsidRDefault="00EE4E14" w:rsidP="00EE4E14">
      <w:pPr>
        <w:shd w:val="clear" w:color="auto" w:fill="FFFFFF"/>
        <w:spacing w:after="0" w:line="360" w:lineRule="auto"/>
        <w:jc w:val="both"/>
        <w:rPr>
          <w:rFonts w:ascii="Arial" w:eastAsia="Times New Roman" w:hAnsi="Arial" w:cs="Arial"/>
          <w:b/>
          <w:sz w:val="32"/>
          <w:szCs w:val="32"/>
          <w:lang w:val="en-US" w:eastAsia="de-DE"/>
        </w:rPr>
      </w:pPr>
    </w:p>
    <w:p w14:paraId="6AB72F5A" w14:textId="77777777" w:rsidR="0012280A" w:rsidRDefault="0012280A" w:rsidP="00EE4E14">
      <w:pPr>
        <w:shd w:val="clear" w:color="auto" w:fill="FFFFFF"/>
        <w:spacing w:after="0" w:line="360" w:lineRule="auto"/>
        <w:jc w:val="both"/>
        <w:rPr>
          <w:rFonts w:ascii="Arial" w:eastAsia="Times New Roman" w:hAnsi="Arial" w:cs="Arial"/>
          <w:b/>
          <w:sz w:val="32"/>
          <w:szCs w:val="32"/>
          <w:lang w:val="en-US" w:eastAsia="de-DE"/>
        </w:rPr>
      </w:pPr>
    </w:p>
    <w:p w14:paraId="2BE5DBBC" w14:textId="24765568" w:rsidR="00EE4E14" w:rsidRPr="00430A5E" w:rsidRDefault="00EE4E14" w:rsidP="00EE4E14">
      <w:pPr>
        <w:shd w:val="clear" w:color="auto" w:fill="FFFFFF"/>
        <w:spacing w:after="0" w:line="360" w:lineRule="auto"/>
        <w:jc w:val="both"/>
        <w:rPr>
          <w:rFonts w:ascii="Arial" w:eastAsia="Times New Roman" w:hAnsi="Arial" w:cs="Arial"/>
          <w:b/>
          <w:sz w:val="32"/>
          <w:szCs w:val="32"/>
          <w:lang w:val="en-US" w:eastAsia="de-DE"/>
        </w:rPr>
      </w:pPr>
      <w:r w:rsidRPr="00430A5E">
        <w:rPr>
          <w:rFonts w:ascii="Arial" w:eastAsia="Times New Roman" w:hAnsi="Arial" w:cs="Arial"/>
          <w:b/>
          <w:sz w:val="32"/>
          <w:szCs w:val="32"/>
          <w:lang w:val="en-US" w:eastAsia="de-DE"/>
        </w:rPr>
        <w:lastRenderedPageBreak/>
        <w:t>Future challenges</w:t>
      </w:r>
    </w:p>
    <w:p w14:paraId="2C2B8088" w14:textId="4F31E8FA" w:rsidR="00EE4E14" w:rsidRPr="00430A5E" w:rsidRDefault="00EE4E14" w:rsidP="00EE4E14">
      <w:pPr>
        <w:shd w:val="clear" w:color="auto" w:fill="FFFFFF"/>
        <w:spacing w:after="0" w:line="360" w:lineRule="auto"/>
        <w:jc w:val="both"/>
        <w:rPr>
          <w:rFonts w:ascii="Arial" w:hAnsi="Arial" w:cs="Arial"/>
          <w:bCs/>
          <w:lang w:val="en-US"/>
        </w:rPr>
      </w:pPr>
      <w:r w:rsidRPr="00430A5E">
        <w:rPr>
          <w:rFonts w:ascii="Arial" w:hAnsi="Arial" w:cs="Arial"/>
          <w:bCs/>
          <w:lang w:val="en-US"/>
        </w:rPr>
        <w:t>Microfluidic single-cell analysis enables new insights into cell dynamics under defined and constant conditions</w:t>
      </w:r>
      <w:r w:rsidRPr="00430A5E">
        <w:rPr>
          <w:rFonts w:ascii="Arial" w:hAnsi="Arial" w:cs="Arial"/>
          <w:bCs/>
          <w:lang w:val="en-US"/>
        </w:rPr>
        <w:fldChar w:fldCharType="begin" w:fldLock="1"/>
      </w:r>
      <w:r w:rsidR="00F74091">
        <w:rPr>
          <w:rFonts w:ascii="Arial" w:hAnsi="Arial" w:cs="Arial"/>
          <w:bCs/>
          <w:lang w:val="en-US"/>
        </w:rPr>
        <w:instrText>ADDIN CSL_CITATION {"citationItems":[{"id":"ITEM-1","itemData":{"DOI":"10.1039/c9ra02454a","ISSN":"20462069","abstract":"Growth is one of the most fundamental characteristics of life, but detailed knowledge regarding growth at nutrient limiting conditions remains scarce. In recent years progress in microfluidic single-cell analysis and cultivation techniques has given insights into many fundamental growth characteristics such as growth homeostasis, aging and cell division of microbial cells. Using microfluidic single-cell cultivation technologies we examined how single-cell growth at defined carbon conditions, ranging from strongly limiting conditions (0.01 mmol L-1) to a carbon surplus (100 mmol L-1), influenced cell-to-cell variability. The experiments showed robust growth of populations at intermediate concentrations and cell-to-cell variability was higher at low and high carbon concentrations, among an isogenic population. Single-cell growth at extremely limiting conditions led not only to significant variability of division times, but also to an increased number of cells that did not pursue growth. Overall, the results demonstrate that cellular behaviour shows robust, Monod-like growth, with significant cell-to-cell heterogeneity at extreme limiting conditions, resembling natural habitats. Due to this significant influence of the environment on cellular physiology, more carefulness needs to be given future microfluidic single-cell experiments. Consequently, our results lay the foundation for the re-interpretation and design of workflows for future experiments aiming at an improved understanding of cell growth mechanisms.","author":[{"dropping-particle":"","family":"Lindemann","given":"Dorina","non-dropping-particle":"","parse-names":false,"suffix":""},{"dropping-particle":"","family":"Westerwalbesloh","given":"Christoph","non-dropping-particle":"","parse-names":false,"suffix":""},{"dropping-particle":"","family":"Kohlheyer","given":"Dietrich","non-dropping-particle":"","parse-names":false,"suffix":""},{"dropping-particle":"","family":"Grünberger","given":"Alexander","non-dropping-particle":"","parse-names":false,"suffix":""},{"dropping-particle":"","family":"Lieres","given":"Eric","non-dropping-particle":"Von","parse-names":false,"suffix":""}],"container-title":"RSC Advances","id":"ITEM-1","issue":"25","issued":{"date-parts":[["2019"]]},"page":"14040-14050","title":"Microbial single-cell growth response at defined carbon limiting conditions","type":"article-journal","volume":"9"},"uris":["http://www.mendeley.com/documents/?uuid=6f1662ef-9d47-408e-a974-fe2802364491"]}],"mendeley":{"formattedCitation":"&lt;sup&gt;42&lt;/sup&gt;","plainTextFormattedCitation":"42","previouslyFormattedCitation":"&lt;sup&gt;58&lt;/sup&gt;"},"properties":{"noteIndex":0},"schema":"https://github.com/citation-style-language/schema/raw/master/csl-citation.json"}</w:instrText>
      </w:r>
      <w:r w:rsidRPr="00430A5E">
        <w:rPr>
          <w:rFonts w:ascii="Arial" w:hAnsi="Arial" w:cs="Arial"/>
          <w:bCs/>
          <w:lang w:val="en-US"/>
        </w:rPr>
        <w:fldChar w:fldCharType="separate"/>
      </w:r>
      <w:r w:rsidR="00F74091" w:rsidRPr="00F74091">
        <w:rPr>
          <w:rFonts w:ascii="Arial" w:hAnsi="Arial" w:cs="Arial"/>
          <w:bCs/>
          <w:noProof/>
          <w:vertAlign w:val="superscript"/>
          <w:lang w:val="en-US"/>
        </w:rPr>
        <w:t>42</w:t>
      </w:r>
      <w:r w:rsidRPr="00430A5E">
        <w:rPr>
          <w:rFonts w:ascii="Arial" w:hAnsi="Arial" w:cs="Arial"/>
          <w:bCs/>
          <w:lang w:val="en-US"/>
        </w:rPr>
        <w:fldChar w:fldCharType="end"/>
      </w:r>
      <w:r w:rsidRPr="00430A5E">
        <w:rPr>
          <w:rFonts w:ascii="Arial" w:hAnsi="Arial" w:cs="Arial"/>
          <w:bCs/>
          <w:lang w:val="en-US"/>
        </w:rPr>
        <w:t xml:space="preserve"> or batch conditions.</w:t>
      </w:r>
      <w:r w:rsidRPr="00430A5E">
        <w:rPr>
          <w:rFonts w:ascii="Arial" w:hAnsi="Arial" w:cs="Arial"/>
          <w:bCs/>
          <w:lang w:val="en-US"/>
        </w:rPr>
        <w:fldChar w:fldCharType="begin" w:fldLock="1"/>
      </w:r>
      <w:r w:rsidR="00F74091">
        <w:rPr>
          <w:rFonts w:ascii="Arial" w:hAnsi="Arial" w:cs="Arial"/>
          <w:bCs/>
          <w:lang w:val="en-US"/>
        </w:rPr>
        <w:instrText>ADDIN CSL_CITATION {"citationItems":[{"id":"ITEM-1","itemData":{"DOI":"10.1016/j.nbt.2018.01.009","ISSN":"18716784","abstract":"Microfluidics has enabled various research projects in the field of microbial single-cell analysis. In particular, single-use microfluidic cultivation devices combined with automated time-lapse imaging provide powerful approaches for analyzing microbial phenomena at the single-cell level. High spatiotemporal resolution facilitates individual cell identification and tracking, delivering detailed insights into areas like phenotypic population heterogeneity, which can be highly relevant to the fate of a microbial population and may negatively impact the efficiency of biotechnological fermentations. New tools need to be developed to access the origin of population heterogeneity and understand its functional role. In this study, we present a microfluidic device for batch cultivations inside picoliter-sized cultivation chambers that can be reversibly isolated from continuous medium supply. Therefore, the cultivation broth is simply replaced by a continuous flow of humidified air, removing any medium residue along the supply channels but preserving five picoliters of cultivation medium inside the cultivation chambers in a highly parallel manner. Living cells can grow inside our microfabricated batch chambers, which can accommodate up to several hundred cells. The chamber height approximately matches the diameter of a single cell, facilitating cell growth in monolayers that are ideal for image-based cell analysis. We successfully demonstrated the growth of Escherichia coli during continuous medium perfusion and batch cultivation conditions. As expected, the cells grew exponentially under continuous medium influx until the maximum chamber capacity was reached, but when they were cultivated under batch conditions, cellular growth underwent an exponential phase, followed by a stationary phase with obvious morphological changes.","author":[{"dropping-particle":"","family":"Kaganovitch","given":"Eugen","non-dropping-particle":"","parse-names":false,"suffix":""},{"dropping-particle":"","family":"Steurer","given":"Xenia","non-dropping-particle":"","parse-names":false,"suffix":""},{"dropping-particle":"","family":"Dogan","given":"Deniz","non-dropping-particle":"","parse-names":false,"suffix":""},{"dropping-particle":"","family":"Probst","given":"Christopher","non-dropping-particle":"","parse-names":false,"suffix":""},{"dropping-particle":"","family":"Wiechert","given":"Wolfgang","non-dropping-particle":"","parse-names":false,"suffix":""},{"dropping-particle":"","family":"Kohlheyer","given":"Dietrich","non-dropping-particle":"","parse-names":false,"suffix":""}],"container-title":"New Biotechnology","id":"ITEM-1","issued":{"date-parts":[["2018","12"]]},"page":"50-59","title":"Microbial single-cell analysis in picoliter-sized batch cultivation chambers","type":"article-journal","volume":"47"},"uris":["http://www.mendeley.com/documents/?uuid=8638b931-993d-4d7c-a985-7264bf05875f"]}],"mendeley":{"formattedCitation":"&lt;sup&gt;43&lt;/sup&gt;","plainTextFormattedCitation":"43","previouslyFormattedCitation":"&lt;sup&gt;59&lt;/sup&gt;"},"properties":{"noteIndex":0},"schema":"https://github.com/citation-style-language/schema/raw/master/csl-citation.json"}</w:instrText>
      </w:r>
      <w:r w:rsidRPr="00430A5E">
        <w:rPr>
          <w:rFonts w:ascii="Arial" w:hAnsi="Arial" w:cs="Arial"/>
          <w:bCs/>
          <w:lang w:val="en-US"/>
        </w:rPr>
        <w:fldChar w:fldCharType="separate"/>
      </w:r>
      <w:r w:rsidR="00F74091" w:rsidRPr="00F74091">
        <w:rPr>
          <w:rFonts w:ascii="Arial" w:hAnsi="Arial" w:cs="Arial"/>
          <w:bCs/>
          <w:noProof/>
          <w:vertAlign w:val="superscript"/>
          <w:lang w:val="en-US"/>
        </w:rPr>
        <w:t>43</w:t>
      </w:r>
      <w:r w:rsidRPr="00430A5E">
        <w:rPr>
          <w:rFonts w:ascii="Arial" w:hAnsi="Arial" w:cs="Arial"/>
          <w:bCs/>
          <w:lang w:val="en-US"/>
        </w:rPr>
        <w:fldChar w:fldCharType="end"/>
      </w:r>
    </w:p>
    <w:p w14:paraId="1BEEB4F4" w14:textId="2097BD25" w:rsidR="00EE4E14" w:rsidRPr="00430A5E" w:rsidRDefault="00EE4E14" w:rsidP="00EE4E14">
      <w:pPr>
        <w:shd w:val="clear" w:color="auto" w:fill="FFFFFF"/>
        <w:spacing w:after="0" w:line="360" w:lineRule="auto"/>
        <w:jc w:val="both"/>
        <w:rPr>
          <w:rFonts w:ascii="Arial" w:hAnsi="Arial" w:cs="Arial"/>
          <w:bCs/>
          <w:lang w:val="en-US"/>
        </w:rPr>
      </w:pPr>
      <w:r w:rsidRPr="00430A5E">
        <w:rPr>
          <w:rFonts w:ascii="Arial" w:hAnsi="Arial" w:cs="Arial"/>
          <w:bCs/>
          <w:lang w:val="en-US"/>
        </w:rPr>
        <w:t xml:space="preserve">For high-throughput data analysis, image analysis workflows need to be optimized to analyze these large data sets with reliable methods. Several image analysis tools have been developed in the last years, but evaluation of co-culture data is notably challenging. Phenotypically identical or similar strains need to be spatially separated from each other by microfluidic structures, or must be optically traceable, for example by fluorescence labeling. For the determination of intracellular </w:t>
      </w:r>
      <w:r w:rsidRPr="00430A5E">
        <w:rPr>
          <w:rFonts w:ascii="Arial" w:hAnsi="Arial" w:cs="Arial"/>
          <w:smallCaps/>
          <w:lang w:val="en-US"/>
        </w:rPr>
        <w:t>L</w:t>
      </w:r>
      <w:r w:rsidRPr="00430A5E">
        <w:rPr>
          <w:rFonts w:ascii="Arial" w:hAnsi="Arial" w:cs="Arial"/>
          <w:lang w:val="en-US"/>
        </w:rPr>
        <w:t>-</w:t>
      </w:r>
      <w:r w:rsidRPr="00430A5E">
        <w:rPr>
          <w:rFonts w:ascii="Arial" w:hAnsi="Arial" w:cs="Arial"/>
          <w:bCs/>
          <w:lang w:val="en-US"/>
        </w:rPr>
        <w:t xml:space="preserve">lysine concentration, a </w:t>
      </w:r>
      <w:r w:rsidRPr="00430A5E">
        <w:rPr>
          <w:rFonts w:ascii="Arial" w:hAnsi="Arial" w:cs="Arial"/>
          <w:smallCaps/>
          <w:lang w:val="en-US"/>
        </w:rPr>
        <w:t>L</w:t>
      </w:r>
      <w:r w:rsidRPr="00430A5E">
        <w:rPr>
          <w:rFonts w:ascii="Arial" w:hAnsi="Arial" w:cs="Arial"/>
          <w:lang w:val="en-US"/>
        </w:rPr>
        <w:t>-</w:t>
      </w:r>
      <w:r w:rsidRPr="00430A5E">
        <w:rPr>
          <w:rFonts w:ascii="Arial" w:hAnsi="Arial" w:cs="Arial"/>
          <w:bCs/>
          <w:lang w:val="en-US"/>
        </w:rPr>
        <w:t>lysine reporter strain could be utilized.</w:t>
      </w:r>
      <w:r w:rsidRPr="00430A5E">
        <w:rPr>
          <w:rFonts w:ascii="Arial" w:hAnsi="Arial" w:cs="Arial"/>
          <w:bCs/>
          <w:lang w:val="en-US"/>
        </w:rPr>
        <w:fldChar w:fldCharType="begin" w:fldLock="1"/>
      </w:r>
      <w:r w:rsidR="00F74091">
        <w:rPr>
          <w:rFonts w:ascii="Arial" w:hAnsi="Arial" w:cs="Arial"/>
          <w:bCs/>
          <w:lang w:val="en-US"/>
        </w:rPr>
        <w:instrText>ADDIN CSL_CITATION {"citationItems":[{"id":"ITEM-1","itemData":{"DOI":"10.1186/gb-2012-13-5-r40","ISBN":"1474-760X (Electronic)\r1474-7596 (Linking)","PMID":"22640862","abstract":"We present a novel method for visualizing intracellular metabolite concentrations within single cells of Escherichia coli and Corynebacterium glutamicum that expedites the screening process of producers. It is based on transcription factors and we used it to isolate new L-lysine producing mutants of C. glutamicum from a large library of mutagenized cells using fluorescence-activated cell sorting (FACS). This high-throughput method fills the gap between existing high-throughput methods for mutant generation and genome analysis. The technology has diverse applications in the analysis of producer populations and screening of mutant libraries that carry mutations in plasmids or genomes.","author":[{"dropping-particle":"","family":"Binder","given":"S","non-dropping-particle":"","parse-names":false,"suffix":""},{"dropping-particle":"","family":"Schendzielorz","given":"G","non-dropping-particle":"","parse-names":false,"suffix":""},{"dropping-particle":"","family":"Stabler","given":"N","non-dropping-particle":"","parse-names":false,"suffix":""},{"dropping-particle":"","family":"Krumbach","given":"K","non-dropping-particle":"","parse-names":false,"suffix":""},{"dropping-particle":"","family":"Hoffmann","given":"K","non-dropping-particle":"","parse-names":false,"suffix":""},{"dropping-particle":"","family":"Bott","given":"M","non-dropping-particle":"","parse-names":false,"suffix":""},{"dropping-particle":"","family":"Eggeling","given":"L","non-dropping-particle":"","parse-names":false,"suffix":""}],"container-title":"Genome Biol","id":"ITEM-1","issue":"5","issued":{"date-parts":[["2012"]]},"note":"Binder, Stephan\nSchendzielorz, Georg\nStabler, Norma\nKrumbach, Karin\nHoffmann, Kristina\nBott, Michael\nEggeling, Lothar\neng\nResearch Support, Non-U.S. Gov't\nEngland\n2012/05/30 06:00\nGenome Biol. 2012 May 28;13(5):R40. doi: 10.1186/gb-2012-13-5-r40.","page":"R40","title":"A high-throughput approach to identify genomic variants of bacterial metabolite producers at the single-cell level","type":"article-journal","volume":"13"},"uris":["http://www.mendeley.com/documents/?uuid=8f45c6a8-0cd6-4d69-8027-cad931c1267c"]}],"mendeley":{"formattedCitation":"&lt;sup&gt;44&lt;/sup&gt;","plainTextFormattedCitation":"44","previouslyFormattedCitation":"&lt;sup&gt;60&lt;/sup&gt;"},"properties":{"noteIndex":0},"schema":"https://github.com/citation-style-language/schema/raw/master/csl-citation.json"}</w:instrText>
      </w:r>
      <w:r w:rsidRPr="00430A5E">
        <w:rPr>
          <w:rFonts w:ascii="Arial" w:hAnsi="Arial" w:cs="Arial"/>
          <w:bCs/>
          <w:lang w:val="en-US"/>
        </w:rPr>
        <w:fldChar w:fldCharType="separate"/>
      </w:r>
      <w:r w:rsidR="00F74091" w:rsidRPr="00F74091">
        <w:rPr>
          <w:rFonts w:ascii="Arial" w:hAnsi="Arial" w:cs="Arial"/>
          <w:bCs/>
          <w:noProof/>
          <w:vertAlign w:val="superscript"/>
          <w:lang w:val="en-US"/>
        </w:rPr>
        <w:t>44</w:t>
      </w:r>
      <w:r w:rsidRPr="00430A5E">
        <w:rPr>
          <w:rFonts w:ascii="Arial" w:hAnsi="Arial" w:cs="Arial"/>
          <w:bCs/>
          <w:lang w:val="en-US"/>
        </w:rPr>
        <w:fldChar w:fldCharType="end"/>
      </w:r>
      <w:r w:rsidRPr="00430A5E">
        <w:rPr>
          <w:rFonts w:ascii="Arial" w:hAnsi="Arial" w:cs="Arial"/>
          <w:bCs/>
          <w:lang w:val="en-US"/>
        </w:rPr>
        <w:t xml:space="preserve"> This way intracellular concentration of </w:t>
      </w:r>
      <w:r w:rsidRPr="00430A5E">
        <w:rPr>
          <w:rFonts w:ascii="Arial" w:hAnsi="Arial" w:cs="Arial"/>
          <w:smallCaps/>
          <w:lang w:val="en-US"/>
        </w:rPr>
        <w:t>L</w:t>
      </w:r>
      <w:r w:rsidRPr="00430A5E">
        <w:rPr>
          <w:rFonts w:ascii="Arial" w:hAnsi="Arial" w:cs="Arial"/>
          <w:lang w:val="en-US"/>
        </w:rPr>
        <w:t>-</w:t>
      </w:r>
      <w:r w:rsidRPr="00430A5E">
        <w:rPr>
          <w:rFonts w:ascii="Arial" w:hAnsi="Arial" w:cs="Arial"/>
          <w:bCs/>
          <w:lang w:val="en-US"/>
        </w:rPr>
        <w:t>lysine can be correlated to fluorescence intensity, which reveals information about relative concentration differences.</w:t>
      </w:r>
    </w:p>
    <w:p w14:paraId="2FA0BC6C" w14:textId="120D4B45" w:rsidR="00EE4E14" w:rsidRPr="00430A5E" w:rsidRDefault="00EE4E14" w:rsidP="00EE4E14">
      <w:pPr>
        <w:shd w:val="clear" w:color="auto" w:fill="FFFFFF"/>
        <w:spacing w:after="0" w:line="360" w:lineRule="auto"/>
        <w:jc w:val="both"/>
        <w:rPr>
          <w:rFonts w:ascii="Arial" w:hAnsi="Arial" w:cs="Arial"/>
          <w:bCs/>
          <w:lang w:val="en-US"/>
        </w:rPr>
      </w:pPr>
      <w:r w:rsidRPr="00430A5E">
        <w:rPr>
          <w:rFonts w:ascii="Arial" w:hAnsi="Arial" w:cs="Arial"/>
          <w:bCs/>
          <w:lang w:val="en-US"/>
        </w:rPr>
        <w:t>Single-cell cultivation tools can also be applied to validate different control strategies as they offer unprecedented control over the extracellular environment. Hence, long term dynamics under constant or fluctuating</w:t>
      </w:r>
      <w:r w:rsidRPr="00430A5E">
        <w:rPr>
          <w:rFonts w:ascii="Arial" w:hAnsi="Arial" w:cs="Arial"/>
          <w:bCs/>
          <w:lang w:val="en-US"/>
        </w:rPr>
        <w:fldChar w:fldCharType="begin" w:fldLock="1"/>
      </w:r>
      <w:r w:rsidR="00F74091">
        <w:rPr>
          <w:rFonts w:ascii="Arial" w:hAnsi="Arial" w:cs="Arial"/>
          <w:bCs/>
          <w:lang w:val="en-US"/>
        </w:rPr>
        <w:instrText>ADDIN CSL_CITATION {"citationItems":[{"id":"ITEM-1","itemData":{"DOI":"10.1002/smll.201906670","ISSN":"1613-6810","abstract":"Microfluidic single-cell cultivation (MSCC) is an emerging field within fundamental as well as applied biology. During the last years, most MSCCs were performed at constant environmental conditions. Recently, MSCC at oscillating and dynamic environmental conditions has started to gain significant interest in the research community for the investigation of cellular behavior. Herein, an overview of this topic is given and microfluidic concepts that enable oscillating and dynamic control of environmental conditions with a focus on medium conditions are discussed, and their application in single-cell research for the cultivation of both mammalian and microbial cell systems is demonstrated. Furthermore, perspectives for performing MSCC at complex dynamic environmental profiles of single parameters and multiparameters (e.g., pH and O2) in amplitude and time are discussed. The technical progress in this field provides completely new experimental approaches and lays the foundation for systematic analysis of cellular metabolism at fluctuating environments.","author":[{"dropping-particle":"","family":"Täuber","given":"Sarah","non-dropping-particle":"","parse-names":false,"suffix":""},{"dropping-particle":"","family":"Lieres","given":"Eric","non-dropping-particle":"","parse-names":false,"suffix":""},{"dropping-particle":"","family":"Grünberger","given":"Alexander","non-dropping-particle":"","parse-names":false,"suffix":""}],"container-title":"Small","id":"ITEM-1","issue":"16","issued":{"date-parts":[["2020","4","11"]]},"page":"1906670","title":"Dynamic Environmental Control in Microfluidic Single</w:instrText>
      </w:r>
      <w:r w:rsidR="00F74091">
        <w:rPr>
          <w:rFonts w:ascii="Cambria Math" w:hAnsi="Cambria Math" w:cs="Cambria Math"/>
          <w:bCs/>
          <w:lang w:val="en-US"/>
        </w:rPr>
        <w:instrText>‐</w:instrText>
      </w:r>
      <w:r w:rsidR="00F74091">
        <w:rPr>
          <w:rFonts w:ascii="Arial" w:hAnsi="Arial" w:cs="Arial"/>
          <w:bCs/>
          <w:lang w:val="en-US"/>
        </w:rPr>
        <w:instrText>Cell Cultivations: From Concepts to Applications","type":"article-journal","volume":"16"},"uris":["http://www.mendeley.com/documents/?uuid=c6143c7a-6265-4c7e-9030-a0cc8e54da88"]}],"mendeley":{"formattedCitation":"&lt;sup&gt;45&lt;/sup&gt;","plainTextFormattedCitation":"45","previouslyFormattedCitation":"&lt;sup&gt;61&lt;/sup&gt;"},"properties":{"noteIndex":0},"schema":"https://github.com/citation-style-language/schema/raw/master/csl-citation.json"}</w:instrText>
      </w:r>
      <w:r w:rsidRPr="00430A5E">
        <w:rPr>
          <w:rFonts w:ascii="Arial" w:hAnsi="Arial" w:cs="Arial"/>
          <w:bCs/>
          <w:lang w:val="en-US"/>
        </w:rPr>
        <w:fldChar w:fldCharType="separate"/>
      </w:r>
      <w:r w:rsidR="00F74091" w:rsidRPr="00F74091">
        <w:rPr>
          <w:rFonts w:ascii="Arial" w:hAnsi="Arial" w:cs="Arial"/>
          <w:bCs/>
          <w:noProof/>
          <w:vertAlign w:val="superscript"/>
          <w:lang w:val="en-US"/>
        </w:rPr>
        <w:t>45</w:t>
      </w:r>
      <w:r w:rsidRPr="00430A5E">
        <w:rPr>
          <w:rFonts w:ascii="Arial" w:hAnsi="Arial" w:cs="Arial"/>
          <w:bCs/>
          <w:lang w:val="en-US"/>
        </w:rPr>
        <w:fldChar w:fldCharType="end"/>
      </w:r>
      <w:r w:rsidRPr="00430A5E">
        <w:rPr>
          <w:rFonts w:ascii="Arial" w:hAnsi="Arial" w:cs="Arial"/>
          <w:bCs/>
          <w:lang w:val="en-US"/>
        </w:rPr>
        <w:t xml:space="preserve"> environmental conditions as well as heterogeneity studies could be realized.</w:t>
      </w:r>
    </w:p>
    <w:p w14:paraId="44695586" w14:textId="01767F83" w:rsidR="00EE4E14" w:rsidRPr="00430A5E" w:rsidRDefault="00EE4E14" w:rsidP="00EE4E14">
      <w:pPr>
        <w:shd w:val="clear" w:color="auto" w:fill="FFFFFF"/>
        <w:spacing w:after="0" w:line="360" w:lineRule="auto"/>
        <w:jc w:val="both"/>
        <w:rPr>
          <w:rFonts w:ascii="Arial" w:hAnsi="Arial" w:cs="Arial"/>
          <w:bCs/>
          <w:lang w:val="en-US"/>
        </w:rPr>
      </w:pPr>
      <w:bookmarkStart w:id="15" w:name="_Hlk58795100"/>
      <w:r w:rsidRPr="00430A5E">
        <w:rPr>
          <w:rFonts w:ascii="Arial" w:hAnsi="Arial" w:cs="Arial"/>
          <w:bCs/>
          <w:lang w:val="en-US"/>
        </w:rPr>
        <w:t xml:space="preserve">In this study we used an irreversible on/off control system which offers only limited control over the co-culture. Furthermore, the expression system used, is not completely tight as can be seen in Figure </w:t>
      </w:r>
      <w:r w:rsidR="00463601">
        <w:rPr>
          <w:rFonts w:ascii="Arial" w:hAnsi="Arial" w:cs="Arial"/>
          <w:bCs/>
          <w:lang w:val="en-US"/>
        </w:rPr>
        <w:t>1</w:t>
      </w:r>
      <w:r w:rsidRPr="00430A5E">
        <w:rPr>
          <w:rFonts w:ascii="Arial" w:hAnsi="Arial" w:cs="Arial"/>
          <w:bCs/>
          <w:lang w:val="en-US"/>
        </w:rPr>
        <w:t xml:space="preserve">C. For a more precise control of co-cultures, a system with more tight and gradual controllable promotors would be the next step. Such systems with tetracycline or arabinose inducible promotors have already been established in </w:t>
      </w:r>
      <w:r w:rsidRPr="00430A5E">
        <w:rPr>
          <w:rFonts w:ascii="Arial" w:hAnsi="Arial" w:cs="Arial"/>
          <w:bCs/>
          <w:i/>
          <w:iCs/>
          <w:lang w:val="en-US"/>
        </w:rPr>
        <w:t>C. glutamicum.</w:t>
      </w:r>
      <w:r w:rsidRPr="00430A5E">
        <w:rPr>
          <w:rFonts w:ascii="Arial" w:hAnsi="Arial" w:cs="Arial"/>
          <w:bCs/>
          <w:lang w:val="en-US"/>
        </w:rPr>
        <w:fldChar w:fldCharType="begin" w:fldLock="1"/>
      </w:r>
      <w:r w:rsidR="00F74091">
        <w:rPr>
          <w:rFonts w:ascii="Arial" w:hAnsi="Arial" w:cs="Arial"/>
          <w:bCs/>
          <w:lang w:val="en-US"/>
        </w:rPr>
        <w:instrText>ADDIN CSL_CITATION {"citationItems":[{"id":"ITEM-1","itemData":{"DOI":"10.1016/j.plasmid.2012.05.001","ISBN":"1095-9890 (Electronic)\\r0147-619X (Linking)","ISSN":"0147619X","PMID":"22587824","abstract":"Here we report on the construction of a tetracycline inducible expression vector that allows a tightly regulable gene expression in Corynebacterium glutamicum which is used in industry for production of small molecules such as amino acids. Using the green fluorescent protein (GFP) as a reporter protein we show that this vector, named pCLTON1, is characterized by tight repression under non-induced conditions as compared to a conventional IPTG inducible expression vector, and that it allows gradual GFP synthesis upon gradual increase of anhydrotetracycline addition. © 2012 Elsevier Inc.","author":[{"dropping-particle":"","family":"Lausberg","given":"Frank","non-dropping-particle":"","parse-names":false,"suffix":""},{"dropping-particle":"","family":"Chattopadhyay","given":"Ava Rebecca","non-dropping-particle":"","parse-names":false,"suffix":""},{"dropping-particle":"","family":"Heyer","given":"Antonia","non-dropping-particle":"","parse-names":false,"suffix":""},{"dropping-particle":"","family":"Eggeling","given":"Lothar","non-dropping-particle":"","parse-names":false,"suffix":""},{"dropping-particle":"","family":"Freudl","given":"Roland","non-dropping-particle":"","parse-names":false,"suffix":""}],"container-title":"Plasmid","id":"ITEM-1","issue":"2","issued":{"date-parts":[["2012"]]},"page":"142-147","publisher":"Elsevier Inc.","title":"A tetracycline inducible expression vector for Corynebacterium glutamicum allowing tightly regulable gene expression","type":"article-journal","volume":"68"},"uris":["http://www.mendeley.com/documents/?uuid=986a6200-b7c6-4627-ad6f-31f4005657a1"]},{"id":"ITEM-2","itemData":{"DOI":"10.1128/AEM.01147-12","ISSN":"00992240","PMID":"22685153","abstract":"Corynebacterium glutamicum is currently used for the industrial production of a variety of biological materials. Many available inducible expression systems in this species use lac-derived promoters from Escherichia coli that exhibit much lower levels of inducible expression and leaky basal expression. We developed an arabinose-inducible expression system that contains the L- arabinose regulator AraC, the PBAD promoter from the araBAD operon, and the L-arabinose transporter AraE, all of which are derived from E. coli. The level of inducible PBAD-based expression could be modulated over a wide concentration range from 0.001 to 0.4% L-arabinose. This system tightly controlled the expression of the uracil phosphoribosyltransferase without leaky expression. When the gene encoding green fluorescent protein (GFP) was under the control of PBAD promoter, flow cytometry analysis showed that GFP was expressed in a highly homogeneous profile throughout the cell population. In contrast to the case in E. coli, PBAD induction was not significantly affected in the presence of different carbon sources in C. glutamicum, which makes it useful in fermentation applications. We used this system to regulate the expression of the odhI gene from C. glutami- cum, which encodes an inhibitor of α-oxoglutarate dehydrogenase, resulting in high levels of glutamate production (up to 13.7 mM) under biotin nonlimiting conditions. This system provides an efficient tool available for molecular biology and metabolic engineering of C. glutamicum. © 2012, American Society for Microbiology.","author":[{"dropping-particle":"","family":"Zhang","given":"Yun","non-dropping-particle":"","parse-names":false,"suffix":""},{"dropping-particle":"","family":"Shang","given":"Xiuling","non-dropping-particle":"","parse-names":false,"suffix":""},{"dropping-particle":"","family":"Lai","given":"Shujuan","non-dropping-particle":"","parse-names":false,"suffix":""},{"dropping-particle":"","family":"Zhang","given":"Guoqiang","non-dropping-particle":"","parse-names":false,"suffix":""},{"dropping-particle":"","family":"Liang","given":"Yong","non-dropping-particle":"","parse-names":false,"suffix":""},{"dropping-particle":"","family":"Wen","given":"Tingyi","non-dropping-particle":"","parse-names":false,"suffix":""}],"container-title":"Applied and Environmental Microbiology","id":"ITEM-2","issue":"16","issued":{"date-parts":[["2012"]]},"page":"5831-5838","title":"Development and application of an arabinose-inducible expression system by facilitating inducer uptake in Corynebacterium glutamicum","type":"article-journal","volume":"78"},"uris":["http://www.mendeley.com/documents/?uuid=3d0bbb24-fd4c-4a1c-89a2-cfb9151cf513"]},{"id":"ITEM-3","itemData":{"DOI":"10.3389/fmicb.2018.02523","ISSN":"1664302X","abstract":"Corynebacterium glutamicum, a soil-derived gram-positive actinobacterium, has been widely used for the production of biochemical molecules such as amino acids (i.e., L-glutamate and L-lysine), nucleic acids, alcohols, and organic acids. The metabolism of the bacterium has been engineered to increase the production of the target biochemical molecule, which requires a cytosolic enzyme expression. As recent demand for new proteinaceous biologics (such as antibodies, growth factors, and hormones) increase, C. glutamicum is attracting industrial interest as a recombinant protein expression host for therapeutic protein production due to the advantages such as low protease activity without endotoxin activity. In this review, we have summarized the recent studies on the heterologous expression of the recombinant protein in C. glutamicum for metabolic engineering, expansion of substrate availability, and recombinant protein secretion. We have also outlined the advances in genetic components such as promoters, surface anchoring systems, and secretory signal sequences in C. glutamicum for effective recombinant protein expression.","author":[{"dropping-particle":"","family":"Lee","given":"Min Ju","non-dropping-particle":"","parse-names":false,"suffix":""},{"dropping-particle":"","family":"Kim","given":"Pil","non-dropping-particle":"","parse-names":false,"suffix":""}],"container-title":"Frontiers in Microbiology","id":"ITEM-3","issue":"OCT","issued":{"date-parts":[["2018"]]},"title":"Recombinant protein expression system in Corynebacterium glutamicum and its application","type":"article-journal","volume":"9"},"uris":["http://www.mendeley.com/documents/?uuid=350ee291-50ba-4e6b-abd8-561c702618fa"]}],"mendeley":{"formattedCitation":"&lt;sup&gt;37,46,47&lt;/sup&gt;","plainTextFormattedCitation":"37,46,47","previouslyFormattedCitation":"&lt;sup&gt;54,62,63&lt;/sup&gt;"},"properties":{"noteIndex":0},"schema":"https://github.com/citation-style-language/schema/raw/master/csl-citation.json"}</w:instrText>
      </w:r>
      <w:r w:rsidRPr="00430A5E">
        <w:rPr>
          <w:rFonts w:ascii="Arial" w:hAnsi="Arial" w:cs="Arial"/>
          <w:bCs/>
          <w:lang w:val="en-US"/>
        </w:rPr>
        <w:fldChar w:fldCharType="separate"/>
      </w:r>
      <w:r w:rsidR="00F74091" w:rsidRPr="00F74091">
        <w:rPr>
          <w:rFonts w:ascii="Arial" w:hAnsi="Arial" w:cs="Arial"/>
          <w:bCs/>
          <w:noProof/>
          <w:vertAlign w:val="superscript"/>
          <w:lang w:val="en-US"/>
        </w:rPr>
        <w:t>37,46,47</w:t>
      </w:r>
      <w:r w:rsidRPr="00430A5E">
        <w:rPr>
          <w:rFonts w:ascii="Arial" w:hAnsi="Arial" w:cs="Arial"/>
          <w:bCs/>
          <w:lang w:val="en-US"/>
        </w:rPr>
        <w:fldChar w:fldCharType="end"/>
      </w:r>
      <w:r w:rsidRPr="00430A5E">
        <w:rPr>
          <w:rFonts w:ascii="Arial" w:hAnsi="Arial" w:cs="Arial"/>
          <w:bCs/>
          <w:lang w:val="en-US"/>
        </w:rPr>
        <w:t xml:space="preserve"> In the study of Lausberg </w:t>
      </w:r>
      <w:r w:rsidRPr="00430A5E">
        <w:rPr>
          <w:rFonts w:ascii="Arial" w:hAnsi="Arial" w:cs="Arial"/>
          <w:bCs/>
          <w:i/>
          <w:iCs/>
          <w:lang w:val="en-US"/>
        </w:rPr>
        <w:t>et al</w:t>
      </w:r>
      <w:r w:rsidRPr="00430A5E">
        <w:rPr>
          <w:rFonts w:ascii="Arial" w:hAnsi="Arial" w:cs="Arial"/>
          <w:bCs/>
          <w:lang w:val="en-US"/>
        </w:rPr>
        <w:t xml:space="preserve">. a tight tetracycline inducible expression vector for </w:t>
      </w:r>
      <w:r w:rsidRPr="00430A5E">
        <w:rPr>
          <w:rFonts w:ascii="Arial" w:hAnsi="Arial" w:cs="Arial"/>
          <w:bCs/>
          <w:i/>
          <w:iCs/>
          <w:lang w:val="en-US"/>
        </w:rPr>
        <w:t>C. glutamicum</w:t>
      </w:r>
      <w:r w:rsidRPr="00430A5E">
        <w:rPr>
          <w:rFonts w:ascii="Arial" w:hAnsi="Arial" w:cs="Arial"/>
          <w:bCs/>
          <w:lang w:val="en-US"/>
        </w:rPr>
        <w:t xml:space="preserve"> was developed to gradually increase the synthesis of a gene of interest upon gradual increase of inducer concentration. </w:t>
      </w:r>
    </w:p>
    <w:p w14:paraId="1802CACD" w14:textId="77777777" w:rsidR="00EE4E14" w:rsidRPr="00430A5E" w:rsidRDefault="00EE4E14" w:rsidP="00EE4E14">
      <w:pPr>
        <w:shd w:val="clear" w:color="auto" w:fill="FFFFFF"/>
        <w:spacing w:after="0" w:line="360" w:lineRule="auto"/>
        <w:jc w:val="both"/>
        <w:rPr>
          <w:rFonts w:ascii="Arial" w:hAnsi="Arial" w:cs="Arial"/>
          <w:bCs/>
          <w:lang w:val="en-US"/>
        </w:rPr>
      </w:pPr>
      <w:bookmarkStart w:id="16" w:name="_Hlk59379491"/>
      <w:bookmarkEnd w:id="15"/>
      <w:r w:rsidRPr="00430A5E">
        <w:rPr>
          <w:rFonts w:ascii="Arial" w:hAnsi="Arial" w:cs="Arial"/>
          <w:bCs/>
          <w:lang w:val="en-US"/>
        </w:rPr>
        <w:t>Fast and reversible control over a co-culture could be achieved with photo-switches. Photo-switches are mostly based on a chromophore, that can change the conformation of an attached protein upon light irradiation and switches between two or more isomeric forms.</w:t>
      </w:r>
      <w:r w:rsidRPr="00430A5E">
        <w:rPr>
          <w:rFonts w:ascii="Arial" w:hAnsi="Arial" w:cs="Arial"/>
          <w:bCs/>
          <w:lang w:val="en-US"/>
        </w:rPr>
        <w:fldChar w:fldCharType="begin" w:fldLock="1"/>
      </w:r>
      <w:r w:rsidRPr="00430A5E">
        <w:rPr>
          <w:rFonts w:ascii="Arial" w:hAnsi="Arial" w:cs="Arial"/>
          <w:bCs/>
          <w:lang w:val="en-US"/>
        </w:rPr>
        <w:instrText>ADDIN CSL_CITATION {"citationItems":[{"id":"ITEM-1","itemData":{"DOI":"10.1021/cr300179f","ISSN":"00092665","PMID":"23614556","author":[{"dropping-particle":"","family":"Szymański","given":"Wiktor","non-dropping-particle":"","parse-names":false,"suffix":""},{"dropping-particle":"","family":"Beierle","given":"John M.","non-dropping-particle":"","parse-names":false,"suffix":""},{"dropping-particle":"","family":"Kistemaker","given":"Hans A.V.","non-dropping-particle":"","parse-names":false,"suffix":""},{"dropping-particle":"","family":"Velema","given":"Willem A.","non-dropping-particle":"","parse-names":false,"suffix":""},{"dropping-particle":"","family":"Feringa","given":"Ben L.","non-dropping-particle":"","parse-names":false,"suffix":""}],"container-title":"Chemical Reviews","id":"ITEM-1","issued":{"date-parts":[["2013"]]},"title":"Reversible photocontrol of biological systems by the incorporation of molecular photoswitches","type":"article"},"uris":["http://www.mendeley.com/documents/?uuid=dbe7a9b7-bbdf-4784-9836-5c6b15a65ffe"]}],"mendeley":{"formattedCitation":"&lt;sup&gt;31&lt;/sup&gt;","plainTextFormattedCitation":"31","previouslyFormattedCitation":"&lt;sup&gt;31&lt;/sup&gt;"},"properties":{"noteIndex":0},"schema":"https://github.com/citation-style-language/schema/raw/master/csl-citation.json"}</w:instrText>
      </w:r>
      <w:r w:rsidRPr="00430A5E">
        <w:rPr>
          <w:rFonts w:ascii="Arial" w:hAnsi="Arial" w:cs="Arial"/>
          <w:bCs/>
          <w:lang w:val="en-US"/>
        </w:rPr>
        <w:fldChar w:fldCharType="separate"/>
      </w:r>
      <w:r w:rsidRPr="00430A5E">
        <w:rPr>
          <w:rFonts w:ascii="Arial" w:hAnsi="Arial" w:cs="Arial"/>
          <w:bCs/>
          <w:noProof/>
          <w:vertAlign w:val="superscript"/>
          <w:lang w:val="en-US"/>
        </w:rPr>
        <w:t>31</w:t>
      </w:r>
      <w:r w:rsidRPr="00430A5E">
        <w:rPr>
          <w:rFonts w:ascii="Arial" w:hAnsi="Arial" w:cs="Arial"/>
          <w:bCs/>
          <w:lang w:val="en-US"/>
        </w:rPr>
        <w:fldChar w:fldCharType="end"/>
      </w:r>
      <w:r w:rsidRPr="00430A5E">
        <w:rPr>
          <w:rFonts w:ascii="Arial" w:hAnsi="Arial" w:cs="Arial"/>
          <w:bCs/>
          <w:lang w:val="en-US"/>
        </w:rPr>
        <w:t xml:space="preserve"> However, not all synthetically designed photo-switches are suitable for biological applications as their absorption maximum must be at wavelengths which are not harmful to living cells. As in our case, the use of UV-A light is critical and therefore the light intensity and exposure time is  limited.</w:t>
      </w:r>
      <w:r w:rsidRPr="00430A5E">
        <w:rPr>
          <w:rFonts w:ascii="Arial" w:hAnsi="Arial" w:cs="Arial"/>
          <w:bCs/>
          <w:lang w:val="en-US"/>
        </w:rPr>
        <w:fldChar w:fldCharType="begin" w:fldLock="1"/>
      </w:r>
      <w:r w:rsidRPr="00430A5E">
        <w:rPr>
          <w:rFonts w:ascii="Arial" w:hAnsi="Arial" w:cs="Arial"/>
          <w:bCs/>
          <w:lang w:val="en-US"/>
        </w:rPr>
        <w:instrText>ADDIN CSL_CITATION {"citationItems":[{"id":"ITEM-1","itemData":{"DOI":"10.1002/anie.201202134","ISBN":"1433-7851","ISSN":"14337851","PMID":"22829531","abstract":"Spatial and temporal control over chemical and biological processes plays a key role in life, where the whole is often much more than the sum of its parts. Quite trivially, the molecules of a cell do not form a living system if they are only arranged in a random fashion. If we want to understand these relationships and especially the problems arising from malfunction, tools are necessary that allow us to design sophisticated experiments that address these questions. Highly valuable in this respect are external triggers that enable us to precisely determine where, when, and to what extent a process is started or stopped. Light is an ideal external trigger: It is highly selective and if applied correctly also harmless. It can be generated and manipulated with well-established techniques, and many ways exist to apply light to living systems--from cells to higher organisms. This Review will focus on developments over the last six years and includes discussions on the underlying technologies as well as their applications.","author":[{"dropping-particle":"","family":"Brieke","given":"Clara","non-dropping-particle":"","parse-names":false,"suffix":""},{"dropping-particle":"","family":"Rohrbach","given":"Falk","non-dropping-particle":"","parse-names":false,"suffix":""},{"dropping-particle":"","family":"Gottschalk","given":"Alexander","non-dropping-particle":"","parse-names":false,"suffix":""},{"dropping-particle":"","family":"Mayer","given":"Günter","non-dropping-particle":"","parse-names":false,"suffix":""},{"dropping-particle":"","family":"Heckel","given":"Alexander","non-dropping-particle":"","parse-names":false,"suffix":""}],"container-title":"Angewandte Chemie - International Edition","id":"ITEM-1","issue":"34","issued":{"date-parts":[["2012"]]},"page":"8446-8476","title":"Light-controlled tools","type":"article-journal","volume":"51"},"uris":["http://www.mendeley.com/documents/?uuid=8f1b5c6e-b2a3-4720-8cca-c7e14459f6ee"]}],"mendeley":{"formattedCitation":"&lt;sup&gt;28&lt;/sup&gt;","plainTextFormattedCitation":"28","previouslyFormattedCitation":"&lt;sup&gt;28&lt;/sup&gt;"},"properties":{"noteIndex":0},"schema":"https://github.com/citation-style-language/schema/raw/master/csl-citation.json"}</w:instrText>
      </w:r>
      <w:r w:rsidRPr="00430A5E">
        <w:rPr>
          <w:rFonts w:ascii="Arial" w:hAnsi="Arial" w:cs="Arial"/>
          <w:bCs/>
          <w:lang w:val="en-US"/>
        </w:rPr>
        <w:fldChar w:fldCharType="separate"/>
      </w:r>
      <w:r w:rsidRPr="00430A5E">
        <w:rPr>
          <w:rFonts w:ascii="Arial" w:hAnsi="Arial" w:cs="Arial"/>
          <w:bCs/>
          <w:noProof/>
          <w:vertAlign w:val="superscript"/>
          <w:lang w:val="en-US"/>
        </w:rPr>
        <w:t>28</w:t>
      </w:r>
      <w:r w:rsidRPr="00430A5E">
        <w:rPr>
          <w:rFonts w:ascii="Arial" w:hAnsi="Arial" w:cs="Arial"/>
          <w:bCs/>
          <w:lang w:val="en-US"/>
        </w:rPr>
        <w:fldChar w:fldCharType="end"/>
      </w:r>
      <w:r w:rsidRPr="00430A5E">
        <w:rPr>
          <w:rFonts w:ascii="Arial" w:hAnsi="Arial" w:cs="Arial"/>
          <w:bCs/>
          <w:lang w:val="en-US"/>
        </w:rPr>
        <w:t xml:space="preserve"> But the toolbox for biological applications of optogenetic switches is constantly growing and offers a broad range of wavelengths for activation and deactivation of proteins (https://www.optobase.org). For a completely non-invasive culture control, photo-switches need to be genetically encoded. Utilizing these tools for co-cultures will offer a higher spatiotemporal control over the interactions between co-cultures members.</w:t>
      </w:r>
    </w:p>
    <w:bookmarkEnd w:id="16"/>
    <w:p w14:paraId="3E2ADB23" w14:textId="77777777" w:rsidR="00EE4E14" w:rsidRPr="00430A5E" w:rsidRDefault="00EE4E14" w:rsidP="00EE4E14">
      <w:pPr>
        <w:shd w:val="clear" w:color="auto" w:fill="FFFFFF"/>
        <w:spacing w:after="0" w:line="360" w:lineRule="auto"/>
        <w:jc w:val="both"/>
        <w:rPr>
          <w:rFonts w:ascii="Arial" w:hAnsi="Arial" w:cs="Arial"/>
          <w:bCs/>
          <w:lang w:val="en-US"/>
        </w:rPr>
      </w:pPr>
    </w:p>
    <w:p w14:paraId="0D259E31" w14:textId="77777777" w:rsidR="00EE4E14" w:rsidRPr="00430A5E" w:rsidRDefault="00EE4E14" w:rsidP="00EE4E14">
      <w:pPr>
        <w:shd w:val="clear" w:color="auto" w:fill="FFFFFF"/>
        <w:spacing w:after="0" w:line="360" w:lineRule="auto"/>
        <w:jc w:val="both"/>
        <w:rPr>
          <w:rFonts w:ascii="Arial" w:hAnsi="Arial" w:cs="Arial"/>
          <w:bCs/>
          <w:lang w:val="en-US"/>
        </w:rPr>
      </w:pPr>
    </w:p>
    <w:p w14:paraId="7732746C" w14:textId="77777777" w:rsidR="00EE4E14" w:rsidRPr="00430A5E" w:rsidRDefault="00EE4E14" w:rsidP="00EE4E14">
      <w:pPr>
        <w:shd w:val="clear" w:color="auto" w:fill="FFFFFF"/>
        <w:spacing w:after="0" w:line="360" w:lineRule="auto"/>
        <w:jc w:val="both"/>
        <w:rPr>
          <w:rFonts w:ascii="Arial" w:eastAsia="Times New Roman" w:hAnsi="Arial" w:cs="Arial"/>
          <w:b/>
          <w:sz w:val="32"/>
          <w:szCs w:val="32"/>
          <w:lang w:val="en-US" w:eastAsia="de-DE"/>
        </w:rPr>
      </w:pPr>
      <w:r w:rsidRPr="00430A5E">
        <w:rPr>
          <w:rFonts w:ascii="Arial" w:eastAsia="Times New Roman" w:hAnsi="Arial" w:cs="Arial"/>
          <w:b/>
          <w:sz w:val="32"/>
          <w:szCs w:val="32"/>
          <w:lang w:val="en-US" w:eastAsia="de-DE"/>
        </w:rPr>
        <w:lastRenderedPageBreak/>
        <w:t>Conclusion</w:t>
      </w:r>
    </w:p>
    <w:p w14:paraId="65A93D08" w14:textId="77777777" w:rsidR="00EE4E14" w:rsidRPr="00430A5E" w:rsidRDefault="00EE4E14" w:rsidP="00EE4E14">
      <w:pPr>
        <w:shd w:val="clear" w:color="auto" w:fill="FFFFFF"/>
        <w:spacing w:after="0" w:line="360" w:lineRule="auto"/>
        <w:jc w:val="both"/>
        <w:rPr>
          <w:rFonts w:ascii="Arial" w:hAnsi="Arial" w:cs="Arial"/>
          <w:bCs/>
          <w:lang w:val="en-US"/>
        </w:rPr>
      </w:pPr>
      <w:r w:rsidRPr="00430A5E">
        <w:rPr>
          <w:rFonts w:ascii="Arial" w:hAnsi="Arial" w:cs="Arial"/>
          <w:bCs/>
          <w:lang w:val="en-US"/>
        </w:rPr>
        <w:t xml:space="preserve">We constructed and characterized a controllable synthetic microbial consortium with single-cell resolution. All strains were analyzed separately in co-culture in microtiter plate cultivations as well as microfluidic microcolony cultivations. A newly established microfluidic co-cultivation platform was utilized for a highly temporal and spatial resolved interaction analysis. Here, a </w:t>
      </w:r>
      <w:r w:rsidRPr="00430A5E">
        <w:rPr>
          <w:rFonts w:ascii="Arial" w:hAnsi="Arial" w:cs="Arial"/>
          <w:smallCaps/>
          <w:lang w:val="en-US"/>
        </w:rPr>
        <w:t>L</w:t>
      </w:r>
      <w:r w:rsidRPr="00430A5E">
        <w:rPr>
          <w:rFonts w:ascii="Arial" w:hAnsi="Arial" w:cs="Arial"/>
          <w:lang w:val="en-US"/>
        </w:rPr>
        <w:t>-</w:t>
      </w:r>
      <w:r w:rsidRPr="00430A5E">
        <w:rPr>
          <w:rFonts w:ascii="Arial" w:hAnsi="Arial" w:cs="Arial"/>
          <w:bCs/>
          <w:lang w:val="en-US"/>
        </w:rPr>
        <w:t xml:space="preserve">lysine auxotrophic strain was co-cultured with an either uncontrollable or an IPTG-controllable </w:t>
      </w:r>
      <w:r w:rsidRPr="00430A5E">
        <w:rPr>
          <w:rFonts w:ascii="Arial" w:hAnsi="Arial" w:cs="Arial"/>
          <w:smallCaps/>
          <w:lang w:val="en-US"/>
        </w:rPr>
        <w:t>L</w:t>
      </w:r>
      <w:r w:rsidRPr="00430A5E">
        <w:rPr>
          <w:rFonts w:ascii="Arial" w:hAnsi="Arial" w:cs="Arial"/>
          <w:lang w:val="en-US"/>
        </w:rPr>
        <w:t>-</w:t>
      </w:r>
      <w:r w:rsidRPr="00430A5E">
        <w:rPr>
          <w:rFonts w:ascii="Arial" w:hAnsi="Arial" w:cs="Arial"/>
          <w:bCs/>
          <w:lang w:val="en-US"/>
        </w:rPr>
        <w:t xml:space="preserve">lysine production strain, respectively. The </w:t>
      </w:r>
      <w:r w:rsidRPr="00430A5E">
        <w:rPr>
          <w:rFonts w:ascii="Arial" w:hAnsi="Arial" w:cs="Arial"/>
          <w:smallCaps/>
          <w:lang w:val="en-US"/>
        </w:rPr>
        <w:t>L</w:t>
      </w:r>
      <w:r w:rsidRPr="00430A5E">
        <w:rPr>
          <w:rFonts w:ascii="Arial" w:hAnsi="Arial" w:cs="Arial"/>
          <w:lang w:val="en-US"/>
        </w:rPr>
        <w:t>-</w:t>
      </w:r>
      <w:r w:rsidRPr="00430A5E">
        <w:rPr>
          <w:rFonts w:ascii="Arial" w:hAnsi="Arial" w:cs="Arial"/>
          <w:bCs/>
          <w:lang w:val="en-US"/>
        </w:rPr>
        <w:t>lysine auxotrophic strain Δ</w:t>
      </w:r>
      <w:r w:rsidRPr="00430A5E">
        <w:rPr>
          <w:rFonts w:ascii="Arial" w:hAnsi="Arial" w:cs="Arial"/>
          <w:bCs/>
          <w:i/>
          <w:iCs/>
          <w:lang w:val="en-US"/>
        </w:rPr>
        <w:t>lysA</w:t>
      </w:r>
      <w:r w:rsidRPr="00430A5E">
        <w:rPr>
          <w:rFonts w:ascii="Arial" w:hAnsi="Arial" w:cs="Arial"/>
          <w:bCs/>
          <w:lang w:val="en-US"/>
        </w:rPr>
        <w:t xml:space="preserve"> could only grow in co-cultivation with the </w:t>
      </w:r>
      <w:r w:rsidRPr="00430A5E">
        <w:rPr>
          <w:rFonts w:ascii="Arial" w:hAnsi="Arial" w:cs="Arial"/>
          <w:smallCaps/>
          <w:lang w:val="en-US"/>
        </w:rPr>
        <w:t>L</w:t>
      </w:r>
      <w:r w:rsidRPr="00430A5E">
        <w:rPr>
          <w:rFonts w:ascii="Arial" w:hAnsi="Arial" w:cs="Arial"/>
          <w:lang w:val="en-US"/>
        </w:rPr>
        <w:t>-</w:t>
      </w:r>
      <w:r w:rsidRPr="00430A5E">
        <w:rPr>
          <w:rFonts w:ascii="Arial" w:hAnsi="Arial" w:cs="Arial"/>
          <w:bCs/>
          <w:lang w:val="en-US"/>
        </w:rPr>
        <w:t xml:space="preserve">lysine producer in productive state, while the producer was not dependent on the auxotrophic strain. The controllable </w:t>
      </w:r>
      <w:r w:rsidRPr="00430A5E">
        <w:rPr>
          <w:rFonts w:ascii="Arial" w:hAnsi="Arial" w:cs="Arial"/>
          <w:smallCaps/>
          <w:lang w:val="en-US"/>
        </w:rPr>
        <w:t>L</w:t>
      </w:r>
      <w:r w:rsidRPr="00430A5E">
        <w:rPr>
          <w:rFonts w:ascii="Arial" w:hAnsi="Arial" w:cs="Arial"/>
          <w:lang w:val="en-US"/>
        </w:rPr>
        <w:t>-</w:t>
      </w:r>
      <w:r w:rsidRPr="00430A5E">
        <w:rPr>
          <w:rFonts w:ascii="Arial" w:hAnsi="Arial" w:cs="Arial"/>
          <w:bCs/>
          <w:lang w:val="en-US"/>
        </w:rPr>
        <w:t>lysine production strain could successfully feed the Δ</w:t>
      </w:r>
      <w:r w:rsidRPr="00430A5E">
        <w:rPr>
          <w:rFonts w:ascii="Arial" w:hAnsi="Arial" w:cs="Arial"/>
          <w:bCs/>
          <w:i/>
          <w:iCs/>
          <w:lang w:val="en-US"/>
        </w:rPr>
        <w:t xml:space="preserve">lysA </w:t>
      </w:r>
      <w:r w:rsidRPr="00430A5E">
        <w:rPr>
          <w:rFonts w:ascii="Arial" w:hAnsi="Arial" w:cs="Arial"/>
          <w:bCs/>
          <w:iCs/>
          <w:lang w:val="en-US"/>
        </w:rPr>
        <w:t xml:space="preserve">strain </w:t>
      </w:r>
      <w:r w:rsidRPr="00430A5E">
        <w:rPr>
          <w:rFonts w:ascii="Arial" w:hAnsi="Arial" w:cs="Arial"/>
          <w:bCs/>
          <w:lang w:val="en-US"/>
        </w:rPr>
        <w:t xml:space="preserve">when IPTG was added to the medium. A light-controllable interaction was achieved by supplementing the medium with photocaged IPTG and subsequent induction upon short UV-A exposure. </w:t>
      </w:r>
    </w:p>
    <w:p w14:paraId="28974808" w14:textId="77777777" w:rsidR="00EE4E14" w:rsidRPr="00430A5E" w:rsidRDefault="00EE4E14" w:rsidP="00EE4E14">
      <w:pPr>
        <w:shd w:val="clear" w:color="auto" w:fill="FFFFFF"/>
        <w:spacing w:after="0" w:line="360" w:lineRule="auto"/>
        <w:jc w:val="both"/>
        <w:rPr>
          <w:rFonts w:ascii="Arial" w:hAnsi="Arial" w:cs="Arial"/>
          <w:bCs/>
          <w:lang w:val="en-US"/>
        </w:rPr>
      </w:pPr>
      <w:r w:rsidRPr="00430A5E">
        <w:rPr>
          <w:rFonts w:ascii="Arial" w:hAnsi="Arial" w:cs="Arial"/>
          <w:bCs/>
          <w:lang w:val="en-US"/>
        </w:rPr>
        <w:t>This study discloses how microfluidic analysis in combination with synthetic biology and optochemical control tools aid to characterize and directly control newly established synthetic consortia. The online control of one co-culture member, which directly influences the growth of the second member, is an example of how engineering tools could be used to design, control, and analyze promising co-cultures.</w:t>
      </w:r>
    </w:p>
    <w:p w14:paraId="380CD939" w14:textId="0EDEDE05" w:rsidR="006B0862" w:rsidRDefault="006B0862">
      <w:pPr>
        <w:rPr>
          <w:rFonts w:ascii="Arial" w:eastAsia="Times New Roman" w:hAnsi="Arial" w:cs="Arial"/>
          <w:b/>
          <w:sz w:val="32"/>
          <w:szCs w:val="32"/>
          <w:lang w:val="en-US" w:eastAsia="de-DE"/>
        </w:rPr>
      </w:pPr>
      <w:r>
        <w:rPr>
          <w:rFonts w:ascii="Arial" w:eastAsia="Times New Roman" w:hAnsi="Arial" w:cs="Arial"/>
          <w:b/>
          <w:sz w:val="32"/>
          <w:szCs w:val="32"/>
          <w:lang w:val="en-US" w:eastAsia="de-DE"/>
        </w:rPr>
        <w:br w:type="page"/>
      </w:r>
    </w:p>
    <w:p w14:paraId="4248227B" w14:textId="6FA80038" w:rsidR="008551DD" w:rsidRPr="00430A5E" w:rsidRDefault="008551DD" w:rsidP="008551DD">
      <w:pPr>
        <w:spacing w:after="0" w:line="360" w:lineRule="auto"/>
        <w:jc w:val="both"/>
        <w:rPr>
          <w:rFonts w:ascii="Arial" w:eastAsia="Times New Roman" w:hAnsi="Arial" w:cs="Arial"/>
          <w:sz w:val="32"/>
          <w:szCs w:val="32"/>
          <w:lang w:val="en-US" w:eastAsia="de-DE"/>
        </w:rPr>
      </w:pPr>
      <w:r w:rsidRPr="00430A5E">
        <w:rPr>
          <w:rFonts w:ascii="Arial" w:eastAsia="Times New Roman" w:hAnsi="Arial" w:cs="Arial"/>
          <w:b/>
          <w:sz w:val="32"/>
          <w:szCs w:val="32"/>
          <w:lang w:val="en-US" w:eastAsia="de-DE"/>
        </w:rPr>
        <w:lastRenderedPageBreak/>
        <w:t>Material</w:t>
      </w:r>
      <w:r w:rsidR="0024770A">
        <w:rPr>
          <w:rFonts w:ascii="Arial" w:eastAsia="Times New Roman" w:hAnsi="Arial" w:cs="Arial"/>
          <w:b/>
          <w:sz w:val="32"/>
          <w:szCs w:val="32"/>
          <w:lang w:val="en-US" w:eastAsia="de-DE"/>
        </w:rPr>
        <w:t>s</w:t>
      </w:r>
      <w:r w:rsidRPr="00430A5E">
        <w:rPr>
          <w:rFonts w:ascii="Arial" w:eastAsia="Times New Roman" w:hAnsi="Arial" w:cs="Arial"/>
          <w:b/>
          <w:sz w:val="32"/>
          <w:szCs w:val="32"/>
          <w:lang w:val="en-US" w:eastAsia="de-DE"/>
        </w:rPr>
        <w:t xml:space="preserve"> and methods</w:t>
      </w:r>
    </w:p>
    <w:p w14:paraId="645F9329" w14:textId="77777777" w:rsidR="008551DD" w:rsidRPr="00430A5E" w:rsidRDefault="008551DD" w:rsidP="008551DD">
      <w:pPr>
        <w:rPr>
          <w:rFonts w:ascii="Arial" w:hAnsi="Arial" w:cs="Arial"/>
          <w:b/>
          <w:lang w:val="en-US"/>
        </w:rPr>
      </w:pPr>
      <w:r w:rsidRPr="00430A5E">
        <w:rPr>
          <w:rFonts w:ascii="Arial" w:hAnsi="Arial" w:cs="Arial"/>
          <w:b/>
          <w:sz w:val="24"/>
          <w:szCs w:val="24"/>
          <w:lang w:val="en-US"/>
        </w:rPr>
        <w:t>Strains and plasmids</w:t>
      </w:r>
      <w:r w:rsidRPr="00430A5E">
        <w:rPr>
          <w:rFonts w:ascii="Arial" w:hAnsi="Arial" w:cs="Arial"/>
          <w:b/>
          <w:shd w:val="clear" w:color="auto" w:fill="FFFFFF"/>
          <w:lang w:val="en-US"/>
        </w:rPr>
        <w:t xml:space="preserve"> </w:t>
      </w:r>
    </w:p>
    <w:p w14:paraId="419D7ADD" w14:textId="6BB2D471" w:rsidR="008551DD" w:rsidRPr="00430A5E" w:rsidRDefault="008551DD" w:rsidP="008551DD">
      <w:pPr>
        <w:spacing w:after="0" w:line="360" w:lineRule="auto"/>
        <w:jc w:val="both"/>
        <w:rPr>
          <w:rFonts w:ascii="Arial" w:hAnsi="Arial" w:cs="Arial"/>
          <w:lang w:val="en-US"/>
        </w:rPr>
      </w:pPr>
      <w:r w:rsidRPr="00430A5E">
        <w:rPr>
          <w:rFonts w:ascii="Arial" w:hAnsi="Arial" w:cs="Arial"/>
          <w:lang w:val="en-US"/>
        </w:rPr>
        <w:t xml:space="preserve">All bacterial strains, plasmids, and oligonucleotides used in this study as well as their relevant characteristics and sources are listed in Table 2. </w:t>
      </w:r>
      <w:r w:rsidRPr="00430A5E">
        <w:rPr>
          <w:rFonts w:ascii="Arial" w:hAnsi="Arial" w:cs="Arial"/>
          <w:i/>
          <w:lang w:val="en-US"/>
        </w:rPr>
        <w:t>E. coli</w:t>
      </w:r>
      <w:r w:rsidRPr="00430A5E">
        <w:rPr>
          <w:rFonts w:ascii="Arial" w:hAnsi="Arial" w:cs="Arial"/>
          <w:lang w:val="en-US"/>
        </w:rPr>
        <w:t xml:space="preserve"> DH5α was used for cloning purposes and was cultivated in LB medium at 37 °C.</w:t>
      </w:r>
      <w:r w:rsidRPr="00430A5E">
        <w:rPr>
          <w:rFonts w:ascii="Arial" w:hAnsi="Arial" w:cs="Arial"/>
          <w:lang w:val="en-US"/>
        </w:rPr>
        <w:fldChar w:fldCharType="begin" w:fldLock="1"/>
      </w:r>
      <w:r w:rsidR="00F74091">
        <w:rPr>
          <w:rFonts w:ascii="Arial" w:hAnsi="Arial" w:cs="Arial"/>
          <w:lang w:val="en-US"/>
        </w:rPr>
        <w:instrText>ADDIN CSL_CITATION {"citationItems":[{"id":"ITEM-1","itemData":{"ISSN":"00219193","PMID":"14888646","author":[{"dropping-particle":"","family":"Bertani","given":"G.","non-dropping-particle":"","parse-names":false,"suffix":""}],"container-title":"Journal of bacteriology","id":"ITEM-1","issue":"3","issued":{"date-parts":[["1951"]]},"page":"293-300","title":"Studies on lysogenesis. I. The mode of phage liberation by lysogenic Escherichia coli.","type":"article-journal","volume":"62"},"uris":["http://www.mendeley.com/documents/?uuid=b5b707ca-b0a8-4d16-8762-7bd6daa2e36f"]}],"mendeley":{"formattedCitation":"&lt;sup&gt;48&lt;/sup&gt;","plainTextFormattedCitation":"48","previouslyFormattedCitation":"&lt;sup&gt;34&lt;/sup&gt;"},"properties":{"noteIndex":0},"schema":"https://github.com/citation-style-language/schema/raw/master/csl-citation.json"}</w:instrText>
      </w:r>
      <w:r w:rsidRPr="00430A5E">
        <w:rPr>
          <w:rFonts w:ascii="Arial" w:hAnsi="Arial" w:cs="Arial"/>
          <w:lang w:val="en-US"/>
        </w:rPr>
        <w:fldChar w:fldCharType="separate"/>
      </w:r>
      <w:r w:rsidR="00F74091" w:rsidRPr="00F74091">
        <w:rPr>
          <w:rFonts w:ascii="Arial" w:hAnsi="Arial" w:cs="Arial"/>
          <w:noProof/>
          <w:vertAlign w:val="superscript"/>
          <w:lang w:val="en-US"/>
        </w:rPr>
        <w:t>48</w:t>
      </w:r>
      <w:r w:rsidRPr="00430A5E">
        <w:rPr>
          <w:rFonts w:ascii="Arial" w:hAnsi="Arial" w:cs="Arial"/>
          <w:lang w:val="en-US"/>
        </w:rPr>
        <w:fldChar w:fldCharType="end"/>
      </w:r>
      <w:r w:rsidRPr="00430A5E">
        <w:rPr>
          <w:rFonts w:ascii="Arial" w:hAnsi="Arial" w:cs="Arial"/>
          <w:lang w:val="en-US"/>
        </w:rPr>
        <w:t xml:space="preserve"> </w:t>
      </w:r>
      <w:r w:rsidRPr="00430A5E">
        <w:rPr>
          <w:rFonts w:ascii="Arial" w:hAnsi="Arial" w:cs="Arial"/>
          <w:i/>
          <w:iCs/>
          <w:lang w:val="en-US"/>
        </w:rPr>
        <w:t>C. glutamicum</w:t>
      </w:r>
      <w:r w:rsidRPr="00430A5E">
        <w:rPr>
          <w:rFonts w:ascii="Arial" w:hAnsi="Arial" w:cs="Arial"/>
          <w:shd w:val="clear" w:color="auto" w:fill="FFFFFF"/>
          <w:lang w:val="en-US"/>
        </w:rPr>
        <w:t xml:space="preserve"> strains were cultivated at 30 °C in brain heart infusion (BHI) medium (Difco Laboratories, Detroit, USA). </w:t>
      </w:r>
      <w:r w:rsidRPr="00430A5E">
        <w:rPr>
          <w:rFonts w:ascii="Arial" w:hAnsi="Arial" w:cs="Arial"/>
          <w:lang w:val="en-US"/>
        </w:rPr>
        <w:t xml:space="preserve">For molecular cloning work, standard protocols, such as DNA restriction, and ligation were carried out. All enzymes were purchased from Thermo Scientific (Schwerte, Germany). The constructed plasmids are listed in Table </w:t>
      </w:r>
      <w:r w:rsidR="006B0862">
        <w:rPr>
          <w:rFonts w:ascii="Arial" w:hAnsi="Arial" w:cs="Arial"/>
          <w:lang w:val="en-US"/>
        </w:rPr>
        <w:t>3</w:t>
      </w:r>
      <w:r w:rsidRPr="00430A5E">
        <w:rPr>
          <w:rFonts w:ascii="Arial" w:hAnsi="Arial" w:cs="Arial"/>
          <w:lang w:val="en-US"/>
        </w:rPr>
        <w:t xml:space="preserve">. Electroporation for transformation of </w:t>
      </w:r>
      <w:r w:rsidRPr="00430A5E">
        <w:rPr>
          <w:rFonts w:ascii="Arial" w:hAnsi="Arial" w:cs="Arial"/>
          <w:i/>
          <w:iCs/>
          <w:lang w:val="en-US"/>
        </w:rPr>
        <w:t>C. glutamicum</w:t>
      </w:r>
      <w:r w:rsidRPr="00430A5E">
        <w:rPr>
          <w:rFonts w:ascii="Arial" w:hAnsi="Arial" w:cs="Arial"/>
          <w:lang w:val="en-US"/>
        </w:rPr>
        <w:t xml:space="preserve"> strains was done as described previously.</w:t>
      </w:r>
      <w:r w:rsidRPr="00430A5E">
        <w:rPr>
          <w:rFonts w:ascii="Arial" w:hAnsi="Arial" w:cs="Arial"/>
          <w:lang w:val="en-US"/>
        </w:rPr>
        <w:fldChar w:fldCharType="begin" w:fldLock="1"/>
      </w:r>
      <w:r w:rsidR="00F74091">
        <w:rPr>
          <w:rFonts w:ascii="Arial" w:hAnsi="Arial" w:cs="Arial"/>
          <w:lang w:val="en-US"/>
        </w:rPr>
        <w:instrText>ADDIN CSL_CITATION {"citationItems":[{"id":"ITEM-1","itemData":{"DOI":"10.1201/9781420039696","ISBN":"9781420039696","abstract":"One of the most important organisms in biotechnology, Corynebacterium glutamicum is currently used to produce 2 million tons of amino acids per year for a rapidly expanding market. Until now, research and information have been scattered among individual papers which are often difficult to locate in a timely manner. As the first complete compilation of major findings, Handbook of Corynebacterium glutamicum is a comprehensive source of scientific and technical information required for the understanding and manipulation of C. glutamicum. The book summarizes the current knowledge in the field ofC. glutamicum research from its discovery in 1957 through the most recent studies at the genomic and systemic level, and provides a basis for future work. Written by experts from industry and academia, chapters cover all major aspects of C. glutamicum, including physiology, biochemistry, genetics, and industrial applications. Just as C. glutamicum has proven its profitability in industry and research, this book will demonstrate its value to the scientists striving to understand and develop even more efficient producer strains of this promising microorganism.","author":[{"dropping-particle":"","family":"Eggeling","given":"Lothar","non-dropping-particle":"","parse-names":false,"suffix":""},{"dropping-particle":"","family":"Bott","given":"Michael","non-dropping-particle":"","parse-names":false,"suffix":""}],"container-title":"Handbook of Corynebacterium Glutamicum","id":"ITEM-1","issued":{"date-parts":[["2005"]]},"title":"Handbook of corynebacterium glutamicum","type":"book"},"uris":["http://www.mendeley.com/documents/?uuid=c7807490-20fb-4a19-beb7-eda976e825f6"]}],"mendeley":{"formattedCitation":"&lt;sup&gt;49&lt;/sup&gt;","plainTextFormattedCitation":"49","previouslyFormattedCitation":"&lt;sup&gt;35&lt;/sup&gt;"},"properties":{"noteIndex":0},"schema":"https://github.com/citation-style-language/schema/raw/master/csl-citation.json"}</w:instrText>
      </w:r>
      <w:r w:rsidRPr="00430A5E">
        <w:rPr>
          <w:rFonts w:ascii="Arial" w:hAnsi="Arial" w:cs="Arial"/>
          <w:lang w:val="en-US"/>
        </w:rPr>
        <w:fldChar w:fldCharType="separate"/>
      </w:r>
      <w:r w:rsidR="00F74091" w:rsidRPr="00F74091">
        <w:rPr>
          <w:rFonts w:ascii="Arial" w:hAnsi="Arial" w:cs="Arial"/>
          <w:noProof/>
          <w:vertAlign w:val="superscript"/>
          <w:lang w:val="en-US"/>
        </w:rPr>
        <w:t>49</w:t>
      </w:r>
      <w:r w:rsidRPr="00430A5E">
        <w:rPr>
          <w:rFonts w:ascii="Arial" w:hAnsi="Arial" w:cs="Arial"/>
          <w:lang w:val="en-US"/>
        </w:rPr>
        <w:fldChar w:fldCharType="end"/>
      </w:r>
    </w:p>
    <w:p w14:paraId="517F4A80" w14:textId="460FF6FA" w:rsidR="008551DD" w:rsidRDefault="008551DD" w:rsidP="008551DD">
      <w:pPr>
        <w:spacing w:after="0" w:line="360" w:lineRule="auto"/>
        <w:jc w:val="both"/>
        <w:rPr>
          <w:rFonts w:ascii="Arial" w:hAnsi="Arial" w:cs="Arial"/>
          <w:b/>
          <w:sz w:val="24"/>
          <w:szCs w:val="24"/>
          <w:lang w:val="en-US"/>
        </w:rPr>
      </w:pPr>
    </w:p>
    <w:p w14:paraId="1B59DEA7" w14:textId="322616A4" w:rsidR="008551DD" w:rsidRPr="00430A5E" w:rsidRDefault="008551DD" w:rsidP="008551DD">
      <w:pPr>
        <w:pStyle w:val="Beschriftung"/>
        <w:keepNext/>
        <w:spacing w:line="360" w:lineRule="auto"/>
        <w:rPr>
          <w:rFonts w:ascii="Arial" w:hAnsi="Arial" w:cs="Arial"/>
          <w:color w:val="auto"/>
          <w:lang w:val="en-US"/>
        </w:rPr>
      </w:pPr>
      <w:r w:rsidRPr="00430A5E">
        <w:rPr>
          <w:rFonts w:ascii="Arial" w:hAnsi="Arial" w:cs="Arial"/>
          <w:b/>
          <w:bCs/>
          <w:color w:val="auto"/>
          <w:lang w:val="en-US"/>
        </w:rPr>
        <w:t xml:space="preserve">Table </w:t>
      </w:r>
      <w:r w:rsidR="006B0862">
        <w:rPr>
          <w:rFonts w:ascii="Arial" w:hAnsi="Arial" w:cs="Arial"/>
          <w:b/>
          <w:bCs/>
          <w:color w:val="auto"/>
          <w:lang w:val="en-US"/>
        </w:rPr>
        <w:t>3</w:t>
      </w:r>
      <w:r w:rsidRPr="00430A5E">
        <w:rPr>
          <w:rFonts w:ascii="Arial" w:hAnsi="Arial" w:cs="Arial"/>
          <w:color w:val="auto"/>
          <w:lang w:val="en-US"/>
        </w:rPr>
        <w:t xml:space="preserve"> Strains, plasmids and oligonucleotides used in this study.</w:t>
      </w:r>
    </w:p>
    <w:tbl>
      <w:tblPr>
        <w:tblStyle w:val="Tabellenraster"/>
        <w:tblpPr w:leftFromText="141" w:rightFromText="141" w:vertAnchor="text" w:tblpY="1"/>
        <w:tblOverlap w:val="never"/>
        <w:tblW w:w="9067" w:type="dxa"/>
        <w:tblLayout w:type="fixed"/>
        <w:tblLook w:val="04A0" w:firstRow="1" w:lastRow="0" w:firstColumn="1" w:lastColumn="0" w:noHBand="0" w:noVBand="1"/>
      </w:tblPr>
      <w:tblGrid>
        <w:gridCol w:w="2547"/>
        <w:gridCol w:w="4536"/>
        <w:gridCol w:w="1984"/>
      </w:tblGrid>
      <w:tr w:rsidR="008551DD" w:rsidRPr="00616C12" w14:paraId="3662632A" w14:textId="77777777" w:rsidTr="00134C00">
        <w:tc>
          <w:tcPr>
            <w:tcW w:w="2547" w:type="dxa"/>
          </w:tcPr>
          <w:p w14:paraId="61BF7173" w14:textId="77777777" w:rsidR="008551DD" w:rsidRPr="00430A5E" w:rsidRDefault="008551DD" w:rsidP="00134C00">
            <w:pPr>
              <w:spacing w:line="276" w:lineRule="auto"/>
              <w:jc w:val="both"/>
              <w:rPr>
                <w:rFonts w:ascii="Arial" w:hAnsi="Arial" w:cs="Arial"/>
                <w:b/>
                <w:sz w:val="18"/>
                <w:szCs w:val="18"/>
                <w:lang w:val="en-US"/>
              </w:rPr>
            </w:pPr>
            <w:bookmarkStart w:id="17" w:name="_Hlk36784858"/>
          </w:p>
        </w:tc>
        <w:tc>
          <w:tcPr>
            <w:tcW w:w="4536" w:type="dxa"/>
            <w:vAlign w:val="center"/>
          </w:tcPr>
          <w:p w14:paraId="08703F3E" w14:textId="77777777" w:rsidR="008551DD" w:rsidRPr="00430A5E" w:rsidRDefault="008551DD" w:rsidP="00134C00">
            <w:pPr>
              <w:spacing w:line="276" w:lineRule="auto"/>
              <w:rPr>
                <w:rFonts w:ascii="Arial" w:hAnsi="Arial" w:cs="Arial"/>
                <w:b/>
                <w:sz w:val="18"/>
                <w:szCs w:val="18"/>
                <w:lang w:val="en-US"/>
              </w:rPr>
            </w:pPr>
            <w:r w:rsidRPr="00430A5E">
              <w:rPr>
                <w:rFonts w:ascii="Arial" w:hAnsi="Arial" w:cs="Arial"/>
                <w:b/>
                <w:sz w:val="18"/>
                <w:szCs w:val="18"/>
                <w:lang w:val="en-US"/>
              </w:rPr>
              <w:t>Relevant features</w:t>
            </w:r>
          </w:p>
        </w:tc>
        <w:tc>
          <w:tcPr>
            <w:tcW w:w="1984" w:type="dxa"/>
            <w:vAlign w:val="center"/>
          </w:tcPr>
          <w:p w14:paraId="5536E7AB" w14:textId="77777777" w:rsidR="008551DD" w:rsidRPr="00430A5E" w:rsidRDefault="008551DD" w:rsidP="00134C00">
            <w:pPr>
              <w:spacing w:line="276" w:lineRule="auto"/>
              <w:rPr>
                <w:rFonts w:ascii="Arial" w:hAnsi="Arial" w:cs="Arial"/>
                <w:b/>
                <w:sz w:val="18"/>
                <w:szCs w:val="18"/>
                <w:lang w:val="en-US"/>
              </w:rPr>
            </w:pPr>
            <w:r w:rsidRPr="00430A5E">
              <w:rPr>
                <w:rFonts w:ascii="Arial" w:hAnsi="Arial" w:cs="Arial"/>
                <w:b/>
                <w:sz w:val="18"/>
                <w:szCs w:val="18"/>
                <w:lang w:val="en-US"/>
              </w:rPr>
              <w:t>Reference</w:t>
            </w:r>
          </w:p>
        </w:tc>
      </w:tr>
      <w:tr w:rsidR="008551DD" w:rsidRPr="00616C12" w14:paraId="788F82A5" w14:textId="77777777" w:rsidTr="00134C00">
        <w:tc>
          <w:tcPr>
            <w:tcW w:w="9067" w:type="dxa"/>
            <w:gridSpan w:val="3"/>
            <w:shd w:val="clear" w:color="auto" w:fill="D9D9D9" w:themeFill="background1" w:themeFillShade="D9"/>
            <w:vAlign w:val="center"/>
          </w:tcPr>
          <w:p w14:paraId="77830624" w14:textId="77777777" w:rsidR="008551DD" w:rsidRPr="00430A5E" w:rsidRDefault="008551DD" w:rsidP="00134C00">
            <w:pPr>
              <w:spacing w:line="276" w:lineRule="auto"/>
              <w:rPr>
                <w:rFonts w:ascii="Arial" w:hAnsi="Arial" w:cs="Arial"/>
                <w:b/>
                <w:sz w:val="18"/>
                <w:szCs w:val="18"/>
                <w:lang w:val="en-US"/>
              </w:rPr>
            </w:pPr>
            <w:r w:rsidRPr="00430A5E">
              <w:rPr>
                <w:rFonts w:ascii="Arial" w:hAnsi="Arial" w:cs="Arial"/>
                <w:b/>
                <w:sz w:val="18"/>
                <w:szCs w:val="18"/>
                <w:lang w:val="en-US"/>
              </w:rPr>
              <w:t>Strains</w:t>
            </w:r>
          </w:p>
        </w:tc>
      </w:tr>
      <w:tr w:rsidR="008551DD" w:rsidRPr="00430A5E" w14:paraId="50E57AA8" w14:textId="77777777" w:rsidTr="00134C00">
        <w:trPr>
          <w:trHeight w:val="666"/>
        </w:trPr>
        <w:tc>
          <w:tcPr>
            <w:tcW w:w="2547" w:type="dxa"/>
            <w:vAlign w:val="center"/>
          </w:tcPr>
          <w:p w14:paraId="3493DF9D" w14:textId="77777777" w:rsidR="008551DD" w:rsidRPr="00430A5E" w:rsidRDefault="008551DD" w:rsidP="00134C00">
            <w:pPr>
              <w:spacing w:line="276" w:lineRule="auto"/>
              <w:rPr>
                <w:rFonts w:ascii="Arial" w:hAnsi="Arial" w:cs="Arial"/>
                <w:i/>
                <w:sz w:val="18"/>
                <w:szCs w:val="18"/>
                <w:lang w:val="en-US"/>
              </w:rPr>
            </w:pPr>
            <w:r w:rsidRPr="00430A5E">
              <w:rPr>
                <w:rFonts w:ascii="Arial" w:hAnsi="Arial" w:cs="Arial"/>
                <w:i/>
                <w:sz w:val="18"/>
                <w:szCs w:val="18"/>
                <w:lang w:val="en-US"/>
              </w:rPr>
              <w:t>C. glutamicum</w:t>
            </w:r>
            <w:r w:rsidRPr="00430A5E">
              <w:rPr>
                <w:rFonts w:ascii="Arial" w:hAnsi="Arial" w:cs="Arial"/>
                <w:sz w:val="18"/>
                <w:szCs w:val="18"/>
                <w:lang w:val="en-US"/>
              </w:rPr>
              <w:t xml:space="preserve"> ATCC 13032</w:t>
            </w:r>
          </w:p>
        </w:tc>
        <w:tc>
          <w:tcPr>
            <w:tcW w:w="4536" w:type="dxa"/>
            <w:vAlign w:val="center"/>
          </w:tcPr>
          <w:p w14:paraId="27F664A0" w14:textId="77777777" w:rsidR="008551DD" w:rsidRPr="00430A5E" w:rsidRDefault="008551DD" w:rsidP="00134C00">
            <w:pPr>
              <w:spacing w:line="276" w:lineRule="auto"/>
              <w:rPr>
                <w:rFonts w:ascii="Arial" w:hAnsi="Arial" w:cs="Arial"/>
                <w:iCs/>
                <w:sz w:val="18"/>
                <w:szCs w:val="18"/>
                <w:lang w:val="en-US"/>
              </w:rPr>
            </w:pPr>
            <w:r w:rsidRPr="00430A5E">
              <w:rPr>
                <w:rFonts w:ascii="Arial" w:hAnsi="Arial" w:cs="Arial"/>
                <w:iCs/>
                <w:sz w:val="18"/>
                <w:szCs w:val="18"/>
                <w:lang w:val="en-US"/>
              </w:rPr>
              <w:t>Wild-type strain, biotin-auxotrophic</w:t>
            </w:r>
          </w:p>
        </w:tc>
        <w:tc>
          <w:tcPr>
            <w:tcW w:w="1984" w:type="dxa"/>
            <w:vAlign w:val="center"/>
          </w:tcPr>
          <w:p w14:paraId="327F18C1" w14:textId="515417D0" w:rsidR="008551DD" w:rsidRPr="00430A5E" w:rsidRDefault="008551DD" w:rsidP="00134C00">
            <w:pPr>
              <w:spacing w:line="276" w:lineRule="auto"/>
              <w:rPr>
                <w:rFonts w:ascii="Arial" w:hAnsi="Arial" w:cs="Arial"/>
                <w:sz w:val="18"/>
                <w:szCs w:val="18"/>
                <w:lang w:val="en-US"/>
              </w:rPr>
            </w:pPr>
            <w:r w:rsidRPr="00430A5E">
              <w:rPr>
                <w:rFonts w:ascii="Arial" w:hAnsi="Arial" w:cs="Arial"/>
                <w:sz w:val="18"/>
                <w:szCs w:val="18"/>
                <w:lang w:val="en-US"/>
              </w:rPr>
              <w:fldChar w:fldCharType="begin" w:fldLock="1"/>
            </w:r>
            <w:r w:rsidR="00F74091">
              <w:rPr>
                <w:rFonts w:ascii="Arial" w:hAnsi="Arial" w:cs="Arial"/>
                <w:sz w:val="18"/>
                <w:szCs w:val="18"/>
                <w:lang w:val="en-US"/>
              </w:rPr>
              <w:instrText>ADDIN CSL_CITATION {"citationItems":[{"id":"ITEM-1","itemData":{"DOI":"10.2323/jgam.13.279","ISSN":"13498037","abstract":"The taxonomical characters of 208 strains of glutamic acid-producing bacteria and the base compositions of DNA isolated from representative strains were studied. These organisms are, in general, Gram-positive, non-sporulating, non-motils, ellipsoidal spheres to short rods, pleomorphic and require biotin for growth and accumulate aerobically large amounts of L-glutamic acid. Some minor difference are found in physiological characteristics of these strains. All strains examined are considered to belong to a single or very closely related species in genus Corynebacterium. They can be classified physiologically into 12 types. The guanine plus cytosine (G-C) content of DNA of these strains is varied as represented by three groups, groups I, II and III, G-C contents of which are 53, 56 and 65%, respectively. Group I contain: most of the glutamic acid-producing strains and consists of the strains of the physiological types 1 to 10. On the other hand, those strains of groups II and III, which belong to physiological types 11 and 12, are different from those of group I in base composition of DNA. Although it is questionable whether the strains belonging to groups II and III could be assumed to belong to the same species as those belonging to group I, we consider it admictabie to name all these organisms Corynebacterium glutc.nicum laying a stress on their common character of glutamic acid production. © 1967, Applied Microbiology, Molecular and Cellular Biosciences Research Foundation. All rights reserved.","author":[{"dropping-particle":"","family":"Abe","given":"Shigeo","non-dropping-particle":"","parse-names":false,"suffix":""},{"dropping-particle":"","family":"Takayama","given":"Ken Ichiro","non-dropping-particle":"","parse-names":false,"suffix":""},{"dropping-particle":"","family":"Kinoshita","given":"Shukuo","non-dropping-particle":"","parse-names":false,"suffix":""}],"container-title":"The Journal of General and Applied Microbiology","id":"ITEM-1","issue":"3","issued":{"date-parts":[["1967"]]},"page":"279-301","title":"Taxonomical studies on glutamic acid-producing bacteria","type":"article-journal","volume":"13"},"uris":["http://www.mendeley.com/documents/?uuid=68128c5c-10f9-4904-88f7-e989ae683afe"]}],"mendeley":{"formattedCitation":"&lt;sup&gt;50&lt;/sup&gt;","plainTextFormattedCitation":"50","previouslyFormattedCitation":"&lt;sup&gt;36&lt;/sup&gt;"},"properties":{"noteIndex":0},"schema":"https://github.com/citation-style-language/schema/raw/master/csl-citation.json"}</w:instrText>
            </w:r>
            <w:r w:rsidRPr="00430A5E">
              <w:rPr>
                <w:rFonts w:ascii="Arial" w:hAnsi="Arial" w:cs="Arial"/>
                <w:sz w:val="18"/>
                <w:szCs w:val="18"/>
                <w:lang w:val="en-US"/>
              </w:rPr>
              <w:fldChar w:fldCharType="separate"/>
            </w:r>
            <w:r w:rsidR="00F74091" w:rsidRPr="00F74091">
              <w:rPr>
                <w:rFonts w:ascii="Arial" w:hAnsi="Arial" w:cs="Arial"/>
                <w:noProof/>
                <w:sz w:val="18"/>
                <w:szCs w:val="18"/>
                <w:vertAlign w:val="superscript"/>
                <w:lang w:val="en-US"/>
              </w:rPr>
              <w:t>50</w:t>
            </w:r>
            <w:r w:rsidRPr="00430A5E">
              <w:rPr>
                <w:rFonts w:ascii="Arial" w:hAnsi="Arial" w:cs="Arial"/>
                <w:sz w:val="18"/>
                <w:szCs w:val="18"/>
                <w:lang w:val="en-US"/>
              </w:rPr>
              <w:fldChar w:fldCharType="end"/>
            </w:r>
          </w:p>
        </w:tc>
      </w:tr>
      <w:tr w:rsidR="008551DD" w:rsidRPr="00616C12" w14:paraId="76384AAA" w14:textId="77777777" w:rsidTr="00134C00">
        <w:trPr>
          <w:trHeight w:val="666"/>
        </w:trPr>
        <w:tc>
          <w:tcPr>
            <w:tcW w:w="2547" w:type="dxa"/>
            <w:vAlign w:val="center"/>
          </w:tcPr>
          <w:p w14:paraId="0E9F5102" w14:textId="77777777" w:rsidR="008551DD" w:rsidRPr="00430A5E" w:rsidRDefault="008551DD" w:rsidP="00134C00">
            <w:pPr>
              <w:spacing w:line="276" w:lineRule="auto"/>
              <w:rPr>
                <w:rFonts w:ascii="Arial" w:hAnsi="Arial" w:cs="Arial"/>
                <w:sz w:val="18"/>
                <w:szCs w:val="18"/>
                <w:lang w:val="en-US"/>
              </w:rPr>
            </w:pPr>
            <w:r w:rsidRPr="00430A5E">
              <w:rPr>
                <w:rFonts w:ascii="Arial" w:hAnsi="Arial" w:cs="Arial"/>
                <w:i/>
                <w:sz w:val="18"/>
                <w:szCs w:val="18"/>
                <w:lang w:val="en-US"/>
              </w:rPr>
              <w:t>C. glutamicum</w:t>
            </w:r>
            <w:r w:rsidRPr="00430A5E">
              <w:rPr>
                <w:rFonts w:ascii="Arial" w:hAnsi="Arial" w:cs="Arial"/>
                <w:sz w:val="18"/>
                <w:szCs w:val="18"/>
                <w:lang w:val="en-US"/>
              </w:rPr>
              <w:t xml:space="preserve"> Δ</w:t>
            </w:r>
            <w:r w:rsidRPr="00430A5E">
              <w:rPr>
                <w:rFonts w:ascii="Arial" w:hAnsi="Arial" w:cs="Arial"/>
                <w:i/>
                <w:iCs/>
                <w:sz w:val="18"/>
                <w:szCs w:val="18"/>
                <w:lang w:val="en-US"/>
              </w:rPr>
              <w:t>lysA</w:t>
            </w:r>
          </w:p>
        </w:tc>
        <w:tc>
          <w:tcPr>
            <w:tcW w:w="4536" w:type="dxa"/>
            <w:vAlign w:val="center"/>
          </w:tcPr>
          <w:p w14:paraId="10F36244" w14:textId="77777777" w:rsidR="008551DD" w:rsidRPr="00430A5E" w:rsidRDefault="008551DD" w:rsidP="00134C00">
            <w:pPr>
              <w:spacing w:line="276" w:lineRule="auto"/>
              <w:rPr>
                <w:rFonts w:ascii="Arial" w:hAnsi="Arial" w:cs="Arial"/>
                <w:sz w:val="18"/>
                <w:szCs w:val="18"/>
                <w:lang w:val="en-US"/>
              </w:rPr>
            </w:pPr>
            <w:r w:rsidRPr="00430A5E">
              <w:rPr>
                <w:rFonts w:ascii="Arial" w:hAnsi="Arial" w:cs="Arial"/>
                <w:iCs/>
                <w:sz w:val="18"/>
                <w:szCs w:val="18"/>
                <w:lang w:val="en-US"/>
              </w:rPr>
              <w:t xml:space="preserve">L-lysine auxotrophic ATCC 13032 derivative with deletion of the gene </w:t>
            </w:r>
            <w:r w:rsidRPr="00430A5E">
              <w:rPr>
                <w:rFonts w:ascii="Arial" w:hAnsi="Arial" w:cs="Arial"/>
                <w:i/>
                <w:iCs/>
                <w:sz w:val="18"/>
                <w:szCs w:val="18"/>
                <w:lang w:val="en-US"/>
              </w:rPr>
              <w:t>lysA</w:t>
            </w:r>
            <w:r w:rsidRPr="00430A5E">
              <w:rPr>
                <w:rFonts w:ascii="Arial" w:hAnsi="Arial" w:cs="Arial"/>
                <w:iCs/>
                <w:sz w:val="18"/>
                <w:szCs w:val="18"/>
                <w:lang w:val="en-US"/>
              </w:rPr>
              <w:t xml:space="preserve"> (cg1334)</w:t>
            </w:r>
            <w:r w:rsidRPr="00430A5E">
              <w:rPr>
                <w:rFonts w:ascii="Arial" w:hAnsi="Arial" w:cs="Arial"/>
                <w:sz w:val="18"/>
                <w:szCs w:val="18"/>
                <w:lang w:val="en-US"/>
              </w:rPr>
              <w:t xml:space="preserve"> </w:t>
            </w:r>
          </w:p>
        </w:tc>
        <w:tc>
          <w:tcPr>
            <w:tcW w:w="1984" w:type="dxa"/>
            <w:vAlign w:val="center"/>
          </w:tcPr>
          <w:p w14:paraId="640D8871" w14:textId="2D6024C5" w:rsidR="008551DD" w:rsidRPr="00430A5E" w:rsidRDefault="008551DD" w:rsidP="00134C00">
            <w:pPr>
              <w:spacing w:line="276" w:lineRule="auto"/>
              <w:rPr>
                <w:rFonts w:ascii="Arial" w:hAnsi="Arial" w:cs="Arial"/>
                <w:sz w:val="18"/>
                <w:szCs w:val="18"/>
                <w:lang w:val="en-US"/>
              </w:rPr>
            </w:pPr>
            <w:r w:rsidRPr="00430A5E">
              <w:rPr>
                <w:rFonts w:ascii="Arial" w:hAnsi="Arial" w:cs="Arial"/>
                <w:sz w:val="18"/>
                <w:szCs w:val="18"/>
                <w:lang w:val="en-US"/>
              </w:rPr>
              <w:fldChar w:fldCharType="begin" w:fldLock="1"/>
            </w:r>
            <w:r w:rsidR="00F74091">
              <w:rPr>
                <w:rFonts w:ascii="Arial" w:hAnsi="Arial" w:cs="Arial"/>
                <w:sz w:val="18"/>
                <w:szCs w:val="18"/>
                <w:lang w:val="en-US"/>
              </w:rPr>
              <w:instrText>ADDIN CSL_CITATION {"citationItems":[{"id":"ITEM-1","itemData":{"DOI":"10.1111/j.1751-7915.2012.00360.x","ISBN":"1751-7915 (Electronic)\\r1751-7915 (Linking)","ISSN":"17517907","PMID":"22938655","abstract":"Fluorescent reporter proteins are widely used for the non-invasive monitoring of gene expression patterns, but dynamic measurements are hampered by the extremely high stability of GFP and homologue proteins. In this study, we used SsrA-mediated peptide tagging for the construction of unstable variants of the GFP derivative eYFP (enhanced yellow fluorescent protein) and applied those for transient gene expression analysis in the industrial platform organism Corynebacterium glutamicum.","author":[{"dropping-particle":"","family":"Hentschel","given":"Eva","non-dropping-particle":"","parse-names":false,"suffix":""},{"dropping-particle":"","family":"Will","given":"Cornelia","non-dropping-particle":"","parse-names":false,"suffix":""},{"dropping-particle":"","family":"Mustafi","given":"Nurije","non-dropping-particle":"","parse-names":false,"suffix":""},{"dropping-particle":"","family":"Burkovski","given":"Andreas","non-dropping-particle":"","parse-names":false,"suffix":""},{"dropping-particle":"","family":"Rehm","given":"Nadine","non-dropping-particle":"","parse-names":false,"suffix":""},{"dropping-particle":"","family":"Frunzke","given":"Julia","non-dropping-particle":"","parse-names":false,"suffix":""}],"container-title":"Microbial Biotechnology","id":"ITEM-1","issue":"2","issued":{"date-parts":[["2013"]]},"page":"196-201","title":"Destabilized eYFP variants for dynamic gene expression studies in Corynebacterium glutamicum","type":"article-journal","volume":"6"},"uris":["http://www.mendeley.com/documents/?uuid=cd713159-42c5-4e24-8dd6-f02d40fea9c6"]},{"id":"ITEM-2","itemData":{"DOI":"10.1128/jb.177.14.4021-4027.1995","ISBN":"0021-9193 (Print)","ISSN":"00219193","PMID":"7608075","abstract":"We found that the simple addition of L-methionine to the wild type of Corynebacterium glutamicum results in excretion of the cellular building block L-lysine up to rates of 2.5 nmol/min/mg (dry weight). Biochemical analyses revealed that L-methionine represses the homoserine dehydrogenase activity and reduces the intracellular L-threonine level from 7 to less than 2 mM. Since L-lysine synthesis is regulated mainly by L-threonine (plus L-lysine) availability, the result is enhanced flux towards L-lysine. This indicates a delicate and not well controlled type of flux control at the branch point of aspartate semialdehyde conversion to either L-lysine or L-threonine, probably due to the absence of isoenzymes in C. glutamicum. The inducible system of L-lysine excretion discovered was used to isolate mutants defective in the excretion of this amino acid. One such mutant characterized in detail accumulated 174 mM L-lysine in its cytosol without extracellular excretion of L-lysine, whereas the wild type accumulated 53 mM L-lysine in the cytosol and 5.9 mM L-lysine in the medium. The mutant was unaffected in L-lysine uptake or L-isoleucine or L-glutamate excretion, and also the membrane potential was unaltered. This mutant therefore represents a strain with a defect in an excretion system for the primary metabolite L-lysine.","author":[{"dropping-particle":"","family":"Vrljic","given":"M.","non-dropping-particle":"","parse-names":false,"suffix":""},{"dropping-particle":"","family":"Kronemeyer","given":"W.","non-dropping-particle":"","parse-names":false,"suffix":""},{"dropping-particle":"","family":"Sahm","given":"H.","non-dropping-particle":"","parse-names":false,"suffix":""},{"dropping-particle":"","family":"Eggeling","given":"L.","non-dropping-particle":"","parse-names":false,"suffix":""}],"container-title":"Journal of Bacteriology","id":"ITEM-2","issue":"14","issued":{"date-parts":[["1995"]]},"page":"4021-4027","title":"Unbalance of L-lysine flux in Corynebacterium glutamicum and its use for the isolation of excretion-defective mutants","type":"article-journal","volume":"177"},"uris":["http://www.mendeley.com/documents/?uuid=27dcdb42-7039-4932-ad07-3b5c977c5fa4"]}],"mendeley":{"formattedCitation":"&lt;sup&gt;51,52&lt;/sup&gt;","plainTextFormattedCitation":"51,52","previouslyFormattedCitation":"&lt;sup&gt;37,38&lt;/sup&gt;"},"properties":{"noteIndex":0},"schema":"https://github.com/citation-style-language/schema/raw/master/csl-citation.json"}</w:instrText>
            </w:r>
            <w:r w:rsidRPr="00430A5E">
              <w:rPr>
                <w:rFonts w:ascii="Arial" w:hAnsi="Arial" w:cs="Arial"/>
                <w:sz w:val="18"/>
                <w:szCs w:val="18"/>
                <w:lang w:val="en-US"/>
              </w:rPr>
              <w:fldChar w:fldCharType="separate"/>
            </w:r>
            <w:r w:rsidR="00F74091" w:rsidRPr="00F74091">
              <w:rPr>
                <w:rFonts w:ascii="Arial" w:hAnsi="Arial" w:cs="Arial"/>
                <w:noProof/>
                <w:sz w:val="18"/>
                <w:szCs w:val="18"/>
                <w:vertAlign w:val="superscript"/>
                <w:lang w:val="en-US"/>
              </w:rPr>
              <w:t>51,52</w:t>
            </w:r>
            <w:r w:rsidRPr="00430A5E">
              <w:rPr>
                <w:rFonts w:ascii="Arial" w:hAnsi="Arial" w:cs="Arial"/>
                <w:sz w:val="18"/>
                <w:szCs w:val="18"/>
                <w:lang w:val="en-US"/>
              </w:rPr>
              <w:fldChar w:fldCharType="end"/>
            </w:r>
          </w:p>
        </w:tc>
      </w:tr>
      <w:tr w:rsidR="008551DD" w:rsidRPr="00616C12" w14:paraId="730E2F8D" w14:textId="77777777" w:rsidTr="00134C00">
        <w:trPr>
          <w:trHeight w:val="1134"/>
        </w:trPr>
        <w:tc>
          <w:tcPr>
            <w:tcW w:w="2547" w:type="dxa"/>
            <w:vAlign w:val="center"/>
          </w:tcPr>
          <w:p w14:paraId="68954002" w14:textId="77777777" w:rsidR="008551DD" w:rsidRPr="00430A5E" w:rsidRDefault="008551DD" w:rsidP="00134C00">
            <w:pPr>
              <w:spacing w:line="276" w:lineRule="auto"/>
              <w:rPr>
                <w:rFonts w:ascii="Arial" w:hAnsi="Arial" w:cs="Arial"/>
                <w:sz w:val="18"/>
                <w:szCs w:val="18"/>
                <w:lang w:val="en-US"/>
              </w:rPr>
            </w:pPr>
            <w:r w:rsidRPr="00430A5E">
              <w:rPr>
                <w:rFonts w:ascii="Arial" w:hAnsi="Arial" w:cs="Arial"/>
                <w:i/>
                <w:sz w:val="18"/>
                <w:szCs w:val="18"/>
                <w:lang w:val="en-US"/>
              </w:rPr>
              <w:t>C. glutamicum</w:t>
            </w:r>
            <w:r w:rsidRPr="00430A5E">
              <w:rPr>
                <w:rFonts w:ascii="Arial" w:hAnsi="Arial" w:cs="Arial"/>
                <w:sz w:val="18"/>
                <w:szCs w:val="18"/>
                <w:lang w:val="en-US"/>
              </w:rPr>
              <w:t xml:space="preserve"> DM1800</w:t>
            </w:r>
          </w:p>
        </w:tc>
        <w:tc>
          <w:tcPr>
            <w:tcW w:w="4536" w:type="dxa"/>
            <w:vAlign w:val="center"/>
          </w:tcPr>
          <w:p w14:paraId="40C58E6D" w14:textId="77777777" w:rsidR="008551DD" w:rsidRPr="00430A5E" w:rsidRDefault="008551DD" w:rsidP="00134C00">
            <w:pPr>
              <w:spacing w:line="276" w:lineRule="auto"/>
              <w:rPr>
                <w:rFonts w:ascii="Arial" w:hAnsi="Arial" w:cs="Arial"/>
                <w:sz w:val="18"/>
                <w:szCs w:val="18"/>
                <w:lang w:val="en-US"/>
              </w:rPr>
            </w:pPr>
            <w:r w:rsidRPr="00430A5E">
              <w:rPr>
                <w:rFonts w:ascii="Arial" w:hAnsi="Arial" w:cs="Arial"/>
                <w:sz w:val="18"/>
                <w:szCs w:val="18"/>
                <w:lang w:val="en-US"/>
              </w:rPr>
              <w:t>ATCC 13032 derivative with an amino acid substitution (Pro458Ser) in the pyruvate carboxylase gene (</w:t>
            </w:r>
            <w:r w:rsidRPr="00430A5E">
              <w:rPr>
                <w:rFonts w:ascii="Arial" w:hAnsi="Arial" w:cs="Arial"/>
                <w:i/>
                <w:iCs/>
                <w:sz w:val="18"/>
                <w:szCs w:val="18"/>
                <w:lang w:val="en-US"/>
              </w:rPr>
              <w:t>pyc</w:t>
            </w:r>
            <w:r w:rsidRPr="00430A5E">
              <w:rPr>
                <w:rFonts w:ascii="Arial" w:hAnsi="Arial" w:cs="Arial"/>
                <w:sz w:val="18"/>
                <w:szCs w:val="18"/>
                <w:vertAlign w:val="superscript"/>
                <w:lang w:val="en-US"/>
              </w:rPr>
              <w:t>P458S</w:t>
            </w:r>
            <w:r w:rsidRPr="00430A5E">
              <w:rPr>
                <w:rFonts w:ascii="Arial" w:hAnsi="Arial" w:cs="Arial"/>
                <w:sz w:val="18"/>
                <w:szCs w:val="18"/>
                <w:lang w:val="en-US"/>
              </w:rPr>
              <w:t>, cg0791) and a feedback resistant aspartate kinase (</w:t>
            </w:r>
            <w:r w:rsidRPr="00430A5E">
              <w:rPr>
                <w:rFonts w:ascii="Arial" w:hAnsi="Arial" w:cs="Arial"/>
                <w:i/>
                <w:iCs/>
                <w:sz w:val="18"/>
                <w:szCs w:val="18"/>
                <w:lang w:val="en-US"/>
              </w:rPr>
              <w:t>lysC</w:t>
            </w:r>
            <w:r w:rsidRPr="00430A5E">
              <w:rPr>
                <w:rFonts w:ascii="Arial" w:hAnsi="Arial" w:cs="Arial"/>
                <w:sz w:val="18"/>
                <w:szCs w:val="18"/>
                <w:vertAlign w:val="superscript"/>
                <w:lang w:val="en-US"/>
              </w:rPr>
              <w:t>T311I</w:t>
            </w:r>
            <w:r w:rsidRPr="00430A5E">
              <w:rPr>
                <w:rFonts w:ascii="Arial" w:hAnsi="Arial" w:cs="Arial"/>
                <w:i/>
                <w:iCs/>
                <w:sz w:val="18"/>
                <w:szCs w:val="18"/>
                <w:lang w:val="en-US"/>
              </w:rPr>
              <w:t>, cg0306</w:t>
            </w:r>
            <w:r w:rsidRPr="00430A5E">
              <w:rPr>
                <w:rFonts w:ascii="Arial" w:hAnsi="Arial" w:cs="Arial"/>
                <w:sz w:val="18"/>
                <w:szCs w:val="18"/>
                <w:lang w:val="en-US"/>
              </w:rPr>
              <w:t>)</w:t>
            </w:r>
          </w:p>
        </w:tc>
        <w:tc>
          <w:tcPr>
            <w:tcW w:w="1984" w:type="dxa"/>
            <w:vAlign w:val="center"/>
          </w:tcPr>
          <w:p w14:paraId="75F5D58B" w14:textId="77777777" w:rsidR="008551DD" w:rsidRPr="00430A5E" w:rsidRDefault="008551DD" w:rsidP="00134C00">
            <w:pPr>
              <w:spacing w:line="276" w:lineRule="auto"/>
              <w:rPr>
                <w:rFonts w:ascii="Arial" w:hAnsi="Arial" w:cs="Arial"/>
                <w:sz w:val="18"/>
                <w:szCs w:val="18"/>
                <w:lang w:val="en-US"/>
              </w:rPr>
            </w:pPr>
            <w:r w:rsidRPr="00430A5E">
              <w:rPr>
                <w:rFonts w:ascii="Arial" w:hAnsi="Arial" w:cs="Arial"/>
                <w:sz w:val="18"/>
                <w:szCs w:val="18"/>
                <w:lang w:val="en-US"/>
              </w:rPr>
              <w:t>Evonik, Degussa</w:t>
            </w:r>
          </w:p>
        </w:tc>
      </w:tr>
      <w:tr w:rsidR="008551DD" w:rsidRPr="00616C12" w14:paraId="7076FFAC" w14:textId="77777777" w:rsidTr="00134C00">
        <w:trPr>
          <w:trHeight w:val="975"/>
        </w:trPr>
        <w:tc>
          <w:tcPr>
            <w:tcW w:w="2547" w:type="dxa"/>
            <w:vAlign w:val="center"/>
          </w:tcPr>
          <w:p w14:paraId="02433062" w14:textId="77777777" w:rsidR="008551DD" w:rsidRPr="00430A5E" w:rsidRDefault="008551DD" w:rsidP="00134C00">
            <w:pPr>
              <w:spacing w:line="276" w:lineRule="auto"/>
              <w:rPr>
                <w:rFonts w:ascii="Arial" w:hAnsi="Arial" w:cs="Arial"/>
                <w:i/>
                <w:sz w:val="18"/>
                <w:szCs w:val="18"/>
                <w:lang w:val="en-US"/>
              </w:rPr>
            </w:pPr>
            <w:r w:rsidRPr="00430A5E">
              <w:rPr>
                <w:rFonts w:ascii="Arial" w:hAnsi="Arial" w:cs="Arial"/>
                <w:i/>
                <w:sz w:val="18"/>
                <w:szCs w:val="18"/>
                <w:lang w:val="en-US"/>
              </w:rPr>
              <w:t xml:space="preserve">C. glutamicum </w:t>
            </w:r>
            <w:r w:rsidRPr="00430A5E">
              <w:rPr>
                <w:rFonts w:ascii="Arial" w:hAnsi="Arial" w:cs="Arial"/>
                <w:iCs/>
                <w:sz w:val="18"/>
                <w:szCs w:val="18"/>
                <w:lang w:val="en-US"/>
              </w:rPr>
              <w:t>DM1727</w:t>
            </w:r>
          </w:p>
        </w:tc>
        <w:tc>
          <w:tcPr>
            <w:tcW w:w="4536" w:type="dxa"/>
            <w:vAlign w:val="center"/>
          </w:tcPr>
          <w:p w14:paraId="66A3D253" w14:textId="77777777" w:rsidR="008551DD" w:rsidRPr="00430A5E" w:rsidRDefault="008551DD" w:rsidP="00134C00">
            <w:pPr>
              <w:spacing w:line="276" w:lineRule="auto"/>
              <w:rPr>
                <w:rFonts w:ascii="Arial" w:hAnsi="Arial" w:cs="Arial"/>
                <w:sz w:val="18"/>
                <w:szCs w:val="18"/>
                <w:lang w:val="en-US"/>
              </w:rPr>
            </w:pPr>
            <w:r w:rsidRPr="00430A5E">
              <w:rPr>
                <w:rFonts w:ascii="Arial" w:hAnsi="Arial" w:cs="Arial"/>
                <w:sz w:val="18"/>
                <w:szCs w:val="18"/>
                <w:lang w:val="en-US"/>
              </w:rPr>
              <w:t>ATCC 13032 derivative with an amino acid substitution (Pro458Ser) in the pyruvate carboxylase gene (</w:t>
            </w:r>
            <w:r w:rsidRPr="00430A5E">
              <w:rPr>
                <w:rFonts w:ascii="Arial" w:hAnsi="Arial" w:cs="Arial"/>
                <w:i/>
                <w:iCs/>
                <w:sz w:val="18"/>
                <w:szCs w:val="18"/>
                <w:lang w:val="en-US"/>
              </w:rPr>
              <w:t>pyc</w:t>
            </w:r>
            <w:r w:rsidRPr="00430A5E">
              <w:rPr>
                <w:rFonts w:ascii="Arial" w:hAnsi="Arial" w:cs="Arial"/>
                <w:sz w:val="18"/>
                <w:szCs w:val="18"/>
                <w:vertAlign w:val="superscript"/>
                <w:lang w:val="en-US"/>
              </w:rPr>
              <w:t>P458S</w:t>
            </w:r>
            <w:r w:rsidRPr="00430A5E">
              <w:rPr>
                <w:rFonts w:ascii="Arial" w:hAnsi="Arial" w:cs="Arial"/>
                <w:sz w:val="18"/>
                <w:szCs w:val="18"/>
                <w:lang w:val="en-US"/>
              </w:rPr>
              <w:t>, cg0791)</w:t>
            </w:r>
          </w:p>
        </w:tc>
        <w:tc>
          <w:tcPr>
            <w:tcW w:w="1984" w:type="dxa"/>
            <w:vAlign w:val="center"/>
          </w:tcPr>
          <w:p w14:paraId="35C8B93C" w14:textId="77777777" w:rsidR="008551DD" w:rsidRPr="00430A5E" w:rsidRDefault="008551DD" w:rsidP="00134C00">
            <w:pPr>
              <w:spacing w:line="276" w:lineRule="auto"/>
              <w:rPr>
                <w:rFonts w:ascii="Arial" w:hAnsi="Arial" w:cs="Arial"/>
                <w:sz w:val="18"/>
                <w:szCs w:val="18"/>
                <w:lang w:val="en-US"/>
              </w:rPr>
            </w:pPr>
            <w:r w:rsidRPr="00430A5E">
              <w:rPr>
                <w:rFonts w:ascii="Arial" w:hAnsi="Arial" w:cs="Arial"/>
                <w:sz w:val="18"/>
                <w:szCs w:val="18"/>
                <w:lang w:val="en-US"/>
              </w:rPr>
              <w:t>Evonik, Degussa</w:t>
            </w:r>
          </w:p>
        </w:tc>
      </w:tr>
      <w:tr w:rsidR="008551DD" w:rsidRPr="00616C12" w14:paraId="78D5754B" w14:textId="77777777" w:rsidTr="00134C00">
        <w:trPr>
          <w:trHeight w:val="874"/>
        </w:trPr>
        <w:tc>
          <w:tcPr>
            <w:tcW w:w="2547" w:type="dxa"/>
            <w:vAlign w:val="center"/>
          </w:tcPr>
          <w:p w14:paraId="203B5143" w14:textId="77777777" w:rsidR="008551DD" w:rsidRPr="00430A5E" w:rsidRDefault="008551DD" w:rsidP="00134C00">
            <w:pPr>
              <w:spacing w:line="276" w:lineRule="auto"/>
              <w:rPr>
                <w:rFonts w:ascii="Arial" w:hAnsi="Arial" w:cs="Arial"/>
                <w:iCs/>
                <w:sz w:val="18"/>
                <w:szCs w:val="18"/>
                <w:lang w:val="en-US"/>
              </w:rPr>
            </w:pPr>
            <w:r w:rsidRPr="00430A5E">
              <w:rPr>
                <w:rFonts w:ascii="Arial" w:hAnsi="Arial" w:cs="Arial"/>
                <w:i/>
                <w:iCs/>
                <w:sz w:val="18"/>
                <w:szCs w:val="18"/>
                <w:lang w:val="en-US"/>
              </w:rPr>
              <w:t>E. coli</w:t>
            </w:r>
            <w:r w:rsidRPr="00430A5E">
              <w:rPr>
                <w:rFonts w:ascii="Arial" w:hAnsi="Arial" w:cs="Arial"/>
                <w:iCs/>
                <w:sz w:val="18"/>
                <w:szCs w:val="18"/>
                <w:lang w:val="en-US"/>
              </w:rPr>
              <w:t xml:space="preserve"> DH5α</w:t>
            </w:r>
          </w:p>
        </w:tc>
        <w:tc>
          <w:tcPr>
            <w:tcW w:w="4536" w:type="dxa"/>
            <w:vAlign w:val="center"/>
          </w:tcPr>
          <w:p w14:paraId="1EA940D9" w14:textId="77777777" w:rsidR="008551DD" w:rsidRPr="00430A5E" w:rsidRDefault="008551DD" w:rsidP="00134C00">
            <w:pPr>
              <w:spacing w:line="276" w:lineRule="auto"/>
              <w:rPr>
                <w:rFonts w:ascii="Arial" w:hAnsi="Arial" w:cs="Arial"/>
                <w:iCs/>
                <w:sz w:val="18"/>
                <w:szCs w:val="18"/>
                <w:lang w:val="en-US"/>
              </w:rPr>
            </w:pPr>
            <w:r w:rsidRPr="00430A5E">
              <w:rPr>
                <w:rFonts w:ascii="Arial" w:hAnsi="Arial" w:cs="Arial"/>
                <w:iCs/>
                <w:sz w:val="18"/>
                <w:szCs w:val="18"/>
                <w:lang w:val="en-US"/>
              </w:rPr>
              <w:t>F– Φ80lacZΔM15 Δ(lacZYA-argF)U169 recA1 endA1 hsdR17 (rK–, mK+) phoA supE44 λ– thi-1 gyrA96 relA1</w:t>
            </w:r>
          </w:p>
        </w:tc>
        <w:tc>
          <w:tcPr>
            <w:tcW w:w="1984" w:type="dxa"/>
            <w:vAlign w:val="center"/>
          </w:tcPr>
          <w:p w14:paraId="5E297F93" w14:textId="77777777" w:rsidR="008551DD" w:rsidRPr="00430A5E" w:rsidRDefault="008551DD" w:rsidP="00134C00">
            <w:pPr>
              <w:spacing w:line="276" w:lineRule="auto"/>
              <w:rPr>
                <w:rFonts w:ascii="Arial" w:hAnsi="Arial" w:cs="Arial"/>
                <w:sz w:val="18"/>
                <w:szCs w:val="18"/>
                <w:lang w:val="en-US"/>
              </w:rPr>
            </w:pPr>
            <w:r w:rsidRPr="00430A5E">
              <w:rPr>
                <w:rFonts w:ascii="Arial" w:hAnsi="Arial" w:cs="Arial"/>
                <w:sz w:val="18"/>
                <w:szCs w:val="18"/>
                <w:lang w:val="en-US"/>
              </w:rPr>
              <w:t>Invitrogen</w:t>
            </w:r>
          </w:p>
          <w:p w14:paraId="791013D3" w14:textId="77777777" w:rsidR="008551DD" w:rsidRPr="00430A5E" w:rsidRDefault="008551DD" w:rsidP="00134C00">
            <w:pPr>
              <w:spacing w:line="276" w:lineRule="auto"/>
              <w:rPr>
                <w:rFonts w:ascii="Arial" w:hAnsi="Arial" w:cs="Arial"/>
                <w:sz w:val="18"/>
                <w:szCs w:val="18"/>
                <w:lang w:val="en-US"/>
              </w:rPr>
            </w:pPr>
            <w:r w:rsidRPr="00430A5E">
              <w:rPr>
                <w:rFonts w:ascii="Arial" w:hAnsi="Arial" w:cs="Arial"/>
                <w:sz w:val="18"/>
                <w:szCs w:val="18"/>
                <w:lang w:val="en-US"/>
              </w:rPr>
              <w:t>(Karlsruhe, Germany)</w:t>
            </w:r>
          </w:p>
        </w:tc>
      </w:tr>
      <w:tr w:rsidR="008551DD" w:rsidRPr="00616C12" w14:paraId="4BEEAACD" w14:textId="77777777" w:rsidTr="00134C00">
        <w:tc>
          <w:tcPr>
            <w:tcW w:w="9067" w:type="dxa"/>
            <w:gridSpan w:val="3"/>
            <w:shd w:val="clear" w:color="auto" w:fill="D9D9D9" w:themeFill="background1" w:themeFillShade="D9"/>
            <w:vAlign w:val="center"/>
          </w:tcPr>
          <w:p w14:paraId="3001B0F6" w14:textId="77777777" w:rsidR="008551DD" w:rsidRPr="00430A5E" w:rsidRDefault="008551DD" w:rsidP="00134C00">
            <w:pPr>
              <w:spacing w:line="276" w:lineRule="auto"/>
              <w:rPr>
                <w:rFonts w:ascii="Arial" w:hAnsi="Arial" w:cs="Arial"/>
                <w:sz w:val="18"/>
                <w:szCs w:val="18"/>
                <w:lang w:val="en-US"/>
              </w:rPr>
            </w:pPr>
            <w:bookmarkStart w:id="18" w:name="_Hlk59375557"/>
            <w:r w:rsidRPr="00430A5E">
              <w:rPr>
                <w:rFonts w:ascii="Arial" w:hAnsi="Arial" w:cs="Arial"/>
                <w:b/>
                <w:bCs/>
                <w:iCs/>
                <w:sz w:val="18"/>
                <w:szCs w:val="18"/>
                <w:lang w:val="en-US"/>
              </w:rPr>
              <w:t>Plasmids</w:t>
            </w:r>
          </w:p>
        </w:tc>
      </w:tr>
      <w:tr w:rsidR="008551DD" w:rsidRPr="00616C12" w14:paraId="1A4A3895" w14:textId="77777777" w:rsidTr="00134C00">
        <w:trPr>
          <w:trHeight w:val="850"/>
        </w:trPr>
        <w:tc>
          <w:tcPr>
            <w:tcW w:w="2547" w:type="dxa"/>
            <w:vAlign w:val="center"/>
          </w:tcPr>
          <w:p w14:paraId="1E1B67B8" w14:textId="77777777" w:rsidR="008551DD" w:rsidRPr="00430A5E" w:rsidRDefault="008551DD" w:rsidP="00134C00">
            <w:pPr>
              <w:spacing w:line="276" w:lineRule="auto"/>
              <w:rPr>
                <w:rFonts w:ascii="Arial" w:hAnsi="Arial" w:cs="Arial"/>
                <w:i/>
                <w:sz w:val="18"/>
                <w:szCs w:val="18"/>
                <w:lang w:val="en-US"/>
              </w:rPr>
            </w:pPr>
            <w:r w:rsidRPr="00430A5E">
              <w:rPr>
                <w:rFonts w:ascii="Arial" w:eastAsia="Times New Roman" w:hAnsi="Arial" w:cs="Arial"/>
                <w:sz w:val="18"/>
                <w:szCs w:val="18"/>
                <w:lang w:val="en-US" w:eastAsia="de-DE"/>
              </w:rPr>
              <w:t>pEKEx2-eYFP</w:t>
            </w:r>
          </w:p>
        </w:tc>
        <w:tc>
          <w:tcPr>
            <w:tcW w:w="4536" w:type="dxa"/>
            <w:vAlign w:val="center"/>
          </w:tcPr>
          <w:p w14:paraId="1C66D13E" w14:textId="77777777" w:rsidR="008551DD" w:rsidRPr="00430A5E" w:rsidRDefault="008551DD" w:rsidP="00134C00">
            <w:pPr>
              <w:spacing w:line="276" w:lineRule="auto"/>
              <w:rPr>
                <w:rFonts w:ascii="Arial" w:eastAsia="Times New Roman" w:hAnsi="Arial" w:cs="Arial"/>
                <w:sz w:val="18"/>
                <w:szCs w:val="18"/>
                <w:lang w:val="en-US" w:eastAsia="de-DE"/>
              </w:rPr>
            </w:pPr>
            <w:r w:rsidRPr="00430A5E">
              <w:rPr>
                <w:rFonts w:ascii="Arial" w:eastAsia="Times New Roman" w:hAnsi="Arial" w:cs="Arial"/>
                <w:sz w:val="18"/>
                <w:szCs w:val="18"/>
                <w:lang w:val="en-US" w:eastAsia="de-DE"/>
              </w:rPr>
              <w:t>Kan</w:t>
            </w:r>
            <w:r w:rsidRPr="00430A5E">
              <w:rPr>
                <w:rFonts w:ascii="Arial" w:eastAsia="Times New Roman" w:hAnsi="Arial" w:cs="Arial"/>
                <w:sz w:val="18"/>
                <w:szCs w:val="18"/>
                <w:vertAlign w:val="superscript"/>
                <w:lang w:val="en-US" w:eastAsia="de-DE"/>
              </w:rPr>
              <w:t>r</w:t>
            </w:r>
            <w:r w:rsidRPr="00430A5E">
              <w:rPr>
                <w:rFonts w:ascii="Arial" w:eastAsia="Times New Roman" w:hAnsi="Arial" w:cs="Arial"/>
                <w:sz w:val="18"/>
                <w:szCs w:val="18"/>
                <w:lang w:val="en-US" w:eastAsia="de-DE"/>
              </w:rPr>
              <w:t xml:space="preserve">; </w:t>
            </w:r>
            <w:r w:rsidRPr="00430A5E">
              <w:rPr>
                <w:rFonts w:ascii="Arial" w:eastAsia="Times New Roman" w:hAnsi="Arial" w:cs="Arial"/>
                <w:i/>
                <w:iCs/>
                <w:sz w:val="18"/>
                <w:szCs w:val="18"/>
                <w:lang w:val="en-US" w:eastAsia="de-DE"/>
              </w:rPr>
              <w:t>C. glutamicum/E. coli</w:t>
            </w:r>
            <w:r w:rsidRPr="00430A5E">
              <w:rPr>
                <w:rFonts w:ascii="Arial" w:eastAsia="Times New Roman" w:hAnsi="Arial" w:cs="Arial"/>
                <w:sz w:val="18"/>
                <w:szCs w:val="18"/>
                <w:lang w:val="en-US" w:eastAsia="de-DE"/>
              </w:rPr>
              <w:t xml:space="preserve"> shuttle vector for regulated gene expression with inserted eYFP </w:t>
            </w:r>
          </w:p>
          <w:p w14:paraId="2F75F15F" w14:textId="77777777" w:rsidR="008551DD" w:rsidRPr="00430A5E" w:rsidRDefault="008551DD" w:rsidP="00134C00">
            <w:pPr>
              <w:spacing w:line="276" w:lineRule="auto"/>
              <w:rPr>
                <w:rFonts w:ascii="Arial" w:hAnsi="Arial" w:cs="Arial"/>
                <w:sz w:val="18"/>
                <w:szCs w:val="18"/>
                <w:lang w:val="en-US"/>
              </w:rPr>
            </w:pPr>
            <w:r w:rsidRPr="00430A5E">
              <w:rPr>
                <w:rFonts w:ascii="Arial" w:eastAsia="Times New Roman" w:hAnsi="Arial" w:cs="Arial"/>
                <w:sz w:val="18"/>
                <w:szCs w:val="18"/>
                <w:lang w:val="en-US" w:eastAsia="de-DE"/>
              </w:rPr>
              <w:t>(P</w:t>
            </w:r>
            <w:r w:rsidRPr="00430A5E">
              <w:rPr>
                <w:rFonts w:ascii="Arial" w:eastAsia="Times New Roman" w:hAnsi="Arial" w:cs="Arial"/>
                <w:sz w:val="18"/>
                <w:szCs w:val="18"/>
                <w:vertAlign w:val="subscript"/>
                <w:lang w:val="en-US" w:eastAsia="de-DE"/>
              </w:rPr>
              <w:t>tac</w:t>
            </w:r>
            <w:r w:rsidRPr="00430A5E">
              <w:rPr>
                <w:rFonts w:ascii="Arial" w:eastAsia="Times New Roman" w:hAnsi="Arial" w:cs="Arial"/>
                <w:sz w:val="18"/>
                <w:szCs w:val="18"/>
                <w:lang w:val="en-US" w:eastAsia="de-DE"/>
              </w:rPr>
              <w:t>, lacI</w:t>
            </w:r>
            <w:r w:rsidRPr="00430A5E">
              <w:rPr>
                <w:rFonts w:ascii="Arial" w:eastAsia="Times New Roman" w:hAnsi="Arial" w:cs="Arial"/>
                <w:sz w:val="18"/>
                <w:szCs w:val="18"/>
                <w:vertAlign w:val="superscript"/>
                <w:lang w:val="en-US" w:eastAsia="de-DE"/>
              </w:rPr>
              <w:t>q</w:t>
            </w:r>
            <w:r w:rsidRPr="00430A5E">
              <w:rPr>
                <w:rFonts w:ascii="Arial" w:eastAsia="Times New Roman" w:hAnsi="Arial" w:cs="Arial"/>
                <w:sz w:val="18"/>
                <w:szCs w:val="18"/>
                <w:lang w:val="en-US" w:eastAsia="de-DE"/>
              </w:rPr>
              <w:t>, pBL1 oriV</w:t>
            </w:r>
            <w:r w:rsidRPr="00430A5E">
              <w:rPr>
                <w:rFonts w:ascii="Arial" w:eastAsia="Times New Roman" w:hAnsi="Arial" w:cs="Arial"/>
                <w:sz w:val="18"/>
                <w:szCs w:val="18"/>
                <w:vertAlign w:val="subscript"/>
                <w:lang w:val="en-US" w:eastAsia="de-DE"/>
              </w:rPr>
              <w:t>C.</w:t>
            </w:r>
            <w:r w:rsidRPr="00430A5E">
              <w:rPr>
                <w:rFonts w:ascii="Arial" w:eastAsia="Times New Roman" w:hAnsi="Arial" w:cs="Arial"/>
                <w:i/>
                <w:iCs/>
                <w:sz w:val="18"/>
                <w:szCs w:val="18"/>
                <w:vertAlign w:val="subscript"/>
                <w:lang w:val="en-US" w:eastAsia="de-DE"/>
              </w:rPr>
              <w:t>glutamicum</w:t>
            </w:r>
            <w:r w:rsidRPr="00430A5E">
              <w:rPr>
                <w:rFonts w:ascii="Arial" w:eastAsia="Times New Roman" w:hAnsi="Arial" w:cs="Arial"/>
                <w:sz w:val="18"/>
                <w:szCs w:val="18"/>
                <w:lang w:val="en-US" w:eastAsia="de-DE"/>
              </w:rPr>
              <w:t>, pUC18 oriV</w:t>
            </w:r>
            <w:r w:rsidRPr="00430A5E">
              <w:rPr>
                <w:rFonts w:ascii="Arial" w:eastAsia="Times New Roman" w:hAnsi="Arial" w:cs="Arial"/>
                <w:sz w:val="18"/>
                <w:szCs w:val="18"/>
                <w:vertAlign w:val="subscript"/>
                <w:lang w:val="en-US" w:eastAsia="de-DE"/>
              </w:rPr>
              <w:t>E.</w:t>
            </w:r>
            <w:r w:rsidRPr="00430A5E">
              <w:rPr>
                <w:rFonts w:ascii="Arial" w:eastAsia="Times New Roman" w:hAnsi="Arial" w:cs="Arial"/>
                <w:i/>
                <w:iCs/>
                <w:sz w:val="18"/>
                <w:szCs w:val="18"/>
                <w:vertAlign w:val="subscript"/>
                <w:lang w:val="en-US" w:eastAsia="de-DE"/>
              </w:rPr>
              <w:t>coli</w:t>
            </w:r>
            <w:r w:rsidRPr="00430A5E">
              <w:rPr>
                <w:rFonts w:ascii="Arial" w:eastAsia="Times New Roman" w:hAnsi="Arial" w:cs="Arial"/>
                <w:sz w:val="18"/>
                <w:szCs w:val="18"/>
                <w:lang w:val="en-US" w:eastAsia="de-DE"/>
              </w:rPr>
              <w:t>)</w:t>
            </w:r>
          </w:p>
        </w:tc>
        <w:tc>
          <w:tcPr>
            <w:tcW w:w="1984" w:type="dxa"/>
            <w:vAlign w:val="center"/>
          </w:tcPr>
          <w:p w14:paraId="5AB985AE" w14:textId="0EF4E289" w:rsidR="008551DD" w:rsidRPr="00430A5E" w:rsidRDefault="008551DD" w:rsidP="00134C00">
            <w:pPr>
              <w:spacing w:line="276" w:lineRule="auto"/>
              <w:rPr>
                <w:rFonts w:ascii="Arial" w:hAnsi="Arial" w:cs="Arial"/>
                <w:sz w:val="18"/>
                <w:szCs w:val="18"/>
                <w:lang w:val="en-US"/>
              </w:rPr>
            </w:pPr>
            <w:r w:rsidRPr="00430A5E">
              <w:rPr>
                <w:rFonts w:ascii="Arial" w:hAnsi="Arial" w:cs="Arial"/>
                <w:sz w:val="18"/>
                <w:szCs w:val="18"/>
                <w:lang w:val="en-US"/>
              </w:rPr>
              <w:fldChar w:fldCharType="begin" w:fldLock="1"/>
            </w:r>
            <w:r w:rsidR="00F74091">
              <w:rPr>
                <w:rFonts w:ascii="Arial" w:hAnsi="Arial" w:cs="Arial"/>
                <w:sz w:val="18"/>
                <w:szCs w:val="18"/>
                <w:lang w:val="en-US"/>
              </w:rPr>
              <w:instrText>ADDIN CSL_CITATION {"citationItems":[{"id":"ITEM-1","itemData":{"abstract":"SUMMARY A new family of vectors including cloning vectors (pEK0; pECS), an expression vector (pEKExl), and promoter probe vectors (pEKpllacZ; pEKplCm), has been constructed. All these shuttle vectors are based on the replication origins of the corynebacterial pBL1 and the Escherichia coli ColEl plasmids, and thus are able to replicate in Corynebacterium glutamicum and E. coli. Plasmids pEK0 and pEC5 carry multiple restriction sites useful for gene cloning and the kanamycin-or chloramphenicol-resistance-encoding gene from Tn903 or from Tn9, respectively. In C. glutamicum, both vectors are compatible with vectors containing the corynebacterial pHM1519 replicon. Based on plasmid pEK0, the expression vector pEKEx1 was developed to allow for isopropyl-@-D-thiogalactopyranoside-inducible expression of inserted genes in C. glutamicum and E. coli. Also based on pEK0, the promoter probe vectors pEKpllac2 and pEKplCm were constructed to carry the promoterless facZ or cut reporter genes downstream from useful cloning sites, for assaying the transcriptional activity of cloned fragments.","author":[{"dropping-particle":"","family":"Eikmanns","given":"Bernhard J.","non-dropping-particle":"","parse-names":false,"suffix":""},{"dropping-particle":"","family":"Kleinertz","given":"Eva","non-dropping-particle":"","parse-names":false,"suffix":""},{"dropping-particle":"","family":"Liebl","given":"Wolfgang","non-dropping-particle":"","parse-names":false,"suffix":""},{"dropping-particle":"","family":"Sahm","given":"Hermann","non-dropping-particle":"","parse-names":false,"suffix":""}],"container-title":"Plasmid","id":"ITEM-1","issued":{"date-parts":[["1991"]]},"page":"93-98","title":"A family of Corynebacterium glutamicum/Escherichia Coli shuttle vectors for cloning, controlled gene expression, and promoter probing","type":"article-journal","volume":"102"},"uris":["http://www.mendeley.com/documents/?uuid=53862f19-fcc3-4710-93bd-a5a249b40134"]},{"id":"ITEM-2","itemData":{"DOI":"10.1111/j.1751-7915.2012.00360.x","ISBN":"1751-7915 (Electronic)\\r1751-7915 (Linking)","ISSN":"17517907","PMID":"22938655","abstract":"Fluorescent reporter proteins are widely used for the non-invasive monitoring of gene expression patterns, but dynamic measurements are hampered by the extremely high stability of GFP and homologue proteins. In this study, we used SsrA-mediated peptide tagging for the construction of unstable variants of the GFP derivative eYFP (enhanced yellow fluorescent protein) and applied those for transient gene expression analysis in the industrial platform organism Corynebacterium glutamicum.","author":[{"dropping-particle":"","family":"Hentschel","given":"Eva","non-dropping-particle":"","parse-names":false,"suffix":""},{"dropping-particle":"","family":"Will","given":"Cornelia","non-dropping-particle":"","parse-names":false,"suffix":""},{"dropping-particle":"","family":"Mustafi","given":"Nurije","non-dropping-particle":"","parse-names":false,"suffix":""},{"dropping-particle":"","family":"Burkovski","given":"Andreas","non-dropping-particle":"","parse-names":false,"suffix":""},{"dropping-particle":"","family":"Rehm","given":"Nadine","non-dropping-particle":"","parse-names":false,"suffix":""},{"dropping-particle":"","family":"Frunzke","given":"Julia","non-dropping-particle":"","parse-names":false,"suffix":""}],"container-title":"Microbial Biotechnology","id":"ITEM-2","issue":"2","issued":{"date-parts":[["2013"]]},"page":"196-201","title":"Destabilized eYFP variants for dynamic gene expression studies in Corynebacterium glutamicum","type":"article-journal","volume":"6"},"uris":["http://www.mendeley.com/documents/?uuid=cd713159-42c5-4e24-8dd6-f02d40fea9c6"]}],"mendeley":{"formattedCitation":"&lt;sup&gt;51,53&lt;/sup&gt;","plainTextFormattedCitation":"51,53","previouslyFormattedCitation":"&lt;sup&gt;37,39&lt;/sup&gt;"},"properties":{"noteIndex":0},"schema":"https://github.com/citation-style-language/schema/raw/master/csl-citation.json"}</w:instrText>
            </w:r>
            <w:r w:rsidRPr="00430A5E">
              <w:rPr>
                <w:rFonts w:ascii="Arial" w:hAnsi="Arial" w:cs="Arial"/>
                <w:sz w:val="18"/>
                <w:szCs w:val="18"/>
                <w:lang w:val="en-US"/>
              </w:rPr>
              <w:fldChar w:fldCharType="separate"/>
            </w:r>
            <w:r w:rsidR="00F74091" w:rsidRPr="00F74091">
              <w:rPr>
                <w:rFonts w:ascii="Arial" w:hAnsi="Arial" w:cs="Arial"/>
                <w:noProof/>
                <w:sz w:val="18"/>
                <w:szCs w:val="18"/>
                <w:vertAlign w:val="superscript"/>
                <w:lang w:val="en-US"/>
              </w:rPr>
              <w:t>51,53</w:t>
            </w:r>
            <w:r w:rsidRPr="00430A5E">
              <w:rPr>
                <w:rFonts w:ascii="Arial" w:hAnsi="Arial" w:cs="Arial"/>
                <w:sz w:val="18"/>
                <w:szCs w:val="18"/>
                <w:lang w:val="en-US"/>
              </w:rPr>
              <w:fldChar w:fldCharType="end"/>
            </w:r>
          </w:p>
        </w:tc>
      </w:tr>
      <w:bookmarkEnd w:id="18"/>
      <w:tr w:rsidR="008551DD" w:rsidRPr="00616C12" w14:paraId="122AC861" w14:textId="77777777" w:rsidTr="00134C00">
        <w:trPr>
          <w:trHeight w:val="794"/>
        </w:trPr>
        <w:tc>
          <w:tcPr>
            <w:tcW w:w="2547" w:type="dxa"/>
            <w:vAlign w:val="center"/>
          </w:tcPr>
          <w:p w14:paraId="2C6973D6" w14:textId="77777777" w:rsidR="008551DD" w:rsidRPr="00430A5E" w:rsidRDefault="008551DD" w:rsidP="00134C00">
            <w:pPr>
              <w:spacing w:line="276" w:lineRule="auto"/>
              <w:rPr>
                <w:rFonts w:ascii="Arial" w:hAnsi="Arial" w:cs="Arial"/>
                <w:i/>
                <w:sz w:val="18"/>
                <w:szCs w:val="18"/>
                <w:lang w:val="en-US"/>
              </w:rPr>
            </w:pPr>
            <w:r w:rsidRPr="00430A5E">
              <w:rPr>
                <w:rFonts w:ascii="Arial" w:eastAsia="Times New Roman" w:hAnsi="Arial" w:cs="Arial"/>
                <w:sz w:val="18"/>
                <w:szCs w:val="18"/>
                <w:lang w:val="en-US" w:eastAsia="de-DE"/>
              </w:rPr>
              <w:t>pEKEx2-</w:t>
            </w:r>
            <w:r w:rsidRPr="00430A5E">
              <w:rPr>
                <w:rFonts w:ascii="Arial" w:eastAsia="Times New Roman" w:hAnsi="Arial" w:cs="Arial"/>
                <w:i/>
                <w:sz w:val="18"/>
                <w:szCs w:val="18"/>
                <w:lang w:val="en-US" w:eastAsia="de-DE"/>
              </w:rPr>
              <w:t>lysC</w:t>
            </w:r>
            <w:r w:rsidRPr="00430A5E">
              <w:rPr>
                <w:rFonts w:ascii="Arial" w:eastAsia="Times New Roman" w:hAnsi="Arial" w:cs="Arial"/>
                <w:sz w:val="18"/>
                <w:szCs w:val="18"/>
                <w:lang w:val="en-US" w:eastAsia="de-DE"/>
              </w:rPr>
              <w:t>-β</w:t>
            </w:r>
            <w:r w:rsidRPr="00430A5E">
              <w:rPr>
                <w:rFonts w:ascii="Arial" w:eastAsia="Times New Roman" w:hAnsi="Arial" w:cs="Arial"/>
                <w:sz w:val="18"/>
                <w:szCs w:val="18"/>
                <w:vertAlign w:val="superscript"/>
                <w:lang w:val="en-US" w:eastAsia="de-DE"/>
              </w:rPr>
              <w:t>FBR</w:t>
            </w:r>
          </w:p>
        </w:tc>
        <w:tc>
          <w:tcPr>
            <w:tcW w:w="4536" w:type="dxa"/>
            <w:vAlign w:val="center"/>
          </w:tcPr>
          <w:p w14:paraId="648DAC0F" w14:textId="77777777" w:rsidR="008551DD" w:rsidRPr="00430A5E" w:rsidRDefault="008551DD" w:rsidP="00134C00">
            <w:pPr>
              <w:spacing w:line="276" w:lineRule="auto"/>
              <w:rPr>
                <w:rFonts w:ascii="Arial" w:hAnsi="Arial" w:cs="Arial"/>
                <w:sz w:val="18"/>
                <w:szCs w:val="18"/>
                <w:lang w:val="en-US"/>
              </w:rPr>
            </w:pPr>
            <w:r w:rsidRPr="00430A5E">
              <w:rPr>
                <w:rFonts w:ascii="Arial" w:eastAsia="Times New Roman" w:hAnsi="Arial" w:cs="Arial"/>
                <w:sz w:val="18"/>
                <w:szCs w:val="18"/>
                <w:lang w:val="en-US" w:eastAsia="de-DE"/>
              </w:rPr>
              <w:t>Kan</w:t>
            </w:r>
            <w:r w:rsidRPr="00430A5E">
              <w:rPr>
                <w:rFonts w:ascii="Arial" w:eastAsia="Times New Roman" w:hAnsi="Arial" w:cs="Arial"/>
                <w:b/>
                <w:bCs/>
                <w:sz w:val="18"/>
                <w:szCs w:val="18"/>
                <w:vertAlign w:val="superscript"/>
                <w:lang w:val="en-US" w:eastAsia="de-DE"/>
              </w:rPr>
              <w:t>r</w:t>
            </w:r>
            <w:r w:rsidRPr="00430A5E">
              <w:rPr>
                <w:rFonts w:ascii="Arial" w:eastAsia="Times New Roman" w:hAnsi="Arial" w:cs="Arial"/>
                <w:sz w:val="18"/>
                <w:szCs w:val="18"/>
                <w:lang w:val="en-US" w:eastAsia="de-DE"/>
              </w:rPr>
              <w:t>; pEKEx2 derivative for the regulated expression of</w:t>
            </w:r>
            <w:r w:rsidRPr="00430A5E">
              <w:rPr>
                <w:rFonts w:ascii="Arial" w:eastAsia="Times New Roman" w:hAnsi="Arial" w:cs="Arial"/>
                <w:i/>
                <w:sz w:val="18"/>
                <w:szCs w:val="18"/>
                <w:lang w:val="en-US" w:eastAsia="de-DE"/>
              </w:rPr>
              <w:t xml:space="preserve"> lysC</w:t>
            </w:r>
            <w:r w:rsidRPr="00430A5E">
              <w:rPr>
                <w:rFonts w:ascii="Arial" w:eastAsia="Times New Roman" w:hAnsi="Arial" w:cs="Arial"/>
                <w:sz w:val="18"/>
                <w:szCs w:val="18"/>
                <w:lang w:val="en-US" w:eastAsia="de-DE"/>
              </w:rPr>
              <w:t>-β</w:t>
            </w:r>
            <w:r w:rsidRPr="00430A5E">
              <w:rPr>
                <w:rFonts w:ascii="Arial" w:eastAsia="Times New Roman" w:hAnsi="Arial" w:cs="Arial"/>
                <w:sz w:val="18"/>
                <w:szCs w:val="18"/>
                <w:vertAlign w:val="superscript"/>
                <w:lang w:val="en-US" w:eastAsia="de-DE"/>
              </w:rPr>
              <w:t xml:space="preserve">FBR </w:t>
            </w:r>
            <w:r w:rsidRPr="00430A5E">
              <w:rPr>
                <w:rFonts w:ascii="Arial" w:eastAsia="Times New Roman" w:hAnsi="Arial" w:cs="Arial"/>
                <w:sz w:val="18"/>
                <w:szCs w:val="18"/>
                <w:lang w:val="en-US" w:eastAsia="de-DE"/>
              </w:rPr>
              <w:t xml:space="preserve">(feedback-resistant aspartokinase </w:t>
            </w:r>
            <w:r w:rsidRPr="00430A5E">
              <w:rPr>
                <w:rFonts w:ascii="Arial" w:eastAsia="Times New Roman" w:hAnsi="Arial" w:cs="Arial"/>
                <w:i/>
                <w:sz w:val="18"/>
                <w:szCs w:val="18"/>
                <w:lang w:val="en-US" w:eastAsia="de-DE"/>
              </w:rPr>
              <w:t>lysC</w:t>
            </w:r>
            <w:r w:rsidRPr="00430A5E">
              <w:rPr>
                <w:rFonts w:ascii="Arial" w:eastAsia="Times New Roman" w:hAnsi="Arial" w:cs="Arial"/>
                <w:sz w:val="18"/>
                <w:szCs w:val="18"/>
                <w:lang w:val="en-US" w:eastAsia="de-DE"/>
              </w:rPr>
              <w:t xml:space="preserve"> beta subunit)</w:t>
            </w:r>
          </w:p>
        </w:tc>
        <w:tc>
          <w:tcPr>
            <w:tcW w:w="1984" w:type="dxa"/>
            <w:vAlign w:val="center"/>
          </w:tcPr>
          <w:p w14:paraId="2A0EBB0E" w14:textId="77777777" w:rsidR="008551DD" w:rsidRPr="00430A5E" w:rsidRDefault="008551DD" w:rsidP="00134C00">
            <w:pPr>
              <w:spacing w:line="276" w:lineRule="auto"/>
              <w:rPr>
                <w:rFonts w:ascii="Arial" w:hAnsi="Arial" w:cs="Arial"/>
                <w:sz w:val="18"/>
                <w:szCs w:val="18"/>
                <w:lang w:val="en-US"/>
              </w:rPr>
            </w:pPr>
            <w:r w:rsidRPr="00430A5E">
              <w:rPr>
                <w:rFonts w:ascii="Arial" w:hAnsi="Arial" w:cs="Arial"/>
                <w:sz w:val="18"/>
                <w:szCs w:val="18"/>
                <w:lang w:val="en-US"/>
              </w:rPr>
              <w:t>This study</w:t>
            </w:r>
          </w:p>
        </w:tc>
      </w:tr>
      <w:tr w:rsidR="008551DD" w:rsidRPr="00616C12" w14:paraId="4E1E3B5C" w14:textId="77777777" w:rsidTr="00134C00">
        <w:tc>
          <w:tcPr>
            <w:tcW w:w="2547" w:type="dxa"/>
            <w:shd w:val="clear" w:color="auto" w:fill="D9D9D9" w:themeFill="background1" w:themeFillShade="D9"/>
            <w:vAlign w:val="bottom"/>
          </w:tcPr>
          <w:p w14:paraId="0E55DEDF" w14:textId="77777777" w:rsidR="008551DD" w:rsidRPr="00430A5E" w:rsidRDefault="008551DD" w:rsidP="00134C00">
            <w:pPr>
              <w:spacing w:line="276" w:lineRule="auto"/>
              <w:jc w:val="both"/>
              <w:rPr>
                <w:rFonts w:ascii="Arial" w:hAnsi="Arial" w:cs="Arial"/>
                <w:i/>
                <w:sz w:val="18"/>
                <w:szCs w:val="18"/>
                <w:lang w:val="en-US"/>
              </w:rPr>
            </w:pPr>
            <w:r w:rsidRPr="00430A5E">
              <w:rPr>
                <w:rFonts w:ascii="Arial" w:eastAsia="Times New Roman" w:hAnsi="Arial" w:cs="Arial"/>
                <w:b/>
                <w:bCs/>
                <w:sz w:val="18"/>
                <w:szCs w:val="18"/>
                <w:lang w:val="en-US" w:eastAsia="de-DE"/>
              </w:rPr>
              <w:t>Oligonucleotides</w:t>
            </w:r>
          </w:p>
        </w:tc>
        <w:tc>
          <w:tcPr>
            <w:tcW w:w="4536" w:type="dxa"/>
            <w:shd w:val="clear" w:color="auto" w:fill="D9D9D9" w:themeFill="background1" w:themeFillShade="D9"/>
            <w:vAlign w:val="bottom"/>
          </w:tcPr>
          <w:p w14:paraId="0F53DC3E" w14:textId="77777777" w:rsidR="008551DD" w:rsidRPr="00430A5E" w:rsidRDefault="008551DD" w:rsidP="00134C00">
            <w:pPr>
              <w:spacing w:line="276" w:lineRule="auto"/>
              <w:jc w:val="both"/>
              <w:rPr>
                <w:rFonts w:ascii="Arial" w:hAnsi="Arial" w:cs="Arial"/>
                <w:sz w:val="18"/>
                <w:szCs w:val="18"/>
                <w:lang w:val="en-US"/>
              </w:rPr>
            </w:pPr>
            <w:r w:rsidRPr="00430A5E">
              <w:rPr>
                <w:rFonts w:ascii="Arial" w:eastAsia="Times New Roman" w:hAnsi="Arial" w:cs="Arial"/>
                <w:b/>
                <w:bCs/>
                <w:sz w:val="18"/>
                <w:szCs w:val="18"/>
                <w:lang w:val="en-US" w:eastAsia="de-DE"/>
              </w:rPr>
              <w:t>DNA Sequence (5′- 3′)</w:t>
            </w:r>
          </w:p>
        </w:tc>
        <w:tc>
          <w:tcPr>
            <w:tcW w:w="1984" w:type="dxa"/>
            <w:shd w:val="clear" w:color="auto" w:fill="D9D9D9" w:themeFill="background1" w:themeFillShade="D9"/>
            <w:vAlign w:val="bottom"/>
          </w:tcPr>
          <w:p w14:paraId="1F34F817" w14:textId="77777777" w:rsidR="008551DD" w:rsidRPr="00430A5E" w:rsidRDefault="008551DD" w:rsidP="00134C00">
            <w:pPr>
              <w:spacing w:line="276" w:lineRule="auto"/>
              <w:jc w:val="both"/>
              <w:rPr>
                <w:rFonts w:ascii="Arial" w:hAnsi="Arial" w:cs="Arial"/>
                <w:b/>
                <w:sz w:val="18"/>
                <w:szCs w:val="18"/>
                <w:lang w:val="en-US"/>
              </w:rPr>
            </w:pPr>
            <w:r w:rsidRPr="00430A5E">
              <w:rPr>
                <w:rFonts w:ascii="Arial" w:hAnsi="Arial" w:cs="Arial"/>
                <w:b/>
                <w:sz w:val="18"/>
                <w:szCs w:val="18"/>
                <w:lang w:val="en-US"/>
              </w:rPr>
              <w:t>Purpose</w:t>
            </w:r>
          </w:p>
        </w:tc>
      </w:tr>
      <w:tr w:rsidR="008551DD" w:rsidRPr="00616C12" w14:paraId="5449B96A" w14:textId="77777777" w:rsidTr="00134C00">
        <w:trPr>
          <w:trHeight w:val="397"/>
        </w:trPr>
        <w:tc>
          <w:tcPr>
            <w:tcW w:w="2547" w:type="dxa"/>
            <w:vAlign w:val="center"/>
          </w:tcPr>
          <w:p w14:paraId="78D80A51" w14:textId="77777777" w:rsidR="008551DD" w:rsidRPr="00430A5E" w:rsidRDefault="008551DD" w:rsidP="00134C00">
            <w:pPr>
              <w:spacing w:line="276" w:lineRule="auto"/>
              <w:rPr>
                <w:rFonts w:ascii="Arial" w:hAnsi="Arial" w:cs="Arial"/>
                <w:sz w:val="18"/>
                <w:szCs w:val="18"/>
                <w:lang w:val="en-US"/>
              </w:rPr>
            </w:pPr>
            <w:r w:rsidRPr="00430A5E">
              <w:rPr>
                <w:rFonts w:ascii="Arial" w:hAnsi="Arial" w:cs="Arial"/>
                <w:sz w:val="18"/>
                <w:szCs w:val="18"/>
                <w:lang w:val="en-US"/>
              </w:rPr>
              <w:t>pEKEx2_fw</w:t>
            </w:r>
          </w:p>
        </w:tc>
        <w:tc>
          <w:tcPr>
            <w:tcW w:w="4536" w:type="dxa"/>
            <w:vAlign w:val="center"/>
          </w:tcPr>
          <w:p w14:paraId="1310B3B9" w14:textId="77777777" w:rsidR="008551DD" w:rsidRPr="00430A5E" w:rsidRDefault="008551DD" w:rsidP="00134C00">
            <w:pPr>
              <w:spacing w:line="276" w:lineRule="auto"/>
              <w:rPr>
                <w:rFonts w:ascii="Arial" w:hAnsi="Arial" w:cs="Arial"/>
                <w:sz w:val="18"/>
                <w:szCs w:val="18"/>
                <w:lang w:val="en-US"/>
              </w:rPr>
            </w:pPr>
            <w:r w:rsidRPr="00430A5E">
              <w:rPr>
                <w:rFonts w:ascii="Arial" w:hAnsi="Arial" w:cs="Arial"/>
                <w:sz w:val="18"/>
                <w:szCs w:val="18"/>
                <w:lang w:val="en-US"/>
              </w:rPr>
              <w:t>CGGCGTTTCACTTCTGAGTTCGGC</w:t>
            </w:r>
          </w:p>
        </w:tc>
        <w:tc>
          <w:tcPr>
            <w:tcW w:w="1984" w:type="dxa"/>
            <w:vMerge w:val="restart"/>
            <w:vAlign w:val="center"/>
          </w:tcPr>
          <w:p w14:paraId="02CB8213" w14:textId="77777777" w:rsidR="008551DD" w:rsidRPr="00430A5E" w:rsidRDefault="008551DD" w:rsidP="00134C00">
            <w:pPr>
              <w:spacing w:line="276" w:lineRule="auto"/>
              <w:rPr>
                <w:rFonts w:ascii="Arial" w:hAnsi="Arial" w:cs="Arial"/>
                <w:sz w:val="18"/>
                <w:szCs w:val="18"/>
                <w:lang w:val="en-US"/>
              </w:rPr>
            </w:pPr>
            <w:r w:rsidRPr="00430A5E">
              <w:rPr>
                <w:rFonts w:ascii="Arial" w:hAnsi="Arial" w:cs="Arial"/>
                <w:sz w:val="18"/>
                <w:szCs w:val="18"/>
                <w:lang w:val="en-US"/>
              </w:rPr>
              <w:t>DNA sequencing of inserts cloned into pEKEx2</w:t>
            </w:r>
          </w:p>
        </w:tc>
      </w:tr>
      <w:tr w:rsidR="008551DD" w:rsidRPr="00616C12" w14:paraId="77BFBC7C" w14:textId="77777777" w:rsidTr="00134C00">
        <w:trPr>
          <w:trHeight w:val="397"/>
        </w:trPr>
        <w:tc>
          <w:tcPr>
            <w:tcW w:w="2547" w:type="dxa"/>
            <w:vAlign w:val="center"/>
          </w:tcPr>
          <w:p w14:paraId="2B5AFF4A" w14:textId="77777777" w:rsidR="008551DD" w:rsidRPr="00430A5E" w:rsidRDefault="008551DD" w:rsidP="00134C00">
            <w:pPr>
              <w:spacing w:line="276" w:lineRule="auto"/>
              <w:rPr>
                <w:rFonts w:ascii="Arial" w:hAnsi="Arial" w:cs="Arial"/>
                <w:sz w:val="18"/>
                <w:szCs w:val="18"/>
                <w:lang w:val="en-US"/>
              </w:rPr>
            </w:pPr>
            <w:r w:rsidRPr="00430A5E">
              <w:rPr>
                <w:rFonts w:ascii="Arial" w:hAnsi="Arial" w:cs="Arial"/>
                <w:sz w:val="18"/>
                <w:szCs w:val="18"/>
                <w:lang w:val="en-US"/>
              </w:rPr>
              <w:t>pEKEx2_rv</w:t>
            </w:r>
          </w:p>
        </w:tc>
        <w:tc>
          <w:tcPr>
            <w:tcW w:w="4536" w:type="dxa"/>
            <w:vAlign w:val="center"/>
          </w:tcPr>
          <w:p w14:paraId="5D0073F3" w14:textId="77777777" w:rsidR="008551DD" w:rsidRPr="00430A5E" w:rsidRDefault="008551DD" w:rsidP="00134C00">
            <w:pPr>
              <w:spacing w:line="276" w:lineRule="auto"/>
              <w:rPr>
                <w:rFonts w:ascii="Arial" w:hAnsi="Arial" w:cs="Arial"/>
                <w:sz w:val="18"/>
                <w:szCs w:val="18"/>
                <w:lang w:val="en-US"/>
              </w:rPr>
            </w:pPr>
            <w:r w:rsidRPr="00430A5E">
              <w:rPr>
                <w:rFonts w:ascii="Arial" w:hAnsi="Arial" w:cs="Arial"/>
                <w:sz w:val="18"/>
                <w:szCs w:val="18"/>
                <w:lang w:val="en-US"/>
              </w:rPr>
              <w:t>GATATGACCATGATTACGCCAAGC</w:t>
            </w:r>
          </w:p>
        </w:tc>
        <w:tc>
          <w:tcPr>
            <w:tcW w:w="1984" w:type="dxa"/>
            <w:vMerge/>
            <w:vAlign w:val="center"/>
          </w:tcPr>
          <w:p w14:paraId="756D28B6" w14:textId="77777777" w:rsidR="008551DD" w:rsidRPr="00430A5E" w:rsidRDefault="008551DD" w:rsidP="00134C00">
            <w:pPr>
              <w:spacing w:line="276" w:lineRule="auto"/>
              <w:rPr>
                <w:rFonts w:ascii="Arial" w:hAnsi="Arial" w:cs="Arial"/>
                <w:sz w:val="18"/>
                <w:szCs w:val="18"/>
                <w:lang w:val="en-US"/>
              </w:rPr>
            </w:pPr>
          </w:p>
        </w:tc>
      </w:tr>
      <w:bookmarkEnd w:id="17"/>
    </w:tbl>
    <w:p w14:paraId="49090CB4" w14:textId="77777777" w:rsidR="008551DD" w:rsidRPr="00430A5E" w:rsidRDefault="008551DD" w:rsidP="008551DD">
      <w:pPr>
        <w:spacing w:after="0" w:line="360" w:lineRule="auto"/>
        <w:jc w:val="both"/>
        <w:rPr>
          <w:rFonts w:ascii="Arial" w:hAnsi="Arial" w:cs="Arial"/>
          <w:b/>
          <w:sz w:val="24"/>
          <w:szCs w:val="24"/>
          <w:lang w:val="en-US"/>
        </w:rPr>
      </w:pPr>
    </w:p>
    <w:p w14:paraId="02387F8E" w14:textId="77777777" w:rsidR="006B0862" w:rsidRDefault="006B0862" w:rsidP="008551DD">
      <w:pPr>
        <w:spacing w:after="0" w:line="360" w:lineRule="auto"/>
        <w:jc w:val="both"/>
        <w:rPr>
          <w:rFonts w:ascii="Arial" w:hAnsi="Arial" w:cs="Arial"/>
          <w:b/>
          <w:sz w:val="24"/>
          <w:szCs w:val="24"/>
          <w:lang w:val="en-US"/>
        </w:rPr>
      </w:pPr>
    </w:p>
    <w:p w14:paraId="38072F22" w14:textId="77777777" w:rsidR="006B0862" w:rsidRDefault="006B0862" w:rsidP="008551DD">
      <w:pPr>
        <w:spacing w:after="0" w:line="360" w:lineRule="auto"/>
        <w:jc w:val="both"/>
        <w:rPr>
          <w:rFonts w:ascii="Arial" w:hAnsi="Arial" w:cs="Arial"/>
          <w:b/>
          <w:sz w:val="24"/>
          <w:szCs w:val="24"/>
          <w:lang w:val="en-US"/>
        </w:rPr>
      </w:pPr>
    </w:p>
    <w:p w14:paraId="7B393DEA" w14:textId="4C822661" w:rsidR="008551DD" w:rsidRPr="00430A5E" w:rsidRDefault="008551DD" w:rsidP="008551DD">
      <w:pPr>
        <w:spacing w:after="0" w:line="360" w:lineRule="auto"/>
        <w:jc w:val="both"/>
        <w:rPr>
          <w:rFonts w:ascii="Arial" w:hAnsi="Arial" w:cs="Arial"/>
          <w:b/>
          <w:lang w:val="en-US"/>
        </w:rPr>
      </w:pPr>
      <w:r w:rsidRPr="00430A5E">
        <w:rPr>
          <w:rFonts w:ascii="Arial" w:hAnsi="Arial" w:cs="Arial"/>
          <w:b/>
          <w:sz w:val="24"/>
          <w:szCs w:val="24"/>
          <w:lang w:val="en-US"/>
        </w:rPr>
        <w:lastRenderedPageBreak/>
        <w:t>Growth medium</w:t>
      </w:r>
    </w:p>
    <w:p w14:paraId="5E0922C2" w14:textId="62BAAC32" w:rsidR="008551DD" w:rsidRPr="00430A5E" w:rsidRDefault="008551DD" w:rsidP="008551DD">
      <w:pPr>
        <w:spacing w:after="0" w:line="360" w:lineRule="auto"/>
        <w:jc w:val="both"/>
        <w:rPr>
          <w:rFonts w:ascii="Arial" w:hAnsi="Arial" w:cs="Arial"/>
          <w:lang w:val="en-US"/>
        </w:rPr>
      </w:pPr>
      <w:r w:rsidRPr="00430A5E">
        <w:rPr>
          <w:rFonts w:ascii="Arial" w:hAnsi="Arial" w:cs="Arial"/>
          <w:lang w:val="en-US"/>
        </w:rPr>
        <w:t xml:space="preserve">For microfluidic experiments </w:t>
      </w:r>
      <w:r w:rsidRPr="00430A5E">
        <w:rPr>
          <w:rFonts w:ascii="Arial" w:hAnsi="Arial" w:cs="Arial"/>
          <w:i/>
          <w:lang w:val="en-US"/>
        </w:rPr>
        <w:t xml:space="preserve">C. glutamicum </w:t>
      </w:r>
      <w:r w:rsidRPr="00430A5E">
        <w:rPr>
          <w:rFonts w:ascii="Arial" w:hAnsi="Arial" w:cs="Arial"/>
          <w:lang w:val="en-US"/>
        </w:rPr>
        <w:t>strains were cultivated in defined CGXII medium at 30 °C.</w:t>
      </w:r>
      <w:r w:rsidRPr="00430A5E">
        <w:rPr>
          <w:rFonts w:ascii="Arial" w:hAnsi="Arial" w:cs="Arial"/>
          <w:lang w:val="en-US"/>
        </w:rPr>
        <w:fldChar w:fldCharType="begin" w:fldLock="1"/>
      </w:r>
      <w:r w:rsidR="00F74091">
        <w:rPr>
          <w:rFonts w:ascii="Arial" w:hAnsi="Arial" w:cs="Arial"/>
          <w:lang w:val="en-US"/>
        </w:rPr>
        <w:instrText>ADDIN CSL_CITATION {"citationItems":[{"id":"ITEM-1","itemData":{"DOI":"10.1002/bit.25103","ISBN":"1097-0290","ISSN":"00063592","PMID":"23996851","abstract":"In a former study we showed that Corynebacterium glutamicum grows much faster in defined CGXII glucose medium when growth was initiated in highly diluted environments [Grünberger et al. (2013b) Biotechnol Bioeng]. Here we studied the batch growth of C. glutamicum in CGXII at a comparable low starting biomass concentration of OD ≈ 0.005 in more detail. During bioreactor cultivations a bi-phasic growth behavior with changing growth rates was observed. Initially the culture grew with μˆ=0.61±0.02 h-1 before the growth rate dropped to μˆ=0.46±0.02 h-1. We were able to confirm the elevated growth rate for C. glutamicum in CGXII and showed for the first time a growth rate beyond 0.6 in lab-scale bioreactor cultivations on defined medium. Advanced growth studies combining well-designed bioreactor and microfluidic single-cell cultivations (MSCC) with quantitative transcriptomics, metabolomics and integrative in silico analysis revealed protocatechuic acid as a hidden co-substrate for accelerated growth within CGXII. The presented approach proves the general applicability of MSCC to investigate and validate the effect of single medium components on microorganism growth during cultivation in liquid media, and therefore might be of interest for any kind of basic growth study.","author":[{"dropping-particle":"","family":"Unthan","given":"Simon","non-dropping-particle":"","parse-names":false,"suffix":""},{"dropping-particle":"","family":"Grünberger","given":"Alexander","non-dropping-particle":"","parse-names":false,"suffix":""},{"dropping-particle":"","family":"Ooyen","given":"Jan","non-dropping-particle":"van","parse-names":false,"suffix":""},{"dropping-particle":"","family":"Gätgens","given":"Jochem","non-dropping-particle":"","parse-names":false,"suffix":""},{"dropping-particle":"","family":"Heinrich","given":"Johanna","non-dropping-particle":"","parse-names":false,"suffix":""},{"dropping-particle":"","family":"Paczia","given":"Nicole","non-dropping-particle":"","parse-names":false,"suffix":""},{"dropping-particle":"","family":"Wiechert","given":"Wolfgang","non-dropping-particle":"","parse-names":false,"suffix":""},{"dropping-particle":"","family":"Kohlheyer","given":"Dietrich","non-dropping-particle":"","parse-names":false,"suffix":""},{"dropping-particle":"","family":"Noack","given":"Stephan","non-dropping-particle":"","parse-names":false,"suffix":""}],"container-title":"Biotechnology and Bioengineering","id":"ITEM-1","issue":"2","issued":{"date-parts":[["2014"]]},"page":"359-371","title":"Beyond growth rate 0.6: What drives Corynebacterium glutamicum to higher growth rates in defined medium","type":"article-journal","volume":"111"},"uris":["http://www.mendeley.com/documents/?uuid=ea855977-4795-46b3-bc4a-b82ba2b5b488"]}],"mendeley":{"formattedCitation":"&lt;sup&gt;54&lt;/sup&gt;","plainTextFormattedCitation":"54","previouslyFormattedCitation":"&lt;sup&gt;40&lt;/sup&gt;"},"properties":{"noteIndex":0},"schema":"https://github.com/citation-style-language/schema/raw/master/csl-citation.json"}</w:instrText>
      </w:r>
      <w:r w:rsidRPr="00430A5E">
        <w:rPr>
          <w:rFonts w:ascii="Arial" w:hAnsi="Arial" w:cs="Arial"/>
          <w:lang w:val="en-US"/>
        </w:rPr>
        <w:fldChar w:fldCharType="separate"/>
      </w:r>
      <w:r w:rsidR="00F74091" w:rsidRPr="00F74091">
        <w:rPr>
          <w:rFonts w:ascii="Arial" w:hAnsi="Arial" w:cs="Arial"/>
          <w:noProof/>
          <w:vertAlign w:val="superscript"/>
          <w:lang w:val="en-US"/>
        </w:rPr>
        <w:t>54</w:t>
      </w:r>
      <w:r w:rsidRPr="00430A5E">
        <w:rPr>
          <w:rFonts w:ascii="Arial" w:hAnsi="Arial" w:cs="Arial"/>
          <w:lang w:val="en-US"/>
        </w:rPr>
        <w:fldChar w:fldCharType="end"/>
      </w:r>
      <w:r w:rsidRPr="00430A5E">
        <w:rPr>
          <w:rFonts w:ascii="Arial" w:hAnsi="Arial" w:cs="Arial"/>
          <w:lang w:val="en-US"/>
        </w:rPr>
        <w:t xml:space="preserve"> Pre-cultures of </w:t>
      </w:r>
      <w:r w:rsidRPr="00430A5E">
        <w:rPr>
          <w:rFonts w:ascii="Arial" w:hAnsi="Arial" w:cs="Arial"/>
          <w:i/>
          <w:lang w:val="en-US"/>
        </w:rPr>
        <w:t>C. glutamicum</w:t>
      </w:r>
      <w:r w:rsidRPr="00430A5E">
        <w:rPr>
          <w:rFonts w:ascii="Arial" w:hAnsi="Arial" w:cs="Arial"/>
          <w:lang w:val="en-US"/>
        </w:rPr>
        <w:t xml:space="preserve"> Δ</w:t>
      </w:r>
      <w:r w:rsidRPr="00430A5E">
        <w:rPr>
          <w:rFonts w:ascii="Arial" w:hAnsi="Arial" w:cs="Arial"/>
          <w:i/>
          <w:iCs/>
          <w:lang w:val="en-US"/>
        </w:rPr>
        <w:t>lysA</w:t>
      </w:r>
      <w:r w:rsidRPr="00430A5E">
        <w:rPr>
          <w:rFonts w:ascii="Arial" w:hAnsi="Arial" w:cs="Arial"/>
          <w:lang w:val="en-US"/>
        </w:rPr>
        <w:t xml:space="preserve"> were additionally supplemented with 1.5 mM </w:t>
      </w:r>
      <w:r w:rsidRPr="00430A5E">
        <w:rPr>
          <w:rFonts w:ascii="Arial" w:hAnsi="Arial" w:cs="Arial"/>
          <w:smallCaps/>
          <w:lang w:val="en-US"/>
        </w:rPr>
        <w:t>L</w:t>
      </w:r>
      <w:r w:rsidRPr="00430A5E">
        <w:rPr>
          <w:rFonts w:ascii="Arial" w:hAnsi="Arial" w:cs="Arial"/>
          <w:lang w:val="en-US"/>
        </w:rPr>
        <w:t xml:space="preserve">-lysine. </w:t>
      </w:r>
      <w:r w:rsidRPr="00430A5E">
        <w:rPr>
          <w:rFonts w:ascii="Arial" w:hAnsi="Arial" w:cs="Arial"/>
          <w:smallCaps/>
          <w:lang w:val="en-US"/>
        </w:rPr>
        <w:t>L</w:t>
      </w:r>
      <w:r w:rsidRPr="00430A5E">
        <w:rPr>
          <w:rFonts w:ascii="Arial" w:hAnsi="Arial" w:cs="Arial"/>
          <w:lang w:val="en-US"/>
        </w:rPr>
        <w:t xml:space="preserve">-lysine production in </w:t>
      </w:r>
      <w:r w:rsidRPr="00430A5E">
        <w:rPr>
          <w:rFonts w:ascii="Arial" w:hAnsi="Arial" w:cs="Arial"/>
          <w:i/>
          <w:lang w:val="en-US"/>
        </w:rPr>
        <w:t>C. glutamicum</w:t>
      </w:r>
      <w:r w:rsidRPr="00430A5E">
        <w:rPr>
          <w:rFonts w:ascii="Arial" w:hAnsi="Arial" w:cs="Arial"/>
          <w:lang w:val="en-US"/>
        </w:rPr>
        <w:t xml:space="preserve"> DM1727 pEKEx2-</w:t>
      </w:r>
      <w:r w:rsidRPr="00430A5E">
        <w:rPr>
          <w:rFonts w:ascii="Arial" w:hAnsi="Arial" w:cs="Arial"/>
          <w:i/>
          <w:lang w:val="en-US"/>
        </w:rPr>
        <w:t>lysC</w:t>
      </w:r>
      <w:r w:rsidRPr="00430A5E">
        <w:rPr>
          <w:rFonts w:ascii="Arial" w:hAnsi="Arial" w:cs="Arial"/>
          <w:lang w:val="en-US"/>
        </w:rPr>
        <w:t>-β</w:t>
      </w:r>
      <w:r w:rsidRPr="00430A5E">
        <w:rPr>
          <w:rFonts w:ascii="Arial" w:hAnsi="Arial" w:cs="Arial"/>
          <w:vertAlign w:val="superscript"/>
          <w:lang w:val="en-US"/>
        </w:rPr>
        <w:t>FBR</w:t>
      </w:r>
      <w:r w:rsidRPr="00430A5E">
        <w:rPr>
          <w:rFonts w:ascii="Arial" w:hAnsi="Arial" w:cs="Arial"/>
          <w:lang w:val="en-US"/>
        </w:rPr>
        <w:t xml:space="preserve"> was induced by the addition of 15 µM IPTG or 100 µM cIPTG. All chemicals were of analytical quality and purchased from Merck KGaA, Darmstadt, Germany.</w:t>
      </w:r>
    </w:p>
    <w:p w14:paraId="1F8743EC" w14:textId="77777777" w:rsidR="008551DD" w:rsidRPr="00430A5E" w:rsidRDefault="008551DD" w:rsidP="008551DD">
      <w:pPr>
        <w:spacing w:after="0" w:line="360" w:lineRule="auto"/>
        <w:jc w:val="both"/>
        <w:rPr>
          <w:rFonts w:ascii="Arial" w:hAnsi="Arial" w:cs="Arial"/>
          <w:lang w:val="en-US"/>
        </w:rPr>
      </w:pPr>
    </w:p>
    <w:p w14:paraId="2345673D" w14:textId="77777777" w:rsidR="008551DD" w:rsidRPr="00430A5E" w:rsidRDefault="008551DD" w:rsidP="008551DD">
      <w:pPr>
        <w:spacing w:after="0" w:line="360" w:lineRule="auto"/>
        <w:jc w:val="both"/>
        <w:rPr>
          <w:rFonts w:ascii="Arial" w:hAnsi="Arial" w:cs="Arial"/>
          <w:b/>
          <w:sz w:val="24"/>
          <w:szCs w:val="24"/>
          <w:lang w:val="en-US"/>
        </w:rPr>
      </w:pPr>
      <w:bookmarkStart w:id="19" w:name="_Hlk64743341"/>
      <w:r w:rsidRPr="00430A5E">
        <w:rPr>
          <w:rFonts w:ascii="Arial" w:hAnsi="Arial" w:cs="Arial"/>
          <w:b/>
          <w:sz w:val="24"/>
          <w:szCs w:val="24"/>
          <w:lang w:val="en-US"/>
        </w:rPr>
        <w:t>Synthesis of photocaged IPTG</w:t>
      </w:r>
    </w:p>
    <w:p w14:paraId="389652F9" w14:textId="66D6F07C" w:rsidR="008551DD" w:rsidRPr="00430A5E" w:rsidRDefault="008551DD" w:rsidP="008551DD">
      <w:pPr>
        <w:spacing w:after="0" w:line="360" w:lineRule="auto"/>
        <w:jc w:val="both"/>
        <w:rPr>
          <w:rFonts w:ascii="Arial" w:hAnsi="Arial" w:cs="Arial"/>
          <w:lang w:val="en-US"/>
        </w:rPr>
      </w:pPr>
      <w:r w:rsidRPr="00430A5E">
        <w:rPr>
          <w:rFonts w:ascii="Arial" w:hAnsi="Arial" w:cs="Arial"/>
          <w:lang w:val="en-US"/>
        </w:rPr>
        <w:t>The synthesis of NP-photocaged IPTG was conducted according to Young and Deiters</w:t>
      </w:r>
      <w:r w:rsidRPr="00430A5E">
        <w:rPr>
          <w:rFonts w:ascii="Arial" w:hAnsi="Arial" w:cs="Arial"/>
          <w:lang w:val="en-US"/>
        </w:rPr>
        <w:fldChar w:fldCharType="begin" w:fldLock="1"/>
      </w:r>
      <w:r w:rsidR="00F74091">
        <w:rPr>
          <w:rFonts w:ascii="Arial" w:hAnsi="Arial" w:cs="Arial"/>
          <w:lang w:val="en-US"/>
        </w:rPr>
        <w:instrText>ADDIN CSL_CITATION {"citationItems":[{"id":"ITEM-1","itemData":{"DOI":"10.1002/anie.200700057","ISSN":"14337851","abstract":"Turning genes on with light: Photochemical control of gene expression is a versatile tool for the elucidation of biological processes and the programming of new biological functions. Activation of protein expression in prokaryotic cells through light irradiation is achieved through a photocaged small molecule. Spatiotemporal regulation of the lac operon was obtained through the application of a photocaged isopropyl-β-D-thiogalactopyranoside derivative. (Figure Presented) © 2007 Wiley-VCH Verlag GmbH &amp; Co. KGaA.","author":[{"dropping-particle":"","family":"Young","given":"Douglas D.","non-dropping-particle":"","parse-names":false,"suffix":""},{"dropping-particle":"","family":"Deiters","given":"Alexander","non-dropping-particle":"","parse-names":false,"suffix":""}],"container-title":"Angewandte Chemie - International Edition","id":"ITEM-1","issue":"23","issued":{"date-parts":[["2007"]]},"page":"4290-4292","title":"Photochemical activation of protein expression in bacterial cells","type":"article-journal","volume":"46"},"uris":["http://www.mendeley.com/documents/?uuid=5f200af3-1e3d-4ff1-8d78-39537f817fd4"]}],"mendeley":{"formattedCitation":"&lt;sup&gt;38&lt;/sup&gt;","plainTextFormattedCitation":"38","previouslyFormattedCitation":"&lt;sup&gt;41&lt;/sup&gt;"},"properties":{"noteIndex":0},"schema":"https://github.com/citation-style-language/schema/raw/master/csl-citation.json"}</w:instrText>
      </w:r>
      <w:r w:rsidRPr="00430A5E">
        <w:rPr>
          <w:rFonts w:ascii="Arial" w:hAnsi="Arial" w:cs="Arial"/>
          <w:lang w:val="en-US"/>
        </w:rPr>
        <w:fldChar w:fldCharType="separate"/>
      </w:r>
      <w:r w:rsidR="00F74091" w:rsidRPr="00F74091">
        <w:rPr>
          <w:rFonts w:ascii="Arial" w:hAnsi="Arial" w:cs="Arial"/>
          <w:noProof/>
          <w:vertAlign w:val="superscript"/>
          <w:lang w:val="en-US"/>
        </w:rPr>
        <w:t>38</w:t>
      </w:r>
      <w:r w:rsidRPr="00430A5E">
        <w:rPr>
          <w:rFonts w:ascii="Arial" w:hAnsi="Arial" w:cs="Arial"/>
          <w:lang w:val="en-US"/>
        </w:rPr>
        <w:fldChar w:fldCharType="end"/>
      </w:r>
      <w:r w:rsidRPr="00430A5E">
        <w:rPr>
          <w:rFonts w:ascii="Arial" w:hAnsi="Arial" w:cs="Arial"/>
          <w:lang w:val="en-US"/>
        </w:rPr>
        <w:t xml:space="preserve"> and was previously described in Binder </w:t>
      </w:r>
      <w:r w:rsidRPr="00430A5E">
        <w:rPr>
          <w:rFonts w:ascii="Arial" w:hAnsi="Arial" w:cs="Arial"/>
          <w:i/>
          <w:iCs/>
          <w:lang w:val="en-US"/>
        </w:rPr>
        <w:t>et al</w:t>
      </w:r>
      <w:r w:rsidRPr="00430A5E">
        <w:rPr>
          <w:rFonts w:ascii="Arial" w:hAnsi="Arial" w:cs="Arial"/>
          <w:lang w:val="en-US"/>
        </w:rPr>
        <w:t>..</w:t>
      </w:r>
      <w:r w:rsidRPr="00430A5E">
        <w:rPr>
          <w:rFonts w:ascii="Arial" w:hAnsi="Arial" w:cs="Arial"/>
          <w:lang w:val="en-US"/>
        </w:rPr>
        <w:fldChar w:fldCharType="begin" w:fldLock="1"/>
      </w:r>
      <w:r w:rsidR="00F74091">
        <w:rPr>
          <w:rFonts w:ascii="Arial" w:hAnsi="Arial" w:cs="Arial"/>
          <w:lang w:val="en-US"/>
        </w:rPr>
        <w:instrText>ADDIN CSL_CITATION {"citationItems":[{"id":"ITEM-1","itemData":{"DOI":"10.1039/c4ib00027g","ISBN":"1757-9694","ISSN":"17579708","PMID":"24894989","abstract":"Light can be used to control numerous cellular processes including protein function and interaction as well as gene expression in a non-invasive fashion and with unprecedented spatiotemporal resolution. However, for chemical phototriggers tight, gradual, and homogeneous light response has never been attained in living cells. Here, we report on a light-responsive bacterial T7 RNA polymerase expression system based on a photocaged derivative of the inducer molecule isopropyl-b-D-thiogalactopyranoside (IPTG). We have comparatively analyzed different Escherichia coli lac promoter-regulated expression systems in batch and microfluidic single-cell cultivation. The lacY-deficient E. coli strain Tuner(DE3) harboring additional plasmid-born copies of the lacI gene exhibited a sensitive and defined response to increasing IPTG concentrations. Photocaged IPTG served as a synthetic photo-switch to convert the E. coli system into an optogenetic expression module allowing for precise and gradual light-triggering of gene expression as demonstrated at the single cell level. Insight, innovation, integration Optogenetic approaches aim to trigger biological processes by light. For the establishment of a light-responsive E. coli expression system, we validate different lac promoter-controlled, T7 RNA polymerase-dependent expression modules. Using microfluidic techniques we were able to pin down and abolish bottlenecks of inducer-dependent regulatory response. By implementing a derivative of the synthetic inducer IPTG, which is coupled to the light-sensitive photocaging group 6-nitropiperonal, we assembled a precise photoswitch that can be controlled by UV-A light.","author":[{"dropping-particle":"","family":"Binder","given":"Dennis","non-dropping-particle":"","parse-names":false,"suffix":""},{"dropping-particle":"","family":"Grünberger","given":"Alexander","non-dropping-particle":"","parse-names":false,"suffix":""},{"dropping-particle":"","family":"Loeschcke","given":"Anita","non-dropping-particle":"","parse-names":false,"suffix":""},{"dropping-particle":"","family":"Probst","given":"Christopher","non-dropping-particle":"","parse-names":false,"suffix":""},{"dropping-particle":"","family":"Bier","given":"Claus","non-dropping-particle":"","parse-names":false,"suffix":""},{"dropping-particle":"","family":"Pietruszka","given":"Jörg","non-dropping-particle":"","parse-names":false,"suffix":""},{"dropping-particle":"","family":"Wiechert","given":"Wolfgang","non-dropping-particle":"","parse-names":false,"suffix":""},{"dropping-particle":"","family":"Kohlheyer","given":"Dietrich","non-dropping-particle":"","parse-names":false,"suffix":""},{"dropping-particle":"","family":"Jaeger","given":"Karl Erich","non-dropping-particle":"","parse-names":false,"suffix":""},{"dropping-particle":"","family":"Drepper","given":"Thomas","non-dropping-particle":"","parse-names":false,"suffix":""}],"container-title":"Integrative Biology (United Kingdom)","id":"ITEM-1","issue":"8","issued":{"date-parts":[["2014"]]},"page":"755-765","title":"Light-responsive control of bacterial gene expression: Precise triggering of the lac promoter activity using photocaged IPTG","type":"article-journal","volume":"6"},"uris":["http://www.mendeley.com/documents/?uuid=bb9db291-87c0-440c-bc64-64f1c3e9076f"]}],"mendeley":{"formattedCitation":"&lt;sup&gt;29&lt;/sup&gt;","plainTextFormattedCitation":"29","previouslyFormattedCitation":"&lt;sup&gt;42&lt;/sup&gt;"},"properties":{"noteIndex":0},"schema":"https://github.com/citation-style-language/schema/raw/master/csl-citation.json"}</w:instrText>
      </w:r>
      <w:r w:rsidRPr="00430A5E">
        <w:rPr>
          <w:rFonts w:ascii="Arial" w:hAnsi="Arial" w:cs="Arial"/>
          <w:lang w:val="en-US"/>
        </w:rPr>
        <w:fldChar w:fldCharType="separate"/>
      </w:r>
      <w:r w:rsidR="00F74091" w:rsidRPr="00F74091">
        <w:rPr>
          <w:rFonts w:ascii="Arial" w:hAnsi="Arial" w:cs="Arial"/>
          <w:noProof/>
          <w:vertAlign w:val="superscript"/>
          <w:lang w:val="en-US"/>
        </w:rPr>
        <w:t>29</w:t>
      </w:r>
      <w:r w:rsidRPr="00430A5E">
        <w:rPr>
          <w:rFonts w:ascii="Arial" w:hAnsi="Arial" w:cs="Arial"/>
          <w:lang w:val="en-US"/>
        </w:rPr>
        <w:fldChar w:fldCharType="end"/>
      </w:r>
      <w:r w:rsidRPr="00430A5E">
        <w:rPr>
          <w:rFonts w:ascii="Arial" w:hAnsi="Arial" w:cs="Arial"/>
          <w:lang w:val="en-US"/>
        </w:rPr>
        <w:t xml:space="preserve"> After IPTG and 6-nitropiperonal were dissolved in DMSO, the mixture was cooled down to 0 °C and concentrated sulfuric acid was added. The reaction was warmed up to room temperature and after 24 h the mixture was quenched with water and extracted with ethyl acetate. The dried organic layer was concentrated under reduced pressure and the residue was first purified by flash-column chromatography and MPLC.</w:t>
      </w:r>
    </w:p>
    <w:bookmarkEnd w:id="19"/>
    <w:p w14:paraId="79F9DCB1" w14:textId="77777777" w:rsidR="008551DD" w:rsidRPr="00430A5E" w:rsidRDefault="008551DD" w:rsidP="008551DD">
      <w:pPr>
        <w:spacing w:after="0" w:line="360" w:lineRule="auto"/>
        <w:jc w:val="both"/>
        <w:rPr>
          <w:rFonts w:ascii="Arial" w:hAnsi="Arial" w:cs="Arial"/>
          <w:lang w:val="en-US"/>
        </w:rPr>
      </w:pPr>
    </w:p>
    <w:p w14:paraId="01946206" w14:textId="516FECAD" w:rsidR="008551DD" w:rsidRPr="00430A5E" w:rsidRDefault="008551DD" w:rsidP="008551DD">
      <w:pPr>
        <w:spacing w:after="0" w:line="360" w:lineRule="auto"/>
        <w:jc w:val="both"/>
        <w:rPr>
          <w:rFonts w:ascii="Arial" w:hAnsi="Arial" w:cs="Arial"/>
          <w:b/>
          <w:sz w:val="24"/>
          <w:szCs w:val="24"/>
          <w:lang w:val="en-US"/>
        </w:rPr>
      </w:pPr>
      <w:r w:rsidRPr="00430A5E">
        <w:rPr>
          <w:rFonts w:ascii="Arial" w:hAnsi="Arial" w:cs="Arial"/>
          <w:b/>
          <w:sz w:val="24"/>
          <w:szCs w:val="24"/>
          <w:lang w:val="en-US"/>
        </w:rPr>
        <w:t>Pre-cultivation</w:t>
      </w:r>
    </w:p>
    <w:p w14:paraId="34812D10" w14:textId="77777777" w:rsidR="008551DD" w:rsidRPr="00430A5E" w:rsidRDefault="008551DD" w:rsidP="008551DD">
      <w:pPr>
        <w:spacing w:after="0" w:line="360" w:lineRule="auto"/>
        <w:jc w:val="both"/>
        <w:rPr>
          <w:rFonts w:ascii="Arial" w:hAnsi="Arial" w:cs="Arial"/>
          <w:lang w:val="en-US"/>
        </w:rPr>
      </w:pPr>
      <w:r w:rsidRPr="00430A5E">
        <w:rPr>
          <w:rFonts w:ascii="Arial" w:hAnsi="Arial" w:cs="Arial"/>
          <w:lang w:val="en-US"/>
        </w:rPr>
        <w:t xml:space="preserve">Overnight pre-cultures were inoculated from glycerol stocks in 20 ml of defined CGXII medium. Culture flasks were incubated at 30 °C and 120 rpm. </w:t>
      </w:r>
      <w:r w:rsidRPr="00430A5E">
        <w:rPr>
          <w:rFonts w:ascii="Arial" w:hAnsi="Arial" w:cs="Arial"/>
          <w:i/>
          <w:lang w:val="en-US"/>
        </w:rPr>
        <w:t xml:space="preserve">C. glutamicum </w:t>
      </w:r>
      <w:r w:rsidRPr="00430A5E">
        <w:rPr>
          <w:rFonts w:ascii="Arial" w:hAnsi="Arial" w:cs="Arial"/>
          <w:lang w:val="en-US"/>
        </w:rPr>
        <w:t>Δ</w:t>
      </w:r>
      <w:r w:rsidRPr="00430A5E">
        <w:rPr>
          <w:rFonts w:ascii="Arial" w:hAnsi="Arial" w:cs="Arial"/>
          <w:i/>
          <w:iCs/>
          <w:lang w:val="en-US"/>
        </w:rPr>
        <w:t>lysA</w:t>
      </w:r>
      <w:r w:rsidRPr="00430A5E">
        <w:rPr>
          <w:rFonts w:ascii="Arial" w:hAnsi="Arial" w:cs="Arial"/>
          <w:lang w:val="en-US"/>
        </w:rPr>
        <w:t xml:space="preserve"> cultures were additionally supplemented with 1.5 mM </w:t>
      </w:r>
      <w:r w:rsidRPr="00430A5E">
        <w:rPr>
          <w:rFonts w:ascii="Arial" w:hAnsi="Arial" w:cs="Arial"/>
          <w:smallCaps/>
          <w:lang w:val="en-US"/>
        </w:rPr>
        <w:t>L</w:t>
      </w:r>
      <w:r w:rsidRPr="00430A5E">
        <w:rPr>
          <w:rFonts w:ascii="Arial" w:hAnsi="Arial" w:cs="Arial"/>
          <w:lang w:val="en-US"/>
        </w:rPr>
        <w:t xml:space="preserve">-lysine and 25 mg/l kanamycin. </w:t>
      </w:r>
      <w:r w:rsidRPr="00430A5E">
        <w:rPr>
          <w:rFonts w:ascii="Arial" w:hAnsi="Arial" w:cs="Arial"/>
          <w:i/>
          <w:lang w:val="en-US"/>
        </w:rPr>
        <w:t>C. glutamicum</w:t>
      </w:r>
      <w:r w:rsidRPr="00430A5E">
        <w:rPr>
          <w:rFonts w:ascii="Arial" w:hAnsi="Arial" w:cs="Arial"/>
          <w:lang w:val="en-US"/>
        </w:rPr>
        <w:t xml:space="preserve"> DM1727 pEKEx2-</w:t>
      </w:r>
      <w:r w:rsidRPr="00430A5E">
        <w:rPr>
          <w:rFonts w:ascii="Arial" w:hAnsi="Arial" w:cs="Arial"/>
          <w:i/>
          <w:lang w:val="en-US"/>
        </w:rPr>
        <w:t>lysC</w:t>
      </w:r>
      <w:r w:rsidRPr="00430A5E">
        <w:rPr>
          <w:rFonts w:ascii="Arial" w:hAnsi="Arial" w:cs="Arial"/>
          <w:lang w:val="en-US"/>
        </w:rPr>
        <w:t>-β</w:t>
      </w:r>
      <w:r w:rsidRPr="00430A5E">
        <w:rPr>
          <w:rFonts w:ascii="Arial" w:hAnsi="Arial" w:cs="Arial"/>
          <w:vertAlign w:val="superscript"/>
          <w:lang w:val="en-US"/>
        </w:rPr>
        <w:t>FBR</w:t>
      </w:r>
      <w:r w:rsidRPr="00430A5E">
        <w:rPr>
          <w:rFonts w:ascii="Arial" w:hAnsi="Arial" w:cs="Arial"/>
          <w:lang w:val="en-US"/>
        </w:rPr>
        <w:t xml:space="preserve"> was supplemented with 25 mg/l kanamycin. Antibiotics were excluded from main cultures and co-cultivation experiments.</w:t>
      </w:r>
    </w:p>
    <w:p w14:paraId="5AAA9115" w14:textId="77777777" w:rsidR="008551DD" w:rsidRPr="00430A5E" w:rsidRDefault="008551DD" w:rsidP="008551DD">
      <w:pPr>
        <w:spacing w:after="0" w:line="360" w:lineRule="auto"/>
        <w:jc w:val="both"/>
        <w:rPr>
          <w:rFonts w:ascii="Arial" w:hAnsi="Arial" w:cs="Arial"/>
          <w:lang w:val="en-US"/>
        </w:rPr>
      </w:pPr>
    </w:p>
    <w:p w14:paraId="5C8CC8E7" w14:textId="77777777" w:rsidR="008551DD" w:rsidRPr="00430A5E" w:rsidRDefault="008551DD" w:rsidP="008551DD">
      <w:pPr>
        <w:spacing w:after="0" w:line="360" w:lineRule="auto"/>
        <w:jc w:val="both"/>
        <w:rPr>
          <w:rFonts w:ascii="Arial" w:hAnsi="Arial" w:cs="Arial"/>
          <w:b/>
          <w:sz w:val="24"/>
          <w:szCs w:val="24"/>
          <w:lang w:val="en-US"/>
        </w:rPr>
      </w:pPr>
      <w:r w:rsidRPr="00430A5E">
        <w:rPr>
          <w:rFonts w:ascii="Arial" w:hAnsi="Arial" w:cs="Arial"/>
          <w:b/>
          <w:sz w:val="24"/>
          <w:szCs w:val="24"/>
          <w:lang w:val="en-US"/>
        </w:rPr>
        <w:t>Microfluidic device fabrication and cultivation</w:t>
      </w:r>
    </w:p>
    <w:p w14:paraId="2004283A" w14:textId="2594F1B6" w:rsidR="008551DD" w:rsidRPr="00430A5E" w:rsidRDefault="008551DD" w:rsidP="008551DD">
      <w:pPr>
        <w:spacing w:after="0" w:line="360" w:lineRule="auto"/>
        <w:jc w:val="both"/>
        <w:rPr>
          <w:rFonts w:ascii="Arial" w:hAnsi="Arial" w:cs="Arial"/>
          <w:lang w:val="en-US"/>
        </w:rPr>
      </w:pPr>
      <w:r w:rsidRPr="00430A5E">
        <w:rPr>
          <w:rFonts w:ascii="Arial" w:hAnsi="Arial" w:cs="Arial"/>
          <w:lang w:val="en-US"/>
        </w:rPr>
        <w:t xml:space="preserve">The cultivation device was molded from a silicon wafer structured with two layers of the photoresist SU-8 in a prior photolithographic process. The process of wafer fabrication and PDMS molding is described in detail in Grünberger </w:t>
      </w:r>
      <w:r w:rsidRPr="00430A5E">
        <w:rPr>
          <w:rFonts w:ascii="Arial" w:hAnsi="Arial" w:cs="Arial"/>
          <w:i/>
          <w:lang w:val="en-US"/>
        </w:rPr>
        <w:t>et al..</w:t>
      </w:r>
      <w:r w:rsidRPr="00430A5E">
        <w:rPr>
          <w:rFonts w:ascii="Arial" w:hAnsi="Arial" w:cs="Arial"/>
          <w:lang w:val="en-US"/>
        </w:rPr>
        <w:fldChar w:fldCharType="begin" w:fldLock="1"/>
      </w:r>
      <w:r w:rsidR="00F74091">
        <w:rPr>
          <w:rFonts w:ascii="Arial" w:hAnsi="Arial" w:cs="Arial"/>
          <w:lang w:val="en-US"/>
        </w:rPr>
        <w:instrText>ADDIN CSL_CITATION {"citationItems":[{"id":"ITEM-1","itemData":{"DOI":"10.3791/50560","ISBN":"1940-087X (Electronic) 1940-087X (Linking)","ISSN":"1940-087X","PMID":"24336165","abstract":"In this protocol the fabrication, experimental setup and basic operation of the recently introduced microfluidic picoliter bioreactor (PLBR) is described in detail. The PLBR can be utilized for the analysis of single bacteria and microcolonies to investigate biotechnological and microbiological related questions concerning, e.g. cell growth, morphology, stress response, and metabolite or protein production on single-cell level. The device features continuous media flow enabling constant environmental conditions for perturbation studies, but in addition allows fast medium changes as well as oscillating conditions to mimic any desired environmental situation. To fabricate the single use devices, a silicon wafer containing sub micrometer sized SU-8 structures served as the replication mold for rapid polydimethylsiloxane casting. Chips were cut, assembled, connected, and set up onto a high resolution and fully automated microscope suited for time-lapse imaging, a powerful tool for spatio-temporal cell analysis. Here, the biotechnological platform organism Corynebacterium glutamicum was seeded into the PLBR and cell growth and intracellular fluorescence were followed over several hours unraveling time dependent population heterogeneity on single-cell level, not possible with conventional analysis methods such as flow cytometry. Besides insights into device fabrication, furthermore, the preparation of the preculture, loading, trapping of bacteria, and the PLBR cultivation of single cells and colonies is demonstrated. These devices will add a new dimension in microbiological research to analyze time dependent phenomena of single bacteria under tight environmental control. Due to the simple and relatively short fabrication process the technology can be easily adapted at any microfluidics lab and simply tailored towards specific needs.","author":[{"dropping-particle":"","family":"Gruenberger","given":"Alexander","non-dropping-particle":"","parse-names":false,"suffix":""},{"dropping-particle":"","family":"Probst","given":"Christopher","non-dropping-particle":"","parse-names":false,"suffix":""},{"dropping-particle":"","family":"Heyer","given":"Antonia","non-dropping-particle":"","parse-names":false,"suffix":""},{"dropping-particle":"","family":"Wiechert","given":"Wolfgang","non-dropping-particle":"","parse-names":false,"suffix":""},{"dropping-particle":"","family":"Frunzke","given":"Julia","non-dropping-particle":"","parse-names":false,"suffix":""},{"dropping-particle":"","family":"Kohlheyer","given":"Dietrich","non-dropping-particle":"","parse-names":false,"suffix":""}],"container-title":"Journal of Visualized Experiments","id":"ITEM-1","issue":"82","issued":{"date-parts":[["2013","12","6"]]},"note":"Gruenberger, Alexander\nProbst, Christopher\nHeyer, Antonia\nWiechert, Wolfgang\nFrunzke, Julia\nKohlheyer, Dietrich\neng\nVideo-Audio Media\n2013/12/18 06:00\nJ Vis Exp. 2013 Dec 6;(82):50560. doi: 10.3791/50560.","page":"50560","title":"Microfluidic Picoliter Bioreactor for Microbial Single-cell Analysis: Fabrication, System Setup, and Operation","type":"article-journal"},"uris":["http://www.mendeley.com/documents/?uuid=d3381495-2d51-45a2-9a59-8e16a414306d"]}],"mendeley":{"formattedCitation":"&lt;sup&gt;55&lt;/sup&gt;","plainTextFormattedCitation":"55","previouslyFormattedCitation":"&lt;sup&gt;43&lt;/sup&gt;"},"properties":{"noteIndex":0},"schema":"https://github.com/citation-style-language/schema/raw/master/csl-citation.json"}</w:instrText>
      </w:r>
      <w:r w:rsidRPr="00430A5E">
        <w:rPr>
          <w:rFonts w:ascii="Arial" w:hAnsi="Arial" w:cs="Arial"/>
          <w:lang w:val="en-US"/>
        </w:rPr>
        <w:fldChar w:fldCharType="separate"/>
      </w:r>
      <w:r w:rsidR="00F74091" w:rsidRPr="00F74091">
        <w:rPr>
          <w:rFonts w:ascii="Arial" w:hAnsi="Arial" w:cs="Arial"/>
          <w:noProof/>
          <w:vertAlign w:val="superscript"/>
          <w:lang w:val="en-US"/>
        </w:rPr>
        <w:t>55</w:t>
      </w:r>
      <w:r w:rsidRPr="00430A5E">
        <w:rPr>
          <w:rFonts w:ascii="Arial" w:hAnsi="Arial" w:cs="Arial"/>
          <w:lang w:val="en-US"/>
        </w:rPr>
        <w:fldChar w:fldCharType="end"/>
      </w:r>
      <w:r w:rsidRPr="00430A5E">
        <w:rPr>
          <w:rFonts w:ascii="Arial" w:hAnsi="Arial" w:cs="Arial"/>
          <w:lang w:val="en-US"/>
        </w:rPr>
        <w:t xml:space="preserve"> The device has a size of 3 cm x 4 cm x 0.4 cm (Figure </w:t>
      </w:r>
      <w:r w:rsidR="006B0862">
        <w:rPr>
          <w:rFonts w:ascii="Arial" w:hAnsi="Arial" w:cs="Arial"/>
          <w:lang w:val="en-US"/>
        </w:rPr>
        <w:t>4</w:t>
      </w:r>
      <w:r w:rsidRPr="00430A5E">
        <w:rPr>
          <w:rFonts w:ascii="Arial" w:hAnsi="Arial" w:cs="Arial"/>
          <w:lang w:val="en-US"/>
        </w:rPr>
        <w:t xml:space="preserve">A). It incorporates three cultivation channels with two inlets and two outlets each (Figure </w:t>
      </w:r>
      <w:r w:rsidR="006B0862">
        <w:rPr>
          <w:rFonts w:ascii="Arial" w:hAnsi="Arial" w:cs="Arial"/>
          <w:lang w:val="en-US"/>
        </w:rPr>
        <w:t>4</w:t>
      </w:r>
      <w:r w:rsidRPr="00430A5E">
        <w:rPr>
          <w:rFonts w:ascii="Arial" w:hAnsi="Arial" w:cs="Arial"/>
          <w:lang w:val="en-US"/>
        </w:rPr>
        <w:t>B). Each cultivation channel has an array of parallel shallow cultivation regions (60 µm x 70 µm x 1 µm) which are connected in the center by a grid-like structure (grid spacing 600 nm, modified from</w:t>
      </w:r>
      <w:r w:rsidRPr="00430A5E">
        <w:rPr>
          <w:rFonts w:ascii="Arial" w:hAnsi="Arial" w:cs="Arial"/>
          <w:lang w:val="en-US"/>
        </w:rPr>
        <w:fldChar w:fldCharType="begin" w:fldLock="1"/>
      </w:r>
      <w:r w:rsidRPr="00430A5E">
        <w:rPr>
          <w:rFonts w:ascii="Arial" w:hAnsi="Arial" w:cs="Arial"/>
          <w:lang w:val="en-US"/>
        </w:rPr>
        <w:instrText>ADDIN CSL_CITATION {"citationItems":[{"id":"ITEM-1","itemData":{"DOI":"10.1039/C8LC00977E","ISSN":"1473-0197","abstract":"A microfluidic device for the co-cultivation of microbial cells.","author":[{"dropping-particle":"","family":"Burmeister","given":"Alina","non-dropping-particle":"","parse-names":false,"suffix":""},{"dropping-particle":"","family":"Hilgers","given":"Fabienne","non-dropping-particle":"","parse-names":false,"suffix":""},{"dropping-particle":"","family":"Langner","given":"Annika","non-dropping-particle":"","parse-names":false,"suffix":""},{"dropping-particle":"","family":"Westerwalbesloh","given":"Christoph","non-dropping-particle":"","parse-names":false,"suffix":""},{"dropping-particle":"","family":"Kerkhoff","given":"Yannic","non-dropping-particle":"","parse-names":false,"suffix":""},{"dropping-particle":"","family":"Tenhaef","given":"Niklas","non-dropping-particle":"","parse-names":false,"suffix":""},{"dropping-particle":"","family":"Drepper","given":"Thomas","non-dropping-particle":"","parse-names":false,"suffix":""},{"dropping-particle":"","family":"Kohlheyer","given":"Dietrich","non-dropping-particle":"","parse-names":false,"suffix":""},{"dropping-particle":"","family":"Lieres","given":"Eric","non-dropping-particle":"von","parse-names":false,"suffix":""},{"dropping-particle":"","family":"Noack","given":"Stephan","non-dropping-particle":"","parse-names":false,"suffix":""},{"dropping-particle":"","family":"Grünberger","given":"Alexander","non-dropping-particle":"","parse-names":false,"suffix":""}],"container-title":"Lab on a Chip","id":"ITEM-1","issue":"1","issued":{"date-parts":[["2019"]]},"page":"98-110","publisher":"Royal Society of Chemistry","title":"A microfluidic co-cultivation platform to investigate microbial interactions at defined microenvironments","type":"article-journal","volume":"19"},"uris":["http://www.mendeley.com/documents/?uuid=f09cf1a7-ab41-4506-80bd-52fc2414863c"]}],"mendeley":{"formattedCitation":"&lt;sup&gt;17&lt;/sup&gt;","plainTextFormattedCitation":"17","previouslyFormattedCitation":"&lt;sup&gt;17&lt;/sup&gt;"},"properties":{"noteIndex":0},"schema":"https://github.com/citation-style-language/schema/raw/master/csl-citation.json"}</w:instrText>
      </w:r>
      <w:r w:rsidRPr="00430A5E">
        <w:rPr>
          <w:rFonts w:ascii="Arial" w:hAnsi="Arial" w:cs="Arial"/>
          <w:lang w:val="en-US"/>
        </w:rPr>
        <w:fldChar w:fldCharType="separate"/>
      </w:r>
      <w:r w:rsidRPr="00430A5E">
        <w:rPr>
          <w:rFonts w:ascii="Arial" w:hAnsi="Arial" w:cs="Arial"/>
          <w:noProof/>
          <w:vertAlign w:val="superscript"/>
          <w:lang w:val="en-US"/>
        </w:rPr>
        <w:t>17</w:t>
      </w:r>
      <w:r w:rsidRPr="00430A5E">
        <w:rPr>
          <w:rFonts w:ascii="Arial" w:hAnsi="Arial" w:cs="Arial"/>
          <w:lang w:val="en-US"/>
        </w:rPr>
        <w:fldChar w:fldCharType="end"/>
      </w:r>
      <w:r w:rsidRPr="00430A5E">
        <w:rPr>
          <w:rFonts w:ascii="Arial" w:hAnsi="Arial" w:cs="Arial"/>
          <w:lang w:val="en-US"/>
        </w:rPr>
        <w:t xml:space="preserve">) (Figure </w:t>
      </w:r>
      <w:r w:rsidR="006B0862">
        <w:rPr>
          <w:rFonts w:ascii="Arial" w:hAnsi="Arial" w:cs="Arial"/>
          <w:lang w:val="en-US"/>
        </w:rPr>
        <w:t>4</w:t>
      </w:r>
      <w:r w:rsidRPr="00430A5E">
        <w:rPr>
          <w:rFonts w:ascii="Arial" w:hAnsi="Arial" w:cs="Arial"/>
          <w:lang w:val="en-US"/>
        </w:rPr>
        <w:t xml:space="preserve">C). For the cultivation experiments, two different strains can be loaded into the chambers through the two independent supply channels (Figure </w:t>
      </w:r>
      <w:r w:rsidR="00463601">
        <w:rPr>
          <w:rFonts w:ascii="Arial" w:hAnsi="Arial" w:cs="Arial"/>
          <w:lang w:val="en-US"/>
        </w:rPr>
        <w:t>4</w:t>
      </w:r>
      <w:r w:rsidRPr="00430A5E">
        <w:rPr>
          <w:rFonts w:ascii="Arial" w:hAnsi="Arial" w:cs="Arial"/>
          <w:lang w:val="en-US"/>
        </w:rPr>
        <w:t xml:space="preserve">C left). After the cell inoculation, the chip was perfused with fresh medium for one hour. Subsequently, the flow was stopped, and the image acquisition was started (Figure </w:t>
      </w:r>
      <w:r w:rsidR="006B0862">
        <w:rPr>
          <w:rFonts w:ascii="Arial" w:hAnsi="Arial" w:cs="Arial"/>
          <w:lang w:val="en-US"/>
        </w:rPr>
        <w:t>4</w:t>
      </w:r>
      <w:r w:rsidRPr="00430A5E">
        <w:rPr>
          <w:rFonts w:ascii="Arial" w:hAnsi="Arial" w:cs="Arial"/>
          <w:lang w:val="en-US"/>
        </w:rPr>
        <w:t>C right).</w:t>
      </w:r>
    </w:p>
    <w:p w14:paraId="5A87F889" w14:textId="139C09E8" w:rsidR="008551DD" w:rsidRPr="00430A5E" w:rsidRDefault="008551DD" w:rsidP="008551DD">
      <w:pPr>
        <w:spacing w:after="0" w:line="360" w:lineRule="auto"/>
        <w:jc w:val="both"/>
        <w:rPr>
          <w:rFonts w:ascii="Arial" w:hAnsi="Arial" w:cs="Arial"/>
          <w:lang w:val="en-US"/>
        </w:rPr>
      </w:pPr>
      <w:r w:rsidRPr="00430A5E">
        <w:rPr>
          <w:rFonts w:ascii="Arial" w:hAnsi="Arial" w:cs="Arial"/>
          <w:lang w:val="en-US"/>
        </w:rPr>
        <w:t xml:space="preserve">The microfluidic cultivation was performed on an inverted time-lapse imaging microscope (Nikon Eclipse Ti, Nikon, Germany). The microscope was equipped with an incubation </w:t>
      </w:r>
      <w:r w:rsidRPr="00430A5E">
        <w:rPr>
          <w:rFonts w:ascii="Arial" w:hAnsi="Arial" w:cs="Arial"/>
          <w:lang w:val="en-US"/>
        </w:rPr>
        <w:lastRenderedPageBreak/>
        <w:t>chamber (PECON; Germany) enabling constant temperature conditions. The bonded PDMS-chip was fixed in an in-house fabricated chip-holder and images were taken with an 100x oil immersion objective (CFI Plan Apo Lambda DM 100X, NA 1.45, Nikon Instruments, Germany) and a CCD camera (ANDOR LUCA R DL604</w:t>
      </w:r>
      <w:r w:rsidR="000824B5">
        <w:rPr>
          <w:rFonts w:ascii="Arial" w:hAnsi="Arial" w:cs="Arial"/>
          <w:lang w:val="en-US"/>
        </w:rPr>
        <w:t>, Oxford Instruments, United Kingdom</w:t>
      </w:r>
      <w:r w:rsidRPr="00430A5E">
        <w:rPr>
          <w:rFonts w:ascii="Arial" w:hAnsi="Arial" w:cs="Arial"/>
          <w:lang w:val="en-US"/>
        </w:rPr>
        <w:t xml:space="preserve">). </w:t>
      </w:r>
    </w:p>
    <w:p w14:paraId="2D5673D7" w14:textId="4F1BE4B9" w:rsidR="008551DD" w:rsidRPr="00430A5E" w:rsidRDefault="008551DD" w:rsidP="008551DD">
      <w:pPr>
        <w:spacing w:after="0" w:line="360" w:lineRule="auto"/>
        <w:jc w:val="both"/>
        <w:rPr>
          <w:rFonts w:ascii="Arial" w:hAnsi="Arial" w:cs="Arial"/>
          <w:lang w:val="en-US"/>
        </w:rPr>
      </w:pPr>
      <w:r w:rsidRPr="00430A5E">
        <w:rPr>
          <w:rFonts w:ascii="Arial" w:hAnsi="Arial" w:cs="Arial"/>
          <w:lang w:val="en-US"/>
        </w:rPr>
        <w:t>Cells were trapped randomly inside the shallow cultivation chambers by flushing cell suspension through the deeper supply channels.</w:t>
      </w:r>
      <w:r w:rsidRPr="00430A5E">
        <w:rPr>
          <w:rFonts w:ascii="Arial" w:hAnsi="Arial" w:cs="Arial"/>
          <w:lang w:val="en-US"/>
        </w:rPr>
        <w:fldChar w:fldCharType="begin" w:fldLock="1"/>
      </w:r>
      <w:r w:rsidR="00F74091">
        <w:rPr>
          <w:rFonts w:ascii="Arial" w:hAnsi="Arial" w:cs="Arial"/>
          <w:lang w:val="en-US"/>
        </w:rPr>
        <w:instrText>ADDIN CSL_CITATION {"citationItems":[{"id":"ITEM-1","itemData":{"DOI":"10.1039/c4ay02257b","ISSN":"17599679","abstract":"An injected air bubble serves as a reproducible mechanism to modify laminar flow conditions during single cell inoculation. Microfluidic single-cell cultivation devices have been successfully utilized in a variety of biological research fields. One major obstacle to the successful implementation of high throughput single-cell cultivation technology is the requirement for a simple, fast and reliable cell inoculation procedure. In the present report, an air-bubble-based cell loading methodology is described and validated for inoculating single bacteria into multiple picoliter sized growth chambers arranged in a highly parallel manner. It is shown that the application of the injected air bubble can serve as a reproducible mechanism to modify laminar flow conditions. In this way, convective flow was temporarily induced in more than 1000 cultivation chambers simultaneously, which under normal conditions operate exclusively under diffusive mass transport. Within an inoculation time of 100 s, Corynebacterium glutamicum cells were inoculated by convection at minimal stress level and single bacteria remain successfully trapped by cell-wall interactions. The procedure is easy, fast, gentle and requires only minimal fluidic control and equipment. The technique is well suited for microbial cell loading into commonly used microfluidic growth sites arranged in parallel intended for high throughput single-cell analysis. ","author":[{"dropping-particle":"","family":"Probst","given":"Christopher","non-dropping-particle":"","parse-names":false,"suffix":""},{"dropping-particle":"","family":"Grünberger","given":"Alexander","non-dropping-particle":"","parse-names":false,"suffix":""},{"dropping-particle":"","family":"Braun","given":"Nadja","non-dropping-particle":"","parse-names":false,"suffix":""},{"dropping-particle":"","family":"Helfrich","given":"Stefan","non-dropping-particle":"","parse-names":false,"suffix":""},{"dropping-particle":"","family":"Nöh","given":"Katharina","non-dropping-particle":"","parse-names":false,"suffix":""},{"dropping-particle":"","family":"Wiechert","given":"Wolfgang","non-dropping-particle":"","parse-names":false,"suffix":""},{"dropping-particle":"","family":"Kohlheyer","given":"Dietrich","non-dropping-particle":"","parse-names":false,"suffix":""}],"container-title":"Analytical Methods","id":"ITEM-1","issue":"1","issued":{"date-parts":[["2015"]]},"page":"91-98","title":"Rapid inoculation of single bacteria into parallel picoliter fermentation chambers","type":"article-journal","volume":"7"},"uris":["http://www.mendeley.com/documents/?uuid=98c05155-7d98-4c8d-bd98-7f3c665eb6cb"]}],"mendeley":{"formattedCitation":"&lt;sup&gt;56&lt;/sup&gt;","plainTextFormattedCitation":"56","previouslyFormattedCitation":"&lt;sup&gt;44&lt;/sup&gt;"},"properties":{"noteIndex":0},"schema":"https://github.com/citation-style-language/schema/raw/master/csl-citation.json"}</w:instrText>
      </w:r>
      <w:r w:rsidRPr="00430A5E">
        <w:rPr>
          <w:rFonts w:ascii="Arial" w:hAnsi="Arial" w:cs="Arial"/>
          <w:lang w:val="en-US"/>
        </w:rPr>
        <w:fldChar w:fldCharType="separate"/>
      </w:r>
      <w:r w:rsidR="00F74091" w:rsidRPr="00F74091">
        <w:rPr>
          <w:rFonts w:ascii="Arial" w:hAnsi="Arial" w:cs="Arial"/>
          <w:noProof/>
          <w:vertAlign w:val="superscript"/>
          <w:lang w:val="en-US"/>
        </w:rPr>
        <w:t>56</w:t>
      </w:r>
      <w:r w:rsidRPr="00430A5E">
        <w:rPr>
          <w:rFonts w:ascii="Arial" w:hAnsi="Arial" w:cs="Arial"/>
          <w:lang w:val="en-US"/>
        </w:rPr>
        <w:fldChar w:fldCharType="end"/>
      </w:r>
      <w:r w:rsidRPr="00430A5E">
        <w:rPr>
          <w:rFonts w:ascii="Arial" w:hAnsi="Arial" w:cs="Arial"/>
          <w:lang w:val="en-US"/>
        </w:rPr>
        <w:t xml:space="preserve"> After enough cells were trapped, the inlets of the supply channels were connected to medium syringes, which were fixed in multiple syringe pumps (neMESYS, CETONI, Germany). A continuous flow of fresh medium at 200 nl/min ensured constant environmental steady-state conditions. Chamber positions were manually selected with the microscope software (NIS Elements AR 4.30.02, Nikon microscopy) and images of each chamber position were acquired in 10 min time intervals.</w:t>
      </w:r>
    </w:p>
    <w:p w14:paraId="68A6D14D" w14:textId="77777777" w:rsidR="008551DD" w:rsidRPr="00430A5E" w:rsidRDefault="008551DD" w:rsidP="008551DD">
      <w:pPr>
        <w:spacing w:after="0" w:line="360" w:lineRule="auto"/>
        <w:jc w:val="both"/>
        <w:rPr>
          <w:rFonts w:ascii="Arial" w:hAnsi="Arial" w:cs="Arial"/>
          <w:lang w:val="en-US"/>
        </w:rPr>
      </w:pPr>
      <w:r w:rsidRPr="00430A5E">
        <w:rPr>
          <w:rFonts w:ascii="Arial" w:hAnsi="Arial" w:cs="Arial"/>
          <w:lang w:val="en-US"/>
        </w:rPr>
        <w:t>For optochemical experiments, specific chambers were exposed to UV-A light through the objective, using the fluorescence light source (SOLA light engine, lumencor, USA) and a DAPI filter (λ</w:t>
      </w:r>
      <w:r w:rsidRPr="00430A5E">
        <w:rPr>
          <w:rFonts w:ascii="Arial" w:hAnsi="Arial" w:cs="Arial"/>
          <w:vertAlign w:val="subscript"/>
          <w:lang w:val="en-US"/>
        </w:rPr>
        <w:t>ex </w:t>
      </w:r>
      <w:r w:rsidRPr="00430A5E">
        <w:rPr>
          <w:rFonts w:ascii="Arial" w:hAnsi="Arial" w:cs="Arial"/>
          <w:lang w:val="en-US"/>
        </w:rPr>
        <w:t>= 360 nm, λ</w:t>
      </w:r>
      <w:r w:rsidRPr="00430A5E">
        <w:rPr>
          <w:rFonts w:ascii="Arial" w:hAnsi="Arial" w:cs="Arial"/>
          <w:vertAlign w:val="subscript"/>
          <w:lang w:val="en-US"/>
        </w:rPr>
        <w:t>dichroic </w:t>
      </w:r>
      <w:r w:rsidRPr="00430A5E">
        <w:rPr>
          <w:rFonts w:ascii="Arial" w:hAnsi="Arial" w:cs="Arial"/>
          <w:lang w:val="en-US"/>
        </w:rPr>
        <w:t>= 400 nm, λ</w:t>
      </w:r>
      <w:r w:rsidRPr="00430A5E">
        <w:rPr>
          <w:rFonts w:ascii="Arial" w:hAnsi="Arial" w:cs="Arial"/>
          <w:vertAlign w:val="subscript"/>
          <w:lang w:val="en-US"/>
        </w:rPr>
        <w:t>em </w:t>
      </w:r>
      <w:r w:rsidRPr="00430A5E">
        <w:rPr>
          <w:rFonts w:ascii="Arial" w:hAnsi="Arial" w:cs="Arial"/>
          <w:lang w:val="en-US"/>
        </w:rPr>
        <w:t>= 460 nm). The measured light intensity at λ</w:t>
      </w:r>
      <w:r w:rsidRPr="00430A5E">
        <w:rPr>
          <w:rFonts w:ascii="Arial" w:hAnsi="Arial" w:cs="Arial"/>
          <w:vertAlign w:val="subscript"/>
          <w:lang w:val="en-US"/>
        </w:rPr>
        <w:t>em </w:t>
      </w:r>
      <w:r w:rsidRPr="00430A5E">
        <w:rPr>
          <w:rFonts w:ascii="Arial" w:hAnsi="Arial" w:cs="Arial"/>
          <w:lang w:val="en-US"/>
        </w:rPr>
        <w:t>= 360 nm was I=1,2 µW.</w:t>
      </w:r>
    </w:p>
    <w:p w14:paraId="62B85AC6" w14:textId="77777777" w:rsidR="008551DD" w:rsidRPr="00430A5E" w:rsidRDefault="008551DD" w:rsidP="008551DD">
      <w:pPr>
        <w:spacing w:after="0" w:line="360" w:lineRule="auto"/>
        <w:jc w:val="both"/>
        <w:rPr>
          <w:rFonts w:ascii="Arial" w:hAnsi="Arial" w:cs="Arial"/>
          <w:lang w:val="en-US"/>
        </w:rPr>
      </w:pPr>
    </w:p>
    <w:p w14:paraId="557F5C08" w14:textId="77777777" w:rsidR="008551DD" w:rsidRPr="00430A5E" w:rsidRDefault="008551DD" w:rsidP="008551DD">
      <w:pPr>
        <w:spacing w:after="0" w:line="360" w:lineRule="auto"/>
        <w:jc w:val="both"/>
        <w:rPr>
          <w:rFonts w:ascii="Arial" w:hAnsi="Arial" w:cs="Arial"/>
          <w:lang w:val="en-US"/>
        </w:rPr>
      </w:pPr>
    </w:p>
    <w:p w14:paraId="11FA93A6" w14:textId="77777777" w:rsidR="008551DD" w:rsidRPr="00430A5E" w:rsidRDefault="008551DD" w:rsidP="008551DD">
      <w:pPr>
        <w:keepNext/>
        <w:spacing w:after="0" w:line="360" w:lineRule="auto"/>
        <w:jc w:val="center"/>
        <w:rPr>
          <w:rFonts w:ascii="Arial" w:hAnsi="Arial" w:cs="Arial"/>
          <w:lang w:val="en-US"/>
        </w:rPr>
      </w:pPr>
      <w:r w:rsidRPr="00430A5E">
        <w:rPr>
          <w:rFonts w:ascii="Arial" w:hAnsi="Arial" w:cs="Arial"/>
          <w:noProof/>
          <w:lang w:eastAsia="de-DE"/>
        </w:rPr>
        <w:drawing>
          <wp:inline distT="0" distB="0" distL="0" distR="0" wp14:anchorId="00BD31AA" wp14:editId="7526FD27">
            <wp:extent cx="5320217" cy="2499332"/>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320217" cy="2499332"/>
                    </a:xfrm>
                    <a:prstGeom prst="rect">
                      <a:avLst/>
                    </a:prstGeom>
                    <a:noFill/>
                    <a:ln>
                      <a:noFill/>
                    </a:ln>
                  </pic:spPr>
                </pic:pic>
              </a:graphicData>
            </a:graphic>
          </wp:inline>
        </w:drawing>
      </w:r>
    </w:p>
    <w:p w14:paraId="54FEFAA1" w14:textId="77777777" w:rsidR="008551DD" w:rsidRPr="00430A5E" w:rsidRDefault="008551DD" w:rsidP="008551DD">
      <w:pPr>
        <w:pStyle w:val="Beschriftung"/>
        <w:spacing w:after="0" w:line="360" w:lineRule="auto"/>
        <w:jc w:val="both"/>
        <w:rPr>
          <w:rFonts w:ascii="Arial" w:hAnsi="Arial" w:cs="Arial"/>
          <w:color w:val="auto"/>
          <w:lang w:val="en-US"/>
        </w:rPr>
      </w:pPr>
    </w:p>
    <w:p w14:paraId="54E1DC96" w14:textId="248B8255" w:rsidR="008551DD" w:rsidRPr="00430A5E" w:rsidRDefault="008551DD" w:rsidP="008551DD">
      <w:pPr>
        <w:pStyle w:val="Beschriftung"/>
        <w:spacing w:after="0" w:line="360" w:lineRule="auto"/>
        <w:jc w:val="both"/>
        <w:rPr>
          <w:rFonts w:ascii="Arial" w:hAnsi="Arial" w:cs="Arial"/>
          <w:color w:val="auto"/>
          <w:lang w:val="en-US"/>
        </w:rPr>
      </w:pPr>
      <w:r w:rsidRPr="00430A5E">
        <w:rPr>
          <w:rFonts w:ascii="Arial" w:hAnsi="Arial" w:cs="Arial"/>
          <w:b/>
          <w:bCs/>
          <w:color w:val="auto"/>
          <w:lang w:val="en-US"/>
        </w:rPr>
        <w:t xml:space="preserve">Figure </w:t>
      </w:r>
      <w:r w:rsidR="006B0862">
        <w:rPr>
          <w:rFonts w:ascii="Arial" w:hAnsi="Arial" w:cs="Arial"/>
          <w:b/>
          <w:bCs/>
          <w:color w:val="auto"/>
          <w:lang w:val="en-US"/>
        </w:rPr>
        <w:t>4</w:t>
      </w:r>
      <w:r w:rsidRPr="00430A5E">
        <w:rPr>
          <w:rFonts w:ascii="Arial" w:hAnsi="Arial" w:cs="Arial"/>
          <w:color w:val="auto"/>
          <w:lang w:val="en-US"/>
        </w:rPr>
        <w:t xml:space="preserve"> Microfluidic single-cell co-cultivation device. (A) Image of a PDMS chip (match for size reference). (B) Illustration of one cultivation channel incorporating 50 cultivation chambers. (C) Illustration of a single co-cultivation chamber consisting of two chamber compartments separated by nanochannels (height = 1 µm, width = 600 nm). First, both strains are inoculated into the shallow cultivation chambers (height 1 µm) by flushing the cell suspension through the deeper supply channels (height 11 µm). Cells get randomly stuck in the cultivation chamber regions. Second, before time-lapse image acquisition, the flow is stopped to create batch conditions.</w:t>
      </w:r>
    </w:p>
    <w:p w14:paraId="77D8481F" w14:textId="77777777" w:rsidR="008551DD" w:rsidRPr="00430A5E" w:rsidRDefault="008551DD" w:rsidP="008551DD">
      <w:pPr>
        <w:spacing w:after="0" w:line="360" w:lineRule="auto"/>
        <w:jc w:val="both"/>
        <w:rPr>
          <w:rFonts w:ascii="Arial" w:hAnsi="Arial" w:cs="Arial"/>
          <w:lang w:val="en-US"/>
        </w:rPr>
      </w:pPr>
    </w:p>
    <w:p w14:paraId="3F53C11A" w14:textId="77777777" w:rsidR="008551DD" w:rsidRPr="00430A5E" w:rsidRDefault="008551DD" w:rsidP="008551DD">
      <w:pPr>
        <w:spacing w:after="0" w:line="360" w:lineRule="auto"/>
        <w:jc w:val="both"/>
        <w:rPr>
          <w:rFonts w:ascii="Arial" w:hAnsi="Arial" w:cs="Arial"/>
          <w:b/>
          <w:sz w:val="24"/>
          <w:szCs w:val="24"/>
          <w:lang w:val="en-US"/>
        </w:rPr>
      </w:pPr>
      <w:r w:rsidRPr="00430A5E">
        <w:rPr>
          <w:rFonts w:ascii="Arial" w:hAnsi="Arial" w:cs="Arial"/>
          <w:b/>
          <w:sz w:val="24"/>
          <w:szCs w:val="24"/>
          <w:lang w:val="en-US"/>
        </w:rPr>
        <w:t>Image analysis</w:t>
      </w:r>
    </w:p>
    <w:p w14:paraId="0B23D565" w14:textId="7423A7FA" w:rsidR="008551DD" w:rsidRPr="00430A5E" w:rsidRDefault="008551DD" w:rsidP="008551DD">
      <w:pPr>
        <w:spacing w:after="0" w:line="360" w:lineRule="auto"/>
        <w:jc w:val="both"/>
        <w:rPr>
          <w:rFonts w:ascii="Arial" w:hAnsi="Arial" w:cs="Arial"/>
          <w:lang w:val="en-US"/>
        </w:rPr>
      </w:pPr>
      <w:r w:rsidRPr="00430A5E">
        <w:rPr>
          <w:rFonts w:ascii="Arial" w:hAnsi="Arial" w:cs="Arial"/>
          <w:lang w:val="en-US"/>
        </w:rPr>
        <w:lastRenderedPageBreak/>
        <w:t>Images were processed and analyzed using the software Fiji.</w:t>
      </w:r>
      <w:r w:rsidRPr="00430A5E">
        <w:rPr>
          <w:rFonts w:ascii="Arial" w:hAnsi="Arial" w:cs="Arial"/>
          <w:lang w:val="en-US"/>
        </w:rPr>
        <w:fldChar w:fldCharType="begin" w:fldLock="1"/>
      </w:r>
      <w:r w:rsidR="00F74091">
        <w:rPr>
          <w:rFonts w:ascii="Arial" w:hAnsi="Arial" w:cs="Arial"/>
          <w:lang w:val="en-US"/>
        </w:rPr>
        <w:instrText>ADDIN CSL_CITATION {"citationItems":[{"id":"ITEM-1","itemData":{"ISBN":"9780137471553","ISSN":"20585276","PMID":"27572972","author":[{"dropping-particle":"","family":"Ducret","given":"Adrien","non-dropping-particle":"","parse-names":false,"suffix":""},{"dropping-particle":"","family":"Quardokus","given":"Ellen M.","non-dropping-particle":"","parse-names":false,"suffix":""},{"dropping-particle":"V.","family":"Brun","given":"Yves","non-dropping-particle":"","parse-names":false,"suffix":""}],"container-title":"Nature Microbiology","id":"ITEM-1","issue":"7","issued":{"date-parts":[["2016"]]},"page":"doi:10.1038/nmicrobiol.2016.77","title":"MicrobeJ, a tool for high throughput bacterial cell detection and quantitative analysis","type":"article-journal","volume":"1"},"uris":["http://www.mendeley.com/documents/?uuid=cba09f6d-f190-49a8-afb4-142fe56ad551"]},{"id":"ITEM-2","itemData":{"DOI":"10.1038/nmeth.2019","ISBN":"1548-7105 (Electronic)\\r1548-7091 (Linking)","ISSN":"15487091","PMID":"22743772","abstract":"Fiji is a distribution of the popular open-source software ImageJ focused on biological-image analysis. Fiji uses modern software engineering practices to combine powerful software libraries with a broad range of scripting languages to enable rapid prototyping of image-processing algorithms. Fiji facilitates the transformation of new algorithms into ImageJ plugins that can be shared with end users through an integrated update system. We propose Fiji as a platform for productive collaboration between computer science and biology research communities.","author":[{"dropping-particle":"","family":"Schindelin","given":"Johannes","non-dropping-particle":"","parse-names":false,"suffix":""},{"dropping-particle":"","family":"Arganda-Carreras","given":"Ignacio","non-dropping-particle":"","parse-names":false,"suffix":""},{"dropping-particle":"","family":"Frise","given":"Erwin","non-dropping-particle":"","parse-names":false,"suffix":""},{"dropping-particle":"","family":"Kaynig","given":"Verena","non-dropping-particle":"","parse-names":false,"suffix":""},{"dropping-particle":"","family":"Longair","given":"Mark","non-dropping-particle":"","parse-names":false,"suffix":""},{"dropping-particle":"","family":"Pietzsch","given":"Tobias","non-dropping-particle":"","parse-names":false,"suffix":""},{"dropping-particle":"","family":"Preibisch","given":"Stephan","non-dropping-particle":"","parse-names":false,"suffix":""},{"dropping-particle":"","family":"Rueden","given":"Curtis","non-dropping-particle":"","parse-names":false,"suffix":""},{"dropping-particle":"","family":"Saalfeld","given":"Stephan","non-dropping-particle":"","parse-names":false,"suffix":""},{"dropping-particle":"","family":"Schmid","given":"Benjamin","non-dropping-particle":"","parse-names":false,"suffix":""},{"dropping-particle":"","family":"Tinevez","given":"Jean Yves","non-dropping-particle":"","parse-names":false,"suffix":""},{"dropping-particle":"","family":"White","given":"Daniel James","non-dropping-particle":"","parse-names":false,"suffix":""},{"dropping-particle":"","family":"Hartenstein","given":"Volker","non-dropping-particle":"","parse-names":false,"suffix":""},{"dropping-particle":"","family":"Eliceiri","given":"Kevin","non-dropping-particle":"","parse-names":false,"suffix":""},{"dropping-particle":"","family":"Tomancak","given":"Pavel","non-dropping-particle":"","parse-names":false,"suffix":""},{"dropping-particle":"","family":"Cardona","given":"Albert","non-dropping-particle":"","parse-names":false,"suffix":""}],"container-title":"Nature Methods","id":"ITEM-2","issue":"7","issued":{"date-parts":[["2012"]]},"page":"676-682","title":"Fiji: An open-source platform for biological-image analysis","type":"article-journal","volume":"9"},"uris":["http://www.mendeley.com/documents/?uuid=e603a7fc-95b7-47e5-ad74-fbf8a0702cbf"]}],"mendeley":{"formattedCitation":"&lt;sup&gt;57,58&lt;/sup&gt;","plainTextFormattedCitation":"57,58","previouslyFormattedCitation":"&lt;sup&gt;45,46&lt;/sup&gt;"},"properties":{"noteIndex":0},"schema":"https://github.com/citation-style-language/schema/raw/master/csl-citation.json"}</w:instrText>
      </w:r>
      <w:r w:rsidRPr="00430A5E">
        <w:rPr>
          <w:rFonts w:ascii="Arial" w:hAnsi="Arial" w:cs="Arial"/>
          <w:lang w:val="en-US"/>
        </w:rPr>
        <w:fldChar w:fldCharType="separate"/>
      </w:r>
      <w:r w:rsidR="00F74091" w:rsidRPr="00F74091">
        <w:rPr>
          <w:rFonts w:ascii="Arial" w:hAnsi="Arial" w:cs="Arial"/>
          <w:noProof/>
          <w:vertAlign w:val="superscript"/>
          <w:lang w:val="en-US"/>
        </w:rPr>
        <w:t>57,58</w:t>
      </w:r>
      <w:r w:rsidRPr="00430A5E">
        <w:rPr>
          <w:rFonts w:ascii="Arial" w:hAnsi="Arial" w:cs="Arial"/>
          <w:lang w:val="en-US"/>
        </w:rPr>
        <w:fldChar w:fldCharType="end"/>
      </w:r>
      <w:r w:rsidRPr="00430A5E">
        <w:rPr>
          <w:rFonts w:ascii="Arial" w:hAnsi="Arial" w:cs="Arial"/>
          <w:lang w:val="en-US"/>
        </w:rPr>
        <w:t xml:space="preserve"> Using a tailor-made plug-in cells were separated from the background by applying different consecutive operations such as k-means clustering, despeckle filter, dilatation and watershed transformation. The final clustered phase contrast image was used as a mask for the fluorescence images at each time point. Subsequently, the particle analyzer was applied to determine the cell number as well as the area and fluorescence signal of each cell. </w:t>
      </w:r>
    </w:p>
    <w:p w14:paraId="78BE3A16" w14:textId="77777777" w:rsidR="008551DD" w:rsidRPr="00430A5E" w:rsidRDefault="008551DD" w:rsidP="008551DD">
      <w:pPr>
        <w:spacing w:after="0" w:line="360" w:lineRule="auto"/>
        <w:jc w:val="both"/>
        <w:rPr>
          <w:rFonts w:ascii="Arial" w:hAnsi="Arial" w:cs="Arial"/>
          <w:lang w:val="en-US"/>
        </w:rPr>
      </w:pPr>
      <w:r w:rsidRPr="00430A5E">
        <w:rPr>
          <w:rFonts w:ascii="Arial" w:hAnsi="Arial" w:cs="Arial"/>
          <w:lang w:val="en-US"/>
        </w:rPr>
        <w:t xml:space="preserve">In detail, first the stack of the phase contrast images was split from the stack of fluorescence images. The phase contrast images were segmented with the plugin </w:t>
      </w:r>
      <w:r w:rsidRPr="00430A5E">
        <w:rPr>
          <w:rFonts w:ascii="Arial" w:hAnsi="Arial" w:cs="Arial"/>
          <w:i/>
          <w:iCs/>
          <w:lang w:val="en-US"/>
        </w:rPr>
        <w:t>k-means clustering</w:t>
      </w:r>
      <w:r w:rsidRPr="00430A5E">
        <w:rPr>
          <w:rFonts w:ascii="Arial" w:hAnsi="Arial" w:cs="Arial"/>
          <w:lang w:val="en-US"/>
        </w:rPr>
        <w:t xml:space="preserve">. Then the </w:t>
      </w:r>
      <w:r w:rsidRPr="00430A5E">
        <w:rPr>
          <w:rFonts w:ascii="Arial" w:hAnsi="Arial" w:cs="Arial"/>
          <w:i/>
          <w:iCs/>
          <w:lang w:val="en-US"/>
        </w:rPr>
        <w:t>threshold</w:t>
      </w:r>
      <w:r w:rsidRPr="00430A5E">
        <w:rPr>
          <w:rFonts w:ascii="Arial" w:hAnsi="Arial" w:cs="Arial"/>
          <w:lang w:val="en-US"/>
        </w:rPr>
        <w:t xml:space="preserve"> function was used to select the cluster including the cells followed by the </w:t>
      </w:r>
      <w:r w:rsidRPr="00430A5E">
        <w:rPr>
          <w:rFonts w:ascii="Arial" w:hAnsi="Arial" w:cs="Arial"/>
          <w:i/>
          <w:iCs/>
          <w:lang w:val="en-US"/>
        </w:rPr>
        <w:t xml:space="preserve">despeckle </w:t>
      </w:r>
      <w:r w:rsidRPr="00430A5E">
        <w:rPr>
          <w:rFonts w:ascii="Arial" w:hAnsi="Arial" w:cs="Arial"/>
          <w:lang w:val="en-US"/>
        </w:rPr>
        <w:t xml:space="preserve">filter to remove noise. For better cell segmentation of cells that lie close together the </w:t>
      </w:r>
      <w:r w:rsidRPr="00430A5E">
        <w:rPr>
          <w:rFonts w:ascii="Arial" w:hAnsi="Arial" w:cs="Arial"/>
          <w:i/>
          <w:iCs/>
          <w:lang w:val="en-US"/>
        </w:rPr>
        <w:t>adjustable watershed</w:t>
      </w:r>
      <w:r w:rsidRPr="00430A5E">
        <w:rPr>
          <w:rFonts w:ascii="Arial" w:hAnsi="Arial" w:cs="Arial"/>
          <w:lang w:val="en-US"/>
        </w:rPr>
        <w:t xml:space="preserve"> operation was performed. The segmented image was used as a mask for the fluorescence image and with the subtract function of the image calculator the cell clusters were extracted from the fluorescence images. The </w:t>
      </w:r>
      <w:r w:rsidRPr="00430A5E">
        <w:rPr>
          <w:rFonts w:ascii="Arial" w:hAnsi="Arial" w:cs="Arial"/>
          <w:i/>
          <w:iCs/>
          <w:lang w:val="en-US"/>
        </w:rPr>
        <w:t>threshold</w:t>
      </w:r>
      <w:r w:rsidRPr="00430A5E">
        <w:rPr>
          <w:rFonts w:ascii="Arial" w:hAnsi="Arial" w:cs="Arial"/>
          <w:lang w:val="en-US"/>
        </w:rPr>
        <w:t xml:space="preserve"> function was again used to select only the fluorescing cells. Finally, the </w:t>
      </w:r>
      <w:r w:rsidRPr="00430A5E">
        <w:rPr>
          <w:rFonts w:ascii="Arial" w:hAnsi="Arial" w:cs="Arial"/>
          <w:i/>
          <w:iCs/>
          <w:lang w:val="en-US"/>
        </w:rPr>
        <w:t>particle analyzer</w:t>
      </w:r>
      <w:r w:rsidRPr="00430A5E">
        <w:rPr>
          <w:rFonts w:ascii="Arial" w:hAnsi="Arial" w:cs="Arial"/>
          <w:lang w:val="en-US"/>
        </w:rPr>
        <w:t xml:space="preserve"> was applied to count the cells in each image.</w:t>
      </w:r>
    </w:p>
    <w:p w14:paraId="34C75940" w14:textId="77777777" w:rsidR="008551DD" w:rsidRPr="00430A5E" w:rsidRDefault="008551DD" w:rsidP="008551DD">
      <w:pPr>
        <w:spacing w:after="0" w:line="360" w:lineRule="auto"/>
        <w:jc w:val="both"/>
        <w:rPr>
          <w:rFonts w:ascii="Arial" w:hAnsi="Arial" w:cs="Arial"/>
          <w:lang w:val="en-US"/>
        </w:rPr>
      </w:pPr>
    </w:p>
    <w:p w14:paraId="5EB7BE72" w14:textId="77777777" w:rsidR="008551DD" w:rsidRPr="00430A5E" w:rsidRDefault="008551DD" w:rsidP="008551DD">
      <w:pPr>
        <w:spacing w:after="0" w:line="360" w:lineRule="auto"/>
        <w:jc w:val="both"/>
        <w:rPr>
          <w:rFonts w:ascii="Arial" w:hAnsi="Arial" w:cs="Arial"/>
          <w:b/>
          <w:sz w:val="24"/>
          <w:szCs w:val="24"/>
          <w:lang w:val="en-US"/>
        </w:rPr>
      </w:pPr>
      <w:r w:rsidRPr="00430A5E">
        <w:rPr>
          <w:rFonts w:ascii="Arial" w:hAnsi="Arial" w:cs="Arial"/>
          <w:b/>
          <w:sz w:val="24"/>
          <w:szCs w:val="24"/>
          <w:lang w:val="en-US"/>
        </w:rPr>
        <w:t>Microbioreactor cultivation</w:t>
      </w:r>
    </w:p>
    <w:p w14:paraId="4A11FF38" w14:textId="77777777" w:rsidR="008551DD" w:rsidRPr="00430A5E" w:rsidRDefault="008551DD" w:rsidP="008551DD">
      <w:pPr>
        <w:shd w:val="clear" w:color="auto" w:fill="FFFFFF"/>
        <w:spacing w:line="360" w:lineRule="auto"/>
        <w:jc w:val="both"/>
        <w:rPr>
          <w:rFonts w:ascii="Arial" w:hAnsi="Arial" w:cs="Arial"/>
          <w:lang w:val="en-US"/>
        </w:rPr>
      </w:pPr>
      <w:bookmarkStart w:id="20" w:name="_Hlk36783289"/>
      <w:bookmarkStart w:id="21" w:name="_Hlk36783789"/>
      <w:r w:rsidRPr="00430A5E">
        <w:rPr>
          <w:rFonts w:ascii="Arial" w:hAnsi="Arial" w:cs="Arial"/>
          <w:lang w:val="en-US"/>
        </w:rPr>
        <w:t>For microtiter plate cultivations, pre-cultures done in shake flasks were centrifuged, the supernatant was discarded and OD</w:t>
      </w:r>
      <w:r w:rsidRPr="00430A5E">
        <w:rPr>
          <w:rFonts w:ascii="Arial" w:hAnsi="Arial" w:cs="Arial"/>
          <w:vertAlign w:val="subscript"/>
          <w:lang w:val="en-US"/>
        </w:rPr>
        <w:t>600</w:t>
      </w:r>
      <w:r w:rsidRPr="00430A5E">
        <w:rPr>
          <w:rFonts w:ascii="Arial" w:hAnsi="Arial" w:cs="Arial"/>
          <w:lang w:val="en-US"/>
        </w:rPr>
        <w:t xml:space="preserve"> was adjusted to 0.1 with fresh defined CGXII medium. Glucose concentration of this medium was 10 g/l and </w:t>
      </w:r>
      <w:r w:rsidRPr="00430A5E">
        <w:rPr>
          <w:rFonts w:ascii="Arial" w:hAnsi="Arial" w:cs="Arial"/>
          <w:smallCaps/>
          <w:lang w:val="en-US"/>
        </w:rPr>
        <w:t>L</w:t>
      </w:r>
      <w:r w:rsidRPr="00430A5E">
        <w:rPr>
          <w:rFonts w:ascii="Arial" w:hAnsi="Arial" w:cs="Arial"/>
          <w:lang w:val="en-US"/>
        </w:rPr>
        <w:t xml:space="preserve">-lysine concentration for controls was 10 mM. Depending on the condition, the defined medium contained varying amounts of IPTG. All cultivations were done in triplicates with a culture volume of 800 µL per well. For co-cultivations resuspended precultures were mixed in a ratio of 1:1. </w:t>
      </w:r>
    </w:p>
    <w:p w14:paraId="2F78DF16" w14:textId="77777777" w:rsidR="008551DD" w:rsidRPr="00430A5E" w:rsidRDefault="008551DD" w:rsidP="008551DD">
      <w:pPr>
        <w:shd w:val="clear" w:color="auto" w:fill="FFFFFF"/>
        <w:spacing w:line="360" w:lineRule="auto"/>
        <w:jc w:val="both"/>
        <w:rPr>
          <w:rFonts w:ascii="Arial" w:hAnsi="Arial" w:cs="Arial"/>
          <w:lang w:val="en-US"/>
        </w:rPr>
      </w:pPr>
      <w:r w:rsidRPr="00430A5E">
        <w:rPr>
          <w:rFonts w:ascii="Arial" w:hAnsi="Arial" w:cs="Arial"/>
          <w:lang w:val="en-US"/>
        </w:rPr>
        <w:t xml:space="preserve">Cultivations were performed in BioLector devices (m2p-labs GmbH, Baesweiler, Germany) using specialized 48-well microtiter plates (FlowerPlate, m2p-labs GmbH, Baesweiler, Germany) with optodes for measuring pH and dissolved oxygen and covered with gas-permeable sealing foils to minimize evaporation. </w:t>
      </w:r>
      <w:bookmarkEnd w:id="20"/>
      <w:r w:rsidRPr="00430A5E">
        <w:rPr>
          <w:rFonts w:ascii="Arial" w:hAnsi="Arial" w:cs="Arial"/>
          <w:lang w:val="en-US"/>
        </w:rPr>
        <w:t>Plates were shaken at 1400 rpm. The cultivation chamber was kept at 30 °C and 85 % humidity and was gassed with air. The BioLector device measured a backscatter (scattered light) signal, which correlates to the biomass of the culture, and fluorescence parameters either from the optodes or from the culture itself.</w:t>
      </w:r>
    </w:p>
    <w:p w14:paraId="375A78D7" w14:textId="7B3963B1" w:rsidR="008551DD" w:rsidRDefault="008551DD" w:rsidP="008551DD">
      <w:pPr>
        <w:shd w:val="clear" w:color="auto" w:fill="FFFFFF"/>
        <w:spacing w:line="360" w:lineRule="auto"/>
        <w:jc w:val="both"/>
        <w:rPr>
          <w:rFonts w:ascii="Arial" w:hAnsi="Arial" w:cs="Arial"/>
          <w:lang w:val="en-US"/>
        </w:rPr>
      </w:pPr>
      <w:bookmarkStart w:id="22" w:name="_Hlk59202320"/>
      <w:r w:rsidRPr="00430A5E">
        <w:rPr>
          <w:rFonts w:ascii="Arial" w:hAnsi="Arial" w:cs="Arial"/>
          <w:lang w:val="en-US"/>
        </w:rPr>
        <w:t>Specific growth rates were calculated from the backscatter signal by spline approximation similar to the method described by Radeck, Tenhaef et al.</w:t>
      </w:r>
      <w:r w:rsidRPr="00430A5E">
        <w:rPr>
          <w:rFonts w:ascii="Arial" w:hAnsi="Arial" w:cs="Arial"/>
          <w:lang w:val="en-US"/>
        </w:rPr>
        <w:fldChar w:fldCharType="begin" w:fldLock="1"/>
      </w:r>
      <w:r w:rsidR="00F74091">
        <w:rPr>
          <w:rFonts w:ascii="Arial" w:hAnsi="Arial" w:cs="Arial"/>
          <w:lang w:val="en-US"/>
        </w:rPr>
        <w:instrText>ADDIN CSL_CITATION {"citationItems":[{"id":"ITEM-1","itemData":{"DOI":"10.1016/j.biortech.2017.05.055","ISSN":"18732976","abstract":"Adaptive Laboratory Evolution (ALE) is increasingly being used as a technique for untargeted strain optimization. This work aimed at developing an automated and miniaturized ALE approach based on repetitive batch cultivations in microtiter plates. The new method is applied to the recently published strain Corynebacterium glutamicum pEKEx3-xylXABCDCc, which is capable of utilizing D-xylose via the Weimberg (WMB) pathway. As a result, the significantly improved strain WMB2evo was obtained, showing a specific growth rate of 0.26 h−1 on D-xylose as sole carbon and energy source. WMB2evo grows stable during lab-scale bioreactor operation, demonstrating the high potential of this strain for future biorefinery applications. Genome sequencing of cell samples from two different ALE processes revealed potential key mutations, e.g. in the gene cg0196 (encoding for the transcriptional regulator IolR of the myo-inositol metabolism). These findings open up new perspectives for the rational engineering of C. glutamicum towards improved D-xylose utilization.","author":[{"dropping-particle":"","family":"Radek","given":"Andreas","non-dropping-particle":"","parse-names":false,"suffix":""},{"dropping-particle":"","family":"Tenhaef","given":"Niklas","non-dropping-particle":"","parse-names":false,"suffix":""},{"dropping-particle":"","family":"Müller","given":"Moritz Fabian","non-dropping-particle":"","parse-names":false,"suffix":""},{"dropping-particle":"","family":"Brüsseler","given":"Christian","non-dropping-particle":"","parse-names":false,"suffix":""},{"dropping-particle":"","family":"Wiechert","given":"Wolfgang","non-dropping-particle":"","parse-names":false,"suffix":""},{"dropping-particle":"","family":"Marienhagen","given":"Jan","non-dropping-particle":"","parse-names":false,"suffix":""},{"dropping-particle":"","family":"Polen","given":"Tino","non-dropping-particle":"","parse-names":false,"suffix":""},{"dropping-particle":"","family":"Noack","given":"Stephan","non-dropping-particle":"","parse-names":false,"suffix":""}],"container-title":"Bioresource Technology","id":"ITEM-1","issued":{"date-parts":[["2017"]]},"page":"1377-1385","publisher":"Elsevier Ltd","title":"Miniaturized and automated adaptive laboratory evolution: Evolving Corynebacterium glutamicum towards an improved D-xylose utilization","type":"article-journal","volume":"245"},"uris":["http://www.mendeley.com/documents/?uuid=de4a3484-f8d7-44ef-9ea5-5a6efc2fdc73"]}],"mendeley":{"formattedCitation":"&lt;sup&gt;59&lt;/sup&gt;","plainTextFormattedCitation":"59","previouslyFormattedCitation":"&lt;sup&gt;47&lt;/sup&gt;"},"properties":{"noteIndex":0},"schema":"https://github.com/citation-style-language/schema/raw/master/csl-citation.json"}</w:instrText>
      </w:r>
      <w:r w:rsidRPr="00430A5E">
        <w:rPr>
          <w:rFonts w:ascii="Arial" w:hAnsi="Arial" w:cs="Arial"/>
          <w:lang w:val="en-US"/>
        </w:rPr>
        <w:fldChar w:fldCharType="separate"/>
      </w:r>
      <w:r w:rsidR="00F74091" w:rsidRPr="00F74091">
        <w:rPr>
          <w:rFonts w:ascii="Arial" w:hAnsi="Arial" w:cs="Arial"/>
          <w:noProof/>
          <w:vertAlign w:val="superscript"/>
          <w:lang w:val="en-US"/>
        </w:rPr>
        <w:t>59</w:t>
      </w:r>
      <w:r w:rsidRPr="00430A5E">
        <w:rPr>
          <w:rFonts w:ascii="Arial" w:hAnsi="Arial" w:cs="Arial"/>
          <w:lang w:val="en-US"/>
        </w:rPr>
        <w:fldChar w:fldCharType="end"/>
      </w:r>
      <w:r w:rsidRPr="00430A5E">
        <w:rPr>
          <w:rFonts w:ascii="Arial" w:hAnsi="Arial" w:cs="Arial"/>
          <w:lang w:val="en-US"/>
        </w:rPr>
        <w:t xml:space="preserve"> Instead of MATLAB, Python (Python Software Foundation, https://www.python.org/) with the packages numpy,</w:t>
      </w:r>
      <w:r w:rsidRPr="00430A5E">
        <w:rPr>
          <w:rFonts w:ascii="Arial" w:hAnsi="Arial" w:cs="Arial"/>
          <w:lang w:val="en-US"/>
        </w:rPr>
        <w:fldChar w:fldCharType="begin" w:fldLock="1"/>
      </w:r>
      <w:r w:rsidR="00F74091">
        <w:rPr>
          <w:rFonts w:ascii="Arial" w:hAnsi="Arial" w:cs="Arial"/>
          <w:lang w:val="en-US"/>
        </w:rPr>
        <w:instrText>ADDIN CSL_CITATION {"citationItems":[{"id":"ITEM-1","itemData":{"DOI":"10.1038/s41586-020-2649-2","ISSN":"14764687","PMID":"32939066","abstract":"Array programming provides a powerful, compact and expressive syntax for accessing, manipulating and operating on data in vectors, matrices and higher-dimensional arrays. NumPy is the primary array programming library for the Python language. It has an essential role in research analysis pipelines in fields as diverse as physics, chemistry, astronomy, geoscience, biology, psychology, materials science, engineering, finance and economics. For example, in astronomy, NumPy was an important part of the software stack used in the discovery of gravitational waves1 and in the first imaging of a black hole2. Here we review how a few fundamental array concepts lead to a simple and powerful programming paradigm for organizing, exploring and analysing scientific data. NumPy is the foundation upon which the scientific Python ecosystem is constructed. It is so pervasive that several projects, targeting audiences with specialized needs, have developed their own NumPy-like interfaces and array objects. Owing to its central position in the ecosystem, NumPy increasingly acts as an interoperability layer between such array computation libraries and, together with its application programming interface (API), provides a flexible framework to support the next decade of scientific and industrial analysis.","author":[{"dropping-particle":"","family":"Harris","given":"Charles R.","non-dropping-particle":"","parse-names":false,"suffix":""},{"dropping-particle":"","family":"Millman","given":"K. Jarrod","non-dropping-particle":"","parse-names":false,"suffix":""},{"dropping-particle":"","family":"Walt","given":"Stéfan J.","non-dropping-particle":"van der","parse-names":false,"suffix":""},{"dropping-particle":"","family":"Gommers","given":"Ralf","non-dropping-particle":"","parse-names":false,"suffix":""},{"dropping-particle":"","family":"Virtanen","given":"Pauli","non-dropping-particle":"","parse-names":false,"suffix":""},{"dropping-particle":"","family":"Cournapeau","given":"David","non-dropping-particle":"","parse-names":false,"suffix":""},{"dropping-particle":"","family":"Wieser","given":"Eric","non-dropping-particle":"","parse-names":false,"suffix":""},{"dropping-particle":"","family":"Taylor","given":"Julian","non-dropping-particle":"","parse-names":false,"suffix":""},{"dropping-particle":"","family":"Berg","given":"Sebastian","non-dropping-particle":"","parse-names":false,"suffix":""},{"dropping-particle":"","family":"Smith","given":"Nathaniel J.","non-dropping-particle":"","parse-names":false,"suffix":""},{"dropping-particle":"","family":"Kern","given":"Robert","non-dropping-particle":"","parse-names":false,"suffix":""},{"dropping-particle":"","family":"Picus","given":"Matti","non-dropping-particle":"","parse-names":false,"suffix":""},{"dropping-particle":"","family":"Hoyer","given":"Stephan","non-dropping-particle":"","parse-names":false,"suffix":""},{"dropping-particle":"","family":"Kerkwijk","given":"Marten H.","non-dropping-particle":"van","parse-names":false,"suffix":""},{"dropping-particle":"","family":"Brett","given":"Matthew","non-dropping-particle":"","parse-names":false,"suffix":""},{"dropping-particle":"","family":"Haldane","given":"Allan","non-dropping-particle":"","parse-names":false,"suffix":""},{"dropping-particle":"","family":"Río","given":"Jaime Fernández","non-dropping-particle":"del","parse-names":false,"suffix":""},{"dropping-particle":"","family":"Wiebe","given":"Mark","non-dropping-particle":"","parse-names":false,"suffix":""},{"dropping-particle":"","family":"Peterson","given":"Pearu","non-dropping-particle":"","parse-names":false,"suffix":""},{"dropping-particle":"","family":"Gérard-Marchant","given":"Pierre","non-dropping-particle":"","parse-names":false,"suffix":""},{"dropping-particle":"","family":"Sheppard","given":"Kevin","non-dropping-particle":"","parse-names":false,"suffix":""},{"dropping-particle":"","family":"Reddy","given":"Tyler","non-dropping-particle":"","parse-names":false,"suffix":""},{"dropping-particle":"","family":"Weckesser","given":"Warren","non-dropping-particle":"","parse-names":false,"suffix":""},{"dropping-particle":"","family":"Abbasi","given":"Hameer","non-dropping-particle":"","parse-names":false,"suffix":""},{"dropping-particle":"","family":"Gohlke","given":"Christoph","non-dropping-particle":"","parse-names":false,"suffix":""},{"dropping-particle":"","family":"Oliphant","given":"Travis E.","non-dropping-particle":"","parse-names":false,"suffix":""}],"container-title":"Nature","id":"ITEM-1","issue":"7825","issued":{"date-parts":[["2020"]]},"page":"357-362","publisher":"Springer US","title":"Array programming with NumPy","type":"article-journal","volume":"585"},"uris":["http://www.mendeley.com/documents/?uuid=78a3f47f-c847-4e21-b398-f450578c7143"]}],"mendeley":{"formattedCitation":"&lt;sup&gt;60&lt;/sup&gt;","plainTextFormattedCitation":"60","previouslyFormattedCitation":"&lt;sup&gt;48&lt;/sup&gt;"},"properties":{"noteIndex":0},"schema":"https://github.com/citation-style-language/schema/raw/master/csl-citation.json"}</w:instrText>
      </w:r>
      <w:r w:rsidRPr="00430A5E">
        <w:rPr>
          <w:rFonts w:ascii="Arial" w:hAnsi="Arial" w:cs="Arial"/>
          <w:lang w:val="en-US"/>
        </w:rPr>
        <w:fldChar w:fldCharType="separate"/>
      </w:r>
      <w:r w:rsidR="00F74091" w:rsidRPr="00F74091">
        <w:rPr>
          <w:rFonts w:ascii="Arial" w:hAnsi="Arial" w:cs="Arial"/>
          <w:noProof/>
          <w:vertAlign w:val="superscript"/>
          <w:lang w:val="en-US"/>
        </w:rPr>
        <w:t>60</w:t>
      </w:r>
      <w:r w:rsidRPr="00430A5E">
        <w:rPr>
          <w:rFonts w:ascii="Arial" w:hAnsi="Arial" w:cs="Arial"/>
          <w:lang w:val="en-US"/>
        </w:rPr>
        <w:fldChar w:fldCharType="end"/>
      </w:r>
      <w:r w:rsidRPr="00430A5E">
        <w:rPr>
          <w:rFonts w:ascii="Arial" w:hAnsi="Arial" w:cs="Arial"/>
          <w:lang w:val="en-US"/>
        </w:rPr>
        <w:t xml:space="preserve"> scipy</w:t>
      </w:r>
      <w:r w:rsidRPr="00430A5E">
        <w:rPr>
          <w:rFonts w:ascii="Arial" w:hAnsi="Arial" w:cs="Arial"/>
          <w:lang w:val="en-US"/>
        </w:rPr>
        <w:fldChar w:fldCharType="begin" w:fldLock="1"/>
      </w:r>
      <w:r w:rsidR="00F74091">
        <w:rPr>
          <w:rFonts w:ascii="Arial" w:hAnsi="Arial" w:cs="Arial"/>
          <w:lang w:val="en-US"/>
        </w:rPr>
        <w:instrText>ADDIN CSL_CITATION {"citationItems":[{"id":"ITEM-1","itemData":{"DOI":"10.1038/s41592-019-0686-2","ISSN":"15487105","PMID":"32015543","abstract":"SciPy is an open-source scientific computing library for the Python programming language. Since its initial release in 2001, SciPy has become a de facto standard for leveraging scientific algorithms in Python, with over 600 unique code contributors, thousands of dependent packages, over 100,000 dependent repositories and millions of downloads per year. In this work, we provide an overview of the capabilities and development practices of SciPy 1.0 and highlight some recent technical developments.","author":[{"dropping-particle":"","family":"Virtanen","given":"Pauli","non-dropping-particle":"","parse-names":false,"suffix":""},{"dropping-particle":"","family":"Gommers","given":"Ralf","non-dropping-particle":"","parse-names":false,"suffix":""},{"dropping-particle":"","family":"Oliphant","given":"Travis E.","non-dropping-particle":"","parse-names":false,"suffix":""},{"dropping-particle":"","family":"Haberland","given":"Matt","non-dropping-particle":"","parse-names":false,"suffix":""},{"dropping-particle":"","family":"Reddy","given":"Tyler","non-dropping-particle":"","parse-names":false,"suffix":""},{"dropping-particle":"","family":"Cournapeau","given":"David","non-dropping-particle":"","parse-names":false,"suffix":""},{"dropping-particle":"","family":"Burovski","given":"Evgeni","non-dropping-particle":"","parse-names":false,"suffix":""},{"dropping-particle":"","family":"Peterson","given":"Pearu","non-dropping-particle":"","parse-names":false,"suffix":""},{"dropping-particle":"","family":"Weckesser","given":"Warren","non-dropping-particle":"","parse-names":false,"suffix":""},{"dropping-particle":"","family":"Bright","given":"Jonathan","non-dropping-particle":"","parse-names":false,"suffix":""},{"dropping-particle":"","family":"Walt","given":"Stéfan J.","non-dropping-particle":"van der","parse-names":false,"suffix":""},{"dropping-particle":"","family":"Brett","given":"Matthew","non-dropping-particle":"","parse-names":false,"suffix":""},{"dropping-particle":"","family":"Wilson","given":"Joshua","non-dropping-particle":"","parse-names":false,"suffix":""},{"dropping-particle":"","family":"Millman","given":"K. Jarrod","non-dropping-particle":"","parse-names":false,"suffix":""},{"dropping-particle":"","family":"Mayorov","given":"Nikolay","non-dropping-particle":"","parse-names":false,"suffix":""},{"dropping-particle":"","family":"Nelson","given":"Andrew R.J.","non-dropping-particle":"","parse-names":false,"suffix":""},{"dropping-particle":"","family":"Jones","given":"Eric","non-dropping-particle":"","parse-names":false,"suffix":""},{"dropping-particle":"","family":"Kern","given":"Robert","non-dropping-particle":"","parse-names":false,"suffix":""},{"dropping-particle":"","family":"Larson","given":"Eric","non-dropping-particle":"","parse-names":false,"suffix":""},{"dropping-particle":"","family":"Carey","given":"C. J.","non-dropping-particle":"","parse-names":false,"suffix":""},{"dropping-particle":"","family":"Polat","given":"İlhan","non-dropping-particle":"","parse-names":false,"suffix":""},{"dropping-particle":"","family":"Feng","given":"Yu","non-dropping-particle":"","parse-names":false,"suffix":""},{"dropping-particle":"","family":"Moore","given":"Eric W.","non-dropping-particle":"","parse-names":false,"suffix":""},{"dropping-particle":"","family":"VanderPlas","given":"Jake","non-dropping-particle":"","parse-names":false,"suffix":""},{"dropping-particle":"","family":"Laxalde","given":"Denis","non-dropping-particle":"","parse-names":false,"suffix":""},{"dropping-particle":"","family":"Perktold","given":"Josef","non-dropping-particle":"","parse-names":false,"suffix":""},{"dropping-particle":"","family":"Cimrman","given":"Robert","non-dropping-particle":"","parse-names":false,"suffix":""},{"dropping-particle":"","family":"Henriksen","given":"Ian","non-dropping-particle":"","parse-names":false,"suffix":""},{"dropping-particle":"","family":"Quintero","given":"E. A.","non-dropping-particle":"","parse-names":false,"suffix":""},{"dropping-particle":"","family":"Harris","given":"Charles R.","non-dropping-particle":"","parse-names":false,"suffix":""},{"dropping-particle":"","family":"Archibald","given":"Anne M.","non-dropping-particle":"","parse-names":false,"suffix":""},{"dropping-particle":"","family":"Ribeiro","given":"Antônio H.","non-dropping-particle":"","parse-names":false,"suffix":""},{"dropping-particle":"","family":"Pedregosa","given":"Fabian","non-dropping-particle":"","parse-names":false,"suffix":""},{"dropping-particle":"","family":"Mulbregt","given":"Paul","non-dropping-particle":"van","parse-names":false,"suffix":""},{"dropping-particle":"","family":"Vijaykumar","given":"Aditya","non-dropping-particle":"","parse-names":false,"suffix":""},{"dropping-particle":"Pietro","family":"Bardelli","given":"Alessandro","non-dropping-particle":"","parse-names":false,"suffix":""},{"dropping-particle":"","family":"Rothberg","given":"Alex","non-dropping-particle":"","parse-names":false,"suffix":""},{"dropping-particle":"","family":"Hilboll","given":"Andreas","non-dropping-particle":"","parse-names":false,"suffix":""},{"dropping-particle":"","family":"Kloeckner","given":"Andreas","non-dropping-particle":"","parse-names":false,"suffix":""},{"dropping-particle":"","family":"Scopatz","given":"Anthony","non-dropping-particle":"","parse-names":false,"suffix":""},{"dropping-particle":"","family":"Lee","given":"Antony","non-dropping-particle":"","parse-names":false,"suffix":""},{"dropping-particle":"","family":"Rokem","given":"Ariel","non-dropping-particle":"","parse-names":false,"suffix":""},{"dropping-particle":"","family":"Woods","given":"C. Nathan","non-dropping-particle":"","parse-names":false,"suffix":""},{"dropping-particle":"","family":"Fulton","given":"Chad","non-dropping-particle":"","parse-names":false,"suffix":""},{"dropping-particle":"","family":"Masson","given":"Charles","non-dropping-particle":"","parse-names":false,"suffix":""},{"dropping-particle":"","family":"Häggström","given":"Christian","non-dropping-particle":"","parse-names":false,"suffix":""},{"dropping-particle":"","family":"Fitzgerald","given":"Clark","non-dropping-particle":"","parse-names":false,"suffix":""},{"dropping-particle":"","family":"Nicholson","given":"David A.","non-dropping-particle":"","parse-names":false,"suffix":""},{"dropping-particle":"","family":"Hagen","given":"David R.","non-dropping-particle":"","parse-names":false,"suffix":""},{"dropping-particle":"V.","family":"Pasechnik","given":"Dmitrii","non-dropping-particle":"","parse-names":false,"suffix":""},{"dropping-particle":"","family":"Olivetti","given":"Emanuele","non-dropping-particle":"","parse-names":false,"suffix":""},{"dropping-particle":"","family":"Martin","given":"Eric","non-dropping-particle":"","parse-names":false,"suffix":""},{"dropping-particle":"","family":"Wieser","given":"Eric","non-dropping-particle":"","parse-names":false,"suffix":""},{"dropping-particle":"","family":"Silva","given":"Fabrice","non-dropping-particle":"","parse-names":false,"suffix":""},{"dropping-particle":"","family":"Lenders","given":"Felix","non-dropping-particle":"","parse-names":false,"suffix":""},{"dropping-particle":"","family":"Wilhelm","given":"Florian","non-dropping-particle":"","parse-names":false,"suffix":""},{"dropping-particle":"","family":"Young","given":"G.","non-dropping-particle":"","parse-names":false,"suffix":""},{"dropping-particle":"","family":"Price","given":"Gavin A.","non-dropping-particle":"","parse-names":false,"suffix":""},{"dropping-particle":"","family":"Ingold","given":"Gert Ludwig","non-dropping-particle":"","parse-names":false,"suffix":""},{"dropping-particle":"","family":"Allen","given":"Gregory E.","non-dropping-particle":"","parse-names":false,"suffix":""},{"dropping-particle":"","family":"Lee","given":"Gregory R.","non-dropping-particle":"","parse-names":false,"suffix":""},{"dropping-particle":"","family":"Audren","given":"Hervé","non-dropping-particle":"","parse-names":false,"suffix":""},{"dropping-particle":"","family":"Probst","given":"Irvin","non-dropping-particle":"","parse-names":false,"suffix":""},{"dropping-particle":"","family":"Dietrich","given":"Jörg P.","non-dropping-particle":"","parse-names":false,"suffix":""},{"dropping-particle":"","family":"Silterra","given":"Jacob","non-dropping-particle":"","parse-names":false,"suffix":""},{"dropping-particle":"","family":"Webber","given":"James T.","non-dropping-particle":"","parse-names":false,"suffix":""},{"dropping-particle":"","family":"Slavič","given":"Janko","non-dropping-particle":"","parse-names":false,"suffix":""},{"dropping-particle":"","family":"Nothman","given":"Joel","non-dropping-particle":"","parse-names":false,"suffix":""},{"dropping-particle":"","family":"Buchner","given":"Johannes","non-dropping-particle":"","parse-names":false,"suffix":""},{"dropping-particle":"","family":"Kulick","given":"Johannes","non-dropping-particle":"","parse-names":false,"suffix":""},{"dropping-particle":"","family":"Schönberger","given":"Johannes L.","non-dropping-particle":"","parse-names":false,"suffix":""},{"dropping-particle":"","family":"Miranda Cardoso","given":"José Vinícius","non-dropping-particle":"de","parse-names":false,"suffix":""},{"dropping-particle":"","family":"Reimer","given":"Joscha","non-dropping-particle":"","parse-names":false,"suffix":""},{"dropping-particle":"","family":"Harrington","given":"Joseph","non-dropping-particle":"","parse-names":false,"suffix":""},{"dropping-particle":"","family":"Rodríguez","given":"Juan Luis Cano","non-dropping-particle":"","parse-names":false,"suffix":""},{"dropping-particle":"","family":"Nunez-Iglesias","given":"Juan","non-dropping-particle":"","parse-names":false,"suffix":""},{"dropping-particle":"","family":"Kuczynski","given":"Justin","non-dropping-particle":"","parse-names":false,"suffix":""},{"dropping-particle":"","family":"Tritz","given":"Kevin","non-dropping-particle":"","parse-names":false,"suffix":""},{"dropping-particle":"","family":"Thoma","given":"Martin","non-dropping-particle":"","parse-names":false,"suffix":""},{"dropping-particle":"","family":"Newville","given":"Matthew","non-dropping-particle":"","parse-names":false,"suffix":""},{"dropping-particle":"","family":"Kümmerer","given":"Matthias","non-dropping-particle":"","parse-names":false,"suffix":""},{"dropping-particle":"","family":"Bolingbroke","given":"Maximilian","non-dropping-particle":"","parse-names":false,"suffix":""},{"dropping-particle":"","family":"Tartre","given":"Michael","non-dropping-particle":"","parse-names":false,"suffix":""},{"dropping-particle":"","family":"Pak","given":"Mikhail","non-dropping-particle":"","parse-names":false,"suffix":""},{"dropping-particle":"","family":"Smith","given":"Nathaniel J.","non-dropping-particle":"","parse-names":false,"suffix":""},{"dropping-particle":"","family":"Nowaczyk","given":"Nikolai","non-dropping-particle":"","parse-names":false,"suffix":""},{"dropping-particle":"","family":"Shebanov","given":"Nikolay","non-dropping-particle":"","parse-names":false,"suffix":""},{"dropping-particle":"","family":"Pavlyk","given":"Oleksandr","non-dropping-particle":"","parse-names":false,"suffix":""},{"dropping-particle":"","family":"Brodtkorb","given":"Per A.","non-dropping-particle":"","parse-names":false,"suffix":""},{"dropping-particle":"","family":"Lee","given":"Perry","non-dropping-particle":"","parse-names":false,"suffix":""},{"dropping-particle":"","family":"McGibbon","given":"Robert T.","non-dropping-particle":"","parse-names":false,"suffix":""},{"dropping-particle":"","family":"Feldbauer","given":"Roman","non-dropping-particle":"","parse-names":false,"suffix":""},{"dropping-particle":"","family":"Lewis","given":"Sam","non-dropping-particle":"","parse-names":false,"suffix":""},{"dropping-particle":"","family":"Tygier","given":"Sam","non-dropping-particle":"","parse-names":false,"suffix":""},{"dropping-particle":"","family":"Sievert","given":"Scott","non-dropping-particle":"","parse-names":false,"suffix":""},{"dropping-particle":"","family":"Vigna","given":"Sebastiano","non-dropping-particle":"","parse-names":false,"suffix":""},{"dropping-particle":"","family":"Peterson","given":"Stefan","non-dropping-particle":"","parse-names":false,"suffix":""},{"dropping-particle":"","family":"More","given":"Surhud","non-dropping-particle":"","parse-names":false,"suffix":""},{"dropping-particle":"","family":"Pudlik","given":"Tadeusz","non-dropping-particle":"","parse-names":false,"suffix":""},{"dropping-particle":"","family":"Oshima","given":"Takuya","non-dropping-particle":"","parse-names":false,"suffix":""},{"dropping-particle":"","family":"Pingel","given":"Thomas J.","non-dropping-particle":"","parse-names":false,"suffix":""},{"dropping-particle":"","family":"Robitaille","given":"Thomas P.","non-dropping-particle":"","parse-names":false,"suffix":""},{"dropping-particle":"","family":"Spura","given":"Thomas","non-dropping-particle":"","parse-names":false,"suffix":""},{"dropping-particle":"","family":"Jones","given":"Thouis R.","non-dropping-particle":"","parse-names":false,"suffix":""},{"dropping-particle":"","family":"Cera","given":"Tim","non-dropping-particle":"","parse-names":false,"suffix":""},{"dropping-particle":"","family":"Leslie","given":"Tim","non-dropping-particle":"","parse-names":false,"suffix":""},{"dropping-particle":"","family":"Zito","given":"Tiziano","non-dropping-particle":"","parse-names":false,"suffix":""},{"dropping-particle":"","family":"Krauss","given":"Tom","non-dropping-particle":"","parse-names":false,"suffix":""},{"dropping-particle":"","family":"Upadhyay","given":"Utkarsh","non-dropping-particle":"","parse-names":false,"suffix":""},{"dropping-particle":"","family":"Halchenko","given":"Yaroslav O.","non-dropping-particle":"","parse-names":false,"suffix":""},{"dropping-particle":"","family":"Vázquez-Baeza","given":"Yoshiki","non-dropping-particle":"","parse-names":false,"suffix":""}],"container-title":"Nature Methods","id":"ITEM-1","issue":"3","issued":{"date-parts":[["2020"]]},"page":"261-272","title":"SciPy 1.0: fundamental algorithms for scientific computing in Python","type":"article-journal","volume":"17"},"uris":["http://www.mendeley.com/documents/?uuid=4501ac19-3ce2-49fc-a37a-1e3ce22cfce7"]}],"mendeley":{"formattedCitation":"&lt;sup&gt;61&lt;/sup&gt;","plainTextFormattedCitation":"61","previouslyFormattedCitation":"&lt;sup&gt;49&lt;/sup&gt;"},"properties":{"noteIndex":0},"schema":"https://github.com/citation-style-language/schema/raw/master/csl-citation.json"}</w:instrText>
      </w:r>
      <w:r w:rsidRPr="00430A5E">
        <w:rPr>
          <w:rFonts w:ascii="Arial" w:hAnsi="Arial" w:cs="Arial"/>
          <w:lang w:val="en-US"/>
        </w:rPr>
        <w:fldChar w:fldCharType="separate"/>
      </w:r>
      <w:r w:rsidR="00F74091" w:rsidRPr="00F74091">
        <w:rPr>
          <w:rFonts w:ascii="Arial" w:hAnsi="Arial" w:cs="Arial"/>
          <w:noProof/>
          <w:vertAlign w:val="superscript"/>
          <w:lang w:val="en-US"/>
        </w:rPr>
        <w:t>61</w:t>
      </w:r>
      <w:r w:rsidRPr="00430A5E">
        <w:rPr>
          <w:rFonts w:ascii="Arial" w:hAnsi="Arial" w:cs="Arial"/>
          <w:lang w:val="en-US"/>
        </w:rPr>
        <w:fldChar w:fldCharType="end"/>
      </w:r>
      <w:r w:rsidRPr="00430A5E">
        <w:rPr>
          <w:rFonts w:ascii="Arial" w:hAnsi="Arial" w:cs="Arial"/>
          <w:lang w:val="en-US"/>
        </w:rPr>
        <w:t xml:space="preserve"> and csaps (https://github.com/espdev/csaps) was used. The backscatter signal was blanked by using the first data point and approximated by using the function “UnivariateSpline” from </w:t>
      </w:r>
      <w:r w:rsidRPr="00430A5E">
        <w:rPr>
          <w:rFonts w:ascii="Arial" w:hAnsi="Arial" w:cs="Arial"/>
          <w:lang w:val="en-US"/>
        </w:rPr>
        <w:lastRenderedPageBreak/>
        <w:t>the csaps package. The first derivative of the resulting spline function was calculated by using the scipy method “interpolate.PPoly.derivative”. By dividing the resulting function by the blanked backscatter signal, the specific growth rate over time was calculated. The average of all data points laying in the exponential growth phase was formed to calculate the average specific growth rate.</w:t>
      </w:r>
      <w:bookmarkEnd w:id="22"/>
    </w:p>
    <w:p w14:paraId="63B27E40" w14:textId="77777777" w:rsidR="0012280A" w:rsidRPr="00430A5E" w:rsidRDefault="0012280A" w:rsidP="008551DD">
      <w:pPr>
        <w:shd w:val="clear" w:color="auto" w:fill="FFFFFF"/>
        <w:spacing w:line="360" w:lineRule="auto"/>
        <w:jc w:val="both"/>
        <w:rPr>
          <w:rFonts w:ascii="Arial" w:hAnsi="Arial" w:cs="Arial"/>
          <w:lang w:val="en-US"/>
        </w:rPr>
      </w:pPr>
    </w:p>
    <w:p w14:paraId="24DA93D8" w14:textId="77777777" w:rsidR="008551DD" w:rsidRPr="00430A5E" w:rsidRDefault="008551DD" w:rsidP="008551DD">
      <w:pPr>
        <w:shd w:val="clear" w:color="auto" w:fill="FFFFFF"/>
        <w:spacing w:line="360" w:lineRule="auto"/>
        <w:rPr>
          <w:rFonts w:ascii="Arial" w:hAnsi="Arial" w:cs="Arial"/>
          <w:b/>
          <w:sz w:val="24"/>
          <w:szCs w:val="24"/>
          <w:lang w:val="en-US"/>
        </w:rPr>
      </w:pPr>
      <w:r w:rsidRPr="00430A5E">
        <w:rPr>
          <w:rFonts w:ascii="Arial" w:hAnsi="Arial" w:cs="Arial"/>
          <w:b/>
          <w:sz w:val="24"/>
          <w:szCs w:val="24"/>
          <w:lang w:val="en-US"/>
        </w:rPr>
        <w:t>Product analysis</w:t>
      </w:r>
    </w:p>
    <w:bookmarkEnd w:id="21"/>
    <w:p w14:paraId="14339429" w14:textId="61FC51BE" w:rsidR="00164FD5" w:rsidRPr="0012280A" w:rsidRDefault="008551DD" w:rsidP="0012280A">
      <w:pPr>
        <w:spacing w:line="360" w:lineRule="auto"/>
        <w:jc w:val="both"/>
        <w:rPr>
          <w:rFonts w:ascii="Arial" w:hAnsi="Arial" w:cs="Arial"/>
          <w:lang w:val="en-US"/>
        </w:rPr>
      </w:pPr>
      <w:r w:rsidRPr="00430A5E">
        <w:rPr>
          <w:rFonts w:ascii="Arial" w:hAnsi="Arial" w:cs="Arial"/>
          <w:lang w:val="en-US"/>
        </w:rPr>
        <w:t>Amino acid quantification was carried out by a high-performance liquid chromatography</w:t>
      </w:r>
      <w:r w:rsidRPr="00430A5E">
        <w:rPr>
          <w:rFonts w:ascii="Cambria Math" w:hAnsi="Cambria Math" w:cs="Cambria Math"/>
          <w:lang w:val="en-US"/>
        </w:rPr>
        <w:t>‐</w:t>
      </w:r>
      <w:r w:rsidRPr="00430A5E">
        <w:rPr>
          <w:rFonts w:ascii="Arial" w:hAnsi="Arial" w:cs="Arial"/>
          <w:lang w:val="en-US"/>
        </w:rPr>
        <w:t>based method using an Agilent 1260 Infinity II system (Agilent Technologies Inc., Santa Clara, CA, USA) with precolumn derivatization using ortho</w:t>
      </w:r>
      <w:r w:rsidRPr="00430A5E">
        <w:rPr>
          <w:rFonts w:ascii="Cambria Math" w:hAnsi="Cambria Math" w:cs="Cambria Math"/>
          <w:lang w:val="en-US"/>
        </w:rPr>
        <w:t>‐</w:t>
      </w:r>
      <w:r w:rsidRPr="00430A5E">
        <w:rPr>
          <w:rFonts w:ascii="Arial" w:hAnsi="Arial" w:cs="Arial"/>
          <w:lang w:val="en-US"/>
        </w:rPr>
        <w:t>phthalaldehyde and separation by a hydrophobic core shell column (Kinetex 5 µm EVO C18 100 Å 150 x 4.6 mm, Phenomenex Inc., Torrance, CA, USA). The derivatized amino acids were detected by fluorescence detection (Ex: 230 nm; Em: 460 nm). Mobile phase A contained per liter of deionized water 26 mmol NaH</w:t>
      </w:r>
      <w:r w:rsidRPr="00430A5E">
        <w:rPr>
          <w:rFonts w:ascii="Arial" w:hAnsi="Arial" w:cs="Arial"/>
          <w:vertAlign w:val="subscript"/>
          <w:lang w:val="en-US"/>
        </w:rPr>
        <w:t>2</w:t>
      </w:r>
      <w:r w:rsidRPr="00430A5E">
        <w:rPr>
          <w:rFonts w:ascii="Arial" w:hAnsi="Arial" w:cs="Arial"/>
          <w:lang w:val="en-US"/>
        </w:rPr>
        <w:t>PO</w:t>
      </w:r>
      <w:r w:rsidRPr="00430A5E">
        <w:rPr>
          <w:rFonts w:ascii="Arial" w:hAnsi="Arial" w:cs="Arial"/>
          <w:vertAlign w:val="subscript"/>
          <w:lang w:val="en-US"/>
        </w:rPr>
        <w:t>4</w:t>
      </w:r>
      <w:r w:rsidRPr="00430A5E">
        <w:rPr>
          <w:rFonts w:ascii="Arial" w:hAnsi="Arial" w:cs="Arial"/>
          <w:lang w:val="en-US"/>
        </w:rPr>
        <w:t>, 14.8 mmol Na</w:t>
      </w:r>
      <w:r w:rsidRPr="00430A5E">
        <w:rPr>
          <w:rFonts w:ascii="Arial" w:hAnsi="Arial" w:cs="Arial"/>
          <w:vertAlign w:val="subscript"/>
          <w:lang w:val="en-US"/>
        </w:rPr>
        <w:t>2</w:t>
      </w:r>
      <w:r w:rsidRPr="00430A5E">
        <w:rPr>
          <w:rFonts w:ascii="Arial" w:hAnsi="Arial" w:cs="Arial"/>
          <w:lang w:val="en-US"/>
        </w:rPr>
        <w:t>HPO</w:t>
      </w:r>
      <w:r w:rsidRPr="00430A5E">
        <w:rPr>
          <w:rFonts w:ascii="Arial" w:hAnsi="Arial" w:cs="Arial"/>
          <w:vertAlign w:val="subscript"/>
          <w:lang w:val="en-US"/>
        </w:rPr>
        <w:t>4</w:t>
      </w:r>
      <w:r w:rsidRPr="00430A5E">
        <w:rPr>
          <w:rFonts w:ascii="Arial" w:hAnsi="Arial" w:cs="Arial"/>
          <w:lang w:val="en-US"/>
        </w:rPr>
        <w:t>, and 0.5 % (v/v) tetrahydrofurane. pH was adjusted to 7.2 using a 10 M NaOH solution. Mobile phase B contained per liter 50 % (v/v) methanol, 45 % (v/v) acetonitrile, and 5 % (v/v) water. During one sample run, gradient elution (</w:t>
      </w:r>
      <w:r w:rsidRPr="00430A5E">
        <w:rPr>
          <w:rFonts w:ascii="Arial" w:hAnsi="Arial" w:cs="Arial"/>
          <w:i/>
          <w:lang w:val="en-US"/>
        </w:rPr>
        <w:t>t</w:t>
      </w:r>
      <w:r w:rsidRPr="00430A5E">
        <w:rPr>
          <w:rFonts w:ascii="Arial" w:hAnsi="Arial" w:cs="Arial"/>
          <w:lang w:val="en-US"/>
        </w:rPr>
        <w:t xml:space="preserve"> = 0 min: B = 2 %, </w:t>
      </w:r>
      <w:r w:rsidRPr="00430A5E">
        <w:rPr>
          <w:rFonts w:ascii="Arial" w:hAnsi="Arial" w:cs="Arial"/>
          <w:i/>
          <w:lang w:val="en-US"/>
        </w:rPr>
        <w:t>t</w:t>
      </w:r>
      <w:r w:rsidRPr="00430A5E">
        <w:rPr>
          <w:rFonts w:ascii="Arial" w:hAnsi="Arial" w:cs="Arial"/>
          <w:lang w:val="en-US"/>
        </w:rPr>
        <w:t xml:space="preserve"> = 2 min: B = 38 %, </w:t>
      </w:r>
      <w:r w:rsidRPr="00430A5E">
        <w:rPr>
          <w:rFonts w:ascii="Arial" w:hAnsi="Arial" w:cs="Arial"/>
          <w:i/>
          <w:lang w:val="en-US"/>
        </w:rPr>
        <w:t>t</w:t>
      </w:r>
      <w:r w:rsidRPr="00430A5E">
        <w:rPr>
          <w:rFonts w:ascii="Arial" w:hAnsi="Arial" w:cs="Arial"/>
          <w:lang w:val="en-US"/>
        </w:rPr>
        <w:t xml:space="preserve"> = 6 min: B = 42 %, </w:t>
      </w:r>
      <w:r w:rsidRPr="00430A5E">
        <w:rPr>
          <w:rFonts w:ascii="Arial" w:hAnsi="Arial" w:cs="Arial"/>
          <w:i/>
          <w:lang w:val="en-US"/>
        </w:rPr>
        <w:t>t</w:t>
      </w:r>
      <w:r w:rsidRPr="00430A5E">
        <w:rPr>
          <w:rFonts w:ascii="Arial" w:hAnsi="Arial" w:cs="Arial"/>
          <w:lang w:val="en-US"/>
        </w:rPr>
        <w:t xml:space="preserve"> = 7 min: B = 70 %, </w:t>
      </w:r>
      <w:r w:rsidRPr="00430A5E">
        <w:rPr>
          <w:rFonts w:ascii="Arial" w:hAnsi="Arial" w:cs="Arial"/>
          <w:i/>
          <w:lang w:val="en-US"/>
        </w:rPr>
        <w:t>t</w:t>
      </w:r>
      <w:r w:rsidRPr="00430A5E">
        <w:rPr>
          <w:rFonts w:ascii="Arial" w:hAnsi="Arial" w:cs="Arial"/>
          <w:lang w:val="en-US"/>
        </w:rPr>
        <w:t xml:space="preserve"> = 13 min: B = 100 %, </w:t>
      </w:r>
      <w:r w:rsidRPr="00430A5E">
        <w:rPr>
          <w:rFonts w:ascii="Arial" w:hAnsi="Arial" w:cs="Arial"/>
          <w:i/>
          <w:lang w:val="en-US"/>
        </w:rPr>
        <w:t>t</w:t>
      </w:r>
      <w:r w:rsidRPr="00430A5E">
        <w:rPr>
          <w:rFonts w:ascii="Arial" w:hAnsi="Arial" w:cs="Arial"/>
          <w:lang w:val="en-US"/>
        </w:rPr>
        <w:t xml:space="preserve"> = 17 min: B = 0 %) was done from mobile phase A to mobile phase B. Errors originating from derivatization efficiency were corrected by using α</w:t>
      </w:r>
      <w:r w:rsidRPr="00430A5E">
        <w:rPr>
          <w:rFonts w:ascii="Cambria Math" w:hAnsi="Cambria Math" w:cs="Cambria Math"/>
          <w:lang w:val="en-US"/>
        </w:rPr>
        <w:t>‐</w:t>
      </w:r>
      <w:r w:rsidRPr="00430A5E">
        <w:rPr>
          <w:rFonts w:ascii="Arial" w:hAnsi="Arial" w:cs="Arial"/>
          <w:lang w:val="en-US"/>
        </w:rPr>
        <w:t>aminobutyric acid as internal standard. Each sample was measured as an analytical duplicate. Quantification was done by external calibration. Measurement errors were estimated by error propagation analysis using parametric bootstrapping and Monte Carlo sampling.</w:t>
      </w:r>
      <w:r w:rsidRPr="00430A5E">
        <w:rPr>
          <w:rFonts w:ascii="Arial" w:hAnsi="Arial" w:cs="Arial"/>
          <w:lang w:val="en-US"/>
        </w:rPr>
        <w:fldChar w:fldCharType="begin" w:fldLock="1"/>
      </w:r>
      <w:r w:rsidR="00F74091">
        <w:rPr>
          <w:rFonts w:ascii="Arial" w:hAnsi="Arial" w:cs="Arial"/>
          <w:lang w:val="en-US"/>
        </w:rPr>
        <w:instrText>ADDIN CSL_CITATION {"citationItems":[{"id":"ITEM-1","itemData":{"DOI":"10.1214/aos/1176344552","ISSN":"0090-5364","abstract":"The asymptotic behaviour of the residual life time at time t is investigated (for t rightarrow infty). We derive weak limit laws and their domains of attraction and treat rates of convergence and moment convergence. The presentation exploits the close similarity with extreme value theory.","author":[{"dropping-particle":"","family":"Efron","given":"B.","non-dropping-particle":"","parse-names":false,"suffix":""}],"container-title":"The Annals of Statistics","id":"ITEM-1","issue":"1","issued":{"date-parts":[["1979","1"]]},"page":"1-26","title":"Bootstrap Methods: Another Look at the Jackknife","type":"article-journal","volume":"7"},"uris":["http://www.mendeley.com/documents/?uuid=ab38d77c-a90f-413d-ab56-49e921d6b6f3"]}],"mendeley":{"formattedCitation":"&lt;sup&gt;62&lt;/sup&gt;","plainTextFormattedCitation":"62","previouslyFormattedCitation":"&lt;sup&gt;50&lt;/sup&gt;"},"properties":{"noteIndex":0},"schema":"https://github.com/citation-style-language/schema/raw/master/csl-citation.json"}</w:instrText>
      </w:r>
      <w:r w:rsidRPr="00430A5E">
        <w:rPr>
          <w:rFonts w:ascii="Arial" w:hAnsi="Arial" w:cs="Arial"/>
          <w:lang w:val="en-US"/>
        </w:rPr>
        <w:fldChar w:fldCharType="separate"/>
      </w:r>
      <w:r w:rsidR="00F74091" w:rsidRPr="00F74091">
        <w:rPr>
          <w:rFonts w:ascii="Arial" w:hAnsi="Arial" w:cs="Arial"/>
          <w:noProof/>
          <w:vertAlign w:val="superscript"/>
          <w:lang w:val="en-US"/>
        </w:rPr>
        <w:t>62</w:t>
      </w:r>
      <w:r w:rsidRPr="00430A5E">
        <w:rPr>
          <w:rFonts w:ascii="Arial" w:hAnsi="Arial" w:cs="Arial"/>
          <w:lang w:val="en-US"/>
        </w:rPr>
        <w:fldChar w:fldCharType="end"/>
      </w:r>
      <w:r w:rsidRPr="00430A5E">
        <w:rPr>
          <w:rFonts w:ascii="Arial" w:hAnsi="Arial" w:cs="Arial"/>
          <w:lang w:val="en-US"/>
        </w:rPr>
        <w:t xml:space="preserve"> </w:t>
      </w:r>
    </w:p>
    <w:p w14:paraId="15824DC5" w14:textId="77777777" w:rsidR="0003083F" w:rsidRPr="00430A5E" w:rsidRDefault="0003083F" w:rsidP="007C437C">
      <w:pPr>
        <w:spacing w:after="0" w:line="360" w:lineRule="auto"/>
        <w:jc w:val="both"/>
        <w:rPr>
          <w:rFonts w:ascii="Arial" w:eastAsia="Times New Roman" w:hAnsi="Arial" w:cs="Arial"/>
          <w:b/>
          <w:sz w:val="32"/>
          <w:szCs w:val="32"/>
          <w:lang w:val="en-US" w:eastAsia="de-DE"/>
        </w:rPr>
      </w:pPr>
    </w:p>
    <w:p w14:paraId="1D8C8EBC" w14:textId="1C44C690" w:rsidR="00164FD5" w:rsidRPr="00430A5E" w:rsidRDefault="00164FD5" w:rsidP="007C437C">
      <w:pPr>
        <w:spacing w:after="0" w:line="360" w:lineRule="auto"/>
        <w:jc w:val="both"/>
        <w:rPr>
          <w:rFonts w:ascii="Arial" w:eastAsia="Times New Roman" w:hAnsi="Arial" w:cs="Arial"/>
          <w:b/>
          <w:sz w:val="32"/>
          <w:szCs w:val="32"/>
          <w:lang w:val="en-US" w:eastAsia="de-DE"/>
        </w:rPr>
      </w:pPr>
      <w:r w:rsidRPr="00430A5E">
        <w:rPr>
          <w:rFonts w:ascii="Arial" w:eastAsia="Times New Roman" w:hAnsi="Arial" w:cs="Arial"/>
          <w:b/>
          <w:sz w:val="32"/>
          <w:szCs w:val="32"/>
          <w:lang w:val="en-US" w:eastAsia="de-DE"/>
        </w:rPr>
        <w:t>Acknowledgements</w:t>
      </w:r>
    </w:p>
    <w:p w14:paraId="344C71BA" w14:textId="741E9F1B" w:rsidR="00164FD5" w:rsidRDefault="00C01DCF" w:rsidP="007C437C">
      <w:pPr>
        <w:spacing w:after="0" w:line="360" w:lineRule="auto"/>
        <w:jc w:val="both"/>
        <w:rPr>
          <w:rFonts w:ascii="Arial" w:hAnsi="Arial" w:cs="Arial"/>
          <w:bCs/>
          <w:strike/>
          <w:lang w:val="en-US"/>
        </w:rPr>
      </w:pPr>
      <w:r w:rsidRPr="00430A5E">
        <w:rPr>
          <w:rFonts w:ascii="Arial" w:hAnsi="Arial" w:cs="Arial"/>
          <w:bCs/>
          <w:lang w:val="en-US"/>
        </w:rPr>
        <w:t xml:space="preserve">A.G. </w:t>
      </w:r>
      <w:r w:rsidR="00665AAA" w:rsidRPr="00430A5E">
        <w:rPr>
          <w:rFonts w:ascii="Arial" w:hAnsi="Arial" w:cs="Arial"/>
          <w:bCs/>
          <w:lang w:val="en-US"/>
        </w:rPr>
        <w:t>gratefully acknowledge</w:t>
      </w:r>
      <w:r w:rsidRPr="00430A5E">
        <w:rPr>
          <w:rFonts w:ascii="Arial" w:hAnsi="Arial" w:cs="Arial"/>
          <w:bCs/>
          <w:lang w:val="en-US"/>
        </w:rPr>
        <w:t>s the Deutsche Forschungsgemeinschaft (</w:t>
      </w:r>
      <w:r w:rsidR="00964D5E" w:rsidRPr="00430A5E">
        <w:rPr>
          <w:rFonts w:ascii="Arial" w:hAnsi="Arial" w:cs="Arial"/>
          <w:bCs/>
          <w:lang w:val="en-US"/>
        </w:rPr>
        <w:t>DFG, German Research Foundation</w:t>
      </w:r>
      <w:r w:rsidRPr="00430A5E">
        <w:rPr>
          <w:rFonts w:ascii="Arial" w:hAnsi="Arial" w:cs="Arial"/>
          <w:bCs/>
          <w:lang w:val="en-US"/>
        </w:rPr>
        <w:t xml:space="preserve"> – 428038451</w:t>
      </w:r>
      <w:r w:rsidR="00964D5E" w:rsidRPr="00430A5E">
        <w:rPr>
          <w:rFonts w:ascii="Arial" w:hAnsi="Arial" w:cs="Arial"/>
          <w:bCs/>
          <w:lang w:val="en-US"/>
        </w:rPr>
        <w:t>)</w:t>
      </w:r>
      <w:r w:rsidRPr="00430A5E">
        <w:rPr>
          <w:rFonts w:ascii="Arial" w:hAnsi="Arial" w:cs="Arial"/>
          <w:bCs/>
          <w:lang w:val="en-US"/>
        </w:rPr>
        <w:t xml:space="preserve"> and</w:t>
      </w:r>
      <w:r w:rsidR="00665AAA" w:rsidRPr="00430A5E">
        <w:rPr>
          <w:rFonts w:ascii="Arial" w:hAnsi="Arial" w:cs="Arial"/>
          <w:bCs/>
          <w:lang w:val="en-US"/>
        </w:rPr>
        <w:t xml:space="preserve"> the Helmholtz Association for funding this project (PD-311). </w:t>
      </w:r>
      <w:r w:rsidRPr="00430A5E">
        <w:rPr>
          <w:rFonts w:ascii="Arial" w:hAnsi="Arial" w:cs="Arial"/>
          <w:bCs/>
          <w:lang w:val="en-US"/>
        </w:rPr>
        <w:t xml:space="preserve">S.N. acknowledges support from the Deutsche Forschungsgemeinschaft (priority program SPP2170, </w:t>
      </w:r>
      <w:r w:rsidR="003A0E71" w:rsidRPr="00430A5E">
        <w:rPr>
          <w:rFonts w:ascii="Arial" w:hAnsi="Arial" w:cs="Arial"/>
          <w:bCs/>
          <w:lang w:val="en-US"/>
        </w:rPr>
        <w:t>project no. 427904493</w:t>
      </w:r>
      <w:r w:rsidRPr="00430A5E">
        <w:rPr>
          <w:rFonts w:ascii="Arial" w:hAnsi="Arial" w:cs="Arial"/>
          <w:bCs/>
          <w:lang w:val="en-US"/>
        </w:rPr>
        <w:t>).</w:t>
      </w:r>
      <w:r w:rsidR="003A0E71" w:rsidRPr="00430A5E">
        <w:rPr>
          <w:rFonts w:ascii="Segoe UI" w:hAnsi="Segoe UI" w:cs="Segoe UI"/>
          <w:sz w:val="20"/>
          <w:szCs w:val="20"/>
          <w:shd w:val="clear" w:color="auto" w:fill="FFFFFF"/>
          <w:lang w:val="en-US"/>
        </w:rPr>
        <w:t xml:space="preserve"> </w:t>
      </w:r>
      <w:r w:rsidR="00F67E27" w:rsidRPr="00430A5E">
        <w:rPr>
          <w:rFonts w:ascii="Arial" w:hAnsi="Arial" w:cs="Arial"/>
          <w:bCs/>
          <w:lang w:val="en-US"/>
        </w:rPr>
        <w:t>We thank Yannic Kerkhoff for support in image analysis</w:t>
      </w:r>
      <w:r w:rsidR="00EE24C7" w:rsidRPr="00430A5E">
        <w:rPr>
          <w:rFonts w:ascii="Arial" w:hAnsi="Arial" w:cs="Arial"/>
          <w:bCs/>
          <w:lang w:val="en-US"/>
        </w:rPr>
        <w:t>.</w:t>
      </w:r>
      <w:r w:rsidR="00665AAA" w:rsidRPr="00430A5E">
        <w:rPr>
          <w:rFonts w:ascii="Arial" w:hAnsi="Arial" w:cs="Arial"/>
          <w:bCs/>
          <w:strike/>
          <w:lang w:val="en-US"/>
        </w:rPr>
        <w:t xml:space="preserve"> </w:t>
      </w:r>
    </w:p>
    <w:p w14:paraId="55CABCE1" w14:textId="06A7F84F" w:rsidR="006B0862" w:rsidRDefault="006B0862">
      <w:pPr>
        <w:rPr>
          <w:rFonts w:ascii="Arial" w:hAnsi="Arial" w:cs="Arial"/>
          <w:bCs/>
          <w:lang w:val="en-US"/>
        </w:rPr>
      </w:pPr>
      <w:r>
        <w:rPr>
          <w:rFonts w:ascii="Arial" w:hAnsi="Arial" w:cs="Arial"/>
          <w:bCs/>
          <w:lang w:val="en-US"/>
        </w:rPr>
        <w:br w:type="page"/>
      </w:r>
    </w:p>
    <w:p w14:paraId="6B144EAA" w14:textId="513EBE0B" w:rsidR="00EE4E14" w:rsidRDefault="00EE4E14" w:rsidP="007C437C">
      <w:pPr>
        <w:spacing w:after="0" w:line="360" w:lineRule="auto"/>
        <w:jc w:val="both"/>
        <w:rPr>
          <w:rFonts w:ascii="Arial" w:eastAsia="Times New Roman" w:hAnsi="Arial" w:cs="Arial"/>
          <w:b/>
          <w:sz w:val="32"/>
          <w:szCs w:val="32"/>
          <w:lang w:val="en-US" w:eastAsia="de-DE"/>
        </w:rPr>
      </w:pPr>
      <w:r w:rsidRPr="00EE4E14">
        <w:rPr>
          <w:rFonts w:ascii="Arial" w:eastAsia="Times New Roman" w:hAnsi="Arial" w:cs="Arial"/>
          <w:b/>
          <w:sz w:val="32"/>
          <w:szCs w:val="32"/>
          <w:lang w:val="en-US" w:eastAsia="de-DE"/>
        </w:rPr>
        <w:lastRenderedPageBreak/>
        <w:t xml:space="preserve">Supporting </w:t>
      </w:r>
      <w:r w:rsidR="00134C00">
        <w:rPr>
          <w:rFonts w:ascii="Arial" w:eastAsia="Times New Roman" w:hAnsi="Arial" w:cs="Arial"/>
          <w:b/>
          <w:sz w:val="32"/>
          <w:szCs w:val="32"/>
          <w:lang w:val="en-US" w:eastAsia="de-DE"/>
        </w:rPr>
        <w:t>I</w:t>
      </w:r>
      <w:r w:rsidRPr="00EE4E14">
        <w:rPr>
          <w:rFonts w:ascii="Arial" w:eastAsia="Times New Roman" w:hAnsi="Arial" w:cs="Arial"/>
          <w:b/>
          <w:sz w:val="32"/>
          <w:szCs w:val="32"/>
          <w:lang w:val="en-US" w:eastAsia="de-DE"/>
        </w:rPr>
        <w:t>nformation</w:t>
      </w:r>
    </w:p>
    <w:p w14:paraId="6F0D9BC9" w14:textId="23AF1EE2" w:rsidR="00134C00" w:rsidRDefault="00134C00" w:rsidP="00134C00">
      <w:pPr>
        <w:pStyle w:val="Listenabsatz"/>
        <w:numPr>
          <w:ilvl w:val="0"/>
          <w:numId w:val="16"/>
        </w:numPr>
        <w:spacing w:after="0" w:line="360" w:lineRule="auto"/>
        <w:jc w:val="both"/>
        <w:rPr>
          <w:rFonts w:ascii="Arial" w:hAnsi="Arial" w:cs="Arial"/>
          <w:bCs/>
          <w:lang w:val="en-US"/>
        </w:rPr>
      </w:pPr>
      <w:r w:rsidRPr="00134C00">
        <w:rPr>
          <w:rFonts w:ascii="Arial" w:hAnsi="Arial" w:cs="Arial"/>
          <w:bCs/>
          <w:lang w:val="en-US"/>
        </w:rPr>
        <w:t>Bulk analy</w:t>
      </w:r>
      <w:r>
        <w:rPr>
          <w:rFonts w:ascii="Arial" w:hAnsi="Arial" w:cs="Arial"/>
          <w:bCs/>
          <w:lang w:val="en-US"/>
        </w:rPr>
        <w:t>sis of co-culture strains using microtiter plate cultivations (S1 and S2)</w:t>
      </w:r>
    </w:p>
    <w:p w14:paraId="71776FC5" w14:textId="3ED7FC6A" w:rsidR="00134C00" w:rsidRDefault="00134C00" w:rsidP="00134C00">
      <w:pPr>
        <w:pStyle w:val="Listenabsatz"/>
        <w:numPr>
          <w:ilvl w:val="0"/>
          <w:numId w:val="16"/>
        </w:numPr>
        <w:spacing w:after="0" w:line="360" w:lineRule="auto"/>
        <w:jc w:val="both"/>
        <w:rPr>
          <w:rFonts w:ascii="Arial" w:hAnsi="Arial" w:cs="Arial"/>
          <w:bCs/>
          <w:lang w:val="en-US"/>
        </w:rPr>
      </w:pPr>
      <w:r>
        <w:rPr>
          <w:rFonts w:ascii="Arial" w:hAnsi="Arial" w:cs="Arial"/>
          <w:bCs/>
          <w:lang w:val="en-US"/>
        </w:rPr>
        <w:t xml:space="preserve">Growth characterization of </w:t>
      </w:r>
      <w:r w:rsidRPr="00134C00">
        <w:rPr>
          <w:rFonts w:ascii="Arial" w:hAnsi="Arial" w:cs="Arial"/>
          <w:bCs/>
          <w:i/>
          <w:iCs/>
          <w:lang w:val="en-US"/>
        </w:rPr>
        <w:t>C.</w:t>
      </w:r>
      <w:r w:rsidR="00923799">
        <w:rPr>
          <w:rFonts w:ascii="Arial" w:hAnsi="Arial" w:cs="Arial"/>
          <w:bCs/>
          <w:i/>
          <w:iCs/>
          <w:lang w:val="en-US"/>
        </w:rPr>
        <w:t> </w:t>
      </w:r>
      <w:r w:rsidRPr="00134C00">
        <w:rPr>
          <w:rFonts w:ascii="Arial" w:hAnsi="Arial" w:cs="Arial"/>
          <w:bCs/>
          <w:i/>
          <w:iCs/>
          <w:lang w:val="en-US"/>
        </w:rPr>
        <w:t>glutamicum</w:t>
      </w:r>
      <w:r>
        <w:rPr>
          <w:rFonts w:ascii="Arial" w:hAnsi="Arial" w:cs="Arial"/>
          <w:bCs/>
          <w:lang w:val="en-US"/>
        </w:rPr>
        <w:t xml:space="preserve"> ∆</w:t>
      </w:r>
      <w:r w:rsidRPr="00134C00">
        <w:rPr>
          <w:rFonts w:ascii="Arial" w:hAnsi="Arial" w:cs="Arial"/>
          <w:bCs/>
          <w:i/>
          <w:iCs/>
          <w:lang w:val="en-US"/>
        </w:rPr>
        <w:t>lysA</w:t>
      </w:r>
      <w:r>
        <w:rPr>
          <w:rFonts w:ascii="Arial" w:hAnsi="Arial" w:cs="Arial"/>
          <w:bCs/>
          <w:lang w:val="en-US"/>
        </w:rPr>
        <w:t xml:space="preserve"> in microfluidic growth channels (S3)</w:t>
      </w:r>
    </w:p>
    <w:p w14:paraId="54FE7447" w14:textId="647104D2" w:rsidR="00134C00" w:rsidRDefault="00134C00" w:rsidP="00134C00">
      <w:pPr>
        <w:pStyle w:val="Listenabsatz"/>
        <w:numPr>
          <w:ilvl w:val="0"/>
          <w:numId w:val="16"/>
        </w:numPr>
        <w:spacing w:after="0" w:line="360" w:lineRule="auto"/>
        <w:jc w:val="both"/>
        <w:rPr>
          <w:rFonts w:ascii="Arial" w:hAnsi="Arial" w:cs="Arial"/>
          <w:bCs/>
          <w:lang w:val="en-US"/>
        </w:rPr>
      </w:pPr>
      <w:r>
        <w:rPr>
          <w:rFonts w:ascii="Arial" w:hAnsi="Arial" w:cs="Arial"/>
          <w:bCs/>
          <w:lang w:val="en-US"/>
        </w:rPr>
        <w:t xml:space="preserve">Cell numbers of </w:t>
      </w:r>
      <w:r w:rsidRPr="00134C00">
        <w:rPr>
          <w:rFonts w:ascii="Arial" w:hAnsi="Arial" w:cs="Arial"/>
          <w:bCs/>
          <w:i/>
          <w:iCs/>
          <w:lang w:val="en-US"/>
        </w:rPr>
        <w:t>C.</w:t>
      </w:r>
      <w:r w:rsidR="00923799">
        <w:rPr>
          <w:rFonts w:ascii="Arial" w:hAnsi="Arial" w:cs="Arial"/>
          <w:bCs/>
          <w:i/>
          <w:iCs/>
          <w:lang w:val="en-US"/>
        </w:rPr>
        <w:t> </w:t>
      </w:r>
      <w:r w:rsidRPr="00134C00">
        <w:rPr>
          <w:rFonts w:ascii="Arial" w:hAnsi="Arial" w:cs="Arial"/>
          <w:bCs/>
          <w:i/>
          <w:iCs/>
          <w:lang w:val="en-US"/>
        </w:rPr>
        <w:t>glutamicum</w:t>
      </w:r>
      <w:r>
        <w:rPr>
          <w:rFonts w:ascii="Arial" w:hAnsi="Arial" w:cs="Arial"/>
          <w:bCs/>
          <w:lang w:val="en-US"/>
        </w:rPr>
        <w:t xml:space="preserve"> ∆</w:t>
      </w:r>
      <w:r w:rsidRPr="00134C00">
        <w:rPr>
          <w:rFonts w:ascii="Arial" w:hAnsi="Arial" w:cs="Arial"/>
          <w:bCs/>
          <w:i/>
          <w:iCs/>
          <w:lang w:val="en-US"/>
        </w:rPr>
        <w:t>lysA</w:t>
      </w:r>
      <w:r>
        <w:rPr>
          <w:rFonts w:ascii="Arial" w:hAnsi="Arial" w:cs="Arial"/>
          <w:bCs/>
          <w:i/>
          <w:iCs/>
          <w:lang w:val="en-US"/>
        </w:rPr>
        <w:t xml:space="preserve"> </w:t>
      </w:r>
      <w:r>
        <w:rPr>
          <w:rFonts w:ascii="Arial" w:hAnsi="Arial" w:cs="Arial"/>
          <w:bCs/>
          <w:lang w:val="en-US"/>
        </w:rPr>
        <w:t xml:space="preserve">in co-cultivation with </w:t>
      </w:r>
      <w:r w:rsidRPr="00134C00">
        <w:rPr>
          <w:rFonts w:ascii="Arial" w:hAnsi="Arial" w:cs="Arial"/>
          <w:bCs/>
          <w:i/>
          <w:iCs/>
          <w:lang w:val="en-US"/>
        </w:rPr>
        <w:t>C.</w:t>
      </w:r>
      <w:r w:rsidR="00923799">
        <w:rPr>
          <w:rFonts w:ascii="Arial" w:hAnsi="Arial" w:cs="Arial"/>
          <w:bCs/>
          <w:i/>
          <w:iCs/>
          <w:lang w:val="en-US"/>
        </w:rPr>
        <w:t> </w:t>
      </w:r>
      <w:r w:rsidRPr="00134C00">
        <w:rPr>
          <w:rFonts w:ascii="Arial" w:hAnsi="Arial" w:cs="Arial"/>
          <w:bCs/>
          <w:i/>
          <w:iCs/>
          <w:lang w:val="en-US"/>
        </w:rPr>
        <w:t>glutamicum</w:t>
      </w:r>
      <w:r>
        <w:rPr>
          <w:rFonts w:ascii="Arial" w:hAnsi="Arial" w:cs="Arial"/>
          <w:bCs/>
          <w:lang w:val="en-US"/>
        </w:rPr>
        <w:t xml:space="preserve"> wildtype and DM1727 in microfluidic growth chambers (S4)</w:t>
      </w:r>
    </w:p>
    <w:p w14:paraId="6CC8126F" w14:textId="59D65154" w:rsidR="00134C00" w:rsidRDefault="00923799" w:rsidP="00134C00">
      <w:pPr>
        <w:pStyle w:val="Listenabsatz"/>
        <w:numPr>
          <w:ilvl w:val="0"/>
          <w:numId w:val="16"/>
        </w:numPr>
        <w:spacing w:after="0" w:line="360" w:lineRule="auto"/>
        <w:jc w:val="both"/>
        <w:rPr>
          <w:rFonts w:ascii="Arial" w:hAnsi="Arial" w:cs="Arial"/>
          <w:bCs/>
          <w:lang w:val="en-US"/>
        </w:rPr>
      </w:pPr>
      <w:r w:rsidRPr="00827570">
        <w:rPr>
          <w:rFonts w:ascii="Arial" w:hAnsi="Arial" w:cs="Arial"/>
          <w:bCs/>
          <w:lang w:val="en-US"/>
        </w:rPr>
        <w:t xml:space="preserve">Control experiment of </w:t>
      </w:r>
      <w:r w:rsidRPr="00923799">
        <w:rPr>
          <w:rFonts w:ascii="Arial" w:hAnsi="Arial" w:cs="Arial"/>
          <w:i/>
          <w:iCs/>
          <w:lang w:val="en-US"/>
        </w:rPr>
        <w:t>C. glutamicum</w:t>
      </w:r>
      <w:r w:rsidRPr="00827570">
        <w:rPr>
          <w:rFonts w:ascii="Arial" w:hAnsi="Arial" w:cs="Arial"/>
          <w:bCs/>
          <w:lang w:val="en-US"/>
        </w:rPr>
        <w:t xml:space="preserve"> Δ</w:t>
      </w:r>
      <w:r w:rsidRPr="00923799">
        <w:rPr>
          <w:rFonts w:ascii="Arial" w:hAnsi="Arial" w:cs="Arial"/>
          <w:bCs/>
          <w:i/>
          <w:iCs/>
          <w:lang w:val="en-US"/>
        </w:rPr>
        <w:t>lysA</w:t>
      </w:r>
      <w:r w:rsidRPr="00827570">
        <w:rPr>
          <w:rFonts w:ascii="Arial" w:hAnsi="Arial" w:cs="Arial"/>
          <w:bCs/>
          <w:lang w:val="en-US"/>
        </w:rPr>
        <w:t xml:space="preserve"> in co-cultivation with </w:t>
      </w:r>
      <w:r w:rsidRPr="00923799">
        <w:rPr>
          <w:rFonts w:ascii="Arial" w:hAnsi="Arial" w:cs="Arial"/>
          <w:bCs/>
          <w:i/>
          <w:iCs/>
          <w:lang w:val="en-US"/>
        </w:rPr>
        <w:t>C.</w:t>
      </w:r>
      <w:r>
        <w:rPr>
          <w:rFonts w:ascii="Arial" w:hAnsi="Arial" w:cs="Arial"/>
          <w:bCs/>
          <w:i/>
          <w:iCs/>
          <w:lang w:val="en-US"/>
        </w:rPr>
        <w:t> </w:t>
      </w:r>
      <w:r w:rsidRPr="00923799">
        <w:rPr>
          <w:rFonts w:ascii="Arial" w:hAnsi="Arial" w:cs="Arial"/>
          <w:bCs/>
          <w:i/>
          <w:iCs/>
          <w:lang w:val="en-US"/>
        </w:rPr>
        <w:t>glutamicum</w:t>
      </w:r>
      <w:r w:rsidRPr="00827570">
        <w:rPr>
          <w:rFonts w:ascii="Arial" w:hAnsi="Arial" w:cs="Arial"/>
          <w:bCs/>
          <w:lang w:val="en-US"/>
        </w:rPr>
        <w:t xml:space="preserve"> DM1727 pEKEx2-lysC-β</w:t>
      </w:r>
      <w:r w:rsidRPr="00827570">
        <w:rPr>
          <w:rFonts w:ascii="Arial" w:hAnsi="Arial" w:cs="Arial"/>
          <w:bCs/>
          <w:vertAlign w:val="superscript"/>
          <w:lang w:val="en-US"/>
        </w:rPr>
        <w:t>FBR</w:t>
      </w:r>
      <w:r w:rsidRPr="00827570">
        <w:rPr>
          <w:rFonts w:ascii="Arial" w:hAnsi="Arial" w:cs="Arial"/>
          <w:bCs/>
          <w:lang w:val="en-US"/>
        </w:rPr>
        <w:t xml:space="preserve"> without the addition of IPTG in microfluidic growth chambers</w:t>
      </w:r>
      <w:r>
        <w:rPr>
          <w:rFonts w:ascii="Arial" w:hAnsi="Arial" w:cs="Arial"/>
          <w:bCs/>
          <w:lang w:val="en-US"/>
        </w:rPr>
        <w:t xml:space="preserve"> (S5)</w:t>
      </w:r>
    </w:p>
    <w:p w14:paraId="6A41A736" w14:textId="66594721" w:rsidR="00923799" w:rsidRDefault="00923799" w:rsidP="00134C00">
      <w:pPr>
        <w:pStyle w:val="Listenabsatz"/>
        <w:numPr>
          <w:ilvl w:val="0"/>
          <w:numId w:val="16"/>
        </w:numPr>
        <w:spacing w:after="0" w:line="360" w:lineRule="auto"/>
        <w:jc w:val="both"/>
        <w:rPr>
          <w:rFonts w:ascii="Arial" w:hAnsi="Arial" w:cs="Arial"/>
          <w:bCs/>
          <w:lang w:val="en-US"/>
        </w:rPr>
      </w:pPr>
      <w:r w:rsidRPr="00827570">
        <w:rPr>
          <w:rFonts w:ascii="Arial" w:hAnsi="Arial" w:cs="Arial"/>
          <w:bCs/>
          <w:lang w:val="en-US"/>
        </w:rPr>
        <w:t>Fluorescence distribution of</w:t>
      </w:r>
      <w:r w:rsidRPr="00827570">
        <w:rPr>
          <w:rFonts w:ascii="Arial" w:hAnsi="Arial" w:cs="Arial"/>
          <w:lang w:val="en-US"/>
        </w:rPr>
        <w:t xml:space="preserve"> </w:t>
      </w:r>
      <w:r w:rsidRPr="00923799">
        <w:rPr>
          <w:rFonts w:ascii="Arial" w:hAnsi="Arial" w:cs="Arial"/>
          <w:i/>
          <w:iCs/>
          <w:lang w:val="en-US"/>
        </w:rPr>
        <w:t>C. glutamicum</w:t>
      </w:r>
      <w:r w:rsidRPr="00827570">
        <w:rPr>
          <w:rFonts w:ascii="Arial" w:hAnsi="Arial" w:cs="Arial"/>
          <w:bCs/>
          <w:lang w:val="en-US"/>
        </w:rPr>
        <w:t xml:space="preserve"> Δ</w:t>
      </w:r>
      <w:r w:rsidRPr="00923799">
        <w:rPr>
          <w:rFonts w:ascii="Arial" w:hAnsi="Arial" w:cs="Arial"/>
          <w:bCs/>
          <w:i/>
          <w:iCs/>
          <w:lang w:val="en-US"/>
        </w:rPr>
        <w:t>lysA</w:t>
      </w:r>
      <w:r w:rsidRPr="00827570">
        <w:rPr>
          <w:rFonts w:ascii="Arial" w:hAnsi="Arial" w:cs="Arial"/>
          <w:bCs/>
          <w:lang w:val="en-US"/>
        </w:rPr>
        <w:t xml:space="preserve"> in co-cultivation</w:t>
      </w:r>
      <w:r>
        <w:rPr>
          <w:rFonts w:ascii="Arial" w:hAnsi="Arial" w:cs="Arial"/>
          <w:bCs/>
          <w:lang w:val="en-US"/>
        </w:rPr>
        <w:t xml:space="preserve"> (S6)</w:t>
      </w:r>
    </w:p>
    <w:p w14:paraId="0A0AB913" w14:textId="6CCE34EF" w:rsidR="00923799" w:rsidRPr="00134C00" w:rsidRDefault="00923799" w:rsidP="00134C00">
      <w:pPr>
        <w:pStyle w:val="Listenabsatz"/>
        <w:numPr>
          <w:ilvl w:val="0"/>
          <w:numId w:val="16"/>
        </w:numPr>
        <w:spacing w:after="0" w:line="360" w:lineRule="auto"/>
        <w:jc w:val="both"/>
        <w:rPr>
          <w:rFonts w:ascii="Arial" w:hAnsi="Arial" w:cs="Arial"/>
          <w:bCs/>
          <w:lang w:val="en-US"/>
        </w:rPr>
      </w:pPr>
      <w:r w:rsidRPr="00827570">
        <w:rPr>
          <w:rFonts w:ascii="Arial" w:hAnsi="Arial" w:cs="Arial"/>
          <w:bCs/>
          <w:lang w:val="en-US"/>
        </w:rPr>
        <w:t>UV-A toxicity test</w:t>
      </w:r>
      <w:r>
        <w:rPr>
          <w:rFonts w:ascii="Arial" w:hAnsi="Arial" w:cs="Arial"/>
          <w:bCs/>
          <w:lang w:val="en-US"/>
        </w:rPr>
        <w:t xml:space="preserve"> with </w:t>
      </w:r>
      <w:r w:rsidRPr="00923799">
        <w:rPr>
          <w:rFonts w:ascii="Arial" w:hAnsi="Arial" w:cs="Arial"/>
          <w:bCs/>
          <w:i/>
          <w:iCs/>
          <w:lang w:val="en-US"/>
        </w:rPr>
        <w:t>C.</w:t>
      </w:r>
      <w:r>
        <w:rPr>
          <w:rFonts w:ascii="Arial" w:hAnsi="Arial" w:cs="Arial"/>
          <w:bCs/>
          <w:i/>
          <w:iCs/>
          <w:lang w:val="en-US"/>
        </w:rPr>
        <w:t> </w:t>
      </w:r>
      <w:r w:rsidRPr="00923799">
        <w:rPr>
          <w:rFonts w:ascii="Arial" w:hAnsi="Arial" w:cs="Arial"/>
          <w:bCs/>
          <w:i/>
          <w:iCs/>
          <w:lang w:val="en-US"/>
        </w:rPr>
        <w:t>glutamicum</w:t>
      </w:r>
      <w:r>
        <w:rPr>
          <w:rFonts w:ascii="Arial" w:hAnsi="Arial" w:cs="Arial"/>
          <w:bCs/>
          <w:lang w:val="en-US"/>
        </w:rPr>
        <w:t xml:space="preserve"> (S7)</w:t>
      </w:r>
    </w:p>
    <w:p w14:paraId="73B3C595" w14:textId="2C3527CF" w:rsidR="00AB23F3" w:rsidRDefault="00AB23F3" w:rsidP="007C437C">
      <w:pPr>
        <w:spacing w:line="360" w:lineRule="auto"/>
        <w:rPr>
          <w:rFonts w:ascii="Arial" w:hAnsi="Arial" w:cs="Arial"/>
          <w:lang w:val="en-US"/>
        </w:rPr>
      </w:pPr>
    </w:p>
    <w:p w14:paraId="0E44ECD2" w14:textId="706C6B8C" w:rsidR="00923799" w:rsidRPr="00923799" w:rsidRDefault="00923799" w:rsidP="007C437C">
      <w:pPr>
        <w:spacing w:line="360" w:lineRule="auto"/>
        <w:rPr>
          <w:rFonts w:ascii="Arial" w:eastAsia="Times New Roman" w:hAnsi="Arial" w:cs="Arial"/>
          <w:b/>
          <w:sz w:val="32"/>
          <w:szCs w:val="32"/>
          <w:lang w:val="en-US" w:eastAsia="de-DE"/>
        </w:rPr>
      </w:pPr>
      <w:r w:rsidRPr="00923799">
        <w:rPr>
          <w:rFonts w:ascii="Arial" w:eastAsia="Times New Roman" w:hAnsi="Arial" w:cs="Arial"/>
          <w:b/>
          <w:sz w:val="32"/>
          <w:szCs w:val="32"/>
          <w:lang w:val="en-US" w:eastAsia="de-DE"/>
        </w:rPr>
        <w:t xml:space="preserve">Author </w:t>
      </w:r>
      <w:r>
        <w:rPr>
          <w:rFonts w:ascii="Arial" w:eastAsia="Times New Roman" w:hAnsi="Arial" w:cs="Arial"/>
          <w:b/>
          <w:sz w:val="32"/>
          <w:szCs w:val="32"/>
          <w:lang w:val="en-US" w:eastAsia="de-DE"/>
        </w:rPr>
        <w:t>C</w:t>
      </w:r>
      <w:r w:rsidRPr="00923799">
        <w:rPr>
          <w:rFonts w:ascii="Arial" w:eastAsia="Times New Roman" w:hAnsi="Arial" w:cs="Arial"/>
          <w:b/>
          <w:sz w:val="32"/>
          <w:szCs w:val="32"/>
          <w:lang w:val="en-US" w:eastAsia="de-DE"/>
        </w:rPr>
        <w:t>ontribution</w:t>
      </w:r>
    </w:p>
    <w:p w14:paraId="3C307FE6" w14:textId="4F896D04" w:rsidR="00923799" w:rsidRDefault="00AD6E40" w:rsidP="007C437C">
      <w:pPr>
        <w:spacing w:line="360" w:lineRule="auto"/>
        <w:rPr>
          <w:rFonts w:ascii="Arial" w:hAnsi="Arial" w:cs="Arial"/>
          <w:lang w:val="en-US"/>
        </w:rPr>
      </w:pPr>
      <w:r>
        <w:rPr>
          <w:rFonts w:ascii="Arial" w:hAnsi="Arial" w:cs="Arial"/>
          <w:lang w:val="en-US"/>
        </w:rPr>
        <w:t>Conceptualization and investigation: AB, AG. Experiments and analysis: AB, QA, LH, NT, FH, SS. Resources and review: JM, SN, DK. Writing: AB, AG.</w:t>
      </w:r>
    </w:p>
    <w:p w14:paraId="51463EAA" w14:textId="77777777" w:rsidR="006B0862" w:rsidRDefault="006B0862" w:rsidP="007C437C">
      <w:pPr>
        <w:spacing w:after="120" w:line="360" w:lineRule="auto"/>
        <w:jc w:val="both"/>
        <w:rPr>
          <w:rFonts w:ascii="Arial" w:hAnsi="Arial" w:cs="Arial"/>
          <w:lang w:val="en-US"/>
        </w:rPr>
      </w:pPr>
    </w:p>
    <w:p w14:paraId="52AFDD3D" w14:textId="0AF0C1C4" w:rsidR="00164FD5" w:rsidRPr="00430A5E" w:rsidRDefault="00164FD5" w:rsidP="007C437C">
      <w:pPr>
        <w:spacing w:after="120" w:line="360" w:lineRule="auto"/>
        <w:jc w:val="both"/>
        <w:rPr>
          <w:rFonts w:ascii="Arial" w:eastAsia="Times New Roman" w:hAnsi="Arial" w:cs="Arial"/>
          <w:b/>
          <w:sz w:val="32"/>
          <w:szCs w:val="32"/>
          <w:lang w:val="en-US" w:eastAsia="de-DE"/>
        </w:rPr>
      </w:pPr>
      <w:r w:rsidRPr="00430A5E">
        <w:rPr>
          <w:rFonts w:ascii="Arial" w:eastAsia="Times New Roman" w:hAnsi="Arial" w:cs="Arial"/>
          <w:b/>
          <w:sz w:val="32"/>
          <w:szCs w:val="32"/>
          <w:lang w:val="en-US" w:eastAsia="de-DE"/>
        </w:rPr>
        <w:t>References</w:t>
      </w:r>
    </w:p>
    <w:p w14:paraId="42FA6182" w14:textId="1584DB1B" w:rsidR="00F74091" w:rsidRPr="00A77C56" w:rsidRDefault="00B43A14" w:rsidP="00F74091">
      <w:pPr>
        <w:widowControl w:val="0"/>
        <w:autoSpaceDE w:val="0"/>
        <w:autoSpaceDN w:val="0"/>
        <w:adjustRightInd w:val="0"/>
        <w:spacing w:after="120" w:line="360" w:lineRule="auto"/>
        <w:ind w:left="640" w:hanging="640"/>
        <w:rPr>
          <w:rFonts w:ascii="Arial" w:hAnsi="Arial" w:cs="Arial"/>
          <w:noProof/>
          <w:szCs w:val="24"/>
          <w:lang w:val="en-US"/>
        </w:rPr>
      </w:pPr>
      <w:r w:rsidRPr="00430A5E">
        <w:rPr>
          <w:rFonts w:ascii="Arial" w:hAnsi="Arial" w:cs="Arial"/>
          <w:lang w:val="en-US"/>
        </w:rPr>
        <w:fldChar w:fldCharType="begin" w:fldLock="1"/>
      </w:r>
      <w:r w:rsidRPr="00430A5E">
        <w:rPr>
          <w:rFonts w:ascii="Arial" w:hAnsi="Arial" w:cs="Arial"/>
          <w:lang w:val="en-US"/>
        </w:rPr>
        <w:instrText xml:space="preserve">ADDIN Mendeley Bibliography CSL_BIBLIOGRAPHY </w:instrText>
      </w:r>
      <w:r w:rsidRPr="00430A5E">
        <w:rPr>
          <w:rFonts w:ascii="Arial" w:hAnsi="Arial" w:cs="Arial"/>
          <w:lang w:val="en-US"/>
        </w:rPr>
        <w:fldChar w:fldCharType="separate"/>
      </w:r>
      <w:r w:rsidR="00F74091" w:rsidRPr="00A77C56">
        <w:rPr>
          <w:rFonts w:ascii="Arial" w:hAnsi="Arial" w:cs="Arial"/>
          <w:noProof/>
          <w:szCs w:val="24"/>
          <w:lang w:val="en-US"/>
        </w:rPr>
        <w:t xml:space="preserve">(1) </w:t>
      </w:r>
      <w:r w:rsidR="00F74091" w:rsidRPr="00A77C56">
        <w:rPr>
          <w:rFonts w:ascii="Arial" w:hAnsi="Arial" w:cs="Arial"/>
          <w:noProof/>
          <w:szCs w:val="24"/>
          <w:lang w:val="en-US"/>
        </w:rPr>
        <w:tab/>
        <w:t xml:space="preserve">Cao, X.; Hamilton, J. J.; Venturelli, O. S. Understanding and Engineering Distributed Biochemical Pathways in Microbial Communities. </w:t>
      </w:r>
      <w:r w:rsidR="00F74091" w:rsidRPr="00A77C56">
        <w:rPr>
          <w:rFonts w:ascii="Arial" w:hAnsi="Arial" w:cs="Arial"/>
          <w:i/>
          <w:iCs/>
          <w:noProof/>
          <w:szCs w:val="24"/>
          <w:lang w:val="en-US"/>
        </w:rPr>
        <w:t>Biochemistry</w:t>
      </w:r>
      <w:r w:rsidR="00F74091" w:rsidRPr="00A77C56">
        <w:rPr>
          <w:rFonts w:ascii="Arial" w:hAnsi="Arial" w:cs="Arial"/>
          <w:noProof/>
          <w:szCs w:val="24"/>
          <w:lang w:val="en-US"/>
        </w:rPr>
        <w:t xml:space="preserve"> </w:t>
      </w:r>
      <w:r w:rsidR="00F74091" w:rsidRPr="00A77C56">
        <w:rPr>
          <w:rFonts w:ascii="Arial" w:hAnsi="Arial" w:cs="Arial"/>
          <w:b/>
          <w:bCs/>
          <w:noProof/>
          <w:szCs w:val="24"/>
          <w:lang w:val="en-US"/>
        </w:rPr>
        <w:t>2019</w:t>
      </w:r>
      <w:r w:rsidR="00F74091" w:rsidRPr="00A77C56">
        <w:rPr>
          <w:rFonts w:ascii="Arial" w:hAnsi="Arial" w:cs="Arial"/>
          <w:noProof/>
          <w:szCs w:val="24"/>
          <w:lang w:val="en-US"/>
        </w:rPr>
        <w:t xml:space="preserve">, </w:t>
      </w:r>
      <w:r w:rsidR="00F74091" w:rsidRPr="00A77C56">
        <w:rPr>
          <w:rFonts w:ascii="Arial" w:hAnsi="Arial" w:cs="Arial"/>
          <w:i/>
          <w:iCs/>
          <w:noProof/>
          <w:szCs w:val="24"/>
          <w:lang w:val="en-US"/>
        </w:rPr>
        <w:t>58</w:t>
      </w:r>
      <w:r w:rsidR="00F74091" w:rsidRPr="00A77C56">
        <w:rPr>
          <w:rFonts w:ascii="Arial" w:hAnsi="Arial" w:cs="Arial"/>
          <w:noProof/>
          <w:szCs w:val="24"/>
          <w:lang w:val="en-US"/>
        </w:rPr>
        <w:t xml:space="preserve"> (2), 94–107. https://doi.org/10.1021/acs.biochem.8b01006.</w:t>
      </w:r>
    </w:p>
    <w:p w14:paraId="1A7B8854"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(2) </w:t>
      </w:r>
      <w:r w:rsidRPr="00A77C56">
        <w:rPr>
          <w:rFonts w:ascii="Arial" w:hAnsi="Arial" w:cs="Arial"/>
          <w:noProof/>
          <w:szCs w:val="24"/>
          <w:lang w:val="en-US"/>
        </w:rPr>
        <w:tab/>
        <w:t xml:space="preserve">Noack, S.; Baumgart, M. Communities of Niche-Optimized Strains: Small-Genome Organism Consortia in Bioproduction. </w:t>
      </w:r>
      <w:r w:rsidRPr="00A77C56">
        <w:rPr>
          <w:rFonts w:ascii="Arial" w:hAnsi="Arial" w:cs="Arial"/>
          <w:i/>
          <w:iCs/>
          <w:noProof/>
          <w:szCs w:val="24"/>
          <w:lang w:val="en-US"/>
        </w:rPr>
        <w:t>Trends Biotechnol.</w:t>
      </w:r>
      <w:r w:rsidRPr="00A77C56">
        <w:rPr>
          <w:rFonts w:ascii="Arial" w:hAnsi="Arial" w:cs="Arial"/>
          <w:noProof/>
          <w:szCs w:val="24"/>
          <w:lang w:val="en-US"/>
        </w:rPr>
        <w:t xml:space="preserve"> </w:t>
      </w:r>
      <w:r w:rsidRPr="00A77C56">
        <w:rPr>
          <w:rFonts w:ascii="Arial" w:hAnsi="Arial" w:cs="Arial"/>
          <w:b/>
          <w:bCs/>
          <w:noProof/>
          <w:szCs w:val="24"/>
          <w:lang w:val="en-US"/>
        </w:rPr>
        <w:t>2019</w:t>
      </w:r>
      <w:r w:rsidRPr="00A77C56">
        <w:rPr>
          <w:rFonts w:ascii="Arial" w:hAnsi="Arial" w:cs="Arial"/>
          <w:noProof/>
          <w:szCs w:val="24"/>
          <w:lang w:val="en-US"/>
        </w:rPr>
        <w:t xml:space="preserve">, </w:t>
      </w:r>
      <w:r w:rsidRPr="00A77C56">
        <w:rPr>
          <w:rFonts w:ascii="Arial" w:hAnsi="Arial" w:cs="Arial"/>
          <w:i/>
          <w:iCs/>
          <w:noProof/>
          <w:szCs w:val="24"/>
          <w:lang w:val="en-US"/>
        </w:rPr>
        <w:t>37</w:t>
      </w:r>
      <w:r w:rsidRPr="00A77C56">
        <w:rPr>
          <w:rFonts w:ascii="Arial" w:hAnsi="Arial" w:cs="Arial"/>
          <w:noProof/>
          <w:szCs w:val="24"/>
          <w:lang w:val="en-US"/>
        </w:rPr>
        <w:t xml:space="preserve"> (2), 126–139. https://doi.org/10.1016/j.tibtech.2018.07.011.</w:t>
      </w:r>
    </w:p>
    <w:p w14:paraId="1029B8AA"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(3) </w:t>
      </w:r>
      <w:r w:rsidRPr="00A77C56">
        <w:rPr>
          <w:rFonts w:ascii="Arial" w:hAnsi="Arial" w:cs="Arial"/>
          <w:noProof/>
          <w:szCs w:val="24"/>
          <w:lang w:val="en-US"/>
        </w:rPr>
        <w:tab/>
        <w:t xml:space="preserve">Johnson, D. R.; Noack, S. Editorial Overview: Causes and Biotechnological Application of Microbial Metabolic Specialization. </w:t>
      </w:r>
      <w:r w:rsidRPr="00A77C56">
        <w:rPr>
          <w:rFonts w:ascii="Arial" w:hAnsi="Arial" w:cs="Arial"/>
          <w:i/>
          <w:iCs/>
          <w:noProof/>
          <w:szCs w:val="24"/>
          <w:lang w:val="en-US"/>
        </w:rPr>
        <w:t>Curr. Opin. Biotechnol.</w:t>
      </w:r>
      <w:r w:rsidRPr="00A77C56">
        <w:rPr>
          <w:rFonts w:ascii="Arial" w:hAnsi="Arial" w:cs="Arial"/>
          <w:noProof/>
          <w:szCs w:val="24"/>
          <w:lang w:val="en-US"/>
        </w:rPr>
        <w:t xml:space="preserve"> </w:t>
      </w:r>
      <w:r w:rsidRPr="00A77C56">
        <w:rPr>
          <w:rFonts w:ascii="Arial" w:hAnsi="Arial" w:cs="Arial"/>
          <w:b/>
          <w:bCs/>
          <w:noProof/>
          <w:szCs w:val="24"/>
          <w:lang w:val="en-US"/>
        </w:rPr>
        <w:t>2020</w:t>
      </w:r>
      <w:r w:rsidRPr="00A77C56">
        <w:rPr>
          <w:rFonts w:ascii="Arial" w:hAnsi="Arial" w:cs="Arial"/>
          <w:noProof/>
          <w:szCs w:val="24"/>
          <w:lang w:val="en-US"/>
        </w:rPr>
        <w:t xml:space="preserve">, </w:t>
      </w:r>
      <w:r w:rsidRPr="00A77C56">
        <w:rPr>
          <w:rFonts w:ascii="Arial" w:hAnsi="Arial" w:cs="Arial"/>
          <w:i/>
          <w:iCs/>
          <w:noProof/>
          <w:szCs w:val="24"/>
          <w:lang w:val="en-US"/>
        </w:rPr>
        <w:t>62</w:t>
      </w:r>
      <w:r w:rsidRPr="00A77C56">
        <w:rPr>
          <w:rFonts w:ascii="Arial" w:hAnsi="Arial" w:cs="Arial"/>
          <w:noProof/>
          <w:szCs w:val="24"/>
          <w:lang w:val="en-US"/>
        </w:rPr>
        <w:t>, iii–vi. https://doi.org/10.1016/j.copbio.2020.01.007.</w:t>
      </w:r>
    </w:p>
    <w:p w14:paraId="2B9E0370"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(4) </w:t>
      </w:r>
      <w:r w:rsidRPr="00A77C56">
        <w:rPr>
          <w:rFonts w:ascii="Arial" w:hAnsi="Arial" w:cs="Arial"/>
          <w:noProof/>
          <w:szCs w:val="24"/>
          <w:lang w:val="en-US"/>
        </w:rPr>
        <w:tab/>
        <w:t xml:space="preserve">Lindemann, S. R.; Bernstein, H. C.; Song, H.-S.; Fredrickson, J. K.; Fields, M. W.; Shou, W.; Johnson, D. R.; Beliaev, A. S. Engineering Microbial Consortia for Controllable Outputs. </w:t>
      </w:r>
      <w:r w:rsidRPr="00A77C56">
        <w:rPr>
          <w:rFonts w:ascii="Arial" w:hAnsi="Arial" w:cs="Arial"/>
          <w:i/>
          <w:iCs/>
          <w:noProof/>
          <w:szCs w:val="24"/>
          <w:lang w:val="en-US"/>
        </w:rPr>
        <w:t>ISME J.</w:t>
      </w:r>
      <w:r w:rsidRPr="00A77C56">
        <w:rPr>
          <w:rFonts w:ascii="Arial" w:hAnsi="Arial" w:cs="Arial"/>
          <w:noProof/>
          <w:szCs w:val="24"/>
          <w:lang w:val="en-US"/>
        </w:rPr>
        <w:t xml:space="preserve"> </w:t>
      </w:r>
      <w:r w:rsidRPr="00A77C56">
        <w:rPr>
          <w:rFonts w:ascii="Arial" w:hAnsi="Arial" w:cs="Arial"/>
          <w:b/>
          <w:bCs/>
          <w:noProof/>
          <w:szCs w:val="24"/>
          <w:lang w:val="en-US"/>
        </w:rPr>
        <w:t>2016</w:t>
      </w:r>
      <w:r w:rsidRPr="00A77C56">
        <w:rPr>
          <w:rFonts w:ascii="Arial" w:hAnsi="Arial" w:cs="Arial"/>
          <w:noProof/>
          <w:szCs w:val="24"/>
          <w:lang w:val="en-US"/>
        </w:rPr>
        <w:t xml:space="preserve">, </w:t>
      </w:r>
      <w:r w:rsidRPr="00A77C56">
        <w:rPr>
          <w:rFonts w:ascii="Arial" w:hAnsi="Arial" w:cs="Arial"/>
          <w:i/>
          <w:iCs/>
          <w:noProof/>
          <w:szCs w:val="24"/>
          <w:lang w:val="en-US"/>
        </w:rPr>
        <w:t>10</w:t>
      </w:r>
      <w:r w:rsidRPr="00A77C56">
        <w:rPr>
          <w:rFonts w:ascii="Arial" w:hAnsi="Arial" w:cs="Arial"/>
          <w:noProof/>
          <w:szCs w:val="24"/>
          <w:lang w:val="en-US"/>
        </w:rPr>
        <w:t xml:space="preserve"> (9), 2077–2084. https://doi.org/10.1038/ismej.2016.26.</w:t>
      </w:r>
    </w:p>
    <w:p w14:paraId="67F6A392"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(5) </w:t>
      </w:r>
      <w:r w:rsidRPr="00A77C56">
        <w:rPr>
          <w:rFonts w:ascii="Arial" w:hAnsi="Arial" w:cs="Arial"/>
          <w:noProof/>
          <w:szCs w:val="24"/>
          <w:lang w:val="en-US"/>
        </w:rPr>
        <w:tab/>
        <w:t xml:space="preserve">Sheth, R. U.; Cabral, V.; Chen, S. P.; Wang, H. H. Manipulating Bacterial Communities by in Situ Microbiome Engineering. </w:t>
      </w:r>
      <w:r w:rsidRPr="00A77C56">
        <w:rPr>
          <w:rFonts w:ascii="Arial" w:hAnsi="Arial" w:cs="Arial"/>
          <w:i/>
          <w:iCs/>
          <w:noProof/>
          <w:szCs w:val="24"/>
          <w:lang w:val="en-US"/>
        </w:rPr>
        <w:t>Trends Genet.</w:t>
      </w:r>
      <w:r w:rsidRPr="00A77C56">
        <w:rPr>
          <w:rFonts w:ascii="Arial" w:hAnsi="Arial" w:cs="Arial"/>
          <w:noProof/>
          <w:szCs w:val="24"/>
          <w:lang w:val="en-US"/>
        </w:rPr>
        <w:t xml:space="preserve"> </w:t>
      </w:r>
      <w:r w:rsidRPr="00A77C56">
        <w:rPr>
          <w:rFonts w:ascii="Arial" w:hAnsi="Arial" w:cs="Arial"/>
          <w:b/>
          <w:bCs/>
          <w:noProof/>
          <w:szCs w:val="24"/>
          <w:lang w:val="en-US"/>
        </w:rPr>
        <w:t>2016</w:t>
      </w:r>
      <w:r w:rsidRPr="00A77C56">
        <w:rPr>
          <w:rFonts w:ascii="Arial" w:hAnsi="Arial" w:cs="Arial"/>
          <w:noProof/>
          <w:szCs w:val="24"/>
          <w:lang w:val="en-US"/>
        </w:rPr>
        <w:t xml:space="preserve">, </w:t>
      </w:r>
      <w:r w:rsidRPr="00A77C56">
        <w:rPr>
          <w:rFonts w:ascii="Arial" w:hAnsi="Arial" w:cs="Arial"/>
          <w:i/>
          <w:iCs/>
          <w:noProof/>
          <w:szCs w:val="24"/>
          <w:lang w:val="en-US"/>
        </w:rPr>
        <w:t>32</w:t>
      </w:r>
      <w:r w:rsidRPr="00A77C56">
        <w:rPr>
          <w:rFonts w:ascii="Arial" w:hAnsi="Arial" w:cs="Arial"/>
          <w:noProof/>
          <w:szCs w:val="24"/>
          <w:lang w:val="en-US"/>
        </w:rPr>
        <w:t xml:space="preserve"> (4), 189–200. https://doi.org/10.1016/j.tig.2016.01.005.</w:t>
      </w:r>
    </w:p>
    <w:p w14:paraId="7BEE079B"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lastRenderedPageBreak/>
        <w:t xml:space="preserve">(6) </w:t>
      </w:r>
      <w:r w:rsidRPr="00A77C56">
        <w:rPr>
          <w:rFonts w:ascii="Arial" w:hAnsi="Arial" w:cs="Arial"/>
          <w:noProof/>
          <w:szCs w:val="24"/>
          <w:lang w:val="en-US"/>
        </w:rPr>
        <w:tab/>
        <w:t xml:space="preserve">Brenner, K.; You, L.; Arnold, F. H. Engineering Microbial Consortia: A New Frontier in Synthetic Biology. </w:t>
      </w:r>
      <w:r w:rsidRPr="00A77C56">
        <w:rPr>
          <w:rFonts w:ascii="Arial" w:hAnsi="Arial" w:cs="Arial"/>
          <w:i/>
          <w:iCs/>
          <w:noProof/>
          <w:szCs w:val="24"/>
          <w:lang w:val="en-US"/>
        </w:rPr>
        <w:t>Trends Biotechnol</w:t>
      </w:r>
      <w:r w:rsidRPr="00A77C56">
        <w:rPr>
          <w:rFonts w:ascii="Arial" w:hAnsi="Arial" w:cs="Arial"/>
          <w:noProof/>
          <w:szCs w:val="24"/>
          <w:lang w:val="en-US"/>
        </w:rPr>
        <w:t xml:space="preserve"> </w:t>
      </w:r>
      <w:r w:rsidRPr="00A77C56">
        <w:rPr>
          <w:rFonts w:ascii="Arial" w:hAnsi="Arial" w:cs="Arial"/>
          <w:b/>
          <w:bCs/>
          <w:noProof/>
          <w:szCs w:val="24"/>
          <w:lang w:val="en-US"/>
        </w:rPr>
        <w:t>2008</w:t>
      </w:r>
      <w:r w:rsidRPr="00A77C56">
        <w:rPr>
          <w:rFonts w:ascii="Arial" w:hAnsi="Arial" w:cs="Arial"/>
          <w:noProof/>
          <w:szCs w:val="24"/>
          <w:lang w:val="en-US"/>
        </w:rPr>
        <w:t xml:space="preserve">, </w:t>
      </w:r>
      <w:r w:rsidRPr="00A77C56">
        <w:rPr>
          <w:rFonts w:ascii="Arial" w:hAnsi="Arial" w:cs="Arial"/>
          <w:i/>
          <w:iCs/>
          <w:noProof/>
          <w:szCs w:val="24"/>
          <w:lang w:val="en-US"/>
        </w:rPr>
        <w:t>26</w:t>
      </w:r>
      <w:r w:rsidRPr="00A77C56">
        <w:rPr>
          <w:rFonts w:ascii="Arial" w:hAnsi="Arial" w:cs="Arial"/>
          <w:noProof/>
          <w:szCs w:val="24"/>
          <w:lang w:val="en-US"/>
        </w:rPr>
        <w:t xml:space="preserve"> (9), 483–489. https://doi.org/10.1016/j.tibtech.2008.05.004.</w:t>
      </w:r>
    </w:p>
    <w:p w14:paraId="75A6B0E7"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(7) </w:t>
      </w:r>
      <w:r w:rsidRPr="00A77C56">
        <w:rPr>
          <w:rFonts w:ascii="Arial" w:hAnsi="Arial" w:cs="Arial"/>
          <w:noProof/>
          <w:szCs w:val="24"/>
          <w:lang w:val="en-US"/>
        </w:rPr>
        <w:tab/>
        <w:t xml:space="preserve">Saini, M.; Chiang, C. J.; Li, S. Y.; Chao, Y. P. Production of Biobutanol from Cellulose Hydrolysate by the Escherichia Coli Co-Culture System. </w:t>
      </w:r>
      <w:r w:rsidRPr="00A77C56">
        <w:rPr>
          <w:rFonts w:ascii="Arial" w:hAnsi="Arial" w:cs="Arial"/>
          <w:i/>
          <w:iCs/>
          <w:noProof/>
          <w:szCs w:val="24"/>
          <w:lang w:val="en-US"/>
        </w:rPr>
        <w:t>FEMS Microbiol. Lett.</w:t>
      </w:r>
      <w:r w:rsidRPr="00A77C56">
        <w:rPr>
          <w:rFonts w:ascii="Arial" w:hAnsi="Arial" w:cs="Arial"/>
          <w:noProof/>
          <w:szCs w:val="24"/>
          <w:lang w:val="en-US"/>
        </w:rPr>
        <w:t xml:space="preserve"> </w:t>
      </w:r>
      <w:r w:rsidRPr="00A77C56">
        <w:rPr>
          <w:rFonts w:ascii="Arial" w:hAnsi="Arial" w:cs="Arial"/>
          <w:b/>
          <w:bCs/>
          <w:noProof/>
          <w:szCs w:val="24"/>
          <w:lang w:val="en-US"/>
        </w:rPr>
        <w:t>2016</w:t>
      </w:r>
      <w:r w:rsidRPr="00A77C56">
        <w:rPr>
          <w:rFonts w:ascii="Arial" w:hAnsi="Arial" w:cs="Arial"/>
          <w:noProof/>
          <w:szCs w:val="24"/>
          <w:lang w:val="en-US"/>
        </w:rPr>
        <w:t xml:space="preserve">, </w:t>
      </w:r>
      <w:r w:rsidRPr="00A77C56">
        <w:rPr>
          <w:rFonts w:ascii="Arial" w:hAnsi="Arial" w:cs="Arial"/>
          <w:i/>
          <w:iCs/>
          <w:noProof/>
          <w:szCs w:val="24"/>
          <w:lang w:val="en-US"/>
        </w:rPr>
        <w:t>363</w:t>
      </w:r>
      <w:r w:rsidRPr="00A77C56">
        <w:rPr>
          <w:rFonts w:ascii="Arial" w:hAnsi="Arial" w:cs="Arial"/>
          <w:noProof/>
          <w:szCs w:val="24"/>
          <w:lang w:val="en-US"/>
        </w:rPr>
        <w:t xml:space="preserve"> (4), 1–5. https://doi.org/10.1093/femsle/fnw008.</w:t>
      </w:r>
    </w:p>
    <w:p w14:paraId="16DD87D4"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(8) </w:t>
      </w:r>
      <w:r w:rsidRPr="00A77C56">
        <w:rPr>
          <w:rFonts w:ascii="Arial" w:hAnsi="Arial" w:cs="Arial"/>
          <w:noProof/>
          <w:szCs w:val="24"/>
          <w:lang w:val="en-US"/>
        </w:rPr>
        <w:tab/>
        <w:t xml:space="preserve">Kim, H. J.; Boedicker, J. Q.; Choi, J. W.; Ismagilov, R. F. Defined Spatial Structure Stabilizes a Synthetic Multispecies Bacterial Community. </w:t>
      </w:r>
      <w:r w:rsidRPr="00A77C56">
        <w:rPr>
          <w:rFonts w:ascii="Arial" w:hAnsi="Arial" w:cs="Arial"/>
          <w:i/>
          <w:iCs/>
          <w:noProof/>
          <w:szCs w:val="24"/>
          <w:lang w:val="en-US"/>
        </w:rPr>
        <w:t>Proc. Natl. Acad. Sci.</w:t>
      </w:r>
      <w:r w:rsidRPr="00A77C56">
        <w:rPr>
          <w:rFonts w:ascii="Arial" w:hAnsi="Arial" w:cs="Arial"/>
          <w:noProof/>
          <w:szCs w:val="24"/>
          <w:lang w:val="en-US"/>
        </w:rPr>
        <w:t xml:space="preserve"> </w:t>
      </w:r>
      <w:r w:rsidRPr="00A77C56">
        <w:rPr>
          <w:rFonts w:ascii="Arial" w:hAnsi="Arial" w:cs="Arial"/>
          <w:b/>
          <w:bCs/>
          <w:noProof/>
          <w:szCs w:val="24"/>
          <w:lang w:val="en-US"/>
        </w:rPr>
        <w:t>2008</w:t>
      </w:r>
      <w:r w:rsidRPr="00A77C56">
        <w:rPr>
          <w:rFonts w:ascii="Arial" w:hAnsi="Arial" w:cs="Arial"/>
          <w:noProof/>
          <w:szCs w:val="24"/>
          <w:lang w:val="en-US"/>
        </w:rPr>
        <w:t xml:space="preserve">, </w:t>
      </w:r>
      <w:r w:rsidRPr="00A77C56">
        <w:rPr>
          <w:rFonts w:ascii="Arial" w:hAnsi="Arial" w:cs="Arial"/>
          <w:i/>
          <w:iCs/>
          <w:noProof/>
          <w:szCs w:val="24"/>
          <w:lang w:val="en-US"/>
        </w:rPr>
        <w:t>105</w:t>
      </w:r>
      <w:r w:rsidRPr="00A77C56">
        <w:rPr>
          <w:rFonts w:ascii="Arial" w:hAnsi="Arial" w:cs="Arial"/>
          <w:noProof/>
          <w:szCs w:val="24"/>
          <w:lang w:val="en-US"/>
        </w:rPr>
        <w:t xml:space="preserve"> (47), 18188–18193. https://doi.org/10.1073/pnas.0807935105.</w:t>
      </w:r>
    </w:p>
    <w:p w14:paraId="4BB097DF"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(9) </w:t>
      </w:r>
      <w:r w:rsidRPr="00A77C56">
        <w:rPr>
          <w:rFonts w:ascii="Arial" w:hAnsi="Arial" w:cs="Arial"/>
          <w:noProof/>
          <w:szCs w:val="24"/>
          <w:lang w:val="en-US"/>
        </w:rPr>
        <w:tab/>
        <w:t xml:space="preserve">Liu, Z.; Cichocki, N.; Bonk, F.; Günther, S.; Schattenberg, F.; Harms, H.; Centler, F.; Müller, S. Ecological Stability Properties of Microbial Communities Assessed by Flow Cytometry. </w:t>
      </w:r>
      <w:r w:rsidRPr="00A77C56">
        <w:rPr>
          <w:rFonts w:ascii="Arial" w:hAnsi="Arial" w:cs="Arial"/>
          <w:i/>
          <w:iCs/>
          <w:noProof/>
          <w:szCs w:val="24"/>
          <w:lang w:val="en-US"/>
        </w:rPr>
        <w:t>mSphere</w:t>
      </w:r>
      <w:r w:rsidRPr="00A77C56">
        <w:rPr>
          <w:rFonts w:ascii="Arial" w:hAnsi="Arial" w:cs="Arial"/>
          <w:noProof/>
          <w:szCs w:val="24"/>
          <w:lang w:val="en-US"/>
        </w:rPr>
        <w:t xml:space="preserve"> </w:t>
      </w:r>
      <w:r w:rsidRPr="00A77C56">
        <w:rPr>
          <w:rFonts w:ascii="Arial" w:hAnsi="Arial" w:cs="Arial"/>
          <w:b/>
          <w:bCs/>
          <w:noProof/>
          <w:szCs w:val="24"/>
          <w:lang w:val="en-US"/>
        </w:rPr>
        <w:t>2018</w:t>
      </w:r>
      <w:r w:rsidRPr="00A77C56">
        <w:rPr>
          <w:rFonts w:ascii="Arial" w:hAnsi="Arial" w:cs="Arial"/>
          <w:noProof/>
          <w:szCs w:val="24"/>
          <w:lang w:val="en-US"/>
        </w:rPr>
        <w:t xml:space="preserve">, </w:t>
      </w:r>
      <w:r w:rsidRPr="00A77C56">
        <w:rPr>
          <w:rFonts w:ascii="Arial" w:hAnsi="Arial" w:cs="Arial"/>
          <w:i/>
          <w:iCs/>
          <w:noProof/>
          <w:szCs w:val="24"/>
          <w:lang w:val="en-US"/>
        </w:rPr>
        <w:t>3</w:t>
      </w:r>
      <w:r w:rsidRPr="00A77C56">
        <w:rPr>
          <w:rFonts w:ascii="Arial" w:hAnsi="Arial" w:cs="Arial"/>
          <w:noProof/>
          <w:szCs w:val="24"/>
          <w:lang w:val="en-US"/>
        </w:rPr>
        <w:t xml:space="preserve"> (1), 1–13. https://doi.org/10.1128/mSphere.00564-17.</w:t>
      </w:r>
    </w:p>
    <w:p w14:paraId="50BF2745"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(10) </w:t>
      </w:r>
      <w:r w:rsidRPr="00A77C56">
        <w:rPr>
          <w:rFonts w:ascii="Arial" w:hAnsi="Arial" w:cs="Arial"/>
          <w:noProof/>
          <w:szCs w:val="24"/>
          <w:lang w:val="en-US"/>
        </w:rPr>
        <w:tab/>
        <w:t xml:space="preserve">Jiménez, D. J.; de Lima Brossi, M. J.; Schückel, J.; Kračun, S. K.; Willats, W. G. T.; van Elsas, J. D. Characterization of Three Plant Biomass-Degrading Microbial Consortia by Metagenomics- and Metasecretomics-Based Approaches. </w:t>
      </w:r>
      <w:r w:rsidRPr="00A77C56">
        <w:rPr>
          <w:rFonts w:ascii="Arial" w:hAnsi="Arial" w:cs="Arial"/>
          <w:i/>
          <w:iCs/>
          <w:noProof/>
          <w:szCs w:val="24"/>
          <w:lang w:val="en-US"/>
        </w:rPr>
        <w:t>Appl. Microbiol. Biotechnol.</w:t>
      </w:r>
      <w:r w:rsidRPr="00A77C56">
        <w:rPr>
          <w:rFonts w:ascii="Arial" w:hAnsi="Arial" w:cs="Arial"/>
          <w:noProof/>
          <w:szCs w:val="24"/>
          <w:lang w:val="en-US"/>
        </w:rPr>
        <w:t xml:space="preserve"> </w:t>
      </w:r>
      <w:r w:rsidRPr="00A77C56">
        <w:rPr>
          <w:rFonts w:ascii="Arial" w:hAnsi="Arial" w:cs="Arial"/>
          <w:b/>
          <w:bCs/>
          <w:noProof/>
          <w:szCs w:val="24"/>
          <w:lang w:val="en-US"/>
        </w:rPr>
        <w:t>2016</w:t>
      </w:r>
      <w:r w:rsidRPr="00A77C56">
        <w:rPr>
          <w:rFonts w:ascii="Arial" w:hAnsi="Arial" w:cs="Arial"/>
          <w:noProof/>
          <w:szCs w:val="24"/>
          <w:lang w:val="en-US"/>
        </w:rPr>
        <w:t xml:space="preserve">, </w:t>
      </w:r>
      <w:r w:rsidRPr="00A77C56">
        <w:rPr>
          <w:rFonts w:ascii="Arial" w:hAnsi="Arial" w:cs="Arial"/>
          <w:i/>
          <w:iCs/>
          <w:noProof/>
          <w:szCs w:val="24"/>
          <w:lang w:val="en-US"/>
        </w:rPr>
        <w:t>100</w:t>
      </w:r>
      <w:r w:rsidRPr="00A77C56">
        <w:rPr>
          <w:rFonts w:ascii="Arial" w:hAnsi="Arial" w:cs="Arial"/>
          <w:noProof/>
          <w:szCs w:val="24"/>
          <w:lang w:val="en-US"/>
        </w:rPr>
        <w:t xml:space="preserve"> (24), 10463–10477. https://doi.org/10.1007/s00253-016-7713-3.</w:t>
      </w:r>
    </w:p>
    <w:p w14:paraId="50525310"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(11) </w:t>
      </w:r>
      <w:r w:rsidRPr="00A77C56">
        <w:rPr>
          <w:rFonts w:ascii="Arial" w:hAnsi="Arial" w:cs="Arial"/>
          <w:noProof/>
          <w:szCs w:val="24"/>
          <w:lang w:val="en-US"/>
        </w:rPr>
        <w:tab/>
        <w:t xml:space="preserve">Co, A. D.; van Vliet, S.; Kiviet, D. J.; Schlegel, S.; Ackermann, M. Short-Range Interactions Govern the Dynamics and Functions of Microbial Communities. </w:t>
      </w:r>
      <w:r w:rsidRPr="00A77C56">
        <w:rPr>
          <w:rFonts w:ascii="Arial" w:hAnsi="Arial" w:cs="Arial"/>
          <w:i/>
          <w:iCs/>
          <w:noProof/>
          <w:szCs w:val="24"/>
          <w:lang w:val="en-US"/>
        </w:rPr>
        <w:t>Nat. Ecol. Evol.</w:t>
      </w:r>
      <w:r w:rsidRPr="00A77C56">
        <w:rPr>
          <w:rFonts w:ascii="Arial" w:hAnsi="Arial" w:cs="Arial"/>
          <w:noProof/>
          <w:szCs w:val="24"/>
          <w:lang w:val="en-US"/>
        </w:rPr>
        <w:t xml:space="preserve"> </w:t>
      </w:r>
      <w:r w:rsidRPr="00A77C56">
        <w:rPr>
          <w:rFonts w:ascii="Arial" w:hAnsi="Arial" w:cs="Arial"/>
          <w:b/>
          <w:bCs/>
          <w:noProof/>
          <w:szCs w:val="24"/>
          <w:lang w:val="en-US"/>
        </w:rPr>
        <w:t>2020</w:t>
      </w:r>
      <w:r w:rsidRPr="00A77C56">
        <w:rPr>
          <w:rFonts w:ascii="Arial" w:hAnsi="Arial" w:cs="Arial"/>
          <w:noProof/>
          <w:szCs w:val="24"/>
          <w:lang w:val="en-US"/>
        </w:rPr>
        <w:t>. https://doi.org/10.1038/s41559-019-1080-2.</w:t>
      </w:r>
    </w:p>
    <w:p w14:paraId="01497438"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(12) </w:t>
      </w:r>
      <w:r w:rsidRPr="00A77C56">
        <w:rPr>
          <w:rFonts w:ascii="Arial" w:hAnsi="Arial" w:cs="Arial"/>
          <w:noProof/>
          <w:szCs w:val="24"/>
          <w:lang w:val="en-US"/>
        </w:rPr>
        <w:tab/>
        <w:t xml:space="preserve">van Vliet, S.; Dal Co, A.; Winkler, A. R.; Spriewald, S.; Stecher, B.; Ackermann, M. Spatially Correlated Gene Expression in Bacterial Groups: The Role of Lineage History, Spatial Gradients, and Cell-Cell Interactions. </w:t>
      </w:r>
      <w:r w:rsidRPr="00A77C56">
        <w:rPr>
          <w:rFonts w:ascii="Arial" w:hAnsi="Arial" w:cs="Arial"/>
          <w:i/>
          <w:iCs/>
          <w:noProof/>
          <w:szCs w:val="24"/>
          <w:lang w:val="en-US"/>
        </w:rPr>
        <w:t>Cell Syst.</w:t>
      </w:r>
      <w:r w:rsidRPr="00A77C56">
        <w:rPr>
          <w:rFonts w:ascii="Arial" w:hAnsi="Arial" w:cs="Arial"/>
          <w:noProof/>
          <w:szCs w:val="24"/>
          <w:lang w:val="en-US"/>
        </w:rPr>
        <w:t xml:space="preserve"> </w:t>
      </w:r>
      <w:r w:rsidRPr="00A77C56">
        <w:rPr>
          <w:rFonts w:ascii="Arial" w:hAnsi="Arial" w:cs="Arial"/>
          <w:b/>
          <w:bCs/>
          <w:noProof/>
          <w:szCs w:val="24"/>
          <w:lang w:val="en-US"/>
        </w:rPr>
        <w:t>2018</w:t>
      </w:r>
      <w:r w:rsidRPr="00A77C56">
        <w:rPr>
          <w:rFonts w:ascii="Arial" w:hAnsi="Arial" w:cs="Arial"/>
          <w:noProof/>
          <w:szCs w:val="24"/>
          <w:lang w:val="en-US"/>
        </w:rPr>
        <w:t xml:space="preserve">, </w:t>
      </w:r>
      <w:r w:rsidRPr="00A77C56">
        <w:rPr>
          <w:rFonts w:ascii="Arial" w:hAnsi="Arial" w:cs="Arial"/>
          <w:i/>
          <w:iCs/>
          <w:noProof/>
          <w:szCs w:val="24"/>
          <w:lang w:val="en-US"/>
        </w:rPr>
        <w:t>6</w:t>
      </w:r>
      <w:r w:rsidRPr="00A77C56">
        <w:rPr>
          <w:rFonts w:ascii="Arial" w:hAnsi="Arial" w:cs="Arial"/>
          <w:noProof/>
          <w:szCs w:val="24"/>
          <w:lang w:val="en-US"/>
        </w:rPr>
        <w:t xml:space="preserve"> (4), 496-507.e6. https://doi.org/10.1016/j.cels.2018.03.009.</w:t>
      </w:r>
    </w:p>
    <w:p w14:paraId="79FC2EEE"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(13) </w:t>
      </w:r>
      <w:r w:rsidRPr="00A77C56">
        <w:rPr>
          <w:rFonts w:ascii="Arial" w:hAnsi="Arial" w:cs="Arial"/>
          <w:noProof/>
          <w:szCs w:val="24"/>
          <w:lang w:val="en-US"/>
        </w:rPr>
        <w:tab/>
        <w:t xml:space="preserve">Coluccio, M. L.; Perozziello, G.; Malara, N.; Parrotta, E.; Zhang, P.; Gentile, F.; Limongi, T.; Raj, P. M.; Cuda, G.; Candeloro, P.; Di Fabrizio, E. Microfluidic Platforms for Cell Cultures and Investigations. </w:t>
      </w:r>
      <w:r w:rsidRPr="00A77C56">
        <w:rPr>
          <w:rFonts w:ascii="Arial" w:hAnsi="Arial" w:cs="Arial"/>
          <w:i/>
          <w:iCs/>
          <w:noProof/>
          <w:szCs w:val="24"/>
          <w:lang w:val="en-US"/>
        </w:rPr>
        <w:t>Microelectron. Eng.</w:t>
      </w:r>
      <w:r w:rsidRPr="00A77C56">
        <w:rPr>
          <w:rFonts w:ascii="Arial" w:hAnsi="Arial" w:cs="Arial"/>
          <w:noProof/>
          <w:szCs w:val="24"/>
          <w:lang w:val="en-US"/>
        </w:rPr>
        <w:t xml:space="preserve"> </w:t>
      </w:r>
      <w:r w:rsidRPr="00A77C56">
        <w:rPr>
          <w:rFonts w:ascii="Arial" w:hAnsi="Arial" w:cs="Arial"/>
          <w:b/>
          <w:bCs/>
          <w:noProof/>
          <w:szCs w:val="24"/>
          <w:lang w:val="en-US"/>
        </w:rPr>
        <w:t>2019</w:t>
      </w:r>
      <w:r w:rsidRPr="00A77C56">
        <w:rPr>
          <w:rFonts w:ascii="Arial" w:hAnsi="Arial" w:cs="Arial"/>
          <w:noProof/>
          <w:szCs w:val="24"/>
          <w:lang w:val="en-US"/>
        </w:rPr>
        <w:t xml:space="preserve">, </w:t>
      </w:r>
      <w:r w:rsidRPr="00A77C56">
        <w:rPr>
          <w:rFonts w:ascii="Arial" w:hAnsi="Arial" w:cs="Arial"/>
          <w:i/>
          <w:iCs/>
          <w:noProof/>
          <w:szCs w:val="24"/>
          <w:lang w:val="en-US"/>
        </w:rPr>
        <w:t>208</w:t>
      </w:r>
      <w:r w:rsidRPr="00A77C56">
        <w:rPr>
          <w:rFonts w:ascii="Arial" w:hAnsi="Arial" w:cs="Arial"/>
          <w:noProof/>
          <w:szCs w:val="24"/>
          <w:lang w:val="en-US"/>
        </w:rPr>
        <w:t xml:space="preserve"> (January), 14–28. https://doi.org/10.1016/j.mee.2019.01.004.</w:t>
      </w:r>
    </w:p>
    <w:p w14:paraId="5AA14F34"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(14) </w:t>
      </w:r>
      <w:r w:rsidRPr="00A77C56">
        <w:rPr>
          <w:rFonts w:ascii="Arial" w:hAnsi="Arial" w:cs="Arial"/>
          <w:noProof/>
          <w:szCs w:val="24"/>
          <w:lang w:val="en-US"/>
        </w:rPr>
        <w:tab/>
        <w:t xml:space="preserve">Lecault, V.; White, A. K.; Singhal, A.; Hansen, C. L. Microfluidic Single Cell Analysis: From Promise to Practice. </w:t>
      </w:r>
      <w:r w:rsidRPr="00A77C56">
        <w:rPr>
          <w:rFonts w:ascii="Arial" w:hAnsi="Arial" w:cs="Arial"/>
          <w:i/>
          <w:iCs/>
          <w:noProof/>
          <w:szCs w:val="24"/>
          <w:lang w:val="en-US"/>
        </w:rPr>
        <w:t>Curr. Opin. Chem. Biol.</w:t>
      </w:r>
      <w:r w:rsidRPr="00A77C56">
        <w:rPr>
          <w:rFonts w:ascii="Arial" w:hAnsi="Arial" w:cs="Arial"/>
          <w:noProof/>
          <w:szCs w:val="24"/>
          <w:lang w:val="en-US"/>
        </w:rPr>
        <w:t xml:space="preserve"> </w:t>
      </w:r>
      <w:r w:rsidRPr="00A77C56">
        <w:rPr>
          <w:rFonts w:ascii="Arial" w:hAnsi="Arial" w:cs="Arial"/>
          <w:b/>
          <w:bCs/>
          <w:noProof/>
          <w:szCs w:val="24"/>
          <w:lang w:val="en-US"/>
        </w:rPr>
        <w:t>2012</w:t>
      </w:r>
      <w:r w:rsidRPr="00A77C56">
        <w:rPr>
          <w:rFonts w:ascii="Arial" w:hAnsi="Arial" w:cs="Arial"/>
          <w:noProof/>
          <w:szCs w:val="24"/>
          <w:lang w:val="en-US"/>
        </w:rPr>
        <w:t xml:space="preserve">, </w:t>
      </w:r>
      <w:r w:rsidRPr="00A77C56">
        <w:rPr>
          <w:rFonts w:ascii="Arial" w:hAnsi="Arial" w:cs="Arial"/>
          <w:i/>
          <w:iCs/>
          <w:noProof/>
          <w:szCs w:val="24"/>
          <w:lang w:val="en-US"/>
        </w:rPr>
        <w:t>16</w:t>
      </w:r>
      <w:r w:rsidRPr="00A77C56">
        <w:rPr>
          <w:rFonts w:ascii="Arial" w:hAnsi="Arial" w:cs="Arial"/>
          <w:noProof/>
          <w:szCs w:val="24"/>
          <w:lang w:val="en-US"/>
        </w:rPr>
        <w:t xml:space="preserve"> (3–4), 381–390. https://doi.org/10.1016/j.cbpa.2012.03.022.</w:t>
      </w:r>
    </w:p>
    <w:p w14:paraId="79687519"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(15) </w:t>
      </w:r>
      <w:r w:rsidRPr="00A77C56">
        <w:rPr>
          <w:rFonts w:ascii="Arial" w:hAnsi="Arial" w:cs="Arial"/>
          <w:noProof/>
          <w:szCs w:val="24"/>
          <w:lang w:val="en-US"/>
        </w:rPr>
        <w:tab/>
        <w:t xml:space="preserve">Long, Z.; Nugent, E.; Javer, A.; Cicuta, P.; Sclavi, B.; Cosentino Lagomarsino, M.; Dorfman, K. D. Microfluidic Chemostat for Measuring Single Cell Dynamics in Bacteria. </w:t>
      </w:r>
      <w:r w:rsidRPr="00A77C56">
        <w:rPr>
          <w:rFonts w:ascii="Arial" w:hAnsi="Arial" w:cs="Arial"/>
          <w:i/>
          <w:iCs/>
          <w:noProof/>
          <w:szCs w:val="24"/>
          <w:lang w:val="en-US"/>
        </w:rPr>
        <w:t>Lab Chip</w:t>
      </w:r>
      <w:r w:rsidRPr="00A77C56">
        <w:rPr>
          <w:rFonts w:ascii="Arial" w:hAnsi="Arial" w:cs="Arial"/>
          <w:noProof/>
          <w:szCs w:val="24"/>
          <w:lang w:val="en-US"/>
        </w:rPr>
        <w:t xml:space="preserve"> </w:t>
      </w:r>
      <w:r w:rsidRPr="00A77C56">
        <w:rPr>
          <w:rFonts w:ascii="Arial" w:hAnsi="Arial" w:cs="Arial"/>
          <w:b/>
          <w:bCs/>
          <w:noProof/>
          <w:szCs w:val="24"/>
          <w:lang w:val="en-US"/>
        </w:rPr>
        <w:t>2013</w:t>
      </w:r>
      <w:r w:rsidRPr="00A77C56">
        <w:rPr>
          <w:rFonts w:ascii="Arial" w:hAnsi="Arial" w:cs="Arial"/>
          <w:noProof/>
          <w:szCs w:val="24"/>
          <w:lang w:val="en-US"/>
        </w:rPr>
        <w:t xml:space="preserve">, </w:t>
      </w:r>
      <w:r w:rsidRPr="00A77C56">
        <w:rPr>
          <w:rFonts w:ascii="Arial" w:hAnsi="Arial" w:cs="Arial"/>
          <w:i/>
          <w:iCs/>
          <w:noProof/>
          <w:szCs w:val="24"/>
          <w:lang w:val="en-US"/>
        </w:rPr>
        <w:t>13</w:t>
      </w:r>
      <w:r w:rsidRPr="00A77C56">
        <w:rPr>
          <w:rFonts w:ascii="Arial" w:hAnsi="Arial" w:cs="Arial"/>
          <w:noProof/>
          <w:szCs w:val="24"/>
          <w:lang w:val="en-US"/>
        </w:rPr>
        <w:t xml:space="preserve"> (5), 947–954. https://doi.org/10.1039/c2lc41196b.</w:t>
      </w:r>
    </w:p>
    <w:p w14:paraId="37613FE9"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lastRenderedPageBreak/>
        <w:t xml:space="preserve">(16) </w:t>
      </w:r>
      <w:r w:rsidRPr="00A77C56">
        <w:rPr>
          <w:rFonts w:ascii="Arial" w:hAnsi="Arial" w:cs="Arial"/>
          <w:noProof/>
          <w:szCs w:val="24"/>
          <w:lang w:val="en-US"/>
        </w:rPr>
        <w:tab/>
        <w:t xml:space="preserve">Alnahhas, R. N.; Winkle, J. J.; Hirning, A. J.; Karamched, B.; Ott, W.; Josić, K.; Bennett, M. R. Spatiotemporal Dynamics of Synthetic Microbial Consortia in Microfluidic Devices. </w:t>
      </w:r>
      <w:r w:rsidRPr="00A77C56">
        <w:rPr>
          <w:rFonts w:ascii="Arial" w:hAnsi="Arial" w:cs="Arial"/>
          <w:i/>
          <w:iCs/>
          <w:noProof/>
          <w:szCs w:val="24"/>
          <w:lang w:val="en-US"/>
        </w:rPr>
        <w:t>ACS Synth. Biol.</w:t>
      </w:r>
      <w:r w:rsidRPr="00A77C56">
        <w:rPr>
          <w:rFonts w:ascii="Arial" w:hAnsi="Arial" w:cs="Arial"/>
          <w:noProof/>
          <w:szCs w:val="24"/>
          <w:lang w:val="en-US"/>
        </w:rPr>
        <w:t xml:space="preserve"> </w:t>
      </w:r>
      <w:r w:rsidRPr="00A77C56">
        <w:rPr>
          <w:rFonts w:ascii="Arial" w:hAnsi="Arial" w:cs="Arial"/>
          <w:b/>
          <w:bCs/>
          <w:noProof/>
          <w:szCs w:val="24"/>
          <w:lang w:val="en-US"/>
        </w:rPr>
        <w:t>2019</w:t>
      </w:r>
      <w:r w:rsidRPr="00A77C56">
        <w:rPr>
          <w:rFonts w:ascii="Arial" w:hAnsi="Arial" w:cs="Arial"/>
          <w:noProof/>
          <w:szCs w:val="24"/>
          <w:lang w:val="en-US"/>
        </w:rPr>
        <w:t xml:space="preserve">, </w:t>
      </w:r>
      <w:r w:rsidRPr="00A77C56">
        <w:rPr>
          <w:rFonts w:ascii="Arial" w:hAnsi="Arial" w:cs="Arial"/>
          <w:i/>
          <w:iCs/>
          <w:noProof/>
          <w:szCs w:val="24"/>
          <w:lang w:val="en-US"/>
        </w:rPr>
        <w:t>8</w:t>
      </w:r>
      <w:r w:rsidRPr="00A77C56">
        <w:rPr>
          <w:rFonts w:ascii="Arial" w:hAnsi="Arial" w:cs="Arial"/>
          <w:noProof/>
          <w:szCs w:val="24"/>
          <w:lang w:val="en-US"/>
        </w:rPr>
        <w:t xml:space="preserve"> (9), 2051–2058. https://doi.org/10.1021/acssynbio.9b00146.</w:t>
      </w:r>
    </w:p>
    <w:p w14:paraId="28DDA2FD"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(17) </w:t>
      </w:r>
      <w:r w:rsidRPr="00A77C56">
        <w:rPr>
          <w:rFonts w:ascii="Arial" w:hAnsi="Arial" w:cs="Arial"/>
          <w:noProof/>
          <w:szCs w:val="24"/>
          <w:lang w:val="en-US"/>
        </w:rPr>
        <w:tab/>
        <w:t xml:space="preserve">Burmeister, A.; Hilgers, F.; Langner, A.; Westerwalbesloh, C.; Kerkhoff, Y.; Tenhaef, N.; Drepper, T.; Kohlheyer, D.; von Lieres, E.; Noack, S.; Grünberger, A. A Microfluidic Co-Cultivation Platform to Investigate Microbial Interactions at Defined Microenvironments. </w:t>
      </w:r>
      <w:r w:rsidRPr="00A77C56">
        <w:rPr>
          <w:rFonts w:ascii="Arial" w:hAnsi="Arial" w:cs="Arial"/>
          <w:i/>
          <w:iCs/>
          <w:noProof/>
          <w:szCs w:val="24"/>
          <w:lang w:val="en-US"/>
        </w:rPr>
        <w:t>Lab Chip</w:t>
      </w:r>
      <w:r w:rsidRPr="00A77C56">
        <w:rPr>
          <w:rFonts w:ascii="Arial" w:hAnsi="Arial" w:cs="Arial"/>
          <w:noProof/>
          <w:szCs w:val="24"/>
          <w:lang w:val="en-US"/>
        </w:rPr>
        <w:t xml:space="preserve"> </w:t>
      </w:r>
      <w:r w:rsidRPr="00A77C56">
        <w:rPr>
          <w:rFonts w:ascii="Arial" w:hAnsi="Arial" w:cs="Arial"/>
          <w:b/>
          <w:bCs/>
          <w:noProof/>
          <w:szCs w:val="24"/>
          <w:lang w:val="en-US"/>
        </w:rPr>
        <w:t>2019</w:t>
      </w:r>
      <w:r w:rsidRPr="00A77C56">
        <w:rPr>
          <w:rFonts w:ascii="Arial" w:hAnsi="Arial" w:cs="Arial"/>
          <w:noProof/>
          <w:szCs w:val="24"/>
          <w:lang w:val="en-US"/>
        </w:rPr>
        <w:t xml:space="preserve">, </w:t>
      </w:r>
      <w:r w:rsidRPr="00A77C56">
        <w:rPr>
          <w:rFonts w:ascii="Arial" w:hAnsi="Arial" w:cs="Arial"/>
          <w:i/>
          <w:iCs/>
          <w:noProof/>
          <w:szCs w:val="24"/>
          <w:lang w:val="en-US"/>
        </w:rPr>
        <w:t>19</w:t>
      </w:r>
      <w:r w:rsidRPr="00A77C56">
        <w:rPr>
          <w:rFonts w:ascii="Arial" w:hAnsi="Arial" w:cs="Arial"/>
          <w:noProof/>
          <w:szCs w:val="24"/>
          <w:lang w:val="en-US"/>
        </w:rPr>
        <w:t xml:space="preserve"> (1), 98–110. https://doi.org/10.1039/C8LC00977E.</w:t>
      </w:r>
    </w:p>
    <w:p w14:paraId="59C2997A"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(18) </w:t>
      </w:r>
      <w:r w:rsidRPr="00A77C56">
        <w:rPr>
          <w:rFonts w:ascii="Arial" w:hAnsi="Arial" w:cs="Arial"/>
          <w:noProof/>
          <w:szCs w:val="24"/>
          <w:lang w:val="en-US"/>
        </w:rPr>
        <w:tab/>
        <w:t xml:space="preserve">Chen, Y.; Kim, J. K.; Hirning, A. J.; Josi, K.; Bennett, M. R. Emergent Genetic Oscillations in a Synthetic Microbial Consortium. </w:t>
      </w:r>
      <w:r w:rsidRPr="00A77C56">
        <w:rPr>
          <w:rFonts w:ascii="Arial" w:hAnsi="Arial" w:cs="Arial"/>
          <w:i/>
          <w:iCs/>
          <w:noProof/>
          <w:szCs w:val="24"/>
          <w:lang w:val="en-US"/>
        </w:rPr>
        <w:t>Science (80-. ).</w:t>
      </w:r>
      <w:r w:rsidRPr="00A77C56">
        <w:rPr>
          <w:rFonts w:ascii="Arial" w:hAnsi="Arial" w:cs="Arial"/>
          <w:noProof/>
          <w:szCs w:val="24"/>
          <w:lang w:val="en-US"/>
        </w:rPr>
        <w:t xml:space="preserve"> </w:t>
      </w:r>
      <w:r w:rsidRPr="00A77C56">
        <w:rPr>
          <w:rFonts w:ascii="Arial" w:hAnsi="Arial" w:cs="Arial"/>
          <w:b/>
          <w:bCs/>
          <w:noProof/>
          <w:szCs w:val="24"/>
          <w:lang w:val="en-US"/>
        </w:rPr>
        <w:t>2015</w:t>
      </w:r>
      <w:r w:rsidRPr="00A77C56">
        <w:rPr>
          <w:rFonts w:ascii="Arial" w:hAnsi="Arial" w:cs="Arial"/>
          <w:noProof/>
          <w:szCs w:val="24"/>
          <w:lang w:val="en-US"/>
        </w:rPr>
        <w:t xml:space="preserve">, </w:t>
      </w:r>
      <w:r w:rsidRPr="00A77C56">
        <w:rPr>
          <w:rFonts w:ascii="Arial" w:hAnsi="Arial" w:cs="Arial"/>
          <w:i/>
          <w:iCs/>
          <w:noProof/>
          <w:szCs w:val="24"/>
          <w:lang w:val="en-US"/>
        </w:rPr>
        <w:t>349</w:t>
      </w:r>
      <w:r w:rsidRPr="00A77C56">
        <w:rPr>
          <w:rFonts w:ascii="Arial" w:hAnsi="Arial" w:cs="Arial"/>
          <w:noProof/>
          <w:szCs w:val="24"/>
          <w:lang w:val="en-US"/>
        </w:rPr>
        <w:t xml:space="preserve"> (6251), 986–989. https://doi.org/10.1126/science.aaa3794.</w:t>
      </w:r>
    </w:p>
    <w:p w14:paraId="1986C7CC"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(19) </w:t>
      </w:r>
      <w:r w:rsidRPr="00A77C56">
        <w:rPr>
          <w:rFonts w:ascii="Arial" w:hAnsi="Arial" w:cs="Arial"/>
          <w:noProof/>
          <w:szCs w:val="24"/>
          <w:lang w:val="en-US"/>
        </w:rPr>
        <w:tab/>
        <w:t xml:space="preserve">Marchand, N.; Collins, C. H. Peptide-Based Communication System Enables Escherichia Coli to Bacillus Megaterium Interspecies Signaling. </w:t>
      </w:r>
      <w:r w:rsidRPr="00A77C56">
        <w:rPr>
          <w:rFonts w:ascii="Arial" w:hAnsi="Arial" w:cs="Arial"/>
          <w:i/>
          <w:iCs/>
          <w:noProof/>
          <w:szCs w:val="24"/>
          <w:lang w:val="en-US"/>
        </w:rPr>
        <w:t>Biotechnol. Bioeng.</w:t>
      </w:r>
      <w:r w:rsidRPr="00A77C56">
        <w:rPr>
          <w:rFonts w:ascii="Arial" w:hAnsi="Arial" w:cs="Arial"/>
          <w:noProof/>
          <w:szCs w:val="24"/>
          <w:lang w:val="en-US"/>
        </w:rPr>
        <w:t xml:space="preserve"> </w:t>
      </w:r>
      <w:r w:rsidRPr="00A77C56">
        <w:rPr>
          <w:rFonts w:ascii="Arial" w:hAnsi="Arial" w:cs="Arial"/>
          <w:b/>
          <w:bCs/>
          <w:noProof/>
          <w:szCs w:val="24"/>
          <w:lang w:val="en-US"/>
        </w:rPr>
        <w:t>2013</w:t>
      </w:r>
      <w:r w:rsidRPr="00A77C56">
        <w:rPr>
          <w:rFonts w:ascii="Arial" w:hAnsi="Arial" w:cs="Arial"/>
          <w:noProof/>
          <w:szCs w:val="24"/>
          <w:lang w:val="en-US"/>
        </w:rPr>
        <w:t xml:space="preserve">, </w:t>
      </w:r>
      <w:r w:rsidRPr="00A77C56">
        <w:rPr>
          <w:rFonts w:ascii="Arial" w:hAnsi="Arial" w:cs="Arial"/>
          <w:i/>
          <w:iCs/>
          <w:noProof/>
          <w:szCs w:val="24"/>
          <w:lang w:val="en-US"/>
        </w:rPr>
        <w:t>110</w:t>
      </w:r>
      <w:r w:rsidRPr="00A77C56">
        <w:rPr>
          <w:rFonts w:ascii="Arial" w:hAnsi="Arial" w:cs="Arial"/>
          <w:noProof/>
          <w:szCs w:val="24"/>
          <w:lang w:val="en-US"/>
        </w:rPr>
        <w:t xml:space="preserve"> (11), 3003–3012. https://doi.org/10.1002/bit.24975.</w:t>
      </w:r>
    </w:p>
    <w:p w14:paraId="62AB94DB"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(20) </w:t>
      </w:r>
      <w:r w:rsidRPr="00A77C56">
        <w:rPr>
          <w:rFonts w:ascii="Arial" w:hAnsi="Arial" w:cs="Arial"/>
          <w:noProof/>
          <w:szCs w:val="24"/>
          <w:lang w:val="en-US"/>
        </w:rPr>
        <w:tab/>
        <w:t xml:space="preserve">Hol, F. J. H.; Voges, M. J.; Dekker, C.; Keymer, J. E. Nutrient-Responsive Regulation Determines Biodiversity in a Colicin-Mediated Bacterial Community. </w:t>
      </w:r>
      <w:r w:rsidRPr="00A77C56">
        <w:rPr>
          <w:rFonts w:ascii="Arial" w:hAnsi="Arial" w:cs="Arial"/>
          <w:i/>
          <w:iCs/>
          <w:noProof/>
          <w:szCs w:val="24"/>
          <w:lang w:val="en-US"/>
        </w:rPr>
        <w:t>BMC Biol.</w:t>
      </w:r>
      <w:r w:rsidRPr="00A77C56">
        <w:rPr>
          <w:rFonts w:ascii="Arial" w:hAnsi="Arial" w:cs="Arial"/>
          <w:noProof/>
          <w:szCs w:val="24"/>
          <w:lang w:val="en-US"/>
        </w:rPr>
        <w:t xml:space="preserve"> </w:t>
      </w:r>
      <w:r w:rsidRPr="00A77C56">
        <w:rPr>
          <w:rFonts w:ascii="Arial" w:hAnsi="Arial" w:cs="Arial"/>
          <w:b/>
          <w:bCs/>
          <w:noProof/>
          <w:szCs w:val="24"/>
          <w:lang w:val="en-US"/>
        </w:rPr>
        <w:t>2014</w:t>
      </w:r>
      <w:r w:rsidRPr="00A77C56">
        <w:rPr>
          <w:rFonts w:ascii="Arial" w:hAnsi="Arial" w:cs="Arial"/>
          <w:noProof/>
          <w:szCs w:val="24"/>
          <w:lang w:val="en-US"/>
        </w:rPr>
        <w:t xml:space="preserve">, </w:t>
      </w:r>
      <w:r w:rsidRPr="00A77C56">
        <w:rPr>
          <w:rFonts w:ascii="Arial" w:hAnsi="Arial" w:cs="Arial"/>
          <w:i/>
          <w:iCs/>
          <w:noProof/>
          <w:szCs w:val="24"/>
          <w:lang w:val="en-US"/>
        </w:rPr>
        <w:t>12</w:t>
      </w:r>
      <w:r w:rsidRPr="00A77C56">
        <w:rPr>
          <w:rFonts w:ascii="Arial" w:hAnsi="Arial" w:cs="Arial"/>
          <w:noProof/>
          <w:szCs w:val="24"/>
          <w:lang w:val="en-US"/>
        </w:rPr>
        <w:t xml:space="preserve"> (1), 1–14. https://doi.org/10.1186/s12915-014-0068-2.</w:t>
      </w:r>
    </w:p>
    <w:p w14:paraId="6B7A74CA"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(21) </w:t>
      </w:r>
      <w:r w:rsidRPr="00A77C56">
        <w:rPr>
          <w:rFonts w:ascii="Arial" w:hAnsi="Arial" w:cs="Arial"/>
          <w:noProof/>
          <w:szCs w:val="24"/>
          <w:lang w:val="en-US"/>
        </w:rPr>
        <w:tab/>
        <w:t xml:space="preserve">Goñi-Moreno, A.; Amos, M.; de la Cruz, F. Multicellular Computing Using Conjugation for Wiring. </w:t>
      </w:r>
      <w:r w:rsidRPr="00A77C56">
        <w:rPr>
          <w:rFonts w:ascii="Arial" w:hAnsi="Arial" w:cs="Arial"/>
          <w:i/>
          <w:iCs/>
          <w:noProof/>
          <w:szCs w:val="24"/>
          <w:lang w:val="en-US"/>
        </w:rPr>
        <w:t>PLoS One</w:t>
      </w:r>
      <w:r w:rsidRPr="00A77C56">
        <w:rPr>
          <w:rFonts w:ascii="Arial" w:hAnsi="Arial" w:cs="Arial"/>
          <w:noProof/>
          <w:szCs w:val="24"/>
          <w:lang w:val="en-US"/>
        </w:rPr>
        <w:t xml:space="preserve"> </w:t>
      </w:r>
      <w:r w:rsidRPr="00A77C56">
        <w:rPr>
          <w:rFonts w:ascii="Arial" w:hAnsi="Arial" w:cs="Arial"/>
          <w:b/>
          <w:bCs/>
          <w:noProof/>
          <w:szCs w:val="24"/>
          <w:lang w:val="en-US"/>
        </w:rPr>
        <w:t>2013</w:t>
      </w:r>
      <w:r w:rsidRPr="00A77C56">
        <w:rPr>
          <w:rFonts w:ascii="Arial" w:hAnsi="Arial" w:cs="Arial"/>
          <w:noProof/>
          <w:szCs w:val="24"/>
          <w:lang w:val="en-US"/>
        </w:rPr>
        <w:t xml:space="preserve">, </w:t>
      </w:r>
      <w:r w:rsidRPr="00A77C56">
        <w:rPr>
          <w:rFonts w:ascii="Arial" w:hAnsi="Arial" w:cs="Arial"/>
          <w:i/>
          <w:iCs/>
          <w:noProof/>
          <w:szCs w:val="24"/>
          <w:lang w:val="en-US"/>
        </w:rPr>
        <w:t>8</w:t>
      </w:r>
      <w:r w:rsidRPr="00A77C56">
        <w:rPr>
          <w:rFonts w:ascii="Arial" w:hAnsi="Arial" w:cs="Arial"/>
          <w:noProof/>
          <w:szCs w:val="24"/>
          <w:lang w:val="en-US"/>
        </w:rPr>
        <w:t xml:space="preserve"> (6), e65986. https://doi.org/10.1371/journal.pone.0065986.</w:t>
      </w:r>
    </w:p>
    <w:p w14:paraId="53DF646A"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(22) </w:t>
      </w:r>
      <w:r w:rsidRPr="00A77C56">
        <w:rPr>
          <w:rFonts w:ascii="Arial" w:hAnsi="Arial" w:cs="Arial"/>
          <w:noProof/>
          <w:szCs w:val="24"/>
          <w:lang w:val="en-US"/>
        </w:rPr>
        <w:tab/>
        <w:t xml:space="preserve">Kouya, T.; Ishiyama, Y.; Tanaka, T.; Taniguchi, M. Evaluation of Positive Interaction for Cell Growth between Bifidobacterium Adolescentis and Propionibacterium Freudenreichii Using a Co-Cultivation System with Two Microfiltration Modules. </w:t>
      </w:r>
      <w:r w:rsidRPr="00A77C56">
        <w:rPr>
          <w:rFonts w:ascii="Arial" w:hAnsi="Arial" w:cs="Arial"/>
          <w:i/>
          <w:iCs/>
          <w:noProof/>
          <w:szCs w:val="24"/>
          <w:lang w:val="en-US"/>
        </w:rPr>
        <w:t>J. Biosci. Bioeng.</w:t>
      </w:r>
      <w:r w:rsidRPr="00A77C56">
        <w:rPr>
          <w:rFonts w:ascii="Arial" w:hAnsi="Arial" w:cs="Arial"/>
          <w:noProof/>
          <w:szCs w:val="24"/>
          <w:lang w:val="en-US"/>
        </w:rPr>
        <w:t xml:space="preserve"> </w:t>
      </w:r>
      <w:r w:rsidRPr="00A77C56">
        <w:rPr>
          <w:rFonts w:ascii="Arial" w:hAnsi="Arial" w:cs="Arial"/>
          <w:b/>
          <w:bCs/>
          <w:noProof/>
          <w:szCs w:val="24"/>
          <w:lang w:val="en-US"/>
        </w:rPr>
        <w:t>2013</w:t>
      </w:r>
      <w:r w:rsidRPr="00A77C56">
        <w:rPr>
          <w:rFonts w:ascii="Arial" w:hAnsi="Arial" w:cs="Arial"/>
          <w:noProof/>
          <w:szCs w:val="24"/>
          <w:lang w:val="en-US"/>
        </w:rPr>
        <w:t xml:space="preserve">, </w:t>
      </w:r>
      <w:r w:rsidRPr="00A77C56">
        <w:rPr>
          <w:rFonts w:ascii="Arial" w:hAnsi="Arial" w:cs="Arial"/>
          <w:i/>
          <w:iCs/>
          <w:noProof/>
          <w:szCs w:val="24"/>
          <w:lang w:val="en-US"/>
        </w:rPr>
        <w:t>115</w:t>
      </w:r>
      <w:r w:rsidRPr="00A77C56">
        <w:rPr>
          <w:rFonts w:ascii="Arial" w:hAnsi="Arial" w:cs="Arial"/>
          <w:noProof/>
          <w:szCs w:val="24"/>
          <w:lang w:val="en-US"/>
        </w:rPr>
        <w:t xml:space="preserve"> (2), 189–192. https://doi.org/10.1016/j.jbiosc.2012.09.005.</w:t>
      </w:r>
    </w:p>
    <w:p w14:paraId="3C1C1A3D"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(23) </w:t>
      </w:r>
      <w:r w:rsidRPr="00A77C56">
        <w:rPr>
          <w:rFonts w:ascii="Arial" w:hAnsi="Arial" w:cs="Arial"/>
          <w:noProof/>
          <w:szCs w:val="24"/>
          <w:lang w:val="en-US"/>
        </w:rPr>
        <w:tab/>
        <w:t xml:space="preserve">Stephens, K.; Pozo, M.; Tsao, C. Y.; Hauk, P.; Bentley, W. E. Bacterial Co-Culture with Cell Signaling Translator and Growth Controller Modules for Autonomously Regulated Culture Composition. </w:t>
      </w:r>
      <w:r w:rsidRPr="00A77C56">
        <w:rPr>
          <w:rFonts w:ascii="Arial" w:hAnsi="Arial" w:cs="Arial"/>
          <w:i/>
          <w:iCs/>
          <w:noProof/>
          <w:szCs w:val="24"/>
          <w:lang w:val="en-US"/>
        </w:rPr>
        <w:t>Nat. Commun.</w:t>
      </w:r>
      <w:r w:rsidRPr="00A77C56">
        <w:rPr>
          <w:rFonts w:ascii="Arial" w:hAnsi="Arial" w:cs="Arial"/>
          <w:noProof/>
          <w:szCs w:val="24"/>
          <w:lang w:val="en-US"/>
        </w:rPr>
        <w:t xml:space="preserve"> </w:t>
      </w:r>
      <w:r w:rsidRPr="00A77C56">
        <w:rPr>
          <w:rFonts w:ascii="Arial" w:hAnsi="Arial" w:cs="Arial"/>
          <w:b/>
          <w:bCs/>
          <w:noProof/>
          <w:szCs w:val="24"/>
          <w:lang w:val="en-US"/>
        </w:rPr>
        <w:t>2019</w:t>
      </w:r>
      <w:r w:rsidRPr="00A77C56">
        <w:rPr>
          <w:rFonts w:ascii="Arial" w:hAnsi="Arial" w:cs="Arial"/>
          <w:noProof/>
          <w:szCs w:val="24"/>
          <w:lang w:val="en-US"/>
        </w:rPr>
        <w:t xml:space="preserve">, </w:t>
      </w:r>
      <w:r w:rsidRPr="00A77C56">
        <w:rPr>
          <w:rFonts w:ascii="Arial" w:hAnsi="Arial" w:cs="Arial"/>
          <w:i/>
          <w:iCs/>
          <w:noProof/>
          <w:szCs w:val="24"/>
          <w:lang w:val="en-US"/>
        </w:rPr>
        <w:t>10</w:t>
      </w:r>
      <w:r w:rsidRPr="00A77C56">
        <w:rPr>
          <w:rFonts w:ascii="Arial" w:hAnsi="Arial" w:cs="Arial"/>
          <w:noProof/>
          <w:szCs w:val="24"/>
          <w:lang w:val="en-US"/>
        </w:rPr>
        <w:t xml:space="preserve"> (1), 4129. https://doi.org/10.1038/s41467-019-12027-6.</w:t>
      </w:r>
    </w:p>
    <w:p w14:paraId="1D2766EF"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(24) </w:t>
      </w:r>
      <w:r w:rsidRPr="00A77C56">
        <w:rPr>
          <w:rFonts w:ascii="Arial" w:hAnsi="Arial" w:cs="Arial"/>
          <w:noProof/>
          <w:szCs w:val="24"/>
          <w:lang w:val="en-US"/>
        </w:rPr>
        <w:tab/>
        <w:t xml:space="preserve">Velema, W. A.; Van Der Berg, J. P.; Szymanski, W.; Driessen, A. J. M.; Feringa, B. L. Orthogonal Control of Antibacterial Activity with Light. </w:t>
      </w:r>
      <w:r w:rsidRPr="00A77C56">
        <w:rPr>
          <w:rFonts w:ascii="Arial" w:hAnsi="Arial" w:cs="Arial"/>
          <w:i/>
          <w:iCs/>
          <w:noProof/>
          <w:szCs w:val="24"/>
          <w:lang w:val="en-US"/>
        </w:rPr>
        <w:t>ACS Chem. Biol.</w:t>
      </w:r>
      <w:r w:rsidRPr="00A77C56">
        <w:rPr>
          <w:rFonts w:ascii="Arial" w:hAnsi="Arial" w:cs="Arial"/>
          <w:noProof/>
          <w:szCs w:val="24"/>
          <w:lang w:val="en-US"/>
        </w:rPr>
        <w:t xml:space="preserve"> </w:t>
      </w:r>
      <w:r w:rsidRPr="00A77C56">
        <w:rPr>
          <w:rFonts w:ascii="Arial" w:hAnsi="Arial" w:cs="Arial"/>
          <w:b/>
          <w:bCs/>
          <w:noProof/>
          <w:szCs w:val="24"/>
          <w:lang w:val="en-US"/>
        </w:rPr>
        <w:t>2014</w:t>
      </w:r>
      <w:r w:rsidRPr="00A77C56">
        <w:rPr>
          <w:rFonts w:ascii="Arial" w:hAnsi="Arial" w:cs="Arial"/>
          <w:noProof/>
          <w:szCs w:val="24"/>
          <w:lang w:val="en-US"/>
        </w:rPr>
        <w:t xml:space="preserve">, </w:t>
      </w:r>
      <w:r w:rsidRPr="00A77C56">
        <w:rPr>
          <w:rFonts w:ascii="Arial" w:hAnsi="Arial" w:cs="Arial"/>
          <w:i/>
          <w:iCs/>
          <w:noProof/>
          <w:szCs w:val="24"/>
          <w:lang w:val="en-US"/>
        </w:rPr>
        <w:t>9</w:t>
      </w:r>
      <w:r w:rsidRPr="00A77C56">
        <w:rPr>
          <w:rFonts w:ascii="Arial" w:hAnsi="Arial" w:cs="Arial"/>
          <w:noProof/>
          <w:szCs w:val="24"/>
          <w:lang w:val="en-US"/>
        </w:rPr>
        <w:t xml:space="preserve"> (9), 1969–1974. https://doi.org/10.1021/cb500313f.</w:t>
      </w:r>
    </w:p>
    <w:p w14:paraId="0BA4B153"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(25) </w:t>
      </w:r>
      <w:r w:rsidRPr="00A77C56">
        <w:rPr>
          <w:rFonts w:ascii="Arial" w:hAnsi="Arial" w:cs="Arial"/>
          <w:noProof/>
          <w:szCs w:val="24"/>
          <w:lang w:val="en-US"/>
        </w:rPr>
        <w:tab/>
        <w:t xml:space="preserve">Ren, X.; Baetica, A.-A.; Swaminathan, A.; Murray, R. M. Population Regulation in Microbial Consortia Using Dual Feedback Control. In </w:t>
      </w:r>
      <w:r w:rsidRPr="00A77C56">
        <w:rPr>
          <w:rFonts w:ascii="Arial" w:hAnsi="Arial" w:cs="Arial"/>
          <w:i/>
          <w:iCs/>
          <w:noProof/>
          <w:szCs w:val="24"/>
          <w:lang w:val="en-US"/>
        </w:rPr>
        <w:t xml:space="preserve">2017 IEEE 56th Annual </w:t>
      </w:r>
      <w:r w:rsidRPr="00A77C56">
        <w:rPr>
          <w:rFonts w:ascii="Arial" w:hAnsi="Arial" w:cs="Arial"/>
          <w:i/>
          <w:iCs/>
          <w:noProof/>
          <w:szCs w:val="24"/>
          <w:lang w:val="en-US"/>
        </w:rPr>
        <w:lastRenderedPageBreak/>
        <w:t>Conference on Decision and Control (CDC)</w:t>
      </w:r>
      <w:r w:rsidRPr="00A77C56">
        <w:rPr>
          <w:rFonts w:ascii="Arial" w:hAnsi="Arial" w:cs="Arial"/>
          <w:noProof/>
          <w:szCs w:val="24"/>
          <w:lang w:val="en-US"/>
        </w:rPr>
        <w:t>; IEEE, 2017; Vol. 2018-Janua, pp 5341–5347. https://doi.org/10.1109/CDC.2017.8264450.</w:t>
      </w:r>
    </w:p>
    <w:p w14:paraId="4833701A"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(26) </w:t>
      </w:r>
      <w:r w:rsidRPr="00A77C56">
        <w:rPr>
          <w:rFonts w:ascii="Arial" w:hAnsi="Arial" w:cs="Arial"/>
          <w:noProof/>
          <w:szCs w:val="24"/>
          <w:lang w:val="en-US"/>
        </w:rPr>
        <w:tab/>
        <w:t xml:space="preserve">Kolar, K.; Knobloch, C.; Stork, H.; Žnidarič, M.; Weber, W. OptoBase: A Web Platform for Molecular Optogenetics. </w:t>
      </w:r>
      <w:r w:rsidRPr="00A77C56">
        <w:rPr>
          <w:rFonts w:ascii="Arial" w:hAnsi="Arial" w:cs="Arial"/>
          <w:i/>
          <w:iCs/>
          <w:noProof/>
          <w:szCs w:val="24"/>
          <w:lang w:val="en-US"/>
        </w:rPr>
        <w:t>ACS Synth. Biol.</w:t>
      </w:r>
      <w:r w:rsidRPr="00A77C56">
        <w:rPr>
          <w:rFonts w:ascii="Arial" w:hAnsi="Arial" w:cs="Arial"/>
          <w:noProof/>
          <w:szCs w:val="24"/>
          <w:lang w:val="en-US"/>
        </w:rPr>
        <w:t xml:space="preserve"> </w:t>
      </w:r>
      <w:r w:rsidRPr="00A77C56">
        <w:rPr>
          <w:rFonts w:ascii="Arial" w:hAnsi="Arial" w:cs="Arial"/>
          <w:b/>
          <w:bCs/>
          <w:noProof/>
          <w:szCs w:val="24"/>
          <w:lang w:val="en-US"/>
        </w:rPr>
        <w:t>2018</w:t>
      </w:r>
      <w:r w:rsidRPr="00A77C56">
        <w:rPr>
          <w:rFonts w:ascii="Arial" w:hAnsi="Arial" w:cs="Arial"/>
          <w:noProof/>
          <w:szCs w:val="24"/>
          <w:lang w:val="en-US"/>
        </w:rPr>
        <w:t xml:space="preserve">, </w:t>
      </w:r>
      <w:r w:rsidRPr="00A77C56">
        <w:rPr>
          <w:rFonts w:ascii="Arial" w:hAnsi="Arial" w:cs="Arial"/>
          <w:i/>
          <w:iCs/>
          <w:noProof/>
          <w:szCs w:val="24"/>
          <w:lang w:val="en-US"/>
        </w:rPr>
        <w:t>7</w:t>
      </w:r>
      <w:r w:rsidRPr="00A77C56">
        <w:rPr>
          <w:rFonts w:ascii="Arial" w:hAnsi="Arial" w:cs="Arial"/>
          <w:noProof/>
          <w:szCs w:val="24"/>
          <w:lang w:val="en-US"/>
        </w:rPr>
        <w:t xml:space="preserve"> (7), 1825–1828. https://doi.org/10.1021/acssynbio.8b00120.</w:t>
      </w:r>
    </w:p>
    <w:p w14:paraId="78608310"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(27) </w:t>
      </w:r>
      <w:r w:rsidRPr="00A77C56">
        <w:rPr>
          <w:rFonts w:ascii="Arial" w:hAnsi="Arial" w:cs="Arial"/>
          <w:noProof/>
          <w:szCs w:val="24"/>
          <w:lang w:val="en-US"/>
        </w:rPr>
        <w:tab/>
        <w:t xml:space="preserve">Deisseroth, K. Optogenetics. </w:t>
      </w:r>
      <w:r w:rsidRPr="00A77C56">
        <w:rPr>
          <w:rFonts w:ascii="Arial" w:hAnsi="Arial" w:cs="Arial"/>
          <w:i/>
          <w:iCs/>
          <w:noProof/>
          <w:szCs w:val="24"/>
          <w:lang w:val="en-US"/>
        </w:rPr>
        <w:t>Nat. Methods</w:t>
      </w:r>
      <w:r w:rsidRPr="00A77C56">
        <w:rPr>
          <w:rFonts w:ascii="Arial" w:hAnsi="Arial" w:cs="Arial"/>
          <w:noProof/>
          <w:szCs w:val="24"/>
          <w:lang w:val="en-US"/>
        </w:rPr>
        <w:t xml:space="preserve"> </w:t>
      </w:r>
      <w:r w:rsidRPr="00A77C56">
        <w:rPr>
          <w:rFonts w:ascii="Arial" w:hAnsi="Arial" w:cs="Arial"/>
          <w:b/>
          <w:bCs/>
          <w:noProof/>
          <w:szCs w:val="24"/>
          <w:lang w:val="en-US"/>
        </w:rPr>
        <w:t>2011</w:t>
      </w:r>
      <w:r w:rsidRPr="00A77C56">
        <w:rPr>
          <w:rFonts w:ascii="Arial" w:hAnsi="Arial" w:cs="Arial"/>
          <w:noProof/>
          <w:szCs w:val="24"/>
          <w:lang w:val="en-US"/>
        </w:rPr>
        <w:t xml:space="preserve">, </w:t>
      </w:r>
      <w:r w:rsidRPr="00A77C56">
        <w:rPr>
          <w:rFonts w:ascii="Arial" w:hAnsi="Arial" w:cs="Arial"/>
          <w:i/>
          <w:iCs/>
          <w:noProof/>
          <w:szCs w:val="24"/>
          <w:lang w:val="en-US"/>
        </w:rPr>
        <w:t>8</w:t>
      </w:r>
      <w:r w:rsidRPr="00A77C56">
        <w:rPr>
          <w:rFonts w:ascii="Arial" w:hAnsi="Arial" w:cs="Arial"/>
          <w:noProof/>
          <w:szCs w:val="24"/>
          <w:lang w:val="en-US"/>
        </w:rPr>
        <w:t xml:space="preserve"> (1), 26–29. https://doi.org/10.1038/nmeth.f.324.</w:t>
      </w:r>
    </w:p>
    <w:p w14:paraId="2990F30D"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(28) </w:t>
      </w:r>
      <w:r w:rsidRPr="00A77C56">
        <w:rPr>
          <w:rFonts w:ascii="Arial" w:hAnsi="Arial" w:cs="Arial"/>
          <w:noProof/>
          <w:szCs w:val="24"/>
          <w:lang w:val="en-US"/>
        </w:rPr>
        <w:tab/>
        <w:t xml:space="preserve">Brieke, C.; Rohrbach, F.; Gottschalk, A.; Mayer, G.; Heckel, A. Light-Controlled Tools. </w:t>
      </w:r>
      <w:r w:rsidRPr="00A77C56">
        <w:rPr>
          <w:rFonts w:ascii="Arial" w:hAnsi="Arial" w:cs="Arial"/>
          <w:i/>
          <w:iCs/>
          <w:noProof/>
          <w:szCs w:val="24"/>
          <w:lang w:val="en-US"/>
        </w:rPr>
        <w:t>Angew. Chemie - Int. Ed.</w:t>
      </w:r>
      <w:r w:rsidRPr="00A77C56">
        <w:rPr>
          <w:rFonts w:ascii="Arial" w:hAnsi="Arial" w:cs="Arial"/>
          <w:noProof/>
          <w:szCs w:val="24"/>
          <w:lang w:val="en-US"/>
        </w:rPr>
        <w:t xml:space="preserve"> </w:t>
      </w:r>
      <w:r w:rsidRPr="00A77C56">
        <w:rPr>
          <w:rFonts w:ascii="Arial" w:hAnsi="Arial" w:cs="Arial"/>
          <w:b/>
          <w:bCs/>
          <w:noProof/>
          <w:szCs w:val="24"/>
          <w:lang w:val="en-US"/>
        </w:rPr>
        <w:t>2012</w:t>
      </w:r>
      <w:r w:rsidRPr="00A77C56">
        <w:rPr>
          <w:rFonts w:ascii="Arial" w:hAnsi="Arial" w:cs="Arial"/>
          <w:noProof/>
          <w:szCs w:val="24"/>
          <w:lang w:val="en-US"/>
        </w:rPr>
        <w:t xml:space="preserve">, </w:t>
      </w:r>
      <w:r w:rsidRPr="00A77C56">
        <w:rPr>
          <w:rFonts w:ascii="Arial" w:hAnsi="Arial" w:cs="Arial"/>
          <w:i/>
          <w:iCs/>
          <w:noProof/>
          <w:szCs w:val="24"/>
          <w:lang w:val="en-US"/>
        </w:rPr>
        <w:t>51</w:t>
      </w:r>
      <w:r w:rsidRPr="00A77C56">
        <w:rPr>
          <w:rFonts w:ascii="Arial" w:hAnsi="Arial" w:cs="Arial"/>
          <w:noProof/>
          <w:szCs w:val="24"/>
          <w:lang w:val="en-US"/>
        </w:rPr>
        <w:t xml:space="preserve"> (34), 8446–8476. https://doi.org/10.1002/anie.201202134.</w:t>
      </w:r>
    </w:p>
    <w:p w14:paraId="38C9057A"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(29) </w:t>
      </w:r>
      <w:r w:rsidRPr="00A77C56">
        <w:rPr>
          <w:rFonts w:ascii="Arial" w:hAnsi="Arial" w:cs="Arial"/>
          <w:noProof/>
          <w:szCs w:val="24"/>
          <w:lang w:val="en-US"/>
        </w:rPr>
        <w:tab/>
        <w:t xml:space="preserve">Binder, D.; Grünberger, A.; Loeschcke, A.; Probst, C.; Bier, C.; Pietruszka, J.; Wiechert, W.; Kohlheyer, D.; Jaeger, K. E.; Drepper, T. Light-Responsive Control of Bacterial Gene Expression: Precise Triggering of the Lac Promoter Activity Using Photocaged IPTG. </w:t>
      </w:r>
      <w:r w:rsidRPr="00A77C56">
        <w:rPr>
          <w:rFonts w:ascii="Arial" w:hAnsi="Arial" w:cs="Arial"/>
          <w:i/>
          <w:iCs/>
          <w:noProof/>
          <w:szCs w:val="24"/>
          <w:lang w:val="en-US"/>
        </w:rPr>
        <w:t>Integr. Biol. (United Kingdom)</w:t>
      </w:r>
      <w:r w:rsidRPr="00A77C56">
        <w:rPr>
          <w:rFonts w:ascii="Arial" w:hAnsi="Arial" w:cs="Arial"/>
          <w:noProof/>
          <w:szCs w:val="24"/>
          <w:lang w:val="en-US"/>
        </w:rPr>
        <w:t xml:space="preserve"> </w:t>
      </w:r>
      <w:r w:rsidRPr="00A77C56">
        <w:rPr>
          <w:rFonts w:ascii="Arial" w:hAnsi="Arial" w:cs="Arial"/>
          <w:b/>
          <w:bCs/>
          <w:noProof/>
          <w:szCs w:val="24"/>
          <w:lang w:val="en-US"/>
        </w:rPr>
        <w:t>2014</w:t>
      </w:r>
      <w:r w:rsidRPr="00A77C56">
        <w:rPr>
          <w:rFonts w:ascii="Arial" w:hAnsi="Arial" w:cs="Arial"/>
          <w:noProof/>
          <w:szCs w:val="24"/>
          <w:lang w:val="en-US"/>
        </w:rPr>
        <w:t xml:space="preserve">, </w:t>
      </w:r>
      <w:r w:rsidRPr="00A77C56">
        <w:rPr>
          <w:rFonts w:ascii="Arial" w:hAnsi="Arial" w:cs="Arial"/>
          <w:i/>
          <w:iCs/>
          <w:noProof/>
          <w:szCs w:val="24"/>
          <w:lang w:val="en-US"/>
        </w:rPr>
        <w:t>6</w:t>
      </w:r>
      <w:r w:rsidRPr="00A77C56">
        <w:rPr>
          <w:rFonts w:ascii="Arial" w:hAnsi="Arial" w:cs="Arial"/>
          <w:noProof/>
          <w:szCs w:val="24"/>
          <w:lang w:val="en-US"/>
        </w:rPr>
        <w:t xml:space="preserve"> (8), 755–765. https://doi.org/10.1039/c4ib00027g.</w:t>
      </w:r>
    </w:p>
    <w:p w14:paraId="12E3E54D"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(30) </w:t>
      </w:r>
      <w:r w:rsidRPr="00A77C56">
        <w:rPr>
          <w:rFonts w:ascii="Arial" w:hAnsi="Arial" w:cs="Arial"/>
          <w:noProof/>
          <w:szCs w:val="24"/>
          <w:lang w:val="en-US"/>
        </w:rPr>
        <w:tab/>
        <w:t xml:space="preserve">Binder, D.; Bier, C.; Grünberger, A.; Drobietz, D.; Hage-Hülsmann, J.; Wandrey, G.; Büchs, J.; Kohlheyer, D.; Loeschcke, A.; Wiechert, W.; Jaeger, K. E.; Pietruszka, J.; Drepper, T. Photocaged Arabinose: A Novel Optogenetic Switch for Rapid and Gradual Control of Microbial Gene Expression. </w:t>
      </w:r>
      <w:r w:rsidRPr="00A77C56">
        <w:rPr>
          <w:rFonts w:ascii="Arial" w:hAnsi="Arial" w:cs="Arial"/>
          <w:i/>
          <w:iCs/>
          <w:noProof/>
          <w:szCs w:val="24"/>
          <w:lang w:val="en-US"/>
        </w:rPr>
        <w:t>ChemBioChem</w:t>
      </w:r>
      <w:r w:rsidRPr="00A77C56">
        <w:rPr>
          <w:rFonts w:ascii="Arial" w:hAnsi="Arial" w:cs="Arial"/>
          <w:noProof/>
          <w:szCs w:val="24"/>
          <w:lang w:val="en-US"/>
        </w:rPr>
        <w:t xml:space="preserve"> </w:t>
      </w:r>
      <w:r w:rsidRPr="00A77C56">
        <w:rPr>
          <w:rFonts w:ascii="Arial" w:hAnsi="Arial" w:cs="Arial"/>
          <w:b/>
          <w:bCs/>
          <w:noProof/>
          <w:szCs w:val="24"/>
          <w:lang w:val="en-US"/>
        </w:rPr>
        <w:t>2016</w:t>
      </w:r>
      <w:r w:rsidRPr="00A77C56">
        <w:rPr>
          <w:rFonts w:ascii="Arial" w:hAnsi="Arial" w:cs="Arial"/>
          <w:noProof/>
          <w:szCs w:val="24"/>
          <w:lang w:val="en-US"/>
        </w:rPr>
        <w:t xml:space="preserve">, </w:t>
      </w:r>
      <w:r w:rsidRPr="00A77C56">
        <w:rPr>
          <w:rFonts w:ascii="Arial" w:hAnsi="Arial" w:cs="Arial"/>
          <w:i/>
          <w:iCs/>
          <w:noProof/>
          <w:szCs w:val="24"/>
          <w:lang w:val="en-US"/>
        </w:rPr>
        <w:t>17</w:t>
      </w:r>
      <w:r w:rsidRPr="00A77C56">
        <w:rPr>
          <w:rFonts w:ascii="Arial" w:hAnsi="Arial" w:cs="Arial"/>
          <w:noProof/>
          <w:szCs w:val="24"/>
          <w:lang w:val="en-US"/>
        </w:rPr>
        <w:t xml:space="preserve"> (4), 296–299. https://doi.org/10.1002/cbic.201500609.</w:t>
      </w:r>
    </w:p>
    <w:p w14:paraId="4BE0757E"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(31) </w:t>
      </w:r>
      <w:r w:rsidRPr="00A77C56">
        <w:rPr>
          <w:rFonts w:ascii="Arial" w:hAnsi="Arial" w:cs="Arial"/>
          <w:noProof/>
          <w:szCs w:val="24"/>
          <w:lang w:val="en-US"/>
        </w:rPr>
        <w:tab/>
        <w:t xml:space="preserve">Szymański, W.; Beierle, J. M.; Kistemaker, H. A. V.; Velema, W. A.; Feringa, B. L. Reversible Photocontrol of Biological Systems by the Incorporation of Molecular Photoswitches. </w:t>
      </w:r>
      <w:r w:rsidRPr="00A77C56">
        <w:rPr>
          <w:rFonts w:ascii="Arial" w:hAnsi="Arial" w:cs="Arial"/>
          <w:i/>
          <w:iCs/>
          <w:noProof/>
          <w:szCs w:val="24"/>
          <w:lang w:val="en-US"/>
        </w:rPr>
        <w:t>Chemical Reviews</w:t>
      </w:r>
      <w:r w:rsidRPr="00A77C56">
        <w:rPr>
          <w:rFonts w:ascii="Arial" w:hAnsi="Arial" w:cs="Arial"/>
          <w:noProof/>
          <w:szCs w:val="24"/>
          <w:lang w:val="en-US"/>
        </w:rPr>
        <w:t>. 2013. https://doi.org/10.1021/cr300179f.</w:t>
      </w:r>
    </w:p>
    <w:p w14:paraId="7D08374A"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(32) </w:t>
      </w:r>
      <w:r w:rsidRPr="00A77C56">
        <w:rPr>
          <w:rFonts w:ascii="Arial" w:hAnsi="Arial" w:cs="Arial"/>
          <w:noProof/>
          <w:szCs w:val="24"/>
          <w:lang w:val="en-US"/>
        </w:rPr>
        <w:tab/>
        <w:t xml:space="preserve">Rullan, M.; Benzinger, D.; Schmidt, G. W.; Milias-Argeitis, A.; Khammash, M. An Optogenetic Platform for Real-Time, Single-Cell Interrogation of Stochastic Transcriptional Regulation. </w:t>
      </w:r>
      <w:r w:rsidRPr="00A77C56">
        <w:rPr>
          <w:rFonts w:ascii="Arial" w:hAnsi="Arial" w:cs="Arial"/>
          <w:i/>
          <w:iCs/>
          <w:noProof/>
          <w:szCs w:val="24"/>
          <w:lang w:val="en-US"/>
        </w:rPr>
        <w:t>Mol. Cell</w:t>
      </w:r>
      <w:r w:rsidRPr="00A77C56">
        <w:rPr>
          <w:rFonts w:ascii="Arial" w:hAnsi="Arial" w:cs="Arial"/>
          <w:noProof/>
          <w:szCs w:val="24"/>
          <w:lang w:val="en-US"/>
        </w:rPr>
        <w:t xml:space="preserve"> </w:t>
      </w:r>
      <w:r w:rsidRPr="00A77C56">
        <w:rPr>
          <w:rFonts w:ascii="Arial" w:hAnsi="Arial" w:cs="Arial"/>
          <w:b/>
          <w:bCs/>
          <w:noProof/>
          <w:szCs w:val="24"/>
          <w:lang w:val="en-US"/>
        </w:rPr>
        <w:t>2018</w:t>
      </w:r>
      <w:r w:rsidRPr="00A77C56">
        <w:rPr>
          <w:rFonts w:ascii="Arial" w:hAnsi="Arial" w:cs="Arial"/>
          <w:noProof/>
          <w:szCs w:val="24"/>
          <w:lang w:val="en-US"/>
        </w:rPr>
        <w:t xml:space="preserve">, </w:t>
      </w:r>
      <w:r w:rsidRPr="00A77C56">
        <w:rPr>
          <w:rFonts w:ascii="Arial" w:hAnsi="Arial" w:cs="Arial"/>
          <w:i/>
          <w:iCs/>
          <w:noProof/>
          <w:szCs w:val="24"/>
          <w:lang w:val="en-US"/>
        </w:rPr>
        <w:t>70</w:t>
      </w:r>
      <w:r w:rsidRPr="00A77C56">
        <w:rPr>
          <w:rFonts w:ascii="Arial" w:hAnsi="Arial" w:cs="Arial"/>
          <w:noProof/>
          <w:szCs w:val="24"/>
          <w:lang w:val="en-US"/>
        </w:rPr>
        <w:t xml:space="preserve"> (4), 745-756.e6. https://doi.org/10.1016/j.molcel.2018.04.012.</w:t>
      </w:r>
    </w:p>
    <w:p w14:paraId="3F3E0DE4"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(33) </w:t>
      </w:r>
      <w:r w:rsidRPr="00A77C56">
        <w:rPr>
          <w:rFonts w:ascii="Arial" w:hAnsi="Arial" w:cs="Arial"/>
          <w:noProof/>
          <w:szCs w:val="24"/>
          <w:lang w:val="en-US"/>
        </w:rPr>
        <w:tab/>
        <w:t xml:space="preserve">Milias-Argeitis, A.; Rullan, M.; Aoki, S. K.; Buchmann, P.; Khammash, M. Automated Optogenetic Feedback Control for Precise and Robust Regulation of Gene Expression and Cell Growth. </w:t>
      </w:r>
      <w:r w:rsidRPr="00A77C56">
        <w:rPr>
          <w:rFonts w:ascii="Arial" w:hAnsi="Arial" w:cs="Arial"/>
          <w:i/>
          <w:iCs/>
          <w:noProof/>
          <w:szCs w:val="24"/>
          <w:lang w:val="en-US"/>
        </w:rPr>
        <w:t>Nat. Commun.</w:t>
      </w:r>
      <w:r w:rsidRPr="00A77C56">
        <w:rPr>
          <w:rFonts w:ascii="Arial" w:hAnsi="Arial" w:cs="Arial"/>
          <w:noProof/>
          <w:szCs w:val="24"/>
          <w:lang w:val="en-US"/>
        </w:rPr>
        <w:t xml:space="preserve"> </w:t>
      </w:r>
      <w:r w:rsidRPr="00A77C56">
        <w:rPr>
          <w:rFonts w:ascii="Arial" w:hAnsi="Arial" w:cs="Arial"/>
          <w:b/>
          <w:bCs/>
          <w:noProof/>
          <w:szCs w:val="24"/>
          <w:lang w:val="en-US"/>
        </w:rPr>
        <w:t>2016</w:t>
      </w:r>
      <w:r w:rsidRPr="00A77C56">
        <w:rPr>
          <w:rFonts w:ascii="Arial" w:hAnsi="Arial" w:cs="Arial"/>
          <w:noProof/>
          <w:szCs w:val="24"/>
          <w:lang w:val="en-US"/>
        </w:rPr>
        <w:t xml:space="preserve">, </w:t>
      </w:r>
      <w:r w:rsidRPr="00A77C56">
        <w:rPr>
          <w:rFonts w:ascii="Arial" w:hAnsi="Arial" w:cs="Arial"/>
          <w:i/>
          <w:iCs/>
          <w:noProof/>
          <w:szCs w:val="24"/>
          <w:lang w:val="en-US"/>
        </w:rPr>
        <w:t>7</w:t>
      </w:r>
      <w:r w:rsidRPr="00A77C56">
        <w:rPr>
          <w:rFonts w:ascii="Arial" w:hAnsi="Arial" w:cs="Arial"/>
          <w:noProof/>
          <w:szCs w:val="24"/>
          <w:lang w:val="en-US"/>
        </w:rPr>
        <w:t xml:space="preserve"> (May). https://doi.org/10.1038/ncomms12546.</w:t>
      </w:r>
    </w:p>
    <w:p w14:paraId="4AA7AEFB"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(34) </w:t>
      </w:r>
      <w:r w:rsidRPr="00A77C56">
        <w:rPr>
          <w:rFonts w:ascii="Arial" w:hAnsi="Arial" w:cs="Arial"/>
          <w:noProof/>
          <w:szCs w:val="24"/>
          <w:lang w:val="en-US"/>
        </w:rPr>
        <w:tab/>
        <w:t xml:space="preserve">Grünberger, A.; Probst, C.; Helfrich, S.; Nanda, A.; Stute, B.; Wiechert, W.; von Lieres, E.; Nöh, K.; Frunzke, J.; Kohlheyer, D. Spatiotemporal Microbial Single-Cell Analysis Using a High-Throughput Microfluidics Cultivation Platform. </w:t>
      </w:r>
      <w:r w:rsidRPr="00A77C56">
        <w:rPr>
          <w:rFonts w:ascii="Arial" w:hAnsi="Arial" w:cs="Arial"/>
          <w:i/>
          <w:iCs/>
          <w:noProof/>
          <w:szCs w:val="24"/>
          <w:lang w:val="en-US"/>
        </w:rPr>
        <w:t>Cytom. Part A</w:t>
      </w:r>
      <w:r w:rsidRPr="00A77C56">
        <w:rPr>
          <w:rFonts w:ascii="Arial" w:hAnsi="Arial" w:cs="Arial"/>
          <w:noProof/>
          <w:szCs w:val="24"/>
          <w:lang w:val="en-US"/>
        </w:rPr>
        <w:t xml:space="preserve"> </w:t>
      </w:r>
      <w:r w:rsidRPr="00A77C56">
        <w:rPr>
          <w:rFonts w:ascii="Arial" w:hAnsi="Arial" w:cs="Arial"/>
          <w:b/>
          <w:bCs/>
          <w:noProof/>
          <w:szCs w:val="24"/>
          <w:lang w:val="en-US"/>
        </w:rPr>
        <w:t>2015</w:t>
      </w:r>
      <w:r w:rsidRPr="00A77C56">
        <w:rPr>
          <w:rFonts w:ascii="Arial" w:hAnsi="Arial" w:cs="Arial"/>
          <w:noProof/>
          <w:szCs w:val="24"/>
          <w:lang w:val="en-US"/>
        </w:rPr>
        <w:t xml:space="preserve">, </w:t>
      </w:r>
      <w:r w:rsidRPr="00A77C56">
        <w:rPr>
          <w:rFonts w:ascii="Arial" w:hAnsi="Arial" w:cs="Arial"/>
          <w:i/>
          <w:iCs/>
          <w:noProof/>
          <w:szCs w:val="24"/>
          <w:lang w:val="en-US"/>
        </w:rPr>
        <w:t>87</w:t>
      </w:r>
      <w:r w:rsidRPr="00A77C56">
        <w:rPr>
          <w:rFonts w:ascii="Arial" w:hAnsi="Arial" w:cs="Arial"/>
          <w:noProof/>
          <w:szCs w:val="24"/>
          <w:lang w:val="en-US"/>
        </w:rPr>
        <w:t xml:space="preserve"> (12), 1101–1115. https://doi.org/10.1002/cyto.a.22779.</w:t>
      </w:r>
    </w:p>
    <w:p w14:paraId="1DF0B425"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lastRenderedPageBreak/>
        <w:t xml:space="preserve">(35) </w:t>
      </w:r>
      <w:r w:rsidRPr="00A77C56">
        <w:rPr>
          <w:rFonts w:ascii="Arial" w:hAnsi="Arial" w:cs="Arial"/>
          <w:noProof/>
          <w:szCs w:val="24"/>
          <w:lang w:val="en-US"/>
        </w:rPr>
        <w:tab/>
        <w:t xml:space="preserve">Ohnishi, J.; Mitsuhashi, S.; Hayashi, M.; Ando, S.; Yokoi, H.; Ochiai, K.; Ikeda, M. A Novel Methodology Employing Corynebacterium Glutamicum Genome Information to Generate a New L-Lysine-Producing Mutant. </w:t>
      </w:r>
      <w:r w:rsidRPr="00A77C56">
        <w:rPr>
          <w:rFonts w:ascii="Arial" w:hAnsi="Arial" w:cs="Arial"/>
          <w:i/>
          <w:iCs/>
          <w:noProof/>
          <w:szCs w:val="24"/>
          <w:lang w:val="en-US"/>
        </w:rPr>
        <w:t>Appl. Microbiol. Biotechnol.</w:t>
      </w:r>
      <w:r w:rsidRPr="00A77C56">
        <w:rPr>
          <w:rFonts w:ascii="Arial" w:hAnsi="Arial" w:cs="Arial"/>
          <w:noProof/>
          <w:szCs w:val="24"/>
          <w:lang w:val="en-US"/>
        </w:rPr>
        <w:t xml:space="preserve"> </w:t>
      </w:r>
      <w:r w:rsidRPr="00A77C56">
        <w:rPr>
          <w:rFonts w:ascii="Arial" w:hAnsi="Arial" w:cs="Arial"/>
          <w:b/>
          <w:bCs/>
          <w:noProof/>
          <w:szCs w:val="24"/>
          <w:lang w:val="en-US"/>
        </w:rPr>
        <w:t>2002</w:t>
      </w:r>
      <w:r w:rsidRPr="00A77C56">
        <w:rPr>
          <w:rFonts w:ascii="Arial" w:hAnsi="Arial" w:cs="Arial"/>
          <w:noProof/>
          <w:szCs w:val="24"/>
          <w:lang w:val="en-US"/>
        </w:rPr>
        <w:t xml:space="preserve">, </w:t>
      </w:r>
      <w:r w:rsidRPr="00A77C56">
        <w:rPr>
          <w:rFonts w:ascii="Arial" w:hAnsi="Arial" w:cs="Arial"/>
          <w:i/>
          <w:iCs/>
          <w:noProof/>
          <w:szCs w:val="24"/>
          <w:lang w:val="en-US"/>
        </w:rPr>
        <w:t>58</w:t>
      </w:r>
      <w:r w:rsidRPr="00A77C56">
        <w:rPr>
          <w:rFonts w:ascii="Arial" w:hAnsi="Arial" w:cs="Arial"/>
          <w:noProof/>
          <w:szCs w:val="24"/>
          <w:lang w:val="en-US"/>
        </w:rPr>
        <w:t xml:space="preserve"> (2), 217–223. https://doi.org/10.1007/s00253-001-0883-6.</w:t>
      </w:r>
    </w:p>
    <w:p w14:paraId="363BA491"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(36) </w:t>
      </w:r>
      <w:r w:rsidRPr="00A77C56">
        <w:rPr>
          <w:rFonts w:ascii="Arial" w:hAnsi="Arial" w:cs="Arial"/>
          <w:noProof/>
          <w:szCs w:val="24"/>
          <w:lang w:val="en-US"/>
        </w:rPr>
        <w:tab/>
        <w:t xml:space="preserve">Pátek, M.; Nešvera, J.; Guyonvarch, A.; Reyes, O.; Leblon, G. Promoters of Corynebacterium Glutamicum. </w:t>
      </w:r>
      <w:r w:rsidRPr="00A77C56">
        <w:rPr>
          <w:rFonts w:ascii="Arial" w:hAnsi="Arial" w:cs="Arial"/>
          <w:i/>
          <w:iCs/>
          <w:noProof/>
          <w:szCs w:val="24"/>
          <w:lang w:val="en-US"/>
        </w:rPr>
        <w:t>J. Biotechnol.</w:t>
      </w:r>
      <w:r w:rsidRPr="00A77C56">
        <w:rPr>
          <w:rFonts w:ascii="Arial" w:hAnsi="Arial" w:cs="Arial"/>
          <w:noProof/>
          <w:szCs w:val="24"/>
          <w:lang w:val="en-US"/>
        </w:rPr>
        <w:t xml:space="preserve"> </w:t>
      </w:r>
      <w:r w:rsidRPr="00A77C56">
        <w:rPr>
          <w:rFonts w:ascii="Arial" w:hAnsi="Arial" w:cs="Arial"/>
          <w:b/>
          <w:bCs/>
          <w:noProof/>
          <w:szCs w:val="24"/>
          <w:lang w:val="en-US"/>
        </w:rPr>
        <w:t>2003</w:t>
      </w:r>
      <w:r w:rsidRPr="00A77C56">
        <w:rPr>
          <w:rFonts w:ascii="Arial" w:hAnsi="Arial" w:cs="Arial"/>
          <w:noProof/>
          <w:szCs w:val="24"/>
          <w:lang w:val="en-US"/>
        </w:rPr>
        <w:t xml:space="preserve">, </w:t>
      </w:r>
      <w:r w:rsidRPr="00A77C56">
        <w:rPr>
          <w:rFonts w:ascii="Arial" w:hAnsi="Arial" w:cs="Arial"/>
          <w:i/>
          <w:iCs/>
          <w:noProof/>
          <w:szCs w:val="24"/>
          <w:lang w:val="en-US"/>
        </w:rPr>
        <w:t>104</w:t>
      </w:r>
      <w:r w:rsidRPr="00A77C56">
        <w:rPr>
          <w:rFonts w:ascii="Arial" w:hAnsi="Arial" w:cs="Arial"/>
          <w:noProof/>
          <w:szCs w:val="24"/>
          <w:lang w:val="en-US"/>
        </w:rPr>
        <w:t xml:space="preserve"> (1–3), 311–323. https://doi.org/10.1016/S0168-1656(03)00155-X.</w:t>
      </w:r>
    </w:p>
    <w:p w14:paraId="29252033"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(37) </w:t>
      </w:r>
      <w:r w:rsidRPr="00A77C56">
        <w:rPr>
          <w:rFonts w:ascii="Arial" w:hAnsi="Arial" w:cs="Arial"/>
          <w:noProof/>
          <w:szCs w:val="24"/>
          <w:lang w:val="en-US"/>
        </w:rPr>
        <w:tab/>
        <w:t xml:space="preserve">Lausberg, F.; Chattopadhyay, A. R.; Heyer, A.; Eggeling, L.; Freudl, R. A Tetracycline Inducible Expression Vector for Corynebacterium Glutamicum Allowing Tightly Regulable Gene Expression. </w:t>
      </w:r>
      <w:r w:rsidRPr="00A77C56">
        <w:rPr>
          <w:rFonts w:ascii="Arial" w:hAnsi="Arial" w:cs="Arial"/>
          <w:i/>
          <w:iCs/>
          <w:noProof/>
          <w:szCs w:val="24"/>
          <w:lang w:val="en-US"/>
        </w:rPr>
        <w:t>Plasmid</w:t>
      </w:r>
      <w:r w:rsidRPr="00A77C56">
        <w:rPr>
          <w:rFonts w:ascii="Arial" w:hAnsi="Arial" w:cs="Arial"/>
          <w:noProof/>
          <w:szCs w:val="24"/>
          <w:lang w:val="en-US"/>
        </w:rPr>
        <w:t xml:space="preserve"> </w:t>
      </w:r>
      <w:r w:rsidRPr="00A77C56">
        <w:rPr>
          <w:rFonts w:ascii="Arial" w:hAnsi="Arial" w:cs="Arial"/>
          <w:b/>
          <w:bCs/>
          <w:noProof/>
          <w:szCs w:val="24"/>
          <w:lang w:val="en-US"/>
        </w:rPr>
        <w:t>2012</w:t>
      </w:r>
      <w:r w:rsidRPr="00A77C56">
        <w:rPr>
          <w:rFonts w:ascii="Arial" w:hAnsi="Arial" w:cs="Arial"/>
          <w:noProof/>
          <w:szCs w:val="24"/>
          <w:lang w:val="en-US"/>
        </w:rPr>
        <w:t xml:space="preserve">, </w:t>
      </w:r>
      <w:r w:rsidRPr="00A77C56">
        <w:rPr>
          <w:rFonts w:ascii="Arial" w:hAnsi="Arial" w:cs="Arial"/>
          <w:i/>
          <w:iCs/>
          <w:noProof/>
          <w:szCs w:val="24"/>
          <w:lang w:val="en-US"/>
        </w:rPr>
        <w:t>68</w:t>
      </w:r>
      <w:r w:rsidRPr="00A77C56">
        <w:rPr>
          <w:rFonts w:ascii="Arial" w:hAnsi="Arial" w:cs="Arial"/>
          <w:noProof/>
          <w:szCs w:val="24"/>
          <w:lang w:val="en-US"/>
        </w:rPr>
        <w:t xml:space="preserve"> (2), 142–147. https://doi.org/10.1016/j.plasmid.2012.05.001.</w:t>
      </w:r>
    </w:p>
    <w:p w14:paraId="10510FFC"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(38) </w:t>
      </w:r>
      <w:r w:rsidRPr="00A77C56">
        <w:rPr>
          <w:rFonts w:ascii="Arial" w:hAnsi="Arial" w:cs="Arial"/>
          <w:noProof/>
          <w:szCs w:val="24"/>
          <w:lang w:val="en-US"/>
        </w:rPr>
        <w:tab/>
        <w:t xml:space="preserve">Young, D. D.; Deiters, A. Photochemical Activation of Protein Expression in Bacterial Cells. </w:t>
      </w:r>
      <w:r w:rsidRPr="00A77C56">
        <w:rPr>
          <w:rFonts w:ascii="Arial" w:hAnsi="Arial" w:cs="Arial"/>
          <w:i/>
          <w:iCs/>
          <w:noProof/>
          <w:szCs w:val="24"/>
          <w:lang w:val="en-US"/>
        </w:rPr>
        <w:t>Angew. Chemie - Int. Ed.</w:t>
      </w:r>
      <w:r w:rsidRPr="00A77C56">
        <w:rPr>
          <w:rFonts w:ascii="Arial" w:hAnsi="Arial" w:cs="Arial"/>
          <w:noProof/>
          <w:szCs w:val="24"/>
          <w:lang w:val="en-US"/>
        </w:rPr>
        <w:t xml:space="preserve"> </w:t>
      </w:r>
      <w:r w:rsidRPr="00A77C56">
        <w:rPr>
          <w:rFonts w:ascii="Arial" w:hAnsi="Arial" w:cs="Arial"/>
          <w:b/>
          <w:bCs/>
          <w:noProof/>
          <w:szCs w:val="24"/>
          <w:lang w:val="en-US"/>
        </w:rPr>
        <w:t>2007</w:t>
      </w:r>
      <w:r w:rsidRPr="00A77C56">
        <w:rPr>
          <w:rFonts w:ascii="Arial" w:hAnsi="Arial" w:cs="Arial"/>
          <w:noProof/>
          <w:szCs w:val="24"/>
          <w:lang w:val="en-US"/>
        </w:rPr>
        <w:t xml:space="preserve">, </w:t>
      </w:r>
      <w:r w:rsidRPr="00A77C56">
        <w:rPr>
          <w:rFonts w:ascii="Arial" w:hAnsi="Arial" w:cs="Arial"/>
          <w:i/>
          <w:iCs/>
          <w:noProof/>
          <w:szCs w:val="24"/>
          <w:lang w:val="en-US"/>
        </w:rPr>
        <w:t>46</w:t>
      </w:r>
      <w:r w:rsidRPr="00A77C56">
        <w:rPr>
          <w:rFonts w:ascii="Arial" w:hAnsi="Arial" w:cs="Arial"/>
          <w:noProof/>
          <w:szCs w:val="24"/>
          <w:lang w:val="en-US"/>
        </w:rPr>
        <w:t xml:space="preserve"> (23), 4290–4292. https://doi.org/10.1002/anie.200700057.</w:t>
      </w:r>
    </w:p>
    <w:p w14:paraId="10DEE6A7"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(39) </w:t>
      </w:r>
      <w:r w:rsidRPr="00A77C56">
        <w:rPr>
          <w:rFonts w:ascii="Arial" w:hAnsi="Arial" w:cs="Arial"/>
          <w:noProof/>
          <w:szCs w:val="24"/>
          <w:lang w:val="en-US"/>
        </w:rPr>
        <w:tab/>
        <w:t xml:space="preserve">Binder, D.; Frohwitter, J.; Mahr, R.; Bier, C.; Grünberger, A.; Loeschcke, A.; Peters-Wendisch, P.; Kohlheyer, D.; Pietruszka, J.; Frunzke, J.; Jaeger, K.; Wendisch, V.; Drepper, T. Light-Controlled Cell Factories – Employing Photocaged IPTG for Light-Mediated Optimization of Lac-Based Gene Expression and (+)-Valencene Biosynthesis in Corynebacterium Glutamicum. </w:t>
      </w:r>
      <w:r w:rsidRPr="00A77C56">
        <w:rPr>
          <w:rFonts w:ascii="Arial" w:hAnsi="Arial" w:cs="Arial"/>
          <w:i/>
          <w:iCs/>
          <w:noProof/>
          <w:szCs w:val="24"/>
          <w:lang w:val="en-US"/>
        </w:rPr>
        <w:t>Appl. Environ. Microbiol.</w:t>
      </w:r>
      <w:r w:rsidRPr="00A77C56">
        <w:rPr>
          <w:rFonts w:ascii="Arial" w:hAnsi="Arial" w:cs="Arial"/>
          <w:noProof/>
          <w:szCs w:val="24"/>
          <w:lang w:val="en-US"/>
        </w:rPr>
        <w:t xml:space="preserve"> </w:t>
      </w:r>
      <w:r w:rsidRPr="00A77C56">
        <w:rPr>
          <w:rFonts w:ascii="Arial" w:hAnsi="Arial" w:cs="Arial"/>
          <w:b/>
          <w:bCs/>
          <w:noProof/>
          <w:szCs w:val="24"/>
          <w:lang w:val="en-US"/>
        </w:rPr>
        <w:t>2016</w:t>
      </w:r>
      <w:r w:rsidRPr="00A77C56">
        <w:rPr>
          <w:rFonts w:ascii="Arial" w:hAnsi="Arial" w:cs="Arial"/>
          <w:noProof/>
          <w:szCs w:val="24"/>
          <w:lang w:val="en-US"/>
        </w:rPr>
        <w:t>, No. 20, 6141–6149. https://doi.org/10.1128/AEM.01457-16.Editor.</w:t>
      </w:r>
    </w:p>
    <w:p w14:paraId="52435FAC"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(40) </w:t>
      </w:r>
      <w:r w:rsidRPr="00A77C56">
        <w:rPr>
          <w:rFonts w:ascii="Arial" w:hAnsi="Arial" w:cs="Arial"/>
          <w:noProof/>
          <w:szCs w:val="24"/>
          <w:lang w:val="en-US"/>
        </w:rPr>
        <w:tab/>
        <w:t xml:space="preserve">Binder, D.; Drepper, T.; Jaeger, K. E.; Delvigne, F.; Wiechert, W.; Kohlheyer, D.; Grunberger, A. Homogenizing Bacterial Cell Factories: Analysis and Engineering of Phenotypic Heterogeneity. </w:t>
      </w:r>
      <w:r w:rsidRPr="00A77C56">
        <w:rPr>
          <w:rFonts w:ascii="Arial" w:hAnsi="Arial" w:cs="Arial"/>
          <w:i/>
          <w:iCs/>
          <w:noProof/>
          <w:szCs w:val="24"/>
          <w:lang w:val="en-US"/>
        </w:rPr>
        <w:t>Metab Eng</w:t>
      </w:r>
      <w:r w:rsidRPr="00A77C56">
        <w:rPr>
          <w:rFonts w:ascii="Arial" w:hAnsi="Arial" w:cs="Arial"/>
          <w:noProof/>
          <w:szCs w:val="24"/>
          <w:lang w:val="en-US"/>
        </w:rPr>
        <w:t xml:space="preserve"> </w:t>
      </w:r>
      <w:r w:rsidRPr="00A77C56">
        <w:rPr>
          <w:rFonts w:ascii="Arial" w:hAnsi="Arial" w:cs="Arial"/>
          <w:b/>
          <w:bCs/>
          <w:noProof/>
          <w:szCs w:val="24"/>
          <w:lang w:val="en-US"/>
        </w:rPr>
        <w:t>2017</w:t>
      </w:r>
      <w:r w:rsidRPr="00A77C56">
        <w:rPr>
          <w:rFonts w:ascii="Arial" w:hAnsi="Arial" w:cs="Arial"/>
          <w:noProof/>
          <w:szCs w:val="24"/>
          <w:lang w:val="en-US"/>
        </w:rPr>
        <w:t xml:space="preserve">, </w:t>
      </w:r>
      <w:r w:rsidRPr="00A77C56">
        <w:rPr>
          <w:rFonts w:ascii="Arial" w:hAnsi="Arial" w:cs="Arial"/>
          <w:i/>
          <w:iCs/>
          <w:noProof/>
          <w:szCs w:val="24"/>
          <w:lang w:val="en-US"/>
        </w:rPr>
        <w:t>42</w:t>
      </w:r>
      <w:r w:rsidRPr="00A77C56">
        <w:rPr>
          <w:rFonts w:ascii="Arial" w:hAnsi="Arial" w:cs="Arial"/>
          <w:noProof/>
          <w:szCs w:val="24"/>
          <w:lang w:val="en-US"/>
        </w:rPr>
        <w:t>, 145–156. https://doi.org/10.1016/j.ymben.2017.06.009.</w:t>
      </w:r>
    </w:p>
    <w:p w14:paraId="7DBA1C80"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(41) </w:t>
      </w:r>
      <w:r w:rsidRPr="00A77C56">
        <w:rPr>
          <w:rFonts w:ascii="Arial" w:hAnsi="Arial" w:cs="Arial"/>
          <w:noProof/>
          <w:szCs w:val="24"/>
          <w:lang w:val="en-US"/>
        </w:rPr>
        <w:tab/>
        <w:t xml:space="preserve">Wandrey, G.; Bier, C.; Binder, D.; Hoffmann, K.; Jaeger, K.-E.; Pietruszka, J.; Drepper, T.; Büchs, J. Light-Induced Gene Expression with Photocaged IPTG for Induction Profiling in a High-Throughput Screening System. </w:t>
      </w:r>
      <w:r w:rsidRPr="00A77C56">
        <w:rPr>
          <w:rFonts w:ascii="Arial" w:hAnsi="Arial" w:cs="Arial"/>
          <w:i/>
          <w:iCs/>
          <w:noProof/>
          <w:szCs w:val="24"/>
          <w:lang w:val="en-US"/>
        </w:rPr>
        <w:t>Microb. Cell Fact.</w:t>
      </w:r>
      <w:r w:rsidRPr="00A77C56">
        <w:rPr>
          <w:rFonts w:ascii="Arial" w:hAnsi="Arial" w:cs="Arial"/>
          <w:noProof/>
          <w:szCs w:val="24"/>
          <w:lang w:val="en-US"/>
        </w:rPr>
        <w:t xml:space="preserve"> </w:t>
      </w:r>
      <w:r w:rsidRPr="00A77C56">
        <w:rPr>
          <w:rFonts w:ascii="Arial" w:hAnsi="Arial" w:cs="Arial"/>
          <w:b/>
          <w:bCs/>
          <w:noProof/>
          <w:szCs w:val="24"/>
          <w:lang w:val="en-US"/>
        </w:rPr>
        <w:t>2016</w:t>
      </w:r>
      <w:r w:rsidRPr="00A77C56">
        <w:rPr>
          <w:rFonts w:ascii="Arial" w:hAnsi="Arial" w:cs="Arial"/>
          <w:noProof/>
          <w:szCs w:val="24"/>
          <w:lang w:val="en-US"/>
        </w:rPr>
        <w:t xml:space="preserve">, </w:t>
      </w:r>
      <w:r w:rsidRPr="00A77C56">
        <w:rPr>
          <w:rFonts w:ascii="Arial" w:hAnsi="Arial" w:cs="Arial"/>
          <w:i/>
          <w:iCs/>
          <w:noProof/>
          <w:szCs w:val="24"/>
          <w:lang w:val="en-US"/>
        </w:rPr>
        <w:t>15</w:t>
      </w:r>
      <w:r w:rsidRPr="00A77C56">
        <w:rPr>
          <w:rFonts w:ascii="Arial" w:hAnsi="Arial" w:cs="Arial"/>
          <w:noProof/>
          <w:szCs w:val="24"/>
          <w:lang w:val="en-US"/>
        </w:rPr>
        <w:t xml:space="preserve"> (1), 63. https://doi.org/10.1186/s12934-016-0461-3.</w:t>
      </w:r>
    </w:p>
    <w:p w14:paraId="67E46497"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(42) </w:t>
      </w:r>
      <w:r w:rsidRPr="00A77C56">
        <w:rPr>
          <w:rFonts w:ascii="Arial" w:hAnsi="Arial" w:cs="Arial"/>
          <w:noProof/>
          <w:szCs w:val="24"/>
          <w:lang w:val="en-US"/>
        </w:rPr>
        <w:tab/>
        <w:t xml:space="preserve">Lindemann, D.; Westerwalbesloh, C.; Kohlheyer, D.; Grünberger, A.; Von Lieres, E. Microbial Single-Cell Growth Response at Defined Carbon Limiting Conditions. </w:t>
      </w:r>
      <w:r w:rsidRPr="00A77C56">
        <w:rPr>
          <w:rFonts w:ascii="Arial" w:hAnsi="Arial" w:cs="Arial"/>
          <w:i/>
          <w:iCs/>
          <w:noProof/>
          <w:szCs w:val="24"/>
          <w:lang w:val="en-US"/>
        </w:rPr>
        <w:t>RSC Adv.</w:t>
      </w:r>
      <w:r w:rsidRPr="00A77C56">
        <w:rPr>
          <w:rFonts w:ascii="Arial" w:hAnsi="Arial" w:cs="Arial"/>
          <w:noProof/>
          <w:szCs w:val="24"/>
          <w:lang w:val="en-US"/>
        </w:rPr>
        <w:t xml:space="preserve"> </w:t>
      </w:r>
      <w:r w:rsidRPr="00A77C56">
        <w:rPr>
          <w:rFonts w:ascii="Arial" w:hAnsi="Arial" w:cs="Arial"/>
          <w:b/>
          <w:bCs/>
          <w:noProof/>
          <w:szCs w:val="24"/>
          <w:lang w:val="en-US"/>
        </w:rPr>
        <w:t>2019</w:t>
      </w:r>
      <w:r w:rsidRPr="00A77C56">
        <w:rPr>
          <w:rFonts w:ascii="Arial" w:hAnsi="Arial" w:cs="Arial"/>
          <w:noProof/>
          <w:szCs w:val="24"/>
          <w:lang w:val="en-US"/>
        </w:rPr>
        <w:t xml:space="preserve">, </w:t>
      </w:r>
      <w:r w:rsidRPr="00A77C56">
        <w:rPr>
          <w:rFonts w:ascii="Arial" w:hAnsi="Arial" w:cs="Arial"/>
          <w:i/>
          <w:iCs/>
          <w:noProof/>
          <w:szCs w:val="24"/>
          <w:lang w:val="en-US"/>
        </w:rPr>
        <w:t>9</w:t>
      </w:r>
      <w:r w:rsidRPr="00A77C56">
        <w:rPr>
          <w:rFonts w:ascii="Arial" w:hAnsi="Arial" w:cs="Arial"/>
          <w:noProof/>
          <w:szCs w:val="24"/>
          <w:lang w:val="en-US"/>
        </w:rPr>
        <w:t xml:space="preserve"> (25), 14040–14050. https://doi.org/10.1039/c9ra02454a.</w:t>
      </w:r>
    </w:p>
    <w:p w14:paraId="3FF3EC11"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(43) </w:t>
      </w:r>
      <w:r w:rsidRPr="00A77C56">
        <w:rPr>
          <w:rFonts w:ascii="Arial" w:hAnsi="Arial" w:cs="Arial"/>
          <w:noProof/>
          <w:szCs w:val="24"/>
          <w:lang w:val="en-US"/>
        </w:rPr>
        <w:tab/>
        <w:t xml:space="preserve">Kaganovitch, E.; Steurer, X.; Dogan, D.; Probst, C.; Wiechert, W.; Kohlheyer, D. Microbial Single-Cell Analysis in Picoliter-Sized Batch Cultivation Chambers. </w:t>
      </w:r>
      <w:r w:rsidRPr="00A77C56">
        <w:rPr>
          <w:rFonts w:ascii="Arial" w:hAnsi="Arial" w:cs="Arial"/>
          <w:i/>
          <w:iCs/>
          <w:noProof/>
          <w:szCs w:val="24"/>
          <w:lang w:val="en-US"/>
        </w:rPr>
        <w:t>N. Biotechnol.</w:t>
      </w:r>
      <w:r w:rsidRPr="00A77C56">
        <w:rPr>
          <w:rFonts w:ascii="Arial" w:hAnsi="Arial" w:cs="Arial"/>
          <w:noProof/>
          <w:szCs w:val="24"/>
          <w:lang w:val="en-US"/>
        </w:rPr>
        <w:t xml:space="preserve"> </w:t>
      </w:r>
      <w:r w:rsidRPr="00A77C56">
        <w:rPr>
          <w:rFonts w:ascii="Arial" w:hAnsi="Arial" w:cs="Arial"/>
          <w:b/>
          <w:bCs/>
          <w:noProof/>
          <w:szCs w:val="24"/>
          <w:lang w:val="en-US"/>
        </w:rPr>
        <w:t>2018</w:t>
      </w:r>
      <w:r w:rsidRPr="00A77C56">
        <w:rPr>
          <w:rFonts w:ascii="Arial" w:hAnsi="Arial" w:cs="Arial"/>
          <w:noProof/>
          <w:szCs w:val="24"/>
          <w:lang w:val="en-US"/>
        </w:rPr>
        <w:t xml:space="preserve">, </w:t>
      </w:r>
      <w:r w:rsidRPr="00A77C56">
        <w:rPr>
          <w:rFonts w:ascii="Arial" w:hAnsi="Arial" w:cs="Arial"/>
          <w:i/>
          <w:iCs/>
          <w:noProof/>
          <w:szCs w:val="24"/>
          <w:lang w:val="en-US"/>
        </w:rPr>
        <w:t>47</w:t>
      </w:r>
      <w:r w:rsidRPr="00A77C56">
        <w:rPr>
          <w:rFonts w:ascii="Arial" w:hAnsi="Arial" w:cs="Arial"/>
          <w:noProof/>
          <w:szCs w:val="24"/>
          <w:lang w:val="en-US"/>
        </w:rPr>
        <w:t>, 50–59. https://doi.org/10.1016/j.nbt.2018.01.009.</w:t>
      </w:r>
    </w:p>
    <w:p w14:paraId="0BB421A5"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lastRenderedPageBreak/>
        <w:t xml:space="preserve">(44) </w:t>
      </w:r>
      <w:r w:rsidRPr="00A77C56">
        <w:rPr>
          <w:rFonts w:ascii="Arial" w:hAnsi="Arial" w:cs="Arial"/>
          <w:noProof/>
          <w:szCs w:val="24"/>
          <w:lang w:val="en-US"/>
        </w:rPr>
        <w:tab/>
        <w:t xml:space="preserve">Binder, S.; Schendzielorz, G.; Stabler, N.; Krumbach, K.; Hoffmann, K.; Bott, M.; Eggeling, L. A High-Throughput Approach to Identify Genomic Variants of Bacterial Metabolite Producers at the Single-Cell Level. </w:t>
      </w:r>
      <w:r w:rsidRPr="00A77C56">
        <w:rPr>
          <w:rFonts w:ascii="Arial" w:hAnsi="Arial" w:cs="Arial"/>
          <w:i/>
          <w:iCs/>
          <w:noProof/>
          <w:szCs w:val="24"/>
          <w:lang w:val="en-US"/>
        </w:rPr>
        <w:t>Genome Biol</w:t>
      </w:r>
      <w:r w:rsidRPr="00A77C56">
        <w:rPr>
          <w:rFonts w:ascii="Arial" w:hAnsi="Arial" w:cs="Arial"/>
          <w:noProof/>
          <w:szCs w:val="24"/>
          <w:lang w:val="en-US"/>
        </w:rPr>
        <w:t xml:space="preserve"> </w:t>
      </w:r>
      <w:r w:rsidRPr="00A77C56">
        <w:rPr>
          <w:rFonts w:ascii="Arial" w:hAnsi="Arial" w:cs="Arial"/>
          <w:b/>
          <w:bCs/>
          <w:noProof/>
          <w:szCs w:val="24"/>
          <w:lang w:val="en-US"/>
        </w:rPr>
        <w:t>2012</w:t>
      </w:r>
      <w:r w:rsidRPr="00A77C56">
        <w:rPr>
          <w:rFonts w:ascii="Arial" w:hAnsi="Arial" w:cs="Arial"/>
          <w:noProof/>
          <w:szCs w:val="24"/>
          <w:lang w:val="en-US"/>
        </w:rPr>
        <w:t xml:space="preserve">, </w:t>
      </w:r>
      <w:r w:rsidRPr="00A77C56">
        <w:rPr>
          <w:rFonts w:ascii="Arial" w:hAnsi="Arial" w:cs="Arial"/>
          <w:i/>
          <w:iCs/>
          <w:noProof/>
          <w:szCs w:val="24"/>
          <w:lang w:val="en-US"/>
        </w:rPr>
        <w:t>13</w:t>
      </w:r>
      <w:r w:rsidRPr="00A77C56">
        <w:rPr>
          <w:rFonts w:ascii="Arial" w:hAnsi="Arial" w:cs="Arial"/>
          <w:noProof/>
          <w:szCs w:val="24"/>
          <w:lang w:val="en-US"/>
        </w:rPr>
        <w:t xml:space="preserve"> (5), R40. https://doi.org/10.1186/gb-2012-13-5-r40.</w:t>
      </w:r>
    </w:p>
    <w:p w14:paraId="187B65C6"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(45) </w:t>
      </w:r>
      <w:r w:rsidRPr="00A77C56">
        <w:rPr>
          <w:rFonts w:ascii="Arial" w:hAnsi="Arial" w:cs="Arial"/>
          <w:noProof/>
          <w:szCs w:val="24"/>
          <w:lang w:val="en-US"/>
        </w:rPr>
        <w:tab/>
        <w:t>Täuber, S.; Lieres, E.; Grünberger, A. Dynamic Environmental Control in Microfluidic Single</w:t>
      </w:r>
      <w:r w:rsidRPr="00A77C56">
        <w:rPr>
          <w:rFonts w:ascii="Cambria Math" w:hAnsi="Cambria Math" w:cs="Cambria Math"/>
          <w:noProof/>
          <w:szCs w:val="24"/>
          <w:lang w:val="en-US"/>
        </w:rPr>
        <w:t>‐</w:t>
      </w:r>
      <w:r w:rsidRPr="00A77C56">
        <w:rPr>
          <w:rFonts w:ascii="Arial" w:hAnsi="Arial" w:cs="Arial"/>
          <w:noProof/>
          <w:szCs w:val="24"/>
          <w:lang w:val="en-US"/>
        </w:rPr>
        <w:t xml:space="preserve">Cell Cultivations: From Concepts to Applications. </w:t>
      </w:r>
      <w:r w:rsidRPr="00A77C56">
        <w:rPr>
          <w:rFonts w:ascii="Arial" w:hAnsi="Arial" w:cs="Arial"/>
          <w:i/>
          <w:iCs/>
          <w:noProof/>
          <w:szCs w:val="24"/>
          <w:lang w:val="en-US"/>
        </w:rPr>
        <w:t>Small</w:t>
      </w:r>
      <w:r w:rsidRPr="00A77C56">
        <w:rPr>
          <w:rFonts w:ascii="Arial" w:hAnsi="Arial" w:cs="Arial"/>
          <w:noProof/>
          <w:szCs w:val="24"/>
          <w:lang w:val="en-US"/>
        </w:rPr>
        <w:t xml:space="preserve"> </w:t>
      </w:r>
      <w:r w:rsidRPr="00A77C56">
        <w:rPr>
          <w:rFonts w:ascii="Arial" w:hAnsi="Arial" w:cs="Arial"/>
          <w:b/>
          <w:bCs/>
          <w:noProof/>
          <w:szCs w:val="24"/>
          <w:lang w:val="en-US"/>
        </w:rPr>
        <w:t>2020</w:t>
      </w:r>
      <w:r w:rsidRPr="00A77C56">
        <w:rPr>
          <w:rFonts w:ascii="Arial" w:hAnsi="Arial" w:cs="Arial"/>
          <w:noProof/>
          <w:szCs w:val="24"/>
          <w:lang w:val="en-US"/>
        </w:rPr>
        <w:t xml:space="preserve">, </w:t>
      </w:r>
      <w:r w:rsidRPr="00A77C56">
        <w:rPr>
          <w:rFonts w:ascii="Arial" w:hAnsi="Arial" w:cs="Arial"/>
          <w:i/>
          <w:iCs/>
          <w:noProof/>
          <w:szCs w:val="24"/>
          <w:lang w:val="en-US"/>
        </w:rPr>
        <w:t>16</w:t>
      </w:r>
      <w:r w:rsidRPr="00A77C56">
        <w:rPr>
          <w:rFonts w:ascii="Arial" w:hAnsi="Arial" w:cs="Arial"/>
          <w:noProof/>
          <w:szCs w:val="24"/>
          <w:lang w:val="en-US"/>
        </w:rPr>
        <w:t xml:space="preserve"> (16), 1906670. https://doi.org/10.1002/smll.201906670.</w:t>
      </w:r>
    </w:p>
    <w:p w14:paraId="50FC248F"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(46) </w:t>
      </w:r>
      <w:r w:rsidRPr="00A77C56">
        <w:rPr>
          <w:rFonts w:ascii="Arial" w:hAnsi="Arial" w:cs="Arial"/>
          <w:noProof/>
          <w:szCs w:val="24"/>
          <w:lang w:val="en-US"/>
        </w:rPr>
        <w:tab/>
        <w:t xml:space="preserve">Zhang, Y.; Shang, X.; Lai, S.; Zhang, G.; Liang, Y.; Wen, T. Development and Application of an Arabinose-Inducible Expression System by Facilitating Inducer Uptake in Corynebacterium Glutamicum. </w:t>
      </w:r>
      <w:r w:rsidRPr="00A77C56">
        <w:rPr>
          <w:rFonts w:ascii="Arial" w:hAnsi="Arial" w:cs="Arial"/>
          <w:i/>
          <w:iCs/>
          <w:noProof/>
          <w:szCs w:val="24"/>
          <w:lang w:val="en-US"/>
        </w:rPr>
        <w:t>Appl. Environ. Microbiol.</w:t>
      </w:r>
      <w:r w:rsidRPr="00A77C56">
        <w:rPr>
          <w:rFonts w:ascii="Arial" w:hAnsi="Arial" w:cs="Arial"/>
          <w:noProof/>
          <w:szCs w:val="24"/>
          <w:lang w:val="en-US"/>
        </w:rPr>
        <w:t xml:space="preserve"> </w:t>
      </w:r>
      <w:r w:rsidRPr="00A77C56">
        <w:rPr>
          <w:rFonts w:ascii="Arial" w:hAnsi="Arial" w:cs="Arial"/>
          <w:b/>
          <w:bCs/>
          <w:noProof/>
          <w:szCs w:val="24"/>
          <w:lang w:val="en-US"/>
        </w:rPr>
        <w:t>2012</w:t>
      </w:r>
      <w:r w:rsidRPr="00A77C56">
        <w:rPr>
          <w:rFonts w:ascii="Arial" w:hAnsi="Arial" w:cs="Arial"/>
          <w:noProof/>
          <w:szCs w:val="24"/>
          <w:lang w:val="en-US"/>
        </w:rPr>
        <w:t xml:space="preserve">, </w:t>
      </w:r>
      <w:r w:rsidRPr="00A77C56">
        <w:rPr>
          <w:rFonts w:ascii="Arial" w:hAnsi="Arial" w:cs="Arial"/>
          <w:i/>
          <w:iCs/>
          <w:noProof/>
          <w:szCs w:val="24"/>
          <w:lang w:val="en-US"/>
        </w:rPr>
        <w:t>78</w:t>
      </w:r>
      <w:r w:rsidRPr="00A77C56">
        <w:rPr>
          <w:rFonts w:ascii="Arial" w:hAnsi="Arial" w:cs="Arial"/>
          <w:noProof/>
          <w:szCs w:val="24"/>
          <w:lang w:val="en-US"/>
        </w:rPr>
        <w:t xml:space="preserve"> (16), 5831–5838. https://doi.org/10.1128/AEM.01147-12.</w:t>
      </w:r>
    </w:p>
    <w:p w14:paraId="741374A9"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(47) </w:t>
      </w:r>
      <w:r w:rsidRPr="00A77C56">
        <w:rPr>
          <w:rFonts w:ascii="Arial" w:hAnsi="Arial" w:cs="Arial"/>
          <w:noProof/>
          <w:szCs w:val="24"/>
          <w:lang w:val="en-US"/>
        </w:rPr>
        <w:tab/>
        <w:t xml:space="preserve">Lee, M. J.; Kim, P. Recombinant Protein Expression System in Corynebacterium Glutamicum and Its Application. </w:t>
      </w:r>
      <w:r w:rsidRPr="00A77C56">
        <w:rPr>
          <w:rFonts w:ascii="Arial" w:hAnsi="Arial" w:cs="Arial"/>
          <w:i/>
          <w:iCs/>
          <w:noProof/>
          <w:szCs w:val="24"/>
          <w:lang w:val="en-US"/>
        </w:rPr>
        <w:t>Front. Microbiol.</w:t>
      </w:r>
      <w:r w:rsidRPr="00A77C56">
        <w:rPr>
          <w:rFonts w:ascii="Arial" w:hAnsi="Arial" w:cs="Arial"/>
          <w:noProof/>
          <w:szCs w:val="24"/>
          <w:lang w:val="en-US"/>
        </w:rPr>
        <w:t xml:space="preserve"> </w:t>
      </w:r>
      <w:r w:rsidRPr="00A77C56">
        <w:rPr>
          <w:rFonts w:ascii="Arial" w:hAnsi="Arial" w:cs="Arial"/>
          <w:b/>
          <w:bCs/>
          <w:noProof/>
          <w:szCs w:val="24"/>
          <w:lang w:val="en-US"/>
        </w:rPr>
        <w:t>2018</w:t>
      </w:r>
      <w:r w:rsidRPr="00A77C56">
        <w:rPr>
          <w:rFonts w:ascii="Arial" w:hAnsi="Arial" w:cs="Arial"/>
          <w:noProof/>
          <w:szCs w:val="24"/>
          <w:lang w:val="en-US"/>
        </w:rPr>
        <w:t xml:space="preserve">, </w:t>
      </w:r>
      <w:r w:rsidRPr="00A77C56">
        <w:rPr>
          <w:rFonts w:ascii="Arial" w:hAnsi="Arial" w:cs="Arial"/>
          <w:i/>
          <w:iCs/>
          <w:noProof/>
          <w:szCs w:val="24"/>
          <w:lang w:val="en-US"/>
        </w:rPr>
        <w:t>9</w:t>
      </w:r>
      <w:r w:rsidRPr="00A77C56">
        <w:rPr>
          <w:rFonts w:ascii="Arial" w:hAnsi="Arial" w:cs="Arial"/>
          <w:noProof/>
          <w:szCs w:val="24"/>
          <w:lang w:val="en-US"/>
        </w:rPr>
        <w:t xml:space="preserve"> (OCT). https://doi.org/10.3389/fmicb.2018.02523.</w:t>
      </w:r>
    </w:p>
    <w:p w14:paraId="296F7B1F"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(48) </w:t>
      </w:r>
      <w:r w:rsidRPr="00A77C56">
        <w:rPr>
          <w:rFonts w:ascii="Arial" w:hAnsi="Arial" w:cs="Arial"/>
          <w:noProof/>
          <w:szCs w:val="24"/>
          <w:lang w:val="en-US"/>
        </w:rPr>
        <w:tab/>
        <w:t xml:space="preserve">Bertani, G. Studies on Lysogenesis. I. The Mode of Phage Liberation by Lysogenic Escherichia Coli. </w:t>
      </w:r>
      <w:r w:rsidRPr="00A77C56">
        <w:rPr>
          <w:rFonts w:ascii="Arial" w:hAnsi="Arial" w:cs="Arial"/>
          <w:i/>
          <w:iCs/>
          <w:noProof/>
          <w:szCs w:val="24"/>
          <w:lang w:val="en-US"/>
        </w:rPr>
        <w:t>J. Bacteriol.</w:t>
      </w:r>
      <w:r w:rsidRPr="00A77C56">
        <w:rPr>
          <w:rFonts w:ascii="Arial" w:hAnsi="Arial" w:cs="Arial"/>
          <w:noProof/>
          <w:szCs w:val="24"/>
          <w:lang w:val="en-US"/>
        </w:rPr>
        <w:t xml:space="preserve"> </w:t>
      </w:r>
      <w:r w:rsidRPr="00A77C56">
        <w:rPr>
          <w:rFonts w:ascii="Arial" w:hAnsi="Arial" w:cs="Arial"/>
          <w:b/>
          <w:bCs/>
          <w:noProof/>
          <w:szCs w:val="24"/>
          <w:lang w:val="en-US"/>
        </w:rPr>
        <w:t>1951</w:t>
      </w:r>
      <w:r w:rsidRPr="00A77C56">
        <w:rPr>
          <w:rFonts w:ascii="Arial" w:hAnsi="Arial" w:cs="Arial"/>
          <w:noProof/>
          <w:szCs w:val="24"/>
          <w:lang w:val="en-US"/>
        </w:rPr>
        <w:t xml:space="preserve">, </w:t>
      </w:r>
      <w:r w:rsidRPr="00A77C56">
        <w:rPr>
          <w:rFonts w:ascii="Arial" w:hAnsi="Arial" w:cs="Arial"/>
          <w:i/>
          <w:iCs/>
          <w:noProof/>
          <w:szCs w:val="24"/>
          <w:lang w:val="en-US"/>
        </w:rPr>
        <w:t>62</w:t>
      </w:r>
      <w:r w:rsidRPr="00A77C56">
        <w:rPr>
          <w:rFonts w:ascii="Arial" w:hAnsi="Arial" w:cs="Arial"/>
          <w:noProof/>
          <w:szCs w:val="24"/>
          <w:lang w:val="en-US"/>
        </w:rPr>
        <w:t xml:space="preserve"> (3), 293–300.</w:t>
      </w:r>
    </w:p>
    <w:p w14:paraId="34D31454"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(49) </w:t>
      </w:r>
      <w:r w:rsidRPr="00A77C56">
        <w:rPr>
          <w:rFonts w:ascii="Arial" w:hAnsi="Arial" w:cs="Arial"/>
          <w:noProof/>
          <w:szCs w:val="24"/>
          <w:lang w:val="en-US"/>
        </w:rPr>
        <w:tab/>
        <w:t xml:space="preserve">Eggeling, L.; Bott, M. </w:t>
      </w:r>
      <w:r w:rsidRPr="00A77C56">
        <w:rPr>
          <w:rFonts w:ascii="Arial" w:hAnsi="Arial" w:cs="Arial"/>
          <w:i/>
          <w:iCs/>
          <w:noProof/>
          <w:szCs w:val="24"/>
          <w:lang w:val="en-US"/>
        </w:rPr>
        <w:t>Handbook of Corynebacterium Glutamicum</w:t>
      </w:r>
      <w:r w:rsidRPr="00A77C56">
        <w:rPr>
          <w:rFonts w:ascii="Arial" w:hAnsi="Arial" w:cs="Arial"/>
          <w:noProof/>
          <w:szCs w:val="24"/>
          <w:lang w:val="en-US"/>
        </w:rPr>
        <w:t>; 2005. https://doi.org/10.1201/9781420039696.</w:t>
      </w:r>
    </w:p>
    <w:p w14:paraId="20BF999C"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(50) </w:t>
      </w:r>
      <w:r w:rsidRPr="00A77C56">
        <w:rPr>
          <w:rFonts w:ascii="Arial" w:hAnsi="Arial" w:cs="Arial"/>
          <w:noProof/>
          <w:szCs w:val="24"/>
          <w:lang w:val="en-US"/>
        </w:rPr>
        <w:tab/>
        <w:t xml:space="preserve">Abe, S.; Takayama, K. I.; Kinoshita, S. Taxonomical Studies on Glutamic Acid-Producing Bacteria. </w:t>
      </w:r>
      <w:r w:rsidRPr="00A77C56">
        <w:rPr>
          <w:rFonts w:ascii="Arial" w:hAnsi="Arial" w:cs="Arial"/>
          <w:i/>
          <w:iCs/>
          <w:noProof/>
          <w:szCs w:val="24"/>
          <w:lang w:val="en-US"/>
        </w:rPr>
        <w:t>J. Gen. Appl. Microbiol.</w:t>
      </w:r>
      <w:r w:rsidRPr="00A77C56">
        <w:rPr>
          <w:rFonts w:ascii="Arial" w:hAnsi="Arial" w:cs="Arial"/>
          <w:noProof/>
          <w:szCs w:val="24"/>
          <w:lang w:val="en-US"/>
        </w:rPr>
        <w:t xml:space="preserve"> </w:t>
      </w:r>
      <w:r w:rsidRPr="00A77C56">
        <w:rPr>
          <w:rFonts w:ascii="Arial" w:hAnsi="Arial" w:cs="Arial"/>
          <w:b/>
          <w:bCs/>
          <w:noProof/>
          <w:szCs w:val="24"/>
          <w:lang w:val="en-US"/>
        </w:rPr>
        <w:t>1967</w:t>
      </w:r>
      <w:r w:rsidRPr="00A77C56">
        <w:rPr>
          <w:rFonts w:ascii="Arial" w:hAnsi="Arial" w:cs="Arial"/>
          <w:noProof/>
          <w:szCs w:val="24"/>
          <w:lang w:val="en-US"/>
        </w:rPr>
        <w:t xml:space="preserve">, </w:t>
      </w:r>
      <w:r w:rsidRPr="00A77C56">
        <w:rPr>
          <w:rFonts w:ascii="Arial" w:hAnsi="Arial" w:cs="Arial"/>
          <w:i/>
          <w:iCs/>
          <w:noProof/>
          <w:szCs w:val="24"/>
          <w:lang w:val="en-US"/>
        </w:rPr>
        <w:t>13</w:t>
      </w:r>
      <w:r w:rsidRPr="00A77C56">
        <w:rPr>
          <w:rFonts w:ascii="Arial" w:hAnsi="Arial" w:cs="Arial"/>
          <w:noProof/>
          <w:szCs w:val="24"/>
          <w:lang w:val="en-US"/>
        </w:rPr>
        <w:t xml:space="preserve"> (3), 279–301. https://doi.org/10.2323/jgam.13.279.</w:t>
      </w:r>
    </w:p>
    <w:p w14:paraId="7174A6E6"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(51) </w:t>
      </w:r>
      <w:r w:rsidRPr="00A77C56">
        <w:rPr>
          <w:rFonts w:ascii="Arial" w:hAnsi="Arial" w:cs="Arial"/>
          <w:noProof/>
          <w:szCs w:val="24"/>
          <w:lang w:val="en-US"/>
        </w:rPr>
        <w:tab/>
        <w:t xml:space="preserve">Hentschel, E.; Will, C.; Mustafi, N.; Burkovski, A.; Rehm, N.; Frunzke, J. Destabilized EYFP Variants for Dynamic Gene Expression Studies in Corynebacterium Glutamicum. </w:t>
      </w:r>
      <w:r w:rsidRPr="00A77C56">
        <w:rPr>
          <w:rFonts w:ascii="Arial" w:hAnsi="Arial" w:cs="Arial"/>
          <w:i/>
          <w:iCs/>
          <w:noProof/>
          <w:szCs w:val="24"/>
          <w:lang w:val="en-US"/>
        </w:rPr>
        <w:t>Microb. Biotechnol.</w:t>
      </w:r>
      <w:r w:rsidRPr="00A77C56">
        <w:rPr>
          <w:rFonts w:ascii="Arial" w:hAnsi="Arial" w:cs="Arial"/>
          <w:noProof/>
          <w:szCs w:val="24"/>
          <w:lang w:val="en-US"/>
        </w:rPr>
        <w:t xml:space="preserve"> </w:t>
      </w:r>
      <w:r w:rsidRPr="00A77C56">
        <w:rPr>
          <w:rFonts w:ascii="Arial" w:hAnsi="Arial" w:cs="Arial"/>
          <w:b/>
          <w:bCs/>
          <w:noProof/>
          <w:szCs w:val="24"/>
          <w:lang w:val="en-US"/>
        </w:rPr>
        <w:t>2013</w:t>
      </w:r>
      <w:r w:rsidRPr="00A77C56">
        <w:rPr>
          <w:rFonts w:ascii="Arial" w:hAnsi="Arial" w:cs="Arial"/>
          <w:noProof/>
          <w:szCs w:val="24"/>
          <w:lang w:val="en-US"/>
        </w:rPr>
        <w:t xml:space="preserve">, </w:t>
      </w:r>
      <w:r w:rsidRPr="00A77C56">
        <w:rPr>
          <w:rFonts w:ascii="Arial" w:hAnsi="Arial" w:cs="Arial"/>
          <w:i/>
          <w:iCs/>
          <w:noProof/>
          <w:szCs w:val="24"/>
          <w:lang w:val="en-US"/>
        </w:rPr>
        <w:t>6</w:t>
      </w:r>
      <w:r w:rsidRPr="00A77C56">
        <w:rPr>
          <w:rFonts w:ascii="Arial" w:hAnsi="Arial" w:cs="Arial"/>
          <w:noProof/>
          <w:szCs w:val="24"/>
          <w:lang w:val="en-US"/>
        </w:rPr>
        <w:t xml:space="preserve"> (2), 196–201. https://doi.org/10.1111/j.1751-7915.2012.00360.x.</w:t>
      </w:r>
    </w:p>
    <w:p w14:paraId="2333AC5C"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(52) </w:t>
      </w:r>
      <w:r w:rsidRPr="00A77C56">
        <w:rPr>
          <w:rFonts w:ascii="Arial" w:hAnsi="Arial" w:cs="Arial"/>
          <w:noProof/>
          <w:szCs w:val="24"/>
          <w:lang w:val="en-US"/>
        </w:rPr>
        <w:tab/>
        <w:t xml:space="preserve">Vrljic, M.; Kronemeyer, W.; Sahm, H.; Eggeling, L. Unbalance of L-Lysine Flux in Corynebacterium Glutamicum and Its Use for the Isolation of Excretion-Defective Mutants. </w:t>
      </w:r>
      <w:r w:rsidRPr="00A77C56">
        <w:rPr>
          <w:rFonts w:ascii="Arial" w:hAnsi="Arial" w:cs="Arial"/>
          <w:i/>
          <w:iCs/>
          <w:noProof/>
          <w:szCs w:val="24"/>
          <w:lang w:val="en-US"/>
        </w:rPr>
        <w:t>J. Bacteriol.</w:t>
      </w:r>
      <w:r w:rsidRPr="00A77C56">
        <w:rPr>
          <w:rFonts w:ascii="Arial" w:hAnsi="Arial" w:cs="Arial"/>
          <w:noProof/>
          <w:szCs w:val="24"/>
          <w:lang w:val="en-US"/>
        </w:rPr>
        <w:t xml:space="preserve"> </w:t>
      </w:r>
      <w:r w:rsidRPr="00A77C56">
        <w:rPr>
          <w:rFonts w:ascii="Arial" w:hAnsi="Arial" w:cs="Arial"/>
          <w:b/>
          <w:bCs/>
          <w:noProof/>
          <w:szCs w:val="24"/>
          <w:lang w:val="en-US"/>
        </w:rPr>
        <w:t>1995</w:t>
      </w:r>
      <w:r w:rsidRPr="00A77C56">
        <w:rPr>
          <w:rFonts w:ascii="Arial" w:hAnsi="Arial" w:cs="Arial"/>
          <w:noProof/>
          <w:szCs w:val="24"/>
          <w:lang w:val="en-US"/>
        </w:rPr>
        <w:t xml:space="preserve">, </w:t>
      </w:r>
      <w:r w:rsidRPr="00A77C56">
        <w:rPr>
          <w:rFonts w:ascii="Arial" w:hAnsi="Arial" w:cs="Arial"/>
          <w:i/>
          <w:iCs/>
          <w:noProof/>
          <w:szCs w:val="24"/>
          <w:lang w:val="en-US"/>
        </w:rPr>
        <w:t>177</w:t>
      </w:r>
      <w:r w:rsidRPr="00A77C56">
        <w:rPr>
          <w:rFonts w:ascii="Arial" w:hAnsi="Arial" w:cs="Arial"/>
          <w:noProof/>
          <w:szCs w:val="24"/>
          <w:lang w:val="en-US"/>
        </w:rPr>
        <w:t xml:space="preserve"> (14), 4021–4027. https://doi.org/10.1128/jb.177.14.4021-4027.1995.</w:t>
      </w:r>
    </w:p>
    <w:p w14:paraId="106800FE"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(53) </w:t>
      </w:r>
      <w:r w:rsidRPr="00A77C56">
        <w:rPr>
          <w:rFonts w:ascii="Arial" w:hAnsi="Arial" w:cs="Arial"/>
          <w:noProof/>
          <w:szCs w:val="24"/>
          <w:lang w:val="en-US"/>
        </w:rPr>
        <w:tab/>
        <w:t xml:space="preserve">Eikmanns, B. J.; Kleinertz, E.; Liebl, W.; Sahm, H. A Family of Corynebacterium Glutamicum/Escherichia Coli Shuttle Vectors for Cloning, Controlled Gene Expression, and Promoter Probing. </w:t>
      </w:r>
      <w:r w:rsidRPr="00A77C56">
        <w:rPr>
          <w:rFonts w:ascii="Arial" w:hAnsi="Arial" w:cs="Arial"/>
          <w:i/>
          <w:iCs/>
          <w:noProof/>
          <w:szCs w:val="24"/>
          <w:lang w:val="en-US"/>
        </w:rPr>
        <w:t>Plasmid</w:t>
      </w:r>
      <w:r w:rsidRPr="00A77C56">
        <w:rPr>
          <w:rFonts w:ascii="Arial" w:hAnsi="Arial" w:cs="Arial"/>
          <w:noProof/>
          <w:szCs w:val="24"/>
          <w:lang w:val="en-US"/>
        </w:rPr>
        <w:t xml:space="preserve"> </w:t>
      </w:r>
      <w:r w:rsidRPr="00A77C56">
        <w:rPr>
          <w:rFonts w:ascii="Arial" w:hAnsi="Arial" w:cs="Arial"/>
          <w:b/>
          <w:bCs/>
          <w:noProof/>
          <w:szCs w:val="24"/>
          <w:lang w:val="en-US"/>
        </w:rPr>
        <w:t>1991</w:t>
      </w:r>
      <w:r w:rsidRPr="00A77C56">
        <w:rPr>
          <w:rFonts w:ascii="Arial" w:hAnsi="Arial" w:cs="Arial"/>
          <w:noProof/>
          <w:szCs w:val="24"/>
          <w:lang w:val="en-US"/>
        </w:rPr>
        <w:t xml:space="preserve">, </w:t>
      </w:r>
      <w:r w:rsidRPr="00A77C56">
        <w:rPr>
          <w:rFonts w:ascii="Arial" w:hAnsi="Arial" w:cs="Arial"/>
          <w:i/>
          <w:iCs/>
          <w:noProof/>
          <w:szCs w:val="24"/>
          <w:lang w:val="en-US"/>
        </w:rPr>
        <w:t>102</w:t>
      </w:r>
      <w:r w:rsidRPr="00A77C56">
        <w:rPr>
          <w:rFonts w:ascii="Arial" w:hAnsi="Arial" w:cs="Arial"/>
          <w:noProof/>
          <w:szCs w:val="24"/>
          <w:lang w:val="en-US"/>
        </w:rPr>
        <w:t>, 93–98.</w:t>
      </w:r>
    </w:p>
    <w:p w14:paraId="00FAD343"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(54) </w:t>
      </w:r>
      <w:r w:rsidRPr="00A77C56">
        <w:rPr>
          <w:rFonts w:ascii="Arial" w:hAnsi="Arial" w:cs="Arial"/>
          <w:noProof/>
          <w:szCs w:val="24"/>
          <w:lang w:val="en-US"/>
        </w:rPr>
        <w:tab/>
        <w:t xml:space="preserve">Unthan, S.; Grünberger, A.; van Ooyen, J.; Gätgens, J.; Heinrich, J.; Paczia, N.; Wiechert, W.; Kohlheyer, D.; Noack, S. Beyond Growth Rate 0.6: What Drives </w:t>
      </w:r>
      <w:r w:rsidRPr="00A77C56">
        <w:rPr>
          <w:rFonts w:ascii="Arial" w:hAnsi="Arial" w:cs="Arial"/>
          <w:noProof/>
          <w:szCs w:val="24"/>
          <w:lang w:val="en-US"/>
        </w:rPr>
        <w:lastRenderedPageBreak/>
        <w:t xml:space="preserve">Corynebacterium Glutamicum to Higher Growth Rates in Defined Medium. </w:t>
      </w:r>
      <w:r w:rsidRPr="00A77C56">
        <w:rPr>
          <w:rFonts w:ascii="Arial" w:hAnsi="Arial" w:cs="Arial"/>
          <w:i/>
          <w:iCs/>
          <w:noProof/>
          <w:szCs w:val="24"/>
          <w:lang w:val="en-US"/>
        </w:rPr>
        <w:t>Biotechnol. Bioeng.</w:t>
      </w:r>
      <w:r w:rsidRPr="00A77C56">
        <w:rPr>
          <w:rFonts w:ascii="Arial" w:hAnsi="Arial" w:cs="Arial"/>
          <w:noProof/>
          <w:szCs w:val="24"/>
          <w:lang w:val="en-US"/>
        </w:rPr>
        <w:t xml:space="preserve"> </w:t>
      </w:r>
      <w:r w:rsidRPr="00A77C56">
        <w:rPr>
          <w:rFonts w:ascii="Arial" w:hAnsi="Arial" w:cs="Arial"/>
          <w:b/>
          <w:bCs/>
          <w:noProof/>
          <w:szCs w:val="24"/>
          <w:lang w:val="en-US"/>
        </w:rPr>
        <w:t>2014</w:t>
      </w:r>
      <w:r w:rsidRPr="00A77C56">
        <w:rPr>
          <w:rFonts w:ascii="Arial" w:hAnsi="Arial" w:cs="Arial"/>
          <w:noProof/>
          <w:szCs w:val="24"/>
          <w:lang w:val="en-US"/>
        </w:rPr>
        <w:t xml:space="preserve">, </w:t>
      </w:r>
      <w:r w:rsidRPr="00A77C56">
        <w:rPr>
          <w:rFonts w:ascii="Arial" w:hAnsi="Arial" w:cs="Arial"/>
          <w:i/>
          <w:iCs/>
          <w:noProof/>
          <w:szCs w:val="24"/>
          <w:lang w:val="en-US"/>
        </w:rPr>
        <w:t>111</w:t>
      </w:r>
      <w:r w:rsidRPr="00A77C56">
        <w:rPr>
          <w:rFonts w:ascii="Arial" w:hAnsi="Arial" w:cs="Arial"/>
          <w:noProof/>
          <w:szCs w:val="24"/>
          <w:lang w:val="en-US"/>
        </w:rPr>
        <w:t xml:space="preserve"> (2), 359–371. https://doi.org/10.1002/bit.25103.</w:t>
      </w:r>
    </w:p>
    <w:p w14:paraId="318773A7"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(55) </w:t>
      </w:r>
      <w:r w:rsidRPr="00A77C56">
        <w:rPr>
          <w:rFonts w:ascii="Arial" w:hAnsi="Arial" w:cs="Arial"/>
          <w:noProof/>
          <w:szCs w:val="24"/>
          <w:lang w:val="en-US"/>
        </w:rPr>
        <w:tab/>
        <w:t xml:space="preserve">Gruenberger, A.; Probst, C.; Heyer, A.; Wiechert, W.; Frunzke, J.; Kohlheyer, D. Microfluidic Picoliter Bioreactor for Microbial Single-Cell Analysis: Fabrication, System Setup, and Operation. </w:t>
      </w:r>
      <w:r w:rsidRPr="00A77C56">
        <w:rPr>
          <w:rFonts w:ascii="Arial" w:hAnsi="Arial" w:cs="Arial"/>
          <w:i/>
          <w:iCs/>
          <w:noProof/>
          <w:szCs w:val="24"/>
          <w:lang w:val="en-US"/>
        </w:rPr>
        <w:t>J. Vis. Exp.</w:t>
      </w:r>
      <w:r w:rsidRPr="00A77C56">
        <w:rPr>
          <w:rFonts w:ascii="Arial" w:hAnsi="Arial" w:cs="Arial"/>
          <w:noProof/>
          <w:szCs w:val="24"/>
          <w:lang w:val="en-US"/>
        </w:rPr>
        <w:t xml:space="preserve"> </w:t>
      </w:r>
      <w:r w:rsidRPr="00A77C56">
        <w:rPr>
          <w:rFonts w:ascii="Arial" w:hAnsi="Arial" w:cs="Arial"/>
          <w:b/>
          <w:bCs/>
          <w:noProof/>
          <w:szCs w:val="24"/>
          <w:lang w:val="en-US"/>
        </w:rPr>
        <w:t>2013</w:t>
      </w:r>
      <w:r w:rsidRPr="00A77C56">
        <w:rPr>
          <w:rFonts w:ascii="Arial" w:hAnsi="Arial" w:cs="Arial"/>
          <w:noProof/>
          <w:szCs w:val="24"/>
          <w:lang w:val="en-US"/>
        </w:rPr>
        <w:t>, No. 82, 50560. https://doi.org/10.3791/50560.</w:t>
      </w:r>
    </w:p>
    <w:p w14:paraId="346C9DFE"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(56) </w:t>
      </w:r>
      <w:r w:rsidRPr="00A77C56">
        <w:rPr>
          <w:rFonts w:ascii="Arial" w:hAnsi="Arial" w:cs="Arial"/>
          <w:noProof/>
          <w:szCs w:val="24"/>
          <w:lang w:val="en-US"/>
        </w:rPr>
        <w:tab/>
        <w:t xml:space="preserve">Probst, C.; Grünberger, A.; Braun, N.; Helfrich, S.; Nöh, K.; Wiechert, W.; Kohlheyer, D. Rapid Inoculation of Single Bacteria into Parallel Picoliter Fermentation Chambers. </w:t>
      </w:r>
      <w:r w:rsidRPr="00A77C56">
        <w:rPr>
          <w:rFonts w:ascii="Arial" w:hAnsi="Arial" w:cs="Arial"/>
          <w:i/>
          <w:iCs/>
          <w:noProof/>
          <w:szCs w:val="24"/>
          <w:lang w:val="en-US"/>
        </w:rPr>
        <w:t>Anal. Methods</w:t>
      </w:r>
      <w:r w:rsidRPr="00A77C56">
        <w:rPr>
          <w:rFonts w:ascii="Arial" w:hAnsi="Arial" w:cs="Arial"/>
          <w:noProof/>
          <w:szCs w:val="24"/>
          <w:lang w:val="en-US"/>
        </w:rPr>
        <w:t xml:space="preserve"> </w:t>
      </w:r>
      <w:r w:rsidRPr="00A77C56">
        <w:rPr>
          <w:rFonts w:ascii="Arial" w:hAnsi="Arial" w:cs="Arial"/>
          <w:b/>
          <w:bCs/>
          <w:noProof/>
          <w:szCs w:val="24"/>
          <w:lang w:val="en-US"/>
        </w:rPr>
        <w:t>2015</w:t>
      </w:r>
      <w:r w:rsidRPr="00A77C56">
        <w:rPr>
          <w:rFonts w:ascii="Arial" w:hAnsi="Arial" w:cs="Arial"/>
          <w:noProof/>
          <w:szCs w:val="24"/>
          <w:lang w:val="en-US"/>
        </w:rPr>
        <w:t xml:space="preserve">, </w:t>
      </w:r>
      <w:r w:rsidRPr="00A77C56">
        <w:rPr>
          <w:rFonts w:ascii="Arial" w:hAnsi="Arial" w:cs="Arial"/>
          <w:i/>
          <w:iCs/>
          <w:noProof/>
          <w:szCs w:val="24"/>
          <w:lang w:val="en-US"/>
        </w:rPr>
        <w:t>7</w:t>
      </w:r>
      <w:r w:rsidRPr="00A77C56">
        <w:rPr>
          <w:rFonts w:ascii="Arial" w:hAnsi="Arial" w:cs="Arial"/>
          <w:noProof/>
          <w:szCs w:val="24"/>
          <w:lang w:val="en-US"/>
        </w:rPr>
        <w:t xml:space="preserve"> (1), 91–98. https://doi.org/10.1039/c4ay02257b.</w:t>
      </w:r>
    </w:p>
    <w:p w14:paraId="45F5F3D3"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(57) </w:t>
      </w:r>
      <w:r w:rsidRPr="00A77C56">
        <w:rPr>
          <w:rFonts w:ascii="Arial" w:hAnsi="Arial" w:cs="Arial"/>
          <w:noProof/>
          <w:szCs w:val="24"/>
          <w:lang w:val="en-US"/>
        </w:rPr>
        <w:tab/>
        <w:t xml:space="preserve">Ducret, A.; Quardokus, E. M.; Brun, Y. V. MicrobeJ, a Tool for High Throughput Bacterial Cell Detection and Quantitative Analysis. </w:t>
      </w:r>
      <w:r w:rsidRPr="00A77C56">
        <w:rPr>
          <w:rFonts w:ascii="Arial" w:hAnsi="Arial" w:cs="Arial"/>
          <w:i/>
          <w:iCs/>
          <w:noProof/>
          <w:szCs w:val="24"/>
          <w:lang w:val="en-US"/>
        </w:rPr>
        <w:t>Nat. Microbiol.</w:t>
      </w:r>
      <w:r w:rsidRPr="00A77C56">
        <w:rPr>
          <w:rFonts w:ascii="Arial" w:hAnsi="Arial" w:cs="Arial"/>
          <w:noProof/>
          <w:szCs w:val="24"/>
          <w:lang w:val="en-US"/>
        </w:rPr>
        <w:t xml:space="preserve"> </w:t>
      </w:r>
      <w:r w:rsidRPr="00A77C56">
        <w:rPr>
          <w:rFonts w:ascii="Arial" w:hAnsi="Arial" w:cs="Arial"/>
          <w:b/>
          <w:bCs/>
          <w:noProof/>
          <w:szCs w:val="24"/>
          <w:lang w:val="en-US"/>
        </w:rPr>
        <w:t>2016</w:t>
      </w:r>
      <w:r w:rsidRPr="00A77C56">
        <w:rPr>
          <w:rFonts w:ascii="Arial" w:hAnsi="Arial" w:cs="Arial"/>
          <w:noProof/>
          <w:szCs w:val="24"/>
          <w:lang w:val="en-US"/>
        </w:rPr>
        <w:t xml:space="preserve">, </w:t>
      </w:r>
      <w:r w:rsidRPr="00A77C56">
        <w:rPr>
          <w:rFonts w:ascii="Arial" w:hAnsi="Arial" w:cs="Arial"/>
          <w:i/>
          <w:iCs/>
          <w:noProof/>
          <w:szCs w:val="24"/>
          <w:lang w:val="en-US"/>
        </w:rPr>
        <w:t>1</w:t>
      </w:r>
      <w:r w:rsidRPr="00A77C56">
        <w:rPr>
          <w:rFonts w:ascii="Arial" w:hAnsi="Arial" w:cs="Arial"/>
          <w:noProof/>
          <w:szCs w:val="24"/>
          <w:lang w:val="en-US"/>
        </w:rPr>
        <w:t xml:space="preserve"> (7), doi:10.1038/nmicrobiol.2016.77.</w:t>
      </w:r>
    </w:p>
    <w:p w14:paraId="0797BFFB"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(58) </w:t>
      </w:r>
      <w:r w:rsidRPr="00A77C56">
        <w:rPr>
          <w:rFonts w:ascii="Arial" w:hAnsi="Arial" w:cs="Arial"/>
          <w:noProof/>
          <w:szCs w:val="24"/>
          <w:lang w:val="en-US"/>
        </w:rPr>
        <w:tab/>
        <w:t xml:space="preserve">Schindelin, J.; Arganda-Carreras, I.; Frise, E.; Kaynig, V.; Longair, M.; Pietzsch, T.; Preibisch, S.; Rueden, C.; Saalfeld, S.; Schmid, B.; Tinevez, J. Y.; White, D. J.; Hartenstein, V.; Eliceiri, K.; Tomancak, P.; Cardona, A. Fiji: An Open-Source Platform for Biological-Image Analysis. </w:t>
      </w:r>
      <w:r w:rsidRPr="00A77C56">
        <w:rPr>
          <w:rFonts w:ascii="Arial" w:hAnsi="Arial" w:cs="Arial"/>
          <w:i/>
          <w:iCs/>
          <w:noProof/>
          <w:szCs w:val="24"/>
          <w:lang w:val="en-US"/>
        </w:rPr>
        <w:t>Nat. Methods</w:t>
      </w:r>
      <w:r w:rsidRPr="00A77C56">
        <w:rPr>
          <w:rFonts w:ascii="Arial" w:hAnsi="Arial" w:cs="Arial"/>
          <w:noProof/>
          <w:szCs w:val="24"/>
          <w:lang w:val="en-US"/>
        </w:rPr>
        <w:t xml:space="preserve"> </w:t>
      </w:r>
      <w:r w:rsidRPr="00A77C56">
        <w:rPr>
          <w:rFonts w:ascii="Arial" w:hAnsi="Arial" w:cs="Arial"/>
          <w:b/>
          <w:bCs/>
          <w:noProof/>
          <w:szCs w:val="24"/>
          <w:lang w:val="en-US"/>
        </w:rPr>
        <w:t>2012</w:t>
      </w:r>
      <w:r w:rsidRPr="00A77C56">
        <w:rPr>
          <w:rFonts w:ascii="Arial" w:hAnsi="Arial" w:cs="Arial"/>
          <w:noProof/>
          <w:szCs w:val="24"/>
          <w:lang w:val="en-US"/>
        </w:rPr>
        <w:t xml:space="preserve">, </w:t>
      </w:r>
      <w:r w:rsidRPr="00A77C56">
        <w:rPr>
          <w:rFonts w:ascii="Arial" w:hAnsi="Arial" w:cs="Arial"/>
          <w:i/>
          <w:iCs/>
          <w:noProof/>
          <w:szCs w:val="24"/>
          <w:lang w:val="en-US"/>
        </w:rPr>
        <w:t>9</w:t>
      </w:r>
      <w:r w:rsidRPr="00A77C56">
        <w:rPr>
          <w:rFonts w:ascii="Arial" w:hAnsi="Arial" w:cs="Arial"/>
          <w:noProof/>
          <w:szCs w:val="24"/>
          <w:lang w:val="en-US"/>
        </w:rPr>
        <w:t xml:space="preserve"> (7), 676–682. https://doi.org/10.1038/nmeth.2019.</w:t>
      </w:r>
    </w:p>
    <w:p w14:paraId="63ACC591"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(59) </w:t>
      </w:r>
      <w:r w:rsidRPr="00A77C56">
        <w:rPr>
          <w:rFonts w:ascii="Arial" w:hAnsi="Arial" w:cs="Arial"/>
          <w:noProof/>
          <w:szCs w:val="24"/>
          <w:lang w:val="en-US"/>
        </w:rPr>
        <w:tab/>
        <w:t xml:space="preserve">Radek, A.; Tenhaef, N.; Müller, M. F.; Brüsseler, C.; Wiechert, W.; Marienhagen, J.; Polen, T.; Noack, S. Miniaturized and Automated Adaptive Laboratory Evolution: Evolving Corynebacterium Glutamicum towards an Improved D-Xylose Utilization. </w:t>
      </w:r>
      <w:r w:rsidRPr="00A77C56">
        <w:rPr>
          <w:rFonts w:ascii="Arial" w:hAnsi="Arial" w:cs="Arial"/>
          <w:i/>
          <w:iCs/>
          <w:noProof/>
          <w:szCs w:val="24"/>
          <w:lang w:val="en-US"/>
        </w:rPr>
        <w:t>Bioresour. Technol.</w:t>
      </w:r>
      <w:r w:rsidRPr="00A77C56">
        <w:rPr>
          <w:rFonts w:ascii="Arial" w:hAnsi="Arial" w:cs="Arial"/>
          <w:noProof/>
          <w:szCs w:val="24"/>
          <w:lang w:val="en-US"/>
        </w:rPr>
        <w:t xml:space="preserve"> </w:t>
      </w:r>
      <w:r w:rsidRPr="00A77C56">
        <w:rPr>
          <w:rFonts w:ascii="Arial" w:hAnsi="Arial" w:cs="Arial"/>
          <w:b/>
          <w:bCs/>
          <w:noProof/>
          <w:szCs w:val="24"/>
          <w:lang w:val="en-US"/>
        </w:rPr>
        <w:t>2017</w:t>
      </w:r>
      <w:r w:rsidRPr="00A77C56">
        <w:rPr>
          <w:rFonts w:ascii="Arial" w:hAnsi="Arial" w:cs="Arial"/>
          <w:noProof/>
          <w:szCs w:val="24"/>
          <w:lang w:val="en-US"/>
        </w:rPr>
        <w:t xml:space="preserve">, </w:t>
      </w:r>
      <w:r w:rsidRPr="00A77C56">
        <w:rPr>
          <w:rFonts w:ascii="Arial" w:hAnsi="Arial" w:cs="Arial"/>
          <w:i/>
          <w:iCs/>
          <w:noProof/>
          <w:szCs w:val="24"/>
          <w:lang w:val="en-US"/>
        </w:rPr>
        <w:t>245</w:t>
      </w:r>
      <w:r w:rsidRPr="00A77C56">
        <w:rPr>
          <w:rFonts w:ascii="Arial" w:hAnsi="Arial" w:cs="Arial"/>
          <w:noProof/>
          <w:szCs w:val="24"/>
          <w:lang w:val="en-US"/>
        </w:rPr>
        <w:t>, 1377–1385. https://doi.org/10.1016/j.biortech.2017.05.055.</w:t>
      </w:r>
    </w:p>
    <w:p w14:paraId="76242D28"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(60) </w:t>
      </w:r>
      <w:r w:rsidRPr="00A77C56">
        <w:rPr>
          <w:rFonts w:ascii="Arial" w:hAnsi="Arial" w:cs="Arial"/>
          <w:noProof/>
          <w:szCs w:val="24"/>
          <w:lang w:val="en-US"/>
        </w:rPr>
        <w:tab/>
        <w:t xml:space="preserve">Harris, C. R.; Millman, K. J.; van der Walt, S. J.; Gommers, R.; Virtanen, P.; Cournapeau, D.; Wieser, E.; Taylor, J.; Berg, S.; Smith, N. J.; Kern, R.; Picus, M.; Hoyer, S.; van Kerkwijk, M. H.; Brett, M.; Haldane, A.; del Río, J. F.; Wiebe, M.; Peterson, P.; Gérard-Marchant, P.; Sheppard, K.; Reddy, T.; Weckesser, W.; Abbasi, H.; Gohlke, C.; Oliphant, T. E. Array Programming with NumPy. </w:t>
      </w:r>
      <w:r w:rsidRPr="00A77C56">
        <w:rPr>
          <w:rFonts w:ascii="Arial" w:hAnsi="Arial" w:cs="Arial"/>
          <w:i/>
          <w:iCs/>
          <w:noProof/>
          <w:szCs w:val="24"/>
          <w:lang w:val="en-US"/>
        </w:rPr>
        <w:t>Nature</w:t>
      </w:r>
      <w:r w:rsidRPr="00A77C56">
        <w:rPr>
          <w:rFonts w:ascii="Arial" w:hAnsi="Arial" w:cs="Arial"/>
          <w:noProof/>
          <w:szCs w:val="24"/>
          <w:lang w:val="en-US"/>
        </w:rPr>
        <w:t xml:space="preserve"> </w:t>
      </w:r>
      <w:r w:rsidRPr="00A77C56">
        <w:rPr>
          <w:rFonts w:ascii="Arial" w:hAnsi="Arial" w:cs="Arial"/>
          <w:b/>
          <w:bCs/>
          <w:noProof/>
          <w:szCs w:val="24"/>
          <w:lang w:val="en-US"/>
        </w:rPr>
        <w:t>2020</w:t>
      </w:r>
      <w:r w:rsidRPr="00A77C56">
        <w:rPr>
          <w:rFonts w:ascii="Arial" w:hAnsi="Arial" w:cs="Arial"/>
          <w:noProof/>
          <w:szCs w:val="24"/>
          <w:lang w:val="en-US"/>
        </w:rPr>
        <w:t xml:space="preserve">, </w:t>
      </w:r>
      <w:r w:rsidRPr="00A77C56">
        <w:rPr>
          <w:rFonts w:ascii="Arial" w:hAnsi="Arial" w:cs="Arial"/>
          <w:i/>
          <w:iCs/>
          <w:noProof/>
          <w:szCs w:val="24"/>
          <w:lang w:val="en-US"/>
        </w:rPr>
        <w:t>585</w:t>
      </w:r>
      <w:r w:rsidRPr="00A77C56">
        <w:rPr>
          <w:rFonts w:ascii="Arial" w:hAnsi="Arial" w:cs="Arial"/>
          <w:noProof/>
          <w:szCs w:val="24"/>
          <w:lang w:val="en-US"/>
        </w:rPr>
        <w:t xml:space="preserve"> (7825), 357–362. https://doi.org/10.1038/s41586-020-2649-2.</w:t>
      </w:r>
    </w:p>
    <w:p w14:paraId="64E53D6F"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szCs w:val="24"/>
          <w:lang w:val="en-US"/>
        </w:rPr>
      </w:pPr>
      <w:r w:rsidRPr="00A77C56">
        <w:rPr>
          <w:rFonts w:ascii="Arial" w:hAnsi="Arial" w:cs="Arial"/>
          <w:noProof/>
          <w:szCs w:val="24"/>
          <w:lang w:val="en-US"/>
        </w:rPr>
        <w:t xml:space="preserve">(61) </w:t>
      </w:r>
      <w:r w:rsidRPr="00A77C56">
        <w:rPr>
          <w:rFonts w:ascii="Arial" w:hAnsi="Arial" w:cs="Arial"/>
          <w:noProof/>
          <w:szCs w:val="24"/>
          <w:lang w:val="en-US"/>
        </w:rPr>
        <w:tab/>
        <w:t xml:space="preserve">Virtanen, P.; Gommers, R.; Oliphant, T. E.; Haberland, M.; Reddy, T.; Cournapeau, D.; Burovski, E.; Peterson, P.; Weckesser, W.; Bright, J.; van der Walt, S. J.; Brett, M.; Wilson, J.; Millman, K. J.; Mayorov, N.; Nelson, A. R. J.; Jones, E.; Kern, R.; Larson, E.; Carey, C. J.; Polat, İ.; Feng, Y.; Moore, E. W.; VanderPlas, J.; Laxalde, D.; Perktold, J.; Cimrman, R.; Henriksen, I.; Quintero, E. A.; Harris, C. R.; Archibald, A. M.; Ribeiro, A. H.; Pedregosa, F.; van Mulbregt, P.; Vijaykumar, A.; Bardelli, A. Pietro; Rothberg, A.; Hilboll, A.; Kloeckner, A.; Scopatz, A.; Lee, A.; Rokem, A.; Woods, C. N.; Fulton, C.; Masson, C.; Häggström, C.; Fitzgerald, C.; Nicholson, D. A.; Hagen, D. R.; </w:t>
      </w:r>
      <w:r w:rsidRPr="00A77C56">
        <w:rPr>
          <w:rFonts w:ascii="Arial" w:hAnsi="Arial" w:cs="Arial"/>
          <w:noProof/>
          <w:szCs w:val="24"/>
          <w:lang w:val="en-US"/>
        </w:rPr>
        <w:lastRenderedPageBreak/>
        <w:t xml:space="preserve">Pasechnik, D. V.; Olivetti, E.; Martin, E.; Wieser, E.; Silva, F.; Lenders, F.; Wilhelm, F.; Young, G.; Price, G. A.; Ingold, G. L.; Allen, G. E.; Lee, G. R.; Audren, H.; Probst, I.; Dietrich, J. P.; Silterra, J.; Webber, J. T.; Slavič, J.; Nothman, J.; Buchner, J.; Kulick, J.; Schönberger, J. L.; de Miranda Cardoso, J. V.; Reimer, J.; Harrington, J.; Rodríguez, J. L. C.; Nunez-Iglesias, J.; Kuczynski, J.; Tritz, K.; Thoma, M.; Newville, M.; Kümmerer, M.; Bolingbroke, M.; Tartre, M.; Pak, M.; Smith, N. J.; Nowaczyk, N.; Shebanov, N.; Pavlyk, O.; Brodtkorb, P. A.; Lee, P.; McGibbon, R. T.; Feldbauer, R.; Lewis, S.; Tygier, S.; Sievert, S.; Vigna, S.; Peterson, S.; More, S.; Pudlik, T.; Oshima, T.; Pingel, T. J.; Robitaille, T. P.; Spura, T.; Jones, T. R.; Cera, T.; Leslie, T.; Zito, T.; Krauss, T.; Upadhyay, U.; Halchenko, Y. O.; Vázquez-Baeza, Y. SciPy 1.0: Fundamental Algorithms for Scientific Computing in Python. </w:t>
      </w:r>
      <w:r w:rsidRPr="00A77C56">
        <w:rPr>
          <w:rFonts w:ascii="Arial" w:hAnsi="Arial" w:cs="Arial"/>
          <w:i/>
          <w:iCs/>
          <w:noProof/>
          <w:szCs w:val="24"/>
          <w:lang w:val="en-US"/>
        </w:rPr>
        <w:t>Nat. Methods</w:t>
      </w:r>
      <w:r w:rsidRPr="00A77C56">
        <w:rPr>
          <w:rFonts w:ascii="Arial" w:hAnsi="Arial" w:cs="Arial"/>
          <w:noProof/>
          <w:szCs w:val="24"/>
          <w:lang w:val="en-US"/>
        </w:rPr>
        <w:t xml:space="preserve"> </w:t>
      </w:r>
      <w:r w:rsidRPr="00A77C56">
        <w:rPr>
          <w:rFonts w:ascii="Arial" w:hAnsi="Arial" w:cs="Arial"/>
          <w:b/>
          <w:bCs/>
          <w:noProof/>
          <w:szCs w:val="24"/>
          <w:lang w:val="en-US"/>
        </w:rPr>
        <w:t>2020</w:t>
      </w:r>
      <w:r w:rsidRPr="00A77C56">
        <w:rPr>
          <w:rFonts w:ascii="Arial" w:hAnsi="Arial" w:cs="Arial"/>
          <w:noProof/>
          <w:szCs w:val="24"/>
          <w:lang w:val="en-US"/>
        </w:rPr>
        <w:t xml:space="preserve">, </w:t>
      </w:r>
      <w:r w:rsidRPr="00A77C56">
        <w:rPr>
          <w:rFonts w:ascii="Arial" w:hAnsi="Arial" w:cs="Arial"/>
          <w:i/>
          <w:iCs/>
          <w:noProof/>
          <w:szCs w:val="24"/>
          <w:lang w:val="en-US"/>
        </w:rPr>
        <w:t>17</w:t>
      </w:r>
      <w:r w:rsidRPr="00A77C56">
        <w:rPr>
          <w:rFonts w:ascii="Arial" w:hAnsi="Arial" w:cs="Arial"/>
          <w:noProof/>
          <w:szCs w:val="24"/>
          <w:lang w:val="en-US"/>
        </w:rPr>
        <w:t xml:space="preserve"> (3), 261–272. https://doi.org/10.1038/s41592-019-0686-2.</w:t>
      </w:r>
    </w:p>
    <w:p w14:paraId="4972A65D" w14:textId="77777777" w:rsidR="00F74091" w:rsidRPr="00A77C56" w:rsidRDefault="00F74091" w:rsidP="00F74091">
      <w:pPr>
        <w:widowControl w:val="0"/>
        <w:autoSpaceDE w:val="0"/>
        <w:autoSpaceDN w:val="0"/>
        <w:adjustRightInd w:val="0"/>
        <w:spacing w:after="120" w:line="360" w:lineRule="auto"/>
        <w:ind w:left="640" w:hanging="640"/>
        <w:rPr>
          <w:rFonts w:ascii="Arial" w:hAnsi="Arial" w:cs="Arial"/>
          <w:noProof/>
          <w:lang w:val="en-US"/>
        </w:rPr>
      </w:pPr>
      <w:r w:rsidRPr="00A77C56">
        <w:rPr>
          <w:rFonts w:ascii="Arial" w:hAnsi="Arial" w:cs="Arial"/>
          <w:noProof/>
          <w:szCs w:val="24"/>
          <w:lang w:val="en-US"/>
        </w:rPr>
        <w:t xml:space="preserve">(62) </w:t>
      </w:r>
      <w:r w:rsidRPr="00A77C56">
        <w:rPr>
          <w:rFonts w:ascii="Arial" w:hAnsi="Arial" w:cs="Arial"/>
          <w:noProof/>
          <w:szCs w:val="24"/>
          <w:lang w:val="en-US"/>
        </w:rPr>
        <w:tab/>
        <w:t xml:space="preserve">Efron, B. Bootstrap Methods: Another Look at the Jackknife. </w:t>
      </w:r>
      <w:r w:rsidRPr="00A77C56">
        <w:rPr>
          <w:rFonts w:ascii="Arial" w:hAnsi="Arial" w:cs="Arial"/>
          <w:i/>
          <w:iCs/>
          <w:noProof/>
          <w:szCs w:val="24"/>
          <w:lang w:val="en-US"/>
        </w:rPr>
        <w:t>Ann. Stat.</w:t>
      </w:r>
      <w:r w:rsidRPr="00A77C56">
        <w:rPr>
          <w:rFonts w:ascii="Arial" w:hAnsi="Arial" w:cs="Arial"/>
          <w:noProof/>
          <w:szCs w:val="24"/>
          <w:lang w:val="en-US"/>
        </w:rPr>
        <w:t xml:space="preserve"> </w:t>
      </w:r>
      <w:r w:rsidRPr="00A77C56">
        <w:rPr>
          <w:rFonts w:ascii="Arial" w:hAnsi="Arial" w:cs="Arial"/>
          <w:b/>
          <w:bCs/>
          <w:noProof/>
          <w:szCs w:val="24"/>
          <w:lang w:val="en-US"/>
        </w:rPr>
        <w:t>1979</w:t>
      </w:r>
      <w:r w:rsidRPr="00A77C56">
        <w:rPr>
          <w:rFonts w:ascii="Arial" w:hAnsi="Arial" w:cs="Arial"/>
          <w:noProof/>
          <w:szCs w:val="24"/>
          <w:lang w:val="en-US"/>
        </w:rPr>
        <w:t xml:space="preserve">, </w:t>
      </w:r>
      <w:r w:rsidRPr="00A77C56">
        <w:rPr>
          <w:rFonts w:ascii="Arial" w:hAnsi="Arial" w:cs="Arial"/>
          <w:i/>
          <w:iCs/>
          <w:noProof/>
          <w:szCs w:val="24"/>
          <w:lang w:val="en-US"/>
        </w:rPr>
        <w:t>7</w:t>
      </w:r>
      <w:r w:rsidRPr="00A77C56">
        <w:rPr>
          <w:rFonts w:ascii="Arial" w:hAnsi="Arial" w:cs="Arial"/>
          <w:noProof/>
          <w:szCs w:val="24"/>
          <w:lang w:val="en-US"/>
        </w:rPr>
        <w:t xml:space="preserve"> (1), 1–26. https://doi.org/10.1214/aos/1176344552.</w:t>
      </w:r>
    </w:p>
    <w:p w14:paraId="7087B707" w14:textId="1CD42463" w:rsidR="00AD2A77" w:rsidRPr="00430A5E" w:rsidRDefault="00B43A14" w:rsidP="007C437C">
      <w:pPr>
        <w:spacing w:after="120" w:line="360" w:lineRule="auto"/>
        <w:rPr>
          <w:rFonts w:ascii="Arial" w:hAnsi="Arial" w:cs="Arial"/>
          <w:lang w:val="en-US"/>
        </w:rPr>
      </w:pPr>
      <w:r w:rsidRPr="00430A5E">
        <w:rPr>
          <w:rFonts w:ascii="Arial" w:hAnsi="Arial" w:cs="Arial"/>
          <w:lang w:val="en-US"/>
        </w:rPr>
        <w:fldChar w:fldCharType="end"/>
      </w:r>
    </w:p>
    <w:p w14:paraId="65A223C8" w14:textId="5E09A72F" w:rsidR="00463601" w:rsidRDefault="00463601">
      <w:pPr>
        <w:rPr>
          <w:rFonts w:ascii="Arial" w:eastAsia="Times New Roman" w:hAnsi="Arial" w:cs="Arial"/>
          <w:b/>
          <w:sz w:val="32"/>
          <w:szCs w:val="32"/>
          <w:lang w:val="en-US" w:eastAsia="de-DE"/>
        </w:rPr>
      </w:pPr>
      <w:r>
        <w:rPr>
          <w:rFonts w:ascii="Arial" w:eastAsia="Times New Roman" w:hAnsi="Arial" w:cs="Arial"/>
          <w:b/>
          <w:sz w:val="32"/>
          <w:szCs w:val="32"/>
          <w:lang w:val="en-US" w:eastAsia="de-DE"/>
        </w:rPr>
        <w:br w:type="page"/>
      </w:r>
    </w:p>
    <w:p w14:paraId="335FAEA3" w14:textId="247EF31C" w:rsidR="00412B2B" w:rsidRDefault="00463601" w:rsidP="007C437C">
      <w:pPr>
        <w:spacing w:line="360" w:lineRule="auto"/>
        <w:rPr>
          <w:rFonts w:ascii="Arial" w:eastAsia="Times New Roman" w:hAnsi="Arial" w:cs="Arial"/>
          <w:b/>
          <w:sz w:val="32"/>
          <w:szCs w:val="32"/>
          <w:lang w:val="en-US" w:eastAsia="de-DE"/>
        </w:rPr>
      </w:pPr>
      <w:r>
        <w:rPr>
          <w:rFonts w:ascii="Arial" w:eastAsia="Times New Roman" w:hAnsi="Arial" w:cs="Arial"/>
          <w:b/>
          <w:sz w:val="32"/>
          <w:szCs w:val="32"/>
          <w:lang w:val="en-US" w:eastAsia="de-DE"/>
        </w:rPr>
        <w:lastRenderedPageBreak/>
        <w:t>For Table of Contents Only</w:t>
      </w:r>
    </w:p>
    <w:p w14:paraId="354137BD" w14:textId="19CFE41D" w:rsidR="00463601" w:rsidRPr="00430A5E" w:rsidRDefault="005133DC" w:rsidP="007C437C">
      <w:pPr>
        <w:spacing w:line="360" w:lineRule="auto"/>
        <w:rPr>
          <w:rFonts w:ascii="Arial" w:eastAsia="Times New Roman" w:hAnsi="Arial" w:cs="Arial"/>
          <w:b/>
          <w:sz w:val="32"/>
          <w:szCs w:val="32"/>
          <w:lang w:val="en-US" w:eastAsia="de-DE"/>
        </w:rPr>
      </w:pPr>
      <w:r>
        <w:rPr>
          <w:rFonts w:ascii="Arial" w:eastAsia="Times New Roman" w:hAnsi="Arial" w:cs="Arial"/>
          <w:b/>
          <w:noProof/>
          <w:sz w:val="32"/>
          <w:szCs w:val="32"/>
          <w:lang w:eastAsia="de-DE"/>
        </w:rPr>
        <w:drawing>
          <wp:inline distT="0" distB="0" distL="0" distR="0" wp14:anchorId="722DA569" wp14:editId="3E0BCE2D">
            <wp:extent cx="5762625" cy="150980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62625" cy="1509807"/>
                    </a:xfrm>
                    <a:prstGeom prst="rect">
                      <a:avLst/>
                    </a:prstGeom>
                    <a:noFill/>
                    <a:ln>
                      <a:noFill/>
                    </a:ln>
                  </pic:spPr>
                </pic:pic>
              </a:graphicData>
            </a:graphic>
          </wp:inline>
        </w:drawing>
      </w:r>
    </w:p>
    <w:sectPr w:rsidR="00463601" w:rsidRPr="00430A5E" w:rsidSect="008551DD">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4E3488" w14:textId="77777777" w:rsidR="000D4EBF" w:rsidRDefault="000D4EBF" w:rsidP="008E2B47">
      <w:pPr>
        <w:spacing w:after="0" w:line="240" w:lineRule="auto"/>
      </w:pPr>
      <w:r>
        <w:separator/>
      </w:r>
    </w:p>
  </w:endnote>
  <w:endnote w:type="continuationSeparator" w:id="0">
    <w:p w14:paraId="46656033" w14:textId="77777777" w:rsidR="000D4EBF" w:rsidRDefault="000D4EBF" w:rsidP="008E2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450997"/>
      <w:docPartObj>
        <w:docPartGallery w:val="Page Numbers (Bottom of Page)"/>
        <w:docPartUnique/>
      </w:docPartObj>
    </w:sdtPr>
    <w:sdtEndPr/>
    <w:sdtContent>
      <w:p w14:paraId="741E7F5D" w14:textId="6E3B3DBF" w:rsidR="00134C00" w:rsidRDefault="00134C00">
        <w:pPr>
          <w:pStyle w:val="Fuzeile"/>
          <w:jc w:val="center"/>
        </w:pPr>
        <w:r>
          <w:fldChar w:fldCharType="begin"/>
        </w:r>
        <w:r>
          <w:instrText>PAGE   \* MERGEFORMAT</w:instrText>
        </w:r>
        <w:r>
          <w:fldChar w:fldCharType="separate"/>
        </w:r>
        <w:r w:rsidR="00715EBC">
          <w:rPr>
            <w:noProof/>
          </w:rPr>
          <w:t>2</w:t>
        </w:r>
        <w:r>
          <w:fldChar w:fldCharType="end"/>
        </w:r>
      </w:p>
    </w:sdtContent>
  </w:sdt>
  <w:p w14:paraId="1CC82023" w14:textId="77777777" w:rsidR="00134C00" w:rsidRDefault="00134C0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AA504" w14:textId="77777777" w:rsidR="000D4EBF" w:rsidRDefault="000D4EBF" w:rsidP="008E2B47">
      <w:pPr>
        <w:spacing w:after="0" w:line="240" w:lineRule="auto"/>
      </w:pPr>
      <w:r>
        <w:separator/>
      </w:r>
    </w:p>
  </w:footnote>
  <w:footnote w:type="continuationSeparator" w:id="0">
    <w:p w14:paraId="3B49EFDA" w14:textId="77777777" w:rsidR="000D4EBF" w:rsidRDefault="000D4EBF" w:rsidP="008E2B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A6A6A"/>
    <w:multiLevelType w:val="hybridMultilevel"/>
    <w:tmpl w:val="1556ED30"/>
    <w:lvl w:ilvl="0" w:tplc="0407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7E01D51"/>
    <w:multiLevelType w:val="hybridMultilevel"/>
    <w:tmpl w:val="763A071E"/>
    <w:lvl w:ilvl="0" w:tplc="7E6C9B2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B5E1055"/>
    <w:multiLevelType w:val="hybridMultilevel"/>
    <w:tmpl w:val="E386321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CE52D68"/>
    <w:multiLevelType w:val="hybridMultilevel"/>
    <w:tmpl w:val="3F28564C"/>
    <w:lvl w:ilvl="0" w:tplc="7B669F0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1185E10"/>
    <w:multiLevelType w:val="hybridMultilevel"/>
    <w:tmpl w:val="9EC097A6"/>
    <w:lvl w:ilvl="0" w:tplc="576A04E2">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EDF66D1"/>
    <w:multiLevelType w:val="hybridMultilevel"/>
    <w:tmpl w:val="A600F76E"/>
    <w:lvl w:ilvl="0" w:tplc="69C8797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4957F85"/>
    <w:multiLevelType w:val="multilevel"/>
    <w:tmpl w:val="E1DAE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017819"/>
    <w:multiLevelType w:val="hybridMultilevel"/>
    <w:tmpl w:val="C4462928"/>
    <w:lvl w:ilvl="0" w:tplc="42FE8A2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4A4905A3"/>
    <w:multiLevelType w:val="multilevel"/>
    <w:tmpl w:val="E9061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0C4FA2"/>
    <w:multiLevelType w:val="hybridMultilevel"/>
    <w:tmpl w:val="1E2E29B2"/>
    <w:lvl w:ilvl="0" w:tplc="782CB69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4D72519E"/>
    <w:multiLevelType w:val="hybridMultilevel"/>
    <w:tmpl w:val="79448A10"/>
    <w:lvl w:ilvl="0" w:tplc="E1C87B2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58161C9D"/>
    <w:multiLevelType w:val="hybridMultilevel"/>
    <w:tmpl w:val="1F78A4AC"/>
    <w:lvl w:ilvl="0" w:tplc="83720D2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8F728E3"/>
    <w:multiLevelType w:val="hybridMultilevel"/>
    <w:tmpl w:val="352059F8"/>
    <w:lvl w:ilvl="0" w:tplc="6616CF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AAE6D90"/>
    <w:multiLevelType w:val="hybridMultilevel"/>
    <w:tmpl w:val="6B0649D0"/>
    <w:lvl w:ilvl="0" w:tplc="7B669F0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81D4282"/>
    <w:multiLevelType w:val="hybridMultilevel"/>
    <w:tmpl w:val="5F78EA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97A09B9"/>
    <w:multiLevelType w:val="hybridMultilevel"/>
    <w:tmpl w:val="4A10C962"/>
    <w:lvl w:ilvl="0" w:tplc="7B669F0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12"/>
  </w:num>
  <w:num w:numId="6">
    <w:abstractNumId w:val="9"/>
  </w:num>
  <w:num w:numId="7">
    <w:abstractNumId w:val="11"/>
  </w:num>
  <w:num w:numId="8">
    <w:abstractNumId w:val="7"/>
  </w:num>
  <w:num w:numId="9">
    <w:abstractNumId w:val="10"/>
  </w:num>
  <w:num w:numId="10">
    <w:abstractNumId w:val="4"/>
  </w:num>
  <w:num w:numId="11">
    <w:abstractNumId w:val="6"/>
  </w:num>
  <w:num w:numId="12">
    <w:abstractNumId w:val="8"/>
  </w:num>
  <w:num w:numId="13">
    <w:abstractNumId w:val="13"/>
  </w:num>
  <w:num w:numId="14">
    <w:abstractNumId w:val="15"/>
  </w:num>
  <w:num w:numId="15">
    <w:abstractNumId w:val="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EA7"/>
    <w:rsid w:val="000011A5"/>
    <w:rsid w:val="00001830"/>
    <w:rsid w:val="00002644"/>
    <w:rsid w:val="00002B97"/>
    <w:rsid w:val="00002C4D"/>
    <w:rsid w:val="00003EDA"/>
    <w:rsid w:val="00004C10"/>
    <w:rsid w:val="00007BF4"/>
    <w:rsid w:val="00010203"/>
    <w:rsid w:val="000217D2"/>
    <w:rsid w:val="0002441A"/>
    <w:rsid w:val="000254F6"/>
    <w:rsid w:val="0002572D"/>
    <w:rsid w:val="00027124"/>
    <w:rsid w:val="00027272"/>
    <w:rsid w:val="00027763"/>
    <w:rsid w:val="0003019C"/>
    <w:rsid w:val="0003083F"/>
    <w:rsid w:val="000318D2"/>
    <w:rsid w:val="000322E1"/>
    <w:rsid w:val="0003265C"/>
    <w:rsid w:val="000403C0"/>
    <w:rsid w:val="000443FC"/>
    <w:rsid w:val="0005327C"/>
    <w:rsid w:val="00054C38"/>
    <w:rsid w:val="00056D06"/>
    <w:rsid w:val="00057B75"/>
    <w:rsid w:val="0006133F"/>
    <w:rsid w:val="00065708"/>
    <w:rsid w:val="00065D25"/>
    <w:rsid w:val="0007462D"/>
    <w:rsid w:val="000806AD"/>
    <w:rsid w:val="00080C39"/>
    <w:rsid w:val="000824B5"/>
    <w:rsid w:val="00084D45"/>
    <w:rsid w:val="000903E5"/>
    <w:rsid w:val="000954AC"/>
    <w:rsid w:val="00096E99"/>
    <w:rsid w:val="000A0C69"/>
    <w:rsid w:val="000A41DB"/>
    <w:rsid w:val="000A5863"/>
    <w:rsid w:val="000B13FD"/>
    <w:rsid w:val="000B2D8B"/>
    <w:rsid w:val="000B3E40"/>
    <w:rsid w:val="000B5404"/>
    <w:rsid w:val="000C2397"/>
    <w:rsid w:val="000C4A0B"/>
    <w:rsid w:val="000C64C5"/>
    <w:rsid w:val="000D1550"/>
    <w:rsid w:val="000D2E83"/>
    <w:rsid w:val="000D311E"/>
    <w:rsid w:val="000D434D"/>
    <w:rsid w:val="000D4EBF"/>
    <w:rsid w:val="000D67AE"/>
    <w:rsid w:val="000D68CB"/>
    <w:rsid w:val="000D68FF"/>
    <w:rsid w:val="000E0041"/>
    <w:rsid w:val="000E5ECE"/>
    <w:rsid w:val="000E79BC"/>
    <w:rsid w:val="000E7F87"/>
    <w:rsid w:val="000F0C37"/>
    <w:rsid w:val="000F1E91"/>
    <w:rsid w:val="000F1F5F"/>
    <w:rsid w:val="000F2AF1"/>
    <w:rsid w:val="000F4249"/>
    <w:rsid w:val="000F48F0"/>
    <w:rsid w:val="000F60F8"/>
    <w:rsid w:val="000F6B2F"/>
    <w:rsid w:val="000F77B8"/>
    <w:rsid w:val="00101378"/>
    <w:rsid w:val="001027B9"/>
    <w:rsid w:val="001040F7"/>
    <w:rsid w:val="001061BD"/>
    <w:rsid w:val="00111708"/>
    <w:rsid w:val="00112002"/>
    <w:rsid w:val="0012280A"/>
    <w:rsid w:val="0012339C"/>
    <w:rsid w:val="00123774"/>
    <w:rsid w:val="0012396B"/>
    <w:rsid w:val="00123B5D"/>
    <w:rsid w:val="0012588E"/>
    <w:rsid w:val="00127279"/>
    <w:rsid w:val="001301D9"/>
    <w:rsid w:val="001310FC"/>
    <w:rsid w:val="00131518"/>
    <w:rsid w:val="001329D4"/>
    <w:rsid w:val="0013385C"/>
    <w:rsid w:val="00134C00"/>
    <w:rsid w:val="00135511"/>
    <w:rsid w:val="0013630C"/>
    <w:rsid w:val="00141666"/>
    <w:rsid w:val="00141C25"/>
    <w:rsid w:val="001445ED"/>
    <w:rsid w:val="001447D8"/>
    <w:rsid w:val="00144849"/>
    <w:rsid w:val="00146C74"/>
    <w:rsid w:val="00150C72"/>
    <w:rsid w:val="00153A24"/>
    <w:rsid w:val="0016147B"/>
    <w:rsid w:val="0016157D"/>
    <w:rsid w:val="001633CF"/>
    <w:rsid w:val="00164FD5"/>
    <w:rsid w:val="00165715"/>
    <w:rsid w:val="00165811"/>
    <w:rsid w:val="00167CF1"/>
    <w:rsid w:val="00174CB1"/>
    <w:rsid w:val="00177C66"/>
    <w:rsid w:val="00180B4B"/>
    <w:rsid w:val="0018116B"/>
    <w:rsid w:val="00181596"/>
    <w:rsid w:val="001845CB"/>
    <w:rsid w:val="00185538"/>
    <w:rsid w:val="00193F76"/>
    <w:rsid w:val="00194630"/>
    <w:rsid w:val="001950F2"/>
    <w:rsid w:val="001967F0"/>
    <w:rsid w:val="001A48CD"/>
    <w:rsid w:val="001A52BF"/>
    <w:rsid w:val="001A642A"/>
    <w:rsid w:val="001A71D4"/>
    <w:rsid w:val="001B0BA4"/>
    <w:rsid w:val="001B1948"/>
    <w:rsid w:val="001B39BA"/>
    <w:rsid w:val="001B714A"/>
    <w:rsid w:val="001C2AEC"/>
    <w:rsid w:val="001C3F6C"/>
    <w:rsid w:val="001C5ABF"/>
    <w:rsid w:val="001D2975"/>
    <w:rsid w:val="001D2FDD"/>
    <w:rsid w:val="001D4A77"/>
    <w:rsid w:val="001D4B3F"/>
    <w:rsid w:val="001D57DE"/>
    <w:rsid w:val="001E2E45"/>
    <w:rsid w:val="001E4E1F"/>
    <w:rsid w:val="001F2D07"/>
    <w:rsid w:val="001F48C5"/>
    <w:rsid w:val="001F767A"/>
    <w:rsid w:val="001F7F47"/>
    <w:rsid w:val="00200B48"/>
    <w:rsid w:val="00202ACF"/>
    <w:rsid w:val="002030AF"/>
    <w:rsid w:val="002039A9"/>
    <w:rsid w:val="00205E04"/>
    <w:rsid w:val="00214026"/>
    <w:rsid w:val="00216058"/>
    <w:rsid w:val="0021721B"/>
    <w:rsid w:val="00220458"/>
    <w:rsid w:val="00221ABD"/>
    <w:rsid w:val="00221CDA"/>
    <w:rsid w:val="0022240C"/>
    <w:rsid w:val="00224551"/>
    <w:rsid w:val="00224DAD"/>
    <w:rsid w:val="002369F4"/>
    <w:rsid w:val="00240529"/>
    <w:rsid w:val="002406B6"/>
    <w:rsid w:val="00240AC7"/>
    <w:rsid w:val="002414FA"/>
    <w:rsid w:val="00242B7C"/>
    <w:rsid w:val="00243CA5"/>
    <w:rsid w:val="00243F21"/>
    <w:rsid w:val="00244D58"/>
    <w:rsid w:val="00245992"/>
    <w:rsid w:val="0024770A"/>
    <w:rsid w:val="002520E2"/>
    <w:rsid w:val="00257187"/>
    <w:rsid w:val="002576AE"/>
    <w:rsid w:val="0026443E"/>
    <w:rsid w:val="00267095"/>
    <w:rsid w:val="002758D7"/>
    <w:rsid w:val="002771A3"/>
    <w:rsid w:val="002771F8"/>
    <w:rsid w:val="00280D0F"/>
    <w:rsid w:val="0029004B"/>
    <w:rsid w:val="00290783"/>
    <w:rsid w:val="002908FC"/>
    <w:rsid w:val="00292039"/>
    <w:rsid w:val="00292598"/>
    <w:rsid w:val="00293533"/>
    <w:rsid w:val="00294D4E"/>
    <w:rsid w:val="00295D87"/>
    <w:rsid w:val="00296240"/>
    <w:rsid w:val="002A003E"/>
    <w:rsid w:val="002A254A"/>
    <w:rsid w:val="002A4E8A"/>
    <w:rsid w:val="002A5F5D"/>
    <w:rsid w:val="002A6DB1"/>
    <w:rsid w:val="002A6E26"/>
    <w:rsid w:val="002A724C"/>
    <w:rsid w:val="002A75CD"/>
    <w:rsid w:val="002A7D40"/>
    <w:rsid w:val="002B05C5"/>
    <w:rsid w:val="002B747C"/>
    <w:rsid w:val="002C067F"/>
    <w:rsid w:val="002C0F14"/>
    <w:rsid w:val="002C25F0"/>
    <w:rsid w:val="002C34FF"/>
    <w:rsid w:val="002C3E05"/>
    <w:rsid w:val="002C5684"/>
    <w:rsid w:val="002C584E"/>
    <w:rsid w:val="002C6C16"/>
    <w:rsid w:val="002C7D57"/>
    <w:rsid w:val="002D40B6"/>
    <w:rsid w:val="002D4DF2"/>
    <w:rsid w:val="002D4E94"/>
    <w:rsid w:val="002D5655"/>
    <w:rsid w:val="002D698F"/>
    <w:rsid w:val="002D7BDF"/>
    <w:rsid w:val="002E27F0"/>
    <w:rsid w:val="002E7208"/>
    <w:rsid w:val="002F02C7"/>
    <w:rsid w:val="002F0881"/>
    <w:rsid w:val="002F243C"/>
    <w:rsid w:val="002F46FD"/>
    <w:rsid w:val="002F4C5E"/>
    <w:rsid w:val="002F69DB"/>
    <w:rsid w:val="002F6D66"/>
    <w:rsid w:val="00300D96"/>
    <w:rsid w:val="0030115E"/>
    <w:rsid w:val="003030B0"/>
    <w:rsid w:val="003047D7"/>
    <w:rsid w:val="00305329"/>
    <w:rsid w:val="00307BC9"/>
    <w:rsid w:val="0031453E"/>
    <w:rsid w:val="00316616"/>
    <w:rsid w:val="00317639"/>
    <w:rsid w:val="0032236F"/>
    <w:rsid w:val="00322B9A"/>
    <w:rsid w:val="00322C19"/>
    <w:rsid w:val="00323151"/>
    <w:rsid w:val="00325253"/>
    <w:rsid w:val="0033341E"/>
    <w:rsid w:val="0034028A"/>
    <w:rsid w:val="00343AF9"/>
    <w:rsid w:val="0034628E"/>
    <w:rsid w:val="00347B43"/>
    <w:rsid w:val="00350B1F"/>
    <w:rsid w:val="003513E4"/>
    <w:rsid w:val="003528AD"/>
    <w:rsid w:val="00352A53"/>
    <w:rsid w:val="0035527C"/>
    <w:rsid w:val="00357AAE"/>
    <w:rsid w:val="00361AFC"/>
    <w:rsid w:val="00361E85"/>
    <w:rsid w:val="00361FBF"/>
    <w:rsid w:val="0036472F"/>
    <w:rsid w:val="00364B9C"/>
    <w:rsid w:val="00365612"/>
    <w:rsid w:val="0036622F"/>
    <w:rsid w:val="00366C9C"/>
    <w:rsid w:val="00371CCA"/>
    <w:rsid w:val="00373C6B"/>
    <w:rsid w:val="00374760"/>
    <w:rsid w:val="00375E96"/>
    <w:rsid w:val="003773FB"/>
    <w:rsid w:val="00380F5F"/>
    <w:rsid w:val="003827D6"/>
    <w:rsid w:val="00384893"/>
    <w:rsid w:val="00384EBD"/>
    <w:rsid w:val="0038512D"/>
    <w:rsid w:val="0039158B"/>
    <w:rsid w:val="00391E72"/>
    <w:rsid w:val="00393E70"/>
    <w:rsid w:val="003952C0"/>
    <w:rsid w:val="00395386"/>
    <w:rsid w:val="00395858"/>
    <w:rsid w:val="003A0E71"/>
    <w:rsid w:val="003A0F00"/>
    <w:rsid w:val="003A7903"/>
    <w:rsid w:val="003B13F2"/>
    <w:rsid w:val="003B2757"/>
    <w:rsid w:val="003B2B7F"/>
    <w:rsid w:val="003B31EA"/>
    <w:rsid w:val="003B3AFA"/>
    <w:rsid w:val="003B45EE"/>
    <w:rsid w:val="003B4A5D"/>
    <w:rsid w:val="003B5C34"/>
    <w:rsid w:val="003B61D8"/>
    <w:rsid w:val="003B62E9"/>
    <w:rsid w:val="003B7E32"/>
    <w:rsid w:val="003C0F77"/>
    <w:rsid w:val="003C3C55"/>
    <w:rsid w:val="003C3F84"/>
    <w:rsid w:val="003C7A7A"/>
    <w:rsid w:val="003D068F"/>
    <w:rsid w:val="003D4298"/>
    <w:rsid w:val="003D633A"/>
    <w:rsid w:val="003D71FE"/>
    <w:rsid w:val="003E2CB0"/>
    <w:rsid w:val="003E51E5"/>
    <w:rsid w:val="003F0D91"/>
    <w:rsid w:val="003F32FA"/>
    <w:rsid w:val="003F4097"/>
    <w:rsid w:val="003F4B83"/>
    <w:rsid w:val="003F5AFB"/>
    <w:rsid w:val="003F61A5"/>
    <w:rsid w:val="00400088"/>
    <w:rsid w:val="00401D01"/>
    <w:rsid w:val="0040409E"/>
    <w:rsid w:val="00405474"/>
    <w:rsid w:val="00405E5C"/>
    <w:rsid w:val="00406CA2"/>
    <w:rsid w:val="00411A92"/>
    <w:rsid w:val="00411FCD"/>
    <w:rsid w:val="00412B2B"/>
    <w:rsid w:val="00412B2D"/>
    <w:rsid w:val="00413E9C"/>
    <w:rsid w:val="00416024"/>
    <w:rsid w:val="00420B44"/>
    <w:rsid w:val="0042113C"/>
    <w:rsid w:val="00427C6E"/>
    <w:rsid w:val="00430A5E"/>
    <w:rsid w:val="00433008"/>
    <w:rsid w:val="0043669A"/>
    <w:rsid w:val="0043712C"/>
    <w:rsid w:val="00437508"/>
    <w:rsid w:val="004440C0"/>
    <w:rsid w:val="00445E84"/>
    <w:rsid w:val="00445EA8"/>
    <w:rsid w:val="00445FA1"/>
    <w:rsid w:val="004460E4"/>
    <w:rsid w:val="00454E84"/>
    <w:rsid w:val="004565FE"/>
    <w:rsid w:val="00463601"/>
    <w:rsid w:val="00465452"/>
    <w:rsid w:val="004654DA"/>
    <w:rsid w:val="00465E29"/>
    <w:rsid w:val="00465F85"/>
    <w:rsid w:val="00466622"/>
    <w:rsid w:val="00466711"/>
    <w:rsid w:val="00472C15"/>
    <w:rsid w:val="00474D6D"/>
    <w:rsid w:val="00476FD0"/>
    <w:rsid w:val="00480771"/>
    <w:rsid w:val="00480DAE"/>
    <w:rsid w:val="00481572"/>
    <w:rsid w:val="00485340"/>
    <w:rsid w:val="0048644A"/>
    <w:rsid w:val="00487F60"/>
    <w:rsid w:val="004920D3"/>
    <w:rsid w:val="004943C9"/>
    <w:rsid w:val="004955FA"/>
    <w:rsid w:val="004A0988"/>
    <w:rsid w:val="004A0D44"/>
    <w:rsid w:val="004A1C51"/>
    <w:rsid w:val="004A281D"/>
    <w:rsid w:val="004A2E6D"/>
    <w:rsid w:val="004A32B1"/>
    <w:rsid w:val="004A584A"/>
    <w:rsid w:val="004A60A8"/>
    <w:rsid w:val="004A6997"/>
    <w:rsid w:val="004B02D3"/>
    <w:rsid w:val="004B0C32"/>
    <w:rsid w:val="004B0EF5"/>
    <w:rsid w:val="004B19CB"/>
    <w:rsid w:val="004B2BD8"/>
    <w:rsid w:val="004B518D"/>
    <w:rsid w:val="004B6A25"/>
    <w:rsid w:val="004C0013"/>
    <w:rsid w:val="004C37AC"/>
    <w:rsid w:val="004D3713"/>
    <w:rsid w:val="004D48BB"/>
    <w:rsid w:val="004D6597"/>
    <w:rsid w:val="004D67D9"/>
    <w:rsid w:val="004D7EC4"/>
    <w:rsid w:val="004E5068"/>
    <w:rsid w:val="004E52A9"/>
    <w:rsid w:val="004E6B49"/>
    <w:rsid w:val="004F2247"/>
    <w:rsid w:val="004F4E5F"/>
    <w:rsid w:val="004F5153"/>
    <w:rsid w:val="004F628F"/>
    <w:rsid w:val="004F6757"/>
    <w:rsid w:val="004F71C9"/>
    <w:rsid w:val="005026D5"/>
    <w:rsid w:val="00503107"/>
    <w:rsid w:val="005077F1"/>
    <w:rsid w:val="00512ACE"/>
    <w:rsid w:val="00512E78"/>
    <w:rsid w:val="005133DC"/>
    <w:rsid w:val="00516996"/>
    <w:rsid w:val="0052061E"/>
    <w:rsid w:val="00527EEF"/>
    <w:rsid w:val="00533DE5"/>
    <w:rsid w:val="00541E8D"/>
    <w:rsid w:val="00547D39"/>
    <w:rsid w:val="00551FC8"/>
    <w:rsid w:val="005547C4"/>
    <w:rsid w:val="00554B2D"/>
    <w:rsid w:val="005571F5"/>
    <w:rsid w:val="00560061"/>
    <w:rsid w:val="00561B81"/>
    <w:rsid w:val="00562249"/>
    <w:rsid w:val="0056233D"/>
    <w:rsid w:val="005628F4"/>
    <w:rsid w:val="005674B4"/>
    <w:rsid w:val="005677F5"/>
    <w:rsid w:val="00570729"/>
    <w:rsid w:val="00571BD5"/>
    <w:rsid w:val="00574C91"/>
    <w:rsid w:val="0057769B"/>
    <w:rsid w:val="00577E9B"/>
    <w:rsid w:val="0058218E"/>
    <w:rsid w:val="00583BE4"/>
    <w:rsid w:val="00583F03"/>
    <w:rsid w:val="005907C5"/>
    <w:rsid w:val="005926E4"/>
    <w:rsid w:val="00595045"/>
    <w:rsid w:val="005A0265"/>
    <w:rsid w:val="005A15C9"/>
    <w:rsid w:val="005A1DD3"/>
    <w:rsid w:val="005A4695"/>
    <w:rsid w:val="005A4A59"/>
    <w:rsid w:val="005A6741"/>
    <w:rsid w:val="005A7123"/>
    <w:rsid w:val="005B034F"/>
    <w:rsid w:val="005B2429"/>
    <w:rsid w:val="005B5379"/>
    <w:rsid w:val="005C011A"/>
    <w:rsid w:val="005C0995"/>
    <w:rsid w:val="005C10FB"/>
    <w:rsid w:val="005C1E01"/>
    <w:rsid w:val="005C2E4C"/>
    <w:rsid w:val="005C5DC1"/>
    <w:rsid w:val="005D1D69"/>
    <w:rsid w:val="005D2A45"/>
    <w:rsid w:val="005D3A49"/>
    <w:rsid w:val="005D79CB"/>
    <w:rsid w:val="005D7F12"/>
    <w:rsid w:val="005E2B83"/>
    <w:rsid w:val="005E6117"/>
    <w:rsid w:val="005E73DB"/>
    <w:rsid w:val="005F1BF5"/>
    <w:rsid w:val="005F2855"/>
    <w:rsid w:val="00603AE0"/>
    <w:rsid w:val="006065E9"/>
    <w:rsid w:val="00612B93"/>
    <w:rsid w:val="00616C12"/>
    <w:rsid w:val="00620A8B"/>
    <w:rsid w:val="00625EF7"/>
    <w:rsid w:val="00632CC0"/>
    <w:rsid w:val="006355DF"/>
    <w:rsid w:val="006407D5"/>
    <w:rsid w:val="00644733"/>
    <w:rsid w:val="0064481C"/>
    <w:rsid w:val="00650F8A"/>
    <w:rsid w:val="006511B7"/>
    <w:rsid w:val="006521DF"/>
    <w:rsid w:val="00652575"/>
    <w:rsid w:val="00652603"/>
    <w:rsid w:val="00654CBA"/>
    <w:rsid w:val="00656C94"/>
    <w:rsid w:val="00657D3F"/>
    <w:rsid w:val="00660899"/>
    <w:rsid w:val="00662FA8"/>
    <w:rsid w:val="006656D9"/>
    <w:rsid w:val="00665AAA"/>
    <w:rsid w:val="0066601F"/>
    <w:rsid w:val="006662AF"/>
    <w:rsid w:val="0066671A"/>
    <w:rsid w:val="00671C1A"/>
    <w:rsid w:val="006733ED"/>
    <w:rsid w:val="0067477A"/>
    <w:rsid w:val="006751DF"/>
    <w:rsid w:val="00675BC8"/>
    <w:rsid w:val="0067682E"/>
    <w:rsid w:val="00680244"/>
    <w:rsid w:val="00681D5D"/>
    <w:rsid w:val="00682B80"/>
    <w:rsid w:val="00684019"/>
    <w:rsid w:val="006855F1"/>
    <w:rsid w:val="0068647E"/>
    <w:rsid w:val="00687DD2"/>
    <w:rsid w:val="0069099A"/>
    <w:rsid w:val="00691438"/>
    <w:rsid w:val="00691D72"/>
    <w:rsid w:val="0069628D"/>
    <w:rsid w:val="006A111E"/>
    <w:rsid w:val="006A459C"/>
    <w:rsid w:val="006A51C0"/>
    <w:rsid w:val="006A70E3"/>
    <w:rsid w:val="006B0862"/>
    <w:rsid w:val="006B3F3F"/>
    <w:rsid w:val="006B58B7"/>
    <w:rsid w:val="006B5A28"/>
    <w:rsid w:val="006C4E5F"/>
    <w:rsid w:val="006C5729"/>
    <w:rsid w:val="006C5ECB"/>
    <w:rsid w:val="006C74A6"/>
    <w:rsid w:val="006C7750"/>
    <w:rsid w:val="006D0D6A"/>
    <w:rsid w:val="006D397B"/>
    <w:rsid w:val="006D43D0"/>
    <w:rsid w:val="006D6948"/>
    <w:rsid w:val="006D7012"/>
    <w:rsid w:val="006E4815"/>
    <w:rsid w:val="006E50CE"/>
    <w:rsid w:val="006F0EB1"/>
    <w:rsid w:val="006F2E45"/>
    <w:rsid w:val="006F3EA7"/>
    <w:rsid w:val="007028CB"/>
    <w:rsid w:val="007033DF"/>
    <w:rsid w:val="00703F69"/>
    <w:rsid w:val="0070609B"/>
    <w:rsid w:val="007068B6"/>
    <w:rsid w:val="00706E88"/>
    <w:rsid w:val="0070702F"/>
    <w:rsid w:val="00707537"/>
    <w:rsid w:val="00710476"/>
    <w:rsid w:val="0071058A"/>
    <w:rsid w:val="00713B0C"/>
    <w:rsid w:val="00714005"/>
    <w:rsid w:val="00714300"/>
    <w:rsid w:val="00715EBC"/>
    <w:rsid w:val="007166DD"/>
    <w:rsid w:val="007175FA"/>
    <w:rsid w:val="00722566"/>
    <w:rsid w:val="0072324B"/>
    <w:rsid w:val="007265AE"/>
    <w:rsid w:val="00726B33"/>
    <w:rsid w:val="00726E03"/>
    <w:rsid w:val="00727589"/>
    <w:rsid w:val="00736154"/>
    <w:rsid w:val="00737B29"/>
    <w:rsid w:val="00745EDE"/>
    <w:rsid w:val="00745EF6"/>
    <w:rsid w:val="00746861"/>
    <w:rsid w:val="00751F41"/>
    <w:rsid w:val="00754250"/>
    <w:rsid w:val="0075522F"/>
    <w:rsid w:val="0075630F"/>
    <w:rsid w:val="007605AA"/>
    <w:rsid w:val="0076129B"/>
    <w:rsid w:val="0076229E"/>
    <w:rsid w:val="00762A7F"/>
    <w:rsid w:val="00764A28"/>
    <w:rsid w:val="0076597F"/>
    <w:rsid w:val="007715EE"/>
    <w:rsid w:val="00771D94"/>
    <w:rsid w:val="00781C48"/>
    <w:rsid w:val="00783D4D"/>
    <w:rsid w:val="00787B8A"/>
    <w:rsid w:val="007907E9"/>
    <w:rsid w:val="007919A3"/>
    <w:rsid w:val="00792AB2"/>
    <w:rsid w:val="0079717E"/>
    <w:rsid w:val="007A06F3"/>
    <w:rsid w:val="007A1486"/>
    <w:rsid w:val="007A2CB6"/>
    <w:rsid w:val="007B0452"/>
    <w:rsid w:val="007B0FED"/>
    <w:rsid w:val="007B68D0"/>
    <w:rsid w:val="007B6FB8"/>
    <w:rsid w:val="007B7D46"/>
    <w:rsid w:val="007C193B"/>
    <w:rsid w:val="007C437C"/>
    <w:rsid w:val="007C5007"/>
    <w:rsid w:val="007C5096"/>
    <w:rsid w:val="007C674C"/>
    <w:rsid w:val="007C6E92"/>
    <w:rsid w:val="007C7D9A"/>
    <w:rsid w:val="007D4A36"/>
    <w:rsid w:val="007D5D51"/>
    <w:rsid w:val="007D6FC9"/>
    <w:rsid w:val="007F0779"/>
    <w:rsid w:val="007F19B4"/>
    <w:rsid w:val="007F23D8"/>
    <w:rsid w:val="007F3F1C"/>
    <w:rsid w:val="00800A1F"/>
    <w:rsid w:val="008039F8"/>
    <w:rsid w:val="00811982"/>
    <w:rsid w:val="00812229"/>
    <w:rsid w:val="00821E3B"/>
    <w:rsid w:val="00822AAF"/>
    <w:rsid w:val="008252BA"/>
    <w:rsid w:val="0082558D"/>
    <w:rsid w:val="00826FB6"/>
    <w:rsid w:val="00831034"/>
    <w:rsid w:val="00841E92"/>
    <w:rsid w:val="00845559"/>
    <w:rsid w:val="00850168"/>
    <w:rsid w:val="00850CBF"/>
    <w:rsid w:val="00851BDC"/>
    <w:rsid w:val="0085329A"/>
    <w:rsid w:val="008543AD"/>
    <w:rsid w:val="00854CA3"/>
    <w:rsid w:val="008551DD"/>
    <w:rsid w:val="00855D66"/>
    <w:rsid w:val="00856B29"/>
    <w:rsid w:val="00863A8C"/>
    <w:rsid w:val="00864DAA"/>
    <w:rsid w:val="00871478"/>
    <w:rsid w:val="00871692"/>
    <w:rsid w:val="0087324A"/>
    <w:rsid w:val="008732D0"/>
    <w:rsid w:val="00874A13"/>
    <w:rsid w:val="008762DE"/>
    <w:rsid w:val="00877760"/>
    <w:rsid w:val="0088011D"/>
    <w:rsid w:val="00881127"/>
    <w:rsid w:val="0088230D"/>
    <w:rsid w:val="00882F28"/>
    <w:rsid w:val="008834D4"/>
    <w:rsid w:val="00885CA6"/>
    <w:rsid w:val="00885E17"/>
    <w:rsid w:val="008867F8"/>
    <w:rsid w:val="008939BB"/>
    <w:rsid w:val="0089483D"/>
    <w:rsid w:val="008A06D0"/>
    <w:rsid w:val="008A4925"/>
    <w:rsid w:val="008A7AE3"/>
    <w:rsid w:val="008B5EB5"/>
    <w:rsid w:val="008B74E9"/>
    <w:rsid w:val="008B7722"/>
    <w:rsid w:val="008C0AA0"/>
    <w:rsid w:val="008C2C30"/>
    <w:rsid w:val="008C4C22"/>
    <w:rsid w:val="008D0A9E"/>
    <w:rsid w:val="008D43C4"/>
    <w:rsid w:val="008D6D92"/>
    <w:rsid w:val="008E2B47"/>
    <w:rsid w:val="008E2D89"/>
    <w:rsid w:val="008F06BB"/>
    <w:rsid w:val="008F12DF"/>
    <w:rsid w:val="008F2A18"/>
    <w:rsid w:val="008F3267"/>
    <w:rsid w:val="008F33F4"/>
    <w:rsid w:val="008F34A0"/>
    <w:rsid w:val="008F4433"/>
    <w:rsid w:val="008F48AC"/>
    <w:rsid w:val="008F6402"/>
    <w:rsid w:val="00901F9A"/>
    <w:rsid w:val="0090260A"/>
    <w:rsid w:val="00902771"/>
    <w:rsid w:val="009073E2"/>
    <w:rsid w:val="00907CA9"/>
    <w:rsid w:val="00910A1A"/>
    <w:rsid w:val="00913705"/>
    <w:rsid w:val="00916266"/>
    <w:rsid w:val="009179DF"/>
    <w:rsid w:val="00922398"/>
    <w:rsid w:val="00923799"/>
    <w:rsid w:val="00923A27"/>
    <w:rsid w:val="0092675A"/>
    <w:rsid w:val="00930F35"/>
    <w:rsid w:val="009315BD"/>
    <w:rsid w:val="00934D16"/>
    <w:rsid w:val="009350D2"/>
    <w:rsid w:val="0093749B"/>
    <w:rsid w:val="0093765C"/>
    <w:rsid w:val="00942862"/>
    <w:rsid w:val="00942FC8"/>
    <w:rsid w:val="00944A6C"/>
    <w:rsid w:val="00947433"/>
    <w:rsid w:val="009478EE"/>
    <w:rsid w:val="00947AFE"/>
    <w:rsid w:val="00947F21"/>
    <w:rsid w:val="00951536"/>
    <w:rsid w:val="00957149"/>
    <w:rsid w:val="009638F2"/>
    <w:rsid w:val="00964D5E"/>
    <w:rsid w:val="00973097"/>
    <w:rsid w:val="00973FAD"/>
    <w:rsid w:val="009802D2"/>
    <w:rsid w:val="00982238"/>
    <w:rsid w:val="00983FF2"/>
    <w:rsid w:val="00990DBF"/>
    <w:rsid w:val="00990E77"/>
    <w:rsid w:val="0099496D"/>
    <w:rsid w:val="00996F45"/>
    <w:rsid w:val="009A098D"/>
    <w:rsid w:val="009A1583"/>
    <w:rsid w:val="009B35DF"/>
    <w:rsid w:val="009B516A"/>
    <w:rsid w:val="009B58D8"/>
    <w:rsid w:val="009B6A91"/>
    <w:rsid w:val="009C0EA8"/>
    <w:rsid w:val="009D04EB"/>
    <w:rsid w:val="009D188E"/>
    <w:rsid w:val="009D3807"/>
    <w:rsid w:val="009D41FF"/>
    <w:rsid w:val="009E0443"/>
    <w:rsid w:val="009E2DFA"/>
    <w:rsid w:val="009E3BDC"/>
    <w:rsid w:val="009E40B7"/>
    <w:rsid w:val="009E6187"/>
    <w:rsid w:val="009E78E6"/>
    <w:rsid w:val="009F0C8D"/>
    <w:rsid w:val="009F20CC"/>
    <w:rsid w:val="009F30BC"/>
    <w:rsid w:val="009F53D9"/>
    <w:rsid w:val="009F61E4"/>
    <w:rsid w:val="009F66EF"/>
    <w:rsid w:val="009F6731"/>
    <w:rsid w:val="009F7EE1"/>
    <w:rsid w:val="00A008C0"/>
    <w:rsid w:val="00A02809"/>
    <w:rsid w:val="00A03B3B"/>
    <w:rsid w:val="00A05412"/>
    <w:rsid w:val="00A06D88"/>
    <w:rsid w:val="00A1023E"/>
    <w:rsid w:val="00A10E81"/>
    <w:rsid w:val="00A11961"/>
    <w:rsid w:val="00A119AE"/>
    <w:rsid w:val="00A15BB5"/>
    <w:rsid w:val="00A16E51"/>
    <w:rsid w:val="00A17475"/>
    <w:rsid w:val="00A210E1"/>
    <w:rsid w:val="00A2155F"/>
    <w:rsid w:val="00A23B2D"/>
    <w:rsid w:val="00A301E0"/>
    <w:rsid w:val="00A33983"/>
    <w:rsid w:val="00A33F80"/>
    <w:rsid w:val="00A349FA"/>
    <w:rsid w:val="00A34E98"/>
    <w:rsid w:val="00A36710"/>
    <w:rsid w:val="00A41130"/>
    <w:rsid w:val="00A41650"/>
    <w:rsid w:val="00A41C60"/>
    <w:rsid w:val="00A41FB5"/>
    <w:rsid w:val="00A444C2"/>
    <w:rsid w:val="00A50D90"/>
    <w:rsid w:val="00A510D3"/>
    <w:rsid w:val="00A5199B"/>
    <w:rsid w:val="00A5424F"/>
    <w:rsid w:val="00A55855"/>
    <w:rsid w:val="00A558EF"/>
    <w:rsid w:val="00A60683"/>
    <w:rsid w:val="00A62553"/>
    <w:rsid w:val="00A64A1D"/>
    <w:rsid w:val="00A70D52"/>
    <w:rsid w:val="00A715F5"/>
    <w:rsid w:val="00A77C56"/>
    <w:rsid w:val="00A82D88"/>
    <w:rsid w:val="00A83183"/>
    <w:rsid w:val="00A8482A"/>
    <w:rsid w:val="00A85A4E"/>
    <w:rsid w:val="00A86FD3"/>
    <w:rsid w:val="00A914D2"/>
    <w:rsid w:val="00A92169"/>
    <w:rsid w:val="00A930DA"/>
    <w:rsid w:val="00A970AB"/>
    <w:rsid w:val="00AA0586"/>
    <w:rsid w:val="00AA3ED3"/>
    <w:rsid w:val="00AA4CA1"/>
    <w:rsid w:val="00AA5426"/>
    <w:rsid w:val="00AA5A7F"/>
    <w:rsid w:val="00AA6443"/>
    <w:rsid w:val="00AA76E7"/>
    <w:rsid w:val="00AB0874"/>
    <w:rsid w:val="00AB0D5D"/>
    <w:rsid w:val="00AB23F3"/>
    <w:rsid w:val="00AB33B2"/>
    <w:rsid w:val="00AB4198"/>
    <w:rsid w:val="00AB43CA"/>
    <w:rsid w:val="00AC1C6A"/>
    <w:rsid w:val="00AC2770"/>
    <w:rsid w:val="00AC31AB"/>
    <w:rsid w:val="00AC3A03"/>
    <w:rsid w:val="00AD0235"/>
    <w:rsid w:val="00AD08F8"/>
    <w:rsid w:val="00AD2A77"/>
    <w:rsid w:val="00AD2AC3"/>
    <w:rsid w:val="00AD37AF"/>
    <w:rsid w:val="00AD3F85"/>
    <w:rsid w:val="00AD513E"/>
    <w:rsid w:val="00AD5F9D"/>
    <w:rsid w:val="00AD6CE6"/>
    <w:rsid w:val="00AD6E40"/>
    <w:rsid w:val="00AE67F8"/>
    <w:rsid w:val="00AF143A"/>
    <w:rsid w:val="00AF25F2"/>
    <w:rsid w:val="00AF43D9"/>
    <w:rsid w:val="00AF7B51"/>
    <w:rsid w:val="00B0107A"/>
    <w:rsid w:val="00B02574"/>
    <w:rsid w:val="00B04CDB"/>
    <w:rsid w:val="00B05771"/>
    <w:rsid w:val="00B060B0"/>
    <w:rsid w:val="00B06A10"/>
    <w:rsid w:val="00B10959"/>
    <w:rsid w:val="00B14FF8"/>
    <w:rsid w:val="00B1528B"/>
    <w:rsid w:val="00B15CEE"/>
    <w:rsid w:val="00B20368"/>
    <w:rsid w:val="00B2250E"/>
    <w:rsid w:val="00B236A4"/>
    <w:rsid w:val="00B25910"/>
    <w:rsid w:val="00B311B8"/>
    <w:rsid w:val="00B35467"/>
    <w:rsid w:val="00B35712"/>
    <w:rsid w:val="00B36F2C"/>
    <w:rsid w:val="00B4002D"/>
    <w:rsid w:val="00B43A14"/>
    <w:rsid w:val="00B45635"/>
    <w:rsid w:val="00B472D3"/>
    <w:rsid w:val="00B50594"/>
    <w:rsid w:val="00B542FC"/>
    <w:rsid w:val="00B5600D"/>
    <w:rsid w:val="00B60497"/>
    <w:rsid w:val="00B60C6A"/>
    <w:rsid w:val="00B6140E"/>
    <w:rsid w:val="00B635ED"/>
    <w:rsid w:val="00B63613"/>
    <w:rsid w:val="00B63EB8"/>
    <w:rsid w:val="00B65791"/>
    <w:rsid w:val="00B672B8"/>
    <w:rsid w:val="00B723C7"/>
    <w:rsid w:val="00B80F68"/>
    <w:rsid w:val="00B83DAA"/>
    <w:rsid w:val="00B85661"/>
    <w:rsid w:val="00B87749"/>
    <w:rsid w:val="00B90E3A"/>
    <w:rsid w:val="00B9131B"/>
    <w:rsid w:val="00B9258E"/>
    <w:rsid w:val="00B9436A"/>
    <w:rsid w:val="00B94F4D"/>
    <w:rsid w:val="00B96207"/>
    <w:rsid w:val="00B976D2"/>
    <w:rsid w:val="00BA1116"/>
    <w:rsid w:val="00BA131B"/>
    <w:rsid w:val="00BA1A12"/>
    <w:rsid w:val="00BA2331"/>
    <w:rsid w:val="00BA25B9"/>
    <w:rsid w:val="00BA4F35"/>
    <w:rsid w:val="00BA7E65"/>
    <w:rsid w:val="00BB0AC0"/>
    <w:rsid w:val="00BB1315"/>
    <w:rsid w:val="00BB1396"/>
    <w:rsid w:val="00BB18EC"/>
    <w:rsid w:val="00BC04C4"/>
    <w:rsid w:val="00BC06C2"/>
    <w:rsid w:val="00BC07B2"/>
    <w:rsid w:val="00BC0F25"/>
    <w:rsid w:val="00BC2001"/>
    <w:rsid w:val="00BC2A74"/>
    <w:rsid w:val="00BC411C"/>
    <w:rsid w:val="00BC6F27"/>
    <w:rsid w:val="00BD1E3F"/>
    <w:rsid w:val="00BD31F4"/>
    <w:rsid w:val="00BD4D85"/>
    <w:rsid w:val="00BD4F1C"/>
    <w:rsid w:val="00BD5D04"/>
    <w:rsid w:val="00BD7C55"/>
    <w:rsid w:val="00BE02C3"/>
    <w:rsid w:val="00BE0968"/>
    <w:rsid w:val="00BE0A91"/>
    <w:rsid w:val="00BE1575"/>
    <w:rsid w:val="00BE35E3"/>
    <w:rsid w:val="00BE431B"/>
    <w:rsid w:val="00BE7096"/>
    <w:rsid w:val="00BE710D"/>
    <w:rsid w:val="00BF0FD2"/>
    <w:rsid w:val="00BF103B"/>
    <w:rsid w:val="00BF18C0"/>
    <w:rsid w:val="00BF1FDA"/>
    <w:rsid w:val="00BF20B7"/>
    <w:rsid w:val="00BF2BF8"/>
    <w:rsid w:val="00BF4009"/>
    <w:rsid w:val="00BF46CD"/>
    <w:rsid w:val="00BF6498"/>
    <w:rsid w:val="00C009C2"/>
    <w:rsid w:val="00C015D5"/>
    <w:rsid w:val="00C01DCF"/>
    <w:rsid w:val="00C02579"/>
    <w:rsid w:val="00C0426A"/>
    <w:rsid w:val="00C04C07"/>
    <w:rsid w:val="00C05639"/>
    <w:rsid w:val="00C06A16"/>
    <w:rsid w:val="00C11134"/>
    <w:rsid w:val="00C117B0"/>
    <w:rsid w:val="00C12ABF"/>
    <w:rsid w:val="00C177A1"/>
    <w:rsid w:val="00C225D7"/>
    <w:rsid w:val="00C2283F"/>
    <w:rsid w:val="00C2465D"/>
    <w:rsid w:val="00C24CA2"/>
    <w:rsid w:val="00C27E9D"/>
    <w:rsid w:val="00C328FC"/>
    <w:rsid w:val="00C32BCB"/>
    <w:rsid w:val="00C32C35"/>
    <w:rsid w:val="00C3601C"/>
    <w:rsid w:val="00C36AB1"/>
    <w:rsid w:val="00C37753"/>
    <w:rsid w:val="00C40A32"/>
    <w:rsid w:val="00C419AA"/>
    <w:rsid w:val="00C422EA"/>
    <w:rsid w:val="00C42FBB"/>
    <w:rsid w:val="00C43554"/>
    <w:rsid w:val="00C44A20"/>
    <w:rsid w:val="00C44AFB"/>
    <w:rsid w:val="00C4632B"/>
    <w:rsid w:val="00C470B9"/>
    <w:rsid w:val="00C47C2C"/>
    <w:rsid w:val="00C47CB2"/>
    <w:rsid w:val="00C5765C"/>
    <w:rsid w:val="00C607F0"/>
    <w:rsid w:val="00C64476"/>
    <w:rsid w:val="00C676C9"/>
    <w:rsid w:val="00C70267"/>
    <w:rsid w:val="00C707E0"/>
    <w:rsid w:val="00C71743"/>
    <w:rsid w:val="00C72085"/>
    <w:rsid w:val="00C738CF"/>
    <w:rsid w:val="00C746BE"/>
    <w:rsid w:val="00C77166"/>
    <w:rsid w:val="00C77E08"/>
    <w:rsid w:val="00C83A21"/>
    <w:rsid w:val="00C86111"/>
    <w:rsid w:val="00C865C8"/>
    <w:rsid w:val="00C866DA"/>
    <w:rsid w:val="00C92C67"/>
    <w:rsid w:val="00C93AF3"/>
    <w:rsid w:val="00C953BD"/>
    <w:rsid w:val="00C96907"/>
    <w:rsid w:val="00C97960"/>
    <w:rsid w:val="00CA1141"/>
    <w:rsid w:val="00CA1266"/>
    <w:rsid w:val="00CA1D01"/>
    <w:rsid w:val="00CA2DAC"/>
    <w:rsid w:val="00CA5CC1"/>
    <w:rsid w:val="00CB1617"/>
    <w:rsid w:val="00CB2145"/>
    <w:rsid w:val="00CB2594"/>
    <w:rsid w:val="00CB2DD6"/>
    <w:rsid w:val="00CB3BAD"/>
    <w:rsid w:val="00CB7106"/>
    <w:rsid w:val="00CC2A78"/>
    <w:rsid w:val="00CC4DAA"/>
    <w:rsid w:val="00CC56EA"/>
    <w:rsid w:val="00CC5B3E"/>
    <w:rsid w:val="00CC643F"/>
    <w:rsid w:val="00CD2574"/>
    <w:rsid w:val="00CD6BFB"/>
    <w:rsid w:val="00CD7E54"/>
    <w:rsid w:val="00CE1D9E"/>
    <w:rsid w:val="00CE2F6A"/>
    <w:rsid w:val="00CE35E8"/>
    <w:rsid w:val="00CE3C0A"/>
    <w:rsid w:val="00CE4C63"/>
    <w:rsid w:val="00CE76EE"/>
    <w:rsid w:val="00CE7736"/>
    <w:rsid w:val="00CF0ED2"/>
    <w:rsid w:val="00CF150B"/>
    <w:rsid w:val="00CF527B"/>
    <w:rsid w:val="00CF6CEE"/>
    <w:rsid w:val="00CF7456"/>
    <w:rsid w:val="00D00E6F"/>
    <w:rsid w:val="00D03E13"/>
    <w:rsid w:val="00D055FA"/>
    <w:rsid w:val="00D064F0"/>
    <w:rsid w:val="00D07220"/>
    <w:rsid w:val="00D076A3"/>
    <w:rsid w:val="00D07ADF"/>
    <w:rsid w:val="00D11487"/>
    <w:rsid w:val="00D16CA2"/>
    <w:rsid w:val="00D201F5"/>
    <w:rsid w:val="00D21198"/>
    <w:rsid w:val="00D2436B"/>
    <w:rsid w:val="00D26CB0"/>
    <w:rsid w:val="00D2786C"/>
    <w:rsid w:val="00D32E8F"/>
    <w:rsid w:val="00D3391E"/>
    <w:rsid w:val="00D33929"/>
    <w:rsid w:val="00D3431F"/>
    <w:rsid w:val="00D3437E"/>
    <w:rsid w:val="00D34E76"/>
    <w:rsid w:val="00D37100"/>
    <w:rsid w:val="00D37934"/>
    <w:rsid w:val="00D416FC"/>
    <w:rsid w:val="00D41F07"/>
    <w:rsid w:val="00D4423A"/>
    <w:rsid w:val="00D45B79"/>
    <w:rsid w:val="00D46978"/>
    <w:rsid w:val="00D555DB"/>
    <w:rsid w:val="00D57B79"/>
    <w:rsid w:val="00D60CDB"/>
    <w:rsid w:val="00D642FF"/>
    <w:rsid w:val="00D64EFB"/>
    <w:rsid w:val="00D65731"/>
    <w:rsid w:val="00D670AF"/>
    <w:rsid w:val="00D71C68"/>
    <w:rsid w:val="00D72336"/>
    <w:rsid w:val="00D73C46"/>
    <w:rsid w:val="00D74322"/>
    <w:rsid w:val="00D76B1B"/>
    <w:rsid w:val="00D80AFA"/>
    <w:rsid w:val="00D813A5"/>
    <w:rsid w:val="00D837C2"/>
    <w:rsid w:val="00D83884"/>
    <w:rsid w:val="00D863DE"/>
    <w:rsid w:val="00D91517"/>
    <w:rsid w:val="00D9181F"/>
    <w:rsid w:val="00D95442"/>
    <w:rsid w:val="00D95FBC"/>
    <w:rsid w:val="00D96EE6"/>
    <w:rsid w:val="00DA1141"/>
    <w:rsid w:val="00DA4C42"/>
    <w:rsid w:val="00DA62EF"/>
    <w:rsid w:val="00DA7B6A"/>
    <w:rsid w:val="00DB0255"/>
    <w:rsid w:val="00DB1C9E"/>
    <w:rsid w:val="00DB1E30"/>
    <w:rsid w:val="00DB20BF"/>
    <w:rsid w:val="00DC19ED"/>
    <w:rsid w:val="00DC396C"/>
    <w:rsid w:val="00DC7CA0"/>
    <w:rsid w:val="00DD1866"/>
    <w:rsid w:val="00DD27D9"/>
    <w:rsid w:val="00DD59BE"/>
    <w:rsid w:val="00DD5C83"/>
    <w:rsid w:val="00DE1965"/>
    <w:rsid w:val="00DE3762"/>
    <w:rsid w:val="00DE3A77"/>
    <w:rsid w:val="00DE3F6C"/>
    <w:rsid w:val="00DE75D9"/>
    <w:rsid w:val="00DE792D"/>
    <w:rsid w:val="00DF18B5"/>
    <w:rsid w:val="00DF66CE"/>
    <w:rsid w:val="00DF6E0F"/>
    <w:rsid w:val="00E00018"/>
    <w:rsid w:val="00E043AC"/>
    <w:rsid w:val="00E04F57"/>
    <w:rsid w:val="00E053E3"/>
    <w:rsid w:val="00E118A5"/>
    <w:rsid w:val="00E15DB1"/>
    <w:rsid w:val="00E20AAC"/>
    <w:rsid w:val="00E24ED9"/>
    <w:rsid w:val="00E27038"/>
    <w:rsid w:val="00E324E4"/>
    <w:rsid w:val="00E335A4"/>
    <w:rsid w:val="00E3541B"/>
    <w:rsid w:val="00E3686D"/>
    <w:rsid w:val="00E370EC"/>
    <w:rsid w:val="00E40EDB"/>
    <w:rsid w:val="00E4275D"/>
    <w:rsid w:val="00E43C9C"/>
    <w:rsid w:val="00E446F8"/>
    <w:rsid w:val="00E45A74"/>
    <w:rsid w:val="00E471D3"/>
    <w:rsid w:val="00E50024"/>
    <w:rsid w:val="00E55B59"/>
    <w:rsid w:val="00E56B81"/>
    <w:rsid w:val="00E60A43"/>
    <w:rsid w:val="00E60D66"/>
    <w:rsid w:val="00E61543"/>
    <w:rsid w:val="00E6534D"/>
    <w:rsid w:val="00E66126"/>
    <w:rsid w:val="00E702A0"/>
    <w:rsid w:val="00E75DF9"/>
    <w:rsid w:val="00E76D6D"/>
    <w:rsid w:val="00E813DF"/>
    <w:rsid w:val="00E83E6A"/>
    <w:rsid w:val="00E8461D"/>
    <w:rsid w:val="00E84C06"/>
    <w:rsid w:val="00E86965"/>
    <w:rsid w:val="00E87037"/>
    <w:rsid w:val="00E92696"/>
    <w:rsid w:val="00E92D31"/>
    <w:rsid w:val="00E95524"/>
    <w:rsid w:val="00E959F9"/>
    <w:rsid w:val="00EA08D7"/>
    <w:rsid w:val="00EA26DC"/>
    <w:rsid w:val="00EA30DC"/>
    <w:rsid w:val="00EA36EB"/>
    <w:rsid w:val="00EA4B63"/>
    <w:rsid w:val="00EA537C"/>
    <w:rsid w:val="00EA731B"/>
    <w:rsid w:val="00EB1180"/>
    <w:rsid w:val="00EB6053"/>
    <w:rsid w:val="00EB7891"/>
    <w:rsid w:val="00EC0527"/>
    <w:rsid w:val="00EC1C6E"/>
    <w:rsid w:val="00EC1D0B"/>
    <w:rsid w:val="00EC2501"/>
    <w:rsid w:val="00EC34A1"/>
    <w:rsid w:val="00EC3E76"/>
    <w:rsid w:val="00EC5C32"/>
    <w:rsid w:val="00EC66DA"/>
    <w:rsid w:val="00ED3C35"/>
    <w:rsid w:val="00ED5F94"/>
    <w:rsid w:val="00ED612F"/>
    <w:rsid w:val="00EE0A2C"/>
    <w:rsid w:val="00EE1B8E"/>
    <w:rsid w:val="00EE24C7"/>
    <w:rsid w:val="00EE2559"/>
    <w:rsid w:val="00EE357C"/>
    <w:rsid w:val="00EE4241"/>
    <w:rsid w:val="00EE4E14"/>
    <w:rsid w:val="00EE749E"/>
    <w:rsid w:val="00EE76BA"/>
    <w:rsid w:val="00EF155E"/>
    <w:rsid w:val="00EF1A45"/>
    <w:rsid w:val="00EF228F"/>
    <w:rsid w:val="00EF4902"/>
    <w:rsid w:val="00EF52F5"/>
    <w:rsid w:val="00EF64B1"/>
    <w:rsid w:val="00EF7BBA"/>
    <w:rsid w:val="00F00229"/>
    <w:rsid w:val="00F011DD"/>
    <w:rsid w:val="00F026CA"/>
    <w:rsid w:val="00F03CC2"/>
    <w:rsid w:val="00F06AC1"/>
    <w:rsid w:val="00F112B0"/>
    <w:rsid w:val="00F11778"/>
    <w:rsid w:val="00F12982"/>
    <w:rsid w:val="00F151CB"/>
    <w:rsid w:val="00F15CEA"/>
    <w:rsid w:val="00F2288C"/>
    <w:rsid w:val="00F235CF"/>
    <w:rsid w:val="00F31252"/>
    <w:rsid w:val="00F329C5"/>
    <w:rsid w:val="00F34C1B"/>
    <w:rsid w:val="00F34FDD"/>
    <w:rsid w:val="00F362E9"/>
    <w:rsid w:val="00F40683"/>
    <w:rsid w:val="00F43711"/>
    <w:rsid w:val="00F463F4"/>
    <w:rsid w:val="00F479AE"/>
    <w:rsid w:val="00F51EAB"/>
    <w:rsid w:val="00F52AB3"/>
    <w:rsid w:val="00F61F2D"/>
    <w:rsid w:val="00F63361"/>
    <w:rsid w:val="00F64AB8"/>
    <w:rsid w:val="00F6759D"/>
    <w:rsid w:val="00F67E27"/>
    <w:rsid w:val="00F73DFF"/>
    <w:rsid w:val="00F74091"/>
    <w:rsid w:val="00F75613"/>
    <w:rsid w:val="00F75DFA"/>
    <w:rsid w:val="00F77219"/>
    <w:rsid w:val="00F80408"/>
    <w:rsid w:val="00F834D1"/>
    <w:rsid w:val="00F87D54"/>
    <w:rsid w:val="00F90100"/>
    <w:rsid w:val="00F91F7D"/>
    <w:rsid w:val="00F94F3E"/>
    <w:rsid w:val="00F95F2B"/>
    <w:rsid w:val="00FA2893"/>
    <w:rsid w:val="00FA73B2"/>
    <w:rsid w:val="00FB0BF8"/>
    <w:rsid w:val="00FB1683"/>
    <w:rsid w:val="00FB19BD"/>
    <w:rsid w:val="00FB287C"/>
    <w:rsid w:val="00FB6B73"/>
    <w:rsid w:val="00FC0A75"/>
    <w:rsid w:val="00FC11CF"/>
    <w:rsid w:val="00FC2B09"/>
    <w:rsid w:val="00FC3BF2"/>
    <w:rsid w:val="00FC4160"/>
    <w:rsid w:val="00FC7CA0"/>
    <w:rsid w:val="00FD0A77"/>
    <w:rsid w:val="00FD2A76"/>
    <w:rsid w:val="00FD3C0F"/>
    <w:rsid w:val="00FD5C0C"/>
    <w:rsid w:val="00FE4FD1"/>
    <w:rsid w:val="00FF311C"/>
    <w:rsid w:val="00FF7683"/>
    <w:rsid w:val="00FF7A90"/>
    <w:rsid w:val="00FF7F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9D5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E0A2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EE0A2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D71C6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6F3EA7"/>
    <w:pPr>
      <w:ind w:left="720"/>
      <w:contextualSpacing/>
    </w:pPr>
  </w:style>
  <w:style w:type="paragraph" w:styleId="StandardWeb">
    <w:name w:val="Normal (Web)"/>
    <w:basedOn w:val="Standard"/>
    <w:uiPriority w:val="99"/>
    <w:semiHidden/>
    <w:unhideWhenUsed/>
    <w:rsid w:val="007B0FED"/>
    <w:pPr>
      <w:spacing w:before="100" w:beforeAutospacing="1" w:after="100" w:afterAutospacing="1" w:line="240" w:lineRule="auto"/>
    </w:pPr>
    <w:rPr>
      <w:rFonts w:ascii="Times New Roman" w:eastAsiaTheme="minorEastAsia" w:hAnsi="Times New Roman" w:cs="Times New Roman"/>
      <w:sz w:val="24"/>
      <w:szCs w:val="24"/>
      <w:lang w:eastAsia="de-DE"/>
    </w:rPr>
  </w:style>
  <w:style w:type="table" w:styleId="Tabellenraster">
    <w:name w:val="Table Grid"/>
    <w:basedOn w:val="NormaleTabelle"/>
    <w:uiPriority w:val="59"/>
    <w:rsid w:val="00D86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A32B1"/>
    <w:rPr>
      <w:color w:val="0000FF" w:themeColor="hyperlink"/>
      <w:u w:val="single"/>
    </w:rPr>
  </w:style>
  <w:style w:type="character" w:styleId="Kommentarzeichen">
    <w:name w:val="annotation reference"/>
    <w:basedOn w:val="Absatz-Standardschriftart"/>
    <w:uiPriority w:val="99"/>
    <w:semiHidden/>
    <w:unhideWhenUsed/>
    <w:rsid w:val="004A32B1"/>
    <w:rPr>
      <w:sz w:val="16"/>
      <w:szCs w:val="16"/>
    </w:rPr>
  </w:style>
  <w:style w:type="paragraph" w:styleId="Kommentartext">
    <w:name w:val="annotation text"/>
    <w:basedOn w:val="Standard"/>
    <w:link w:val="KommentartextZchn"/>
    <w:uiPriority w:val="99"/>
    <w:unhideWhenUsed/>
    <w:rsid w:val="004A32B1"/>
    <w:pPr>
      <w:spacing w:line="240" w:lineRule="auto"/>
    </w:pPr>
    <w:rPr>
      <w:sz w:val="20"/>
      <w:szCs w:val="20"/>
      <w:lang w:val="en-GB"/>
    </w:rPr>
  </w:style>
  <w:style w:type="character" w:customStyle="1" w:styleId="KommentartextZchn">
    <w:name w:val="Kommentartext Zchn"/>
    <w:basedOn w:val="Absatz-Standardschriftart"/>
    <w:link w:val="Kommentartext"/>
    <w:uiPriority w:val="99"/>
    <w:rsid w:val="004A32B1"/>
    <w:rPr>
      <w:sz w:val="20"/>
      <w:szCs w:val="20"/>
      <w:lang w:val="en-GB"/>
    </w:rPr>
  </w:style>
  <w:style w:type="character" w:customStyle="1" w:styleId="ListenabsatzZchn">
    <w:name w:val="Listenabsatz Zchn"/>
    <w:basedOn w:val="Absatz-Standardschriftart"/>
    <w:link w:val="Listenabsatz"/>
    <w:uiPriority w:val="34"/>
    <w:rsid w:val="004A32B1"/>
  </w:style>
  <w:style w:type="paragraph" w:styleId="Sprechblasentext">
    <w:name w:val="Balloon Text"/>
    <w:basedOn w:val="Standard"/>
    <w:link w:val="SprechblasentextZchn"/>
    <w:uiPriority w:val="99"/>
    <w:semiHidden/>
    <w:unhideWhenUsed/>
    <w:rsid w:val="004A32B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A32B1"/>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sid w:val="004A32B1"/>
    <w:rPr>
      <w:b/>
      <w:bCs/>
      <w:lang w:val="de-DE"/>
    </w:rPr>
  </w:style>
  <w:style w:type="character" w:customStyle="1" w:styleId="KommentarthemaZchn">
    <w:name w:val="Kommentarthema Zchn"/>
    <w:basedOn w:val="KommentartextZchn"/>
    <w:link w:val="Kommentarthema"/>
    <w:uiPriority w:val="99"/>
    <w:semiHidden/>
    <w:rsid w:val="004A32B1"/>
    <w:rPr>
      <w:b/>
      <w:bCs/>
      <w:sz w:val="20"/>
      <w:szCs w:val="20"/>
      <w:lang w:val="en-GB"/>
    </w:rPr>
  </w:style>
  <w:style w:type="paragraph" w:styleId="Beschriftung">
    <w:name w:val="caption"/>
    <w:basedOn w:val="Standard"/>
    <w:next w:val="Standard"/>
    <w:uiPriority w:val="35"/>
    <w:unhideWhenUsed/>
    <w:qFormat/>
    <w:rsid w:val="00CD2574"/>
    <w:pPr>
      <w:spacing w:line="240" w:lineRule="auto"/>
    </w:pPr>
    <w:rPr>
      <w:i/>
      <w:iCs/>
      <w:color w:val="1F497D" w:themeColor="text2"/>
      <w:sz w:val="18"/>
      <w:szCs w:val="18"/>
    </w:rPr>
  </w:style>
  <w:style w:type="character" w:styleId="Zeilennummer">
    <w:name w:val="line number"/>
    <w:basedOn w:val="Absatz-Standardschriftart"/>
    <w:uiPriority w:val="99"/>
    <w:semiHidden/>
    <w:unhideWhenUsed/>
    <w:rsid w:val="00B25910"/>
  </w:style>
  <w:style w:type="paragraph" w:styleId="Funotentext">
    <w:name w:val="footnote text"/>
    <w:basedOn w:val="Standard"/>
    <w:link w:val="FunotentextZchn"/>
    <w:uiPriority w:val="99"/>
    <w:semiHidden/>
    <w:unhideWhenUsed/>
    <w:rsid w:val="008E2B4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E2B47"/>
    <w:rPr>
      <w:sz w:val="20"/>
      <w:szCs w:val="20"/>
    </w:rPr>
  </w:style>
  <w:style w:type="character" w:styleId="Funotenzeichen">
    <w:name w:val="footnote reference"/>
    <w:basedOn w:val="Absatz-Standardschriftart"/>
    <w:uiPriority w:val="99"/>
    <w:semiHidden/>
    <w:unhideWhenUsed/>
    <w:rsid w:val="008E2B47"/>
    <w:rPr>
      <w:vertAlign w:val="superscript"/>
    </w:rPr>
  </w:style>
  <w:style w:type="paragraph" w:styleId="KeinLeerraum">
    <w:name w:val="No Spacing"/>
    <w:uiPriority w:val="1"/>
    <w:qFormat/>
    <w:rsid w:val="00242B7C"/>
    <w:pPr>
      <w:spacing w:after="0" w:line="240" w:lineRule="auto"/>
    </w:pPr>
  </w:style>
  <w:style w:type="character" w:customStyle="1" w:styleId="berschrift2Zchn">
    <w:name w:val="Überschrift 2 Zchn"/>
    <w:basedOn w:val="Absatz-Standardschriftart"/>
    <w:link w:val="berschrift2"/>
    <w:uiPriority w:val="9"/>
    <w:rsid w:val="00EE0A2C"/>
    <w:rPr>
      <w:rFonts w:asciiTheme="majorHAnsi" w:eastAsiaTheme="majorEastAsia" w:hAnsiTheme="majorHAnsi" w:cstheme="majorBidi"/>
      <w:color w:val="365F91" w:themeColor="accent1" w:themeShade="BF"/>
      <w:sz w:val="26"/>
      <w:szCs w:val="26"/>
    </w:rPr>
  </w:style>
  <w:style w:type="character" w:customStyle="1" w:styleId="berschrift1Zchn">
    <w:name w:val="Überschrift 1 Zchn"/>
    <w:basedOn w:val="Absatz-Standardschriftart"/>
    <w:link w:val="berschrift1"/>
    <w:uiPriority w:val="9"/>
    <w:rsid w:val="00EE0A2C"/>
    <w:rPr>
      <w:rFonts w:asciiTheme="majorHAnsi" w:eastAsiaTheme="majorEastAsia" w:hAnsiTheme="majorHAnsi" w:cstheme="majorBidi"/>
      <w:color w:val="365F91" w:themeColor="accent1" w:themeShade="BF"/>
      <w:sz w:val="32"/>
      <w:szCs w:val="32"/>
    </w:rPr>
  </w:style>
  <w:style w:type="paragraph" w:styleId="Kopfzeile">
    <w:name w:val="header"/>
    <w:basedOn w:val="Standard"/>
    <w:link w:val="KopfzeileZchn"/>
    <w:uiPriority w:val="99"/>
    <w:unhideWhenUsed/>
    <w:rsid w:val="00AB23F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B23F3"/>
  </w:style>
  <w:style w:type="paragraph" w:styleId="Fuzeile">
    <w:name w:val="footer"/>
    <w:basedOn w:val="Standard"/>
    <w:link w:val="FuzeileZchn"/>
    <w:uiPriority w:val="99"/>
    <w:unhideWhenUsed/>
    <w:rsid w:val="00AB23F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23F3"/>
  </w:style>
  <w:style w:type="character" w:styleId="Platzhaltertext">
    <w:name w:val="Placeholder Text"/>
    <w:basedOn w:val="Absatz-Standardschriftart"/>
    <w:uiPriority w:val="99"/>
    <w:semiHidden/>
    <w:rsid w:val="000F60F8"/>
    <w:rPr>
      <w:color w:val="808080"/>
    </w:rPr>
  </w:style>
  <w:style w:type="character" w:styleId="BesuchterHyperlink">
    <w:name w:val="FollowedHyperlink"/>
    <w:basedOn w:val="Absatz-Standardschriftart"/>
    <w:uiPriority w:val="99"/>
    <w:semiHidden/>
    <w:unhideWhenUsed/>
    <w:rsid w:val="009638F2"/>
    <w:rPr>
      <w:color w:val="800080" w:themeColor="followedHyperlink"/>
      <w:u w:val="single"/>
    </w:rPr>
  </w:style>
  <w:style w:type="character" w:customStyle="1" w:styleId="berschrift3Zchn">
    <w:name w:val="Überschrift 3 Zchn"/>
    <w:basedOn w:val="Absatz-Standardschriftart"/>
    <w:link w:val="berschrift3"/>
    <w:uiPriority w:val="9"/>
    <w:semiHidden/>
    <w:rsid w:val="00D71C68"/>
    <w:rPr>
      <w:rFonts w:asciiTheme="majorHAnsi" w:eastAsiaTheme="majorEastAsia" w:hAnsiTheme="majorHAnsi" w:cstheme="majorBidi"/>
      <w:color w:val="243F60" w:themeColor="accent1" w:themeShade="7F"/>
      <w:sz w:val="24"/>
      <w:szCs w:val="24"/>
    </w:rPr>
  </w:style>
  <w:style w:type="character" w:styleId="Fett">
    <w:name w:val="Strong"/>
    <w:basedOn w:val="Absatz-Standardschriftart"/>
    <w:uiPriority w:val="22"/>
    <w:qFormat/>
    <w:rsid w:val="00D71C68"/>
    <w:rPr>
      <w:b/>
      <w:bCs/>
    </w:rPr>
  </w:style>
  <w:style w:type="character" w:customStyle="1" w:styleId="authors-list-item2">
    <w:name w:val="authors-list-item2"/>
    <w:basedOn w:val="Absatz-Standardschriftart"/>
    <w:rsid w:val="00D71C68"/>
  </w:style>
  <w:style w:type="character" w:customStyle="1" w:styleId="author-sup-separator">
    <w:name w:val="author-sup-separator"/>
    <w:basedOn w:val="Absatz-Standardschriftart"/>
    <w:rsid w:val="00D71C68"/>
  </w:style>
  <w:style w:type="character" w:customStyle="1" w:styleId="comma">
    <w:name w:val="comma"/>
    <w:basedOn w:val="Absatz-Standardschriftart"/>
    <w:rsid w:val="00D71C68"/>
  </w:style>
  <w:style w:type="character" w:customStyle="1" w:styleId="identifier">
    <w:name w:val="identifier"/>
    <w:basedOn w:val="Absatz-Standardschriftart"/>
    <w:rsid w:val="00D71C68"/>
  </w:style>
  <w:style w:type="character" w:customStyle="1" w:styleId="id-label">
    <w:name w:val="id-label"/>
    <w:basedOn w:val="Absatz-Standardschriftart"/>
    <w:rsid w:val="00D71C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E0A2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EE0A2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D71C6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6F3EA7"/>
    <w:pPr>
      <w:ind w:left="720"/>
      <w:contextualSpacing/>
    </w:pPr>
  </w:style>
  <w:style w:type="paragraph" w:styleId="StandardWeb">
    <w:name w:val="Normal (Web)"/>
    <w:basedOn w:val="Standard"/>
    <w:uiPriority w:val="99"/>
    <w:semiHidden/>
    <w:unhideWhenUsed/>
    <w:rsid w:val="007B0FED"/>
    <w:pPr>
      <w:spacing w:before="100" w:beforeAutospacing="1" w:after="100" w:afterAutospacing="1" w:line="240" w:lineRule="auto"/>
    </w:pPr>
    <w:rPr>
      <w:rFonts w:ascii="Times New Roman" w:eastAsiaTheme="minorEastAsia" w:hAnsi="Times New Roman" w:cs="Times New Roman"/>
      <w:sz w:val="24"/>
      <w:szCs w:val="24"/>
      <w:lang w:eastAsia="de-DE"/>
    </w:rPr>
  </w:style>
  <w:style w:type="table" w:styleId="Tabellenraster">
    <w:name w:val="Table Grid"/>
    <w:basedOn w:val="NormaleTabelle"/>
    <w:uiPriority w:val="59"/>
    <w:rsid w:val="00D86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A32B1"/>
    <w:rPr>
      <w:color w:val="0000FF" w:themeColor="hyperlink"/>
      <w:u w:val="single"/>
    </w:rPr>
  </w:style>
  <w:style w:type="character" w:styleId="Kommentarzeichen">
    <w:name w:val="annotation reference"/>
    <w:basedOn w:val="Absatz-Standardschriftart"/>
    <w:uiPriority w:val="99"/>
    <w:semiHidden/>
    <w:unhideWhenUsed/>
    <w:rsid w:val="004A32B1"/>
    <w:rPr>
      <w:sz w:val="16"/>
      <w:szCs w:val="16"/>
    </w:rPr>
  </w:style>
  <w:style w:type="paragraph" w:styleId="Kommentartext">
    <w:name w:val="annotation text"/>
    <w:basedOn w:val="Standard"/>
    <w:link w:val="KommentartextZchn"/>
    <w:uiPriority w:val="99"/>
    <w:unhideWhenUsed/>
    <w:rsid w:val="004A32B1"/>
    <w:pPr>
      <w:spacing w:line="240" w:lineRule="auto"/>
    </w:pPr>
    <w:rPr>
      <w:sz w:val="20"/>
      <w:szCs w:val="20"/>
      <w:lang w:val="en-GB"/>
    </w:rPr>
  </w:style>
  <w:style w:type="character" w:customStyle="1" w:styleId="KommentartextZchn">
    <w:name w:val="Kommentartext Zchn"/>
    <w:basedOn w:val="Absatz-Standardschriftart"/>
    <w:link w:val="Kommentartext"/>
    <w:uiPriority w:val="99"/>
    <w:rsid w:val="004A32B1"/>
    <w:rPr>
      <w:sz w:val="20"/>
      <w:szCs w:val="20"/>
      <w:lang w:val="en-GB"/>
    </w:rPr>
  </w:style>
  <w:style w:type="character" w:customStyle="1" w:styleId="ListenabsatzZchn">
    <w:name w:val="Listenabsatz Zchn"/>
    <w:basedOn w:val="Absatz-Standardschriftart"/>
    <w:link w:val="Listenabsatz"/>
    <w:uiPriority w:val="34"/>
    <w:rsid w:val="004A32B1"/>
  </w:style>
  <w:style w:type="paragraph" w:styleId="Sprechblasentext">
    <w:name w:val="Balloon Text"/>
    <w:basedOn w:val="Standard"/>
    <w:link w:val="SprechblasentextZchn"/>
    <w:uiPriority w:val="99"/>
    <w:semiHidden/>
    <w:unhideWhenUsed/>
    <w:rsid w:val="004A32B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A32B1"/>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sid w:val="004A32B1"/>
    <w:rPr>
      <w:b/>
      <w:bCs/>
      <w:lang w:val="de-DE"/>
    </w:rPr>
  </w:style>
  <w:style w:type="character" w:customStyle="1" w:styleId="KommentarthemaZchn">
    <w:name w:val="Kommentarthema Zchn"/>
    <w:basedOn w:val="KommentartextZchn"/>
    <w:link w:val="Kommentarthema"/>
    <w:uiPriority w:val="99"/>
    <w:semiHidden/>
    <w:rsid w:val="004A32B1"/>
    <w:rPr>
      <w:b/>
      <w:bCs/>
      <w:sz w:val="20"/>
      <w:szCs w:val="20"/>
      <w:lang w:val="en-GB"/>
    </w:rPr>
  </w:style>
  <w:style w:type="paragraph" w:styleId="Beschriftung">
    <w:name w:val="caption"/>
    <w:basedOn w:val="Standard"/>
    <w:next w:val="Standard"/>
    <w:uiPriority w:val="35"/>
    <w:unhideWhenUsed/>
    <w:qFormat/>
    <w:rsid w:val="00CD2574"/>
    <w:pPr>
      <w:spacing w:line="240" w:lineRule="auto"/>
    </w:pPr>
    <w:rPr>
      <w:i/>
      <w:iCs/>
      <w:color w:val="1F497D" w:themeColor="text2"/>
      <w:sz w:val="18"/>
      <w:szCs w:val="18"/>
    </w:rPr>
  </w:style>
  <w:style w:type="character" w:styleId="Zeilennummer">
    <w:name w:val="line number"/>
    <w:basedOn w:val="Absatz-Standardschriftart"/>
    <w:uiPriority w:val="99"/>
    <w:semiHidden/>
    <w:unhideWhenUsed/>
    <w:rsid w:val="00B25910"/>
  </w:style>
  <w:style w:type="paragraph" w:styleId="Funotentext">
    <w:name w:val="footnote text"/>
    <w:basedOn w:val="Standard"/>
    <w:link w:val="FunotentextZchn"/>
    <w:uiPriority w:val="99"/>
    <w:semiHidden/>
    <w:unhideWhenUsed/>
    <w:rsid w:val="008E2B4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E2B47"/>
    <w:rPr>
      <w:sz w:val="20"/>
      <w:szCs w:val="20"/>
    </w:rPr>
  </w:style>
  <w:style w:type="character" w:styleId="Funotenzeichen">
    <w:name w:val="footnote reference"/>
    <w:basedOn w:val="Absatz-Standardschriftart"/>
    <w:uiPriority w:val="99"/>
    <w:semiHidden/>
    <w:unhideWhenUsed/>
    <w:rsid w:val="008E2B47"/>
    <w:rPr>
      <w:vertAlign w:val="superscript"/>
    </w:rPr>
  </w:style>
  <w:style w:type="paragraph" w:styleId="KeinLeerraum">
    <w:name w:val="No Spacing"/>
    <w:uiPriority w:val="1"/>
    <w:qFormat/>
    <w:rsid w:val="00242B7C"/>
    <w:pPr>
      <w:spacing w:after="0" w:line="240" w:lineRule="auto"/>
    </w:pPr>
  </w:style>
  <w:style w:type="character" w:customStyle="1" w:styleId="berschrift2Zchn">
    <w:name w:val="Überschrift 2 Zchn"/>
    <w:basedOn w:val="Absatz-Standardschriftart"/>
    <w:link w:val="berschrift2"/>
    <w:uiPriority w:val="9"/>
    <w:rsid w:val="00EE0A2C"/>
    <w:rPr>
      <w:rFonts w:asciiTheme="majorHAnsi" w:eastAsiaTheme="majorEastAsia" w:hAnsiTheme="majorHAnsi" w:cstheme="majorBidi"/>
      <w:color w:val="365F91" w:themeColor="accent1" w:themeShade="BF"/>
      <w:sz w:val="26"/>
      <w:szCs w:val="26"/>
    </w:rPr>
  </w:style>
  <w:style w:type="character" w:customStyle="1" w:styleId="berschrift1Zchn">
    <w:name w:val="Überschrift 1 Zchn"/>
    <w:basedOn w:val="Absatz-Standardschriftart"/>
    <w:link w:val="berschrift1"/>
    <w:uiPriority w:val="9"/>
    <w:rsid w:val="00EE0A2C"/>
    <w:rPr>
      <w:rFonts w:asciiTheme="majorHAnsi" w:eastAsiaTheme="majorEastAsia" w:hAnsiTheme="majorHAnsi" w:cstheme="majorBidi"/>
      <w:color w:val="365F91" w:themeColor="accent1" w:themeShade="BF"/>
      <w:sz w:val="32"/>
      <w:szCs w:val="32"/>
    </w:rPr>
  </w:style>
  <w:style w:type="paragraph" w:styleId="Kopfzeile">
    <w:name w:val="header"/>
    <w:basedOn w:val="Standard"/>
    <w:link w:val="KopfzeileZchn"/>
    <w:uiPriority w:val="99"/>
    <w:unhideWhenUsed/>
    <w:rsid w:val="00AB23F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B23F3"/>
  </w:style>
  <w:style w:type="paragraph" w:styleId="Fuzeile">
    <w:name w:val="footer"/>
    <w:basedOn w:val="Standard"/>
    <w:link w:val="FuzeileZchn"/>
    <w:uiPriority w:val="99"/>
    <w:unhideWhenUsed/>
    <w:rsid w:val="00AB23F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23F3"/>
  </w:style>
  <w:style w:type="character" w:styleId="Platzhaltertext">
    <w:name w:val="Placeholder Text"/>
    <w:basedOn w:val="Absatz-Standardschriftart"/>
    <w:uiPriority w:val="99"/>
    <w:semiHidden/>
    <w:rsid w:val="000F60F8"/>
    <w:rPr>
      <w:color w:val="808080"/>
    </w:rPr>
  </w:style>
  <w:style w:type="character" w:styleId="BesuchterHyperlink">
    <w:name w:val="FollowedHyperlink"/>
    <w:basedOn w:val="Absatz-Standardschriftart"/>
    <w:uiPriority w:val="99"/>
    <w:semiHidden/>
    <w:unhideWhenUsed/>
    <w:rsid w:val="009638F2"/>
    <w:rPr>
      <w:color w:val="800080" w:themeColor="followedHyperlink"/>
      <w:u w:val="single"/>
    </w:rPr>
  </w:style>
  <w:style w:type="character" w:customStyle="1" w:styleId="berschrift3Zchn">
    <w:name w:val="Überschrift 3 Zchn"/>
    <w:basedOn w:val="Absatz-Standardschriftart"/>
    <w:link w:val="berschrift3"/>
    <w:uiPriority w:val="9"/>
    <w:semiHidden/>
    <w:rsid w:val="00D71C68"/>
    <w:rPr>
      <w:rFonts w:asciiTheme="majorHAnsi" w:eastAsiaTheme="majorEastAsia" w:hAnsiTheme="majorHAnsi" w:cstheme="majorBidi"/>
      <w:color w:val="243F60" w:themeColor="accent1" w:themeShade="7F"/>
      <w:sz w:val="24"/>
      <w:szCs w:val="24"/>
    </w:rPr>
  </w:style>
  <w:style w:type="character" w:styleId="Fett">
    <w:name w:val="Strong"/>
    <w:basedOn w:val="Absatz-Standardschriftart"/>
    <w:uiPriority w:val="22"/>
    <w:qFormat/>
    <w:rsid w:val="00D71C68"/>
    <w:rPr>
      <w:b/>
      <w:bCs/>
    </w:rPr>
  </w:style>
  <w:style w:type="character" w:customStyle="1" w:styleId="authors-list-item2">
    <w:name w:val="authors-list-item2"/>
    <w:basedOn w:val="Absatz-Standardschriftart"/>
    <w:rsid w:val="00D71C68"/>
  </w:style>
  <w:style w:type="character" w:customStyle="1" w:styleId="author-sup-separator">
    <w:name w:val="author-sup-separator"/>
    <w:basedOn w:val="Absatz-Standardschriftart"/>
    <w:rsid w:val="00D71C68"/>
  </w:style>
  <w:style w:type="character" w:customStyle="1" w:styleId="comma">
    <w:name w:val="comma"/>
    <w:basedOn w:val="Absatz-Standardschriftart"/>
    <w:rsid w:val="00D71C68"/>
  </w:style>
  <w:style w:type="character" w:customStyle="1" w:styleId="identifier">
    <w:name w:val="identifier"/>
    <w:basedOn w:val="Absatz-Standardschriftart"/>
    <w:rsid w:val="00D71C68"/>
  </w:style>
  <w:style w:type="character" w:customStyle="1" w:styleId="id-label">
    <w:name w:val="id-label"/>
    <w:basedOn w:val="Absatz-Standardschriftart"/>
    <w:rsid w:val="00D71C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246404">
      <w:bodyDiv w:val="1"/>
      <w:marLeft w:val="0"/>
      <w:marRight w:val="0"/>
      <w:marTop w:val="0"/>
      <w:marBottom w:val="0"/>
      <w:divBdr>
        <w:top w:val="none" w:sz="0" w:space="0" w:color="auto"/>
        <w:left w:val="none" w:sz="0" w:space="0" w:color="auto"/>
        <w:bottom w:val="none" w:sz="0" w:space="0" w:color="auto"/>
        <w:right w:val="none" w:sz="0" w:space="0" w:color="auto"/>
      </w:divBdr>
    </w:div>
    <w:div w:id="760834894">
      <w:bodyDiv w:val="1"/>
      <w:marLeft w:val="0"/>
      <w:marRight w:val="0"/>
      <w:marTop w:val="0"/>
      <w:marBottom w:val="0"/>
      <w:divBdr>
        <w:top w:val="none" w:sz="0" w:space="0" w:color="auto"/>
        <w:left w:val="none" w:sz="0" w:space="0" w:color="auto"/>
        <w:bottom w:val="none" w:sz="0" w:space="0" w:color="auto"/>
        <w:right w:val="none" w:sz="0" w:space="0" w:color="auto"/>
      </w:divBdr>
    </w:div>
    <w:div w:id="779564587">
      <w:bodyDiv w:val="1"/>
      <w:marLeft w:val="0"/>
      <w:marRight w:val="0"/>
      <w:marTop w:val="0"/>
      <w:marBottom w:val="0"/>
      <w:divBdr>
        <w:top w:val="none" w:sz="0" w:space="0" w:color="auto"/>
        <w:left w:val="none" w:sz="0" w:space="0" w:color="auto"/>
        <w:bottom w:val="none" w:sz="0" w:space="0" w:color="auto"/>
        <w:right w:val="none" w:sz="0" w:space="0" w:color="auto"/>
      </w:divBdr>
    </w:div>
    <w:div w:id="939608345">
      <w:bodyDiv w:val="1"/>
      <w:marLeft w:val="0"/>
      <w:marRight w:val="0"/>
      <w:marTop w:val="0"/>
      <w:marBottom w:val="0"/>
      <w:divBdr>
        <w:top w:val="none" w:sz="0" w:space="0" w:color="auto"/>
        <w:left w:val="none" w:sz="0" w:space="0" w:color="auto"/>
        <w:bottom w:val="none" w:sz="0" w:space="0" w:color="auto"/>
        <w:right w:val="none" w:sz="0" w:space="0" w:color="auto"/>
      </w:divBdr>
    </w:div>
    <w:div w:id="1634215179">
      <w:bodyDiv w:val="1"/>
      <w:marLeft w:val="0"/>
      <w:marRight w:val="0"/>
      <w:marTop w:val="0"/>
      <w:marBottom w:val="0"/>
      <w:divBdr>
        <w:top w:val="none" w:sz="0" w:space="0" w:color="auto"/>
        <w:left w:val="none" w:sz="0" w:space="0" w:color="auto"/>
        <w:bottom w:val="none" w:sz="0" w:space="0" w:color="auto"/>
        <w:right w:val="none" w:sz="0" w:space="0" w:color="auto"/>
      </w:divBdr>
      <w:divsChild>
        <w:div w:id="319385647">
          <w:marLeft w:val="0"/>
          <w:marRight w:val="0"/>
          <w:marTop w:val="0"/>
          <w:marBottom w:val="0"/>
          <w:divBdr>
            <w:top w:val="none" w:sz="0" w:space="0" w:color="auto"/>
            <w:left w:val="none" w:sz="0" w:space="0" w:color="auto"/>
            <w:bottom w:val="none" w:sz="0" w:space="0" w:color="auto"/>
            <w:right w:val="none" w:sz="0" w:space="0" w:color="auto"/>
          </w:divBdr>
          <w:divsChild>
            <w:div w:id="57630173">
              <w:marLeft w:val="0"/>
              <w:marRight w:val="0"/>
              <w:marTop w:val="0"/>
              <w:marBottom w:val="0"/>
              <w:divBdr>
                <w:top w:val="none" w:sz="0" w:space="0" w:color="auto"/>
                <w:left w:val="none" w:sz="0" w:space="0" w:color="auto"/>
                <w:bottom w:val="none" w:sz="0" w:space="0" w:color="auto"/>
                <w:right w:val="none" w:sz="0" w:space="0" w:color="auto"/>
              </w:divBdr>
              <w:divsChild>
                <w:div w:id="1360349388">
                  <w:marLeft w:val="0"/>
                  <w:marRight w:val="0"/>
                  <w:marTop w:val="0"/>
                  <w:marBottom w:val="0"/>
                  <w:divBdr>
                    <w:top w:val="none" w:sz="0" w:space="0" w:color="auto"/>
                    <w:left w:val="none" w:sz="0" w:space="0" w:color="auto"/>
                    <w:bottom w:val="none" w:sz="0" w:space="0" w:color="auto"/>
                    <w:right w:val="none" w:sz="0" w:space="0" w:color="auto"/>
                  </w:divBdr>
                  <w:divsChild>
                    <w:div w:id="1529832801">
                      <w:marLeft w:val="0"/>
                      <w:marRight w:val="0"/>
                      <w:marTop w:val="0"/>
                      <w:marBottom w:val="0"/>
                      <w:divBdr>
                        <w:top w:val="none" w:sz="0" w:space="0" w:color="auto"/>
                        <w:left w:val="none" w:sz="0" w:space="0" w:color="auto"/>
                        <w:bottom w:val="none" w:sz="0" w:space="0" w:color="auto"/>
                        <w:right w:val="none" w:sz="0" w:space="0" w:color="auto"/>
                      </w:divBdr>
                      <w:divsChild>
                        <w:div w:id="41027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56593">
                  <w:marLeft w:val="0"/>
                  <w:marRight w:val="0"/>
                  <w:marTop w:val="0"/>
                  <w:marBottom w:val="0"/>
                  <w:divBdr>
                    <w:top w:val="none" w:sz="0" w:space="0" w:color="auto"/>
                    <w:left w:val="none" w:sz="0" w:space="0" w:color="auto"/>
                    <w:bottom w:val="none" w:sz="0" w:space="0" w:color="auto"/>
                    <w:right w:val="none" w:sz="0" w:space="0" w:color="auto"/>
                  </w:divBdr>
                </w:div>
                <w:div w:id="82847865">
                  <w:marLeft w:val="0"/>
                  <w:marRight w:val="0"/>
                  <w:marTop w:val="0"/>
                  <w:marBottom w:val="0"/>
                  <w:divBdr>
                    <w:top w:val="none" w:sz="0" w:space="0" w:color="auto"/>
                    <w:left w:val="none" w:sz="0" w:space="0" w:color="auto"/>
                    <w:bottom w:val="none" w:sz="0" w:space="0" w:color="auto"/>
                    <w:right w:val="none" w:sz="0" w:space="0" w:color="auto"/>
                  </w:divBdr>
                  <w:divsChild>
                    <w:div w:id="1932932443">
                      <w:marLeft w:val="0"/>
                      <w:marRight w:val="0"/>
                      <w:marTop w:val="0"/>
                      <w:marBottom w:val="0"/>
                      <w:divBdr>
                        <w:top w:val="none" w:sz="0" w:space="0" w:color="auto"/>
                        <w:left w:val="none" w:sz="0" w:space="0" w:color="auto"/>
                        <w:bottom w:val="none" w:sz="0" w:space="0" w:color="auto"/>
                        <w:right w:val="none" w:sz="0" w:space="0" w:color="auto"/>
                      </w:divBdr>
                      <w:divsChild>
                        <w:div w:id="66370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44A19-97B6-424F-B936-C19822483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36730</Words>
  <Characters>231404</Characters>
  <Application>Microsoft Office Word</Application>
  <DocSecurity>0</DocSecurity>
  <Lines>1928</Lines>
  <Paragraphs>535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Burmeister, Alina</dc:creator>
  <cp:lastModifiedBy>agr</cp:lastModifiedBy>
  <cp:revision>2</cp:revision>
  <cp:lastPrinted>2021-02-22T20:26:00Z</cp:lastPrinted>
  <dcterms:created xsi:type="dcterms:W3CDTF">2021-05-18T15:17:00Z</dcterms:created>
  <dcterms:modified xsi:type="dcterms:W3CDTF">2021-05-18T15:17:00Z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http://www.zotero.org/styles/acs-synthetic-biology</vt:lpwstr>
  </property>
  <property fmtid="{D5CDD505-2E9C-101B-9397-08002B2CF9AE}" pid="3" name="Mendeley Recent Style Name 0_1">
    <vt:lpwstr>ACS Synthetic Biology</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http://www.zotero.org/styles/biochemistry</vt:lpwstr>
  </property>
  <property fmtid="{D5CDD505-2E9C-101B-9397-08002B2CF9AE}" pid="11" name="Mendeley Recent Style Name 4_1">
    <vt:lpwstr>Biochemistry</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e20698e4-52e2-34b0-b62f-9e31bf5fbddb</vt:lpwstr>
  </property>
  <property fmtid="{D5CDD505-2E9C-101B-9397-08002B2CF9AE}" pid="24" name="Mendeley Citation Style_1">
    <vt:lpwstr>http://www.zotero.org/styles/acs-synthetic-biology</vt:lpwstr>
  </property>
</Properties>
</file>