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36CB1" w14:textId="77777777" w:rsidR="005B26EB" w:rsidRPr="00A539B6" w:rsidRDefault="005B26EB" w:rsidP="00EC6F05">
      <w:pPr>
        <w:pStyle w:val="IUCrsuptitle"/>
      </w:pPr>
      <w:r w:rsidRPr="00A539B6">
        <w:t xml:space="preserve">Infrared furnace for </w:t>
      </w:r>
      <w:r w:rsidRPr="00A539B6">
        <w:rPr>
          <w:i/>
          <w:iCs/>
        </w:rPr>
        <w:t>in situ</w:t>
      </w:r>
      <w:r w:rsidRPr="00A539B6">
        <w:t xml:space="preserve"> neutron single crystal diffraction studies in controlled gas atmospheres at high temperatures </w:t>
      </w:r>
      <w:r w:rsidRPr="00A539B6">
        <w:fldChar w:fldCharType="begin"/>
      </w:r>
      <w:r w:rsidRPr="00A539B6">
        <w:instrText>ADDIN IUCrAuthors</w:instrText>
      </w:r>
      <w:r w:rsidRPr="00A539B6">
        <w:fldChar w:fldCharType="separate"/>
      </w:r>
    </w:p>
    <w:p w14:paraId="5B5D6537" w14:textId="77777777" w:rsidR="005B26EB" w:rsidRPr="00A539B6" w:rsidRDefault="005B26EB" w:rsidP="000E77E3">
      <w:r w:rsidRPr="00A539B6">
        <w:rPr>
          <w:b/>
          <w:bCs/>
        </w:rPr>
        <w:t>Fernando Magro</w:t>
      </w:r>
      <w:r w:rsidRPr="00A539B6">
        <w:rPr>
          <w:b/>
          <w:bCs/>
          <w:vertAlign w:val="superscript"/>
        </w:rPr>
        <w:t>ab</w:t>
      </w:r>
      <w:r w:rsidRPr="00A539B6">
        <w:rPr>
          <w:b/>
          <w:bCs/>
        </w:rPr>
        <w:t>, Monica Ceretti</w:t>
      </w:r>
      <w:r w:rsidRPr="00A539B6">
        <w:rPr>
          <w:b/>
          <w:bCs/>
          <w:vertAlign w:val="superscript"/>
        </w:rPr>
        <w:t>a</w:t>
      </w:r>
      <w:r w:rsidRPr="00A539B6">
        <w:rPr>
          <w:b/>
          <w:bCs/>
        </w:rPr>
        <w:t>*, Martin Meven</w:t>
      </w:r>
      <w:r w:rsidRPr="00A539B6">
        <w:rPr>
          <w:b/>
          <w:bCs/>
          <w:vertAlign w:val="superscript"/>
        </w:rPr>
        <w:t>b</w:t>
      </w:r>
      <w:r w:rsidRPr="00A539B6">
        <w:rPr>
          <w:b/>
          <w:bCs/>
        </w:rPr>
        <w:t xml:space="preserve"> and Werner Paulus</w:t>
      </w:r>
      <w:r w:rsidRPr="00A539B6">
        <w:rPr>
          <w:b/>
          <w:bCs/>
          <w:vertAlign w:val="superscript"/>
        </w:rPr>
        <w:t>a</w:t>
      </w:r>
    </w:p>
    <w:p w14:paraId="2900E18D" w14:textId="50635537" w:rsidR="005B26EB" w:rsidRPr="00A539B6" w:rsidRDefault="005B26EB" w:rsidP="000E77E3">
      <w:r w:rsidRPr="00A539B6">
        <w:rPr>
          <w:vertAlign w:val="superscript"/>
        </w:rPr>
        <w:t>a</w:t>
      </w:r>
      <w:r w:rsidRPr="00A539B6">
        <w:t>I</w:t>
      </w:r>
      <w:r w:rsidR="00074502">
        <w:t xml:space="preserve">CGM </w:t>
      </w:r>
      <w:r w:rsidRPr="00A539B6">
        <w:t>, Univ</w:t>
      </w:r>
      <w:r w:rsidR="00074502">
        <w:t xml:space="preserve">. </w:t>
      </w:r>
      <w:r w:rsidRPr="00A539B6">
        <w:t>Montpellier, CNRS</w:t>
      </w:r>
      <w:r w:rsidR="00074502">
        <w:t xml:space="preserve">, </w:t>
      </w:r>
      <w:r w:rsidRPr="00A539B6">
        <w:t>ENSCM, Montpellier, France</w:t>
      </w:r>
      <w:r w:rsidRPr="00A539B6">
        <w:br/>
      </w:r>
      <w:r w:rsidRPr="00A539B6">
        <w:rPr>
          <w:vertAlign w:val="superscript"/>
        </w:rPr>
        <w:t>b</w:t>
      </w:r>
      <w:r w:rsidRPr="00A539B6">
        <w:t>Institute of Crystallography, RWTH Aachen University and Jülich Centre for Neutron Science (JCNS) at Heinz Maier-Leibnitz Zentrum (MLZ), Garching, Germany</w:t>
      </w:r>
      <w:r w:rsidRPr="00A539B6">
        <w:br/>
      </w:r>
    </w:p>
    <w:p w14:paraId="21D99E4A" w14:textId="77777777" w:rsidR="005B26EB" w:rsidRPr="00A539B6" w:rsidRDefault="005B26EB" w:rsidP="000E77E3">
      <w:pPr>
        <w:rPr>
          <w:lang w:val="fr-FR"/>
        </w:rPr>
      </w:pPr>
      <w:r w:rsidRPr="00A539B6">
        <w:rPr>
          <w:lang w:val="fr-FR"/>
        </w:rPr>
        <w:t>Correspondence email: monica.ceretti@umontpellier.fr</w:t>
      </w:r>
    </w:p>
    <w:p w14:paraId="349A3BF9" w14:textId="77777777" w:rsidR="005B26EB" w:rsidRPr="00A539B6" w:rsidRDefault="005B26EB" w:rsidP="00263252">
      <w:pPr>
        <w:pStyle w:val="IUCrbodytext"/>
        <w:rPr>
          <w:rStyle w:val="IUCraddress"/>
          <w:lang w:val="fr-FR"/>
        </w:rPr>
      </w:pPr>
      <w:r w:rsidRPr="00A539B6">
        <w:fldChar w:fldCharType="end"/>
      </w:r>
    </w:p>
    <w:p w14:paraId="1BFB970D" w14:textId="25C13C8A" w:rsidR="005B26EB" w:rsidRPr="00A539B6" w:rsidRDefault="005B26EB" w:rsidP="0002379D">
      <w:pPr>
        <w:pStyle w:val="IUCrabstract"/>
        <w:rPr>
          <w:lang w:val="en-US"/>
        </w:rPr>
      </w:pPr>
      <w:r w:rsidRPr="00A539B6">
        <w:t>For the understanding of oxygen diffusion mechanisms in non-stoichiometric oxides, the possibility to explore structural changes as a function of the oxygen partial pressure with temperature and related oxygen bulk stoichiometry is mandatory. We report here on the realization of a high temperature furnace, suitable for single crystal neutron diffraction</w:t>
      </w:r>
      <w:r w:rsidR="00074502">
        <w:t>,</w:t>
      </w:r>
      <w:r w:rsidRPr="00A539B6">
        <w:t xml:space="preserve"> working </w:t>
      </w:r>
      <w:r w:rsidR="00CF25DD">
        <w:t xml:space="preserve">continuously </w:t>
      </w:r>
      <w:r w:rsidR="00F14E0F">
        <w:t xml:space="preserve">at </w:t>
      </w:r>
      <w:r w:rsidRPr="00A539B6">
        <w:t>temperatures up to 1</w:t>
      </w:r>
      <w:r>
        <w:t>0</w:t>
      </w:r>
      <w:r w:rsidRPr="00A539B6">
        <w:t xml:space="preserve">00°C at different and adjustable partial gas pressures up to </w:t>
      </w:r>
      <w:proofErr w:type="gramStart"/>
      <w:r w:rsidRPr="00A539B6">
        <w:t>2</w:t>
      </w:r>
      <w:proofErr w:type="gramEnd"/>
      <w:r w:rsidRPr="00A539B6">
        <w:t xml:space="preserve"> bars. This allows </w:t>
      </w:r>
      <w:proofErr w:type="gramStart"/>
      <w:r w:rsidRPr="00A539B6">
        <w:t>to explore</w:t>
      </w:r>
      <w:proofErr w:type="gramEnd"/>
      <w:r w:rsidRPr="00A539B6">
        <w:t xml:space="preserve"> the phase diagrams of non-stoichiometric oxides under </w:t>
      </w:r>
      <w:r w:rsidRPr="00A539B6">
        <w:rPr>
          <w:i/>
        </w:rPr>
        <w:t>in operando</w:t>
      </w:r>
      <w:r w:rsidRPr="00A539B6">
        <w:t xml:space="preserve"> conditions under controlled oxygen partial pressure. As a pilot study we explored the structural changes of Pr</w:t>
      </w:r>
      <w:r w:rsidRPr="00A539B6">
        <w:rPr>
          <w:vertAlign w:val="subscript"/>
        </w:rPr>
        <w:t>2</w:t>
      </w:r>
      <w:r w:rsidRPr="00A539B6">
        <w:t>NiO</w:t>
      </w:r>
      <w:r w:rsidRPr="00A539B6">
        <w:rPr>
          <w:vertAlign w:val="subscript"/>
        </w:rPr>
        <w:t>4+</w:t>
      </w:r>
      <w:r w:rsidRPr="00A539B6">
        <w:rPr>
          <w:vertAlign w:val="subscript"/>
        </w:rPr>
        <w:sym w:font="Symbol" w:char="F064"/>
      </w:r>
      <w:r w:rsidRPr="00A539B6">
        <w:t xml:space="preserve"> at room temperature (</w:t>
      </w:r>
      <w:r w:rsidRPr="00A539B6">
        <w:sym w:font="Symbol" w:char="F064"/>
      </w:r>
      <w:r w:rsidRPr="00A539B6">
        <w:t xml:space="preserve"> ≈ 0.24), and at 900°C under 1 bar </w:t>
      </w:r>
      <w:proofErr w:type="gramStart"/>
      <w:r w:rsidRPr="00A539B6">
        <w:t>P</w:t>
      </w:r>
      <w:r w:rsidRPr="00A539B6">
        <w:rPr>
          <w:sz w:val="18"/>
          <w:szCs w:val="18"/>
        </w:rPr>
        <w:t>(</w:t>
      </w:r>
      <w:proofErr w:type="gramEnd"/>
      <w:r w:rsidRPr="00A539B6">
        <w:rPr>
          <w:sz w:val="18"/>
          <w:szCs w:val="18"/>
        </w:rPr>
        <w:t>O</w:t>
      </w:r>
      <w:r w:rsidRPr="00A539B6">
        <w:rPr>
          <w:sz w:val="18"/>
          <w:szCs w:val="18"/>
          <w:vertAlign w:val="subscript"/>
        </w:rPr>
        <w:t>2</w:t>
      </w:r>
      <w:r w:rsidRPr="00A539B6">
        <w:rPr>
          <w:sz w:val="18"/>
          <w:szCs w:val="18"/>
        </w:rPr>
        <w:t xml:space="preserve">) </w:t>
      </w:r>
      <w:r w:rsidRPr="00A539B6">
        <w:t>(</w:t>
      </w:r>
      <w:r w:rsidRPr="00A539B6">
        <w:sym w:font="Symbol" w:char="F064"/>
      </w:r>
      <w:r w:rsidRPr="00A539B6">
        <w:t xml:space="preserve"> ≈ 0.13) </w:t>
      </w:r>
      <w:r w:rsidRPr="00A539B6">
        <w:rPr>
          <w:szCs w:val="22"/>
        </w:rPr>
        <w:t>as well as under secondary vacuum (approximately 10</w:t>
      </w:r>
      <w:r w:rsidRPr="00A539B6">
        <w:rPr>
          <w:szCs w:val="22"/>
          <w:vertAlign w:val="superscript"/>
        </w:rPr>
        <w:t>-5</w:t>
      </w:r>
      <w:r w:rsidRPr="00A539B6">
        <w:rPr>
          <w:szCs w:val="22"/>
        </w:rPr>
        <w:t xml:space="preserve"> mbar) condition yielding a </w:t>
      </w:r>
      <w:r w:rsidRPr="00A539B6">
        <w:sym w:font="Symbol" w:char="F064"/>
      </w:r>
      <w:r w:rsidRPr="00A539B6">
        <w:t xml:space="preserve"> close to zero</w:t>
      </w:r>
      <w:r w:rsidRPr="00A539B6">
        <w:rPr>
          <w:szCs w:val="22"/>
        </w:rPr>
        <w:t>. The</w:t>
      </w:r>
      <w:r w:rsidRPr="00A539B6">
        <w:rPr>
          <w:sz w:val="24"/>
        </w:rPr>
        <w:t xml:space="preserve"> </w:t>
      </w:r>
      <w:r w:rsidRPr="00A539B6">
        <w:rPr>
          <w:szCs w:val="22"/>
        </w:rPr>
        <w:t xml:space="preserve">strong anharmonic displacements of the apical oxygen atoms along the [110] shallow diffusion pathway, which were previously observed at RT and 400°C, clearly become more isotropic at 900°C. Our study evidences that the anisotropic oxygen displacements, here related to lattice instabilities, play a major role to understand oxygen diffusion pathways and related activation energies at moderate temperatures. </w:t>
      </w:r>
      <w:proofErr w:type="gramStart"/>
      <w:r w:rsidRPr="00A539B6">
        <w:rPr>
          <w:rStyle w:val="jlqj4b"/>
          <w:lang w:val="en"/>
        </w:rPr>
        <w:t>This also shows the importance o</w:t>
      </w:r>
      <w:r w:rsidR="00074502">
        <w:rPr>
          <w:rStyle w:val="jlqj4b"/>
          <w:lang w:val="en"/>
        </w:rPr>
        <w:t>f</w:t>
      </w:r>
      <w:r w:rsidRPr="00A539B6">
        <w:rPr>
          <w:rStyle w:val="jlqj4b"/>
          <w:lang w:val="en"/>
        </w:rPr>
        <w:t xml:space="preserve"> the availability of </w:t>
      </w:r>
      <w:r w:rsidR="00074502">
        <w:rPr>
          <w:rStyle w:val="jlqj4b"/>
          <w:lang w:val="en"/>
        </w:rPr>
        <w:t xml:space="preserve">such </w:t>
      </w:r>
      <w:r w:rsidRPr="00A539B6">
        <w:rPr>
          <w:rStyle w:val="jlqj4b"/>
          <w:lang w:val="en"/>
        </w:rPr>
        <w:t>reaction cells for single crystal neutron diffraction to explore the phase diagram and associated structural changes of non-stoichiometric oxygen ion conductors</w:t>
      </w:r>
      <w:r w:rsidRPr="00A539B6">
        <w:rPr>
          <w:szCs w:val="22"/>
        </w:rPr>
        <w:t xml:space="preserve"> and respective diffusion mechanisms.</w:t>
      </w:r>
      <w:proofErr w:type="gramEnd"/>
      <w:r w:rsidRPr="00A539B6">
        <w:rPr>
          <w:szCs w:val="22"/>
        </w:rPr>
        <w:t xml:space="preserve"> </w:t>
      </w:r>
    </w:p>
    <w:p w14:paraId="1DDE8E2A" w14:textId="77777777" w:rsidR="005B26EB" w:rsidRPr="00A539B6" w:rsidRDefault="005B26EB" w:rsidP="005B26EB">
      <w:pPr>
        <w:pStyle w:val="IUCrabstract"/>
        <w:numPr>
          <w:ilvl w:val="0"/>
          <w:numId w:val="22"/>
        </w:numPr>
        <w:rPr>
          <w:lang w:val="fr-FR"/>
        </w:rPr>
      </w:pPr>
      <w:r w:rsidRPr="00A539B6">
        <w:rPr>
          <w:lang w:val="fr-FR"/>
        </w:rPr>
        <w:t xml:space="preserve">Neutron Diffraction, IR </w:t>
      </w:r>
      <w:proofErr w:type="spellStart"/>
      <w:r w:rsidRPr="00A539B6">
        <w:rPr>
          <w:lang w:val="fr-FR"/>
        </w:rPr>
        <w:t>furnace</w:t>
      </w:r>
      <w:proofErr w:type="spellEnd"/>
      <w:r w:rsidRPr="00A539B6">
        <w:rPr>
          <w:lang w:val="fr-FR"/>
        </w:rPr>
        <w:t>, non-</w:t>
      </w:r>
      <w:proofErr w:type="spellStart"/>
      <w:r w:rsidRPr="00A539B6">
        <w:rPr>
          <w:lang w:val="fr-FR"/>
        </w:rPr>
        <w:t>stoichiometric</w:t>
      </w:r>
      <w:proofErr w:type="spellEnd"/>
      <w:r w:rsidRPr="00A539B6">
        <w:rPr>
          <w:lang w:val="fr-FR"/>
        </w:rPr>
        <w:t xml:space="preserve"> </w:t>
      </w:r>
      <w:proofErr w:type="spellStart"/>
      <w:r w:rsidRPr="00A539B6">
        <w:rPr>
          <w:lang w:val="fr-FR"/>
        </w:rPr>
        <w:t>oxides</w:t>
      </w:r>
      <w:proofErr w:type="spellEnd"/>
      <w:r w:rsidRPr="00A539B6">
        <w:rPr>
          <w:lang w:val="fr-FR"/>
        </w:rPr>
        <w:t xml:space="preserve">, </w:t>
      </w:r>
      <w:r w:rsidRPr="00A539B6">
        <w:rPr>
          <w:i/>
          <w:lang w:val="fr-FR"/>
        </w:rPr>
        <w:t>in situ</w:t>
      </w:r>
      <w:r w:rsidRPr="00A539B6">
        <w:rPr>
          <w:lang w:val="fr-FR"/>
        </w:rPr>
        <w:t xml:space="preserve"> single </w:t>
      </w:r>
      <w:proofErr w:type="spellStart"/>
      <w:r w:rsidRPr="00A539B6">
        <w:rPr>
          <w:lang w:val="fr-FR"/>
        </w:rPr>
        <w:t>crystal</w:t>
      </w:r>
      <w:proofErr w:type="spellEnd"/>
      <w:r w:rsidRPr="00A539B6">
        <w:rPr>
          <w:lang w:val="fr-FR"/>
        </w:rPr>
        <w:t xml:space="preserve"> diffraction, Pr</w:t>
      </w:r>
      <w:r w:rsidRPr="00A539B6">
        <w:rPr>
          <w:vertAlign w:val="subscript"/>
          <w:lang w:val="fr-FR"/>
        </w:rPr>
        <w:t>2</w:t>
      </w:r>
      <w:r w:rsidRPr="00A539B6">
        <w:rPr>
          <w:lang w:val="fr-FR"/>
        </w:rPr>
        <w:t>NiO</w:t>
      </w:r>
      <w:r w:rsidRPr="00A539B6">
        <w:rPr>
          <w:vertAlign w:val="subscript"/>
          <w:lang w:val="fr-FR"/>
        </w:rPr>
        <w:t>4+δ</w:t>
      </w:r>
    </w:p>
    <w:p w14:paraId="7E009CD3" w14:textId="77777777" w:rsidR="005B26EB" w:rsidRPr="00A539B6" w:rsidRDefault="005B26EB" w:rsidP="00263252">
      <w:pPr>
        <w:rPr>
          <w:lang w:val="fr-FR"/>
        </w:rPr>
      </w:pPr>
    </w:p>
    <w:p w14:paraId="788D3400" w14:textId="77777777" w:rsidR="005B26EB" w:rsidRPr="00A539B6" w:rsidRDefault="005B26EB" w:rsidP="005B26EB">
      <w:pPr>
        <w:pStyle w:val="IUCrheading1"/>
        <w:numPr>
          <w:ilvl w:val="0"/>
          <w:numId w:val="16"/>
        </w:numPr>
        <w:textAlignment w:val="auto"/>
      </w:pPr>
      <w:r w:rsidRPr="00A539B6">
        <w:t xml:space="preserve">Introduction </w:t>
      </w:r>
    </w:p>
    <w:p w14:paraId="5C10CCD3" w14:textId="78CE4E7C" w:rsidR="005B26EB" w:rsidRPr="00A539B6" w:rsidRDefault="005B26EB" w:rsidP="005C2192">
      <w:pPr>
        <w:pStyle w:val="IUCrbodytext"/>
        <w:jc w:val="both"/>
      </w:pPr>
      <w:r w:rsidRPr="00A539B6">
        <w:t xml:space="preserve">Chemical reactivity of solids </w:t>
      </w:r>
      <w:proofErr w:type="gramStart"/>
      <w:r w:rsidRPr="00A539B6">
        <w:t>is nowadays routinely investigated</w:t>
      </w:r>
      <w:proofErr w:type="gramEnd"/>
      <w:r w:rsidRPr="00A539B6">
        <w:t xml:space="preserve"> under </w:t>
      </w:r>
      <w:r w:rsidRPr="00A539B6">
        <w:rPr>
          <w:i/>
        </w:rPr>
        <w:t>in situ</w:t>
      </w:r>
      <w:r w:rsidRPr="00A539B6">
        <w:t xml:space="preserve"> conditions on polycrystalline samples in dedicated reaction chambers. Cells for </w:t>
      </w:r>
      <w:r w:rsidRPr="00A539B6">
        <w:rPr>
          <w:i/>
        </w:rPr>
        <w:t>in situ</w:t>
      </w:r>
      <w:r w:rsidRPr="00A539B6">
        <w:t xml:space="preserve"> X-rays/neutron diffraction </w:t>
      </w:r>
      <w:r w:rsidRPr="00A539B6">
        <w:lastRenderedPageBreak/>
        <w:t>studies, as a function of temperature and / or under controlled atmosphere or pressure are commonly available for different types of powder diffractometers (at both laboratory and large scale facilities)</w:t>
      </w:r>
      <w:r>
        <w:t xml:space="preserve"> </w:t>
      </w:r>
      <w:r>
        <w:rPr>
          <w:noProof/>
        </w:rPr>
        <w:t>(Hansen</w:t>
      </w:r>
      <w:r w:rsidRPr="007928C6">
        <w:rPr>
          <w:i/>
          <w:noProof/>
        </w:rPr>
        <w:t xml:space="preserve"> et al.</w:t>
      </w:r>
      <w:r>
        <w:rPr>
          <w:noProof/>
        </w:rPr>
        <w:t>, 2015, Jensen</w:t>
      </w:r>
      <w:r w:rsidRPr="007928C6">
        <w:rPr>
          <w:i/>
          <w:noProof/>
        </w:rPr>
        <w:t xml:space="preserve"> et al.</w:t>
      </w:r>
      <w:r>
        <w:rPr>
          <w:noProof/>
        </w:rPr>
        <w:t>, 2010, Ahlburg</w:t>
      </w:r>
      <w:r w:rsidRPr="007928C6">
        <w:rPr>
          <w:i/>
          <w:noProof/>
        </w:rPr>
        <w:t xml:space="preserve"> et al.</w:t>
      </w:r>
      <w:r>
        <w:rPr>
          <w:noProof/>
        </w:rPr>
        <w:t>, 2019, Bianchini</w:t>
      </w:r>
      <w:r w:rsidRPr="007928C6">
        <w:rPr>
          <w:i/>
          <w:noProof/>
        </w:rPr>
        <w:t xml:space="preserve"> et al.</w:t>
      </w:r>
      <w:r>
        <w:rPr>
          <w:noProof/>
        </w:rPr>
        <w:t>, 2013)</w:t>
      </w:r>
      <w:r w:rsidRPr="00A539B6">
        <w:t xml:space="preserve">. While this has become a standard characterization technique for many </w:t>
      </w:r>
      <w:proofErr w:type="gramStart"/>
      <w:r w:rsidRPr="00A539B6">
        <w:t>applications</w:t>
      </w:r>
      <w:proofErr w:type="gramEnd"/>
      <w:r w:rsidRPr="00A539B6">
        <w:t xml:space="preserve"> (batteries, catalysts, highly correlated compounds, to name a few) using powder diffraction methods, very little has been developed for the single crystal counterpart. However, following solid-state reactions using single crystals is in principle a more powerful tool, as it allows exploring the </w:t>
      </w:r>
      <w:proofErr w:type="gramStart"/>
      <w:r w:rsidRPr="00A539B6">
        <w:t>whole</w:t>
      </w:r>
      <w:proofErr w:type="gramEnd"/>
      <w:r w:rsidRPr="00A539B6">
        <w:t xml:space="preserve"> reciprocal lattice including its full spatial relationships. This provides valuable information on the diffuse scattering and weak reflections of superstructures, as well as indications of the volume fraction e.g. of different twin domains during the reaction, which are difficult or even impossible to access by powder diffraction. Despite these advantages, </w:t>
      </w:r>
      <w:proofErr w:type="gramStart"/>
      <w:r w:rsidRPr="00A539B6">
        <w:t>solid state</w:t>
      </w:r>
      <w:proofErr w:type="gramEnd"/>
      <w:r w:rsidRPr="00A539B6">
        <w:t xml:space="preserve"> reactivity followed using single crystals is almost unreported in the literature </w:t>
      </w:r>
      <w:r w:rsidRPr="00A539B6">
        <w:rPr>
          <w:noProof/>
        </w:rPr>
        <w:t>(Maity</w:t>
      </w:r>
      <w:r w:rsidRPr="00A539B6">
        <w:rPr>
          <w:i/>
          <w:noProof/>
        </w:rPr>
        <w:t xml:space="preserve"> et al.</w:t>
      </w:r>
      <w:r w:rsidRPr="00A539B6">
        <w:rPr>
          <w:noProof/>
        </w:rPr>
        <w:t>, 2015)</w:t>
      </w:r>
      <w:r w:rsidRPr="00A539B6">
        <w:t xml:space="preserve">. This is mainly due to the usually slow reaction kinetics, which, in addition may lead to non-homogeneous samples and structural complexity, often related to disorder states, twinning, stacking defects or domain effects, which consequently requires a more sophisticated and time-consuming data analysis. In this context, </w:t>
      </w:r>
      <w:r w:rsidRPr="00A539B6">
        <w:rPr>
          <w:i/>
        </w:rPr>
        <w:t>in situ</w:t>
      </w:r>
      <w:r w:rsidRPr="00A539B6">
        <w:t xml:space="preserve"> single crystal neutron diffraction using a short wavelength presents a special interest</w:t>
      </w:r>
      <w:r w:rsidRPr="00BD0E08">
        <w:t>, as neutron</w:t>
      </w:r>
      <w:r w:rsidR="00E17A8B" w:rsidRPr="00BD0E08">
        <w:t>s</w:t>
      </w:r>
      <w:r w:rsidRPr="00BD0E08">
        <w:t xml:space="preserve"> </w:t>
      </w:r>
      <w:r w:rsidR="00E17A8B" w:rsidRPr="00BD0E08">
        <w:t xml:space="preserve">are </w:t>
      </w:r>
      <w:r w:rsidRPr="00BD0E08">
        <w:t>scatter</w:t>
      </w:r>
      <w:r w:rsidR="00E17A8B" w:rsidRPr="00BD0E08">
        <w:t>ed</w:t>
      </w:r>
      <w:r w:rsidRPr="00BD0E08">
        <w:t xml:space="preserve"> </w:t>
      </w:r>
      <w:r w:rsidR="00E17A8B" w:rsidRPr="00BD0E08">
        <w:t xml:space="preserve">at nuclei, i.e. </w:t>
      </w:r>
      <w:r w:rsidRPr="00BD0E08">
        <w:t>point-like,</w:t>
      </w:r>
      <w:r w:rsidRPr="00A539B6">
        <w:t xml:space="preserve"> resulting in constant atomic form factors. This consequently allows </w:t>
      </w:r>
      <w:proofErr w:type="gramStart"/>
      <w:r w:rsidRPr="00A539B6">
        <w:t>to deliver</w:t>
      </w:r>
      <w:proofErr w:type="gramEnd"/>
      <w:r w:rsidRPr="00A539B6">
        <w:t xml:space="preserve"> very precise information on thermal or static atomic displacements, especially from data sets up to high momentum transfers. Moreover, neutrons have the advantage to be transparent for most isotopes, which, together with the fact that the scattering amplitudes are roughly on the same scale, allows to easily </w:t>
      </w:r>
      <w:proofErr w:type="gramStart"/>
      <w:r w:rsidRPr="00A539B6">
        <w:t>explore</w:t>
      </w:r>
      <w:proofErr w:type="gramEnd"/>
      <w:r w:rsidRPr="00A539B6">
        <w:t xml:space="preserve"> scattering densities of light together with heavy elements simultaneously. All these arguments become decisive when exploring oxygen diffusion mechanisms in non-stoichiometric oxides, as precise structure analysis and oxygen stoichiometry can be analysed in parallel. Combined with a quantitative data analysis using the Maximum Entropy Method, this becomes a promising concept to explore oxygen diffusion pathways from elastic diffraction data directly from the scattering density maps. </w:t>
      </w:r>
    </w:p>
    <w:p w14:paraId="0B8E98FE" w14:textId="29B31998" w:rsidR="005B26EB" w:rsidRPr="00A539B6" w:rsidRDefault="005B26EB" w:rsidP="005C2192">
      <w:pPr>
        <w:pStyle w:val="IUCrbodytext"/>
        <w:jc w:val="both"/>
      </w:pPr>
      <w:r w:rsidRPr="00A539B6">
        <w:t xml:space="preserve">For several oxide families, relevant oxygen diffusion is already present at quite moderate temperatures, i.e. around 400°C. The oxygen stoichiometry </w:t>
      </w:r>
      <w:proofErr w:type="gramStart"/>
      <w:r w:rsidRPr="00A539B6">
        <w:t>can be varied</w:t>
      </w:r>
      <w:proofErr w:type="gramEnd"/>
      <w:r w:rsidRPr="00A539B6">
        <w:t xml:space="preserve"> as a function of the temperature and the O</w:t>
      </w:r>
      <w:r w:rsidRPr="00A539B6">
        <w:rPr>
          <w:vertAlign w:val="subscript"/>
        </w:rPr>
        <w:t>2</w:t>
      </w:r>
      <w:r w:rsidRPr="00A539B6">
        <w:t xml:space="preserve"> partial pressure in a reasonable time window and related structural changes can be explored accordingly. Such kind of measurements requires, however, a gas tight reaction cell, which is transparent to neutrons and is resistant to high temperatures, allowing </w:t>
      </w:r>
      <w:proofErr w:type="gramStart"/>
      <w:r w:rsidRPr="00A539B6">
        <w:t>to control</w:t>
      </w:r>
      <w:proofErr w:type="gramEnd"/>
      <w:r w:rsidRPr="00A539B6">
        <w:t xml:space="preserve"> the oxygen stoichiometry. The classical heating devices for neutron diffractometers are thin vanadium </w:t>
      </w:r>
      <w:proofErr w:type="gramStart"/>
      <w:r w:rsidRPr="00A539B6">
        <w:t>sheets which</w:t>
      </w:r>
      <w:proofErr w:type="gramEnd"/>
      <w:r w:rsidRPr="00A539B6">
        <w:t xml:space="preserve"> are heated applying a current through them. </w:t>
      </w:r>
      <w:r w:rsidRPr="00BD0E08">
        <w:t xml:space="preserve">As they are sensitive to oxidation at already moderate temperatures, they </w:t>
      </w:r>
      <w:proofErr w:type="gramStart"/>
      <w:r w:rsidRPr="00BD0E08">
        <w:t>cannot be used</w:t>
      </w:r>
      <w:proofErr w:type="gramEnd"/>
      <w:r w:rsidRPr="00BD0E08">
        <w:t xml:space="preserve"> at high temperatures in oxidizing atmospheres</w:t>
      </w:r>
      <w:r w:rsidR="00992F39" w:rsidRPr="00BD0E08">
        <w:t>. An alternative</w:t>
      </w:r>
      <w:r w:rsidRPr="00BD0E08">
        <w:t xml:space="preserve"> reaction cell consisting of a quartz tube is presented below, wh</w:t>
      </w:r>
      <w:r w:rsidR="00CF25DD" w:rsidRPr="00BD0E08">
        <w:t>ere</w:t>
      </w:r>
      <w:r w:rsidRPr="00BD0E08">
        <w:t xml:space="preserve"> the temperature is achieved with the help of a mirror furnace.</w:t>
      </w:r>
    </w:p>
    <w:p w14:paraId="788FEFAF" w14:textId="77777777" w:rsidR="005B26EB" w:rsidRPr="00A539B6" w:rsidRDefault="005B26EB" w:rsidP="003743BC">
      <w:pPr>
        <w:pStyle w:val="IUCrbodytext"/>
        <w:jc w:val="both"/>
      </w:pPr>
      <w:r w:rsidRPr="00A539B6">
        <w:t xml:space="preserve">Here, we report on the implementation of such kind of a furnace for </w:t>
      </w:r>
      <w:r w:rsidRPr="00A539B6">
        <w:rPr>
          <w:i/>
        </w:rPr>
        <w:t>in-situ</w:t>
      </w:r>
      <w:r w:rsidRPr="00A539B6">
        <w:t xml:space="preserve"> structural studies by neutron diffraction on single crystals under different gas pressures and temperatures, which </w:t>
      </w:r>
      <w:proofErr w:type="gramStart"/>
      <w:r w:rsidRPr="00A539B6">
        <w:t xml:space="preserve">has </w:t>
      </w:r>
      <w:r w:rsidRPr="00A539B6">
        <w:rPr>
          <w:rStyle w:val="tlid-translation"/>
          <w:rFonts w:eastAsiaTheme="majorEastAsia"/>
        </w:rPr>
        <w:t xml:space="preserve">so far </w:t>
      </w:r>
      <w:r w:rsidRPr="00A539B6">
        <w:rPr>
          <w:rFonts w:eastAsiaTheme="majorEastAsia"/>
        </w:rPr>
        <w:t xml:space="preserve">not been </w:t>
      </w:r>
      <w:r w:rsidRPr="00A539B6">
        <w:rPr>
          <w:rFonts w:eastAsiaTheme="majorEastAsia"/>
        </w:rPr>
        <w:lastRenderedPageBreak/>
        <w:t>reported</w:t>
      </w:r>
      <w:proofErr w:type="gramEnd"/>
      <w:r w:rsidRPr="00A539B6">
        <w:rPr>
          <w:rFonts w:eastAsiaTheme="majorEastAsia"/>
        </w:rPr>
        <w:t xml:space="preserve"> for single crystal neutron diffractometers</w:t>
      </w:r>
      <w:r w:rsidRPr="00A539B6">
        <w:t xml:space="preserve">. </w:t>
      </w:r>
      <w:r w:rsidRPr="00A539B6">
        <w:rPr>
          <w:lang w:val="en"/>
        </w:rPr>
        <w:t xml:space="preserve">This specific furnace is a modified version of the Infra-Red (IR) mirror furnace </w:t>
      </w:r>
      <w:r w:rsidRPr="00A539B6">
        <w:rPr>
          <w:noProof/>
          <w:lang w:val="en"/>
        </w:rPr>
        <w:t>(Lorenz</w:t>
      </w:r>
      <w:r w:rsidRPr="00A539B6">
        <w:rPr>
          <w:i/>
          <w:noProof/>
          <w:lang w:val="en"/>
        </w:rPr>
        <w:t xml:space="preserve"> et al.</w:t>
      </w:r>
      <w:r w:rsidRPr="00A539B6">
        <w:rPr>
          <w:noProof/>
          <w:lang w:val="en"/>
        </w:rPr>
        <w:t>, 1993)</w:t>
      </w:r>
      <w:r w:rsidRPr="00A539B6">
        <w:rPr>
          <w:lang w:val="en"/>
        </w:rPr>
        <w:t xml:space="preserve"> already available on the </w:t>
      </w:r>
      <w:r w:rsidRPr="00BD0E08">
        <w:rPr>
          <w:lang w:val="en"/>
        </w:rPr>
        <w:t>single crystal</w:t>
      </w:r>
      <w:r>
        <w:rPr>
          <w:lang w:val="en"/>
        </w:rPr>
        <w:t xml:space="preserve"> </w:t>
      </w:r>
      <w:r w:rsidRPr="00A539B6">
        <w:rPr>
          <w:lang w:val="en"/>
        </w:rPr>
        <w:t xml:space="preserve">neutron diffractometer HEiDi at MLZ for high temperature measurements in vacuum. </w:t>
      </w:r>
      <w:r w:rsidRPr="00A539B6">
        <w:rPr>
          <w:rStyle w:val="tlid-translation"/>
          <w:rFonts w:eastAsiaTheme="majorEastAsia"/>
          <w:lang w:val="en"/>
        </w:rPr>
        <w:t xml:space="preserve">The main modification consists of inserting a tight quartz tube, in which the crystal </w:t>
      </w:r>
      <w:proofErr w:type="gramStart"/>
      <w:r w:rsidRPr="00A539B6">
        <w:rPr>
          <w:rStyle w:val="tlid-translation"/>
          <w:rFonts w:eastAsiaTheme="majorEastAsia"/>
          <w:lang w:val="en"/>
        </w:rPr>
        <w:t>is positioned</w:t>
      </w:r>
      <w:proofErr w:type="gramEnd"/>
      <w:r w:rsidRPr="00A539B6">
        <w:rPr>
          <w:rStyle w:val="tlid-translation"/>
          <w:rFonts w:eastAsiaTheme="majorEastAsia"/>
          <w:lang w:val="en"/>
        </w:rPr>
        <w:t xml:space="preserve"> in, and which is separated from the isolation vacuum. Such a reaction cell allows </w:t>
      </w:r>
      <w:proofErr w:type="gramStart"/>
      <w:r w:rsidRPr="00A539B6">
        <w:rPr>
          <w:rStyle w:val="tlid-translation"/>
          <w:rFonts w:eastAsiaTheme="majorEastAsia"/>
          <w:lang w:val="en"/>
        </w:rPr>
        <w:t>to apply</w:t>
      </w:r>
      <w:proofErr w:type="gramEnd"/>
      <w:r w:rsidRPr="00A539B6">
        <w:rPr>
          <w:rStyle w:val="tlid-translation"/>
          <w:rFonts w:eastAsiaTheme="majorEastAsia"/>
          <w:lang w:val="en"/>
        </w:rPr>
        <w:t xml:space="preserve"> any desired gas atmosphere (oxidizing or reducing) to the sample, thus avoiding damaging the mirrors inside the vacuum part of the furnace. Quartz is almost transparent to neutrons and has a small incoherent cross section, i.e. it yields a low background. </w:t>
      </w:r>
      <w:r w:rsidRPr="00A539B6">
        <w:t>As an example of application of this new equipment, we present structural changes of the oxygen ion conductor Pr</w:t>
      </w:r>
      <w:r w:rsidRPr="00A539B6">
        <w:rPr>
          <w:vertAlign w:val="subscript"/>
        </w:rPr>
        <w:t>2</w:t>
      </w:r>
      <w:r w:rsidRPr="00A539B6">
        <w:t>NiO</w:t>
      </w:r>
      <w:r w:rsidRPr="00A539B6">
        <w:rPr>
          <w:vertAlign w:val="subscript"/>
        </w:rPr>
        <w:t>4+</w:t>
      </w:r>
      <w:r w:rsidRPr="00A539B6">
        <w:rPr>
          <w:rFonts w:ascii="Symbol" w:hAnsi="Symbol"/>
          <w:vertAlign w:val="subscript"/>
        </w:rPr>
        <w:t></w:t>
      </w:r>
      <w:r w:rsidRPr="00A539B6">
        <w:t xml:space="preserve"> at 900°C at different P</w:t>
      </w:r>
      <w:r w:rsidRPr="00A539B6">
        <w:rPr>
          <w:vertAlign w:val="subscript"/>
        </w:rPr>
        <w:t>(O2)</w:t>
      </w:r>
      <w:r w:rsidRPr="00A539B6">
        <w:t xml:space="preserve"> allowing to better explore oxygen diffusion mechanisms at high and moderate temperatures as a function of the oxygen stoichiometry. </w:t>
      </w:r>
    </w:p>
    <w:p w14:paraId="44EAFB3E" w14:textId="77777777" w:rsidR="005B26EB" w:rsidRPr="00A539B6" w:rsidRDefault="005B26EB" w:rsidP="003743BC">
      <w:pPr>
        <w:pStyle w:val="IUCrbodytext"/>
        <w:jc w:val="both"/>
      </w:pPr>
    </w:p>
    <w:p w14:paraId="05B55E4E" w14:textId="56E9B469" w:rsidR="005B26EB" w:rsidRPr="00A539B6" w:rsidRDefault="005B26EB" w:rsidP="005B26EB">
      <w:pPr>
        <w:pStyle w:val="IUCrheading1"/>
        <w:numPr>
          <w:ilvl w:val="0"/>
          <w:numId w:val="16"/>
        </w:numPr>
        <w:textAlignment w:val="auto"/>
      </w:pPr>
      <w:r w:rsidRPr="00A539B6">
        <w:t xml:space="preserve">Implementation of </w:t>
      </w:r>
      <w:r w:rsidR="002C7A9F">
        <w:t xml:space="preserve">an </w:t>
      </w:r>
      <w:r w:rsidRPr="00A539B6">
        <w:t xml:space="preserve">IR </w:t>
      </w:r>
      <w:r w:rsidR="002C7A9F">
        <w:t>f</w:t>
      </w:r>
      <w:r w:rsidRPr="00A539B6">
        <w:t xml:space="preserve">urnace for </w:t>
      </w:r>
      <w:r w:rsidRPr="00A539B6">
        <w:rPr>
          <w:i/>
        </w:rPr>
        <w:t>in situ</w:t>
      </w:r>
      <w:r w:rsidRPr="00A539B6">
        <w:t xml:space="preserve"> single crystal neutron diffraction in a controlled gas atmosphere </w:t>
      </w:r>
    </w:p>
    <w:p w14:paraId="19EF9594" w14:textId="24DC7D2A" w:rsidR="005B26EB" w:rsidRPr="00A539B6" w:rsidRDefault="005B26EB" w:rsidP="00F02E09">
      <w:pPr>
        <w:pStyle w:val="IUCrbodytext"/>
        <w:jc w:val="both"/>
      </w:pPr>
      <w:r w:rsidRPr="00A539B6">
        <w:t xml:space="preserve">The existing IR mirror furnace available on the single crystal diffractometer HEiDi at the Heinz Maier-Leibnitz </w:t>
      </w:r>
      <w:proofErr w:type="spellStart"/>
      <w:r w:rsidRPr="00A539B6">
        <w:t>Zentrum</w:t>
      </w:r>
      <w:proofErr w:type="spellEnd"/>
      <w:r w:rsidRPr="00A539B6">
        <w:t xml:space="preserve"> (MLZ, Garching) </w:t>
      </w:r>
      <w:r w:rsidRPr="00A539B6">
        <w:rPr>
          <w:noProof/>
        </w:rPr>
        <w:t>(Meven &amp; Sazanov, 2015)</w:t>
      </w:r>
      <w:r w:rsidRPr="00A539B6">
        <w:t xml:space="preserve"> consists of a spherical central aluminium body, composed of a lower and upper cap, with an external diameter of 128 mm. Each cap has two mounts for water-cooled polished aluminium spherical reflectors. In total, four 150 W halogen lamps (</w:t>
      </w:r>
      <w:proofErr w:type="spellStart"/>
      <w:r w:rsidRPr="00A539B6">
        <w:t>Osram</w:t>
      </w:r>
      <w:proofErr w:type="spellEnd"/>
      <w:r w:rsidRPr="00A539B6">
        <w:t xml:space="preserve"> </w:t>
      </w:r>
      <w:proofErr w:type="spellStart"/>
      <w:r w:rsidRPr="00A539B6">
        <w:t>Xenophot</w:t>
      </w:r>
      <w:proofErr w:type="spellEnd"/>
      <w:r w:rsidRPr="00A539B6">
        <w:t xml:space="preserve"> 64633 HLX), arranged tetrahedrally, concentrate IR radiation into a common focal point at the sample position (Figure 1a). Light ray tracing calculations (Appendix 1) show that the homogeneous temperature region at the sample position is about </w:t>
      </w:r>
      <w:proofErr w:type="gramStart"/>
      <w:r w:rsidRPr="00A539B6">
        <w:t>1</w:t>
      </w:r>
      <w:proofErr w:type="gramEnd"/>
      <w:r w:rsidRPr="00A539B6">
        <w:t xml:space="preserve"> cm</w:t>
      </w:r>
      <w:r w:rsidRPr="00A539B6">
        <w:rPr>
          <w:vertAlign w:val="superscript"/>
        </w:rPr>
        <w:t>3</w:t>
      </w:r>
      <w:r w:rsidRPr="00A539B6">
        <w:t xml:space="preserve">, which is fully convenient for single crystal neutron diffraction studies. </w:t>
      </w:r>
      <w:r w:rsidRPr="00A539B6">
        <w:rPr>
          <w:rStyle w:val="tlid-translation"/>
          <w:rFonts w:eastAsiaTheme="majorEastAsia"/>
          <w:lang w:val="en"/>
        </w:rPr>
        <w:t>The sample holder itself consists of a height-adjustable steel tube, followed by a ceramic tube (Al</w:t>
      </w:r>
      <w:r w:rsidRPr="00A539B6">
        <w:rPr>
          <w:rStyle w:val="tlid-translation"/>
          <w:rFonts w:eastAsiaTheme="majorEastAsia"/>
          <w:vertAlign w:val="subscript"/>
          <w:lang w:val="en"/>
        </w:rPr>
        <w:t>2</w:t>
      </w:r>
      <w:r w:rsidRPr="00A539B6">
        <w:rPr>
          <w:rStyle w:val="tlid-translation"/>
          <w:rFonts w:eastAsiaTheme="majorEastAsia"/>
          <w:lang w:val="en"/>
        </w:rPr>
        <w:t>O</w:t>
      </w:r>
      <w:r w:rsidRPr="00A539B6">
        <w:rPr>
          <w:rStyle w:val="tlid-translation"/>
          <w:rFonts w:eastAsiaTheme="majorEastAsia"/>
          <w:vertAlign w:val="subscript"/>
          <w:lang w:val="en"/>
        </w:rPr>
        <w:t>3</w:t>
      </w:r>
      <w:r w:rsidRPr="00A539B6">
        <w:rPr>
          <w:rStyle w:val="tlid-translation"/>
          <w:rFonts w:eastAsiaTheme="majorEastAsia"/>
          <w:lang w:val="en"/>
        </w:rPr>
        <w:t xml:space="preserve">) in the direction of the sample position, at the end of which the crystal </w:t>
      </w:r>
      <w:proofErr w:type="gramStart"/>
      <w:r w:rsidRPr="00A539B6">
        <w:rPr>
          <w:rStyle w:val="tlid-translation"/>
          <w:rFonts w:eastAsiaTheme="majorEastAsia"/>
          <w:lang w:val="en"/>
        </w:rPr>
        <w:t>is glued with high-temperature cement and then adjusted to the center of the furnace</w:t>
      </w:r>
      <w:proofErr w:type="gramEnd"/>
      <w:r w:rsidRPr="00A539B6">
        <w:t xml:space="preserve">. </w:t>
      </w:r>
      <w:r w:rsidRPr="00A539B6">
        <w:rPr>
          <w:rStyle w:val="tlid-translation"/>
          <w:rFonts w:eastAsiaTheme="majorEastAsia"/>
          <w:lang w:val="en"/>
        </w:rPr>
        <w:t xml:space="preserve">The sample temperature </w:t>
      </w:r>
      <w:proofErr w:type="gramStart"/>
      <w:r w:rsidRPr="00A539B6">
        <w:rPr>
          <w:rStyle w:val="tlid-translation"/>
          <w:rFonts w:eastAsiaTheme="majorEastAsia"/>
          <w:lang w:val="en"/>
        </w:rPr>
        <w:t>is controlled</w:t>
      </w:r>
      <w:proofErr w:type="gramEnd"/>
      <w:r w:rsidRPr="00A539B6">
        <w:rPr>
          <w:rStyle w:val="tlid-translation"/>
          <w:rFonts w:eastAsiaTheme="majorEastAsia"/>
          <w:lang w:val="en"/>
        </w:rPr>
        <w:t xml:space="preserve"> by a K-type thermocouple inside the sample holder, whose tip touches the sample. </w:t>
      </w:r>
      <w:r w:rsidRPr="00A539B6">
        <w:t xml:space="preserve">The compact design allows an easy installation into an Eulerian cradle, giving access to many possible sample orientations to explore the reciprocal space. Geometrically, the limits of (-91° ≤ </w:t>
      </w:r>
      <w:r w:rsidRPr="00A539B6">
        <w:sym w:font="Symbol" w:char="F063"/>
      </w:r>
      <w:r w:rsidRPr="00A539B6">
        <w:t xml:space="preserve"> ≤ 91° ,-179° ≤ </w:t>
      </w:r>
      <w:r w:rsidRPr="00A539B6">
        <w:sym w:font="Symbol" w:char="F06A"/>
      </w:r>
      <w:r w:rsidRPr="00A539B6">
        <w:t xml:space="preserve"> ≤ 179°, -51° ≤ </w:t>
      </w:r>
      <w:r w:rsidRPr="00A539B6">
        <w:sym w:font="Symbol" w:char="F077"/>
      </w:r>
      <w:r w:rsidRPr="00A539B6">
        <w:t xml:space="preserve"> ≤ 51°, -5° ≤ 2</w:t>
      </w:r>
      <w:r w:rsidRPr="00A539B6">
        <w:sym w:font="Symbol" w:char="F071"/>
      </w:r>
      <w:r w:rsidRPr="00A539B6">
        <w:t xml:space="preserve"> ≤ 121°) are comparable to the situation without the furnace. A possible absorption of the incoming or reflected beam by the upper or lower cap of the furnace </w:t>
      </w:r>
      <w:proofErr w:type="gramStart"/>
      <w:r w:rsidRPr="00A539B6">
        <w:t>can largely be avoided</w:t>
      </w:r>
      <w:proofErr w:type="gramEnd"/>
      <w:r w:rsidRPr="00A539B6">
        <w:t xml:space="preserve"> by </w:t>
      </w:r>
      <w:r w:rsidRPr="00A539B6">
        <w:rPr>
          <w:lang w:val="en"/>
        </w:rPr>
        <w:t>reaching many reflections not only in the bi-</w:t>
      </w:r>
      <w:proofErr w:type="spellStart"/>
      <w:r w:rsidRPr="00A539B6">
        <w:rPr>
          <w:lang w:val="en"/>
        </w:rPr>
        <w:t>secting</w:t>
      </w:r>
      <w:proofErr w:type="spellEnd"/>
      <w:r w:rsidRPr="00A539B6">
        <w:rPr>
          <w:lang w:val="en"/>
        </w:rPr>
        <w:t xml:space="preserve"> mode, but also with a </w:t>
      </w:r>
      <w:r w:rsidRPr="00A539B6">
        <w:rPr>
          <w:lang w:val="en"/>
        </w:rPr>
        <w:sym w:font="Symbol" w:char="F059"/>
      </w:r>
      <w:r w:rsidRPr="00A539B6">
        <w:rPr>
          <w:lang w:val="en"/>
        </w:rPr>
        <w:t xml:space="preserve">-rotation. When a reflection </w:t>
      </w:r>
      <w:proofErr w:type="gramStart"/>
      <w:r w:rsidRPr="00A539B6">
        <w:rPr>
          <w:lang w:val="en"/>
        </w:rPr>
        <w:t>cannot be measured</w:t>
      </w:r>
      <w:proofErr w:type="gramEnd"/>
      <w:r w:rsidRPr="00A539B6">
        <w:rPr>
          <w:lang w:val="en"/>
        </w:rPr>
        <w:t xml:space="preserve"> in the standard bi-</w:t>
      </w:r>
      <w:proofErr w:type="spellStart"/>
      <w:r w:rsidRPr="00A539B6">
        <w:rPr>
          <w:lang w:val="en"/>
        </w:rPr>
        <w:t>secting</w:t>
      </w:r>
      <w:proofErr w:type="spellEnd"/>
      <w:r w:rsidRPr="00A539B6">
        <w:rPr>
          <w:lang w:val="en"/>
        </w:rPr>
        <w:t xml:space="preserve"> condition, due to a shading of the beam path, the data collection program on HEiDi automatically checks for accessibility by rotation around </w:t>
      </w:r>
      <w:r w:rsidRPr="00A539B6">
        <w:rPr>
          <w:lang w:val="en"/>
        </w:rPr>
        <w:sym w:font="Symbol" w:char="F059"/>
      </w:r>
      <w:r w:rsidRPr="00A539B6">
        <w:rPr>
          <w:lang w:val="en"/>
        </w:rPr>
        <w:t xml:space="preserve"> with a step size of 1°, in order to scan the full 360° rotation for possible matching. In this </w:t>
      </w:r>
      <w:proofErr w:type="gramStart"/>
      <w:r w:rsidRPr="00A539B6">
        <w:rPr>
          <w:lang w:val="en"/>
        </w:rPr>
        <w:t>way</w:t>
      </w:r>
      <w:proofErr w:type="gramEnd"/>
      <w:r w:rsidRPr="00A539B6">
        <w:rPr>
          <w:lang w:val="en"/>
        </w:rPr>
        <w:t xml:space="preserve"> most</w:t>
      </w:r>
      <w:r w:rsidRPr="00A539B6">
        <w:t xml:space="preserve"> of the regions of </w:t>
      </w:r>
      <w:r w:rsidRPr="00A539B6">
        <w:rPr>
          <w:lang w:val="en"/>
        </w:rPr>
        <w:t xml:space="preserve">reciprocal space are accessible. This of course also depends on the crystal orientation, which might need to </w:t>
      </w:r>
      <w:proofErr w:type="gramStart"/>
      <w:r w:rsidRPr="00A539B6">
        <w:rPr>
          <w:lang w:val="en"/>
        </w:rPr>
        <w:t>be optimized</w:t>
      </w:r>
      <w:proofErr w:type="gramEnd"/>
      <w:r w:rsidRPr="00A539B6">
        <w:rPr>
          <w:lang w:val="en"/>
        </w:rPr>
        <w:t xml:space="preserve"> before data collection, in order to have access to at least one symmetry equivalent reflection.</w:t>
      </w:r>
    </w:p>
    <w:p w14:paraId="174A0DEF" w14:textId="2411E0DC" w:rsidR="005B26EB" w:rsidRPr="00A539B6" w:rsidRDefault="005B26EB" w:rsidP="00071AEC">
      <w:pPr>
        <w:pStyle w:val="IUCrbodytext"/>
        <w:jc w:val="both"/>
      </w:pPr>
      <w:r w:rsidRPr="00A539B6">
        <w:lastRenderedPageBreak/>
        <w:t xml:space="preserve">In its original configuration, the IR furnace </w:t>
      </w:r>
      <w:r w:rsidR="00F14E0F">
        <w:t>was able to</w:t>
      </w:r>
      <w:r w:rsidRPr="00A539B6">
        <w:t xml:space="preserve"> reach </w:t>
      </w:r>
      <w:r w:rsidR="00F14E0F">
        <w:t>up to</w:t>
      </w:r>
      <w:r w:rsidRPr="00A539B6">
        <w:t xml:space="preserve"> 1000°C under vacuum, while the application of most gas atmospheres leads to the deterioration of the mirrors and heat isolation problems (Figure 1a). </w:t>
      </w:r>
    </w:p>
    <w:p w14:paraId="0F054206" w14:textId="7DAD3845" w:rsidR="005B26EB" w:rsidRPr="00A539B6" w:rsidRDefault="005B26EB" w:rsidP="004D3005">
      <w:pPr>
        <w:pStyle w:val="IUCrbodytext"/>
        <w:spacing w:after="0"/>
        <w:jc w:val="both"/>
      </w:pPr>
      <w:r w:rsidRPr="00A539B6">
        <w:rPr>
          <w:lang w:val="en"/>
        </w:rPr>
        <w:t xml:space="preserve">The guiding idea for the reaction cell conception was therefore to </w:t>
      </w:r>
      <w:r w:rsidR="00CF25DD">
        <w:rPr>
          <w:lang w:val="en"/>
        </w:rPr>
        <w:t>permit</w:t>
      </w:r>
      <w:r w:rsidRPr="00A539B6">
        <w:rPr>
          <w:lang w:val="en"/>
        </w:rPr>
        <w:t xml:space="preserve"> an easy control of the gas atmosphere inside the reaction cell, while maintaining the mirrors protected inside the isolation vacuum.</w:t>
      </w:r>
    </w:p>
    <w:p w14:paraId="57C29C7F" w14:textId="44E1780E" w:rsidR="005B26EB" w:rsidRPr="00BD0E08" w:rsidRDefault="005B26EB" w:rsidP="00B331CC">
      <w:pPr>
        <w:pStyle w:val="IUCrbodytext"/>
        <w:jc w:val="both"/>
        <w:rPr>
          <w:rStyle w:val="tlid-translation"/>
          <w:rFonts w:eastAsiaTheme="majorEastAsia"/>
        </w:rPr>
      </w:pPr>
      <w:r w:rsidRPr="00A539B6">
        <w:rPr>
          <w:rStyle w:val="tlid-translation"/>
          <w:rFonts w:eastAsiaTheme="majorEastAsia"/>
        </w:rPr>
        <w:t>The existing furnace was thus modified in order to allow the installation of a quartz tube of about 10 mm diameter, tightly fixed inside and allowing to work under</w:t>
      </w:r>
      <w:r w:rsidRPr="00A539B6">
        <w:rPr>
          <w:rStyle w:val="tlid-translation"/>
          <w:rFonts w:eastAsiaTheme="majorEastAsia"/>
          <w:i/>
        </w:rPr>
        <w:t xml:space="preserve"> operando</w:t>
      </w:r>
      <w:r w:rsidRPr="00A539B6">
        <w:rPr>
          <w:rStyle w:val="tlid-translation"/>
          <w:rFonts w:eastAsiaTheme="majorEastAsia"/>
        </w:rPr>
        <w:t xml:space="preserve"> conditions between 10</w:t>
      </w:r>
      <w:r w:rsidRPr="00A539B6">
        <w:rPr>
          <w:rStyle w:val="tlid-translation"/>
          <w:rFonts w:eastAsiaTheme="majorEastAsia"/>
          <w:vertAlign w:val="superscript"/>
        </w:rPr>
        <w:t>-5</w:t>
      </w:r>
      <w:r w:rsidRPr="00A539B6">
        <w:rPr>
          <w:rStyle w:val="tlid-translation"/>
          <w:rFonts w:eastAsiaTheme="majorEastAsia"/>
        </w:rPr>
        <w:t xml:space="preserve"> mbar &lt; P &lt; 2 bar</w:t>
      </w:r>
      <w:r w:rsidR="002C7A9F">
        <w:rPr>
          <w:rStyle w:val="tlid-translation"/>
          <w:rFonts w:eastAsiaTheme="majorEastAsia"/>
        </w:rPr>
        <w:t xml:space="preserve"> (above normal pressure</w:t>
      </w:r>
      <w:r w:rsidR="002C7A9F" w:rsidRPr="00BD0E08">
        <w:rPr>
          <w:rStyle w:val="tlid-translation"/>
          <w:rFonts w:eastAsiaTheme="majorEastAsia"/>
        </w:rPr>
        <w:t>)</w:t>
      </w:r>
      <w:r w:rsidRPr="00BD0E08">
        <w:rPr>
          <w:rStyle w:val="tlid-translation"/>
          <w:rFonts w:eastAsiaTheme="majorEastAsia"/>
        </w:rPr>
        <w:t>.</w:t>
      </w:r>
      <w:r w:rsidR="004E7267" w:rsidRPr="00BD0E08">
        <w:rPr>
          <w:rStyle w:val="tlid-translation"/>
          <w:rFonts w:eastAsiaTheme="majorEastAsia"/>
        </w:rPr>
        <w:t xml:space="preserve"> This implies a pressure difference of at least </w:t>
      </w:r>
      <w:proofErr w:type="gramStart"/>
      <w:r w:rsidR="004E7267" w:rsidRPr="00BD0E08">
        <w:rPr>
          <w:rStyle w:val="tlid-translation"/>
          <w:rFonts w:eastAsiaTheme="majorEastAsia"/>
        </w:rPr>
        <w:t>3</w:t>
      </w:r>
      <w:proofErr w:type="gramEnd"/>
      <w:r w:rsidR="004E7267" w:rsidRPr="00BD0E08">
        <w:rPr>
          <w:rStyle w:val="tlid-translation"/>
          <w:rFonts w:eastAsiaTheme="majorEastAsia"/>
        </w:rPr>
        <w:t xml:space="preserve"> bar between the pressures inside and outside the quartz tube, which has been successfully tested at 900°C.</w:t>
      </w:r>
      <w:r w:rsidR="00F14E0F" w:rsidRPr="00BD0E08">
        <w:rPr>
          <w:rStyle w:val="tlid-translation"/>
          <w:rFonts w:eastAsiaTheme="majorEastAsia"/>
        </w:rPr>
        <w:t xml:space="preserve"> We experimentally verified the maximum operating temperature conditions to be 1100°C for 1 bar of Ar</w:t>
      </w:r>
      <w:r w:rsidR="00CF25DD" w:rsidRPr="00BD0E08">
        <w:rPr>
          <w:rStyle w:val="tlid-translation"/>
          <w:rFonts w:eastAsiaTheme="majorEastAsia"/>
        </w:rPr>
        <w:t>gon</w:t>
      </w:r>
      <w:r w:rsidR="00F14E0F" w:rsidRPr="00BD0E08">
        <w:rPr>
          <w:rStyle w:val="tlid-translation"/>
          <w:rFonts w:eastAsiaTheme="majorEastAsia"/>
        </w:rPr>
        <w:t xml:space="preserve"> and 1050°C for 1 bar of O</w:t>
      </w:r>
      <w:r w:rsidR="00CF25DD" w:rsidRPr="00BD0E08">
        <w:rPr>
          <w:rStyle w:val="tlid-translation"/>
          <w:rFonts w:eastAsiaTheme="majorEastAsia"/>
        </w:rPr>
        <w:t>xygen</w:t>
      </w:r>
      <w:r w:rsidR="00F14E0F" w:rsidRPr="00BD0E08">
        <w:rPr>
          <w:rStyle w:val="tlid-translation"/>
          <w:rFonts w:eastAsiaTheme="majorEastAsia"/>
        </w:rPr>
        <w:t xml:space="preserve"> and air. The difference is essentially related to the higher specific heat capacity for 2-atomic gases as O</w:t>
      </w:r>
      <w:r w:rsidR="00F14E0F" w:rsidRPr="00BD0E08">
        <w:rPr>
          <w:rStyle w:val="tlid-translation"/>
          <w:rFonts w:eastAsiaTheme="majorEastAsia"/>
          <w:vertAlign w:val="subscript"/>
        </w:rPr>
        <w:t>2</w:t>
      </w:r>
      <w:r w:rsidR="00F14E0F" w:rsidRPr="00BD0E08">
        <w:rPr>
          <w:rStyle w:val="tlid-translation"/>
          <w:rFonts w:eastAsiaTheme="majorEastAsia"/>
        </w:rPr>
        <w:t xml:space="preserve"> </w:t>
      </w:r>
      <w:r w:rsidR="00CF25DD" w:rsidRPr="00BD0E08">
        <w:rPr>
          <w:rStyle w:val="tlid-translation"/>
          <w:rFonts w:eastAsiaTheme="majorEastAsia"/>
        </w:rPr>
        <w:t>(</w:t>
      </w:r>
      <w:r w:rsidR="00F14E0F" w:rsidRPr="00BD0E08">
        <w:rPr>
          <w:rStyle w:val="tlid-translation"/>
          <w:rFonts w:eastAsiaTheme="majorEastAsia"/>
        </w:rPr>
        <w:t>or N</w:t>
      </w:r>
      <w:r w:rsidR="00F14E0F" w:rsidRPr="00BD0E08">
        <w:rPr>
          <w:rStyle w:val="tlid-translation"/>
          <w:rFonts w:eastAsiaTheme="majorEastAsia"/>
          <w:vertAlign w:val="subscript"/>
        </w:rPr>
        <w:t>2</w:t>
      </w:r>
      <w:r w:rsidR="00CF25DD" w:rsidRPr="00BD0E08">
        <w:rPr>
          <w:rStyle w:val="tlid-translation"/>
          <w:rFonts w:eastAsiaTheme="majorEastAsia"/>
        </w:rPr>
        <w:t xml:space="preserve">) </w:t>
      </w:r>
      <w:r w:rsidR="00F14E0F" w:rsidRPr="00BD0E08">
        <w:rPr>
          <w:rStyle w:val="tlid-translation"/>
          <w:rFonts w:eastAsiaTheme="majorEastAsia"/>
        </w:rPr>
        <w:t xml:space="preserve">compared to monoatomic </w:t>
      </w:r>
      <w:proofErr w:type="spellStart"/>
      <w:r w:rsidR="00F14E0F" w:rsidRPr="00BD0E08">
        <w:rPr>
          <w:rStyle w:val="tlid-translation"/>
          <w:rFonts w:eastAsiaTheme="majorEastAsia"/>
        </w:rPr>
        <w:t>Ar</w:t>
      </w:r>
      <w:proofErr w:type="spellEnd"/>
      <w:r w:rsidR="00F14E0F" w:rsidRPr="00BD0E08">
        <w:rPr>
          <w:rStyle w:val="tlid-translation"/>
          <w:rFonts w:eastAsiaTheme="majorEastAsia"/>
        </w:rPr>
        <w:t xml:space="preserve"> and </w:t>
      </w:r>
      <w:r w:rsidR="00CF25DD" w:rsidRPr="00BD0E08">
        <w:rPr>
          <w:rStyle w:val="tlid-translation"/>
          <w:rFonts w:eastAsiaTheme="majorEastAsia"/>
        </w:rPr>
        <w:t xml:space="preserve">thus to </w:t>
      </w:r>
      <w:r w:rsidR="00F14E0F" w:rsidRPr="00BD0E08">
        <w:rPr>
          <w:rStyle w:val="tlid-translation"/>
          <w:rFonts w:eastAsiaTheme="majorEastAsia"/>
        </w:rPr>
        <w:t xml:space="preserve">their respective changes in the heat transport from the sample towards the walls of the quartz capillary. </w:t>
      </w:r>
    </w:p>
    <w:p w14:paraId="5FFA9671" w14:textId="00C59A38" w:rsidR="005B26EB" w:rsidRPr="00BD0E08" w:rsidRDefault="005B26EB" w:rsidP="003B092F">
      <w:pPr>
        <w:pStyle w:val="IUCrbodytext"/>
        <w:jc w:val="both"/>
        <w:rPr>
          <w:rFonts w:eastAsiaTheme="minorEastAsia"/>
        </w:rPr>
      </w:pPr>
      <w:r w:rsidRPr="00BD0E08">
        <w:rPr>
          <w:rStyle w:val="jlqj4b"/>
        </w:rPr>
        <w:t xml:space="preserve">To be able to pass the capillary through the furnace, the lower part </w:t>
      </w:r>
      <w:proofErr w:type="gramStart"/>
      <w:r w:rsidRPr="00BD0E08">
        <w:rPr>
          <w:rStyle w:val="jlqj4b"/>
        </w:rPr>
        <w:t>has been rotated</w:t>
      </w:r>
      <w:proofErr w:type="gramEnd"/>
      <w:r w:rsidRPr="00BD0E08">
        <w:rPr>
          <w:rStyle w:val="jlqj4b"/>
        </w:rPr>
        <w:t xml:space="preserve"> by 90° while the lower part of the reaction cell is connected </w:t>
      </w:r>
      <w:r w:rsidRPr="00BD0E08">
        <w:rPr>
          <w:rStyle w:val="tlid-translation"/>
          <w:rFonts w:eastAsiaTheme="majorEastAsia"/>
        </w:rPr>
        <w:t xml:space="preserve">to a vacuum pump (Figure 1b). The new sample holder fitting into the quartz capillary was equipped with valves allowing </w:t>
      </w:r>
      <w:proofErr w:type="gramStart"/>
      <w:r w:rsidRPr="00BD0E08">
        <w:rPr>
          <w:rStyle w:val="tlid-translation"/>
          <w:rFonts w:eastAsiaTheme="majorEastAsia"/>
        </w:rPr>
        <w:t>to inject</w:t>
      </w:r>
      <w:proofErr w:type="gramEnd"/>
      <w:r w:rsidRPr="00BD0E08">
        <w:rPr>
          <w:rStyle w:val="tlid-translation"/>
          <w:rFonts w:eastAsiaTheme="majorEastAsia"/>
        </w:rPr>
        <w:t xml:space="preserve"> any desired gas atmosphere</w:t>
      </w:r>
      <w:r w:rsidRPr="00BD0E08">
        <w:rPr>
          <w:rFonts w:eastAsiaTheme="minorEastAsia"/>
        </w:rPr>
        <w:t xml:space="preserve">. As in the original configuration, </w:t>
      </w:r>
      <w:r w:rsidRPr="00BD0E08">
        <w:rPr>
          <w:rStyle w:val="tlid-translation"/>
          <w:rFonts w:eastAsiaTheme="majorEastAsia"/>
          <w:lang w:val="en"/>
        </w:rPr>
        <w:t xml:space="preserve">the sample temperature </w:t>
      </w:r>
      <w:proofErr w:type="gramStart"/>
      <w:r w:rsidRPr="00BD0E08">
        <w:rPr>
          <w:rStyle w:val="tlid-translation"/>
          <w:rFonts w:eastAsiaTheme="majorEastAsia"/>
          <w:lang w:val="en"/>
        </w:rPr>
        <w:t>is controlled</w:t>
      </w:r>
      <w:proofErr w:type="gramEnd"/>
      <w:r w:rsidRPr="00BD0E08">
        <w:rPr>
          <w:rStyle w:val="tlid-translation"/>
          <w:rFonts w:eastAsiaTheme="majorEastAsia"/>
          <w:lang w:val="en"/>
        </w:rPr>
        <w:t xml:space="preserve"> by a thermocouple inside the sample holder,</w:t>
      </w:r>
      <w:r w:rsidR="00CF25DD" w:rsidRPr="00BD0E08">
        <w:rPr>
          <w:rStyle w:val="tlid-translation"/>
          <w:rFonts w:eastAsiaTheme="majorEastAsia"/>
          <w:lang w:val="en"/>
        </w:rPr>
        <w:t xml:space="preserve"> touching</w:t>
      </w:r>
      <w:r w:rsidRPr="00BD0E08">
        <w:rPr>
          <w:rStyle w:val="tlid-translation"/>
          <w:rFonts w:eastAsiaTheme="majorEastAsia"/>
          <w:lang w:val="en"/>
        </w:rPr>
        <w:t xml:space="preserve"> the sample.</w:t>
      </w:r>
      <w:r w:rsidR="00BF7285" w:rsidRPr="00BD0E08">
        <w:rPr>
          <w:rStyle w:val="tlid-translation"/>
          <w:rFonts w:eastAsiaTheme="majorEastAsia"/>
          <w:lang w:val="en"/>
        </w:rPr>
        <w:t xml:space="preserve"> </w:t>
      </w:r>
      <w:r w:rsidRPr="00BD0E08">
        <w:rPr>
          <w:rFonts w:eastAsiaTheme="minorEastAsia"/>
        </w:rPr>
        <w:t xml:space="preserve">To fix the modified furnace on the Eulerian cradle, the lower and upper bases of the furnace </w:t>
      </w:r>
      <w:proofErr w:type="gramStart"/>
      <w:r w:rsidRPr="00BD0E08">
        <w:rPr>
          <w:rFonts w:eastAsiaTheme="minorEastAsia"/>
        </w:rPr>
        <w:t>have been modified</w:t>
      </w:r>
      <w:proofErr w:type="gramEnd"/>
      <w:r w:rsidRPr="00BD0E08">
        <w:rPr>
          <w:rFonts w:eastAsiaTheme="minorEastAsia"/>
        </w:rPr>
        <w:t xml:space="preserve"> accordingly, still allowing an easy handling of positioning/rotation. </w:t>
      </w:r>
    </w:p>
    <w:p w14:paraId="2B6A52E1" w14:textId="3CEF77D4" w:rsidR="005B26EB" w:rsidRPr="00A539B6" w:rsidRDefault="005B26EB" w:rsidP="009A2F8C">
      <w:pPr>
        <w:pStyle w:val="IUCrbodytext"/>
        <w:tabs>
          <w:tab w:val="left" w:pos="1363"/>
          <w:tab w:val="left" w:pos="3374"/>
        </w:tabs>
        <w:jc w:val="both"/>
        <w:rPr>
          <w:rStyle w:val="tlid-translation"/>
          <w:rFonts w:eastAsiaTheme="majorEastAsia"/>
          <w:lang w:val="en"/>
        </w:rPr>
      </w:pPr>
      <w:r w:rsidRPr="00BD0E08">
        <w:rPr>
          <w:rStyle w:val="tlid-translation"/>
          <w:rFonts w:eastAsiaTheme="majorEastAsia"/>
          <w:lang w:val="en"/>
        </w:rPr>
        <w:t xml:space="preserve">Heat transfer in the modified furnace </w:t>
      </w:r>
      <w:proofErr w:type="gramStart"/>
      <w:r w:rsidRPr="00BD0E08">
        <w:rPr>
          <w:rStyle w:val="tlid-translation"/>
          <w:rFonts w:eastAsiaTheme="majorEastAsia"/>
          <w:lang w:val="en"/>
        </w:rPr>
        <w:t>was checked</w:t>
      </w:r>
      <w:proofErr w:type="gramEnd"/>
      <w:r w:rsidRPr="00BD0E08">
        <w:rPr>
          <w:rStyle w:val="tlid-translation"/>
          <w:rFonts w:eastAsiaTheme="majorEastAsia"/>
          <w:lang w:val="en"/>
        </w:rPr>
        <w:t xml:space="preserve"> by performing thermal simulations using COMSOL Multiphysics® heat conduction and ray tracing modules (Appendix 1). To avoid overheating problems, an additional water-cooling system has been implemented (Figure 2) </w:t>
      </w:r>
      <w:r w:rsidRPr="00BD0E08">
        <w:rPr>
          <w:rFonts w:eastAsiaTheme="majorEastAsia"/>
          <w:lang w:val="en"/>
        </w:rPr>
        <w:t>at one end of the quartz tube, at the gas injector</w:t>
      </w:r>
      <w:r w:rsidRPr="00BD0E08">
        <w:rPr>
          <w:rStyle w:val="tlid-translation"/>
          <w:rFonts w:eastAsiaTheme="majorEastAsia"/>
          <w:lang w:val="en"/>
        </w:rPr>
        <w:t xml:space="preserve">. </w:t>
      </w:r>
      <w:r w:rsidRPr="00BD0E08">
        <w:rPr>
          <w:rFonts w:eastAsiaTheme="majorEastAsia"/>
          <w:lang w:val="en"/>
        </w:rPr>
        <w:t xml:space="preserve">The heating zone at the center of the furnace </w:t>
      </w:r>
      <w:proofErr w:type="gramStart"/>
      <w:r w:rsidR="00E16F4B" w:rsidRPr="00BD0E08">
        <w:rPr>
          <w:rFonts w:eastAsiaTheme="majorEastAsia"/>
          <w:lang w:val="en"/>
        </w:rPr>
        <w:t>has</w:t>
      </w:r>
      <w:r w:rsidRPr="00BD0E08">
        <w:rPr>
          <w:rFonts w:eastAsiaTheme="majorEastAsia"/>
          <w:lang w:val="en"/>
        </w:rPr>
        <w:t xml:space="preserve"> also </w:t>
      </w:r>
      <w:r w:rsidR="00E16F4B" w:rsidRPr="00BD0E08">
        <w:rPr>
          <w:rFonts w:eastAsiaTheme="majorEastAsia"/>
          <w:lang w:val="en"/>
        </w:rPr>
        <w:t xml:space="preserve">been </w:t>
      </w:r>
      <w:r w:rsidRPr="00BD0E08">
        <w:rPr>
          <w:rFonts w:eastAsiaTheme="majorEastAsia"/>
          <w:lang w:val="en"/>
        </w:rPr>
        <w:t>verified</w:t>
      </w:r>
      <w:proofErr w:type="gramEnd"/>
      <w:r w:rsidRPr="00BD0E08">
        <w:rPr>
          <w:rFonts w:eastAsiaTheme="majorEastAsia"/>
          <w:lang w:val="en"/>
        </w:rPr>
        <w:t xml:space="preserve"> </w:t>
      </w:r>
      <w:r w:rsidRPr="00BD0E08">
        <w:rPr>
          <w:rStyle w:val="tlid-translation"/>
          <w:rFonts w:eastAsiaTheme="majorEastAsia"/>
          <w:lang w:val="en"/>
        </w:rPr>
        <w:t>to ensure a homogeneous temperature profile of at least one centimeter around the sample, which is more than sufficient for neutron diffraction measurements.</w:t>
      </w:r>
    </w:p>
    <w:p w14:paraId="28FA55CF" w14:textId="77777777" w:rsidR="005B26EB" w:rsidRPr="00A539B6" w:rsidRDefault="005B26EB" w:rsidP="009A2F8C">
      <w:pPr>
        <w:pStyle w:val="IUCrbodytext"/>
        <w:tabs>
          <w:tab w:val="left" w:pos="1363"/>
          <w:tab w:val="left" w:pos="3374"/>
        </w:tabs>
        <w:jc w:val="both"/>
        <w:rPr>
          <w:rStyle w:val="tlid-translation"/>
          <w:rFonts w:eastAsiaTheme="majorEastAsia"/>
          <w:lang w:val="en"/>
        </w:rPr>
      </w:pPr>
    </w:p>
    <w:p w14:paraId="26BAB866" w14:textId="77777777" w:rsidR="005B26EB" w:rsidRPr="00A539B6" w:rsidRDefault="005B26EB" w:rsidP="009A2F8C">
      <w:pPr>
        <w:pStyle w:val="IUCrbodytext"/>
        <w:tabs>
          <w:tab w:val="left" w:pos="1363"/>
          <w:tab w:val="left" w:pos="3374"/>
        </w:tabs>
        <w:jc w:val="both"/>
        <w:rPr>
          <w:rStyle w:val="tlid-translation"/>
          <w:rFonts w:eastAsiaTheme="majorEastAsia"/>
          <w:lang w:val="en"/>
        </w:rPr>
      </w:pPr>
    </w:p>
    <w:p w14:paraId="6440DE7E" w14:textId="77777777" w:rsidR="005B26EB" w:rsidRPr="00A539B6" w:rsidRDefault="00DF2FF3" w:rsidP="00772608">
      <w:pPr>
        <w:pStyle w:val="IUCrbodytext"/>
        <w:jc w:val="center"/>
        <w:rPr>
          <w:rStyle w:val="tlid-translation"/>
          <w:strike/>
        </w:rPr>
      </w:pPr>
      <w:r>
        <w:rPr>
          <w:strike/>
          <w:noProof/>
          <w:lang w:val="de-DE" w:eastAsia="ja-JP"/>
        </w:rPr>
        <w:lastRenderedPageBreak/>
        <w:drawing>
          <wp:inline distT="0" distB="0" distL="0" distR="0" wp14:anchorId="7DC2BB6C" wp14:editId="329D1B24">
            <wp:extent cx="3168000" cy="49429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2_rev.png"/>
                    <pic:cNvPicPr/>
                  </pic:nvPicPr>
                  <pic:blipFill>
                    <a:blip r:embed="rId8">
                      <a:extLst>
                        <a:ext uri="{28A0092B-C50C-407E-A947-70E740481C1C}">
                          <a14:useLocalDpi xmlns:a14="http://schemas.microsoft.com/office/drawing/2010/main" val="0"/>
                        </a:ext>
                      </a:extLst>
                    </a:blip>
                    <a:stretch>
                      <a:fillRect/>
                    </a:stretch>
                  </pic:blipFill>
                  <pic:spPr>
                    <a:xfrm>
                      <a:off x="0" y="0"/>
                      <a:ext cx="3168000" cy="4942984"/>
                    </a:xfrm>
                    <a:prstGeom prst="rect">
                      <a:avLst/>
                    </a:prstGeom>
                  </pic:spPr>
                </pic:pic>
              </a:graphicData>
            </a:graphic>
          </wp:inline>
        </w:drawing>
      </w:r>
    </w:p>
    <w:p w14:paraId="27A485E1" w14:textId="447B9A08" w:rsidR="005B26EB" w:rsidRPr="00BD0E08" w:rsidRDefault="005B26EB" w:rsidP="00B331CC">
      <w:pPr>
        <w:pStyle w:val="IUCrfigurecaption"/>
        <w:jc w:val="both"/>
      </w:pPr>
      <w:r w:rsidRPr="00BD0E08">
        <w:rPr>
          <w:lang w:val="en"/>
        </w:rPr>
        <w:t xml:space="preserve">Drawings and front section of the furnace in its original configuration (a) and in the modified version (b). For the latter, the lower part </w:t>
      </w:r>
      <w:proofErr w:type="gramStart"/>
      <w:r w:rsidRPr="00BD0E08">
        <w:rPr>
          <w:lang w:val="en"/>
        </w:rPr>
        <w:t>has been rotated</w:t>
      </w:r>
      <w:proofErr w:type="gramEnd"/>
      <w:r w:rsidRPr="00BD0E08">
        <w:rPr>
          <w:lang w:val="en"/>
        </w:rPr>
        <w:t xml:space="preserve"> by 90° to pass the quartz tube through. Thus, any gas atmosphere </w:t>
      </w:r>
      <w:proofErr w:type="gramStart"/>
      <w:r w:rsidRPr="00BD0E08">
        <w:rPr>
          <w:lang w:val="en"/>
        </w:rPr>
        <w:t>can be injected</w:t>
      </w:r>
      <w:proofErr w:type="gramEnd"/>
      <w:r w:rsidRPr="00BD0E08">
        <w:rPr>
          <w:lang w:val="en"/>
        </w:rPr>
        <w:t xml:space="preserve"> in the cell without damaging the reflective wall of the furnace itself and the bulbs, being in vacuum.</w:t>
      </w:r>
      <w:r w:rsidRPr="00BD0E08">
        <w:t xml:space="preserve"> </w:t>
      </w:r>
      <w:r w:rsidR="00A034FC" w:rsidRPr="00BD0E08">
        <w:t>Gas inlet and outlet valves are outlined</w:t>
      </w:r>
      <w:r w:rsidR="00CF25DD" w:rsidRPr="00BD0E08">
        <w:t xml:space="preserve">; this configuration allows </w:t>
      </w:r>
      <w:proofErr w:type="gramStart"/>
      <w:r w:rsidR="00CF25DD" w:rsidRPr="00BD0E08">
        <w:t xml:space="preserve">also </w:t>
      </w:r>
      <w:r w:rsidR="00C804E0" w:rsidRPr="00BD0E08">
        <w:t xml:space="preserve"> to</w:t>
      </w:r>
      <w:proofErr w:type="gramEnd"/>
      <w:r w:rsidR="00C804E0" w:rsidRPr="00BD0E08">
        <w:t xml:space="preserve"> work under constant gas flow conditions.</w:t>
      </w:r>
    </w:p>
    <w:p w14:paraId="6DB0D71C" w14:textId="77777777" w:rsidR="005B26EB" w:rsidRPr="00A539B6" w:rsidRDefault="005B26EB" w:rsidP="00772608">
      <w:pPr>
        <w:pStyle w:val="IUCrbodytext"/>
        <w:tabs>
          <w:tab w:val="left" w:pos="1363"/>
        </w:tabs>
        <w:jc w:val="center"/>
        <w:rPr>
          <w:rStyle w:val="tlid-translation"/>
          <w:rFonts w:eastAsiaTheme="majorEastAsia"/>
          <w:lang w:val="en"/>
        </w:rPr>
      </w:pPr>
    </w:p>
    <w:p w14:paraId="34394D3A" w14:textId="77777777" w:rsidR="005B26EB" w:rsidRPr="00A539B6" w:rsidRDefault="005B26EB" w:rsidP="00772608">
      <w:pPr>
        <w:pStyle w:val="IUCrbodytext"/>
        <w:tabs>
          <w:tab w:val="left" w:pos="1363"/>
        </w:tabs>
        <w:jc w:val="center"/>
        <w:rPr>
          <w:rStyle w:val="tlid-translation"/>
          <w:rFonts w:eastAsiaTheme="majorEastAsia"/>
          <w:lang w:val="en"/>
        </w:rPr>
      </w:pPr>
    </w:p>
    <w:p w14:paraId="15546DE2" w14:textId="77777777" w:rsidR="005B26EB" w:rsidRPr="00A539B6" w:rsidRDefault="005B26EB" w:rsidP="00772608">
      <w:pPr>
        <w:pStyle w:val="IUCrbodytext"/>
        <w:tabs>
          <w:tab w:val="left" w:pos="1363"/>
        </w:tabs>
        <w:jc w:val="center"/>
        <w:rPr>
          <w:rStyle w:val="tlid-translation"/>
          <w:rFonts w:eastAsiaTheme="majorEastAsia"/>
          <w:lang w:val="en"/>
        </w:rPr>
      </w:pPr>
      <w:r w:rsidRPr="00A539B6">
        <w:rPr>
          <w:rFonts w:eastAsiaTheme="majorEastAsia"/>
          <w:noProof/>
          <w:lang w:val="de-DE" w:eastAsia="ja-JP"/>
        </w:rPr>
        <w:lastRenderedPageBreak/>
        <w:drawing>
          <wp:inline distT="0" distB="0" distL="0" distR="0" wp14:anchorId="50270620" wp14:editId="0422CF7F">
            <wp:extent cx="3168000" cy="250954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def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8000" cy="2509544"/>
                    </a:xfrm>
                    <a:prstGeom prst="rect">
                      <a:avLst/>
                    </a:prstGeom>
                  </pic:spPr>
                </pic:pic>
              </a:graphicData>
            </a:graphic>
          </wp:inline>
        </w:drawing>
      </w:r>
    </w:p>
    <w:p w14:paraId="63083956" w14:textId="77777777" w:rsidR="005B26EB" w:rsidRPr="00A539B6" w:rsidRDefault="005B26EB" w:rsidP="0003438C">
      <w:pPr>
        <w:pStyle w:val="IUCrfigurecaption"/>
        <w:tabs>
          <w:tab w:val="left" w:pos="1363"/>
        </w:tabs>
        <w:jc w:val="both"/>
        <w:rPr>
          <w:rStyle w:val="tlid-translation"/>
          <w:rFonts w:eastAsiaTheme="majorEastAsia"/>
          <w:lang w:val="en"/>
        </w:rPr>
      </w:pPr>
      <w:r w:rsidRPr="00A539B6">
        <w:rPr>
          <w:rStyle w:val="tlid-translation"/>
          <w:rFonts w:eastAsiaTheme="majorEastAsia"/>
          <w:lang w:val="en"/>
        </w:rPr>
        <w:t xml:space="preserve">The new IR furnace mounted on the </w:t>
      </w:r>
      <w:proofErr w:type="spellStart"/>
      <w:r w:rsidRPr="00A539B6">
        <w:rPr>
          <w:rStyle w:val="tlid-translation"/>
          <w:rFonts w:eastAsiaTheme="majorEastAsia"/>
          <w:lang w:val="en"/>
        </w:rPr>
        <w:t>HEiDI</w:t>
      </w:r>
      <w:proofErr w:type="spellEnd"/>
      <w:r w:rsidRPr="00A539B6">
        <w:rPr>
          <w:rStyle w:val="tlid-translation"/>
          <w:rFonts w:eastAsiaTheme="majorEastAsia"/>
          <w:lang w:val="en"/>
        </w:rPr>
        <w:t xml:space="preserve"> diffractometer. </w:t>
      </w:r>
      <w:r w:rsidRPr="00A539B6">
        <w:rPr>
          <w:rFonts w:eastAsiaTheme="majorEastAsia"/>
          <w:lang w:val="en"/>
        </w:rPr>
        <w:t xml:space="preserve">On the right, a closer view to show </w:t>
      </w:r>
      <w:r w:rsidRPr="00A539B6">
        <w:rPr>
          <w:rStyle w:val="tlid-translation"/>
          <w:rFonts w:eastAsiaTheme="majorEastAsia"/>
          <w:lang w:val="en"/>
        </w:rPr>
        <w:t xml:space="preserve">the gas injector and the water-cooling system, introduced in order to avoid overheating problems at one end of the quartz cell. </w:t>
      </w:r>
    </w:p>
    <w:p w14:paraId="4D8C87F6" w14:textId="77777777" w:rsidR="005B26EB" w:rsidRPr="00A539B6" w:rsidRDefault="005B26EB" w:rsidP="00771296">
      <w:pPr>
        <w:pStyle w:val="IUCrbodytext"/>
        <w:rPr>
          <w:lang w:val="en"/>
        </w:rPr>
      </w:pPr>
    </w:p>
    <w:p w14:paraId="2348BB8A" w14:textId="02947C51" w:rsidR="00F77DE9" w:rsidRPr="00F77DE9" w:rsidRDefault="005B26EB" w:rsidP="00F77DE9">
      <w:pPr>
        <w:pStyle w:val="IUCrbodytext"/>
        <w:tabs>
          <w:tab w:val="left" w:pos="1363"/>
        </w:tabs>
        <w:jc w:val="both"/>
        <w:rPr>
          <w:lang w:val="en"/>
        </w:rPr>
      </w:pPr>
      <w:r w:rsidRPr="00BD0E08">
        <w:t xml:space="preserve">In addition to the modification of the furnace, a gas handling system (Figure 3) was designed and built up in order to prepare and control the gas mixture to </w:t>
      </w:r>
      <w:proofErr w:type="gramStart"/>
      <w:r w:rsidRPr="00BD0E08">
        <w:t>be injected</w:t>
      </w:r>
      <w:proofErr w:type="gramEnd"/>
      <w:r w:rsidRPr="00BD0E08">
        <w:t xml:space="preserve"> into the quartz tube as an option. From the desired gas mixture, a precise</w:t>
      </w:r>
      <w:r w:rsidRPr="00BD0E08">
        <w:rPr>
          <w:lang w:val="en"/>
        </w:rPr>
        <w:t xml:space="preserve"> amount of gas </w:t>
      </w:r>
      <w:proofErr w:type="gramStart"/>
      <w:r w:rsidRPr="00BD0E08">
        <w:rPr>
          <w:lang w:val="en"/>
        </w:rPr>
        <w:t>can be taken</w:t>
      </w:r>
      <w:proofErr w:type="gramEnd"/>
      <w:r w:rsidRPr="00BD0E08">
        <w:rPr>
          <w:lang w:val="en"/>
        </w:rPr>
        <w:t xml:space="preserve"> out </w:t>
      </w:r>
      <w:r w:rsidR="00E32728" w:rsidRPr="00BD0E08">
        <w:rPr>
          <w:lang w:val="en"/>
        </w:rPr>
        <w:t>using</w:t>
      </w:r>
      <w:r w:rsidRPr="00BD0E08">
        <w:rPr>
          <w:lang w:val="en"/>
        </w:rPr>
        <w:t xml:space="preserve"> </w:t>
      </w:r>
      <w:r w:rsidR="00F77DE9" w:rsidRPr="00BD0E08">
        <w:rPr>
          <w:lang w:val="en"/>
        </w:rPr>
        <w:t>g</w:t>
      </w:r>
      <w:r w:rsidR="00BF7285" w:rsidRPr="00BD0E08">
        <w:rPr>
          <w:lang w:val="en"/>
        </w:rPr>
        <w:t>as-tight</w:t>
      </w:r>
      <w:r w:rsidR="001C4149" w:rsidRPr="00BD0E08">
        <w:rPr>
          <w:lang w:val="en"/>
        </w:rPr>
        <w:t xml:space="preserve"> syringes</w:t>
      </w:r>
      <w:r w:rsidRPr="00BD0E08">
        <w:rPr>
          <w:lang w:val="en"/>
        </w:rPr>
        <w:t xml:space="preserve">. </w:t>
      </w:r>
      <w:r w:rsidR="00D84329" w:rsidRPr="00BD0E08">
        <w:rPr>
          <w:rStyle w:val="jlqj4b"/>
          <w:lang w:val="en"/>
        </w:rPr>
        <w:t>Their termination incorporates an on/off syringe valve, where an adapter is mounted to connect the syringe</w:t>
      </w:r>
      <w:r w:rsidR="00D84329" w:rsidRPr="00BD0E08">
        <w:t xml:space="preserve"> </w:t>
      </w:r>
      <w:r w:rsidR="00183F21" w:rsidRPr="00BD0E08">
        <w:rPr>
          <w:lang w:val="en"/>
        </w:rPr>
        <w:t xml:space="preserve">to </w:t>
      </w:r>
      <w:r w:rsidR="00D84329" w:rsidRPr="00BD0E08">
        <w:rPr>
          <w:lang w:val="en"/>
        </w:rPr>
        <w:t xml:space="preserve">the gas chamber </w:t>
      </w:r>
      <w:r w:rsidR="00E32728" w:rsidRPr="00BD0E08">
        <w:rPr>
          <w:lang w:val="en"/>
        </w:rPr>
        <w:t xml:space="preserve">first </w:t>
      </w:r>
      <w:r w:rsidR="00D84329" w:rsidRPr="00BD0E08">
        <w:rPr>
          <w:lang w:val="en"/>
        </w:rPr>
        <w:t>and</w:t>
      </w:r>
      <w:r w:rsidR="00E32728" w:rsidRPr="00BD0E08">
        <w:rPr>
          <w:lang w:val="en"/>
        </w:rPr>
        <w:t xml:space="preserve"> after filling </w:t>
      </w:r>
      <w:r w:rsidR="00D84329" w:rsidRPr="00BD0E08">
        <w:rPr>
          <w:lang w:val="en"/>
        </w:rPr>
        <w:t xml:space="preserve">to </w:t>
      </w:r>
      <w:r w:rsidR="00E32728" w:rsidRPr="00BD0E08">
        <w:rPr>
          <w:lang w:val="en"/>
        </w:rPr>
        <w:t xml:space="preserve">the </w:t>
      </w:r>
      <w:r w:rsidR="00D84329" w:rsidRPr="00BD0E08">
        <w:rPr>
          <w:lang w:val="en"/>
        </w:rPr>
        <w:t>reaction cell via an injection valve</w:t>
      </w:r>
      <w:r w:rsidR="00992F39" w:rsidRPr="00BD0E08">
        <w:rPr>
          <w:lang w:val="en"/>
        </w:rPr>
        <w:t>, which is</w:t>
      </w:r>
      <w:r w:rsidR="00D84329" w:rsidRPr="00BD0E08">
        <w:rPr>
          <w:lang w:val="en"/>
        </w:rPr>
        <w:t xml:space="preserve"> situated </w:t>
      </w:r>
      <w:r w:rsidR="00F14E0F" w:rsidRPr="00BD0E08">
        <w:rPr>
          <w:lang w:val="en"/>
        </w:rPr>
        <w:t>on top</w:t>
      </w:r>
      <w:r w:rsidR="00D84329" w:rsidRPr="00BD0E08">
        <w:rPr>
          <w:lang w:val="en"/>
        </w:rPr>
        <w:t xml:space="preserve"> of the quartz tube</w:t>
      </w:r>
      <w:r w:rsidR="001C4149" w:rsidRPr="00BD0E08">
        <w:rPr>
          <w:lang w:val="en"/>
        </w:rPr>
        <w:t>.</w:t>
      </w:r>
      <w:r w:rsidR="001C4149">
        <w:rPr>
          <w:lang w:val="en"/>
        </w:rPr>
        <w:t xml:space="preserve"> </w:t>
      </w:r>
    </w:p>
    <w:p w14:paraId="384F6870" w14:textId="77777777" w:rsidR="005B26EB" w:rsidRPr="00A539B6" w:rsidRDefault="005B26EB" w:rsidP="004B2966">
      <w:pPr>
        <w:pStyle w:val="IUCrbodytext"/>
        <w:jc w:val="both"/>
      </w:pPr>
      <w:r w:rsidRPr="00A539B6">
        <w:rPr>
          <w:noProof/>
          <w:lang w:val="de-DE" w:eastAsia="ja-JP"/>
        </w:rPr>
        <w:drawing>
          <wp:inline distT="0" distB="0" distL="0" distR="0" wp14:anchorId="467EF4C2" wp14:editId="0F80841B">
            <wp:extent cx="2808000" cy="210072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s.png"/>
                    <pic:cNvPicPr/>
                  </pic:nvPicPr>
                  <pic:blipFill>
                    <a:blip r:embed="rId10">
                      <a:extLst>
                        <a:ext uri="{28A0092B-C50C-407E-A947-70E740481C1C}">
                          <a14:useLocalDpi xmlns:a14="http://schemas.microsoft.com/office/drawing/2010/main"/>
                        </a:ext>
                      </a:extLst>
                    </a:blip>
                    <a:stretch>
                      <a:fillRect/>
                    </a:stretch>
                  </pic:blipFill>
                  <pic:spPr>
                    <a:xfrm>
                      <a:off x="0" y="0"/>
                      <a:ext cx="2808000" cy="2100722"/>
                    </a:xfrm>
                    <a:prstGeom prst="rect">
                      <a:avLst/>
                    </a:prstGeom>
                  </pic:spPr>
                </pic:pic>
              </a:graphicData>
            </a:graphic>
          </wp:inline>
        </w:drawing>
      </w:r>
    </w:p>
    <w:p w14:paraId="59665938" w14:textId="77777777" w:rsidR="005B26EB" w:rsidRPr="00A539B6" w:rsidRDefault="005B26EB" w:rsidP="00B64796">
      <w:pPr>
        <w:pStyle w:val="IUCrfigurecaption"/>
        <w:jc w:val="both"/>
      </w:pPr>
      <w:r w:rsidRPr="00A539B6">
        <w:t xml:space="preserve">Gas handling system: different gas mixtures </w:t>
      </w:r>
      <w:proofErr w:type="gramStart"/>
      <w:r w:rsidRPr="00A539B6">
        <w:t>can be obtained</w:t>
      </w:r>
      <w:proofErr w:type="gramEnd"/>
      <w:r w:rsidRPr="00A539B6">
        <w:t xml:space="preserve"> up to 200 bars in the gas mixture chamber via two coupling valves to different gas bottles. Small quantities of the gas composition </w:t>
      </w:r>
      <w:proofErr w:type="gramStart"/>
      <w:r w:rsidRPr="00A539B6">
        <w:t>can be taken out</w:t>
      </w:r>
      <w:proofErr w:type="gramEnd"/>
      <w:r w:rsidRPr="00A539B6">
        <w:t xml:space="preserve"> via special syringe gas inlets or via a stainless-steel tube directly connected to the mirror furnace. </w:t>
      </w:r>
    </w:p>
    <w:p w14:paraId="46798C97" w14:textId="77777777" w:rsidR="005B26EB" w:rsidRPr="00A539B6" w:rsidRDefault="005B26EB" w:rsidP="00EA428B">
      <w:pPr>
        <w:pStyle w:val="IUCrheading1"/>
        <w:numPr>
          <w:ilvl w:val="0"/>
          <w:numId w:val="0"/>
        </w:numPr>
        <w:rPr>
          <w:rFonts w:ascii="Times New Roman" w:hAnsi="Times New Roman"/>
          <w:b w:val="0"/>
          <w:sz w:val="22"/>
          <w:szCs w:val="24"/>
        </w:rPr>
      </w:pPr>
    </w:p>
    <w:p w14:paraId="40134F21" w14:textId="77777777" w:rsidR="005B26EB" w:rsidRPr="00A539B6" w:rsidRDefault="005B26EB" w:rsidP="00EA428B">
      <w:pPr>
        <w:pStyle w:val="IUCrheading1"/>
      </w:pPr>
      <w:r w:rsidRPr="00A539B6">
        <w:lastRenderedPageBreak/>
        <w:t xml:space="preserve">Diffraction measurements on oxygen stoichiometry controlled </w:t>
      </w:r>
      <w:r w:rsidRPr="00A539B6">
        <w:rPr>
          <w:lang w:val="en-US"/>
        </w:rPr>
        <w:t>Pr</w:t>
      </w:r>
      <w:r w:rsidRPr="00A539B6">
        <w:rPr>
          <w:vertAlign w:val="subscript"/>
          <w:lang w:val="en-US"/>
        </w:rPr>
        <w:t>2</w:t>
      </w:r>
      <w:r w:rsidRPr="00A539B6">
        <w:rPr>
          <w:lang w:val="en-US"/>
        </w:rPr>
        <w:t>NiO</w:t>
      </w:r>
      <w:r w:rsidRPr="00A539B6">
        <w:rPr>
          <w:vertAlign w:val="subscript"/>
          <w:lang w:val="en-US"/>
        </w:rPr>
        <w:t>4+</w:t>
      </w:r>
      <w:r w:rsidRPr="00A539B6">
        <w:rPr>
          <w:rFonts w:ascii="Symbol" w:hAnsi="Symbol"/>
          <w:vertAlign w:val="subscript"/>
          <w:lang w:val="en-US"/>
        </w:rPr>
        <w:t></w:t>
      </w:r>
      <w:r w:rsidRPr="00A539B6">
        <w:rPr>
          <w:lang w:val="en-US"/>
        </w:rPr>
        <w:t xml:space="preserve"> </w:t>
      </w:r>
      <w:r w:rsidRPr="00A539B6">
        <w:t>single crystals</w:t>
      </w:r>
    </w:p>
    <w:p w14:paraId="3FCF6966" w14:textId="77777777" w:rsidR="005B26EB" w:rsidRPr="00A539B6" w:rsidRDefault="005B26EB" w:rsidP="00F506E3">
      <w:pPr>
        <w:pStyle w:val="IUCrbodytext"/>
        <w:jc w:val="both"/>
        <w:rPr>
          <w:lang w:val="en-US" w:eastAsia="zh-CN"/>
        </w:rPr>
      </w:pPr>
      <w:r w:rsidRPr="00A539B6">
        <w:rPr>
          <w:lang w:val="en-US" w:eastAsia="zh-CN"/>
        </w:rPr>
        <w:t>Pr</w:t>
      </w:r>
      <w:r w:rsidRPr="00A539B6">
        <w:rPr>
          <w:vertAlign w:val="subscript"/>
          <w:lang w:val="en-US" w:eastAsia="zh-CN"/>
        </w:rPr>
        <w:t>2</w:t>
      </w:r>
      <w:r w:rsidRPr="00A539B6">
        <w:rPr>
          <w:lang w:val="en-US" w:eastAsia="zh-CN"/>
        </w:rPr>
        <w:t>NiO</w:t>
      </w:r>
      <w:r w:rsidRPr="00A539B6">
        <w:rPr>
          <w:vertAlign w:val="subscript"/>
          <w:lang w:val="en-US" w:eastAsia="zh-CN"/>
        </w:rPr>
        <w:t>4+</w:t>
      </w:r>
      <w:r w:rsidRPr="00A539B6">
        <w:rPr>
          <w:rFonts w:ascii="Symbol" w:hAnsi="Symbol"/>
          <w:vertAlign w:val="subscript"/>
          <w:lang w:val="en-US" w:eastAsia="zh-CN"/>
        </w:rPr>
        <w:t></w:t>
      </w:r>
      <w:r w:rsidRPr="00A539B6">
        <w:rPr>
          <w:lang w:val="en-US" w:eastAsia="zh-CN"/>
        </w:rPr>
        <w:t xml:space="preserve"> (PNO in the following) belongs to the few known non-stoichiometric oxides of the K</w:t>
      </w:r>
      <w:r w:rsidRPr="00A539B6">
        <w:rPr>
          <w:vertAlign w:val="subscript"/>
          <w:lang w:val="en-US" w:eastAsia="zh-CN"/>
        </w:rPr>
        <w:t>2</w:t>
      </w:r>
      <w:r w:rsidRPr="00A539B6">
        <w:rPr>
          <w:lang w:val="en-US" w:eastAsia="zh-CN"/>
        </w:rPr>
        <w:t>NiF</w:t>
      </w:r>
      <w:r w:rsidRPr="00A539B6">
        <w:rPr>
          <w:vertAlign w:val="subscript"/>
          <w:lang w:val="en-US" w:eastAsia="zh-CN"/>
        </w:rPr>
        <w:t>4</w:t>
      </w:r>
      <w:r w:rsidRPr="00A539B6">
        <w:rPr>
          <w:lang w:val="en-US" w:eastAsia="zh-CN"/>
        </w:rPr>
        <w:t xml:space="preserve"> family with high oxygen ion conductivity already present at ambient temperature. It consequently figures among promising candidates for oxygen electrolytes/membranes in solid oxide fuel cells</w:t>
      </w:r>
      <w:r>
        <w:rPr>
          <w:lang w:val="en-US" w:eastAsia="zh-CN"/>
        </w:rPr>
        <w:t xml:space="preserve"> </w:t>
      </w:r>
      <w:r w:rsidRPr="00A539B6">
        <w:rPr>
          <w:noProof/>
          <w:lang w:val="en-US" w:eastAsia="zh-CN"/>
        </w:rPr>
        <w:t>(Kovalevsky</w:t>
      </w:r>
      <w:r w:rsidRPr="00A539B6">
        <w:rPr>
          <w:i/>
          <w:noProof/>
          <w:lang w:val="en-US" w:eastAsia="zh-CN"/>
        </w:rPr>
        <w:t xml:space="preserve"> et al.</w:t>
      </w:r>
      <w:r w:rsidRPr="00A539B6">
        <w:rPr>
          <w:noProof/>
          <w:lang w:val="en-US" w:eastAsia="zh-CN"/>
        </w:rPr>
        <w:t>, 2007, Takahashi</w:t>
      </w:r>
      <w:r w:rsidRPr="00A539B6">
        <w:rPr>
          <w:i/>
          <w:noProof/>
          <w:lang w:val="en-US" w:eastAsia="zh-CN"/>
        </w:rPr>
        <w:t xml:space="preserve"> et al.</w:t>
      </w:r>
      <w:r w:rsidRPr="00A539B6">
        <w:rPr>
          <w:noProof/>
          <w:lang w:val="en-US" w:eastAsia="zh-CN"/>
        </w:rPr>
        <w:t>, 2010, Bassat</w:t>
      </w:r>
      <w:r w:rsidRPr="00A539B6">
        <w:rPr>
          <w:i/>
          <w:noProof/>
          <w:lang w:val="en-US" w:eastAsia="zh-CN"/>
        </w:rPr>
        <w:t xml:space="preserve"> et al.</w:t>
      </w:r>
      <w:r w:rsidRPr="00A539B6">
        <w:rPr>
          <w:noProof/>
          <w:lang w:val="en-US" w:eastAsia="zh-CN"/>
        </w:rPr>
        <w:t>, 2013, Ishihara, 2014)</w:t>
      </w:r>
      <w:r w:rsidRPr="00A539B6">
        <w:rPr>
          <w:lang w:val="en-US" w:eastAsia="zh-CN"/>
        </w:rPr>
        <w:t xml:space="preserve">.  </w:t>
      </w:r>
    </w:p>
    <w:p w14:paraId="130B41AD" w14:textId="77777777" w:rsidR="005B26EB" w:rsidRPr="00A539B6" w:rsidRDefault="005B26EB" w:rsidP="00F506E3">
      <w:pPr>
        <w:pStyle w:val="IUCrbodytext"/>
        <w:jc w:val="both"/>
        <w:rPr>
          <w:lang w:val="en" w:eastAsia="zh-CN"/>
        </w:rPr>
      </w:pPr>
      <w:r w:rsidRPr="00A539B6">
        <w:rPr>
          <w:lang w:val="en" w:eastAsia="zh-CN"/>
        </w:rPr>
        <w:t>The Ruddlesden-Popper (RP) type framework with the general formula A</w:t>
      </w:r>
      <w:r w:rsidRPr="00A539B6">
        <w:rPr>
          <w:vertAlign w:val="subscript"/>
          <w:lang w:val="en" w:eastAsia="zh-CN"/>
        </w:rPr>
        <w:t>2</w:t>
      </w:r>
      <w:r w:rsidRPr="00A539B6">
        <w:rPr>
          <w:lang w:val="en" w:eastAsia="zh-CN"/>
        </w:rPr>
        <w:t>BO</w:t>
      </w:r>
      <w:r w:rsidRPr="00A539B6">
        <w:rPr>
          <w:vertAlign w:val="subscript"/>
          <w:lang w:val="en" w:eastAsia="zh-CN"/>
        </w:rPr>
        <w:t>4</w:t>
      </w:r>
      <w:r w:rsidRPr="00A539B6">
        <w:rPr>
          <w:lang w:val="en" w:eastAsia="zh-CN"/>
        </w:rPr>
        <w:t xml:space="preserve"> (A = rare earth, B = transition metal) consists of layers of the alternate stacking of rock-salt A</w:t>
      </w:r>
      <w:r w:rsidRPr="00A539B6">
        <w:rPr>
          <w:vertAlign w:val="subscript"/>
          <w:lang w:val="en" w:eastAsia="zh-CN"/>
        </w:rPr>
        <w:t>2</w:t>
      </w:r>
      <w:r w:rsidRPr="00A539B6">
        <w:rPr>
          <w:lang w:val="en" w:eastAsia="zh-CN"/>
        </w:rPr>
        <w:t>O</w:t>
      </w:r>
      <w:r w:rsidRPr="00A539B6">
        <w:rPr>
          <w:vertAlign w:val="subscript"/>
          <w:lang w:val="en" w:eastAsia="zh-CN"/>
        </w:rPr>
        <w:t>2</w:t>
      </w:r>
      <w:r w:rsidRPr="00A539B6">
        <w:rPr>
          <w:lang w:val="en" w:eastAsia="zh-CN"/>
        </w:rPr>
        <w:t xml:space="preserve"> and BO</w:t>
      </w:r>
      <w:r w:rsidRPr="00A539B6">
        <w:rPr>
          <w:vertAlign w:val="subscript"/>
          <w:lang w:val="en" w:eastAsia="zh-CN"/>
        </w:rPr>
        <w:t>2</w:t>
      </w:r>
      <w:r w:rsidRPr="00A539B6">
        <w:rPr>
          <w:lang w:val="en" w:eastAsia="zh-CN"/>
        </w:rPr>
        <w:t xml:space="preserve"> layers along the </w:t>
      </w:r>
      <w:r w:rsidRPr="00A539B6">
        <w:rPr>
          <w:i/>
          <w:iCs/>
          <w:lang w:val="en" w:eastAsia="zh-CN"/>
        </w:rPr>
        <w:t>c-</w:t>
      </w:r>
      <w:r w:rsidRPr="00A539B6">
        <w:rPr>
          <w:lang w:val="en" w:eastAsia="zh-CN"/>
        </w:rPr>
        <w:t>axis. For simplicity reasons the structure is generally presented as a sequence of octahedral perovskite type layers separated by AO units (Figure 4). Inside the Pr</w:t>
      </w:r>
      <w:r w:rsidRPr="00A539B6">
        <w:rPr>
          <w:vertAlign w:val="subscript"/>
          <w:lang w:val="en" w:eastAsia="zh-CN"/>
        </w:rPr>
        <w:t>2</w:t>
      </w:r>
      <w:r w:rsidRPr="00A539B6">
        <w:rPr>
          <w:lang w:val="en" w:eastAsia="zh-CN"/>
        </w:rPr>
        <w:t>O</w:t>
      </w:r>
      <w:r w:rsidRPr="00A539B6">
        <w:rPr>
          <w:vertAlign w:val="subscript"/>
          <w:lang w:val="en" w:eastAsia="zh-CN"/>
        </w:rPr>
        <w:t>2</w:t>
      </w:r>
      <w:r w:rsidRPr="00A539B6">
        <w:rPr>
          <w:lang w:val="en" w:eastAsia="zh-CN"/>
        </w:rPr>
        <w:t xml:space="preserve"> rock salt layers, extra oxygen atoms can be accommodated on interstitial lattice sites while interstitial oxygen atoms are coordinated tetrahedrally by 4 apical oxygen atoms (</w:t>
      </w:r>
      <w:proofErr w:type="spellStart"/>
      <w:r w:rsidRPr="00A539B6">
        <w:rPr>
          <w:lang w:val="en" w:eastAsia="zh-CN"/>
        </w:rPr>
        <w:t>O</w:t>
      </w:r>
      <w:r w:rsidRPr="00A539B6">
        <w:rPr>
          <w:vertAlign w:val="subscript"/>
          <w:lang w:val="en" w:eastAsia="zh-CN"/>
        </w:rPr>
        <w:t>ap</w:t>
      </w:r>
      <w:proofErr w:type="spellEnd"/>
      <w:r w:rsidRPr="00A539B6">
        <w:rPr>
          <w:lang w:val="en" w:eastAsia="zh-CN"/>
        </w:rPr>
        <w:t xml:space="preserve">) as well as 4 </w:t>
      </w:r>
      <w:proofErr w:type="spellStart"/>
      <w:r w:rsidRPr="00A539B6">
        <w:rPr>
          <w:lang w:val="en" w:eastAsia="zh-CN"/>
        </w:rPr>
        <w:t>Pr</w:t>
      </w:r>
      <w:proofErr w:type="spellEnd"/>
      <w:r w:rsidRPr="00A539B6">
        <w:rPr>
          <w:lang w:val="en" w:eastAsia="zh-CN"/>
        </w:rPr>
        <w:t xml:space="preserve"> atoms.</w:t>
      </w:r>
    </w:p>
    <w:p w14:paraId="31E35899" w14:textId="77777777" w:rsidR="005B26EB" w:rsidRPr="00A539B6" w:rsidRDefault="005B26EB" w:rsidP="001755D5">
      <w:pPr>
        <w:pStyle w:val="IUCrbodytext"/>
        <w:jc w:val="both"/>
      </w:pPr>
      <w:r w:rsidRPr="00A539B6">
        <w:rPr>
          <w:noProof/>
          <w:lang w:val="de-DE" w:eastAsia="ja-JP"/>
        </w:rPr>
        <w:drawing>
          <wp:inline distT="0" distB="0" distL="0" distR="0" wp14:anchorId="5058BA2D" wp14:editId="76EB3D4A">
            <wp:extent cx="3168000" cy="343052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UCT2.png"/>
                    <pic:cNvPicPr/>
                  </pic:nvPicPr>
                  <pic:blipFill rotWithShape="1">
                    <a:blip r:embed="rId11">
                      <a:extLst>
                        <a:ext uri="{28A0092B-C50C-407E-A947-70E740481C1C}">
                          <a14:useLocalDpi xmlns:a14="http://schemas.microsoft.com/office/drawing/2010/main"/>
                        </a:ext>
                      </a:extLst>
                    </a:blip>
                    <a:srcRect/>
                    <a:stretch/>
                  </pic:blipFill>
                  <pic:spPr bwMode="auto">
                    <a:xfrm>
                      <a:off x="0" y="0"/>
                      <a:ext cx="3168000" cy="3430523"/>
                    </a:xfrm>
                    <a:prstGeom prst="rect">
                      <a:avLst/>
                    </a:prstGeom>
                    <a:ln>
                      <a:noFill/>
                    </a:ln>
                    <a:extLst>
                      <a:ext uri="{53640926-AAD7-44D8-BBD7-CCE9431645EC}">
                        <a14:shadowObscured xmlns:a14="http://schemas.microsoft.com/office/drawing/2010/main"/>
                      </a:ext>
                    </a:extLst>
                  </pic:spPr>
                </pic:pic>
              </a:graphicData>
            </a:graphic>
          </wp:inline>
        </w:drawing>
      </w:r>
    </w:p>
    <w:p w14:paraId="79CABBBF" w14:textId="77777777" w:rsidR="005B26EB" w:rsidRPr="00A539B6" w:rsidRDefault="005B26EB" w:rsidP="00B64796">
      <w:pPr>
        <w:pStyle w:val="IUCrfigurecaption"/>
        <w:jc w:val="both"/>
      </w:pPr>
      <w:r w:rsidRPr="00A539B6">
        <w:t>Crystal structure of Pr</w:t>
      </w:r>
      <w:r w:rsidRPr="00A539B6">
        <w:rPr>
          <w:vertAlign w:val="subscript"/>
        </w:rPr>
        <w:t>2</w:t>
      </w:r>
      <w:r w:rsidRPr="00A539B6">
        <w:t>NiO</w:t>
      </w:r>
      <w:r w:rsidRPr="00A539B6">
        <w:rPr>
          <w:vertAlign w:val="subscript"/>
        </w:rPr>
        <w:t>4+</w:t>
      </w:r>
      <w:r w:rsidRPr="00A539B6">
        <w:rPr>
          <w:rFonts w:ascii="Symbol" w:hAnsi="Symbol"/>
          <w:vertAlign w:val="subscript"/>
        </w:rPr>
        <w:t></w:t>
      </w:r>
      <w:r w:rsidRPr="00A539B6">
        <w:t xml:space="preserve"> in the tetrahedral symmetry </w:t>
      </w:r>
      <w:r w:rsidRPr="00A539B6">
        <w:rPr>
          <w:i/>
        </w:rPr>
        <w:t>I4/mmm</w:t>
      </w:r>
      <w:r w:rsidRPr="00A539B6">
        <w:t xml:space="preserve">, with alternating perovskite and rock salt layers. </w:t>
      </w:r>
      <w:r w:rsidRPr="00A539B6">
        <w:rPr>
          <w:i/>
          <w:iCs/>
        </w:rPr>
        <w:t>Ni</w:t>
      </w:r>
      <w:r w:rsidRPr="00A539B6">
        <w:rPr>
          <w:i/>
        </w:rPr>
        <w:t>O</w:t>
      </w:r>
      <w:r w:rsidRPr="00A539B6">
        <w:rPr>
          <w:i/>
          <w:vertAlign w:val="subscript"/>
        </w:rPr>
        <w:t>6</w:t>
      </w:r>
      <w:r w:rsidRPr="00A539B6">
        <w:t xml:space="preserve"> octahedra (blue </w:t>
      </w:r>
      <w:proofErr w:type="spellStart"/>
      <w:r w:rsidRPr="00A539B6">
        <w:t>polyhedra</w:t>
      </w:r>
      <w:proofErr w:type="spellEnd"/>
      <w:r w:rsidRPr="00A539B6">
        <w:t xml:space="preserve">), </w:t>
      </w:r>
      <w:proofErr w:type="spellStart"/>
      <w:r w:rsidRPr="00A539B6">
        <w:rPr>
          <w:i/>
          <w:iCs/>
        </w:rPr>
        <w:t>Pr</w:t>
      </w:r>
      <w:proofErr w:type="spellEnd"/>
      <w:r w:rsidRPr="00A539B6">
        <w:t xml:space="preserve"> cations (grey spheres), and </w:t>
      </w:r>
      <w:r w:rsidRPr="00A539B6">
        <w:rPr>
          <w:i/>
        </w:rPr>
        <w:t>O</w:t>
      </w:r>
      <w:r w:rsidRPr="00A539B6">
        <w:t xml:space="preserve"> anions (red spheres) as well as the interstitial (</w:t>
      </w:r>
      <w:proofErr w:type="spellStart"/>
      <w:r w:rsidRPr="00A539B6">
        <w:rPr>
          <w:i/>
        </w:rPr>
        <w:t>O</w:t>
      </w:r>
      <w:r w:rsidRPr="00A539B6">
        <w:rPr>
          <w:i/>
          <w:vertAlign w:val="subscript"/>
        </w:rPr>
        <w:t>interstitial</w:t>
      </w:r>
      <w:proofErr w:type="spellEnd"/>
      <w:r w:rsidRPr="00A539B6">
        <w:t>), the apical (</w:t>
      </w:r>
      <w:proofErr w:type="spellStart"/>
      <w:r w:rsidRPr="00A539B6">
        <w:rPr>
          <w:i/>
        </w:rPr>
        <w:t>O</w:t>
      </w:r>
      <w:r w:rsidRPr="00A539B6">
        <w:rPr>
          <w:i/>
          <w:vertAlign w:val="subscript"/>
        </w:rPr>
        <w:t>apical</w:t>
      </w:r>
      <w:proofErr w:type="spellEnd"/>
      <w:r w:rsidRPr="00A539B6">
        <w:t>) and the equatorial (</w:t>
      </w:r>
      <w:proofErr w:type="spellStart"/>
      <w:r w:rsidRPr="00A539B6">
        <w:rPr>
          <w:i/>
        </w:rPr>
        <w:t>O</w:t>
      </w:r>
      <w:r w:rsidRPr="00A539B6">
        <w:rPr>
          <w:i/>
          <w:vertAlign w:val="subscript"/>
        </w:rPr>
        <w:t>equatorial</w:t>
      </w:r>
      <w:proofErr w:type="spellEnd"/>
      <w:r w:rsidRPr="00A539B6">
        <w:t>) oxygens, are also shown.</w:t>
      </w:r>
    </w:p>
    <w:p w14:paraId="71918A3E" w14:textId="77777777" w:rsidR="005B26EB" w:rsidRPr="00A539B6" w:rsidRDefault="005B26EB" w:rsidP="000D1973">
      <w:pPr>
        <w:pStyle w:val="IUCrbodytext"/>
      </w:pPr>
    </w:p>
    <w:p w14:paraId="7771501A" w14:textId="77777777" w:rsidR="005B26EB" w:rsidRPr="00A539B6" w:rsidRDefault="005B26EB" w:rsidP="00F506E3">
      <w:pPr>
        <w:pStyle w:val="IUCrbodytext"/>
        <w:jc w:val="both"/>
      </w:pPr>
      <w:r w:rsidRPr="00A539B6">
        <w:rPr>
          <w:lang w:eastAsia="zh-CN"/>
        </w:rPr>
        <w:t xml:space="preserve">The non-stoichiometric region has been found to be 0 &lt; </w:t>
      </w:r>
      <w:r w:rsidRPr="00A539B6">
        <w:rPr>
          <w:rFonts w:ascii="Symbol" w:hAnsi="Symbol"/>
          <w:lang w:eastAsia="zh-CN"/>
        </w:rPr>
        <w:t></w:t>
      </w:r>
      <w:r w:rsidRPr="00A539B6">
        <w:rPr>
          <w:lang w:eastAsia="zh-CN"/>
        </w:rPr>
        <w:t xml:space="preserve"> &lt; 0.25, showing a rich and complex phase diagram as a function of the oxygen content </w:t>
      </w:r>
      <w:r w:rsidRPr="00A539B6">
        <w:rPr>
          <w:noProof/>
          <w:lang w:eastAsia="zh-CN"/>
        </w:rPr>
        <w:t>(Sullivan</w:t>
      </w:r>
      <w:r w:rsidRPr="00A539B6">
        <w:rPr>
          <w:i/>
          <w:noProof/>
          <w:lang w:eastAsia="zh-CN"/>
        </w:rPr>
        <w:t xml:space="preserve"> et al.</w:t>
      </w:r>
      <w:r w:rsidRPr="00A539B6">
        <w:rPr>
          <w:noProof/>
          <w:lang w:eastAsia="zh-CN"/>
        </w:rPr>
        <w:t>, 1991, Fernández-Díaz</w:t>
      </w:r>
      <w:r w:rsidRPr="00A539B6">
        <w:rPr>
          <w:i/>
          <w:noProof/>
          <w:lang w:eastAsia="zh-CN"/>
        </w:rPr>
        <w:t xml:space="preserve"> et al.</w:t>
      </w:r>
      <w:r w:rsidRPr="00A539B6">
        <w:rPr>
          <w:noProof/>
          <w:lang w:eastAsia="zh-CN"/>
        </w:rPr>
        <w:t>, 1991, Fernández-Díaz</w:t>
      </w:r>
      <w:r w:rsidRPr="00A539B6">
        <w:rPr>
          <w:i/>
          <w:noProof/>
          <w:lang w:eastAsia="zh-CN"/>
        </w:rPr>
        <w:t xml:space="preserve"> et al.</w:t>
      </w:r>
      <w:r w:rsidRPr="00A539B6">
        <w:rPr>
          <w:noProof/>
          <w:lang w:eastAsia="zh-CN"/>
        </w:rPr>
        <w:t>, 1993, Ceretti</w:t>
      </w:r>
      <w:r w:rsidRPr="00A539B6">
        <w:rPr>
          <w:i/>
          <w:noProof/>
          <w:lang w:eastAsia="zh-CN"/>
        </w:rPr>
        <w:t xml:space="preserve"> et al.</w:t>
      </w:r>
      <w:r w:rsidRPr="00A539B6">
        <w:rPr>
          <w:noProof/>
          <w:lang w:eastAsia="zh-CN"/>
        </w:rPr>
        <w:t>, 2018)</w:t>
      </w:r>
      <w:r w:rsidRPr="00A539B6">
        <w:t xml:space="preserve">. </w:t>
      </w:r>
      <w:r w:rsidRPr="00A539B6">
        <w:rPr>
          <w:lang w:val="en-US" w:eastAsia="zh-CN"/>
        </w:rPr>
        <w:t>Stoichiometric Pr</w:t>
      </w:r>
      <w:r w:rsidRPr="00A539B6">
        <w:rPr>
          <w:vertAlign w:val="subscript"/>
          <w:lang w:val="en-US" w:eastAsia="zh-CN"/>
        </w:rPr>
        <w:t>2</w:t>
      </w:r>
      <w:r w:rsidRPr="00A539B6">
        <w:rPr>
          <w:lang w:val="en-US" w:eastAsia="zh-CN"/>
        </w:rPr>
        <w:t>NiO</w:t>
      </w:r>
      <w:r w:rsidRPr="00A539B6">
        <w:rPr>
          <w:vertAlign w:val="subscript"/>
          <w:lang w:val="en-US" w:eastAsia="zh-CN"/>
        </w:rPr>
        <w:t>4.00</w:t>
      </w:r>
      <w:r w:rsidRPr="00A539B6">
        <w:rPr>
          <w:lang w:val="en-US" w:eastAsia="zh-CN"/>
        </w:rPr>
        <w:t xml:space="preserve"> shows at ambient temperature the LTO (Low Temperature Orthorhombic) structure type (space group </w:t>
      </w:r>
      <w:proofErr w:type="spellStart"/>
      <w:r w:rsidRPr="00A539B6">
        <w:rPr>
          <w:i/>
          <w:iCs/>
          <w:lang w:val="en-US" w:eastAsia="zh-CN"/>
        </w:rPr>
        <w:t>Bmeb</w:t>
      </w:r>
      <w:proofErr w:type="spellEnd"/>
      <w:r w:rsidRPr="00A539B6">
        <w:rPr>
          <w:lang w:val="en-US" w:eastAsia="zh-CN"/>
        </w:rPr>
        <w:t xml:space="preserve">), with a 3D </w:t>
      </w:r>
      <w:r w:rsidRPr="00A539B6">
        <w:rPr>
          <w:lang w:val="en-US" w:eastAsia="zh-CN"/>
        </w:rPr>
        <w:lastRenderedPageBreak/>
        <w:t>ordered tilting scheme of the NiO</w:t>
      </w:r>
      <w:r w:rsidRPr="00A539B6">
        <w:rPr>
          <w:vertAlign w:val="subscript"/>
          <w:lang w:val="en-US" w:eastAsia="zh-CN"/>
        </w:rPr>
        <w:t>6</w:t>
      </w:r>
      <w:r w:rsidRPr="00A539B6">
        <w:rPr>
          <w:lang w:val="en-US" w:eastAsia="zh-CN"/>
        </w:rPr>
        <w:t xml:space="preserve"> octahedra, </w:t>
      </w:r>
      <w:r w:rsidRPr="00A539B6">
        <w:rPr>
          <w:szCs w:val="22"/>
        </w:rPr>
        <w:t xml:space="preserve">while at high temperatures its symmetry is tetragonal </w:t>
      </w:r>
      <w:r w:rsidRPr="00A539B6">
        <w:rPr>
          <w:i/>
          <w:szCs w:val="22"/>
        </w:rPr>
        <w:t>I4/mmm</w:t>
      </w:r>
      <w:r w:rsidRPr="00A539B6">
        <w:rPr>
          <w:szCs w:val="22"/>
        </w:rPr>
        <w:t xml:space="preserve"> (High Temperature Tetragonal, HTT-phase). At room temperature the symmetry of oxygen doped Pr</w:t>
      </w:r>
      <w:r w:rsidRPr="00A539B6">
        <w:rPr>
          <w:szCs w:val="22"/>
          <w:vertAlign w:val="subscript"/>
        </w:rPr>
        <w:t>2</w:t>
      </w:r>
      <w:r w:rsidRPr="00A539B6">
        <w:rPr>
          <w:szCs w:val="22"/>
        </w:rPr>
        <w:t>NiO</w:t>
      </w:r>
      <w:r w:rsidRPr="00A539B6">
        <w:rPr>
          <w:szCs w:val="22"/>
          <w:vertAlign w:val="subscript"/>
        </w:rPr>
        <w:t>4+</w:t>
      </w:r>
      <w:r w:rsidRPr="00A539B6">
        <w:rPr>
          <w:szCs w:val="22"/>
          <w:vertAlign w:val="subscript"/>
        </w:rPr>
        <w:sym w:font="Symbol" w:char="F064"/>
      </w:r>
      <w:r w:rsidRPr="00A539B6">
        <w:rPr>
          <w:szCs w:val="22"/>
        </w:rPr>
        <w:t xml:space="preserve"> , with </w:t>
      </w:r>
      <w:r w:rsidRPr="00A539B6">
        <w:rPr>
          <w:szCs w:val="22"/>
        </w:rPr>
        <w:sym w:font="Symbol" w:char="F064"/>
      </w:r>
      <w:r w:rsidRPr="00A539B6">
        <w:rPr>
          <w:szCs w:val="22"/>
        </w:rPr>
        <w:t xml:space="preserve"> &gt; 0.22, is monoclinic (</w:t>
      </w:r>
      <w:r w:rsidRPr="00A539B6">
        <w:rPr>
          <w:iCs/>
          <w:lang w:val="en-US" w:eastAsia="zh-CN"/>
        </w:rPr>
        <w:t>space group</w:t>
      </w:r>
      <w:r w:rsidRPr="00A539B6">
        <w:rPr>
          <w:i/>
          <w:iCs/>
          <w:lang w:val="en-US" w:eastAsia="zh-CN"/>
        </w:rPr>
        <w:t xml:space="preserve"> F112/m)</w:t>
      </w:r>
      <w:r w:rsidRPr="00A539B6">
        <w:rPr>
          <w:szCs w:val="22"/>
          <w:lang w:val="en-US"/>
        </w:rPr>
        <w:t>,</w:t>
      </w:r>
      <w:r w:rsidRPr="00A539B6">
        <w:rPr>
          <w:szCs w:val="22"/>
        </w:rPr>
        <w:t xml:space="preserve"> the monoclinic angle 90.03° deviates, however, only slightly from 90° of the orthorhombic framework</w:t>
      </w:r>
      <w:r w:rsidRPr="00A539B6">
        <w:t xml:space="preserve"> </w:t>
      </w:r>
      <w:r w:rsidRPr="00A539B6">
        <w:rPr>
          <w:noProof/>
        </w:rPr>
        <w:t>(Ceretti</w:t>
      </w:r>
      <w:r w:rsidRPr="00A539B6">
        <w:rPr>
          <w:i/>
          <w:noProof/>
        </w:rPr>
        <w:t xml:space="preserve"> et al.</w:t>
      </w:r>
      <w:r w:rsidRPr="00A539B6">
        <w:rPr>
          <w:noProof/>
        </w:rPr>
        <w:t>, 2015)</w:t>
      </w:r>
      <w:r w:rsidRPr="00A539B6">
        <w:t>.</w:t>
      </w:r>
    </w:p>
    <w:p w14:paraId="511ADEB8" w14:textId="77777777" w:rsidR="005B26EB" w:rsidRPr="00A539B6" w:rsidRDefault="005B26EB" w:rsidP="003C0DBB">
      <w:pPr>
        <w:pStyle w:val="IUCrbodytext"/>
        <w:jc w:val="both"/>
      </w:pPr>
      <w:r w:rsidRPr="00A539B6">
        <w:rPr>
          <w:lang w:val="en-US" w:eastAsia="zh-CN"/>
        </w:rPr>
        <w:t>Oxygen electrochemical intercalation into stoichiometric Pr</w:t>
      </w:r>
      <w:r w:rsidRPr="00A539B6">
        <w:rPr>
          <w:vertAlign w:val="subscript"/>
          <w:lang w:val="en-US" w:eastAsia="zh-CN"/>
        </w:rPr>
        <w:t>2</w:t>
      </w:r>
      <w:r w:rsidRPr="00A539B6">
        <w:rPr>
          <w:lang w:val="en-US" w:eastAsia="zh-CN"/>
        </w:rPr>
        <w:t>NiO</w:t>
      </w:r>
      <w:r w:rsidRPr="00A539B6">
        <w:rPr>
          <w:vertAlign w:val="subscript"/>
          <w:lang w:val="en-US" w:eastAsia="zh-CN"/>
        </w:rPr>
        <w:t>4.0</w:t>
      </w:r>
      <w:r w:rsidRPr="00A539B6">
        <w:rPr>
          <w:lang w:val="en-US" w:eastAsia="zh-CN"/>
        </w:rPr>
        <w:t xml:space="preserve"> yields then the formation of a </w:t>
      </w:r>
      <w:r w:rsidRPr="00A539B6">
        <w:rPr>
          <w:lang w:eastAsia="zh-CN"/>
        </w:rPr>
        <w:t xml:space="preserve">non-stoichiometric tetragonal phase with 0.08 &lt; </w:t>
      </w:r>
      <w:r w:rsidRPr="00A539B6">
        <w:rPr>
          <w:rFonts w:ascii="Symbol" w:hAnsi="Symbol"/>
          <w:lang w:eastAsia="zh-CN"/>
        </w:rPr>
        <w:t></w:t>
      </w:r>
      <w:r w:rsidRPr="00A539B6">
        <w:rPr>
          <w:lang w:eastAsia="zh-CN"/>
        </w:rPr>
        <w:t xml:space="preserve"> &lt; 0.13, (space group </w:t>
      </w:r>
      <w:r w:rsidRPr="00A539B6">
        <w:rPr>
          <w:i/>
          <w:lang w:eastAsia="zh-CN"/>
        </w:rPr>
        <w:t>P4</w:t>
      </w:r>
      <w:r w:rsidRPr="00A539B6">
        <w:rPr>
          <w:i/>
          <w:vertAlign w:val="subscript"/>
          <w:lang w:eastAsia="zh-CN"/>
        </w:rPr>
        <w:t>2</w:t>
      </w:r>
      <w:r w:rsidRPr="00A539B6">
        <w:rPr>
          <w:i/>
          <w:lang w:eastAsia="zh-CN"/>
        </w:rPr>
        <w:t>/</w:t>
      </w:r>
      <w:proofErr w:type="spellStart"/>
      <w:r w:rsidRPr="00A539B6">
        <w:rPr>
          <w:i/>
          <w:lang w:eastAsia="zh-CN"/>
        </w:rPr>
        <w:t>ncm</w:t>
      </w:r>
      <w:proofErr w:type="spellEnd"/>
      <w:r w:rsidRPr="00A539B6">
        <w:rPr>
          <w:lang w:eastAsia="zh-CN"/>
        </w:rPr>
        <w:t xml:space="preserve">), while for </w:t>
      </w:r>
      <w:r w:rsidRPr="00A539B6">
        <w:rPr>
          <w:lang w:val="en-US" w:eastAsia="zh-CN"/>
        </w:rPr>
        <w:t>higher interstitial oxygen concentrations (</w:t>
      </w:r>
      <w:r w:rsidRPr="00A539B6">
        <w:rPr>
          <w:rFonts w:ascii="Symbol" w:hAnsi="Symbol"/>
          <w:lang w:val="en-US" w:eastAsia="zh-CN"/>
        </w:rPr>
        <w:t></w:t>
      </w:r>
      <w:r w:rsidRPr="00A539B6">
        <w:rPr>
          <w:lang w:val="en-US" w:eastAsia="zh-CN"/>
        </w:rPr>
        <w:t xml:space="preserve"> = 0.18-0.25) the symmetry lowers again to orthorhombic or monoclinic</w:t>
      </w:r>
      <w:r w:rsidRPr="00A539B6">
        <w:rPr>
          <w:i/>
          <w:iCs/>
          <w:lang w:val="en-US" w:eastAsia="zh-CN"/>
        </w:rPr>
        <w:t xml:space="preserve">, </w:t>
      </w:r>
      <w:r w:rsidRPr="00A539B6">
        <w:rPr>
          <w:iCs/>
          <w:lang w:val="en-US" w:eastAsia="zh-CN"/>
        </w:rPr>
        <w:t xml:space="preserve">showing complex oxygen ordering adapting a modulated structure </w:t>
      </w:r>
      <w:r w:rsidRPr="00A539B6">
        <w:rPr>
          <w:iCs/>
          <w:noProof/>
          <w:lang w:val="en-US" w:eastAsia="zh-CN"/>
        </w:rPr>
        <w:t>(Dutta</w:t>
      </w:r>
      <w:r w:rsidRPr="00A539B6">
        <w:rPr>
          <w:i/>
          <w:iCs/>
          <w:noProof/>
          <w:lang w:val="en-US" w:eastAsia="zh-CN"/>
        </w:rPr>
        <w:t xml:space="preserve"> et al.</w:t>
      </w:r>
      <w:r w:rsidRPr="00A539B6">
        <w:rPr>
          <w:iCs/>
          <w:noProof/>
          <w:lang w:val="en-US" w:eastAsia="zh-CN"/>
        </w:rPr>
        <w:t>, 2020)</w:t>
      </w:r>
      <w:r w:rsidRPr="00A539B6">
        <w:rPr>
          <w:iCs/>
          <w:lang w:val="en-US" w:eastAsia="zh-CN"/>
        </w:rPr>
        <w:t xml:space="preserve">. Upon heating in air </w:t>
      </w:r>
      <w:r w:rsidRPr="00A539B6">
        <w:t>Pr</w:t>
      </w:r>
      <w:r w:rsidRPr="00A539B6">
        <w:rPr>
          <w:vertAlign w:val="subscript"/>
        </w:rPr>
        <w:t>2</w:t>
      </w:r>
      <w:r w:rsidRPr="00A539B6">
        <w:t>NiO</w:t>
      </w:r>
      <w:r w:rsidRPr="00A539B6">
        <w:rPr>
          <w:vertAlign w:val="subscript"/>
        </w:rPr>
        <w:t>4+</w:t>
      </w:r>
      <w:r w:rsidRPr="00A539B6">
        <w:rPr>
          <w:vertAlign w:val="subscript"/>
        </w:rPr>
        <w:sym w:font="Symbol" w:char="F064"/>
      </w:r>
      <w:r w:rsidRPr="00A539B6">
        <w:t xml:space="preserve"> (δ </w:t>
      </w:r>
      <w:r w:rsidRPr="00A539B6">
        <w:sym w:font="Symbol" w:char="F0BB"/>
      </w:r>
      <w:r w:rsidRPr="00A539B6">
        <w:t xml:space="preserve"> 0.23) undergoes a monoclinic/tetragonal phase transition at around 365°C (space group </w:t>
      </w:r>
      <w:r w:rsidRPr="00A539B6">
        <w:rPr>
          <w:i/>
          <w:iCs/>
        </w:rPr>
        <w:t>F4/mmm</w:t>
      </w:r>
      <w:r w:rsidRPr="00A539B6">
        <w:t xml:space="preserve">), while the oxygen stoichiometry slightly increases towards δ </w:t>
      </w:r>
      <w:r w:rsidRPr="00A539B6">
        <w:sym w:font="Symbol" w:char="F0BB"/>
      </w:r>
      <w:r w:rsidRPr="00A539B6">
        <w:t xml:space="preserve"> 0.25. High temperature oxygen diffusion in Pr</w:t>
      </w:r>
      <w:r w:rsidRPr="00A539B6">
        <w:rPr>
          <w:vertAlign w:val="subscript"/>
        </w:rPr>
        <w:t>2</w:t>
      </w:r>
      <w:r w:rsidRPr="00A539B6">
        <w:t>NiO</w:t>
      </w:r>
      <w:r w:rsidRPr="00A539B6">
        <w:rPr>
          <w:vertAlign w:val="subscript"/>
        </w:rPr>
        <w:t>4+</w:t>
      </w:r>
      <w:r w:rsidRPr="00A539B6">
        <w:rPr>
          <w:vertAlign w:val="subscript"/>
        </w:rPr>
        <w:sym w:font="Symbol" w:char="F064"/>
      </w:r>
      <w:r w:rsidRPr="00A539B6">
        <w:t xml:space="preserve"> </w:t>
      </w:r>
      <w:proofErr w:type="gramStart"/>
      <w:r w:rsidRPr="00656E7A">
        <w:rPr>
          <w:i/>
        </w:rPr>
        <w:t>has</w:t>
      </w:r>
      <w:r w:rsidRPr="00A539B6">
        <w:t xml:space="preserve"> been reported</w:t>
      </w:r>
      <w:proofErr w:type="gramEnd"/>
      <w:r w:rsidRPr="00A539B6">
        <w:t xml:space="preserve"> to proceed via a push pull mechanism between apical and interstitial oxygen atoms with a diffusion pathway along the [110] direction of the corresponding HTT phase in </w:t>
      </w:r>
      <w:r w:rsidRPr="00A539B6">
        <w:rPr>
          <w:i/>
          <w:iCs/>
        </w:rPr>
        <w:t>F4/mmm</w:t>
      </w:r>
      <w:r>
        <w:rPr>
          <w:i/>
          <w:iCs/>
        </w:rPr>
        <w:t xml:space="preserve"> </w:t>
      </w:r>
      <w:r>
        <w:rPr>
          <w:i/>
          <w:iCs/>
          <w:noProof/>
        </w:rPr>
        <w:t>(</w:t>
      </w:r>
      <w:r w:rsidRPr="00656E7A">
        <w:rPr>
          <w:iCs/>
          <w:noProof/>
        </w:rPr>
        <w:t>Yashima</w:t>
      </w:r>
      <w:r>
        <w:rPr>
          <w:i/>
          <w:iCs/>
          <w:noProof/>
        </w:rPr>
        <w:t xml:space="preserve"> et al., </w:t>
      </w:r>
      <w:r w:rsidRPr="00656E7A">
        <w:rPr>
          <w:iCs/>
          <w:noProof/>
        </w:rPr>
        <w:t>2008</w:t>
      </w:r>
      <w:r>
        <w:rPr>
          <w:i/>
          <w:iCs/>
          <w:noProof/>
        </w:rPr>
        <w:t xml:space="preserve">, </w:t>
      </w:r>
      <w:r w:rsidRPr="00656E7A">
        <w:rPr>
          <w:iCs/>
          <w:noProof/>
        </w:rPr>
        <w:t>Parfitt</w:t>
      </w:r>
      <w:r>
        <w:rPr>
          <w:i/>
          <w:iCs/>
          <w:noProof/>
        </w:rPr>
        <w:t xml:space="preserve"> et al., </w:t>
      </w:r>
      <w:r w:rsidRPr="00656E7A">
        <w:rPr>
          <w:iCs/>
          <w:noProof/>
        </w:rPr>
        <w:t>2010</w:t>
      </w:r>
      <w:r>
        <w:rPr>
          <w:i/>
          <w:iCs/>
          <w:noProof/>
        </w:rPr>
        <w:t>)</w:t>
      </w:r>
      <w:r w:rsidRPr="00A539B6">
        <w:t>. Further single crystal neutron diffraction studies on Pr</w:t>
      </w:r>
      <w:r w:rsidRPr="00A539B6">
        <w:rPr>
          <w:vertAlign w:val="subscript"/>
        </w:rPr>
        <w:t>2</w:t>
      </w:r>
      <w:r w:rsidRPr="00A539B6">
        <w:t>NiO</w:t>
      </w:r>
      <w:r w:rsidRPr="00A539B6">
        <w:rPr>
          <w:vertAlign w:val="subscript"/>
        </w:rPr>
        <w:t>4.25</w:t>
      </w:r>
      <w:r w:rsidRPr="00A539B6">
        <w:t xml:space="preserve"> have evidenced a partially established overlap of the scattering density between apical and interstitial oxygen atoms already at 400°C </w:t>
      </w:r>
      <w:r w:rsidRPr="00A539B6">
        <w:rPr>
          <w:noProof/>
        </w:rPr>
        <w:t>(Ceretti</w:t>
      </w:r>
      <w:r w:rsidRPr="00A539B6">
        <w:rPr>
          <w:i/>
          <w:noProof/>
        </w:rPr>
        <w:t xml:space="preserve"> et al.</w:t>
      </w:r>
      <w:r w:rsidRPr="00A539B6">
        <w:rPr>
          <w:noProof/>
        </w:rPr>
        <w:t>, 2015)</w:t>
      </w:r>
      <w:r w:rsidRPr="00A539B6">
        <w:t xml:space="preserve">. </w:t>
      </w:r>
      <w:r w:rsidRPr="00A539B6">
        <w:rPr>
          <w:rStyle w:val="jlqj4b"/>
          <w:lang w:val="en"/>
        </w:rPr>
        <w:t>This was indeed a surprising result which suggested that upon further heating, the anharmonic behavior further increases and progresses towards a complete overlap between the apical and interstitial oxygen atoms, as was reported experimentally and theoretically for RP-phases i</w:t>
      </w:r>
      <w:r w:rsidRPr="007928C6">
        <w:rPr>
          <w:rStyle w:val="jlqj4b"/>
          <w:lang w:val="en"/>
        </w:rPr>
        <w:t xml:space="preserve">n </w:t>
      </w:r>
      <w:r>
        <w:rPr>
          <w:i/>
          <w:iCs/>
          <w:noProof/>
        </w:rPr>
        <w:t>(</w:t>
      </w:r>
      <w:r w:rsidRPr="00656E7A">
        <w:rPr>
          <w:iCs/>
          <w:noProof/>
        </w:rPr>
        <w:t xml:space="preserve">Yashima </w:t>
      </w:r>
      <w:r>
        <w:rPr>
          <w:i/>
          <w:iCs/>
          <w:noProof/>
        </w:rPr>
        <w:t xml:space="preserve">et al., </w:t>
      </w:r>
      <w:r w:rsidRPr="00656E7A">
        <w:rPr>
          <w:iCs/>
          <w:noProof/>
        </w:rPr>
        <w:t>2008</w:t>
      </w:r>
      <w:r>
        <w:rPr>
          <w:i/>
          <w:iCs/>
          <w:noProof/>
        </w:rPr>
        <w:t>,</w:t>
      </w:r>
      <w:r w:rsidRPr="00656E7A">
        <w:rPr>
          <w:iCs/>
          <w:noProof/>
        </w:rPr>
        <w:t xml:space="preserve"> Parfitt</w:t>
      </w:r>
      <w:r>
        <w:rPr>
          <w:i/>
          <w:iCs/>
          <w:noProof/>
        </w:rPr>
        <w:t xml:space="preserve"> et al., </w:t>
      </w:r>
      <w:r w:rsidRPr="00656E7A">
        <w:rPr>
          <w:iCs/>
          <w:noProof/>
        </w:rPr>
        <w:t>2010</w:t>
      </w:r>
      <w:r>
        <w:rPr>
          <w:i/>
          <w:iCs/>
          <w:noProof/>
        </w:rPr>
        <w:t>)</w:t>
      </w:r>
      <w:r w:rsidRPr="00A539B6">
        <w:t>.. Therefore, the scientific case of Pr</w:t>
      </w:r>
      <w:r w:rsidRPr="00A539B6">
        <w:rPr>
          <w:vertAlign w:val="subscript"/>
        </w:rPr>
        <w:t>2</w:t>
      </w:r>
      <w:r w:rsidRPr="00A539B6">
        <w:t>NiO</w:t>
      </w:r>
      <w:r w:rsidRPr="00A539B6">
        <w:rPr>
          <w:vertAlign w:val="subscript"/>
        </w:rPr>
        <w:t>4+</w:t>
      </w:r>
      <w:r w:rsidRPr="00A539B6">
        <w:rPr>
          <w:vertAlign w:val="subscript"/>
        </w:rPr>
        <w:sym w:font="Symbol" w:char="F064"/>
      </w:r>
      <w:r w:rsidRPr="00A539B6">
        <w:t xml:space="preserve"> presents the ideal test case for the as modified furnace presented above, in order to follow structural changes as a function of temperature and oxygen stoichiometry. Thereby the oxygen stoichiometry is adjusted by the combination of temperature and oxygen partial pressure, allowing </w:t>
      </w:r>
      <w:proofErr w:type="gramStart"/>
      <w:r w:rsidRPr="00A539B6">
        <w:t>to investigate</w:t>
      </w:r>
      <w:proofErr w:type="gramEnd"/>
      <w:r w:rsidRPr="00A539B6">
        <w:t xml:space="preserve"> its phase diagram under </w:t>
      </w:r>
      <w:r w:rsidRPr="00A539B6">
        <w:rPr>
          <w:i/>
          <w:iCs/>
        </w:rPr>
        <w:t>in situ</w:t>
      </w:r>
      <w:r w:rsidRPr="00A539B6">
        <w:t xml:space="preserve"> conditions.</w:t>
      </w:r>
    </w:p>
    <w:p w14:paraId="0EDF1AA1" w14:textId="77777777" w:rsidR="005B26EB" w:rsidRDefault="005B26EB" w:rsidP="00A10246">
      <w:pPr>
        <w:pStyle w:val="IUCrbodytext"/>
        <w:jc w:val="both"/>
      </w:pPr>
      <w:r w:rsidRPr="00A539B6">
        <w:t xml:space="preserve">In this context, high quality PNO single crystals </w:t>
      </w:r>
      <w:proofErr w:type="gramStart"/>
      <w:r w:rsidRPr="00A539B6">
        <w:t>were investigated</w:t>
      </w:r>
      <w:proofErr w:type="gramEnd"/>
      <w:r w:rsidRPr="00A539B6">
        <w:t xml:space="preserve"> on HEiDi with the new device at 900°C in oxygen and secondary vacuum atmosphere, in order to compare to the results previously obtained at room temperature and 400°C </w:t>
      </w:r>
      <w:r w:rsidRPr="00A539B6">
        <w:rPr>
          <w:noProof/>
        </w:rPr>
        <w:t>(</w:t>
      </w:r>
      <w:hyperlink w:anchor="_ENREF_5" w:tooltip="Ceretti, 2015 #8" w:history="1">
        <w:r w:rsidRPr="00A539B6">
          <w:rPr>
            <w:noProof/>
          </w:rPr>
          <w:t>Ceretti</w:t>
        </w:r>
        <w:r w:rsidRPr="00A539B6">
          <w:rPr>
            <w:i/>
            <w:noProof/>
          </w:rPr>
          <w:t xml:space="preserve"> et al.</w:t>
        </w:r>
        <w:r w:rsidRPr="00A539B6">
          <w:rPr>
            <w:noProof/>
          </w:rPr>
          <w:t>, 2015</w:t>
        </w:r>
      </w:hyperlink>
      <w:r w:rsidRPr="00A539B6">
        <w:rPr>
          <w:noProof/>
        </w:rPr>
        <w:t>)</w:t>
      </w:r>
      <w:r w:rsidRPr="00A539B6">
        <w:t xml:space="preserve">. Crystal growth by travelling solvent zone method </w:t>
      </w:r>
      <w:proofErr w:type="gramStart"/>
      <w:r w:rsidRPr="00A539B6">
        <w:t>is described</w:t>
      </w:r>
      <w:proofErr w:type="gramEnd"/>
      <w:r w:rsidRPr="00A539B6">
        <w:t xml:space="preserve"> in </w:t>
      </w:r>
      <w:r w:rsidRPr="00A539B6">
        <w:rPr>
          <w:noProof/>
        </w:rPr>
        <w:t>(Wahyudi</w:t>
      </w:r>
      <w:r w:rsidRPr="00A539B6">
        <w:rPr>
          <w:i/>
          <w:noProof/>
        </w:rPr>
        <w:t xml:space="preserve"> et al.</w:t>
      </w:r>
      <w:r w:rsidRPr="00A539B6">
        <w:rPr>
          <w:noProof/>
        </w:rPr>
        <w:t>, 2015)</w:t>
      </w:r>
      <w:r w:rsidRPr="00A539B6">
        <w:t>.</w:t>
      </w:r>
      <w:r w:rsidRPr="00A539B6">
        <w:rPr>
          <w:lang w:val="en"/>
        </w:rPr>
        <w:t xml:space="preserve"> For sake of comparison, data collection as well as data analysis, revealing nuclear density maps at different structural projections, </w:t>
      </w:r>
      <w:proofErr w:type="gramStart"/>
      <w:r w:rsidRPr="00A539B6">
        <w:rPr>
          <w:lang w:val="en"/>
        </w:rPr>
        <w:t>were performed</w:t>
      </w:r>
      <w:proofErr w:type="gramEnd"/>
      <w:r w:rsidRPr="00A539B6">
        <w:rPr>
          <w:lang w:val="en"/>
        </w:rPr>
        <w:t xml:space="preserve"> in the same way as reported in </w:t>
      </w:r>
      <w:r w:rsidRPr="00A539B6">
        <w:rPr>
          <w:noProof/>
        </w:rPr>
        <w:t>(Ceretti</w:t>
      </w:r>
      <w:r w:rsidRPr="00A539B6">
        <w:rPr>
          <w:i/>
          <w:noProof/>
        </w:rPr>
        <w:t xml:space="preserve"> et al.</w:t>
      </w:r>
      <w:r w:rsidRPr="00A539B6">
        <w:rPr>
          <w:noProof/>
        </w:rPr>
        <w:t>, 2015)</w:t>
      </w:r>
      <w:r w:rsidRPr="00A539B6">
        <w:t xml:space="preserve">. </w:t>
      </w:r>
      <w:r w:rsidR="001A6E88">
        <w:t xml:space="preserve"> </w:t>
      </w:r>
    </w:p>
    <w:p w14:paraId="5EF78683" w14:textId="00D7409D" w:rsidR="005B26EB" w:rsidRPr="00CF25DD" w:rsidRDefault="005B26EB" w:rsidP="00CF25DD">
      <w:pPr>
        <w:pStyle w:val="IUCrbodytext"/>
        <w:jc w:val="both"/>
        <w:rPr>
          <w:szCs w:val="22"/>
        </w:rPr>
      </w:pPr>
      <w:r w:rsidRPr="00A539B6">
        <w:rPr>
          <w:szCs w:val="22"/>
        </w:rPr>
        <w:t>Structure factors were collected by neutron diffraction up to high q-values, specifically up to sin</w:t>
      </w:r>
      <w:r w:rsidRPr="00A539B6">
        <w:rPr>
          <w:rFonts w:ascii="Symbol" w:hAnsi="Symbol"/>
          <w:szCs w:val="22"/>
        </w:rPr>
        <w:t></w:t>
      </w:r>
      <w:r w:rsidRPr="00A539B6">
        <w:rPr>
          <w:rFonts w:ascii="Symbol" w:hAnsi="Symbol"/>
          <w:szCs w:val="22"/>
        </w:rPr>
        <w:t></w:t>
      </w:r>
      <w:r w:rsidRPr="00A539B6">
        <w:rPr>
          <w:rFonts w:ascii="Symbol" w:hAnsi="Symbol"/>
          <w:szCs w:val="22"/>
        </w:rPr>
        <w:t></w:t>
      </w:r>
      <w:r w:rsidRPr="00A539B6">
        <w:rPr>
          <w:szCs w:val="22"/>
        </w:rPr>
        <w:t xml:space="preserve"> = 0.87 Å</w:t>
      </w:r>
      <w:r w:rsidRPr="00A539B6">
        <w:rPr>
          <w:szCs w:val="22"/>
          <w:vertAlign w:val="superscript"/>
        </w:rPr>
        <w:t>-1</w:t>
      </w:r>
      <w:r w:rsidRPr="00A539B6">
        <w:rPr>
          <w:szCs w:val="22"/>
        </w:rPr>
        <w:t xml:space="preserve"> using a single crystal with a size of about 2.5 </w:t>
      </w:r>
      <w:r w:rsidRPr="00A539B6">
        <w:rPr>
          <w:szCs w:val="22"/>
        </w:rPr>
        <w:sym w:font="Symbol" w:char="F0B4"/>
      </w:r>
      <w:r w:rsidRPr="00A539B6">
        <w:rPr>
          <w:szCs w:val="22"/>
        </w:rPr>
        <w:t xml:space="preserve"> 2.5 </w:t>
      </w:r>
      <w:r w:rsidRPr="00A539B6">
        <w:rPr>
          <w:szCs w:val="22"/>
        </w:rPr>
        <w:sym w:font="Symbol" w:char="F0B4"/>
      </w:r>
      <w:r w:rsidRPr="00A539B6">
        <w:rPr>
          <w:szCs w:val="22"/>
        </w:rPr>
        <w:t xml:space="preserve"> 2.5 mm</w:t>
      </w:r>
      <w:r w:rsidRPr="00A539B6">
        <w:rPr>
          <w:szCs w:val="22"/>
          <w:vertAlign w:val="superscript"/>
        </w:rPr>
        <w:t>3</w:t>
      </w:r>
      <w:r w:rsidRPr="00A539B6">
        <w:rPr>
          <w:i/>
          <w:szCs w:val="22"/>
        </w:rPr>
        <w:t xml:space="preserve">. </w:t>
      </w:r>
      <w:r w:rsidRPr="00A539B6">
        <w:rPr>
          <w:szCs w:val="22"/>
        </w:rPr>
        <w:t xml:space="preserve">No absorption correction </w:t>
      </w:r>
      <w:proofErr w:type="gramStart"/>
      <w:r w:rsidRPr="00A539B6">
        <w:rPr>
          <w:szCs w:val="22"/>
        </w:rPr>
        <w:t>was applied</w:t>
      </w:r>
      <w:proofErr w:type="gramEnd"/>
      <w:r w:rsidRPr="00A539B6">
        <w:rPr>
          <w:szCs w:val="22"/>
        </w:rPr>
        <w:t xml:space="preserve"> due to the negligible neutron absorption coefficients of the compound</w:t>
      </w:r>
      <w:bookmarkStart w:id="0" w:name="_Hlk63262368"/>
      <w:r w:rsidR="00CF25DD">
        <w:rPr>
          <w:szCs w:val="22"/>
        </w:rPr>
        <w:t xml:space="preserve">. </w:t>
      </w:r>
      <w:bookmarkEnd w:id="0"/>
      <w:r w:rsidRPr="00A539B6">
        <w:rPr>
          <w:szCs w:val="22"/>
        </w:rPr>
        <w:t xml:space="preserve">Refinements were </w:t>
      </w:r>
      <w:r w:rsidRPr="00A539B6">
        <w:t xml:space="preserve">carried using SHELXL </w:t>
      </w:r>
      <w:r w:rsidRPr="00A539B6">
        <w:rPr>
          <w:noProof/>
        </w:rPr>
        <w:t>(Sheldrick, 2015)</w:t>
      </w:r>
      <w:r w:rsidRPr="00A539B6">
        <w:t xml:space="preserve">, </w:t>
      </w:r>
      <w:r w:rsidRPr="00A539B6">
        <w:rPr>
          <w:szCs w:val="22"/>
        </w:rPr>
        <w:t xml:space="preserve">with anisotropic individual Debye-Waller displacement factors for all atoms, except for the interstitial oxygen atoms which was refined </w:t>
      </w:r>
      <w:proofErr w:type="spellStart"/>
      <w:r w:rsidRPr="00A539B6">
        <w:rPr>
          <w:szCs w:val="22"/>
        </w:rPr>
        <w:t>isotropically</w:t>
      </w:r>
      <w:proofErr w:type="spellEnd"/>
      <w:r w:rsidRPr="00A539B6">
        <w:rPr>
          <w:szCs w:val="22"/>
        </w:rPr>
        <w:t xml:space="preserve">, considering the weak occupation density. Isotropic extinction effects </w:t>
      </w:r>
      <w:proofErr w:type="gramStart"/>
      <w:r w:rsidRPr="00A539B6">
        <w:rPr>
          <w:szCs w:val="22"/>
        </w:rPr>
        <w:t>were corrected</w:t>
      </w:r>
      <w:proofErr w:type="gramEnd"/>
      <w:r w:rsidRPr="00A539B6">
        <w:rPr>
          <w:szCs w:val="22"/>
        </w:rPr>
        <w:t xml:space="preserve"> according to </w:t>
      </w:r>
      <w:r>
        <w:rPr>
          <w:szCs w:val="22"/>
        </w:rPr>
        <w:t>an empirical factor</w:t>
      </w:r>
      <w:r w:rsidRPr="00A539B6">
        <w:rPr>
          <w:szCs w:val="22"/>
        </w:rPr>
        <w:t xml:space="preserve">, as implemented in SHELXL. Occupations of </w:t>
      </w:r>
      <w:proofErr w:type="spellStart"/>
      <w:r w:rsidRPr="00A539B6">
        <w:rPr>
          <w:szCs w:val="22"/>
        </w:rPr>
        <w:t>Pr</w:t>
      </w:r>
      <w:proofErr w:type="spellEnd"/>
      <w:r w:rsidRPr="00A539B6">
        <w:rPr>
          <w:szCs w:val="22"/>
        </w:rPr>
        <w:t>, Ni and equatorial oxygen atoms (</w:t>
      </w:r>
      <w:proofErr w:type="spellStart"/>
      <w:r w:rsidRPr="00A539B6">
        <w:rPr>
          <w:szCs w:val="22"/>
        </w:rPr>
        <w:t>O</w:t>
      </w:r>
      <w:r w:rsidRPr="00A539B6">
        <w:rPr>
          <w:szCs w:val="22"/>
          <w:vertAlign w:val="subscript"/>
        </w:rPr>
        <w:t>eq</w:t>
      </w:r>
      <w:proofErr w:type="spellEnd"/>
      <w:r w:rsidRPr="00A539B6">
        <w:rPr>
          <w:szCs w:val="22"/>
        </w:rPr>
        <w:t xml:space="preserve">) </w:t>
      </w:r>
      <w:proofErr w:type="gramStart"/>
      <w:r w:rsidRPr="00A539B6">
        <w:rPr>
          <w:szCs w:val="22"/>
        </w:rPr>
        <w:t>were fixed</w:t>
      </w:r>
      <w:proofErr w:type="gramEnd"/>
      <w:r w:rsidRPr="00A539B6">
        <w:rPr>
          <w:szCs w:val="22"/>
        </w:rPr>
        <w:t xml:space="preserve"> to be </w:t>
      </w:r>
      <w:r w:rsidRPr="00A539B6">
        <w:rPr>
          <w:szCs w:val="22"/>
        </w:rPr>
        <w:lastRenderedPageBreak/>
        <w:t>stoichiometric, while apical and interstitial oxygen occupancies were refined unconstrained. The resulting phased structure factors (</w:t>
      </w:r>
      <w:r w:rsidRPr="00A539B6">
        <w:rPr>
          <w:i/>
          <w:szCs w:val="22"/>
        </w:rPr>
        <w:t>F</w:t>
      </w:r>
      <w:r w:rsidRPr="00A539B6">
        <w:rPr>
          <w:i/>
          <w:szCs w:val="22"/>
          <w:vertAlign w:val="subscript"/>
        </w:rPr>
        <w:t>obs</w:t>
      </w:r>
      <w:r w:rsidRPr="00A539B6">
        <w:rPr>
          <w:szCs w:val="22"/>
        </w:rPr>
        <w:t>)</w:t>
      </w:r>
      <w:r w:rsidRPr="00A539B6">
        <w:rPr>
          <w:i/>
          <w:szCs w:val="22"/>
        </w:rPr>
        <w:t xml:space="preserve"> </w:t>
      </w:r>
      <w:proofErr w:type="gramStart"/>
      <w:r w:rsidRPr="00A539B6">
        <w:rPr>
          <w:szCs w:val="22"/>
        </w:rPr>
        <w:t>were subsequently used</w:t>
      </w:r>
      <w:proofErr w:type="gramEnd"/>
      <w:r w:rsidRPr="00A539B6">
        <w:rPr>
          <w:szCs w:val="22"/>
        </w:rPr>
        <w:t xml:space="preserve"> for Maximum Entropy reconstruction </w:t>
      </w:r>
      <w:r w:rsidRPr="00A539B6">
        <w:rPr>
          <w:szCs w:val="22"/>
          <w:lang w:val="en-US"/>
        </w:rPr>
        <w:t xml:space="preserve">via PRIMA (Practice Iterative MEM Analysis) software </w:t>
      </w:r>
      <w:r>
        <w:rPr>
          <w:noProof/>
          <w:szCs w:val="22"/>
        </w:rPr>
        <w:t>(Izumi &amp; Dilanian, 2002)</w:t>
      </w:r>
      <w:r w:rsidRPr="00A539B6">
        <w:rPr>
          <w:szCs w:val="22"/>
        </w:rPr>
        <w:t xml:space="preserve">. This approach has the advantage to consider strong and weak reflections with equal importance, resulting in a much better-defined background compared to the classical Fourier-methods. This gives the possibility to better analyse atoms with low occupancies and/or anharmonic dynamics, as this is the case for the interstitial and apical oxygen atoms in PNO. </w:t>
      </w:r>
    </w:p>
    <w:p w14:paraId="0B0F532D" w14:textId="4CDE2C4F" w:rsidR="00BC1122" w:rsidRDefault="005B26EB" w:rsidP="00444702">
      <w:pPr>
        <w:pStyle w:val="IUCrbodytext"/>
        <w:jc w:val="both"/>
        <w:rPr>
          <w:szCs w:val="22"/>
        </w:rPr>
      </w:pPr>
      <w:r w:rsidRPr="00A539B6">
        <w:rPr>
          <w:lang w:val="en"/>
        </w:rPr>
        <w:t xml:space="preserve">As reported in previous works, the single crystal structure of the PNO is rather complex </w:t>
      </w:r>
      <w:r w:rsidRPr="00A539B6">
        <w:rPr>
          <w:noProof/>
          <w:lang w:val="en"/>
        </w:rPr>
        <w:t>(Ceretti</w:t>
      </w:r>
      <w:r w:rsidRPr="00A539B6">
        <w:rPr>
          <w:i/>
          <w:noProof/>
          <w:lang w:val="en"/>
        </w:rPr>
        <w:t xml:space="preserve"> et al.</w:t>
      </w:r>
      <w:r w:rsidRPr="00A539B6">
        <w:rPr>
          <w:noProof/>
          <w:lang w:val="en"/>
        </w:rPr>
        <w:t>, 2015, Dutta</w:t>
      </w:r>
      <w:r w:rsidRPr="00A539B6">
        <w:rPr>
          <w:i/>
          <w:noProof/>
          <w:lang w:val="en"/>
        </w:rPr>
        <w:t xml:space="preserve"> et al.</w:t>
      </w:r>
      <w:r w:rsidRPr="00A539B6">
        <w:rPr>
          <w:noProof/>
          <w:lang w:val="en"/>
        </w:rPr>
        <w:t>, 2020)</w:t>
      </w:r>
      <w:r w:rsidRPr="00A539B6">
        <w:rPr>
          <w:lang w:val="en"/>
        </w:rPr>
        <w:t>, with</w:t>
      </w:r>
      <w:r w:rsidRPr="00A539B6">
        <w:rPr>
          <w:lang w:val="en-US"/>
        </w:rPr>
        <w:t xml:space="preserve"> up to 16 monoclinic twin individuals by pseudo merohedry</w:t>
      </w:r>
      <w:r w:rsidRPr="00A539B6">
        <w:rPr>
          <w:lang w:val="en"/>
        </w:rPr>
        <w:t>. At 900°C, twinning is no longer an issue as for both data collections in O</w:t>
      </w:r>
      <w:r w:rsidRPr="00A539B6">
        <w:rPr>
          <w:vertAlign w:val="subscript"/>
          <w:lang w:val="en"/>
        </w:rPr>
        <w:t>2</w:t>
      </w:r>
      <w:r w:rsidRPr="00A539B6">
        <w:rPr>
          <w:lang w:val="en"/>
        </w:rPr>
        <w:t xml:space="preserve"> atmosphere as well as in secondary </w:t>
      </w:r>
      <w:proofErr w:type="gramStart"/>
      <w:r w:rsidRPr="00A539B6">
        <w:rPr>
          <w:lang w:val="en"/>
        </w:rPr>
        <w:t>vacuum,</w:t>
      </w:r>
      <w:proofErr w:type="gramEnd"/>
      <w:r w:rsidRPr="00A539B6">
        <w:rPr>
          <w:lang w:val="en"/>
        </w:rPr>
        <w:t xml:space="preserve"> the symmetry was found to be tetragonal. As for the previously reported results, all refinements </w:t>
      </w:r>
      <w:proofErr w:type="gramStart"/>
      <w:r w:rsidR="00EF3231">
        <w:rPr>
          <w:lang w:val="en"/>
        </w:rPr>
        <w:t>were</w:t>
      </w:r>
      <w:r w:rsidRPr="00A539B6">
        <w:rPr>
          <w:lang w:val="en"/>
        </w:rPr>
        <w:t xml:space="preserve"> carried out</w:t>
      </w:r>
      <w:proofErr w:type="gramEnd"/>
      <w:r w:rsidRPr="00A539B6">
        <w:rPr>
          <w:lang w:val="en"/>
        </w:rPr>
        <w:t xml:space="preserve"> in the</w:t>
      </w:r>
      <w:r w:rsidRPr="00A539B6">
        <w:rPr>
          <w:szCs w:val="22"/>
        </w:rPr>
        <w:t xml:space="preserve"> space group </w:t>
      </w:r>
      <w:r w:rsidRPr="00A539B6">
        <w:rPr>
          <w:i/>
          <w:szCs w:val="22"/>
        </w:rPr>
        <w:t>F4/mmm</w:t>
      </w:r>
      <w:r w:rsidRPr="00A539B6">
        <w:rPr>
          <w:szCs w:val="22"/>
        </w:rPr>
        <w:t xml:space="preserve">, relating the high temperature structure to the room temperature base vectors. </w:t>
      </w:r>
    </w:p>
    <w:p w14:paraId="58F025AE" w14:textId="51400626" w:rsidR="005B26EB" w:rsidRPr="00A539B6" w:rsidRDefault="00BC1122" w:rsidP="00444702">
      <w:pPr>
        <w:pStyle w:val="IUCrbodytext"/>
        <w:jc w:val="both"/>
        <w:rPr>
          <w:szCs w:val="22"/>
          <w:lang w:val="en"/>
        </w:rPr>
      </w:pPr>
      <w:r w:rsidRPr="00BD0E08">
        <w:rPr>
          <w:szCs w:val="22"/>
        </w:rPr>
        <w:t xml:space="preserve">Measurements </w:t>
      </w:r>
      <w:r w:rsidR="00EF3231" w:rsidRPr="00BD0E08">
        <w:rPr>
          <w:szCs w:val="22"/>
        </w:rPr>
        <w:t>were</w:t>
      </w:r>
      <w:r w:rsidRPr="00BD0E08">
        <w:rPr>
          <w:szCs w:val="22"/>
        </w:rPr>
        <w:t xml:space="preserve"> carried out under the following conditions:</w:t>
      </w:r>
      <w:r w:rsidR="00CF25DD" w:rsidRPr="00BD0E08">
        <w:rPr>
          <w:szCs w:val="22"/>
        </w:rPr>
        <w:t xml:space="preserve"> firstly,</w:t>
      </w:r>
      <w:r w:rsidRPr="00BD0E08">
        <w:rPr>
          <w:szCs w:val="22"/>
        </w:rPr>
        <w:t xml:space="preserve"> the quartz capillary was flushed at ambient with oxygen gas and heated to 900°C, while maintaining </w:t>
      </w:r>
      <w:proofErr w:type="gramStart"/>
      <w:r w:rsidRPr="00BD0E08">
        <w:rPr>
          <w:szCs w:val="22"/>
        </w:rPr>
        <w:t>1</w:t>
      </w:r>
      <w:proofErr w:type="gramEnd"/>
      <w:r w:rsidRPr="00BD0E08">
        <w:rPr>
          <w:szCs w:val="22"/>
        </w:rPr>
        <w:t xml:space="preserve"> bar of oxygen partial pressure. After thermal equilibration, </w:t>
      </w:r>
      <w:r w:rsidRPr="00BD0E08">
        <w:rPr>
          <w:szCs w:val="22"/>
          <w:lang w:val="en"/>
        </w:rPr>
        <w:t>a</w:t>
      </w:r>
      <w:r w:rsidR="005B26EB" w:rsidRPr="00BD0E08">
        <w:rPr>
          <w:szCs w:val="22"/>
          <w:lang w:val="en"/>
        </w:rPr>
        <w:t xml:space="preserve"> first data collection was </w:t>
      </w:r>
      <w:r w:rsidR="00CF25DD" w:rsidRPr="00BD0E08">
        <w:rPr>
          <w:szCs w:val="22"/>
          <w:lang w:val="en"/>
        </w:rPr>
        <w:t>collected</w:t>
      </w:r>
      <w:r w:rsidR="005B26EB" w:rsidRPr="00BD0E08">
        <w:rPr>
          <w:szCs w:val="22"/>
          <w:lang w:val="en"/>
        </w:rPr>
        <w:t xml:space="preserve"> in 1 bar O</w:t>
      </w:r>
      <w:r w:rsidR="005B26EB" w:rsidRPr="00BD0E08">
        <w:rPr>
          <w:szCs w:val="22"/>
          <w:vertAlign w:val="subscript"/>
          <w:lang w:val="en"/>
        </w:rPr>
        <w:t>2</w:t>
      </w:r>
      <w:r w:rsidR="005B26EB" w:rsidRPr="00BD0E08">
        <w:rPr>
          <w:szCs w:val="22"/>
          <w:lang w:val="en"/>
        </w:rPr>
        <w:t xml:space="preserve"> atmosphere at 900°, followed by a 2</w:t>
      </w:r>
      <w:r w:rsidR="005B26EB" w:rsidRPr="00BD0E08">
        <w:rPr>
          <w:szCs w:val="22"/>
          <w:vertAlign w:val="superscript"/>
          <w:lang w:val="en"/>
        </w:rPr>
        <w:t>nd</w:t>
      </w:r>
      <w:r w:rsidR="005B26EB" w:rsidRPr="00BD0E08">
        <w:rPr>
          <w:szCs w:val="22"/>
          <w:lang w:val="en"/>
        </w:rPr>
        <w:t xml:space="preserve"> data collection</w:t>
      </w:r>
      <w:r w:rsidRPr="00BD0E08">
        <w:rPr>
          <w:szCs w:val="22"/>
          <w:lang w:val="en"/>
        </w:rPr>
        <w:t>,</w:t>
      </w:r>
      <w:r w:rsidR="005B26EB" w:rsidRPr="00BD0E08">
        <w:rPr>
          <w:szCs w:val="22"/>
          <w:lang w:val="en"/>
        </w:rPr>
        <w:t xml:space="preserve"> after pumping the atmosphere inside the quartz tube down to 10</w:t>
      </w:r>
      <w:r w:rsidR="005B26EB" w:rsidRPr="00BD0E08">
        <w:rPr>
          <w:szCs w:val="22"/>
          <w:vertAlign w:val="superscript"/>
          <w:lang w:val="en"/>
        </w:rPr>
        <w:t>-5</w:t>
      </w:r>
      <w:r w:rsidR="005B26EB" w:rsidRPr="00BD0E08">
        <w:rPr>
          <w:szCs w:val="22"/>
          <w:lang w:val="en"/>
        </w:rPr>
        <w:t xml:space="preserve"> mbar for 1 hour. </w:t>
      </w:r>
      <w:r w:rsidRPr="00BD0E08">
        <w:rPr>
          <w:szCs w:val="22"/>
          <w:lang w:val="en"/>
        </w:rPr>
        <w:t xml:space="preserve">The vacuum conditions </w:t>
      </w:r>
      <w:proofErr w:type="gramStart"/>
      <w:r w:rsidR="00EF3231" w:rsidRPr="00BD0E08">
        <w:rPr>
          <w:szCs w:val="22"/>
          <w:lang w:val="en"/>
        </w:rPr>
        <w:t>were</w:t>
      </w:r>
      <w:r w:rsidRPr="00BD0E08">
        <w:rPr>
          <w:szCs w:val="22"/>
          <w:lang w:val="en"/>
        </w:rPr>
        <w:t xml:space="preserve"> maintained</w:t>
      </w:r>
      <w:proofErr w:type="gramEnd"/>
      <w:r w:rsidRPr="00BD0E08">
        <w:rPr>
          <w:szCs w:val="22"/>
          <w:lang w:val="en"/>
        </w:rPr>
        <w:t xml:space="preserve"> throughout the whole </w:t>
      </w:r>
      <w:r w:rsidR="00CF25DD" w:rsidRPr="00BD0E08">
        <w:rPr>
          <w:szCs w:val="22"/>
          <w:lang w:val="en"/>
        </w:rPr>
        <w:t>measurement</w:t>
      </w:r>
      <w:r w:rsidRPr="00BD0E08">
        <w:rPr>
          <w:szCs w:val="22"/>
          <w:lang w:val="en"/>
        </w:rPr>
        <w:t xml:space="preserve"> in order to avoid any oxygen contamination related to possible leakage of the capillary and any uptake of oxygen by the sample. </w:t>
      </w:r>
      <w:r w:rsidR="005B26EB" w:rsidRPr="00BD0E08">
        <w:rPr>
          <w:rStyle w:val="tlid-translation"/>
          <w:rFonts w:eastAsiaTheme="majorEastAsia"/>
          <w:lang w:val="en"/>
        </w:rPr>
        <w:t xml:space="preserve">Refined structural parameters </w:t>
      </w:r>
      <w:proofErr w:type="gramStart"/>
      <w:r w:rsidR="005B26EB" w:rsidRPr="00BD0E08">
        <w:rPr>
          <w:rStyle w:val="tlid-translation"/>
          <w:rFonts w:eastAsiaTheme="majorEastAsia"/>
          <w:lang w:val="en"/>
        </w:rPr>
        <w:t>are reported</w:t>
      </w:r>
      <w:proofErr w:type="gramEnd"/>
      <w:r w:rsidR="005B26EB" w:rsidRPr="00BD0E08">
        <w:rPr>
          <w:rStyle w:val="tlid-translation"/>
          <w:rFonts w:eastAsiaTheme="majorEastAsia"/>
          <w:lang w:val="en"/>
        </w:rPr>
        <w:t xml:space="preserve"> in Table 1. </w:t>
      </w:r>
      <w:r w:rsidR="005B26EB" w:rsidRPr="00BD0E08">
        <w:rPr>
          <w:szCs w:val="22"/>
        </w:rPr>
        <w:t>T</w:t>
      </w:r>
      <w:r w:rsidR="005B26EB" w:rsidRPr="00BD0E08">
        <w:rPr>
          <w:szCs w:val="22"/>
          <w:lang w:val="en"/>
        </w:rPr>
        <w:t>he presence/absence of the interstitial</w:t>
      </w:r>
      <w:r w:rsidR="005B26EB" w:rsidRPr="00A539B6">
        <w:rPr>
          <w:szCs w:val="22"/>
          <w:lang w:val="en"/>
        </w:rPr>
        <w:t xml:space="preserve"> oxygen as well the displacement factors of all atoms, becomes clearly visible from the nuclear density map obtained by MEM (Fig. 5c-d and Fig.5g-h). </w:t>
      </w:r>
      <w:proofErr w:type="gramStart"/>
      <w:r w:rsidR="005B26EB" w:rsidRPr="00A539B6">
        <w:rPr>
          <w:szCs w:val="22"/>
          <w:lang w:val="en"/>
        </w:rPr>
        <w:t>Further</w:t>
      </w:r>
      <w:proofErr w:type="gramEnd"/>
      <w:r w:rsidR="005B26EB" w:rsidRPr="00A539B6">
        <w:rPr>
          <w:szCs w:val="22"/>
          <w:lang w:val="en"/>
        </w:rPr>
        <w:t xml:space="preserve"> on we can recognize a more isotropic behavior of the apical oxygen atoms for both cases, and in particular the absence of any double potential as was observed at 400°C. </w:t>
      </w:r>
    </w:p>
    <w:p w14:paraId="0FE2791A" w14:textId="77777777" w:rsidR="005B26EB" w:rsidRDefault="005B26EB" w:rsidP="00CF13A2">
      <w:pPr>
        <w:pStyle w:val="IUCrbodytext"/>
        <w:jc w:val="both"/>
        <w:rPr>
          <w:szCs w:val="22"/>
        </w:rPr>
      </w:pPr>
      <w:r w:rsidRPr="00A539B6">
        <w:rPr>
          <w:szCs w:val="22"/>
        </w:rPr>
        <w:t xml:space="preserve">Despite this more harmonic displacement behaviour, the apical oxygen atoms still show a seemingly sub-stoichiometric oxygen occupancy of 1.80 and 1.86 under secondary dynamic vacuum conditions and 1 bar oxygen partial pressure respectively. The integer value 2 </w:t>
      </w:r>
      <w:proofErr w:type="gramStart"/>
      <w:r w:rsidRPr="00A539B6">
        <w:rPr>
          <w:szCs w:val="22"/>
        </w:rPr>
        <w:t>would have been expected</w:t>
      </w:r>
      <w:proofErr w:type="gramEnd"/>
      <w:r w:rsidRPr="00A539B6">
        <w:rPr>
          <w:szCs w:val="22"/>
        </w:rPr>
        <w:t xml:space="preserve"> here in case of a full site occupancy. As already outlined in </w:t>
      </w:r>
      <w:r w:rsidRPr="00A539B6">
        <w:rPr>
          <w:noProof/>
          <w:szCs w:val="22"/>
        </w:rPr>
        <w:t>(Ceretti</w:t>
      </w:r>
      <w:r w:rsidRPr="00A539B6">
        <w:rPr>
          <w:i/>
          <w:noProof/>
          <w:szCs w:val="22"/>
        </w:rPr>
        <w:t xml:space="preserve"> et al.</w:t>
      </w:r>
      <w:r w:rsidRPr="00A539B6">
        <w:rPr>
          <w:noProof/>
          <w:szCs w:val="22"/>
        </w:rPr>
        <w:t>, 2015)</w:t>
      </w:r>
      <w:r w:rsidRPr="00A539B6">
        <w:rPr>
          <w:szCs w:val="22"/>
        </w:rPr>
        <w:t>, this artefact is related to the still important anisotropic and anharmonic displacements of the apical oxygen atom, which cannot be corrected via a harmonic description of the respective thermal ellipsoids. The strong displacements inside the Pr</w:t>
      </w:r>
      <w:r w:rsidRPr="00A539B6">
        <w:rPr>
          <w:szCs w:val="22"/>
          <w:vertAlign w:val="subscript"/>
        </w:rPr>
        <w:t>2</w:t>
      </w:r>
      <w:r w:rsidRPr="00A539B6">
        <w:rPr>
          <w:szCs w:val="22"/>
        </w:rPr>
        <w:t>O</w:t>
      </w:r>
      <w:r w:rsidRPr="00A539B6">
        <w:rPr>
          <w:szCs w:val="22"/>
          <w:vertAlign w:val="subscript"/>
        </w:rPr>
        <w:t>2</w:t>
      </w:r>
      <w:r w:rsidRPr="00A539B6">
        <w:rPr>
          <w:szCs w:val="22"/>
        </w:rPr>
        <w:t xml:space="preserve"> layer are revealed by the strong anisotropy of the U</w:t>
      </w:r>
      <w:r w:rsidRPr="00A539B6">
        <w:rPr>
          <w:szCs w:val="22"/>
          <w:vertAlign w:val="subscript"/>
        </w:rPr>
        <w:t>11</w:t>
      </w:r>
      <w:r w:rsidRPr="00A539B6">
        <w:rPr>
          <w:szCs w:val="22"/>
        </w:rPr>
        <w:t>/U</w:t>
      </w:r>
      <w:r w:rsidRPr="00A539B6">
        <w:rPr>
          <w:szCs w:val="22"/>
          <w:vertAlign w:val="subscript"/>
        </w:rPr>
        <w:t>22</w:t>
      </w:r>
      <w:r w:rsidRPr="00A539B6">
        <w:rPr>
          <w:szCs w:val="22"/>
        </w:rPr>
        <w:t xml:space="preserve"> factor values of the </w:t>
      </w:r>
      <w:proofErr w:type="spellStart"/>
      <w:r w:rsidRPr="00A539B6">
        <w:rPr>
          <w:szCs w:val="22"/>
        </w:rPr>
        <w:t>O</w:t>
      </w:r>
      <w:r w:rsidRPr="00A539B6">
        <w:rPr>
          <w:szCs w:val="22"/>
          <w:vertAlign w:val="subscript"/>
        </w:rPr>
        <w:t>ap</w:t>
      </w:r>
      <w:proofErr w:type="spellEnd"/>
      <w:r w:rsidRPr="00A539B6">
        <w:rPr>
          <w:szCs w:val="22"/>
        </w:rPr>
        <w:t xml:space="preserve"> atoms, which are refined to be 4 times </w:t>
      </w:r>
      <w:proofErr w:type="gramStart"/>
      <w:r w:rsidRPr="00A539B6">
        <w:rPr>
          <w:szCs w:val="22"/>
        </w:rPr>
        <w:t>higher</w:t>
      </w:r>
      <w:proofErr w:type="gramEnd"/>
      <w:r w:rsidRPr="00A539B6">
        <w:rPr>
          <w:szCs w:val="22"/>
        </w:rPr>
        <w:t xml:space="preserve"> compared to the values of U</w:t>
      </w:r>
      <w:r w:rsidRPr="00A539B6">
        <w:rPr>
          <w:szCs w:val="22"/>
          <w:vertAlign w:val="subscript"/>
        </w:rPr>
        <w:t>33</w:t>
      </w:r>
      <w:r w:rsidRPr="00A539B6">
        <w:rPr>
          <w:szCs w:val="22"/>
        </w:rPr>
        <w:t xml:space="preserve">. Displacements of the </w:t>
      </w:r>
      <w:proofErr w:type="spellStart"/>
      <w:r w:rsidRPr="00A539B6">
        <w:rPr>
          <w:szCs w:val="22"/>
        </w:rPr>
        <w:t>Pr</w:t>
      </w:r>
      <w:proofErr w:type="spellEnd"/>
      <w:r w:rsidRPr="00A539B6">
        <w:rPr>
          <w:szCs w:val="22"/>
        </w:rPr>
        <w:t xml:space="preserve"> atoms </w:t>
      </w:r>
      <w:proofErr w:type="gramStart"/>
      <w:r w:rsidRPr="00A539B6">
        <w:rPr>
          <w:szCs w:val="22"/>
        </w:rPr>
        <w:t>were found</w:t>
      </w:r>
      <w:proofErr w:type="gramEnd"/>
      <w:r w:rsidRPr="00A539B6">
        <w:rPr>
          <w:szCs w:val="22"/>
        </w:rPr>
        <w:t xml:space="preserve"> to be merely isotropic for both measurements, which is in strong contrast to what is obtained at 400°C, where the Pr</w:t>
      </w:r>
      <w:r w:rsidRPr="00A539B6">
        <w:rPr>
          <w:szCs w:val="22"/>
          <w:vertAlign w:val="subscript"/>
        </w:rPr>
        <w:t>2</w:t>
      </w:r>
      <w:r w:rsidRPr="00A539B6">
        <w:rPr>
          <w:szCs w:val="22"/>
        </w:rPr>
        <w:t>O</w:t>
      </w:r>
      <w:r w:rsidRPr="00A539B6">
        <w:rPr>
          <w:szCs w:val="22"/>
          <w:vertAlign w:val="subscript"/>
        </w:rPr>
        <w:t>2</w:t>
      </w:r>
      <w:r w:rsidRPr="00A539B6">
        <w:rPr>
          <w:szCs w:val="22"/>
        </w:rPr>
        <w:t xml:space="preserve"> layer turned out to be anharmonic as well as a double potential for the apical oxygen positions, which suggest two distinct Ni-</w:t>
      </w:r>
      <w:proofErr w:type="spellStart"/>
      <w:r w:rsidRPr="00A539B6">
        <w:rPr>
          <w:szCs w:val="22"/>
        </w:rPr>
        <w:t>O</w:t>
      </w:r>
      <w:r w:rsidRPr="00A539B6">
        <w:rPr>
          <w:szCs w:val="22"/>
          <w:vertAlign w:val="subscript"/>
        </w:rPr>
        <w:t>ap</w:t>
      </w:r>
      <w:proofErr w:type="spellEnd"/>
      <w:r w:rsidRPr="00A539B6">
        <w:rPr>
          <w:szCs w:val="22"/>
        </w:rPr>
        <w:t xml:space="preserve"> distances</w:t>
      </w:r>
      <w:r>
        <w:rPr>
          <w:szCs w:val="22"/>
        </w:rPr>
        <w:t>.</w:t>
      </w:r>
    </w:p>
    <w:p w14:paraId="5BFE509C" w14:textId="77777777" w:rsidR="005B26EB" w:rsidRPr="00470208" w:rsidRDefault="005B26EB" w:rsidP="00273A7D">
      <w:pPr>
        <w:pStyle w:val="IUCrtablecaption"/>
        <w:tabs>
          <w:tab w:val="left" w:pos="1555"/>
        </w:tabs>
        <w:spacing w:line="240" w:lineRule="auto"/>
        <w:rPr>
          <w:sz w:val="18"/>
          <w:szCs w:val="18"/>
        </w:rPr>
      </w:pPr>
      <w:r w:rsidRPr="00056980">
        <w:lastRenderedPageBreak/>
        <w:t>Pr</w:t>
      </w:r>
      <w:r w:rsidRPr="00470208">
        <w:rPr>
          <w:vertAlign w:val="subscript"/>
        </w:rPr>
        <w:t>2</w:t>
      </w:r>
      <w:r w:rsidRPr="00056980">
        <w:t>NiO</w:t>
      </w:r>
      <w:r w:rsidRPr="00470208">
        <w:rPr>
          <w:vertAlign w:val="subscript"/>
        </w:rPr>
        <w:t xml:space="preserve">4+δ </w:t>
      </w:r>
      <w:r w:rsidRPr="00056980">
        <w:t xml:space="preserve">structure data obtained from single crystal neutron diffraction data, collected on diffractometer HEiDi with </w:t>
      </w:r>
      <w:r w:rsidRPr="00056980">
        <w:sym w:font="Symbol" w:char="F06C"/>
      </w:r>
      <w:r w:rsidRPr="00056980">
        <w:t>= 0.</w:t>
      </w:r>
      <w:r w:rsidRPr="001F0C29">
        <w:t>79</w:t>
      </w:r>
      <w:r>
        <w:t>3</w:t>
      </w:r>
      <w:r w:rsidRPr="00056980">
        <w:t xml:space="preserve"> Å</w:t>
      </w:r>
      <w:r>
        <w:t xml:space="preserve"> (monochromator: Ge (422) with Er filter)</w:t>
      </w:r>
      <w:r w:rsidRPr="00056980">
        <w:t>, installed at the hot source of the FRM II reactor</w:t>
      </w:r>
      <w:r>
        <w:t xml:space="preserve"> of MLZ</w:t>
      </w:r>
      <w:r w:rsidRPr="00056980">
        <w:t xml:space="preserve">. Refinements </w:t>
      </w:r>
      <w:proofErr w:type="gramStart"/>
      <w:r w:rsidRPr="00056980">
        <w:t>were ca</w:t>
      </w:r>
      <w:r>
        <w:t>rried out</w:t>
      </w:r>
      <w:proofErr w:type="gramEnd"/>
      <w:r>
        <w:t xml:space="preserve"> in space group </w:t>
      </w:r>
      <w:r w:rsidRPr="00470208">
        <w:rPr>
          <w:i/>
        </w:rPr>
        <w:t>F4/mmm</w:t>
      </w:r>
      <w:r>
        <w:t>; (</w:t>
      </w:r>
      <w:proofErr w:type="spellStart"/>
      <w:r>
        <w:t>U</w:t>
      </w:r>
      <w:r w:rsidRPr="00470208">
        <w:rPr>
          <w:vertAlign w:val="subscript"/>
        </w:rPr>
        <w:t>ii</w:t>
      </w:r>
      <w:proofErr w:type="spellEnd"/>
      <w:r>
        <w:t xml:space="preserve"> are given in Å</w:t>
      </w:r>
      <w:r w:rsidRPr="00470208">
        <w:rPr>
          <w:vertAlign w:val="superscript"/>
        </w:rPr>
        <w:t>2</w:t>
      </w:r>
      <w:r w:rsidRPr="00F64538">
        <w:t>)</w:t>
      </w:r>
      <w:r>
        <w:t xml:space="preserve">. </w:t>
      </w:r>
    </w:p>
    <w:tbl>
      <w:tblPr>
        <w:tblpPr w:leftFromText="180" w:rightFromText="180" w:vertAnchor="text" w:tblpXSpec="center" w:tblpY="1"/>
        <w:tblOverlap w:val="never"/>
        <w:tblW w:w="5387" w:type="dxa"/>
        <w:tblBorders>
          <w:insideH w:val="single" w:sz="4" w:space="0" w:color="auto"/>
          <w:insideV w:val="single" w:sz="4" w:space="0" w:color="auto"/>
        </w:tblBorders>
        <w:tblLayout w:type="fixed"/>
        <w:tblLook w:val="04A0" w:firstRow="1" w:lastRow="0" w:firstColumn="1" w:lastColumn="0" w:noHBand="0" w:noVBand="1"/>
      </w:tblPr>
      <w:tblGrid>
        <w:gridCol w:w="1276"/>
        <w:gridCol w:w="992"/>
        <w:gridCol w:w="1560"/>
        <w:gridCol w:w="1559"/>
      </w:tblGrid>
      <w:tr w:rsidR="005B26EB" w:rsidRPr="001D1025" w14:paraId="1C147582" w14:textId="77777777" w:rsidTr="00866205">
        <w:tc>
          <w:tcPr>
            <w:tcW w:w="2268" w:type="dxa"/>
            <w:gridSpan w:val="2"/>
            <w:tcBorders>
              <w:top w:val="double" w:sz="4" w:space="0" w:color="auto"/>
              <w:bottom w:val="double" w:sz="4" w:space="0" w:color="auto"/>
            </w:tcBorders>
            <w:shd w:val="clear" w:color="auto" w:fill="auto"/>
          </w:tcPr>
          <w:p w14:paraId="46675334" w14:textId="77777777" w:rsidR="005B26EB" w:rsidRPr="00C95646" w:rsidRDefault="00C95646" w:rsidP="001A7674">
            <w:pPr>
              <w:pStyle w:val="IUCrtabletext"/>
              <w:spacing w:after="0" w:line="240" w:lineRule="auto"/>
              <w:rPr>
                <w:b/>
              </w:rPr>
            </w:pPr>
            <w:r w:rsidRPr="00C95646">
              <w:rPr>
                <w:b/>
              </w:rPr>
              <w:t>Atoms</w:t>
            </w:r>
          </w:p>
        </w:tc>
        <w:tc>
          <w:tcPr>
            <w:tcW w:w="1560" w:type="dxa"/>
            <w:tcBorders>
              <w:top w:val="double" w:sz="4" w:space="0" w:color="auto"/>
              <w:bottom w:val="double" w:sz="4" w:space="0" w:color="auto"/>
            </w:tcBorders>
            <w:shd w:val="clear" w:color="auto" w:fill="auto"/>
          </w:tcPr>
          <w:p w14:paraId="04EFC644" w14:textId="77777777" w:rsidR="005B26EB" w:rsidRPr="002E710E" w:rsidRDefault="005B26EB" w:rsidP="001A7674">
            <w:pPr>
              <w:pStyle w:val="IUCrtabletext"/>
              <w:spacing w:after="0" w:line="240" w:lineRule="auto"/>
              <w:jc w:val="center"/>
              <w:rPr>
                <w:b/>
                <w:szCs w:val="20"/>
              </w:rPr>
            </w:pPr>
            <w:r w:rsidRPr="002E710E">
              <w:rPr>
                <w:b/>
                <w:szCs w:val="20"/>
              </w:rPr>
              <w:t>900°C in vacuum</w:t>
            </w:r>
          </w:p>
          <w:p w14:paraId="7D95C00B" w14:textId="77777777" w:rsidR="005B26EB" w:rsidRPr="002E710E" w:rsidRDefault="005B26EB" w:rsidP="001A7674">
            <w:pPr>
              <w:pStyle w:val="IUCrtabletext"/>
              <w:spacing w:after="0" w:line="240" w:lineRule="auto"/>
              <w:jc w:val="center"/>
              <w:rPr>
                <w:b/>
                <w:szCs w:val="20"/>
              </w:rPr>
            </w:pPr>
            <w:r w:rsidRPr="002E710E">
              <w:rPr>
                <w:rFonts w:ascii="Symbol" w:hAnsi="Symbol"/>
                <w:b/>
                <w:szCs w:val="20"/>
              </w:rPr>
              <w:t></w:t>
            </w:r>
            <w:r>
              <w:rPr>
                <w:rFonts w:ascii="Symbol" w:hAnsi="Symbol"/>
                <w:b/>
                <w:szCs w:val="20"/>
              </w:rPr>
              <w:t></w:t>
            </w:r>
            <w:r>
              <w:rPr>
                <w:rFonts w:ascii="Symbol" w:hAnsi="Symbol"/>
                <w:b/>
                <w:szCs w:val="20"/>
              </w:rPr>
              <w:sym w:font="Symbol" w:char="F0BB"/>
            </w:r>
            <w:r>
              <w:rPr>
                <w:rFonts w:ascii="Symbol" w:hAnsi="Symbol"/>
                <w:b/>
                <w:szCs w:val="20"/>
              </w:rPr>
              <w:t></w:t>
            </w:r>
            <w:r w:rsidRPr="002E710E">
              <w:rPr>
                <w:b/>
                <w:szCs w:val="20"/>
              </w:rPr>
              <w:t>0.00</w:t>
            </w:r>
          </w:p>
        </w:tc>
        <w:tc>
          <w:tcPr>
            <w:tcW w:w="1559" w:type="dxa"/>
            <w:tcBorders>
              <w:top w:val="double" w:sz="4" w:space="0" w:color="auto"/>
              <w:bottom w:val="double" w:sz="4" w:space="0" w:color="auto"/>
            </w:tcBorders>
            <w:shd w:val="clear" w:color="auto" w:fill="auto"/>
          </w:tcPr>
          <w:p w14:paraId="74F55FAD" w14:textId="77777777" w:rsidR="005B26EB" w:rsidRPr="002E710E" w:rsidRDefault="005B26EB" w:rsidP="001A7674">
            <w:pPr>
              <w:pStyle w:val="IUCrtabletext"/>
              <w:spacing w:after="0" w:line="240" w:lineRule="auto"/>
              <w:jc w:val="center"/>
              <w:rPr>
                <w:b/>
                <w:szCs w:val="20"/>
              </w:rPr>
            </w:pPr>
            <w:r w:rsidRPr="002E710E">
              <w:rPr>
                <w:b/>
                <w:szCs w:val="20"/>
              </w:rPr>
              <w:t>900°C in oxygen</w:t>
            </w:r>
          </w:p>
          <w:p w14:paraId="04646F74" w14:textId="77777777" w:rsidR="005B26EB" w:rsidRPr="002E710E" w:rsidRDefault="005B26EB" w:rsidP="001A7674">
            <w:pPr>
              <w:pStyle w:val="IUCrtabletext"/>
              <w:spacing w:after="0" w:line="240" w:lineRule="auto"/>
              <w:jc w:val="center"/>
              <w:rPr>
                <w:b/>
                <w:szCs w:val="20"/>
              </w:rPr>
            </w:pPr>
            <w:r w:rsidRPr="002E710E">
              <w:rPr>
                <w:rFonts w:ascii="Symbol" w:hAnsi="Symbol"/>
                <w:b/>
                <w:szCs w:val="20"/>
              </w:rPr>
              <w:t></w:t>
            </w:r>
            <w:r>
              <w:rPr>
                <w:rFonts w:ascii="Symbol" w:hAnsi="Symbol"/>
                <w:b/>
                <w:szCs w:val="20"/>
              </w:rPr>
              <w:t></w:t>
            </w:r>
            <w:r>
              <w:rPr>
                <w:rFonts w:ascii="Symbol" w:hAnsi="Symbol"/>
                <w:b/>
                <w:szCs w:val="20"/>
              </w:rPr>
              <w:sym w:font="Symbol" w:char="F0BB"/>
            </w:r>
            <w:r>
              <w:rPr>
                <w:b/>
                <w:szCs w:val="20"/>
              </w:rPr>
              <w:t xml:space="preserve"> </w:t>
            </w:r>
            <w:r w:rsidRPr="002E710E">
              <w:rPr>
                <w:b/>
                <w:szCs w:val="20"/>
              </w:rPr>
              <w:t>0.1</w:t>
            </w:r>
            <w:r>
              <w:rPr>
                <w:b/>
                <w:szCs w:val="20"/>
              </w:rPr>
              <w:t>3</w:t>
            </w:r>
          </w:p>
        </w:tc>
      </w:tr>
      <w:tr w:rsidR="00C95646" w:rsidRPr="001D1025" w14:paraId="372DCB30" w14:textId="77777777" w:rsidTr="00866205">
        <w:tc>
          <w:tcPr>
            <w:tcW w:w="1276" w:type="dxa"/>
            <w:tcBorders>
              <w:top w:val="double" w:sz="4" w:space="0" w:color="auto"/>
              <w:bottom w:val="nil"/>
              <w:right w:val="nil"/>
            </w:tcBorders>
            <w:shd w:val="clear" w:color="auto" w:fill="auto"/>
          </w:tcPr>
          <w:p w14:paraId="57ECB0D3" w14:textId="77777777" w:rsidR="00C95646" w:rsidRPr="00EB0074" w:rsidRDefault="00C95646" w:rsidP="00C95646">
            <w:pPr>
              <w:pStyle w:val="IUCrtabletext"/>
              <w:spacing w:after="0" w:line="240" w:lineRule="auto"/>
              <w:rPr>
                <w:b/>
                <w:sz w:val="18"/>
                <w:szCs w:val="18"/>
              </w:rPr>
            </w:pPr>
            <w:proofErr w:type="spellStart"/>
            <w:r w:rsidRPr="00EB0074">
              <w:rPr>
                <w:b/>
                <w:sz w:val="18"/>
                <w:szCs w:val="18"/>
              </w:rPr>
              <w:t>Pr</w:t>
            </w:r>
            <w:proofErr w:type="spellEnd"/>
            <w:r>
              <w:rPr>
                <w:b/>
                <w:sz w:val="18"/>
                <w:szCs w:val="18"/>
              </w:rPr>
              <w:t xml:space="preserve"> (00z)</w:t>
            </w:r>
          </w:p>
        </w:tc>
        <w:tc>
          <w:tcPr>
            <w:tcW w:w="992" w:type="dxa"/>
            <w:tcBorders>
              <w:top w:val="double" w:sz="4" w:space="0" w:color="auto"/>
              <w:left w:val="nil"/>
              <w:bottom w:val="nil"/>
            </w:tcBorders>
            <w:shd w:val="clear" w:color="auto" w:fill="auto"/>
          </w:tcPr>
          <w:p w14:paraId="2E487C20" w14:textId="77777777" w:rsidR="00C95646" w:rsidRPr="001D1025" w:rsidRDefault="00C95646" w:rsidP="00C95646">
            <w:pPr>
              <w:pStyle w:val="IUCrtabletext"/>
              <w:spacing w:after="0" w:line="240" w:lineRule="auto"/>
            </w:pPr>
            <w:r w:rsidRPr="001D1025">
              <w:t>z</w:t>
            </w:r>
          </w:p>
        </w:tc>
        <w:tc>
          <w:tcPr>
            <w:tcW w:w="1560" w:type="dxa"/>
            <w:tcBorders>
              <w:top w:val="double" w:sz="4" w:space="0" w:color="auto"/>
              <w:bottom w:val="nil"/>
            </w:tcBorders>
            <w:shd w:val="clear" w:color="auto" w:fill="auto"/>
          </w:tcPr>
          <w:p w14:paraId="2DCE9990" w14:textId="77777777" w:rsidR="00C95646" w:rsidRPr="001D1025" w:rsidRDefault="00C95646" w:rsidP="00C95646">
            <w:pPr>
              <w:pStyle w:val="IUCrtabletext"/>
              <w:spacing w:after="0" w:line="240" w:lineRule="auto"/>
            </w:pPr>
            <w:r w:rsidRPr="001D1025">
              <w:rPr>
                <w:lang w:val="fr-FR"/>
              </w:rPr>
              <w:t>0.360</w:t>
            </w:r>
            <w:r>
              <w:rPr>
                <w:lang w:val="fr-FR"/>
              </w:rPr>
              <w:t>7</w:t>
            </w:r>
            <w:r w:rsidRPr="001D1025">
              <w:rPr>
                <w:lang w:val="fr-FR"/>
              </w:rPr>
              <w:t>(</w:t>
            </w:r>
            <w:r>
              <w:rPr>
                <w:lang w:val="fr-FR"/>
              </w:rPr>
              <w:t>6</w:t>
            </w:r>
            <w:r w:rsidRPr="001D1025">
              <w:rPr>
                <w:lang w:val="fr-FR"/>
              </w:rPr>
              <w:t>)</w:t>
            </w:r>
          </w:p>
        </w:tc>
        <w:tc>
          <w:tcPr>
            <w:tcW w:w="1559" w:type="dxa"/>
            <w:tcBorders>
              <w:top w:val="double" w:sz="4" w:space="0" w:color="auto"/>
              <w:bottom w:val="nil"/>
            </w:tcBorders>
            <w:shd w:val="clear" w:color="auto" w:fill="auto"/>
          </w:tcPr>
          <w:p w14:paraId="69E5FD28" w14:textId="77777777" w:rsidR="00C95646" w:rsidRPr="00094FAE" w:rsidRDefault="00C95646" w:rsidP="00C95646">
            <w:pPr>
              <w:pStyle w:val="IUCrtabletext"/>
              <w:spacing w:after="0" w:line="240" w:lineRule="auto"/>
            </w:pPr>
            <w:r>
              <w:t>0</w:t>
            </w:r>
            <w:r w:rsidRPr="00094FAE">
              <w:t>.3605(</w:t>
            </w:r>
            <w:r>
              <w:t>6</w:t>
            </w:r>
            <w:r w:rsidRPr="00094FAE">
              <w:t>)</w:t>
            </w:r>
          </w:p>
        </w:tc>
      </w:tr>
      <w:tr w:rsidR="00C95646" w:rsidRPr="001D1025" w14:paraId="26A2DA92" w14:textId="77777777" w:rsidTr="00866205">
        <w:tc>
          <w:tcPr>
            <w:tcW w:w="1276" w:type="dxa"/>
            <w:tcBorders>
              <w:top w:val="nil"/>
              <w:bottom w:val="nil"/>
              <w:right w:val="nil"/>
            </w:tcBorders>
            <w:shd w:val="clear" w:color="auto" w:fill="auto"/>
          </w:tcPr>
          <w:p w14:paraId="72D8BA3D"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tcBorders>
            <w:shd w:val="clear" w:color="auto" w:fill="auto"/>
          </w:tcPr>
          <w:p w14:paraId="7F6DB323" w14:textId="77777777" w:rsidR="00C95646" w:rsidRPr="001D1025" w:rsidRDefault="00C95646" w:rsidP="00C95646">
            <w:pPr>
              <w:pStyle w:val="IUCrtabletext"/>
              <w:spacing w:after="0" w:line="240" w:lineRule="auto"/>
            </w:pPr>
            <w:r w:rsidRPr="001D1025">
              <w:t>Occ</w:t>
            </w:r>
            <w:r>
              <w:t>.</w:t>
            </w:r>
          </w:p>
        </w:tc>
        <w:tc>
          <w:tcPr>
            <w:tcW w:w="1560" w:type="dxa"/>
            <w:tcBorders>
              <w:top w:val="nil"/>
              <w:bottom w:val="nil"/>
            </w:tcBorders>
            <w:shd w:val="clear" w:color="auto" w:fill="auto"/>
          </w:tcPr>
          <w:p w14:paraId="2E7E4505" w14:textId="77777777" w:rsidR="00C95646" w:rsidRPr="001D1025" w:rsidRDefault="00C95646" w:rsidP="00C95646">
            <w:pPr>
              <w:pStyle w:val="IUCrtabletext"/>
              <w:spacing w:after="0" w:line="240" w:lineRule="auto"/>
            </w:pPr>
            <w:r w:rsidRPr="001D1025">
              <w:t>2</w:t>
            </w:r>
          </w:p>
        </w:tc>
        <w:tc>
          <w:tcPr>
            <w:tcW w:w="1559" w:type="dxa"/>
            <w:tcBorders>
              <w:top w:val="nil"/>
              <w:bottom w:val="nil"/>
            </w:tcBorders>
            <w:shd w:val="clear" w:color="auto" w:fill="auto"/>
          </w:tcPr>
          <w:p w14:paraId="3D2A9BAC" w14:textId="77777777" w:rsidR="00C95646" w:rsidRPr="00094FAE" w:rsidRDefault="00C95646" w:rsidP="00C95646">
            <w:pPr>
              <w:pStyle w:val="IUCrtabletext"/>
              <w:spacing w:after="0" w:line="240" w:lineRule="auto"/>
            </w:pPr>
            <w:r w:rsidRPr="00094FAE">
              <w:t>2</w:t>
            </w:r>
          </w:p>
        </w:tc>
      </w:tr>
      <w:tr w:rsidR="00C95646" w:rsidRPr="001D1025" w14:paraId="30B813E9" w14:textId="77777777" w:rsidTr="00866205">
        <w:tc>
          <w:tcPr>
            <w:tcW w:w="1276" w:type="dxa"/>
            <w:tcBorders>
              <w:top w:val="nil"/>
              <w:bottom w:val="nil"/>
              <w:right w:val="nil"/>
            </w:tcBorders>
            <w:shd w:val="clear" w:color="auto" w:fill="auto"/>
          </w:tcPr>
          <w:p w14:paraId="50A7D8A6"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tcBorders>
            <w:shd w:val="clear" w:color="auto" w:fill="auto"/>
          </w:tcPr>
          <w:p w14:paraId="522F2854"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11</w:t>
            </w:r>
            <w:r w:rsidRPr="001D1025">
              <w:rPr>
                <w:w w:val="108"/>
              </w:rPr>
              <w:t xml:space="preserve"> </w:t>
            </w:r>
            <w:r>
              <w:rPr>
                <w:w w:val="108"/>
              </w:rPr>
              <w:t>=</w:t>
            </w:r>
            <w:r w:rsidRPr="001D1025">
              <w:rPr>
                <w:w w:val="108"/>
              </w:rPr>
              <w:t>U</w:t>
            </w:r>
            <w:r w:rsidRPr="001D1025">
              <w:rPr>
                <w:w w:val="108"/>
                <w:vertAlign w:val="subscript"/>
              </w:rPr>
              <w:t>22</w:t>
            </w:r>
          </w:p>
        </w:tc>
        <w:tc>
          <w:tcPr>
            <w:tcW w:w="1560" w:type="dxa"/>
            <w:tcBorders>
              <w:top w:val="nil"/>
              <w:bottom w:val="nil"/>
            </w:tcBorders>
            <w:shd w:val="clear" w:color="auto" w:fill="auto"/>
          </w:tcPr>
          <w:p w14:paraId="762AF80D" w14:textId="77777777" w:rsidR="00C95646" w:rsidRPr="001D1025" w:rsidRDefault="00C95646" w:rsidP="00C95646">
            <w:pPr>
              <w:pStyle w:val="IUCrtabletext"/>
              <w:spacing w:after="0" w:line="240" w:lineRule="auto"/>
              <w:rPr>
                <w:w w:val="108"/>
              </w:rPr>
            </w:pPr>
            <w:r w:rsidRPr="001D1025">
              <w:t>0.034</w:t>
            </w:r>
            <w:r>
              <w:t>7</w:t>
            </w:r>
            <w:r w:rsidRPr="001D1025">
              <w:t>(18)</w:t>
            </w:r>
          </w:p>
        </w:tc>
        <w:tc>
          <w:tcPr>
            <w:tcW w:w="1559" w:type="dxa"/>
            <w:tcBorders>
              <w:top w:val="nil"/>
              <w:bottom w:val="nil"/>
            </w:tcBorders>
            <w:shd w:val="clear" w:color="auto" w:fill="auto"/>
          </w:tcPr>
          <w:p w14:paraId="697B0D3F" w14:textId="77777777" w:rsidR="00C95646" w:rsidRPr="00094FAE" w:rsidRDefault="00C95646" w:rsidP="00C95646">
            <w:pPr>
              <w:pStyle w:val="IUCrtabletext"/>
              <w:spacing w:after="0" w:line="240" w:lineRule="auto"/>
              <w:rPr>
                <w:w w:val="108"/>
              </w:rPr>
            </w:pPr>
            <w:r w:rsidRPr="00094FAE">
              <w:t>0.03</w:t>
            </w:r>
            <w:r>
              <w:t>43</w:t>
            </w:r>
            <w:r w:rsidRPr="00094FAE">
              <w:t>(1</w:t>
            </w:r>
            <w:r>
              <w:t>8</w:t>
            </w:r>
            <w:r w:rsidRPr="00094FAE">
              <w:t xml:space="preserve">)    </w:t>
            </w:r>
          </w:p>
        </w:tc>
      </w:tr>
      <w:tr w:rsidR="00C95646" w:rsidRPr="001D1025" w14:paraId="732873FD" w14:textId="77777777" w:rsidTr="00866205">
        <w:tc>
          <w:tcPr>
            <w:tcW w:w="1276" w:type="dxa"/>
            <w:tcBorders>
              <w:top w:val="nil"/>
              <w:bottom w:val="single" w:sz="4" w:space="0" w:color="auto"/>
              <w:right w:val="nil"/>
            </w:tcBorders>
            <w:shd w:val="clear" w:color="auto" w:fill="auto"/>
          </w:tcPr>
          <w:p w14:paraId="20E0AC4F"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single" w:sz="4" w:space="0" w:color="auto"/>
            </w:tcBorders>
            <w:shd w:val="clear" w:color="auto" w:fill="auto"/>
          </w:tcPr>
          <w:p w14:paraId="663F244B"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33</w:t>
            </w:r>
          </w:p>
        </w:tc>
        <w:tc>
          <w:tcPr>
            <w:tcW w:w="1560" w:type="dxa"/>
            <w:tcBorders>
              <w:top w:val="nil"/>
              <w:bottom w:val="single" w:sz="4" w:space="0" w:color="auto"/>
            </w:tcBorders>
            <w:shd w:val="clear" w:color="auto" w:fill="auto"/>
          </w:tcPr>
          <w:p w14:paraId="1F604A08" w14:textId="77777777" w:rsidR="00C95646" w:rsidRPr="001D1025" w:rsidRDefault="00C95646" w:rsidP="00C95646">
            <w:pPr>
              <w:pStyle w:val="IUCrtabletext"/>
              <w:spacing w:after="0" w:line="240" w:lineRule="auto"/>
            </w:pPr>
            <w:r w:rsidRPr="001D1025">
              <w:t>0.028</w:t>
            </w:r>
            <w:r>
              <w:t>6</w:t>
            </w:r>
            <w:r w:rsidRPr="001D1025">
              <w:t>(2</w:t>
            </w:r>
            <w:r>
              <w:t>5</w:t>
            </w:r>
            <w:r w:rsidRPr="001D1025">
              <w:t>)</w:t>
            </w:r>
          </w:p>
        </w:tc>
        <w:tc>
          <w:tcPr>
            <w:tcW w:w="1559" w:type="dxa"/>
            <w:tcBorders>
              <w:top w:val="nil"/>
              <w:bottom w:val="single" w:sz="4" w:space="0" w:color="auto"/>
            </w:tcBorders>
            <w:shd w:val="clear" w:color="auto" w:fill="auto"/>
          </w:tcPr>
          <w:p w14:paraId="4C04E741" w14:textId="77777777" w:rsidR="00C95646" w:rsidRPr="00094FAE" w:rsidRDefault="00C95646" w:rsidP="00C95646">
            <w:pPr>
              <w:pStyle w:val="IUCrtabletext"/>
              <w:spacing w:after="0" w:line="240" w:lineRule="auto"/>
            </w:pPr>
            <w:r w:rsidRPr="00094FAE">
              <w:t>0.029</w:t>
            </w:r>
            <w:r>
              <w:t>53</w:t>
            </w:r>
            <w:r w:rsidRPr="00094FAE">
              <w:t>(</w:t>
            </w:r>
            <w:r>
              <w:t>25</w:t>
            </w:r>
            <w:r w:rsidRPr="00094FAE">
              <w:t xml:space="preserve">)   </w:t>
            </w:r>
          </w:p>
        </w:tc>
      </w:tr>
      <w:tr w:rsidR="00C95646" w:rsidRPr="001D1025" w14:paraId="34FC338C" w14:textId="77777777" w:rsidTr="00866205">
        <w:tc>
          <w:tcPr>
            <w:tcW w:w="1276" w:type="dxa"/>
            <w:tcBorders>
              <w:top w:val="single" w:sz="4" w:space="0" w:color="auto"/>
              <w:bottom w:val="nil"/>
              <w:right w:val="nil"/>
            </w:tcBorders>
            <w:shd w:val="clear" w:color="auto" w:fill="auto"/>
          </w:tcPr>
          <w:p w14:paraId="71F6A6C5" w14:textId="77777777" w:rsidR="00C95646" w:rsidRPr="00EB0074" w:rsidRDefault="00C95646" w:rsidP="00C95646">
            <w:pPr>
              <w:pStyle w:val="IUCrtabletext"/>
              <w:spacing w:after="0" w:line="240" w:lineRule="auto"/>
              <w:rPr>
                <w:b/>
                <w:sz w:val="18"/>
                <w:szCs w:val="18"/>
              </w:rPr>
            </w:pPr>
            <w:r w:rsidRPr="00EB0074">
              <w:rPr>
                <w:b/>
                <w:sz w:val="18"/>
                <w:szCs w:val="18"/>
              </w:rPr>
              <w:t xml:space="preserve">Ni </w:t>
            </w:r>
            <w:r>
              <w:rPr>
                <w:b/>
                <w:sz w:val="18"/>
                <w:szCs w:val="18"/>
              </w:rPr>
              <w:t>(000)</w:t>
            </w:r>
          </w:p>
        </w:tc>
        <w:tc>
          <w:tcPr>
            <w:tcW w:w="992" w:type="dxa"/>
            <w:tcBorders>
              <w:top w:val="single" w:sz="4" w:space="0" w:color="auto"/>
              <w:left w:val="nil"/>
              <w:bottom w:val="nil"/>
              <w:right w:val="single" w:sz="4" w:space="0" w:color="auto"/>
            </w:tcBorders>
            <w:shd w:val="clear" w:color="auto" w:fill="auto"/>
          </w:tcPr>
          <w:p w14:paraId="1E68C922" w14:textId="77777777" w:rsidR="00C95646" w:rsidRPr="001D1025" w:rsidRDefault="00C95646" w:rsidP="00C95646">
            <w:pPr>
              <w:pStyle w:val="IUCrtabletext"/>
              <w:spacing w:after="0" w:line="240" w:lineRule="auto"/>
            </w:pPr>
            <w:proofErr w:type="spellStart"/>
            <w:r w:rsidRPr="001D1025">
              <w:t>Occ</w:t>
            </w:r>
            <w:proofErr w:type="spellEnd"/>
          </w:p>
        </w:tc>
        <w:tc>
          <w:tcPr>
            <w:tcW w:w="1560" w:type="dxa"/>
            <w:tcBorders>
              <w:top w:val="single" w:sz="4" w:space="0" w:color="auto"/>
              <w:left w:val="single" w:sz="4" w:space="0" w:color="auto"/>
              <w:bottom w:val="nil"/>
              <w:right w:val="single" w:sz="4" w:space="0" w:color="auto"/>
            </w:tcBorders>
            <w:shd w:val="clear" w:color="auto" w:fill="auto"/>
          </w:tcPr>
          <w:p w14:paraId="34F8D0AE" w14:textId="77777777" w:rsidR="00C95646" w:rsidRPr="001D1025" w:rsidRDefault="00C95646" w:rsidP="00C95646">
            <w:pPr>
              <w:pStyle w:val="IUCrtabletext"/>
              <w:spacing w:after="0" w:line="240" w:lineRule="auto"/>
            </w:pPr>
            <w:r w:rsidRPr="001D1025">
              <w:t>1</w:t>
            </w:r>
          </w:p>
        </w:tc>
        <w:tc>
          <w:tcPr>
            <w:tcW w:w="1559" w:type="dxa"/>
            <w:tcBorders>
              <w:top w:val="single" w:sz="4" w:space="0" w:color="auto"/>
              <w:left w:val="single" w:sz="4" w:space="0" w:color="auto"/>
              <w:bottom w:val="nil"/>
            </w:tcBorders>
            <w:shd w:val="clear" w:color="auto" w:fill="auto"/>
          </w:tcPr>
          <w:p w14:paraId="486A66F2" w14:textId="77777777" w:rsidR="00C95646" w:rsidRPr="001D1025" w:rsidRDefault="00C95646" w:rsidP="00C95646">
            <w:pPr>
              <w:pStyle w:val="IUCrtabletext"/>
              <w:spacing w:after="0" w:line="240" w:lineRule="auto"/>
            </w:pPr>
            <w:r w:rsidRPr="001D1025">
              <w:t>1</w:t>
            </w:r>
          </w:p>
        </w:tc>
      </w:tr>
      <w:tr w:rsidR="00C95646" w:rsidRPr="001D1025" w14:paraId="42AB60F3" w14:textId="77777777" w:rsidTr="00866205">
        <w:tc>
          <w:tcPr>
            <w:tcW w:w="1276" w:type="dxa"/>
            <w:tcBorders>
              <w:top w:val="nil"/>
              <w:bottom w:val="nil"/>
              <w:right w:val="nil"/>
            </w:tcBorders>
            <w:shd w:val="clear" w:color="auto" w:fill="auto"/>
          </w:tcPr>
          <w:p w14:paraId="4A524F56"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right w:val="single" w:sz="4" w:space="0" w:color="auto"/>
            </w:tcBorders>
            <w:shd w:val="clear" w:color="auto" w:fill="auto"/>
          </w:tcPr>
          <w:p w14:paraId="52BA690A"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11</w:t>
            </w:r>
            <w:r>
              <w:rPr>
                <w:w w:val="108"/>
              </w:rPr>
              <w:t>=</w:t>
            </w:r>
            <w:r w:rsidRPr="001D1025">
              <w:rPr>
                <w:w w:val="108"/>
              </w:rPr>
              <w:t>U</w:t>
            </w:r>
            <w:r w:rsidRPr="001D1025">
              <w:rPr>
                <w:w w:val="108"/>
                <w:vertAlign w:val="subscript"/>
              </w:rPr>
              <w:t>22</w:t>
            </w:r>
          </w:p>
        </w:tc>
        <w:tc>
          <w:tcPr>
            <w:tcW w:w="1560" w:type="dxa"/>
            <w:tcBorders>
              <w:top w:val="nil"/>
              <w:left w:val="single" w:sz="4" w:space="0" w:color="auto"/>
              <w:bottom w:val="nil"/>
              <w:right w:val="single" w:sz="4" w:space="0" w:color="auto"/>
            </w:tcBorders>
            <w:shd w:val="clear" w:color="auto" w:fill="auto"/>
          </w:tcPr>
          <w:p w14:paraId="545C7375" w14:textId="77777777" w:rsidR="00C95646" w:rsidRPr="001D1025" w:rsidRDefault="00C95646" w:rsidP="00C95646">
            <w:pPr>
              <w:pStyle w:val="IUCrtabletext"/>
              <w:spacing w:after="0" w:line="240" w:lineRule="auto"/>
              <w:rPr>
                <w:w w:val="108"/>
              </w:rPr>
            </w:pPr>
            <w:r w:rsidRPr="001D1025">
              <w:t>0.01</w:t>
            </w:r>
            <w:r>
              <w:t>54</w:t>
            </w:r>
            <w:r w:rsidRPr="001D1025">
              <w:t>(</w:t>
            </w:r>
            <w:r>
              <w:t>9</w:t>
            </w:r>
            <w:r w:rsidRPr="001D1025">
              <w:t>)</w:t>
            </w:r>
          </w:p>
        </w:tc>
        <w:tc>
          <w:tcPr>
            <w:tcW w:w="1559" w:type="dxa"/>
            <w:tcBorders>
              <w:top w:val="nil"/>
              <w:left w:val="single" w:sz="4" w:space="0" w:color="auto"/>
              <w:bottom w:val="nil"/>
            </w:tcBorders>
            <w:shd w:val="clear" w:color="auto" w:fill="auto"/>
          </w:tcPr>
          <w:p w14:paraId="79C62CA3" w14:textId="77777777" w:rsidR="00C95646" w:rsidRPr="001D1025" w:rsidRDefault="00C95646" w:rsidP="00C95646">
            <w:pPr>
              <w:pStyle w:val="IUCrtabletext"/>
              <w:spacing w:after="0" w:line="240" w:lineRule="auto"/>
              <w:rPr>
                <w:w w:val="108"/>
              </w:rPr>
            </w:pPr>
            <w:r>
              <w:t xml:space="preserve">0.0147(9)   </w:t>
            </w:r>
          </w:p>
        </w:tc>
      </w:tr>
      <w:tr w:rsidR="00C95646" w:rsidRPr="001D1025" w14:paraId="614F475F" w14:textId="77777777" w:rsidTr="00866205">
        <w:tc>
          <w:tcPr>
            <w:tcW w:w="1276" w:type="dxa"/>
            <w:tcBorders>
              <w:top w:val="nil"/>
              <w:bottom w:val="nil"/>
              <w:right w:val="nil"/>
            </w:tcBorders>
            <w:shd w:val="clear" w:color="auto" w:fill="auto"/>
          </w:tcPr>
          <w:p w14:paraId="43B32E4F"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right w:val="single" w:sz="4" w:space="0" w:color="auto"/>
            </w:tcBorders>
            <w:shd w:val="clear" w:color="auto" w:fill="auto"/>
          </w:tcPr>
          <w:p w14:paraId="4C0452FB"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33</w:t>
            </w:r>
          </w:p>
        </w:tc>
        <w:tc>
          <w:tcPr>
            <w:tcW w:w="1560" w:type="dxa"/>
            <w:tcBorders>
              <w:top w:val="nil"/>
              <w:left w:val="single" w:sz="4" w:space="0" w:color="auto"/>
              <w:bottom w:val="nil"/>
              <w:right w:val="single" w:sz="4" w:space="0" w:color="auto"/>
            </w:tcBorders>
            <w:shd w:val="clear" w:color="auto" w:fill="auto"/>
          </w:tcPr>
          <w:p w14:paraId="5CF04F8F" w14:textId="77777777" w:rsidR="00C95646" w:rsidRPr="001D1025" w:rsidRDefault="00C95646" w:rsidP="00C95646">
            <w:pPr>
              <w:pStyle w:val="IUCrtabletext"/>
              <w:spacing w:after="0" w:line="240" w:lineRule="auto"/>
            </w:pPr>
            <w:r w:rsidRPr="001D1025">
              <w:t>0.04</w:t>
            </w:r>
            <w:r>
              <w:t>59</w:t>
            </w:r>
            <w:r w:rsidRPr="001D1025">
              <w:t>(2</w:t>
            </w:r>
            <w:r>
              <w:t>2</w:t>
            </w:r>
            <w:r w:rsidRPr="001D1025">
              <w:t>)</w:t>
            </w:r>
          </w:p>
        </w:tc>
        <w:tc>
          <w:tcPr>
            <w:tcW w:w="1559" w:type="dxa"/>
            <w:tcBorders>
              <w:top w:val="nil"/>
              <w:left w:val="single" w:sz="4" w:space="0" w:color="auto"/>
              <w:bottom w:val="nil"/>
            </w:tcBorders>
            <w:shd w:val="clear" w:color="auto" w:fill="auto"/>
          </w:tcPr>
          <w:p w14:paraId="0A28FBC4" w14:textId="77777777" w:rsidR="00C95646" w:rsidRPr="00035A9E" w:rsidRDefault="00C95646" w:rsidP="00C95646">
            <w:pPr>
              <w:pStyle w:val="IUCrtabletext"/>
              <w:spacing w:after="0" w:line="240" w:lineRule="auto"/>
            </w:pPr>
            <w:r>
              <w:t>0.0457(22</w:t>
            </w:r>
            <w:r w:rsidRPr="00035A9E">
              <w:t xml:space="preserve">)    </w:t>
            </w:r>
          </w:p>
        </w:tc>
      </w:tr>
      <w:tr w:rsidR="00C95646" w:rsidRPr="001D1025" w14:paraId="7897680D" w14:textId="77777777" w:rsidTr="00866205">
        <w:tc>
          <w:tcPr>
            <w:tcW w:w="1276" w:type="dxa"/>
            <w:tcBorders>
              <w:top w:val="single" w:sz="4" w:space="0" w:color="auto"/>
              <w:bottom w:val="nil"/>
              <w:right w:val="nil"/>
            </w:tcBorders>
            <w:shd w:val="clear" w:color="auto" w:fill="auto"/>
          </w:tcPr>
          <w:p w14:paraId="3971F80E" w14:textId="77777777" w:rsidR="00C95646" w:rsidRPr="00EB0074" w:rsidRDefault="00C95646" w:rsidP="00C95646">
            <w:pPr>
              <w:pStyle w:val="IUCrtabletext"/>
              <w:spacing w:after="0" w:line="240" w:lineRule="auto"/>
              <w:rPr>
                <w:b/>
                <w:sz w:val="18"/>
                <w:szCs w:val="18"/>
              </w:rPr>
            </w:pPr>
            <w:proofErr w:type="spellStart"/>
            <w:r w:rsidRPr="00EB0074">
              <w:rPr>
                <w:b/>
                <w:sz w:val="18"/>
                <w:szCs w:val="18"/>
              </w:rPr>
              <w:t>O</w:t>
            </w:r>
            <w:r w:rsidRPr="00EB0074">
              <w:rPr>
                <w:b/>
                <w:sz w:val="18"/>
                <w:szCs w:val="18"/>
                <w:vertAlign w:val="subscript"/>
              </w:rPr>
              <w:t>ap</w:t>
            </w:r>
            <w:proofErr w:type="spellEnd"/>
            <w:r>
              <w:rPr>
                <w:b/>
                <w:sz w:val="18"/>
                <w:szCs w:val="18"/>
                <w:vertAlign w:val="subscript"/>
              </w:rPr>
              <w:t xml:space="preserve"> </w:t>
            </w:r>
            <w:r w:rsidRPr="00C95646">
              <w:rPr>
                <w:b/>
                <w:sz w:val="18"/>
                <w:szCs w:val="18"/>
              </w:rPr>
              <w:t>(00z)</w:t>
            </w:r>
          </w:p>
        </w:tc>
        <w:tc>
          <w:tcPr>
            <w:tcW w:w="992" w:type="dxa"/>
            <w:tcBorders>
              <w:top w:val="single" w:sz="4" w:space="0" w:color="auto"/>
              <w:left w:val="nil"/>
              <w:bottom w:val="nil"/>
              <w:right w:val="single" w:sz="4" w:space="0" w:color="auto"/>
            </w:tcBorders>
            <w:shd w:val="clear" w:color="auto" w:fill="auto"/>
          </w:tcPr>
          <w:p w14:paraId="6446042E" w14:textId="77777777" w:rsidR="00C95646" w:rsidRPr="001D1025" w:rsidRDefault="00C95646" w:rsidP="00C95646">
            <w:pPr>
              <w:pStyle w:val="IUCrtabletext"/>
              <w:spacing w:after="0" w:line="240" w:lineRule="auto"/>
            </w:pPr>
            <w:r w:rsidRPr="001D1025">
              <w:t>z</w:t>
            </w:r>
          </w:p>
        </w:tc>
        <w:tc>
          <w:tcPr>
            <w:tcW w:w="1560" w:type="dxa"/>
            <w:tcBorders>
              <w:top w:val="single" w:sz="4" w:space="0" w:color="auto"/>
              <w:left w:val="single" w:sz="4" w:space="0" w:color="auto"/>
              <w:bottom w:val="nil"/>
              <w:right w:val="single" w:sz="4" w:space="0" w:color="auto"/>
            </w:tcBorders>
            <w:shd w:val="clear" w:color="auto" w:fill="auto"/>
          </w:tcPr>
          <w:p w14:paraId="6D1B4368" w14:textId="77777777" w:rsidR="00C95646" w:rsidRPr="001D1025" w:rsidRDefault="00C95646" w:rsidP="00C95646">
            <w:pPr>
              <w:pStyle w:val="IUCrtabletext"/>
              <w:spacing w:after="0" w:line="240" w:lineRule="auto"/>
            </w:pPr>
            <w:r w:rsidRPr="001D1025">
              <w:rPr>
                <w:lang w:val="it-IT"/>
              </w:rPr>
              <w:t>0.1763(</w:t>
            </w:r>
            <w:r>
              <w:rPr>
                <w:lang w:val="it-IT"/>
              </w:rPr>
              <w:t>7</w:t>
            </w:r>
            <w:r w:rsidRPr="001D1025">
              <w:rPr>
                <w:lang w:val="it-IT"/>
              </w:rPr>
              <w:t>)</w:t>
            </w:r>
          </w:p>
        </w:tc>
        <w:tc>
          <w:tcPr>
            <w:tcW w:w="1559" w:type="dxa"/>
            <w:tcBorders>
              <w:top w:val="single" w:sz="4" w:space="0" w:color="auto"/>
              <w:left w:val="single" w:sz="4" w:space="0" w:color="auto"/>
              <w:bottom w:val="nil"/>
            </w:tcBorders>
            <w:shd w:val="clear" w:color="auto" w:fill="auto"/>
          </w:tcPr>
          <w:p w14:paraId="49F5DFCC" w14:textId="77777777" w:rsidR="00C95646" w:rsidRPr="00035A9E" w:rsidRDefault="00C95646" w:rsidP="00C95646">
            <w:pPr>
              <w:pStyle w:val="IUCrtabletext"/>
              <w:spacing w:after="0" w:line="240" w:lineRule="auto"/>
            </w:pPr>
            <w:r w:rsidRPr="00035A9E">
              <w:t>0.17</w:t>
            </w:r>
            <w:r>
              <w:t>64</w:t>
            </w:r>
            <w:r w:rsidRPr="00035A9E">
              <w:t>(</w:t>
            </w:r>
            <w:r>
              <w:t>7</w:t>
            </w:r>
            <w:r w:rsidRPr="00035A9E">
              <w:t>)</w:t>
            </w:r>
          </w:p>
        </w:tc>
      </w:tr>
      <w:tr w:rsidR="00C95646" w:rsidRPr="001D1025" w14:paraId="550AB4FB" w14:textId="77777777" w:rsidTr="00866205">
        <w:tc>
          <w:tcPr>
            <w:tcW w:w="1276" w:type="dxa"/>
            <w:tcBorders>
              <w:top w:val="nil"/>
              <w:bottom w:val="nil"/>
              <w:right w:val="nil"/>
            </w:tcBorders>
            <w:shd w:val="clear" w:color="auto" w:fill="auto"/>
          </w:tcPr>
          <w:p w14:paraId="637FBDD8"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right w:val="single" w:sz="4" w:space="0" w:color="auto"/>
            </w:tcBorders>
            <w:shd w:val="clear" w:color="auto" w:fill="auto"/>
          </w:tcPr>
          <w:p w14:paraId="36A302E0" w14:textId="77777777" w:rsidR="00C95646" w:rsidRPr="001D1025" w:rsidRDefault="00C95646" w:rsidP="00C95646">
            <w:pPr>
              <w:pStyle w:val="IUCrtabletext"/>
              <w:spacing w:after="0" w:line="240" w:lineRule="auto"/>
            </w:pPr>
            <w:proofErr w:type="spellStart"/>
            <w:r w:rsidRPr="001D1025">
              <w:t>Occ</w:t>
            </w:r>
            <w:proofErr w:type="spellEnd"/>
          </w:p>
        </w:tc>
        <w:tc>
          <w:tcPr>
            <w:tcW w:w="1560" w:type="dxa"/>
            <w:tcBorders>
              <w:top w:val="nil"/>
              <w:left w:val="single" w:sz="4" w:space="0" w:color="auto"/>
              <w:bottom w:val="nil"/>
              <w:right w:val="single" w:sz="4" w:space="0" w:color="auto"/>
            </w:tcBorders>
            <w:shd w:val="clear" w:color="auto" w:fill="auto"/>
          </w:tcPr>
          <w:p w14:paraId="26B22B6F" w14:textId="77777777" w:rsidR="00C95646" w:rsidRPr="001D1025" w:rsidRDefault="00C95646" w:rsidP="00C95646">
            <w:pPr>
              <w:pStyle w:val="IUCrtabletext"/>
              <w:spacing w:after="0" w:line="240" w:lineRule="auto"/>
              <w:rPr>
                <w:w w:val="108"/>
              </w:rPr>
            </w:pPr>
            <w:r w:rsidRPr="001D1025">
              <w:rPr>
                <w:w w:val="108"/>
              </w:rPr>
              <w:t>1.8</w:t>
            </w:r>
            <w:r>
              <w:rPr>
                <w:w w:val="108"/>
              </w:rPr>
              <w:t>0</w:t>
            </w:r>
            <w:r w:rsidRPr="001D1025">
              <w:rPr>
                <w:w w:val="108"/>
              </w:rPr>
              <w:t>(6)</w:t>
            </w:r>
          </w:p>
        </w:tc>
        <w:tc>
          <w:tcPr>
            <w:tcW w:w="1559" w:type="dxa"/>
            <w:tcBorders>
              <w:top w:val="nil"/>
              <w:left w:val="single" w:sz="4" w:space="0" w:color="auto"/>
              <w:bottom w:val="nil"/>
            </w:tcBorders>
            <w:shd w:val="clear" w:color="auto" w:fill="auto"/>
          </w:tcPr>
          <w:p w14:paraId="1C3915EC" w14:textId="77777777" w:rsidR="00C95646" w:rsidRPr="00035A9E" w:rsidRDefault="00C95646" w:rsidP="00C95646">
            <w:pPr>
              <w:pStyle w:val="IUCrtabletext"/>
              <w:spacing w:after="0" w:line="240" w:lineRule="auto"/>
              <w:rPr>
                <w:w w:val="108"/>
              </w:rPr>
            </w:pPr>
            <w:r w:rsidRPr="00035A9E">
              <w:rPr>
                <w:w w:val="108"/>
              </w:rPr>
              <w:t>1.85(7)</w:t>
            </w:r>
          </w:p>
        </w:tc>
      </w:tr>
      <w:tr w:rsidR="00C95646" w:rsidRPr="001D1025" w14:paraId="40A12468" w14:textId="77777777" w:rsidTr="00866205">
        <w:tc>
          <w:tcPr>
            <w:tcW w:w="1276" w:type="dxa"/>
            <w:tcBorders>
              <w:top w:val="nil"/>
              <w:bottom w:val="nil"/>
              <w:right w:val="nil"/>
            </w:tcBorders>
            <w:shd w:val="clear" w:color="auto" w:fill="auto"/>
          </w:tcPr>
          <w:p w14:paraId="16CDEE82"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right w:val="single" w:sz="4" w:space="0" w:color="auto"/>
            </w:tcBorders>
            <w:shd w:val="clear" w:color="auto" w:fill="auto"/>
          </w:tcPr>
          <w:p w14:paraId="7543A539"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11</w:t>
            </w:r>
            <w:r>
              <w:rPr>
                <w:w w:val="108"/>
              </w:rPr>
              <w:t>=</w:t>
            </w:r>
            <w:r w:rsidRPr="001D1025">
              <w:rPr>
                <w:w w:val="108"/>
              </w:rPr>
              <w:t>U</w:t>
            </w:r>
            <w:r w:rsidRPr="001D1025">
              <w:rPr>
                <w:w w:val="108"/>
                <w:vertAlign w:val="subscript"/>
              </w:rPr>
              <w:t>22</w:t>
            </w:r>
          </w:p>
        </w:tc>
        <w:tc>
          <w:tcPr>
            <w:tcW w:w="1560" w:type="dxa"/>
            <w:tcBorders>
              <w:top w:val="nil"/>
              <w:left w:val="single" w:sz="4" w:space="0" w:color="auto"/>
              <w:bottom w:val="nil"/>
              <w:right w:val="single" w:sz="4" w:space="0" w:color="auto"/>
            </w:tcBorders>
            <w:shd w:val="clear" w:color="auto" w:fill="auto"/>
          </w:tcPr>
          <w:p w14:paraId="3F267E28" w14:textId="77777777" w:rsidR="00C95646" w:rsidRPr="001D1025" w:rsidRDefault="00C95646" w:rsidP="00C95646">
            <w:pPr>
              <w:pStyle w:val="IUCrtabletext"/>
              <w:spacing w:after="0" w:line="240" w:lineRule="auto"/>
            </w:pPr>
            <w:r w:rsidRPr="001D1025">
              <w:t>0.09</w:t>
            </w:r>
            <w:r>
              <w:t>39</w:t>
            </w:r>
            <w:r w:rsidRPr="001D1025">
              <w:t>(</w:t>
            </w:r>
            <w:r>
              <w:t>69</w:t>
            </w:r>
            <w:r w:rsidRPr="001D1025">
              <w:t xml:space="preserve">) </w:t>
            </w:r>
          </w:p>
        </w:tc>
        <w:tc>
          <w:tcPr>
            <w:tcW w:w="1559" w:type="dxa"/>
            <w:tcBorders>
              <w:top w:val="nil"/>
              <w:left w:val="single" w:sz="4" w:space="0" w:color="auto"/>
              <w:bottom w:val="nil"/>
            </w:tcBorders>
            <w:shd w:val="clear" w:color="auto" w:fill="auto"/>
          </w:tcPr>
          <w:p w14:paraId="42C2A783" w14:textId="77777777" w:rsidR="00C95646" w:rsidRPr="00035A9E" w:rsidRDefault="00C95646" w:rsidP="00C95646">
            <w:pPr>
              <w:pStyle w:val="IUCrtabletext"/>
              <w:spacing w:after="0" w:line="240" w:lineRule="auto"/>
              <w:rPr>
                <w:lang w:val="fr-FR"/>
              </w:rPr>
            </w:pPr>
            <w:r w:rsidRPr="00035A9E">
              <w:rPr>
                <w:lang w:val="fr-FR"/>
              </w:rPr>
              <w:t>0.</w:t>
            </w:r>
            <w:r>
              <w:rPr>
                <w:lang w:val="fr-FR"/>
              </w:rPr>
              <w:t>0956</w:t>
            </w:r>
            <w:r w:rsidRPr="00035A9E">
              <w:rPr>
                <w:lang w:val="fr-FR"/>
              </w:rPr>
              <w:t>(</w:t>
            </w:r>
            <w:r>
              <w:rPr>
                <w:lang w:val="fr-FR"/>
              </w:rPr>
              <w:t>69</w:t>
            </w:r>
            <w:r w:rsidRPr="00035A9E">
              <w:rPr>
                <w:lang w:val="fr-FR"/>
              </w:rPr>
              <w:t xml:space="preserve">)    </w:t>
            </w:r>
          </w:p>
        </w:tc>
      </w:tr>
      <w:tr w:rsidR="00C95646" w:rsidRPr="005F362D" w14:paraId="76780EA7" w14:textId="77777777" w:rsidTr="00866205">
        <w:tc>
          <w:tcPr>
            <w:tcW w:w="1276" w:type="dxa"/>
            <w:tcBorders>
              <w:top w:val="nil"/>
              <w:bottom w:val="nil"/>
              <w:right w:val="nil"/>
            </w:tcBorders>
            <w:shd w:val="clear" w:color="auto" w:fill="auto"/>
          </w:tcPr>
          <w:p w14:paraId="00FE7F21"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right w:val="single" w:sz="4" w:space="0" w:color="auto"/>
            </w:tcBorders>
            <w:shd w:val="clear" w:color="auto" w:fill="auto"/>
          </w:tcPr>
          <w:p w14:paraId="3E5FC432" w14:textId="77777777" w:rsidR="00C95646" w:rsidRPr="005F362D" w:rsidRDefault="00C95646" w:rsidP="00C95646">
            <w:pPr>
              <w:pStyle w:val="IUCrtabletext"/>
              <w:spacing w:after="0" w:line="240" w:lineRule="auto"/>
              <w:rPr>
                <w:w w:val="108"/>
                <w:lang w:val="fr-FR"/>
              </w:rPr>
            </w:pPr>
            <w:r w:rsidRPr="005F362D">
              <w:rPr>
                <w:w w:val="108"/>
                <w:lang w:val="fr-FR"/>
              </w:rPr>
              <w:t>U</w:t>
            </w:r>
            <w:r w:rsidRPr="005F362D">
              <w:rPr>
                <w:w w:val="108"/>
                <w:vertAlign w:val="subscript"/>
                <w:lang w:val="fr-FR"/>
              </w:rPr>
              <w:t>33</w:t>
            </w:r>
          </w:p>
        </w:tc>
        <w:tc>
          <w:tcPr>
            <w:tcW w:w="1560" w:type="dxa"/>
            <w:tcBorders>
              <w:top w:val="nil"/>
              <w:left w:val="single" w:sz="4" w:space="0" w:color="auto"/>
              <w:bottom w:val="nil"/>
              <w:right w:val="single" w:sz="4" w:space="0" w:color="auto"/>
            </w:tcBorders>
            <w:shd w:val="clear" w:color="auto" w:fill="auto"/>
          </w:tcPr>
          <w:p w14:paraId="7AF67646" w14:textId="77777777" w:rsidR="00C95646" w:rsidRPr="005F362D" w:rsidRDefault="00C95646" w:rsidP="00C95646">
            <w:pPr>
              <w:pStyle w:val="IUCrtabletext"/>
              <w:spacing w:after="0" w:line="240" w:lineRule="auto"/>
              <w:rPr>
                <w:lang w:val="fr-FR"/>
              </w:rPr>
            </w:pPr>
            <w:r w:rsidRPr="005F362D">
              <w:rPr>
                <w:lang w:val="fr-FR"/>
              </w:rPr>
              <w:t>0.02</w:t>
            </w:r>
            <w:r>
              <w:rPr>
                <w:lang w:val="fr-FR"/>
              </w:rPr>
              <w:t>47</w:t>
            </w:r>
            <w:r w:rsidRPr="005F362D">
              <w:rPr>
                <w:lang w:val="fr-FR"/>
              </w:rPr>
              <w:t>(</w:t>
            </w:r>
            <w:r>
              <w:rPr>
                <w:lang w:val="fr-FR"/>
              </w:rPr>
              <w:t>3</w:t>
            </w:r>
            <w:r w:rsidRPr="005F362D">
              <w:rPr>
                <w:lang w:val="fr-FR"/>
              </w:rPr>
              <w:t>4)</w:t>
            </w:r>
          </w:p>
        </w:tc>
        <w:tc>
          <w:tcPr>
            <w:tcW w:w="1559" w:type="dxa"/>
            <w:tcBorders>
              <w:top w:val="nil"/>
              <w:left w:val="single" w:sz="4" w:space="0" w:color="auto"/>
              <w:bottom w:val="nil"/>
            </w:tcBorders>
            <w:shd w:val="clear" w:color="auto" w:fill="auto"/>
          </w:tcPr>
          <w:p w14:paraId="5C244501" w14:textId="77777777" w:rsidR="00C95646" w:rsidRPr="00035A9E" w:rsidRDefault="00C95646" w:rsidP="00C95646">
            <w:pPr>
              <w:pStyle w:val="IUCrtabletext"/>
              <w:spacing w:after="0" w:line="240" w:lineRule="auto"/>
              <w:rPr>
                <w:lang w:val="fr-FR"/>
              </w:rPr>
            </w:pPr>
            <w:r w:rsidRPr="00035A9E">
              <w:rPr>
                <w:lang w:val="fr-FR"/>
              </w:rPr>
              <w:t>0.02</w:t>
            </w:r>
            <w:r>
              <w:rPr>
                <w:lang w:val="fr-FR"/>
              </w:rPr>
              <w:t>72</w:t>
            </w:r>
            <w:r w:rsidRPr="00035A9E">
              <w:rPr>
                <w:lang w:val="fr-FR"/>
              </w:rPr>
              <w:t>(</w:t>
            </w:r>
            <w:r>
              <w:rPr>
                <w:lang w:val="fr-FR"/>
              </w:rPr>
              <w:t>3</w:t>
            </w:r>
            <w:r w:rsidRPr="00035A9E">
              <w:rPr>
                <w:lang w:val="fr-FR"/>
              </w:rPr>
              <w:t xml:space="preserve">4)    </w:t>
            </w:r>
          </w:p>
        </w:tc>
      </w:tr>
      <w:tr w:rsidR="00C95646" w:rsidRPr="005F362D" w14:paraId="6D2F9937" w14:textId="77777777" w:rsidTr="00866205">
        <w:tc>
          <w:tcPr>
            <w:tcW w:w="1276" w:type="dxa"/>
            <w:tcBorders>
              <w:top w:val="single" w:sz="4" w:space="0" w:color="auto"/>
              <w:bottom w:val="nil"/>
              <w:right w:val="nil"/>
            </w:tcBorders>
            <w:shd w:val="clear" w:color="auto" w:fill="auto"/>
          </w:tcPr>
          <w:p w14:paraId="76D70DF5" w14:textId="77777777" w:rsidR="00C95646" w:rsidRPr="00EB0074" w:rsidRDefault="00C95646" w:rsidP="00C95646">
            <w:pPr>
              <w:pStyle w:val="IUCrtabletext"/>
              <w:spacing w:after="0" w:line="240" w:lineRule="auto"/>
              <w:rPr>
                <w:b/>
                <w:sz w:val="18"/>
                <w:szCs w:val="18"/>
                <w:lang w:val="fr-FR"/>
              </w:rPr>
            </w:pPr>
            <w:proofErr w:type="spellStart"/>
            <w:r w:rsidRPr="00EB0074">
              <w:rPr>
                <w:b/>
                <w:sz w:val="18"/>
                <w:szCs w:val="18"/>
                <w:lang w:val="fr-FR"/>
              </w:rPr>
              <w:t>O</w:t>
            </w:r>
            <w:r w:rsidRPr="00EB0074">
              <w:rPr>
                <w:b/>
                <w:sz w:val="18"/>
                <w:szCs w:val="18"/>
                <w:vertAlign w:val="subscript"/>
                <w:lang w:val="fr-FR"/>
              </w:rPr>
              <w:t>eq</w:t>
            </w:r>
            <w:proofErr w:type="spellEnd"/>
            <w:r>
              <w:rPr>
                <w:b/>
                <w:sz w:val="18"/>
                <w:szCs w:val="18"/>
                <w:vertAlign w:val="subscript"/>
                <w:lang w:val="fr-FR"/>
              </w:rPr>
              <w:t xml:space="preserve"> (</w:t>
            </w:r>
            <w:r w:rsidRPr="001D1025">
              <w:rPr>
                <w:w w:val="108"/>
              </w:rPr>
              <w:t>¼¼</w:t>
            </w:r>
            <w:r>
              <w:rPr>
                <w:w w:val="108"/>
              </w:rPr>
              <w:t>0)</w:t>
            </w:r>
          </w:p>
        </w:tc>
        <w:tc>
          <w:tcPr>
            <w:tcW w:w="992" w:type="dxa"/>
            <w:tcBorders>
              <w:top w:val="single" w:sz="4" w:space="0" w:color="auto"/>
              <w:left w:val="nil"/>
              <w:bottom w:val="nil"/>
            </w:tcBorders>
            <w:shd w:val="clear" w:color="auto" w:fill="auto"/>
          </w:tcPr>
          <w:p w14:paraId="333F626C" w14:textId="77777777" w:rsidR="00C95646" w:rsidRPr="005F362D" w:rsidRDefault="00C95646" w:rsidP="00C95646">
            <w:pPr>
              <w:pStyle w:val="IUCrtabletext"/>
              <w:spacing w:after="0" w:line="240" w:lineRule="auto"/>
              <w:rPr>
                <w:lang w:val="fr-FR"/>
              </w:rPr>
            </w:pPr>
            <w:proofErr w:type="spellStart"/>
            <w:r w:rsidRPr="005F362D">
              <w:rPr>
                <w:lang w:val="fr-FR"/>
              </w:rPr>
              <w:t>Occ</w:t>
            </w:r>
            <w:proofErr w:type="spellEnd"/>
          </w:p>
        </w:tc>
        <w:tc>
          <w:tcPr>
            <w:tcW w:w="1560" w:type="dxa"/>
            <w:tcBorders>
              <w:top w:val="single" w:sz="4" w:space="0" w:color="auto"/>
              <w:bottom w:val="nil"/>
            </w:tcBorders>
            <w:shd w:val="clear" w:color="auto" w:fill="auto"/>
          </w:tcPr>
          <w:p w14:paraId="21AF8ACC" w14:textId="77777777" w:rsidR="00C95646" w:rsidRPr="005F362D" w:rsidRDefault="00C95646" w:rsidP="00C95646">
            <w:pPr>
              <w:pStyle w:val="IUCrtabletext"/>
              <w:spacing w:after="0" w:line="240" w:lineRule="auto"/>
              <w:rPr>
                <w:lang w:val="fr-FR"/>
              </w:rPr>
            </w:pPr>
            <w:r w:rsidRPr="005F362D">
              <w:rPr>
                <w:lang w:val="fr-FR"/>
              </w:rPr>
              <w:t>2.</w:t>
            </w:r>
            <w:r>
              <w:rPr>
                <w:lang w:val="fr-FR"/>
              </w:rPr>
              <w:t>00</w:t>
            </w:r>
          </w:p>
        </w:tc>
        <w:tc>
          <w:tcPr>
            <w:tcW w:w="1559" w:type="dxa"/>
            <w:tcBorders>
              <w:top w:val="single" w:sz="4" w:space="0" w:color="auto"/>
              <w:bottom w:val="nil"/>
            </w:tcBorders>
            <w:shd w:val="clear" w:color="auto" w:fill="auto"/>
          </w:tcPr>
          <w:p w14:paraId="666C8B79" w14:textId="77777777" w:rsidR="00C95646" w:rsidRPr="00035A9E" w:rsidRDefault="00C95646" w:rsidP="00C95646">
            <w:pPr>
              <w:pStyle w:val="IUCrtabletext"/>
              <w:spacing w:after="0" w:line="240" w:lineRule="auto"/>
              <w:rPr>
                <w:lang w:val="fr-FR"/>
              </w:rPr>
            </w:pPr>
            <w:r w:rsidRPr="00035A9E">
              <w:rPr>
                <w:lang w:val="fr-FR"/>
              </w:rPr>
              <w:t>2.</w:t>
            </w:r>
            <w:r>
              <w:rPr>
                <w:lang w:val="fr-FR"/>
              </w:rPr>
              <w:t>00</w:t>
            </w:r>
          </w:p>
        </w:tc>
      </w:tr>
      <w:tr w:rsidR="00C95646" w:rsidRPr="005F362D" w14:paraId="65548FE1" w14:textId="77777777" w:rsidTr="00866205">
        <w:tc>
          <w:tcPr>
            <w:tcW w:w="1276" w:type="dxa"/>
            <w:tcBorders>
              <w:top w:val="nil"/>
              <w:bottom w:val="nil"/>
              <w:right w:val="nil"/>
            </w:tcBorders>
            <w:shd w:val="clear" w:color="auto" w:fill="auto"/>
          </w:tcPr>
          <w:p w14:paraId="5615C146" w14:textId="77777777" w:rsidR="00C95646" w:rsidRPr="009560F3" w:rsidRDefault="00C95646" w:rsidP="00C95646">
            <w:pPr>
              <w:pStyle w:val="IUCrtabletext"/>
              <w:spacing w:after="0" w:line="240" w:lineRule="auto"/>
              <w:rPr>
                <w:sz w:val="18"/>
                <w:szCs w:val="18"/>
                <w:lang w:val="fr-FR"/>
              </w:rPr>
            </w:pPr>
          </w:p>
        </w:tc>
        <w:tc>
          <w:tcPr>
            <w:tcW w:w="992" w:type="dxa"/>
            <w:tcBorders>
              <w:top w:val="nil"/>
              <w:left w:val="nil"/>
              <w:bottom w:val="nil"/>
            </w:tcBorders>
            <w:shd w:val="clear" w:color="auto" w:fill="auto"/>
          </w:tcPr>
          <w:p w14:paraId="1BA482A8" w14:textId="77777777" w:rsidR="00C95646" w:rsidRPr="005F362D" w:rsidRDefault="00C95646" w:rsidP="00C95646">
            <w:pPr>
              <w:pStyle w:val="IUCrtabletext"/>
              <w:spacing w:after="0" w:line="240" w:lineRule="auto"/>
              <w:rPr>
                <w:w w:val="108"/>
                <w:lang w:val="fr-FR"/>
              </w:rPr>
            </w:pPr>
            <w:r w:rsidRPr="001D1025">
              <w:rPr>
                <w:w w:val="108"/>
              </w:rPr>
              <w:t>U</w:t>
            </w:r>
            <w:r w:rsidRPr="001D1025">
              <w:rPr>
                <w:w w:val="108"/>
                <w:vertAlign w:val="subscript"/>
              </w:rPr>
              <w:t>11</w:t>
            </w:r>
            <w:r>
              <w:rPr>
                <w:w w:val="108"/>
              </w:rPr>
              <w:t>=</w:t>
            </w:r>
            <w:r w:rsidRPr="001D1025">
              <w:rPr>
                <w:w w:val="108"/>
              </w:rPr>
              <w:t>U</w:t>
            </w:r>
            <w:r w:rsidRPr="001D1025">
              <w:rPr>
                <w:w w:val="108"/>
                <w:vertAlign w:val="subscript"/>
              </w:rPr>
              <w:t>22</w:t>
            </w:r>
          </w:p>
        </w:tc>
        <w:tc>
          <w:tcPr>
            <w:tcW w:w="1560" w:type="dxa"/>
            <w:tcBorders>
              <w:top w:val="nil"/>
              <w:bottom w:val="nil"/>
            </w:tcBorders>
            <w:shd w:val="clear" w:color="auto" w:fill="auto"/>
          </w:tcPr>
          <w:p w14:paraId="113533E9" w14:textId="77777777" w:rsidR="00C95646" w:rsidRPr="001D1025" w:rsidRDefault="00C95646" w:rsidP="00C95646">
            <w:pPr>
              <w:pStyle w:val="IUCrtabletext"/>
              <w:spacing w:after="0" w:line="240" w:lineRule="auto"/>
            </w:pPr>
            <w:r w:rsidRPr="005F362D">
              <w:rPr>
                <w:lang w:val="fr-FR"/>
              </w:rPr>
              <w:t>0.0</w:t>
            </w:r>
            <w:r>
              <w:t>296</w:t>
            </w:r>
            <w:r w:rsidRPr="001D1025">
              <w:t>(</w:t>
            </w:r>
            <w:r>
              <w:t>15</w:t>
            </w:r>
            <w:r w:rsidRPr="001D1025">
              <w:t xml:space="preserve">) </w:t>
            </w:r>
          </w:p>
        </w:tc>
        <w:tc>
          <w:tcPr>
            <w:tcW w:w="1559" w:type="dxa"/>
            <w:tcBorders>
              <w:top w:val="nil"/>
              <w:bottom w:val="nil"/>
            </w:tcBorders>
            <w:shd w:val="clear" w:color="auto" w:fill="auto"/>
          </w:tcPr>
          <w:p w14:paraId="4115330F" w14:textId="77777777" w:rsidR="00C95646" w:rsidRPr="00035A9E" w:rsidRDefault="00C95646" w:rsidP="00C95646">
            <w:pPr>
              <w:pStyle w:val="IUCrtabletext"/>
              <w:spacing w:after="0" w:line="240" w:lineRule="auto"/>
            </w:pPr>
            <w:r w:rsidRPr="00035A9E">
              <w:t>0.0</w:t>
            </w:r>
            <w:r>
              <w:t>312(18)</w:t>
            </w:r>
            <w:r w:rsidRPr="00035A9E">
              <w:t xml:space="preserve">    </w:t>
            </w:r>
          </w:p>
        </w:tc>
      </w:tr>
      <w:tr w:rsidR="00C95646" w:rsidRPr="005F362D" w14:paraId="7BC848C8" w14:textId="77777777" w:rsidTr="00866205">
        <w:tc>
          <w:tcPr>
            <w:tcW w:w="1276" w:type="dxa"/>
            <w:tcBorders>
              <w:top w:val="nil"/>
              <w:bottom w:val="nil"/>
              <w:right w:val="nil"/>
            </w:tcBorders>
            <w:shd w:val="clear" w:color="auto" w:fill="auto"/>
          </w:tcPr>
          <w:p w14:paraId="782084E0" w14:textId="77777777" w:rsidR="00C95646" w:rsidRPr="009560F3" w:rsidRDefault="00C95646" w:rsidP="00C95646">
            <w:pPr>
              <w:pStyle w:val="IUCrtabletext"/>
              <w:spacing w:after="0" w:line="240" w:lineRule="auto"/>
              <w:rPr>
                <w:sz w:val="18"/>
                <w:szCs w:val="18"/>
                <w:lang w:val="fr-FR"/>
              </w:rPr>
            </w:pPr>
          </w:p>
        </w:tc>
        <w:tc>
          <w:tcPr>
            <w:tcW w:w="992" w:type="dxa"/>
            <w:tcBorders>
              <w:top w:val="nil"/>
              <w:left w:val="nil"/>
              <w:bottom w:val="nil"/>
            </w:tcBorders>
            <w:shd w:val="clear" w:color="auto" w:fill="auto"/>
          </w:tcPr>
          <w:p w14:paraId="129672EC" w14:textId="77777777" w:rsidR="00C95646" w:rsidRPr="001D1025" w:rsidRDefault="00C95646" w:rsidP="00C95646">
            <w:pPr>
              <w:pStyle w:val="IUCrtabletext"/>
              <w:spacing w:after="0" w:line="240" w:lineRule="auto"/>
              <w:rPr>
                <w:w w:val="108"/>
              </w:rPr>
            </w:pPr>
            <w:r w:rsidRPr="001D1025">
              <w:rPr>
                <w:w w:val="108"/>
              </w:rPr>
              <w:t>U</w:t>
            </w:r>
            <w:r w:rsidRPr="001D1025">
              <w:rPr>
                <w:w w:val="108"/>
                <w:vertAlign w:val="subscript"/>
              </w:rPr>
              <w:t>33</w:t>
            </w:r>
          </w:p>
        </w:tc>
        <w:tc>
          <w:tcPr>
            <w:tcW w:w="1560" w:type="dxa"/>
            <w:tcBorders>
              <w:top w:val="nil"/>
              <w:bottom w:val="nil"/>
            </w:tcBorders>
            <w:shd w:val="clear" w:color="auto" w:fill="auto"/>
          </w:tcPr>
          <w:p w14:paraId="30C390CA" w14:textId="77777777" w:rsidR="00C95646" w:rsidRPr="001D1025" w:rsidRDefault="00C95646" w:rsidP="00C95646">
            <w:pPr>
              <w:pStyle w:val="IUCrtabletext"/>
              <w:spacing w:after="0" w:line="240" w:lineRule="auto"/>
            </w:pPr>
            <w:r w:rsidRPr="001D1025">
              <w:t>0.06</w:t>
            </w:r>
            <w:r>
              <w:t>45</w:t>
            </w:r>
            <w:r w:rsidRPr="001D1025">
              <w:t>(</w:t>
            </w:r>
            <w:r>
              <w:t>39</w:t>
            </w:r>
            <w:r w:rsidRPr="001D1025">
              <w:t>)</w:t>
            </w:r>
          </w:p>
        </w:tc>
        <w:tc>
          <w:tcPr>
            <w:tcW w:w="1559" w:type="dxa"/>
            <w:tcBorders>
              <w:top w:val="nil"/>
              <w:bottom w:val="nil"/>
            </w:tcBorders>
            <w:shd w:val="clear" w:color="auto" w:fill="auto"/>
          </w:tcPr>
          <w:p w14:paraId="5996730B" w14:textId="77777777" w:rsidR="00C95646" w:rsidRPr="00035A9E" w:rsidRDefault="00C95646" w:rsidP="00C95646">
            <w:pPr>
              <w:pStyle w:val="IUCrtabletext"/>
              <w:spacing w:after="0" w:line="240" w:lineRule="auto"/>
            </w:pPr>
            <w:r w:rsidRPr="00035A9E">
              <w:t>0.06</w:t>
            </w:r>
            <w:r>
              <w:t>39(40)</w:t>
            </w:r>
            <w:r w:rsidRPr="00035A9E">
              <w:t xml:space="preserve">    </w:t>
            </w:r>
          </w:p>
        </w:tc>
      </w:tr>
      <w:tr w:rsidR="00C95646" w:rsidRPr="001D1025" w14:paraId="5FA17CC3" w14:textId="77777777" w:rsidTr="00866205">
        <w:tc>
          <w:tcPr>
            <w:tcW w:w="1276" w:type="dxa"/>
            <w:tcBorders>
              <w:top w:val="single" w:sz="4" w:space="0" w:color="auto"/>
              <w:bottom w:val="nil"/>
              <w:right w:val="nil"/>
            </w:tcBorders>
            <w:shd w:val="clear" w:color="auto" w:fill="auto"/>
          </w:tcPr>
          <w:p w14:paraId="4D9D0E0D" w14:textId="77777777" w:rsidR="00C95646" w:rsidRPr="00C95646" w:rsidRDefault="00C95646" w:rsidP="00C95646">
            <w:pPr>
              <w:pStyle w:val="IUCrtabletext"/>
              <w:spacing w:after="0" w:line="240" w:lineRule="auto"/>
              <w:rPr>
                <w:b/>
                <w:sz w:val="18"/>
                <w:szCs w:val="18"/>
              </w:rPr>
            </w:pPr>
            <w:proofErr w:type="spellStart"/>
            <w:r w:rsidRPr="00EB0074">
              <w:rPr>
                <w:b/>
                <w:sz w:val="18"/>
                <w:szCs w:val="18"/>
              </w:rPr>
              <w:t>O</w:t>
            </w:r>
            <w:r w:rsidRPr="00EB0074">
              <w:rPr>
                <w:b/>
                <w:sz w:val="18"/>
                <w:szCs w:val="18"/>
                <w:vertAlign w:val="subscript"/>
              </w:rPr>
              <w:t>int</w:t>
            </w:r>
            <w:proofErr w:type="spellEnd"/>
            <w:r>
              <w:rPr>
                <w:b/>
                <w:sz w:val="18"/>
                <w:szCs w:val="18"/>
                <w:vertAlign w:val="subscript"/>
              </w:rPr>
              <w:t xml:space="preserve"> </w:t>
            </w:r>
            <w:r>
              <w:rPr>
                <w:b/>
                <w:sz w:val="18"/>
                <w:szCs w:val="18"/>
              </w:rPr>
              <w:t>(</w:t>
            </w:r>
            <w:r w:rsidRPr="001D1025">
              <w:rPr>
                <w:w w:val="108"/>
              </w:rPr>
              <w:t>¼¼¼</w:t>
            </w:r>
            <w:r>
              <w:rPr>
                <w:w w:val="108"/>
              </w:rPr>
              <w:t>)</w:t>
            </w:r>
          </w:p>
        </w:tc>
        <w:tc>
          <w:tcPr>
            <w:tcW w:w="992" w:type="dxa"/>
            <w:tcBorders>
              <w:top w:val="single" w:sz="4" w:space="0" w:color="auto"/>
              <w:left w:val="nil"/>
              <w:bottom w:val="nil"/>
            </w:tcBorders>
            <w:shd w:val="clear" w:color="auto" w:fill="auto"/>
          </w:tcPr>
          <w:p w14:paraId="1D30EA0F" w14:textId="77777777" w:rsidR="00C95646" w:rsidRPr="001D1025" w:rsidRDefault="00C95646" w:rsidP="00C95646">
            <w:pPr>
              <w:pStyle w:val="IUCrtabletext"/>
              <w:spacing w:after="0" w:line="240" w:lineRule="auto"/>
            </w:pPr>
            <w:proofErr w:type="spellStart"/>
            <w:r w:rsidRPr="001D1025">
              <w:t>Occ</w:t>
            </w:r>
            <w:proofErr w:type="spellEnd"/>
          </w:p>
        </w:tc>
        <w:tc>
          <w:tcPr>
            <w:tcW w:w="1560" w:type="dxa"/>
            <w:tcBorders>
              <w:top w:val="single" w:sz="4" w:space="0" w:color="auto"/>
              <w:bottom w:val="nil"/>
            </w:tcBorders>
            <w:shd w:val="clear" w:color="auto" w:fill="auto"/>
          </w:tcPr>
          <w:p w14:paraId="788FF30C" w14:textId="77777777" w:rsidR="00C95646" w:rsidRPr="001D1025" w:rsidRDefault="00C95646" w:rsidP="00C95646">
            <w:pPr>
              <w:pStyle w:val="IUCrtabletext"/>
              <w:spacing w:after="0" w:line="240" w:lineRule="auto"/>
            </w:pPr>
          </w:p>
        </w:tc>
        <w:tc>
          <w:tcPr>
            <w:tcW w:w="1559" w:type="dxa"/>
            <w:tcBorders>
              <w:top w:val="single" w:sz="4" w:space="0" w:color="auto"/>
              <w:bottom w:val="nil"/>
            </w:tcBorders>
            <w:shd w:val="clear" w:color="auto" w:fill="auto"/>
          </w:tcPr>
          <w:p w14:paraId="456C1D01" w14:textId="77777777" w:rsidR="00C95646" w:rsidRPr="001D1025" w:rsidRDefault="00C95646" w:rsidP="00C95646">
            <w:pPr>
              <w:pStyle w:val="IUCrtabletext"/>
              <w:spacing w:after="0" w:line="240" w:lineRule="auto"/>
            </w:pPr>
            <w:r>
              <w:t>0.126(7)</w:t>
            </w:r>
          </w:p>
        </w:tc>
      </w:tr>
      <w:tr w:rsidR="00C95646" w:rsidRPr="001D1025" w14:paraId="09B2C7AE" w14:textId="77777777" w:rsidTr="00866205">
        <w:tc>
          <w:tcPr>
            <w:tcW w:w="1276" w:type="dxa"/>
            <w:tcBorders>
              <w:top w:val="nil"/>
              <w:bottom w:val="nil"/>
              <w:right w:val="nil"/>
            </w:tcBorders>
            <w:shd w:val="clear" w:color="auto" w:fill="auto"/>
          </w:tcPr>
          <w:p w14:paraId="513C3708" w14:textId="77777777" w:rsidR="00C95646" w:rsidRPr="009560F3" w:rsidRDefault="00C95646" w:rsidP="00C95646">
            <w:pPr>
              <w:pStyle w:val="IUCrtabletext"/>
              <w:spacing w:after="0" w:line="240" w:lineRule="auto"/>
              <w:rPr>
                <w:sz w:val="18"/>
                <w:szCs w:val="18"/>
              </w:rPr>
            </w:pPr>
          </w:p>
        </w:tc>
        <w:tc>
          <w:tcPr>
            <w:tcW w:w="992" w:type="dxa"/>
            <w:tcBorders>
              <w:top w:val="nil"/>
              <w:left w:val="nil"/>
              <w:bottom w:val="nil"/>
            </w:tcBorders>
            <w:shd w:val="clear" w:color="auto" w:fill="auto"/>
          </w:tcPr>
          <w:p w14:paraId="0E1800DB" w14:textId="77777777" w:rsidR="00C95646" w:rsidRPr="001D1025" w:rsidRDefault="00C95646" w:rsidP="00C95646">
            <w:pPr>
              <w:pStyle w:val="IUCrtabletext"/>
              <w:spacing w:after="0" w:line="240" w:lineRule="auto"/>
              <w:rPr>
                <w:w w:val="108"/>
              </w:rPr>
            </w:pPr>
            <w:proofErr w:type="spellStart"/>
            <w:r w:rsidRPr="001D1025">
              <w:rPr>
                <w:w w:val="108"/>
              </w:rPr>
              <w:t>U</w:t>
            </w:r>
            <w:r w:rsidRPr="001D1025">
              <w:rPr>
                <w:w w:val="108"/>
                <w:vertAlign w:val="subscript"/>
              </w:rPr>
              <w:t>iso</w:t>
            </w:r>
            <w:proofErr w:type="spellEnd"/>
          </w:p>
        </w:tc>
        <w:tc>
          <w:tcPr>
            <w:tcW w:w="1560" w:type="dxa"/>
            <w:tcBorders>
              <w:top w:val="nil"/>
              <w:bottom w:val="nil"/>
            </w:tcBorders>
            <w:shd w:val="clear" w:color="auto" w:fill="auto"/>
          </w:tcPr>
          <w:p w14:paraId="49E587F5" w14:textId="77777777" w:rsidR="00C95646" w:rsidRPr="001D1025" w:rsidRDefault="00C95646" w:rsidP="00C95646">
            <w:pPr>
              <w:pStyle w:val="IUCrtabletext"/>
              <w:spacing w:after="0" w:line="240" w:lineRule="auto"/>
            </w:pPr>
          </w:p>
        </w:tc>
        <w:tc>
          <w:tcPr>
            <w:tcW w:w="1559" w:type="dxa"/>
            <w:tcBorders>
              <w:top w:val="nil"/>
              <w:bottom w:val="nil"/>
            </w:tcBorders>
            <w:shd w:val="clear" w:color="auto" w:fill="auto"/>
          </w:tcPr>
          <w:p w14:paraId="059D96E7" w14:textId="77777777" w:rsidR="00C95646" w:rsidRPr="001D1025" w:rsidRDefault="00C95646" w:rsidP="00C95646">
            <w:pPr>
              <w:pStyle w:val="IUCrtabletext"/>
              <w:spacing w:after="0" w:line="240" w:lineRule="auto"/>
            </w:pPr>
            <w:r>
              <w:t>0.0415(88)</w:t>
            </w:r>
          </w:p>
        </w:tc>
      </w:tr>
      <w:tr w:rsidR="00C95646" w:rsidRPr="001D1025" w14:paraId="185D5771" w14:textId="77777777" w:rsidTr="00866205">
        <w:tc>
          <w:tcPr>
            <w:tcW w:w="2268" w:type="dxa"/>
            <w:gridSpan w:val="2"/>
            <w:tcBorders>
              <w:top w:val="single" w:sz="4" w:space="0" w:color="auto"/>
              <w:bottom w:val="double" w:sz="4" w:space="0" w:color="auto"/>
            </w:tcBorders>
            <w:shd w:val="clear" w:color="auto" w:fill="auto"/>
          </w:tcPr>
          <w:p w14:paraId="2AA314AF" w14:textId="77777777" w:rsidR="00C95646" w:rsidRPr="001D1025" w:rsidRDefault="00C95646" w:rsidP="00C95646">
            <w:pPr>
              <w:pStyle w:val="IUCrtabletext"/>
              <w:spacing w:after="0" w:line="240" w:lineRule="auto"/>
              <w:rPr>
                <w:w w:val="108"/>
              </w:rPr>
            </w:pPr>
            <w:r w:rsidRPr="001D1025">
              <w:rPr>
                <w:w w:val="108"/>
              </w:rPr>
              <w:t>measured reflections</w:t>
            </w:r>
          </w:p>
          <w:p w14:paraId="4D5D5970" w14:textId="77777777" w:rsidR="00C95646" w:rsidRPr="00DA5749" w:rsidRDefault="00C95646" w:rsidP="00C95646">
            <w:pPr>
              <w:pStyle w:val="IUCrtabletext"/>
              <w:spacing w:after="0" w:line="240" w:lineRule="auto"/>
              <w:rPr>
                <w:w w:val="108"/>
              </w:rPr>
            </w:pPr>
            <w:proofErr w:type="spellStart"/>
            <w:proofErr w:type="gramStart"/>
            <w:r w:rsidRPr="009507F4">
              <w:rPr>
                <w:w w:val="108"/>
              </w:rPr>
              <w:t>R</w:t>
            </w:r>
            <w:r w:rsidRPr="009507F4">
              <w:rPr>
                <w:w w:val="108"/>
                <w:vertAlign w:val="subscript"/>
              </w:rPr>
              <w:t>int</w:t>
            </w:r>
            <w:proofErr w:type="spellEnd"/>
            <w:r w:rsidRPr="009507F4">
              <w:rPr>
                <w:w w:val="108"/>
              </w:rPr>
              <w:t>(</w:t>
            </w:r>
            <w:proofErr w:type="spellStart"/>
            <w:proofErr w:type="gramEnd"/>
            <w:r w:rsidRPr="009507F4">
              <w:rPr>
                <w:w w:val="108"/>
              </w:rPr>
              <w:t>hkl</w:t>
            </w:r>
            <w:proofErr w:type="spellEnd"/>
            <w:r w:rsidRPr="009507F4">
              <w:rPr>
                <w:w w:val="108"/>
              </w:rPr>
              <w:t>)(%)</w:t>
            </w:r>
          </w:p>
          <w:p w14:paraId="113CEBB1" w14:textId="77777777" w:rsidR="00C95646" w:rsidRDefault="00C95646" w:rsidP="00C95646">
            <w:pPr>
              <w:pStyle w:val="IUCrtabletext"/>
              <w:spacing w:after="0" w:line="240" w:lineRule="auto"/>
              <w:rPr>
                <w:w w:val="108"/>
              </w:rPr>
            </w:pPr>
            <w:proofErr w:type="spellStart"/>
            <w:r w:rsidRPr="001D1025">
              <w:rPr>
                <w:w w:val="108"/>
              </w:rPr>
              <w:t>R</w:t>
            </w:r>
            <w:r w:rsidRPr="001D1025">
              <w:rPr>
                <w:w w:val="108"/>
                <w:vertAlign w:val="subscript"/>
              </w:rPr>
              <w:t>w</w:t>
            </w:r>
            <w:proofErr w:type="spellEnd"/>
            <w:r w:rsidRPr="001D1025">
              <w:rPr>
                <w:w w:val="108"/>
              </w:rPr>
              <w:t xml:space="preserve"> </w:t>
            </w:r>
            <w:r>
              <w:rPr>
                <w:w w:val="108"/>
              </w:rPr>
              <w:t>(%)</w:t>
            </w:r>
          </w:p>
          <w:p w14:paraId="692A9C25" w14:textId="77777777" w:rsidR="00C95646" w:rsidRPr="001D1025" w:rsidRDefault="00C95646" w:rsidP="00C95646">
            <w:pPr>
              <w:pStyle w:val="IUCrtabletext"/>
              <w:spacing w:after="0" w:line="240" w:lineRule="auto"/>
              <w:rPr>
                <w:w w:val="108"/>
              </w:rPr>
            </w:pPr>
            <w:proofErr w:type="spellStart"/>
            <w:r>
              <w:rPr>
                <w:w w:val="108"/>
              </w:rPr>
              <w:t>GooF</w:t>
            </w:r>
            <w:proofErr w:type="spellEnd"/>
          </w:p>
        </w:tc>
        <w:tc>
          <w:tcPr>
            <w:tcW w:w="1560" w:type="dxa"/>
            <w:tcBorders>
              <w:top w:val="single" w:sz="4" w:space="0" w:color="auto"/>
              <w:bottom w:val="double" w:sz="4" w:space="0" w:color="auto"/>
            </w:tcBorders>
            <w:shd w:val="clear" w:color="auto" w:fill="auto"/>
            <w:vAlign w:val="bottom"/>
          </w:tcPr>
          <w:p w14:paraId="22B53626" w14:textId="77777777" w:rsidR="00C95646" w:rsidRDefault="00C95646" w:rsidP="00C95646">
            <w:pPr>
              <w:pStyle w:val="IUCrtabletext"/>
              <w:spacing w:after="0" w:line="240" w:lineRule="auto"/>
              <w:jc w:val="center"/>
            </w:pPr>
            <w:r>
              <w:t>335, 200 unique</w:t>
            </w:r>
          </w:p>
          <w:p w14:paraId="1CEB0934" w14:textId="77777777" w:rsidR="00C95646" w:rsidRDefault="00C95646" w:rsidP="00C95646">
            <w:pPr>
              <w:pStyle w:val="IUCrtabletext"/>
              <w:spacing w:after="0" w:line="240" w:lineRule="auto"/>
              <w:jc w:val="center"/>
            </w:pPr>
            <w:r>
              <w:t>5.8</w:t>
            </w:r>
          </w:p>
          <w:p w14:paraId="7FCCC89C" w14:textId="77777777" w:rsidR="00C95646" w:rsidRDefault="00C95646" w:rsidP="00C95646">
            <w:pPr>
              <w:pStyle w:val="IUCrtabletext"/>
              <w:spacing w:after="0" w:line="240" w:lineRule="auto"/>
              <w:jc w:val="center"/>
            </w:pPr>
            <w:r>
              <w:t>7.04</w:t>
            </w:r>
          </w:p>
          <w:p w14:paraId="6E38F5C4" w14:textId="77777777" w:rsidR="00C95646" w:rsidRPr="001D1025" w:rsidRDefault="00C95646" w:rsidP="00C95646">
            <w:pPr>
              <w:pStyle w:val="IUCrtabletext"/>
              <w:spacing w:after="0" w:line="240" w:lineRule="auto"/>
              <w:jc w:val="center"/>
            </w:pPr>
            <w:r>
              <w:t>1.84</w:t>
            </w:r>
          </w:p>
        </w:tc>
        <w:tc>
          <w:tcPr>
            <w:tcW w:w="1559" w:type="dxa"/>
            <w:tcBorders>
              <w:top w:val="single" w:sz="4" w:space="0" w:color="auto"/>
              <w:bottom w:val="double" w:sz="4" w:space="0" w:color="auto"/>
            </w:tcBorders>
            <w:shd w:val="clear" w:color="auto" w:fill="auto"/>
            <w:vAlign w:val="bottom"/>
          </w:tcPr>
          <w:p w14:paraId="1A394C07" w14:textId="77777777" w:rsidR="00C95646" w:rsidRDefault="00C95646" w:rsidP="00C95646">
            <w:pPr>
              <w:pStyle w:val="IUCrtabletext"/>
              <w:spacing w:after="0" w:line="240" w:lineRule="auto"/>
              <w:jc w:val="center"/>
            </w:pPr>
            <w:r>
              <w:t>334, 200 unique</w:t>
            </w:r>
          </w:p>
          <w:p w14:paraId="23266AB5" w14:textId="77777777" w:rsidR="00C95646" w:rsidRDefault="00C95646" w:rsidP="00C95646">
            <w:pPr>
              <w:pStyle w:val="IUCrtabletext"/>
              <w:spacing w:after="0" w:line="240" w:lineRule="auto"/>
              <w:jc w:val="center"/>
            </w:pPr>
            <w:r w:rsidRPr="00807F42">
              <w:t>6</w:t>
            </w:r>
            <w:r>
              <w:t>.</w:t>
            </w:r>
            <w:r w:rsidRPr="00807F42">
              <w:t>2</w:t>
            </w:r>
          </w:p>
          <w:p w14:paraId="13D86425" w14:textId="77777777" w:rsidR="00C95646" w:rsidRDefault="00C95646" w:rsidP="00C95646">
            <w:pPr>
              <w:pStyle w:val="IUCrtabletext"/>
              <w:spacing w:after="0" w:line="240" w:lineRule="auto"/>
              <w:jc w:val="center"/>
            </w:pPr>
            <w:r>
              <w:t>6.23</w:t>
            </w:r>
          </w:p>
          <w:p w14:paraId="6F86905E" w14:textId="77777777" w:rsidR="00C95646" w:rsidRPr="001D1025" w:rsidRDefault="00C95646" w:rsidP="00C95646">
            <w:pPr>
              <w:pStyle w:val="IUCrtabletext"/>
              <w:spacing w:after="0" w:line="240" w:lineRule="auto"/>
              <w:jc w:val="center"/>
            </w:pPr>
            <w:r>
              <w:t>1.78</w:t>
            </w:r>
          </w:p>
        </w:tc>
      </w:tr>
    </w:tbl>
    <w:p w14:paraId="4FF0561A" w14:textId="77777777" w:rsidR="005B26EB" w:rsidRDefault="005B26EB" w:rsidP="00B62D6A">
      <w:pPr>
        <w:pStyle w:val="IUCrbodytext"/>
        <w:spacing w:line="240" w:lineRule="auto"/>
        <w:jc w:val="both"/>
        <w:rPr>
          <w:sz w:val="20"/>
          <w:szCs w:val="20"/>
        </w:rPr>
      </w:pPr>
      <w:r>
        <w:rPr>
          <w:sz w:val="20"/>
          <w:szCs w:val="20"/>
        </w:rPr>
        <w:br w:type="textWrapping" w:clear="all"/>
      </w:r>
    </w:p>
    <w:p w14:paraId="52240B4C" w14:textId="77777777" w:rsidR="005B26EB" w:rsidRDefault="005B26EB" w:rsidP="00B62D6A">
      <w:pPr>
        <w:pStyle w:val="IUCrbodytext"/>
        <w:spacing w:line="240" w:lineRule="auto"/>
        <w:jc w:val="both"/>
        <w:rPr>
          <w:sz w:val="20"/>
          <w:szCs w:val="20"/>
        </w:rPr>
      </w:pPr>
    </w:p>
    <w:p w14:paraId="4BD23302" w14:textId="0E058ECA" w:rsidR="005B26EB" w:rsidRDefault="005B26EB" w:rsidP="00B62D6A">
      <w:pPr>
        <w:pStyle w:val="IUCrbodytext"/>
        <w:spacing w:line="240" w:lineRule="auto"/>
        <w:jc w:val="both"/>
        <w:rPr>
          <w:sz w:val="20"/>
          <w:szCs w:val="20"/>
        </w:rPr>
      </w:pPr>
    </w:p>
    <w:p w14:paraId="0643A710" w14:textId="6C6CD5D2" w:rsidR="00BD0E08" w:rsidRDefault="00BD0E08" w:rsidP="00B62D6A">
      <w:pPr>
        <w:pStyle w:val="IUCrbodytext"/>
        <w:spacing w:line="240" w:lineRule="auto"/>
        <w:jc w:val="both"/>
        <w:rPr>
          <w:sz w:val="20"/>
          <w:szCs w:val="20"/>
        </w:rPr>
      </w:pPr>
    </w:p>
    <w:p w14:paraId="2653BE4B" w14:textId="75B81763" w:rsidR="00BD0E08" w:rsidRDefault="00BD0E08" w:rsidP="00B62D6A">
      <w:pPr>
        <w:pStyle w:val="IUCrbodytext"/>
        <w:spacing w:line="240" w:lineRule="auto"/>
        <w:jc w:val="both"/>
        <w:rPr>
          <w:sz w:val="20"/>
          <w:szCs w:val="20"/>
        </w:rPr>
      </w:pPr>
    </w:p>
    <w:p w14:paraId="3266307E" w14:textId="77777777" w:rsidR="00BD0E08" w:rsidRDefault="00BD0E08" w:rsidP="00B62D6A">
      <w:pPr>
        <w:pStyle w:val="IUCrbodytext"/>
        <w:spacing w:line="240" w:lineRule="auto"/>
        <w:jc w:val="both"/>
        <w:rPr>
          <w:sz w:val="20"/>
          <w:szCs w:val="20"/>
        </w:rPr>
      </w:pPr>
    </w:p>
    <w:p w14:paraId="59FBA9BE" w14:textId="0E5264B0" w:rsidR="005B26EB" w:rsidRDefault="00CF25DD" w:rsidP="00B62D6A">
      <w:pPr>
        <w:pStyle w:val="IUCrbodytext"/>
        <w:spacing w:line="240" w:lineRule="auto"/>
        <w:jc w:val="both"/>
        <w:rPr>
          <w:sz w:val="20"/>
          <w:szCs w:val="20"/>
          <w:lang w:val="fr-FR"/>
        </w:rPr>
      </w:pPr>
      <w:r>
        <w:rPr>
          <w:noProof/>
          <w:sz w:val="20"/>
          <w:szCs w:val="20"/>
          <w:lang w:val="de-DE" w:eastAsia="ja-JP"/>
        </w:rPr>
        <w:lastRenderedPageBreak/>
        <w:drawing>
          <wp:inline distT="0" distB="0" distL="0" distR="0" wp14:anchorId="09ED64F2" wp14:editId="293D9062">
            <wp:extent cx="6120000" cy="34742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e-re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3474211"/>
                    </a:xfrm>
                    <a:prstGeom prst="rect">
                      <a:avLst/>
                    </a:prstGeom>
                  </pic:spPr>
                </pic:pic>
              </a:graphicData>
            </a:graphic>
          </wp:inline>
        </w:drawing>
      </w:r>
    </w:p>
    <w:p w14:paraId="26ABCBF2" w14:textId="77777777" w:rsidR="005B26EB" w:rsidRPr="00744511" w:rsidRDefault="005B26EB" w:rsidP="00B62D6A">
      <w:pPr>
        <w:pStyle w:val="IUCrbodytext"/>
        <w:spacing w:line="240" w:lineRule="auto"/>
        <w:jc w:val="both"/>
        <w:rPr>
          <w:sz w:val="20"/>
          <w:szCs w:val="20"/>
          <w:lang w:val="fr-FR"/>
        </w:rPr>
      </w:pPr>
    </w:p>
    <w:p w14:paraId="27BBC84D" w14:textId="77777777" w:rsidR="005B26EB" w:rsidRDefault="005B26EB" w:rsidP="00C8195C">
      <w:pPr>
        <w:pStyle w:val="IUCrfigurecaption"/>
        <w:jc w:val="both"/>
      </w:pPr>
      <w:r w:rsidRPr="00C27CCA">
        <w:t>Representation of the nuclear scattering densities in Pr</w:t>
      </w:r>
      <w:r w:rsidRPr="00036E8A">
        <w:rPr>
          <w:vertAlign w:val="subscript"/>
        </w:rPr>
        <w:t>2</w:t>
      </w:r>
      <w:r w:rsidRPr="00C27CCA">
        <w:t>NiO</w:t>
      </w:r>
      <w:r w:rsidRPr="00036E8A">
        <w:rPr>
          <w:vertAlign w:val="subscript"/>
        </w:rPr>
        <w:t>4+</w:t>
      </w:r>
      <w:r w:rsidRPr="00036E8A">
        <w:rPr>
          <w:rFonts w:ascii="Symbol" w:hAnsi="Symbol"/>
          <w:vertAlign w:val="subscript"/>
        </w:rPr>
        <w:t></w:t>
      </w:r>
      <w:r w:rsidRPr="00C27CCA">
        <w:t xml:space="preserve"> obtained from Maximum Entropy reconstruction of single crystal neutron diffraction data</w:t>
      </w:r>
      <w:r>
        <w:t xml:space="preserve"> (</w:t>
      </w:r>
      <w:r w:rsidRPr="00C27CCA">
        <w:t>HE</w:t>
      </w:r>
      <w:r>
        <w:t>i</w:t>
      </w:r>
      <w:r w:rsidRPr="00C27CCA">
        <w:t>D</w:t>
      </w:r>
      <w:r>
        <w:t>i)</w:t>
      </w:r>
      <w:r w:rsidRPr="00C27CCA">
        <w:t xml:space="preserve"> for different </w:t>
      </w:r>
      <w:r w:rsidRPr="00036E8A">
        <w:rPr>
          <w:i/>
        </w:rPr>
        <w:t>T</w:t>
      </w:r>
      <w:r w:rsidRPr="00C27CCA">
        <w:t xml:space="preserve"> and </w:t>
      </w:r>
      <w:r w:rsidRPr="00036E8A">
        <w:rPr>
          <w:rFonts w:ascii="Symbol" w:hAnsi="Symbol"/>
        </w:rPr>
        <w:t></w:t>
      </w:r>
      <w:r w:rsidRPr="00C27CCA">
        <w:t>.</w:t>
      </w:r>
      <w:r>
        <w:t xml:space="preserve"> In</w:t>
      </w:r>
      <w:r w:rsidRPr="00C27CCA">
        <w:t xml:space="preserve"> </w:t>
      </w:r>
      <w:r>
        <w:t xml:space="preserve">(a-d) </w:t>
      </w:r>
      <w:r w:rsidRPr="00C27CCA">
        <w:t>the scattering densities</w:t>
      </w:r>
      <w:r w:rsidRPr="00A131F3">
        <w:t xml:space="preserve"> </w:t>
      </w:r>
      <w:r w:rsidRPr="00C27CCA">
        <w:t xml:space="preserve">in the 2a × 2a projection of the </w:t>
      </w:r>
      <w:r w:rsidRPr="00036E8A">
        <w:rPr>
          <w:i/>
        </w:rPr>
        <w:t>I4/mmm</w:t>
      </w:r>
      <w:r w:rsidRPr="00C27CCA">
        <w:t xml:space="preserve"> unit cell (the </w:t>
      </w:r>
      <w:r w:rsidRPr="00E63DEF">
        <w:rPr>
          <w:i/>
        </w:rPr>
        <w:t>F</w:t>
      </w:r>
      <w:r w:rsidRPr="00C27CCA">
        <w:t>-centred cell is outlined by</w:t>
      </w:r>
      <w:r>
        <w:t xml:space="preserve"> the yellow dotted line</w:t>
      </w:r>
      <w:r w:rsidRPr="00C27CCA">
        <w:t xml:space="preserve">) </w:t>
      </w:r>
      <w:r>
        <w:t xml:space="preserve">are shown </w:t>
      </w:r>
      <w:r w:rsidRPr="00C27CCA">
        <w:t xml:space="preserve">from </w:t>
      </w:r>
      <w:r w:rsidRPr="00036E8A">
        <w:rPr>
          <w:i/>
        </w:rPr>
        <w:t>z</w:t>
      </w:r>
      <w:r w:rsidRPr="00C27CCA">
        <w:t xml:space="preserve"> = 0.12 to </w:t>
      </w:r>
      <w:r w:rsidRPr="00036E8A">
        <w:rPr>
          <w:i/>
        </w:rPr>
        <w:t>z</w:t>
      </w:r>
      <w:r w:rsidRPr="00C27CCA">
        <w:t xml:space="preserve"> = 0.28, thus showing half of the rock salt layer with positions of the </w:t>
      </w:r>
      <w:proofErr w:type="spellStart"/>
      <w:r w:rsidRPr="00C27CCA">
        <w:t>Pr</w:t>
      </w:r>
      <w:proofErr w:type="spellEnd"/>
      <w:r w:rsidRPr="00C27CCA">
        <w:t xml:space="preserve">, </w:t>
      </w:r>
      <w:proofErr w:type="spellStart"/>
      <w:r w:rsidRPr="00C27CCA">
        <w:t>O</w:t>
      </w:r>
      <w:r w:rsidRPr="00036E8A">
        <w:rPr>
          <w:vertAlign w:val="subscript"/>
        </w:rPr>
        <w:t>ap</w:t>
      </w:r>
      <w:proofErr w:type="spellEnd"/>
      <w:r w:rsidRPr="00C27CCA">
        <w:t xml:space="preserve"> and </w:t>
      </w:r>
      <w:proofErr w:type="spellStart"/>
      <w:r w:rsidRPr="00C27CCA">
        <w:t>O</w:t>
      </w:r>
      <w:r w:rsidRPr="00036E8A">
        <w:rPr>
          <w:vertAlign w:val="subscript"/>
        </w:rPr>
        <w:t>int</w:t>
      </w:r>
      <w:proofErr w:type="spellEnd"/>
      <w:r w:rsidRPr="00C27CCA">
        <w:t xml:space="preserve"> at </w:t>
      </w:r>
      <w:r w:rsidRPr="00036E8A">
        <w:rPr>
          <w:i/>
        </w:rPr>
        <w:t>z</w:t>
      </w:r>
      <w:r w:rsidRPr="00C27CCA">
        <w:t xml:space="preserve"> = 0.14, 0.17 and 0.25 respectively</w:t>
      </w:r>
      <w:r>
        <w:t xml:space="preserve">. In (e-h) </w:t>
      </w:r>
      <w:r w:rsidRPr="00A131F3">
        <w:t>3</w:t>
      </w:r>
      <w:r w:rsidRPr="00036E8A">
        <w:rPr>
          <w:i/>
        </w:rPr>
        <w:t xml:space="preserve">a </w:t>
      </w:r>
      <w:r w:rsidRPr="00A131F3">
        <w:t>×</w:t>
      </w:r>
      <w:r w:rsidRPr="00036E8A">
        <w:rPr>
          <w:i/>
        </w:rPr>
        <w:t xml:space="preserve"> c</w:t>
      </w:r>
      <w:r w:rsidRPr="00A131F3">
        <w:t xml:space="preserve"> projection</w:t>
      </w:r>
      <w:r>
        <w:t>s,</w:t>
      </w:r>
      <w:r w:rsidRPr="00A131F3">
        <w:t xml:space="preserve"> </w:t>
      </w:r>
      <w:r w:rsidRPr="00036E8A">
        <w:t xml:space="preserve">from </w:t>
      </w:r>
      <w:r w:rsidRPr="00036E8A">
        <w:rPr>
          <w:i/>
          <w:iCs/>
        </w:rPr>
        <w:t xml:space="preserve">y </w:t>
      </w:r>
      <w:r w:rsidRPr="00036E8A">
        <w:t xml:space="preserve">= 0.45 to </w:t>
      </w:r>
      <w:r w:rsidRPr="00036E8A">
        <w:rPr>
          <w:i/>
          <w:iCs/>
        </w:rPr>
        <w:t xml:space="preserve">y </w:t>
      </w:r>
      <w:r w:rsidRPr="00036E8A">
        <w:t>= 0.55</w:t>
      </w:r>
      <w:r>
        <w:t>,</w:t>
      </w:r>
      <w:r w:rsidRPr="00036E8A">
        <w:t xml:space="preserve"> i</w:t>
      </w:r>
      <w:r>
        <w:t>n</w:t>
      </w:r>
      <w:r w:rsidRPr="00A131F3">
        <w:t xml:space="preserve"> the </w:t>
      </w:r>
      <w:r w:rsidRPr="00036E8A">
        <w:rPr>
          <w:i/>
        </w:rPr>
        <w:t>I</w:t>
      </w:r>
      <w:r w:rsidRPr="00A131F3">
        <w:t>-cell</w:t>
      </w:r>
      <w:r>
        <w:t xml:space="preserve"> are shown. </w:t>
      </w:r>
    </w:p>
    <w:p w14:paraId="69FFED17" w14:textId="77777777" w:rsidR="005B26EB" w:rsidRPr="00036E8A" w:rsidRDefault="005B26EB" w:rsidP="00036E8A">
      <w:pPr>
        <w:pStyle w:val="IUCrbodytext"/>
      </w:pPr>
    </w:p>
    <w:p w14:paraId="1A377143" w14:textId="77777777" w:rsidR="005B26EB" w:rsidRDefault="005B26EB" w:rsidP="00F44E35">
      <w:pPr>
        <w:pStyle w:val="IUCrbodytext"/>
        <w:jc w:val="both"/>
      </w:pPr>
      <w:r>
        <w:t xml:space="preserve">(Fig5a-b and Fig.5e-f) demonstrate strong anisotropic displacements of the apical oxygen atoms along the [110]-direction of the </w:t>
      </w:r>
      <w:r w:rsidRPr="00980171">
        <w:rPr>
          <w:i/>
        </w:rPr>
        <w:t>F</w:t>
      </w:r>
      <w:r>
        <w:t xml:space="preserve">-cell, becoming evident at RT and especially at 400°C from the </w:t>
      </w:r>
      <w:proofErr w:type="spellStart"/>
      <w:r>
        <w:t>Maximun</w:t>
      </w:r>
      <w:proofErr w:type="spellEnd"/>
      <w:r>
        <w:t xml:space="preserve"> Entropy reconstructions. For the measurements at 900°C in O</w:t>
      </w:r>
      <w:r w:rsidRPr="00004E6B">
        <w:rPr>
          <w:vertAlign w:val="subscript"/>
        </w:rPr>
        <w:t>2</w:t>
      </w:r>
      <w:r>
        <w:t xml:space="preserve"> atmosphere and in </w:t>
      </w:r>
      <w:proofErr w:type="gramStart"/>
      <w:r>
        <w:t>vacuum</w:t>
      </w:r>
      <w:proofErr w:type="gramEnd"/>
      <w:r>
        <w:t xml:space="preserve"> this is significantly changed and displacements of all atoms clearly indicate a more isotropic behaviour, especially through the absence of any double potential of the </w:t>
      </w:r>
      <w:proofErr w:type="spellStart"/>
      <w:r>
        <w:t>O</w:t>
      </w:r>
      <w:r w:rsidRPr="00B05CE0">
        <w:rPr>
          <w:vertAlign w:val="subscript"/>
        </w:rPr>
        <w:t>ap</w:t>
      </w:r>
      <w:proofErr w:type="spellEnd"/>
      <w:r>
        <w:t xml:space="preserve"> (Fig5c-d and 5g-h). This is unexpected, as a more disordered and thus more fluid-like atomic distribution of the apical and interstitial oxygen atoms inside the Pr</w:t>
      </w:r>
      <w:r w:rsidRPr="00004E6B">
        <w:rPr>
          <w:vertAlign w:val="subscript"/>
        </w:rPr>
        <w:t>2</w:t>
      </w:r>
      <w:r>
        <w:t>O</w:t>
      </w:r>
      <w:r w:rsidRPr="00004E6B">
        <w:rPr>
          <w:vertAlign w:val="subscript"/>
        </w:rPr>
        <w:t>2</w:t>
      </w:r>
      <w:r>
        <w:t xml:space="preserve"> plane </w:t>
      </w:r>
      <w:proofErr w:type="gramStart"/>
      <w:r>
        <w:t xml:space="preserve">might have been </w:t>
      </w:r>
      <w:r w:rsidRPr="00470208">
        <w:t>expected</w:t>
      </w:r>
      <w:proofErr w:type="gramEnd"/>
      <w:r>
        <w:t xml:space="preserve">. It is clear that the reduced </w:t>
      </w:r>
      <w:proofErr w:type="spellStart"/>
      <w:r>
        <w:t>O</w:t>
      </w:r>
      <w:r w:rsidRPr="004137E9">
        <w:rPr>
          <w:vertAlign w:val="subscript"/>
        </w:rPr>
        <w:t>int</w:t>
      </w:r>
      <w:proofErr w:type="spellEnd"/>
      <w:r>
        <w:t xml:space="preserve"> stoichiometry refined to </w:t>
      </w:r>
      <w:r>
        <w:sym w:font="Symbol" w:char="F064"/>
      </w:r>
      <w:r>
        <w:t xml:space="preserve"> = 0.13 at 900°C (at room temperature </w:t>
      </w:r>
      <w:r>
        <w:sym w:font="Symbol" w:char="F064"/>
      </w:r>
      <w:r>
        <w:t xml:space="preserve"> = </w:t>
      </w:r>
      <w:r w:rsidRPr="001430B8">
        <w:t>0.22</w:t>
      </w:r>
      <w:r>
        <w:t xml:space="preserve">) certainly contributes towards a reduction of the local </w:t>
      </w:r>
      <w:proofErr w:type="spellStart"/>
      <w:r>
        <w:t>O</w:t>
      </w:r>
      <w:r w:rsidRPr="004137E9">
        <w:rPr>
          <w:vertAlign w:val="subscript"/>
        </w:rPr>
        <w:t>ap</w:t>
      </w:r>
      <w:proofErr w:type="spellEnd"/>
      <w:r>
        <w:t xml:space="preserve"> distortions, but it clearly does not explain completely the reduced distortions along [110]. </w:t>
      </w:r>
    </w:p>
    <w:p w14:paraId="5C00CC03" w14:textId="5258F22F" w:rsidR="00932F15" w:rsidRPr="002776C4" w:rsidRDefault="005B26EB" w:rsidP="00F44E35">
      <w:pPr>
        <w:pStyle w:val="IUCrbodytext"/>
        <w:jc w:val="both"/>
      </w:pPr>
      <w:r>
        <w:t>Comparing the nuclear density maps of Pr</w:t>
      </w:r>
      <w:r w:rsidRPr="004137E9">
        <w:rPr>
          <w:vertAlign w:val="subscript"/>
        </w:rPr>
        <w:t>2</w:t>
      </w:r>
      <w:r>
        <w:t>NiO</w:t>
      </w:r>
      <w:r w:rsidRPr="004137E9">
        <w:rPr>
          <w:vertAlign w:val="subscript"/>
        </w:rPr>
        <w:t>4.13</w:t>
      </w:r>
      <w:r>
        <w:t xml:space="preserve"> and Pr</w:t>
      </w:r>
      <w:r w:rsidRPr="004137E9">
        <w:rPr>
          <w:vertAlign w:val="subscript"/>
        </w:rPr>
        <w:t>2</w:t>
      </w:r>
      <w:r>
        <w:t>NiO</w:t>
      </w:r>
      <w:r w:rsidRPr="004137E9">
        <w:rPr>
          <w:vertAlign w:val="subscript"/>
        </w:rPr>
        <w:t>4.</w:t>
      </w:r>
      <w:r>
        <w:rPr>
          <w:vertAlign w:val="subscript"/>
        </w:rPr>
        <w:t>00</w:t>
      </w:r>
      <w:r>
        <w:t xml:space="preserve"> at 900°C (see Fig. 5 c-d and 5g-h), they appear to be very close, despite their deviation in the </w:t>
      </w:r>
      <w:proofErr w:type="spellStart"/>
      <w:r>
        <w:t>O</w:t>
      </w:r>
      <w:r w:rsidRPr="004137E9">
        <w:rPr>
          <w:vertAlign w:val="subscript"/>
        </w:rPr>
        <w:t>int</w:t>
      </w:r>
      <w:proofErr w:type="spellEnd"/>
      <w:r>
        <w:t xml:space="preserve"> stoichiometry. This suggests that the interstitial oxygen, which at moderate temperatures decisively induces strong displacements of the </w:t>
      </w:r>
      <w:proofErr w:type="spellStart"/>
      <w:r>
        <w:t>O</w:t>
      </w:r>
      <w:r w:rsidRPr="000B5432">
        <w:rPr>
          <w:vertAlign w:val="subscript"/>
        </w:rPr>
        <w:t>ap</w:t>
      </w:r>
      <w:proofErr w:type="spellEnd"/>
      <w:r>
        <w:t xml:space="preserve"> and subsequently promote a shallow anisotropic oxygen diffusion pathway along [110], has practically </w:t>
      </w:r>
      <w:r>
        <w:lastRenderedPageBreak/>
        <w:t xml:space="preserve">lost its function to trigger such kind of phonon activated diffusion mechanism </w:t>
      </w:r>
      <w:r>
        <w:rPr>
          <w:noProof/>
        </w:rPr>
        <w:t>(Villesuzanne</w:t>
      </w:r>
      <w:r w:rsidRPr="00BE4719">
        <w:rPr>
          <w:i/>
          <w:noProof/>
        </w:rPr>
        <w:t xml:space="preserve"> et al.</w:t>
      </w:r>
      <w:r>
        <w:rPr>
          <w:noProof/>
        </w:rPr>
        <w:t>, 2011, Perrichon</w:t>
      </w:r>
      <w:r w:rsidRPr="00BE4719">
        <w:rPr>
          <w:i/>
          <w:noProof/>
        </w:rPr>
        <w:t xml:space="preserve"> et al.</w:t>
      </w:r>
      <w:r>
        <w:rPr>
          <w:noProof/>
        </w:rPr>
        <w:t>, 2015)</w:t>
      </w:r>
      <w:r>
        <w:t xml:space="preserve">. With increasing temperature, atomic displacements proceed steadily faster, thus averaging repulsive and attractive interatomic interactions with temperature. Consequently, the increase in temperature favours a more isotropic displacement behaviour, avoiding strong displacive anisotropies and double potentials. This further suggests that the anharmonic double potential, as observed for the </w:t>
      </w:r>
      <w:r w:rsidRPr="00BD0E08">
        <w:t>apical oxygen atoms in Pr</w:t>
      </w:r>
      <w:r w:rsidRPr="00BD0E08">
        <w:rPr>
          <w:vertAlign w:val="subscript"/>
        </w:rPr>
        <w:t>2</w:t>
      </w:r>
      <w:r w:rsidRPr="00BD0E08">
        <w:t>NiO</w:t>
      </w:r>
      <w:r w:rsidRPr="00BD0E08">
        <w:rPr>
          <w:vertAlign w:val="subscript"/>
        </w:rPr>
        <w:t>4.25</w:t>
      </w:r>
      <w:r w:rsidRPr="00BD0E08">
        <w:t xml:space="preserve"> at 400°C, only prevails in a </w:t>
      </w:r>
      <w:r w:rsidR="00060483" w:rsidRPr="00BD0E08">
        <w:t>moderate</w:t>
      </w:r>
      <w:r w:rsidRPr="00BD0E08">
        <w:t xml:space="preserve"> temperature regime. In this case, lattice dynamics is able to contribute to an easier diffusion along [110], as is the case for the oxygen diffusion mechanism in </w:t>
      </w:r>
      <w:proofErr w:type="spellStart"/>
      <w:r w:rsidRPr="00BD0E08">
        <w:t>Ruddlesden</w:t>
      </w:r>
      <w:proofErr w:type="spellEnd"/>
      <w:r w:rsidRPr="00BD0E08">
        <w:t>-Popper type oxides</w:t>
      </w:r>
      <w:r w:rsidR="00DC2F9C" w:rsidRPr="00BD0E08">
        <w:t xml:space="preserve"> </w:t>
      </w:r>
      <w:r w:rsidR="00DC2F9C" w:rsidRPr="00BD0E08">
        <w:fldChar w:fldCharType="begin">
          <w:fldData xml:space="preserve">PEVuZE5vdGU+PENpdGU+PEF1dGhvcj5WaWxsZXN1emFubmU8L0F1dGhvcj48WWVhcj4yMDExPC9Z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</w:fldData>
        </w:fldChar>
      </w:r>
      <w:r w:rsidR="00DC2F9C" w:rsidRPr="00BD0E08">
        <w:instrText xml:space="preserve"> ADDIN EN.CITE </w:instrText>
      </w:r>
      <w:r w:rsidR="00DC2F9C" w:rsidRPr="00BD0E08">
        <w:fldChar w:fldCharType="begin">
          <w:fldData xml:space="preserve">PEVuZE5vdGU+PENpdGU+PEF1dGhvcj5WaWxsZXN1emFubmU8L0F1dGhvcj48WWVhcj4yMDExPC9Z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</w:fldData>
        </w:fldChar>
      </w:r>
      <w:r w:rsidR="00DC2F9C" w:rsidRPr="00BD0E08">
        <w:instrText xml:space="preserve"> ADDIN EN.CITE.DATA </w:instrText>
      </w:r>
      <w:r w:rsidR="00DC2F9C" w:rsidRPr="00BD0E08">
        <w:fldChar w:fldCharType="end"/>
      </w:r>
      <w:r w:rsidR="00DC2F9C" w:rsidRPr="00BD0E08">
        <w:fldChar w:fldCharType="separate"/>
      </w:r>
      <w:r w:rsidR="00DC2F9C" w:rsidRPr="00BD0E08">
        <w:rPr>
          <w:noProof/>
        </w:rPr>
        <w:t>(Villesuzanne</w:t>
      </w:r>
      <w:r w:rsidR="00DC2F9C" w:rsidRPr="00BD0E08">
        <w:rPr>
          <w:i/>
          <w:noProof/>
        </w:rPr>
        <w:t xml:space="preserve"> et al.</w:t>
      </w:r>
      <w:r w:rsidR="00DC2F9C" w:rsidRPr="00BD0E08">
        <w:rPr>
          <w:noProof/>
        </w:rPr>
        <w:t>, 2011; Piovano</w:t>
      </w:r>
      <w:r w:rsidR="00DC2F9C" w:rsidRPr="00BD0E08">
        <w:rPr>
          <w:i/>
          <w:noProof/>
        </w:rPr>
        <w:t xml:space="preserve"> et al.</w:t>
      </w:r>
      <w:r w:rsidR="00DC2F9C" w:rsidRPr="00BD0E08">
        <w:rPr>
          <w:noProof/>
        </w:rPr>
        <w:t>, 2016)</w:t>
      </w:r>
      <w:r w:rsidR="00DC2F9C" w:rsidRPr="00BD0E08">
        <w:fldChar w:fldCharType="end"/>
      </w:r>
      <w:r w:rsidRPr="00BD0E08">
        <w:t xml:space="preserve">. Such anisotropies </w:t>
      </w:r>
      <w:r w:rsidR="009E203B" w:rsidRPr="00BD0E08">
        <w:t xml:space="preserve">seem to contradict </w:t>
      </w:r>
      <w:r w:rsidRPr="00BD0E08">
        <w:t>the common perception of an isotropic diffusion regime activated at high temperatures, following the idealized Arrhenius behaviou</w:t>
      </w:r>
      <w:r w:rsidR="00CF25DD" w:rsidRPr="00BD0E08">
        <w:t>r.</w:t>
      </w:r>
      <w:r w:rsidRPr="00BD0E08">
        <w:t xml:space="preserve"> </w:t>
      </w:r>
      <w:r w:rsidR="00060483" w:rsidRPr="00BD0E08">
        <w:t>In this way</w:t>
      </w:r>
      <w:r w:rsidR="00932F15" w:rsidRPr="00BD0E08">
        <w:t xml:space="preserve">, any anisotropic diffusion </w:t>
      </w:r>
      <w:r w:rsidR="003A56B8" w:rsidRPr="00BD0E08">
        <w:t>mechanism</w:t>
      </w:r>
      <w:r w:rsidR="00932F15" w:rsidRPr="00BD0E08">
        <w:t xml:space="preserve"> at moderate temperatures </w:t>
      </w:r>
      <w:proofErr w:type="gramStart"/>
      <w:r w:rsidR="00060483" w:rsidRPr="00BD0E08">
        <w:t>is essentially related</w:t>
      </w:r>
      <w:proofErr w:type="gramEnd"/>
      <w:r w:rsidR="00932F15" w:rsidRPr="00BD0E08">
        <w:t xml:space="preserve"> </w:t>
      </w:r>
      <w:r w:rsidR="00CF25DD" w:rsidRPr="00BD0E08">
        <w:t>to</w:t>
      </w:r>
      <w:r w:rsidR="00932F15" w:rsidRPr="00BD0E08">
        <w:t xml:space="preserve"> specific phonon modes, </w:t>
      </w:r>
      <w:r w:rsidR="00060483" w:rsidRPr="00BD0E08">
        <w:t>involving strong anisotropic displacements and consequently lead</w:t>
      </w:r>
      <w:r w:rsidR="003607BB" w:rsidRPr="00BD0E08">
        <w:t>s</w:t>
      </w:r>
      <w:r w:rsidR="00060483" w:rsidRPr="00BD0E08">
        <w:t xml:space="preserve"> to</w:t>
      </w:r>
      <w:r w:rsidR="00932F15" w:rsidRPr="00BD0E08">
        <w:t xml:space="preserve"> more or less important deviations from </w:t>
      </w:r>
      <w:r w:rsidR="00060483" w:rsidRPr="00BD0E08">
        <w:t>an</w:t>
      </w:r>
      <w:r w:rsidR="0083776A" w:rsidRPr="00BD0E08">
        <w:t xml:space="preserve"> isotropic </w:t>
      </w:r>
      <w:r w:rsidR="00060483" w:rsidRPr="00BD0E08">
        <w:t>diffusion behaviour</w:t>
      </w:r>
      <w:r w:rsidR="003607BB" w:rsidRPr="00BD0E08">
        <w:t>,</w:t>
      </w:r>
      <w:r w:rsidR="00060483" w:rsidRPr="00BD0E08">
        <w:t xml:space="preserve"> </w:t>
      </w:r>
      <w:r w:rsidR="003B5621" w:rsidRPr="00BD0E08">
        <w:t>as described by the Arrhenius formalism</w:t>
      </w:r>
      <w:r w:rsidR="00D14F2C" w:rsidRPr="00BD0E08">
        <w:t>.</w:t>
      </w:r>
    </w:p>
    <w:p w14:paraId="259F8388" w14:textId="77777777" w:rsidR="005B26EB" w:rsidRDefault="005B26EB" w:rsidP="00F44E35">
      <w:pPr>
        <w:pStyle w:val="IUCrbodytext"/>
        <w:jc w:val="both"/>
      </w:pPr>
      <w:r>
        <w:t xml:space="preserve">The availability of </w:t>
      </w:r>
      <w:r w:rsidRPr="00403CDE">
        <w:rPr>
          <w:i/>
          <w:iCs/>
        </w:rPr>
        <w:t>in situ</w:t>
      </w:r>
      <w:r>
        <w:t xml:space="preserve"> measurements, allowing </w:t>
      </w:r>
      <w:proofErr w:type="gramStart"/>
      <w:r>
        <w:t>to vary</w:t>
      </w:r>
      <w:proofErr w:type="gramEnd"/>
      <w:r>
        <w:t xml:space="preserve"> simultaneously temperature and oxygen partial pressure, is thus a versatile concept to explore structural phase diagrams of non-stoichiometric oxides and its relevance for related diffusion mechanisms.</w:t>
      </w:r>
    </w:p>
    <w:p w14:paraId="7385B638" w14:textId="77777777" w:rsidR="005B26EB" w:rsidRPr="001739D8" w:rsidRDefault="005B26EB" w:rsidP="00F44E35">
      <w:pPr>
        <w:pStyle w:val="IUCrbodytext"/>
        <w:jc w:val="both"/>
      </w:pPr>
    </w:p>
    <w:p w14:paraId="6BAC7CED" w14:textId="77777777" w:rsidR="005B26EB" w:rsidRPr="00EA428B" w:rsidRDefault="005B26EB" w:rsidP="005B26EB">
      <w:pPr>
        <w:pStyle w:val="IUCrheading1"/>
        <w:numPr>
          <w:ilvl w:val="0"/>
          <w:numId w:val="16"/>
        </w:numPr>
      </w:pPr>
      <w:r w:rsidRPr="00EA428B">
        <w:t>Conclusion</w:t>
      </w:r>
    </w:p>
    <w:p w14:paraId="5341703B" w14:textId="77777777" w:rsidR="005B26EB" w:rsidRDefault="005B26EB" w:rsidP="00B17E62">
      <w:pPr>
        <w:pStyle w:val="IUCrbodytext"/>
        <w:jc w:val="both"/>
      </w:pPr>
      <w:r>
        <w:t xml:space="preserve">An IR furnace for </w:t>
      </w:r>
      <w:r w:rsidRPr="00E739D0">
        <w:rPr>
          <w:i/>
        </w:rPr>
        <w:t>in situ</w:t>
      </w:r>
      <w:r>
        <w:t xml:space="preserve"> single crystal neutron diffraction in a controlled gas atmosphere and high temperatures </w:t>
      </w:r>
      <w:proofErr w:type="gramStart"/>
      <w:r>
        <w:t>has been successfully implemented</w:t>
      </w:r>
      <w:proofErr w:type="gramEnd"/>
      <w:r>
        <w:t xml:space="preserve"> on the four-circle neutron diffractometer HEiDi at MLZ, while preserving almost full access to reciprocal space. </w:t>
      </w:r>
      <w:r w:rsidRPr="00717B6F">
        <w:t xml:space="preserve">Its </w:t>
      </w:r>
      <w:r>
        <w:t xml:space="preserve">good performance has been successfully </w:t>
      </w:r>
      <w:r w:rsidRPr="00717B6F">
        <w:t>confirmed</w:t>
      </w:r>
      <w:r>
        <w:t xml:space="preserve"> comparing structural changes in Pr</w:t>
      </w:r>
      <w:r w:rsidRPr="00B17E62">
        <w:rPr>
          <w:vertAlign w:val="subscript"/>
        </w:rPr>
        <w:t>2</w:t>
      </w:r>
      <w:r>
        <w:t>NiO</w:t>
      </w:r>
      <w:r w:rsidRPr="00B17E62">
        <w:rPr>
          <w:vertAlign w:val="subscript"/>
        </w:rPr>
        <w:t>4+</w:t>
      </w:r>
      <w:r w:rsidRPr="00B17E62">
        <w:rPr>
          <w:vertAlign w:val="subscript"/>
        </w:rPr>
        <w:sym w:font="Symbol" w:char="F064"/>
      </w:r>
      <w:r>
        <w:t xml:space="preserve"> single crystals at high temperature and in controlled oxygen partial pressure. </w:t>
      </w:r>
      <w:r w:rsidRPr="00C60FF8">
        <w:t>These stud</w:t>
      </w:r>
      <w:r>
        <w:t xml:space="preserve">ies demonstrate </w:t>
      </w:r>
      <w:r w:rsidRPr="00C60FF8">
        <w:t xml:space="preserve">the feasibility and reliability of such experiments and open the field to a wide range of investigations </w:t>
      </w:r>
      <w:r>
        <w:t>on non-stoichiometric oxide</w:t>
      </w:r>
      <w:r w:rsidRPr="00C60FF8">
        <w:t xml:space="preserve"> materials.</w:t>
      </w:r>
      <w:r>
        <w:t xml:space="preserve"> In the particular studied case, it confirmed at first sight the surprising loss of anisotropic distortions of the apical oxygen atoms, which </w:t>
      </w:r>
      <w:proofErr w:type="gramStart"/>
      <w:r>
        <w:t>have been evidenced</w:t>
      </w:r>
      <w:proofErr w:type="gramEnd"/>
      <w:r>
        <w:t xml:space="preserve"> to trigger oxygen diffusion via specific phonon modes. This underlines the importance to access different temperatures and different oxygen partial pressures for the structural characterization of non-stoichiometric oxygen ion conductors, allowing to better </w:t>
      </w:r>
      <w:proofErr w:type="gramStart"/>
      <w:r>
        <w:t>conclude</w:t>
      </w:r>
      <w:proofErr w:type="gramEnd"/>
      <w:r>
        <w:t xml:space="preserve"> on respective diffusion mechanisms.</w:t>
      </w:r>
    </w:p>
    <w:p w14:paraId="107B6313" w14:textId="77777777" w:rsidR="005B26EB" w:rsidRPr="00C60FF8" w:rsidRDefault="005B26EB" w:rsidP="00B17E62">
      <w:pPr>
        <w:pStyle w:val="IUCrbodytext"/>
        <w:jc w:val="both"/>
      </w:pPr>
    </w:p>
    <w:p w14:paraId="689488FF" w14:textId="77777777" w:rsidR="005B26EB" w:rsidRDefault="005B26EB" w:rsidP="005B26EB">
      <w:pPr>
        <w:pStyle w:val="IUCracknowledgements"/>
        <w:numPr>
          <w:ilvl w:val="0"/>
          <w:numId w:val="13"/>
        </w:numPr>
        <w:textAlignment w:val="auto"/>
      </w:pPr>
      <w:r>
        <w:t xml:space="preserve">Neutron data </w:t>
      </w:r>
      <w:proofErr w:type="gramStart"/>
      <w:r>
        <w:t>were collected</w:t>
      </w:r>
      <w:proofErr w:type="gramEnd"/>
      <w:r>
        <w:t xml:space="preserve"> on the HEiDi single crystal diffractometer at MLZ jointly operated by RWTH Aachen and </w:t>
      </w:r>
      <w:proofErr w:type="spellStart"/>
      <w:r>
        <w:t>Forschungszentrum</w:t>
      </w:r>
      <w:proofErr w:type="spellEnd"/>
      <w:r>
        <w:t xml:space="preserve"> Jülich GmbH within JARA-Fit cooperation. We thank the TUM sample environment group of MLZ for their valuable support.</w:t>
      </w:r>
    </w:p>
    <w:p w14:paraId="506E56D5" w14:textId="77777777" w:rsidR="005B26EB" w:rsidRDefault="005B26EB">
      <w:pPr>
        <w:pStyle w:val="IUCrbodytext"/>
      </w:pPr>
    </w:p>
    <w:p w14:paraId="340613B4" w14:textId="77777777" w:rsidR="005B26EB" w:rsidRPr="00D905D3" w:rsidRDefault="005B26EB">
      <w:pPr>
        <w:pStyle w:val="IUCrheading4"/>
      </w:pPr>
      <w:r w:rsidRPr="00D905D3">
        <w:lastRenderedPageBreak/>
        <w:t>References</w:t>
      </w:r>
    </w:p>
    <w:p w14:paraId="682EB090" w14:textId="77777777" w:rsidR="005B26EB" w:rsidRPr="00F534E4" w:rsidRDefault="005B26EB" w:rsidP="00F534E4">
      <w:pPr>
        <w:pStyle w:val="IUCrreferences"/>
        <w:rPr>
          <w:noProof/>
        </w:rPr>
      </w:pPr>
      <w:bookmarkStart w:id="1" w:name="_ENREF_1"/>
      <w:r w:rsidRPr="00F534E4">
        <w:rPr>
          <w:noProof/>
        </w:rPr>
        <w:t>Ahlburg, J. V., Canevet, E. &amp; Christensen, M. (2019).</w:t>
      </w:r>
      <w:r w:rsidRPr="00F534E4">
        <w:rPr>
          <w:i/>
          <w:noProof/>
        </w:rPr>
        <w:t xml:space="preserve"> J. Appl. Cryst.</w:t>
      </w:r>
      <w:r w:rsidRPr="00F534E4">
        <w:rPr>
          <w:noProof/>
        </w:rPr>
        <w:t xml:space="preserve"> </w:t>
      </w:r>
      <w:r w:rsidRPr="00F534E4">
        <w:rPr>
          <w:b/>
          <w:noProof/>
        </w:rPr>
        <w:t>52</w:t>
      </w:r>
      <w:r w:rsidRPr="00F534E4">
        <w:rPr>
          <w:noProof/>
        </w:rPr>
        <w:t>, 761-768.</w:t>
      </w:r>
      <w:bookmarkEnd w:id="1"/>
    </w:p>
    <w:p w14:paraId="62386BC9" w14:textId="77777777" w:rsidR="005B26EB" w:rsidRPr="004F34EC" w:rsidRDefault="005B26EB" w:rsidP="00F534E4">
      <w:pPr>
        <w:pStyle w:val="IUCrreferences"/>
        <w:rPr>
          <w:noProof/>
          <w:lang w:val="fr-FR"/>
        </w:rPr>
      </w:pPr>
      <w:bookmarkStart w:id="2" w:name="_ENREF_2"/>
      <w:r w:rsidRPr="00F534E4">
        <w:rPr>
          <w:noProof/>
        </w:rPr>
        <w:t>Bassat, J.-M., Burriel, M., Wahyudi, O., Castaing, R., Ceretti, M., Veber, P., Weill, I., Villesuzanne, A., Grenier, J.-C., Paulus, W. &amp; Kilner, J. A. (2013).</w:t>
      </w:r>
      <w:r w:rsidRPr="00F534E4">
        <w:rPr>
          <w:i/>
          <w:noProof/>
        </w:rPr>
        <w:t xml:space="preserve"> </w:t>
      </w:r>
      <w:r w:rsidRPr="004F34EC">
        <w:rPr>
          <w:i/>
          <w:noProof/>
          <w:lang w:val="fr-FR"/>
        </w:rPr>
        <w:t>J. Phys. Chem. C</w:t>
      </w:r>
      <w:r w:rsidRPr="004F34EC">
        <w:rPr>
          <w:noProof/>
          <w:lang w:val="fr-FR"/>
        </w:rPr>
        <w:t xml:space="preserve"> </w:t>
      </w:r>
      <w:r w:rsidRPr="004F34EC">
        <w:rPr>
          <w:b/>
          <w:noProof/>
          <w:lang w:val="fr-FR"/>
        </w:rPr>
        <w:t>117</w:t>
      </w:r>
      <w:r w:rsidRPr="004F34EC">
        <w:rPr>
          <w:noProof/>
          <w:lang w:val="fr-FR"/>
        </w:rPr>
        <w:t>, 26466-26472.</w:t>
      </w:r>
      <w:bookmarkEnd w:id="2"/>
    </w:p>
    <w:p w14:paraId="298BF84E" w14:textId="77777777" w:rsidR="005B26EB" w:rsidRPr="00F534E4" w:rsidRDefault="005B26EB" w:rsidP="00F534E4">
      <w:pPr>
        <w:pStyle w:val="IUCrreferences"/>
        <w:rPr>
          <w:noProof/>
          <w:lang w:val="fr-FR"/>
        </w:rPr>
      </w:pPr>
      <w:bookmarkStart w:id="3" w:name="_ENREF_3"/>
      <w:r w:rsidRPr="00F534E4">
        <w:rPr>
          <w:noProof/>
          <w:lang w:val="fr-FR"/>
        </w:rPr>
        <w:t>Bianchini, M., Leriche, J. B., Laborier, J. L., Gendrin, L., Suard, E., Croguennec, L. &amp; Masquelier, C. (2013).</w:t>
      </w:r>
      <w:r w:rsidRPr="00F534E4">
        <w:rPr>
          <w:i/>
          <w:noProof/>
          <w:lang w:val="fr-FR"/>
        </w:rPr>
        <w:t xml:space="preserve"> J. Electrochem. Soc.</w:t>
      </w:r>
      <w:r w:rsidRPr="00F534E4">
        <w:rPr>
          <w:noProof/>
          <w:lang w:val="fr-FR"/>
        </w:rPr>
        <w:t xml:space="preserve"> </w:t>
      </w:r>
      <w:r w:rsidRPr="00F534E4">
        <w:rPr>
          <w:b/>
          <w:noProof/>
          <w:lang w:val="fr-FR"/>
        </w:rPr>
        <w:t>160</w:t>
      </w:r>
      <w:r w:rsidRPr="00F534E4">
        <w:rPr>
          <w:noProof/>
          <w:lang w:val="fr-FR"/>
        </w:rPr>
        <w:t>, A2176-A2183.</w:t>
      </w:r>
      <w:bookmarkEnd w:id="3"/>
    </w:p>
    <w:p w14:paraId="79C18C98" w14:textId="77777777" w:rsidR="005B26EB" w:rsidRPr="00F534E4" w:rsidRDefault="005B26EB" w:rsidP="00F534E4">
      <w:pPr>
        <w:pStyle w:val="IUCrreferences"/>
        <w:rPr>
          <w:noProof/>
          <w:lang w:val="fr-FR"/>
        </w:rPr>
      </w:pPr>
      <w:bookmarkStart w:id="4" w:name="_ENREF_4"/>
      <w:r w:rsidRPr="00F534E4">
        <w:rPr>
          <w:noProof/>
          <w:lang w:val="fr-FR"/>
        </w:rPr>
        <w:t>Ceretti, M., Wahyudi, O., André, G., Meven, M., Villesuzanne, A. &amp; Paulus, W. (2018).</w:t>
      </w:r>
      <w:r w:rsidRPr="00F534E4">
        <w:rPr>
          <w:i/>
          <w:noProof/>
          <w:lang w:val="fr-FR"/>
        </w:rPr>
        <w:t xml:space="preserve"> Inorg. Chem.</w:t>
      </w:r>
      <w:r w:rsidRPr="00F534E4">
        <w:rPr>
          <w:noProof/>
          <w:lang w:val="fr-FR"/>
        </w:rPr>
        <w:t xml:space="preserve"> </w:t>
      </w:r>
      <w:r w:rsidRPr="00F534E4">
        <w:rPr>
          <w:b/>
          <w:noProof/>
          <w:lang w:val="fr-FR"/>
        </w:rPr>
        <w:t>57</w:t>
      </w:r>
      <w:r w:rsidRPr="00F534E4">
        <w:rPr>
          <w:noProof/>
          <w:lang w:val="fr-FR"/>
        </w:rPr>
        <w:t>, 4657-4666.</w:t>
      </w:r>
      <w:bookmarkEnd w:id="4"/>
    </w:p>
    <w:p w14:paraId="113B8F45" w14:textId="77777777" w:rsidR="005B26EB" w:rsidRPr="00F534E4" w:rsidRDefault="005B26EB" w:rsidP="00F534E4">
      <w:pPr>
        <w:pStyle w:val="IUCrreferences"/>
        <w:rPr>
          <w:noProof/>
          <w:lang w:val="fr-FR"/>
        </w:rPr>
      </w:pPr>
      <w:bookmarkStart w:id="5" w:name="_ENREF_5"/>
      <w:r w:rsidRPr="00F534E4">
        <w:rPr>
          <w:noProof/>
          <w:lang w:val="fr-FR"/>
        </w:rPr>
        <w:t>Ceretti, M., Wahyudi, O., Cousson, A., Villesuzanne, A., Meven, M., Pedersen, B., Bassat, J. M. &amp; Paulus, W. (2015).</w:t>
      </w:r>
      <w:r w:rsidRPr="00F534E4">
        <w:rPr>
          <w:i/>
          <w:noProof/>
          <w:lang w:val="fr-FR"/>
        </w:rPr>
        <w:t xml:space="preserve"> J. Mater. Chem. A</w:t>
      </w:r>
      <w:r w:rsidRPr="00F534E4">
        <w:rPr>
          <w:noProof/>
          <w:lang w:val="fr-FR"/>
        </w:rPr>
        <w:t xml:space="preserve"> </w:t>
      </w:r>
      <w:r w:rsidRPr="00F534E4">
        <w:rPr>
          <w:b/>
          <w:noProof/>
          <w:lang w:val="fr-FR"/>
        </w:rPr>
        <w:t>3</w:t>
      </w:r>
      <w:r w:rsidRPr="00F534E4">
        <w:rPr>
          <w:noProof/>
          <w:lang w:val="fr-FR"/>
        </w:rPr>
        <w:t>, 21140-21148.</w:t>
      </w:r>
      <w:bookmarkEnd w:id="5"/>
    </w:p>
    <w:p w14:paraId="34F3FAD9" w14:textId="77777777" w:rsidR="005B26EB" w:rsidRPr="00F534E4" w:rsidRDefault="005B26EB" w:rsidP="00F534E4">
      <w:pPr>
        <w:pStyle w:val="IUCrreferences"/>
        <w:rPr>
          <w:noProof/>
          <w:lang w:val="fr-FR"/>
        </w:rPr>
      </w:pPr>
      <w:bookmarkStart w:id="6" w:name="_ENREF_6"/>
      <w:r w:rsidRPr="00F534E4">
        <w:rPr>
          <w:noProof/>
          <w:lang w:val="fr-FR"/>
        </w:rPr>
        <w:t>Dutta, R., Maity, A., Marsicano, A., Ceretti, M., Chernyshov, D., Bosak, A., Villesuzanne, A., Roth, G., Perversi, G. &amp; Paulus, W. (2020).</w:t>
      </w:r>
      <w:r w:rsidRPr="00F534E4">
        <w:rPr>
          <w:i/>
          <w:noProof/>
          <w:lang w:val="fr-FR"/>
        </w:rPr>
        <w:t xml:space="preserve"> J. Mater. Chem. A</w:t>
      </w:r>
      <w:r w:rsidRPr="00F534E4">
        <w:rPr>
          <w:noProof/>
          <w:lang w:val="fr-FR"/>
        </w:rPr>
        <w:t xml:space="preserve"> </w:t>
      </w:r>
      <w:r w:rsidRPr="00F534E4">
        <w:rPr>
          <w:b/>
          <w:noProof/>
          <w:lang w:val="fr-FR"/>
        </w:rPr>
        <w:t>8</w:t>
      </w:r>
      <w:r w:rsidRPr="00F534E4">
        <w:rPr>
          <w:noProof/>
          <w:lang w:val="fr-FR"/>
        </w:rPr>
        <w:t>, 13987-13995.</w:t>
      </w:r>
      <w:bookmarkEnd w:id="6"/>
    </w:p>
    <w:p w14:paraId="0EEB13D4" w14:textId="77777777" w:rsidR="005B26EB" w:rsidRPr="00F534E4" w:rsidRDefault="005B26EB" w:rsidP="00F534E4">
      <w:pPr>
        <w:pStyle w:val="IUCrreferences"/>
        <w:rPr>
          <w:noProof/>
          <w:lang w:val="fr-FR"/>
        </w:rPr>
      </w:pPr>
      <w:bookmarkStart w:id="7" w:name="_ENREF_7"/>
      <w:r w:rsidRPr="00F534E4">
        <w:rPr>
          <w:noProof/>
          <w:lang w:val="fr-FR"/>
        </w:rPr>
        <w:t>Fernández-Díaz, M. T., Martínez, J. L. &amp; Rodríguez-Carvajal, J. (1993).</w:t>
      </w:r>
      <w:r w:rsidRPr="00F534E4">
        <w:rPr>
          <w:i/>
          <w:noProof/>
          <w:lang w:val="fr-FR"/>
        </w:rPr>
        <w:t xml:space="preserve"> Solid State Ionics</w:t>
      </w:r>
      <w:r w:rsidRPr="00F534E4">
        <w:rPr>
          <w:noProof/>
          <w:lang w:val="fr-FR"/>
        </w:rPr>
        <w:t xml:space="preserve"> </w:t>
      </w:r>
      <w:r w:rsidRPr="00F534E4">
        <w:rPr>
          <w:b/>
          <w:noProof/>
          <w:lang w:val="fr-FR"/>
        </w:rPr>
        <w:t>63–65</w:t>
      </w:r>
      <w:r w:rsidRPr="00F534E4">
        <w:rPr>
          <w:noProof/>
          <w:lang w:val="fr-FR"/>
        </w:rPr>
        <w:t>, 902-906.</w:t>
      </w:r>
      <w:bookmarkEnd w:id="7"/>
    </w:p>
    <w:p w14:paraId="6B6459F2" w14:textId="77777777" w:rsidR="005B26EB" w:rsidRPr="00F534E4" w:rsidRDefault="005B26EB" w:rsidP="00F534E4">
      <w:pPr>
        <w:pStyle w:val="IUCrreferences"/>
        <w:rPr>
          <w:noProof/>
          <w:lang w:val="fr-FR"/>
        </w:rPr>
      </w:pPr>
      <w:bookmarkStart w:id="8" w:name="_ENREF_8"/>
      <w:r w:rsidRPr="00F534E4">
        <w:rPr>
          <w:noProof/>
          <w:lang w:val="fr-FR"/>
        </w:rPr>
        <w:t>Fernández-Díaz, M. T., Rodríguez-Carvajal, J., Martínez, J. L., Fillion, G., Fernández, F. &amp; Saez-Puche, R. (1991).</w:t>
      </w:r>
      <w:r w:rsidRPr="00F534E4">
        <w:rPr>
          <w:i/>
          <w:noProof/>
          <w:lang w:val="fr-FR"/>
        </w:rPr>
        <w:t xml:space="preserve"> Z. Physik B - Condensed Matter</w:t>
      </w:r>
      <w:r w:rsidRPr="00F534E4">
        <w:rPr>
          <w:noProof/>
          <w:lang w:val="fr-FR"/>
        </w:rPr>
        <w:t xml:space="preserve"> </w:t>
      </w:r>
      <w:r w:rsidRPr="00F534E4">
        <w:rPr>
          <w:b/>
          <w:noProof/>
          <w:lang w:val="fr-FR"/>
        </w:rPr>
        <w:t>82</w:t>
      </w:r>
      <w:r w:rsidRPr="00F534E4">
        <w:rPr>
          <w:noProof/>
          <w:lang w:val="fr-FR"/>
        </w:rPr>
        <w:t>, 275-282.</w:t>
      </w:r>
      <w:bookmarkEnd w:id="8"/>
    </w:p>
    <w:p w14:paraId="03DB8005" w14:textId="77777777" w:rsidR="005B26EB" w:rsidRPr="00F534E4" w:rsidRDefault="005B26EB" w:rsidP="00F534E4">
      <w:pPr>
        <w:pStyle w:val="IUCrreferences"/>
        <w:rPr>
          <w:noProof/>
        </w:rPr>
      </w:pPr>
      <w:bookmarkStart w:id="9" w:name="_ENREF_9"/>
      <w:r w:rsidRPr="00F534E4">
        <w:rPr>
          <w:noProof/>
          <w:lang w:val="fr-FR"/>
        </w:rPr>
        <w:t>Hansen, B. R. S., Moller, K. T., Paskevicius, M., Dippel, A.-C., Walter, P., Webb, C. J., Pistidda, C., Bergemann, N., Dornheim, M., Klassen, T., Jorgensen, J.-E. &amp; Jensen, T. R. (2015).</w:t>
      </w:r>
      <w:r w:rsidRPr="00F534E4">
        <w:rPr>
          <w:i/>
          <w:noProof/>
          <w:lang w:val="fr-FR"/>
        </w:rPr>
        <w:t xml:space="preserve"> </w:t>
      </w:r>
      <w:r w:rsidRPr="00F534E4">
        <w:rPr>
          <w:i/>
          <w:noProof/>
        </w:rPr>
        <w:t>J. Appl. Cryst.</w:t>
      </w:r>
      <w:r w:rsidRPr="00F534E4">
        <w:rPr>
          <w:noProof/>
        </w:rPr>
        <w:t xml:space="preserve"> </w:t>
      </w:r>
      <w:r w:rsidRPr="00F534E4">
        <w:rPr>
          <w:b/>
          <w:noProof/>
        </w:rPr>
        <w:t>48</w:t>
      </w:r>
      <w:r w:rsidRPr="00F534E4">
        <w:rPr>
          <w:noProof/>
        </w:rPr>
        <w:t>, 1234-1241.</w:t>
      </w:r>
      <w:bookmarkEnd w:id="9"/>
    </w:p>
    <w:p w14:paraId="16CAF0E6" w14:textId="77777777" w:rsidR="005B26EB" w:rsidRPr="00F534E4" w:rsidRDefault="005B26EB" w:rsidP="00F534E4">
      <w:pPr>
        <w:pStyle w:val="IUCrreferences"/>
        <w:rPr>
          <w:noProof/>
        </w:rPr>
      </w:pPr>
      <w:bookmarkStart w:id="10" w:name="_ENREF_10"/>
      <w:r w:rsidRPr="00F534E4">
        <w:rPr>
          <w:noProof/>
        </w:rPr>
        <w:t>Ishihara, T. (2014).</w:t>
      </w:r>
      <w:r w:rsidRPr="00F534E4">
        <w:rPr>
          <w:i/>
          <w:noProof/>
        </w:rPr>
        <w:t xml:space="preserve"> J. Ceram. Soc. Jpn.</w:t>
      </w:r>
      <w:r w:rsidRPr="00F534E4">
        <w:rPr>
          <w:noProof/>
        </w:rPr>
        <w:t xml:space="preserve"> </w:t>
      </w:r>
      <w:r w:rsidRPr="00F534E4">
        <w:rPr>
          <w:b/>
          <w:noProof/>
        </w:rPr>
        <w:t>122</w:t>
      </w:r>
      <w:r w:rsidRPr="00F534E4">
        <w:rPr>
          <w:noProof/>
        </w:rPr>
        <w:t>, 179-186.</w:t>
      </w:r>
      <w:bookmarkEnd w:id="10"/>
    </w:p>
    <w:p w14:paraId="02885A0F" w14:textId="77777777" w:rsidR="005B26EB" w:rsidRPr="00F534E4" w:rsidRDefault="005B26EB" w:rsidP="00F534E4">
      <w:pPr>
        <w:pStyle w:val="IUCrreferences"/>
        <w:rPr>
          <w:noProof/>
        </w:rPr>
      </w:pPr>
      <w:bookmarkStart w:id="11" w:name="_ENREF_11"/>
      <w:r w:rsidRPr="00F534E4">
        <w:rPr>
          <w:noProof/>
        </w:rPr>
        <w:t>Izumi, F. &amp; Dilanian, R. A. (2002). Report 81-7895-046-4</w:t>
      </w:r>
      <w:r w:rsidRPr="00F534E4">
        <w:rPr>
          <w:i/>
          <w:noProof/>
        </w:rPr>
        <w:t>.</w:t>
      </w:r>
      <w:r w:rsidRPr="00F534E4">
        <w:rPr>
          <w:noProof/>
        </w:rPr>
        <w:t xml:space="preserve"> </w:t>
      </w:r>
      <w:bookmarkEnd w:id="11"/>
    </w:p>
    <w:p w14:paraId="43F3B542" w14:textId="77777777" w:rsidR="005B26EB" w:rsidRPr="00F534E4" w:rsidRDefault="005B26EB" w:rsidP="00F534E4">
      <w:pPr>
        <w:pStyle w:val="IUCrreferences"/>
        <w:rPr>
          <w:noProof/>
        </w:rPr>
      </w:pPr>
      <w:bookmarkStart w:id="12" w:name="_ENREF_12"/>
      <w:r w:rsidRPr="00F534E4">
        <w:rPr>
          <w:noProof/>
        </w:rPr>
        <w:t>Jensen, T. R., Nielsen, T. K., Filinchuk, Y., Jorgensen, J.-E., Cerenius, Y., Gray, E. M. &amp; Webb, C. J. (2010).</w:t>
      </w:r>
      <w:r w:rsidRPr="00F534E4">
        <w:rPr>
          <w:i/>
          <w:noProof/>
        </w:rPr>
        <w:t xml:space="preserve"> J. Appl. Cryst.</w:t>
      </w:r>
      <w:r w:rsidRPr="00F534E4">
        <w:rPr>
          <w:noProof/>
        </w:rPr>
        <w:t xml:space="preserve"> </w:t>
      </w:r>
      <w:r w:rsidRPr="00F534E4">
        <w:rPr>
          <w:b/>
          <w:noProof/>
        </w:rPr>
        <w:t>43</w:t>
      </w:r>
      <w:r w:rsidRPr="00F534E4">
        <w:rPr>
          <w:noProof/>
        </w:rPr>
        <w:t>, 1456-1463.</w:t>
      </w:r>
      <w:bookmarkEnd w:id="12"/>
    </w:p>
    <w:p w14:paraId="777D8D93" w14:textId="77777777" w:rsidR="005B26EB" w:rsidRPr="00FF7F02" w:rsidRDefault="005B26EB" w:rsidP="00F534E4">
      <w:pPr>
        <w:pStyle w:val="IUCrreferences"/>
        <w:rPr>
          <w:noProof/>
          <w:lang w:val="de-DE"/>
        </w:rPr>
      </w:pPr>
      <w:bookmarkStart w:id="13" w:name="_ENREF_13"/>
      <w:r w:rsidRPr="00F534E4">
        <w:rPr>
          <w:noProof/>
        </w:rPr>
        <w:t>Kovalevsky, A. V., Kharton, V. V., Yaremchenko, A. A., Pivak, Y. V., Tsipis, E. V., Yakovlev, S. O., Markov, A. A., Naumovich, E. N. &amp; Frade, J. R. (2007).</w:t>
      </w:r>
      <w:r w:rsidRPr="00F534E4">
        <w:rPr>
          <w:i/>
          <w:noProof/>
        </w:rPr>
        <w:t xml:space="preserve"> </w:t>
      </w:r>
      <w:r w:rsidRPr="00FF7F02">
        <w:rPr>
          <w:i/>
          <w:noProof/>
          <w:lang w:val="de-DE"/>
        </w:rPr>
        <w:t>J. Electroceram.</w:t>
      </w:r>
      <w:r w:rsidRPr="00FF7F02">
        <w:rPr>
          <w:noProof/>
          <w:lang w:val="de-DE"/>
        </w:rPr>
        <w:t xml:space="preserve"> </w:t>
      </w:r>
      <w:r w:rsidRPr="00FF7F02">
        <w:rPr>
          <w:b/>
          <w:noProof/>
          <w:lang w:val="de-DE"/>
        </w:rPr>
        <w:t>18</w:t>
      </w:r>
      <w:r w:rsidRPr="00FF7F02">
        <w:rPr>
          <w:noProof/>
          <w:lang w:val="de-DE"/>
        </w:rPr>
        <w:t>, 205-218.</w:t>
      </w:r>
      <w:bookmarkEnd w:id="13"/>
    </w:p>
    <w:p w14:paraId="26AD4720" w14:textId="77777777" w:rsidR="005B26EB" w:rsidRPr="00672A9A" w:rsidRDefault="005B26EB" w:rsidP="00F534E4">
      <w:pPr>
        <w:pStyle w:val="IUCrreferences"/>
        <w:rPr>
          <w:noProof/>
          <w:lang w:val="de-DE"/>
        </w:rPr>
      </w:pPr>
      <w:bookmarkStart w:id="14" w:name="_ENREF_14"/>
      <w:r w:rsidRPr="00FF7F02">
        <w:rPr>
          <w:noProof/>
          <w:lang w:val="de-DE"/>
        </w:rPr>
        <w:t>Lorenz, G., Neder, R. B., Marxreiter, J., Frey, F. &amp; Schneider, J. (1993).</w:t>
      </w:r>
      <w:r w:rsidRPr="00FF7F02">
        <w:rPr>
          <w:i/>
          <w:noProof/>
          <w:lang w:val="de-DE"/>
        </w:rPr>
        <w:t xml:space="preserve"> </w:t>
      </w:r>
      <w:r w:rsidRPr="00672A9A">
        <w:rPr>
          <w:i/>
          <w:noProof/>
          <w:lang w:val="de-DE"/>
        </w:rPr>
        <w:t>J. Appl. Cryst.</w:t>
      </w:r>
      <w:r w:rsidRPr="00672A9A">
        <w:rPr>
          <w:noProof/>
          <w:lang w:val="de-DE"/>
        </w:rPr>
        <w:t xml:space="preserve"> </w:t>
      </w:r>
      <w:r w:rsidRPr="00672A9A">
        <w:rPr>
          <w:b/>
          <w:noProof/>
          <w:lang w:val="de-DE"/>
        </w:rPr>
        <w:t>26</w:t>
      </w:r>
      <w:r w:rsidRPr="00672A9A">
        <w:rPr>
          <w:noProof/>
          <w:lang w:val="de-DE"/>
        </w:rPr>
        <w:t>, 632-635.</w:t>
      </w:r>
      <w:bookmarkEnd w:id="14"/>
    </w:p>
    <w:p w14:paraId="608E60E1" w14:textId="77777777" w:rsidR="005B26EB" w:rsidRPr="00F534E4" w:rsidRDefault="005B26EB" w:rsidP="00F534E4">
      <w:pPr>
        <w:pStyle w:val="IUCrreferences"/>
        <w:rPr>
          <w:noProof/>
        </w:rPr>
      </w:pPr>
      <w:bookmarkStart w:id="15" w:name="_ENREF_15"/>
      <w:r w:rsidRPr="00672A9A">
        <w:rPr>
          <w:noProof/>
          <w:lang w:val="de-DE"/>
        </w:rPr>
        <w:t>Maity, A., Dutta, R., Penkala, B., Ceretti, M., Letrouit-Lebranchu, A., Chernyshov, D., Perichon, A., Piovano, A., Bossak, A., Meven, M. &amp; Paulus, W. (2015).</w:t>
      </w:r>
      <w:r w:rsidRPr="00672A9A">
        <w:rPr>
          <w:i/>
          <w:noProof/>
          <w:lang w:val="de-DE"/>
        </w:rPr>
        <w:t xml:space="preserve"> </w:t>
      </w:r>
      <w:r w:rsidRPr="00F534E4">
        <w:rPr>
          <w:i/>
          <w:noProof/>
        </w:rPr>
        <w:t>J. Phys. D: Appl. Phys.</w:t>
      </w:r>
      <w:r w:rsidRPr="00F534E4">
        <w:rPr>
          <w:noProof/>
        </w:rPr>
        <w:t xml:space="preserve"> </w:t>
      </w:r>
      <w:r w:rsidRPr="00F534E4">
        <w:rPr>
          <w:b/>
          <w:noProof/>
        </w:rPr>
        <w:t>48</w:t>
      </w:r>
      <w:r w:rsidRPr="00F534E4">
        <w:rPr>
          <w:noProof/>
        </w:rPr>
        <w:t>, 504004.</w:t>
      </w:r>
      <w:bookmarkEnd w:id="15"/>
    </w:p>
    <w:p w14:paraId="512771CD" w14:textId="77777777" w:rsidR="005B26EB" w:rsidRPr="00F534E4" w:rsidRDefault="005B26EB" w:rsidP="00F534E4">
      <w:pPr>
        <w:pStyle w:val="IUCrreferences"/>
        <w:rPr>
          <w:noProof/>
        </w:rPr>
      </w:pPr>
      <w:bookmarkStart w:id="16" w:name="_ENREF_16"/>
      <w:r w:rsidRPr="00F534E4">
        <w:rPr>
          <w:noProof/>
        </w:rPr>
        <w:t>Meven, M. &amp; Sazanov, A. (2015).</w:t>
      </w:r>
      <w:r w:rsidRPr="00F534E4">
        <w:rPr>
          <w:i/>
          <w:noProof/>
        </w:rPr>
        <w:t xml:space="preserve"> (Heinz Maier-Leibnitz Zentrum); Journal of large-scale research facilities</w:t>
      </w:r>
      <w:r w:rsidRPr="00F534E4">
        <w:rPr>
          <w:noProof/>
        </w:rPr>
        <w:t xml:space="preserve"> </w:t>
      </w:r>
      <w:r w:rsidRPr="00F534E4">
        <w:rPr>
          <w:b/>
          <w:noProof/>
        </w:rPr>
        <w:t>1</w:t>
      </w:r>
      <w:r>
        <w:rPr>
          <w:b/>
          <w:noProof/>
        </w:rPr>
        <w:t xml:space="preserve">, </w:t>
      </w:r>
      <w:r w:rsidRPr="0079352E">
        <w:rPr>
          <w:noProof/>
        </w:rPr>
        <w:t>A7</w:t>
      </w:r>
      <w:r w:rsidRPr="00F534E4">
        <w:rPr>
          <w:noProof/>
        </w:rPr>
        <w:t>.</w:t>
      </w:r>
      <w:bookmarkEnd w:id="16"/>
    </w:p>
    <w:p w14:paraId="7145AC0C" w14:textId="77777777" w:rsidR="005B26EB" w:rsidRPr="00F534E4" w:rsidRDefault="005B26EB" w:rsidP="00F534E4">
      <w:pPr>
        <w:pStyle w:val="IUCrreferences"/>
        <w:rPr>
          <w:noProof/>
        </w:rPr>
      </w:pPr>
      <w:bookmarkStart w:id="17" w:name="_ENREF_17"/>
      <w:r w:rsidRPr="00F534E4">
        <w:rPr>
          <w:noProof/>
        </w:rPr>
        <w:t>Parfitt, D., Chroneos, A., Kilner, J. A. &amp; Grimes, R. W. (2010).</w:t>
      </w:r>
      <w:r w:rsidRPr="00F534E4">
        <w:rPr>
          <w:i/>
          <w:noProof/>
        </w:rPr>
        <w:t xml:space="preserve"> Phys. Chem. Chem. Phys.</w:t>
      </w:r>
      <w:r w:rsidRPr="00F534E4">
        <w:rPr>
          <w:noProof/>
        </w:rPr>
        <w:t xml:space="preserve"> </w:t>
      </w:r>
      <w:r w:rsidRPr="00F534E4">
        <w:rPr>
          <w:b/>
          <w:noProof/>
        </w:rPr>
        <w:t>12</w:t>
      </w:r>
      <w:r w:rsidRPr="00F534E4">
        <w:rPr>
          <w:noProof/>
        </w:rPr>
        <w:t>, 6834-6836.</w:t>
      </w:r>
      <w:bookmarkEnd w:id="17"/>
    </w:p>
    <w:p w14:paraId="18E63BC0" w14:textId="3A7D9D2D" w:rsidR="005B26EB" w:rsidRDefault="005B26EB" w:rsidP="00F534E4">
      <w:pPr>
        <w:pStyle w:val="IUCrreferences"/>
        <w:rPr>
          <w:noProof/>
        </w:rPr>
      </w:pPr>
      <w:bookmarkStart w:id="18" w:name="_ENREF_18"/>
      <w:r w:rsidRPr="00F534E4">
        <w:rPr>
          <w:noProof/>
        </w:rPr>
        <w:t>Perrichon, A., Piovano, A., Boehm, M., Zbiri, M., Johnson, M., Schober, H., Ceretti, M. &amp; Paulus, W. (2015).</w:t>
      </w:r>
      <w:r w:rsidRPr="00F534E4">
        <w:rPr>
          <w:i/>
          <w:noProof/>
        </w:rPr>
        <w:t xml:space="preserve"> J. Phys. Chem. C</w:t>
      </w:r>
      <w:r w:rsidRPr="00F534E4">
        <w:rPr>
          <w:noProof/>
        </w:rPr>
        <w:t xml:space="preserve"> </w:t>
      </w:r>
      <w:r w:rsidRPr="00F534E4">
        <w:rPr>
          <w:b/>
          <w:noProof/>
        </w:rPr>
        <w:t>119</w:t>
      </w:r>
      <w:r w:rsidRPr="00F534E4">
        <w:rPr>
          <w:noProof/>
        </w:rPr>
        <w:t>, 1557-1564.</w:t>
      </w:r>
      <w:bookmarkEnd w:id="18"/>
    </w:p>
    <w:p w14:paraId="0003A83C" w14:textId="2D1398B2" w:rsidR="00BD2078" w:rsidRPr="00F534E4" w:rsidRDefault="00BD2078" w:rsidP="00F534E4">
      <w:pPr>
        <w:pStyle w:val="IUCrreferences"/>
        <w:rPr>
          <w:noProof/>
        </w:rPr>
      </w:pPr>
      <w:r>
        <w:rPr>
          <w:noProof/>
        </w:rPr>
        <w:t>P</w:t>
      </w:r>
      <w:r w:rsidRPr="00BD2078">
        <w:rPr>
          <w:noProof/>
        </w:rPr>
        <w:t xml:space="preserve">iovano, A., Perrichon, A., Boehm, M., Johnson, M. R. &amp; Paulus, W. (2016). </w:t>
      </w:r>
      <w:r w:rsidRPr="00606F37">
        <w:rPr>
          <w:i/>
          <w:noProof/>
        </w:rPr>
        <w:t>Phys. Chem. Chem. Phys.</w:t>
      </w:r>
      <w:r w:rsidRPr="00BD2078">
        <w:rPr>
          <w:noProof/>
        </w:rPr>
        <w:t xml:space="preserve"> </w:t>
      </w:r>
      <w:r w:rsidRPr="00606F37">
        <w:rPr>
          <w:b/>
          <w:noProof/>
        </w:rPr>
        <w:t>18</w:t>
      </w:r>
      <w:r w:rsidRPr="00BD2078">
        <w:rPr>
          <w:noProof/>
        </w:rPr>
        <w:t>, 17398-17403.</w:t>
      </w:r>
    </w:p>
    <w:p w14:paraId="538F0419" w14:textId="77777777" w:rsidR="005B26EB" w:rsidRPr="00F534E4" w:rsidRDefault="005B26EB" w:rsidP="00F534E4">
      <w:pPr>
        <w:pStyle w:val="IUCrreferences"/>
        <w:rPr>
          <w:noProof/>
        </w:rPr>
      </w:pPr>
      <w:bookmarkStart w:id="19" w:name="_ENREF_19"/>
      <w:r w:rsidRPr="00F534E4">
        <w:rPr>
          <w:noProof/>
        </w:rPr>
        <w:t>Sheldrick, G. (2015).</w:t>
      </w:r>
      <w:r w:rsidRPr="00F534E4">
        <w:rPr>
          <w:i/>
          <w:noProof/>
        </w:rPr>
        <w:t xml:space="preserve"> Acta Crystallographica Section C</w:t>
      </w:r>
      <w:r w:rsidRPr="00F534E4">
        <w:rPr>
          <w:noProof/>
        </w:rPr>
        <w:t xml:space="preserve"> </w:t>
      </w:r>
      <w:r w:rsidRPr="00F534E4">
        <w:rPr>
          <w:b/>
          <w:noProof/>
        </w:rPr>
        <w:t>71</w:t>
      </w:r>
      <w:r w:rsidRPr="00F534E4">
        <w:rPr>
          <w:noProof/>
        </w:rPr>
        <w:t>, 3-8.</w:t>
      </w:r>
      <w:bookmarkEnd w:id="19"/>
    </w:p>
    <w:p w14:paraId="309D1AA2" w14:textId="77777777" w:rsidR="005B26EB" w:rsidRPr="00F534E4" w:rsidRDefault="005B26EB" w:rsidP="00F534E4">
      <w:pPr>
        <w:pStyle w:val="IUCrreferences"/>
        <w:rPr>
          <w:noProof/>
        </w:rPr>
      </w:pPr>
      <w:bookmarkStart w:id="20" w:name="_ENREF_20"/>
      <w:r w:rsidRPr="00F534E4">
        <w:rPr>
          <w:noProof/>
        </w:rPr>
        <w:lastRenderedPageBreak/>
        <w:t>Sullivan, J. D., Buttrey, D. J., Cox, D. E. &amp; Hriljac, J. (1991).</w:t>
      </w:r>
      <w:r w:rsidRPr="00F534E4">
        <w:rPr>
          <w:i/>
          <w:noProof/>
        </w:rPr>
        <w:t xml:space="preserve"> Journal of Solid State Chemistry</w:t>
      </w:r>
      <w:r w:rsidRPr="00F534E4">
        <w:rPr>
          <w:noProof/>
        </w:rPr>
        <w:t xml:space="preserve"> </w:t>
      </w:r>
      <w:r w:rsidRPr="00F534E4">
        <w:rPr>
          <w:b/>
          <w:noProof/>
        </w:rPr>
        <w:t>94</w:t>
      </w:r>
      <w:r w:rsidRPr="00F534E4">
        <w:rPr>
          <w:noProof/>
        </w:rPr>
        <w:t>, 337-351.</w:t>
      </w:r>
      <w:bookmarkEnd w:id="20"/>
    </w:p>
    <w:p w14:paraId="161393BE" w14:textId="77777777" w:rsidR="005B26EB" w:rsidRPr="00F534E4" w:rsidRDefault="005B26EB" w:rsidP="00F534E4">
      <w:pPr>
        <w:pStyle w:val="IUCrreferences"/>
        <w:rPr>
          <w:noProof/>
          <w:lang w:val="fr-FR"/>
        </w:rPr>
      </w:pPr>
      <w:bookmarkStart w:id="21" w:name="_ENREF_21"/>
      <w:r w:rsidRPr="00F534E4">
        <w:rPr>
          <w:noProof/>
        </w:rPr>
        <w:t>Takahashi, S., Nishimoto, S., Matsuda, M. &amp; Miyake, M. (2010).</w:t>
      </w:r>
      <w:r w:rsidRPr="00F534E4">
        <w:rPr>
          <w:i/>
          <w:noProof/>
        </w:rPr>
        <w:t xml:space="preserve"> </w:t>
      </w:r>
      <w:r w:rsidRPr="00F534E4">
        <w:rPr>
          <w:i/>
          <w:noProof/>
          <w:lang w:val="fr-FR"/>
        </w:rPr>
        <w:t>J. Am. Ceram. Soc.</w:t>
      </w:r>
      <w:r w:rsidRPr="00F534E4">
        <w:rPr>
          <w:noProof/>
          <w:lang w:val="fr-FR"/>
        </w:rPr>
        <w:t xml:space="preserve"> </w:t>
      </w:r>
      <w:r w:rsidRPr="00F534E4">
        <w:rPr>
          <w:b/>
          <w:noProof/>
          <w:lang w:val="fr-FR"/>
        </w:rPr>
        <w:t>93</w:t>
      </w:r>
      <w:r w:rsidRPr="00F534E4">
        <w:rPr>
          <w:noProof/>
          <w:lang w:val="fr-FR"/>
        </w:rPr>
        <w:t>, 2329-2333.</w:t>
      </w:r>
      <w:bookmarkEnd w:id="21"/>
    </w:p>
    <w:p w14:paraId="0817A02A" w14:textId="77777777" w:rsidR="005B26EB" w:rsidRPr="00F534E4" w:rsidRDefault="005B26EB" w:rsidP="00F534E4">
      <w:pPr>
        <w:pStyle w:val="IUCrreferences"/>
        <w:rPr>
          <w:noProof/>
          <w:lang w:val="fr-FR"/>
        </w:rPr>
      </w:pPr>
      <w:bookmarkStart w:id="22" w:name="_ENREF_22"/>
      <w:r w:rsidRPr="00F534E4">
        <w:rPr>
          <w:noProof/>
          <w:lang w:val="fr-FR"/>
        </w:rPr>
        <w:t>Villesuzanne, A., Paulus, W., Cousson, A., Hosoya, S., Le Dreau, L., Hernandez, O., Prestipino, C., Houchati, M. I. &amp; Schefer, J. (2011).</w:t>
      </w:r>
      <w:r w:rsidRPr="00F534E4">
        <w:rPr>
          <w:i/>
          <w:noProof/>
          <w:lang w:val="fr-FR"/>
        </w:rPr>
        <w:t xml:space="preserve"> J. Solid State Electrochem.</w:t>
      </w:r>
      <w:r w:rsidRPr="00F534E4">
        <w:rPr>
          <w:noProof/>
          <w:lang w:val="fr-FR"/>
        </w:rPr>
        <w:t xml:space="preserve"> </w:t>
      </w:r>
      <w:r w:rsidRPr="00F534E4">
        <w:rPr>
          <w:b/>
          <w:noProof/>
          <w:lang w:val="fr-FR"/>
        </w:rPr>
        <w:t>15</w:t>
      </w:r>
      <w:r w:rsidRPr="00F534E4">
        <w:rPr>
          <w:noProof/>
          <w:lang w:val="fr-FR"/>
        </w:rPr>
        <w:t>, 357-366.</w:t>
      </w:r>
      <w:bookmarkEnd w:id="22"/>
    </w:p>
    <w:p w14:paraId="0D683152" w14:textId="77777777" w:rsidR="005B26EB" w:rsidRPr="00F534E4" w:rsidRDefault="005B26EB" w:rsidP="00F534E4">
      <w:pPr>
        <w:pStyle w:val="IUCrreferences"/>
        <w:rPr>
          <w:noProof/>
          <w:lang w:val="fr-FR"/>
        </w:rPr>
      </w:pPr>
      <w:bookmarkStart w:id="23" w:name="_ENREF_23"/>
      <w:r w:rsidRPr="00F534E4">
        <w:rPr>
          <w:noProof/>
          <w:lang w:val="fr-FR"/>
        </w:rPr>
        <w:t>Wahyudi, O., Ceretti, M., Weill, I., Cousson, A., Weill, F., Meven, M., Guerre, M., Villesuzanne, A., Bassat, J. M. &amp; Paulus, W. (2015).</w:t>
      </w:r>
      <w:r w:rsidRPr="00F534E4">
        <w:rPr>
          <w:i/>
          <w:noProof/>
          <w:lang w:val="fr-FR"/>
        </w:rPr>
        <w:t xml:space="preserve"> Cryst</w:t>
      </w:r>
      <w:r w:rsidR="00656E7A">
        <w:rPr>
          <w:i/>
          <w:noProof/>
          <w:lang w:val="fr-FR"/>
        </w:rPr>
        <w:t>E</w:t>
      </w:r>
      <w:r w:rsidRPr="00F534E4">
        <w:rPr>
          <w:i/>
          <w:noProof/>
          <w:lang w:val="fr-FR"/>
        </w:rPr>
        <w:t>ng</w:t>
      </w:r>
      <w:r w:rsidR="00656E7A">
        <w:rPr>
          <w:i/>
          <w:noProof/>
          <w:lang w:val="fr-FR"/>
        </w:rPr>
        <w:t>C</w:t>
      </w:r>
      <w:r w:rsidRPr="00F534E4">
        <w:rPr>
          <w:i/>
          <w:noProof/>
          <w:lang w:val="fr-FR"/>
        </w:rPr>
        <w:t>omm</w:t>
      </w:r>
      <w:r w:rsidRPr="00F534E4">
        <w:rPr>
          <w:noProof/>
          <w:lang w:val="fr-FR"/>
        </w:rPr>
        <w:t xml:space="preserve"> </w:t>
      </w:r>
      <w:r w:rsidRPr="00F534E4">
        <w:rPr>
          <w:b/>
          <w:noProof/>
          <w:lang w:val="fr-FR"/>
        </w:rPr>
        <w:t>17</w:t>
      </w:r>
      <w:r w:rsidRPr="00F534E4">
        <w:rPr>
          <w:noProof/>
          <w:lang w:val="fr-FR"/>
        </w:rPr>
        <w:t>, 6278-6285.</w:t>
      </w:r>
      <w:bookmarkEnd w:id="23"/>
    </w:p>
    <w:p w14:paraId="7138C3E5" w14:textId="77777777" w:rsidR="005B26EB" w:rsidRPr="00672A9A" w:rsidRDefault="005B26EB" w:rsidP="00F534E4">
      <w:pPr>
        <w:pStyle w:val="IUCrreferences"/>
        <w:rPr>
          <w:noProof/>
        </w:rPr>
      </w:pPr>
      <w:bookmarkStart w:id="24" w:name="_ENREF_24"/>
      <w:r w:rsidRPr="00F534E4">
        <w:rPr>
          <w:noProof/>
          <w:lang w:val="fr-FR"/>
        </w:rPr>
        <w:t>Yashima, M., Enoki, M., Wakita, T., Ali, R., Matsushita, Y., Izumi, F. &amp; Ishihara, T. (2008).</w:t>
      </w:r>
      <w:r w:rsidRPr="00F534E4">
        <w:rPr>
          <w:i/>
          <w:noProof/>
          <w:lang w:val="fr-FR"/>
        </w:rPr>
        <w:t xml:space="preserve"> </w:t>
      </w:r>
      <w:r w:rsidRPr="00672A9A">
        <w:rPr>
          <w:i/>
          <w:noProof/>
        </w:rPr>
        <w:t>J. Am. Chem. Soc.</w:t>
      </w:r>
      <w:r w:rsidRPr="00672A9A">
        <w:rPr>
          <w:noProof/>
        </w:rPr>
        <w:t xml:space="preserve"> </w:t>
      </w:r>
      <w:r w:rsidRPr="00672A9A">
        <w:rPr>
          <w:b/>
          <w:noProof/>
        </w:rPr>
        <w:t>130</w:t>
      </w:r>
      <w:r w:rsidRPr="00672A9A">
        <w:rPr>
          <w:noProof/>
        </w:rPr>
        <w:t>, 2762-2763.</w:t>
      </w:r>
      <w:bookmarkEnd w:id="24"/>
    </w:p>
    <w:p w14:paraId="1B093F1E" w14:textId="2A964866" w:rsidR="005B26EB" w:rsidRDefault="005B26EB" w:rsidP="002A57D1">
      <w:pPr>
        <w:pStyle w:val="IUCrreferences"/>
        <w:rPr>
          <w:rStyle w:val="IUCrsanstextgreysmall"/>
          <w:rFonts w:ascii="Times New Roman" w:hAnsi="Times New Roman"/>
          <w:color w:val="auto"/>
          <w:sz w:val="22"/>
        </w:rPr>
      </w:pPr>
    </w:p>
    <w:p w14:paraId="62643CCE" w14:textId="77777777" w:rsidR="00BD2078" w:rsidRDefault="00BD2078" w:rsidP="002A57D1">
      <w:pPr>
        <w:pStyle w:val="IUCrreferences"/>
        <w:rPr>
          <w:rStyle w:val="IUCrsanstextgreysmall"/>
          <w:rFonts w:ascii="Times New Roman" w:hAnsi="Times New Roman"/>
          <w:color w:val="auto"/>
          <w:sz w:val="22"/>
        </w:rPr>
      </w:pPr>
    </w:p>
    <w:p w14:paraId="4CC71347" w14:textId="77777777" w:rsidR="005B26EB" w:rsidRDefault="005B26EB" w:rsidP="00232396">
      <w:pPr>
        <w:pStyle w:val="IUCrappendixheading1"/>
      </w:pPr>
      <w:r w:rsidRPr="00232396">
        <w:rPr>
          <w:rFonts w:eastAsiaTheme="minorEastAsia"/>
        </w:rPr>
        <w:t>Thermal simulation</w:t>
      </w:r>
      <w:r>
        <w:rPr>
          <w:rFonts w:eastAsiaTheme="minorEastAsia"/>
        </w:rPr>
        <w:t>s</w:t>
      </w:r>
      <w:r w:rsidRPr="00232396">
        <w:t xml:space="preserve"> </w:t>
      </w:r>
    </w:p>
    <w:p w14:paraId="0C3B592C" w14:textId="77777777" w:rsidR="005B26EB" w:rsidRDefault="005B26EB" w:rsidP="00E0523A"/>
    <w:p w14:paraId="5BD8A04F" w14:textId="77777777" w:rsidR="005B26EB" w:rsidRPr="00BD0E08" w:rsidRDefault="005B26EB" w:rsidP="009245C2">
      <w:pPr>
        <w:pStyle w:val="IUCrbodytext"/>
        <w:jc w:val="both"/>
      </w:pPr>
      <w:r w:rsidRPr="00BD0E08">
        <w:t xml:space="preserve">Heat transfer and flow inside the furnace and along the sample holder </w:t>
      </w:r>
      <w:proofErr w:type="gramStart"/>
      <w:r w:rsidRPr="00BD0E08">
        <w:t>were simulated</w:t>
      </w:r>
      <w:proofErr w:type="gramEnd"/>
      <w:r w:rsidRPr="00BD0E08">
        <w:t xml:space="preserve"> using </w:t>
      </w:r>
      <w:bookmarkStart w:id="25" w:name="_Hlk63240933"/>
      <w:r w:rsidR="002149DF" w:rsidRPr="00BD0E08">
        <w:t xml:space="preserve">the heat transfer module of </w:t>
      </w:r>
      <w:r w:rsidRPr="00BD0E08">
        <w:t xml:space="preserve">COMSOL Multiphysics® software (version 5.2a, </w:t>
      </w:r>
      <w:hyperlink r:id="rId13" w:history="1">
        <w:r w:rsidRPr="00052315">
          <w:rPr>
            <w:rStyle w:val="Hyperlink"/>
            <w:color w:val="auto"/>
          </w:rPr>
          <w:t>https://www.comsol.com</w:t>
        </w:r>
      </w:hyperlink>
      <w:r w:rsidRPr="00BD0E08">
        <w:t>)</w:t>
      </w:r>
      <w:r w:rsidR="002149DF" w:rsidRPr="00BD0E08">
        <w:t>.</w:t>
      </w:r>
      <w:r w:rsidR="00DF404A" w:rsidRPr="00BD0E08">
        <w:t xml:space="preserve"> Simulations have done considering the whole furnace in vacuum, while the reaction cell is in a gas atmosphere (flowing and pressure).</w:t>
      </w:r>
      <w:r w:rsidRPr="00BD0E08">
        <w:t xml:space="preserve"> Results of these simulations are reported in Figure A1a-b </w:t>
      </w:r>
      <w:r w:rsidR="00DF404A" w:rsidRPr="00BD0E08">
        <w:t xml:space="preserve">in the case of oxygen pressure of </w:t>
      </w:r>
      <w:proofErr w:type="gramStart"/>
      <w:r w:rsidR="00DF404A" w:rsidRPr="00BD0E08">
        <w:t>1</w:t>
      </w:r>
      <w:proofErr w:type="gramEnd"/>
      <w:r w:rsidR="00DF404A" w:rsidRPr="00BD0E08">
        <w:t xml:space="preserve"> bar in the quartz tube.</w:t>
      </w:r>
    </w:p>
    <w:p w14:paraId="208AE0CD" w14:textId="77777777" w:rsidR="005B26EB" w:rsidRDefault="005B26EB" w:rsidP="009245C2">
      <w:pPr>
        <w:pStyle w:val="IUCrbodytext"/>
        <w:jc w:val="both"/>
        <w:rPr>
          <w:rFonts w:eastAsiaTheme="minorEastAsia"/>
        </w:rPr>
      </w:pPr>
      <w:r w:rsidRPr="00BD0E08">
        <w:t>Firstly, the ray simulation (obtained with Ray Optics Module of the COMSOL Multiphysics® package</w:t>
      </w:r>
      <w:bookmarkEnd w:id="25"/>
      <w:r w:rsidRPr="00BD0E08">
        <w:t>)</w:t>
      </w:r>
      <w:r>
        <w:t xml:space="preserve"> showed that </w:t>
      </w:r>
      <w:r>
        <w:rPr>
          <w:rFonts w:eastAsiaTheme="minorEastAsia"/>
        </w:rPr>
        <w:t xml:space="preserve">the energy emitted by the four lamps </w:t>
      </w:r>
      <w:proofErr w:type="gramStart"/>
      <w:r>
        <w:rPr>
          <w:rFonts w:eastAsiaTheme="minorEastAsia"/>
        </w:rPr>
        <w:t>is transferred</w:t>
      </w:r>
      <w:proofErr w:type="gramEnd"/>
      <w:r>
        <w:rPr>
          <w:rFonts w:eastAsiaTheme="minorEastAsia"/>
        </w:rPr>
        <w:t xml:space="preserve"> to the sample, in the focal point of the mirrors (Figure A1), even if some of it is lost by reflection from the quartz capillary.</w:t>
      </w:r>
    </w:p>
    <w:p w14:paraId="0ADED3BF" w14:textId="77777777" w:rsidR="005B26EB" w:rsidRPr="00766B8C" w:rsidRDefault="005B26EB" w:rsidP="00766B8C">
      <w:pPr>
        <w:pStyle w:val="IUCrbodytext"/>
      </w:pPr>
      <w:r w:rsidRPr="00766B8C">
        <w:t xml:space="preserve">  </w:t>
      </w:r>
      <w:r>
        <w:rPr>
          <w:noProof/>
          <w:lang w:val="de-DE" w:eastAsia="ja-JP"/>
        </w:rPr>
        <w:drawing>
          <wp:inline distT="0" distB="0" distL="0" distR="0" wp14:anchorId="3051521D" wp14:editId="3AC800DF">
            <wp:extent cx="3168000" cy="1642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A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00" cy="1642970"/>
                    </a:xfrm>
                    <a:prstGeom prst="rect">
                      <a:avLst/>
                    </a:prstGeom>
                  </pic:spPr>
                </pic:pic>
              </a:graphicData>
            </a:graphic>
          </wp:inline>
        </w:drawing>
      </w:r>
    </w:p>
    <w:p w14:paraId="216DED80" w14:textId="77777777" w:rsidR="005B26EB" w:rsidRDefault="005B26EB" w:rsidP="00A730A6">
      <w:pPr>
        <w:pStyle w:val="IUCrsupheading1"/>
        <w:numPr>
          <w:ilvl w:val="0"/>
          <w:numId w:val="0"/>
        </w:numPr>
      </w:pPr>
      <w:r>
        <w:t xml:space="preserve">Figure A1 </w:t>
      </w:r>
      <w:r w:rsidRPr="004B057E">
        <w:rPr>
          <w:b w:val="0"/>
        </w:rPr>
        <w:t>(a)</w:t>
      </w:r>
      <w:r>
        <w:t xml:space="preserve"> </w:t>
      </w:r>
      <w:r w:rsidRPr="00A730A6">
        <w:rPr>
          <w:rStyle w:val="IUCrbodytextChar"/>
          <w:b w:val="0"/>
        </w:rPr>
        <w:t xml:space="preserve">Ray tracing </w:t>
      </w:r>
      <w:r>
        <w:rPr>
          <w:rStyle w:val="IUCrbodytextChar"/>
          <w:b w:val="0"/>
        </w:rPr>
        <w:t xml:space="preserve">within the IR furnace </w:t>
      </w:r>
      <w:r w:rsidRPr="00A730A6">
        <w:rPr>
          <w:rStyle w:val="IUCrbodytextChar"/>
          <w:b w:val="0"/>
        </w:rPr>
        <w:t xml:space="preserve">and </w:t>
      </w:r>
      <w:r>
        <w:rPr>
          <w:rStyle w:val="IUCrbodytextChar"/>
          <w:b w:val="0"/>
        </w:rPr>
        <w:t xml:space="preserve">(b) </w:t>
      </w:r>
      <w:r w:rsidRPr="00A730A6">
        <w:rPr>
          <w:rStyle w:val="IUCrbodytextChar"/>
          <w:b w:val="0"/>
        </w:rPr>
        <w:t>heat transfer simulation</w:t>
      </w:r>
      <w:r>
        <w:rPr>
          <w:rStyle w:val="IUCrbodytextChar"/>
          <w:b w:val="0"/>
        </w:rPr>
        <w:t>s</w:t>
      </w:r>
      <w:r w:rsidRPr="00A730A6">
        <w:rPr>
          <w:rStyle w:val="IUCrbodytextChar"/>
          <w:b w:val="0"/>
        </w:rPr>
        <w:t xml:space="preserve"> </w:t>
      </w:r>
      <w:r>
        <w:rPr>
          <w:rStyle w:val="IUCrbodytextChar"/>
          <w:b w:val="0"/>
        </w:rPr>
        <w:t>within new the sample holder and quartz tube.</w:t>
      </w:r>
      <w:r w:rsidRPr="00766B8C">
        <w:t xml:space="preserve"> </w:t>
      </w:r>
    </w:p>
    <w:p w14:paraId="113D1A4D" w14:textId="77777777" w:rsidR="005B26EB" w:rsidRPr="002D5F9C" w:rsidRDefault="005B26EB" w:rsidP="00176D2E">
      <w:pPr>
        <w:pStyle w:val="IUCrbodytext"/>
        <w:jc w:val="both"/>
      </w:pPr>
      <w:r>
        <w:rPr>
          <w:rFonts w:eastAsiaTheme="minorEastAsia"/>
        </w:rPr>
        <w:t xml:space="preserve">To verify that the energy reaching the sample is however enough to obtain a sufficiently high temperature, a heat transfer simulation of the whole device </w:t>
      </w:r>
      <w:proofErr w:type="gramStart"/>
      <w:r>
        <w:rPr>
          <w:rFonts w:eastAsiaTheme="minorEastAsia"/>
        </w:rPr>
        <w:t>has been done</w:t>
      </w:r>
      <w:proofErr w:type="gramEnd"/>
      <w:r>
        <w:rPr>
          <w:rFonts w:eastAsiaTheme="minorEastAsia"/>
        </w:rPr>
        <w:t xml:space="preserve">. For these simulations, the energy transferred to the different materials from the ray tracing </w:t>
      </w:r>
      <w:proofErr w:type="gramStart"/>
      <w:r>
        <w:rPr>
          <w:rFonts w:eastAsiaTheme="minorEastAsia"/>
        </w:rPr>
        <w:t>was considered</w:t>
      </w:r>
      <w:proofErr w:type="gramEnd"/>
      <w:r>
        <w:rPr>
          <w:rFonts w:eastAsiaTheme="minorEastAsia"/>
        </w:rPr>
        <w:t xml:space="preserve">. </w:t>
      </w:r>
      <w:r w:rsidRPr="002D5F9C">
        <w:t xml:space="preserve">Figure </w:t>
      </w:r>
      <w:proofErr w:type="gramStart"/>
      <w:r>
        <w:t>A</w:t>
      </w:r>
      <w:r w:rsidRPr="002D5F9C">
        <w:t>1</w:t>
      </w:r>
      <w:r>
        <w:t>(</w:t>
      </w:r>
      <w:proofErr w:type="gramEnd"/>
      <w:r w:rsidRPr="002D5F9C">
        <w:t>a</w:t>
      </w:r>
      <w:r>
        <w:t>)</w:t>
      </w:r>
      <w:r w:rsidRPr="002D5F9C">
        <w:t xml:space="preserve"> show</w:t>
      </w:r>
      <w:r>
        <w:t>s</w:t>
      </w:r>
      <w:r w:rsidRPr="002D5F9C">
        <w:t xml:space="preserve"> </w:t>
      </w:r>
      <w:r w:rsidRPr="002D5F9C">
        <w:lastRenderedPageBreak/>
        <w:t xml:space="preserve">the light ray tracing concentrated in the focal point, at the sample position. </w:t>
      </w:r>
      <w:r>
        <w:t>L</w:t>
      </w:r>
      <w:r w:rsidRPr="002D5F9C">
        <w:t xml:space="preserve">amps are at the maximum of their power. </w:t>
      </w:r>
    </w:p>
    <w:p w14:paraId="157F1377" w14:textId="11B2A8E2" w:rsidR="005B26EB" w:rsidRPr="002D5F9C" w:rsidRDefault="005B26EB">
      <w:pPr>
        <w:pStyle w:val="IUCrbodytext"/>
        <w:jc w:val="both"/>
      </w:pPr>
      <w:r>
        <w:rPr>
          <w:rFonts w:eastAsiaTheme="minorEastAsia"/>
        </w:rPr>
        <w:t xml:space="preserve">Figure </w:t>
      </w:r>
      <w:proofErr w:type="gramStart"/>
      <w:r>
        <w:rPr>
          <w:rFonts w:eastAsiaTheme="minorEastAsia"/>
        </w:rPr>
        <w:t>A1(</w:t>
      </w:r>
      <w:proofErr w:type="gramEnd"/>
      <w:r>
        <w:rPr>
          <w:rFonts w:eastAsiaTheme="minorEastAsia"/>
        </w:rPr>
        <w:t xml:space="preserve">b) reports heat transfer simulation in the quartz capillary. </w:t>
      </w:r>
      <w:r>
        <w:t>I</w:t>
      </w:r>
      <w:r w:rsidRPr="002D5F9C">
        <w:t xml:space="preserve">t is clear that </w:t>
      </w:r>
      <w:r>
        <w:t xml:space="preserve">the </w:t>
      </w:r>
      <w:r w:rsidRPr="002D5F9C">
        <w:t xml:space="preserve">heat </w:t>
      </w:r>
      <w:proofErr w:type="gramStart"/>
      <w:r w:rsidRPr="002D5F9C">
        <w:t>is rapidly transferred</w:t>
      </w:r>
      <w:proofErr w:type="gramEnd"/>
      <w:r w:rsidRPr="002D5F9C">
        <w:t xml:space="preserve"> to the sample holder while the quartz tube and gas </w:t>
      </w:r>
      <w:r>
        <w:t>remain</w:t>
      </w:r>
      <w:r w:rsidRPr="002D5F9C">
        <w:t xml:space="preserve"> at moderate temperatures: one end </w:t>
      </w:r>
      <w:r>
        <w:t>is at room temperature (300K)</w:t>
      </w:r>
      <w:r w:rsidRPr="002D5F9C">
        <w:t>, while the other end can reach quite high temperature (</w:t>
      </w:r>
      <w:r>
        <w:t>about</w:t>
      </w:r>
      <w:r w:rsidRPr="002D5F9C">
        <w:t xml:space="preserve"> 500K) when the heating lamps are at the maximum of their power</w:t>
      </w:r>
      <w:r>
        <w:t>.</w:t>
      </w:r>
      <w:r w:rsidRPr="009C689C">
        <w:t xml:space="preserve"> </w:t>
      </w:r>
      <w:r w:rsidRPr="002D5F9C">
        <w:t xml:space="preserve">Thus, to avoid overheating effects, a new cooling system </w:t>
      </w:r>
      <w:proofErr w:type="gramStart"/>
      <w:r w:rsidRPr="002D5F9C">
        <w:t>was installed</w:t>
      </w:r>
      <w:proofErr w:type="gramEnd"/>
      <w:r w:rsidRPr="002D5F9C">
        <w:t xml:space="preserve"> at one end of the quartz tube.</w:t>
      </w:r>
      <w:r>
        <w:t xml:space="preserve"> T</w:t>
      </w:r>
      <w:r w:rsidRPr="002D5F9C">
        <w:t>he homogeneous temperature region is about 1 cm at the sample position is evidenced, which is quite sufficient for neutron diffraction experiments.</w:t>
      </w:r>
      <w:r w:rsidR="00BD0E08">
        <w:t xml:space="preserve"> </w:t>
      </w:r>
    </w:p>
    <w:p w14:paraId="471A6750" w14:textId="77777777" w:rsidR="00910AFF" w:rsidRDefault="00910AFF"/>
    <w:p w14:paraId="5AFA52E9" w14:textId="77777777" w:rsidR="00910AFF" w:rsidRDefault="00910AFF"/>
    <w:p w14:paraId="504B8F3B" w14:textId="4C2980E3" w:rsidR="00BE482C" w:rsidRDefault="00BE482C"/>
    <w:sectPr w:rsidR="00BE482C" w:rsidSect="00E038C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A2A1A" w14:textId="77777777" w:rsidR="00032503" w:rsidRDefault="00032503">
      <w:pPr>
        <w:spacing w:line="240" w:lineRule="auto"/>
      </w:pPr>
      <w:r>
        <w:separator/>
      </w:r>
    </w:p>
  </w:endnote>
  <w:endnote w:type="continuationSeparator" w:id="0">
    <w:p w14:paraId="4A240A63" w14:textId="77777777" w:rsidR="00032503" w:rsidRDefault="00032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D982" w14:textId="77777777" w:rsidR="008C79DF" w:rsidRDefault="008C79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C535" w14:textId="77777777" w:rsidR="008C79DF" w:rsidRDefault="008C79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4590"/>
      <w:docPartObj>
        <w:docPartGallery w:val="Page Numbers (Bottom of Page)"/>
        <w:docPartUnique/>
      </w:docPartObj>
    </w:sdtPr>
    <w:sdtEndPr/>
    <w:sdtContent>
      <w:p w14:paraId="7F19219E" w14:textId="77777777" w:rsidR="00273A7D" w:rsidRDefault="001B26AB" w:rsidP="00A8790A">
        <w:pPr>
          <w:pStyle w:val="Fuzeile"/>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rsidRPr="00A8790A">
          <w:rPr>
            <w:rStyle w:val="IUCrsanstextgreysmall"/>
            <w:color w:val="404040" w:themeColor="text1" w:themeTint="BF"/>
          </w:rPr>
          <w:t>IMPORTANT: this document contains embedded data - to preserve data integrity, please ensure where possible that the IUCr Word tools (available from http://journals.iucr.org/services/docxtemplate/) are installed when editing this document.</w:t>
        </w:r>
        <w:r>
          <w:tab/>
        </w:r>
        <w:r>
          <w:tab/>
        </w:r>
        <w:r>
          <w:fldChar w:fldCharType="begin"/>
        </w:r>
        <w:r>
          <w:instrText xml:space="preserve"> PAGE   \* MERGEFORMAT </w:instrText>
        </w:r>
        <w:r>
          <w:fldChar w:fldCharType="separate"/>
        </w:r>
        <w:r>
          <w:rPr>
            <w:noProof/>
          </w:rPr>
          <w:t>1</w:t>
        </w:r>
        <w:r>
          <w:rPr>
            <w:noProof/>
          </w:rPr>
          <w:fldChar w:fldCharType="end"/>
        </w:r>
      </w:p>
    </w:sdtContent>
  </w:sdt>
  <w:p w14:paraId="022BAE5A" w14:textId="77777777" w:rsidR="00273A7D" w:rsidRDefault="000325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41E97" w14:textId="77777777" w:rsidR="00032503" w:rsidRDefault="00032503">
      <w:pPr>
        <w:spacing w:line="240" w:lineRule="auto"/>
      </w:pPr>
      <w:r>
        <w:separator/>
      </w:r>
    </w:p>
  </w:footnote>
  <w:footnote w:type="continuationSeparator" w:id="0">
    <w:p w14:paraId="34F0DEBE" w14:textId="77777777" w:rsidR="00032503" w:rsidRDefault="000325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17ED7" w14:textId="77777777" w:rsidR="008C79DF" w:rsidRDefault="008C79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410EF" w14:textId="5670DFB3" w:rsidR="00B933B1" w:rsidRPr="008C79DF" w:rsidRDefault="00B933B1" w:rsidP="008C79DF">
    <w:pPr>
      <w:pStyle w:val="Kopfzeile"/>
    </w:pPr>
    <w:bookmarkStart w:id="26" w:name="_GoBack"/>
    <w:bookmarkEnd w:id="26"/>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8A9F5" w14:textId="77777777" w:rsidR="00273A7D" w:rsidRPr="00B30FC8" w:rsidRDefault="001B26AB" w:rsidP="0046424E">
    <w:pPr>
      <w:pStyle w:val="IUCrsansparagraph"/>
      <w:pBdr>
        <w:bottom w:val="single" w:sz="4" w:space="1" w:color="auto"/>
      </w:pBdr>
      <w:tabs>
        <w:tab w:val="right" w:pos="9026"/>
      </w:tabs>
      <w:rPr>
        <w:lang w:val="fr-FR"/>
      </w:rPr>
    </w:pPr>
    <w:r>
      <w:rPr>
        <w:rFonts w:eastAsia="MS Gothic"/>
      </w:rPr>
      <w:fldChar w:fldCharType="begin"/>
    </w:r>
    <w:r w:rsidRPr="00B30FC8">
      <w:rPr>
        <w:rFonts w:eastAsia="MS Gothic"/>
        <w:lang w:val="fr-FR"/>
      </w:rPr>
      <w:instrText xml:space="preserve"> DOCVARIABLE  iucrjournal  \* MERGEFORMAT </w:instrText>
    </w:r>
    <w:r>
      <w:rPr>
        <w:rFonts w:eastAsia="MS Gothic"/>
      </w:rPr>
      <w:fldChar w:fldCharType="separate"/>
    </w:r>
    <w:r w:rsidR="00B30FC8">
      <w:rPr>
        <w:rFonts w:eastAsia="MS Gothic"/>
        <w:b/>
        <w:bCs/>
        <w:lang w:val="fr-FR"/>
      </w:rPr>
      <w:t>Erreur ! Aucune variable de document fournie.</w:t>
    </w:r>
    <w:r>
      <w:rPr>
        <w:rFonts w:eastAsia="MS Gothic"/>
      </w:rPr>
      <w:fldChar w:fldCharType="end"/>
    </w:r>
    <w:r w:rsidRPr="00B30FC8">
      <w:rPr>
        <w:rFonts w:eastAsia="MS Gothic"/>
        <w:lang w:val="fr-FR"/>
      </w:rPr>
      <w:tab/>
    </w:r>
    <w:r>
      <w:rPr>
        <w:rFonts w:eastAsia="MS Gothic"/>
      </w:rPr>
      <w:fldChar w:fldCharType="begin"/>
    </w:r>
    <w:r w:rsidRPr="00B30FC8">
      <w:rPr>
        <w:rFonts w:eastAsia="MS Gothic"/>
        <w:lang w:val="fr-FR"/>
      </w:rPr>
      <w:instrText xml:space="preserve"> DOCVARIABLE  iucrfield  \* MERGEFORMAT </w:instrText>
    </w:r>
    <w:r>
      <w:rPr>
        <w:rFonts w:eastAsia="MS Gothic"/>
      </w:rPr>
      <w:fldChar w:fldCharType="separate"/>
    </w:r>
    <w:r w:rsidR="00B30FC8">
      <w:rPr>
        <w:rFonts w:eastAsia="MS Gothic"/>
        <w:b/>
        <w:bCs/>
        <w:lang w:val="fr-FR"/>
      </w:rPr>
      <w:t>Erreur ! Aucune variable de document fournie.</w:t>
    </w:r>
    <w:r>
      <w:rPr>
        <w:rFonts w:eastAsia="MS Gothic"/>
      </w:rPr>
      <w:fldChar w:fldCharType="end"/>
    </w:r>
    <w:r w:rsidRPr="00B30FC8">
      <w:rPr>
        <w:rFonts w:eastAsia="MS Gothic"/>
        <w:lang w:val="fr-FR"/>
      </w:rPr>
      <w:t xml:space="preserve">  </w:t>
    </w:r>
    <w:r>
      <w:rPr>
        <w:rFonts w:eastAsia="MS Gothic"/>
      </w:rPr>
      <w:fldChar w:fldCharType="begin"/>
    </w:r>
    <w:r w:rsidRPr="00B30FC8">
      <w:rPr>
        <w:rFonts w:eastAsia="MS Gothic"/>
        <w:lang w:val="fr-FR"/>
      </w:rPr>
      <w:instrText xml:space="preserve"> DOCVARIABLE  iucrcategory  \* MERGEFORMAT </w:instrText>
    </w:r>
    <w:r>
      <w:rPr>
        <w:rFonts w:eastAsia="MS Gothic"/>
      </w:rPr>
      <w:fldChar w:fldCharType="separate"/>
    </w:r>
    <w:r w:rsidR="00B30FC8">
      <w:rPr>
        <w:rFonts w:eastAsia="MS Gothic"/>
        <w:b/>
        <w:bCs/>
        <w:lang w:val="fr-FR"/>
      </w:rPr>
      <w:t>Erreur ! Aucune variable de document fournie.</w:t>
    </w:r>
    <w:r>
      <w:rPr>
        <w:rFonts w:eastAsia="MS Gothic"/>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15:restartNumberingAfterBreak="0">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15:restartNumberingAfterBreak="0">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4" w15:restartNumberingAfterBreak="0">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831467D"/>
    <w:multiLevelType w:val="hybridMultilevel"/>
    <w:tmpl w:val="8AA093E0"/>
    <w:lvl w:ilvl="0" w:tplc="6A0E3B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B1813"/>
    <w:multiLevelType w:val="multilevel"/>
    <w:tmpl w:val="64F2F17C"/>
    <w:numStyleLink w:val="IUCrsup"/>
  </w:abstractNum>
  <w:abstractNum w:abstractNumId="11" w15:restartNumberingAfterBreak="0">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2" w15:restartNumberingAfterBreak="0">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3"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4" w15:restartNumberingAfterBreak="0">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abstractNumId w:val="1"/>
  </w:num>
  <w:num w:numId="2">
    <w:abstractNumId w:val="14"/>
  </w:num>
  <w:num w:numId="3">
    <w:abstractNumId w:val="11"/>
  </w:num>
  <w:num w:numId="4">
    <w:abstractNumId w:val="2"/>
  </w:num>
  <w:num w:numId="5">
    <w:abstractNumId w:val="0"/>
  </w:num>
  <w:num w:numId="6">
    <w:abstractNumId w:val="12"/>
  </w:num>
  <w:num w:numId="7">
    <w:abstractNumId w:val="8"/>
  </w:num>
  <w:num w:numId="8">
    <w:abstractNumId w:val="4"/>
  </w:num>
  <w:num w:numId="9">
    <w:abstractNumId w:val="10"/>
  </w:num>
  <w:num w:numId="10">
    <w:abstractNumId w:val="13"/>
  </w:num>
  <w:num w:numId="11">
    <w:abstractNumId w:val="5"/>
  </w:num>
  <w:num w:numId="12">
    <w:abstractNumId w:val="3"/>
  </w:num>
  <w:num w:numId="13">
    <w:abstractNumId w:val="14"/>
    <w:lvlOverride w:ilvl="0">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num>
  <w:num w:numId="22">
    <w:abstractNumId w:val="12"/>
    <w:lvlOverride w:ilvl="0">
      <w:startOverride w:val="1"/>
    </w:lvlOverride>
  </w:num>
  <w:num w:numId="23">
    <w:abstractNumId w:val="3"/>
    <w:lvlOverride w:ilvl="0">
      <w:startOverride w:val="1"/>
    </w:lvlOverride>
  </w:num>
  <w:num w:numId="24">
    <w:abstractNumId w:val="6"/>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ppliedCrystallograph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2vevd9m20f03efsatptvt1w2wzffe5wpza&quot;&gt;forno-Converted&lt;record-ids&gt;&lt;item&gt;22&lt;/item&gt;&lt;item&gt;25&lt;/item&gt;&lt;/record-ids&gt;&lt;/item&gt;&lt;/Libraries&gt;"/>
  </w:docVars>
  <w:rsids>
    <w:rsidRoot w:val="005B26EB"/>
    <w:rsid w:val="00032503"/>
    <w:rsid w:val="000421F4"/>
    <w:rsid w:val="00052315"/>
    <w:rsid w:val="00060483"/>
    <w:rsid w:val="00063398"/>
    <w:rsid w:val="00074502"/>
    <w:rsid w:val="00166908"/>
    <w:rsid w:val="00183F21"/>
    <w:rsid w:val="001A6E88"/>
    <w:rsid w:val="001B26AB"/>
    <w:rsid w:val="001C4149"/>
    <w:rsid w:val="002149DF"/>
    <w:rsid w:val="002776C4"/>
    <w:rsid w:val="002C7A9F"/>
    <w:rsid w:val="003607BB"/>
    <w:rsid w:val="00367C20"/>
    <w:rsid w:val="003A56B8"/>
    <w:rsid w:val="003B5621"/>
    <w:rsid w:val="003E1758"/>
    <w:rsid w:val="00490E71"/>
    <w:rsid w:val="004A4999"/>
    <w:rsid w:val="004E7267"/>
    <w:rsid w:val="00576F7F"/>
    <w:rsid w:val="005B26EB"/>
    <w:rsid w:val="00606F37"/>
    <w:rsid w:val="00656E7A"/>
    <w:rsid w:val="00672A9A"/>
    <w:rsid w:val="006C7C00"/>
    <w:rsid w:val="00757CF5"/>
    <w:rsid w:val="007C3B0C"/>
    <w:rsid w:val="0083776A"/>
    <w:rsid w:val="00866205"/>
    <w:rsid w:val="008C79DF"/>
    <w:rsid w:val="00910AFF"/>
    <w:rsid w:val="00932F15"/>
    <w:rsid w:val="00987D5F"/>
    <w:rsid w:val="00992F39"/>
    <w:rsid w:val="009E203B"/>
    <w:rsid w:val="00A034FC"/>
    <w:rsid w:val="00A128C6"/>
    <w:rsid w:val="00AD35B2"/>
    <w:rsid w:val="00B30FC8"/>
    <w:rsid w:val="00B612AE"/>
    <w:rsid w:val="00B933B1"/>
    <w:rsid w:val="00BC1122"/>
    <w:rsid w:val="00BD0E08"/>
    <w:rsid w:val="00BD2078"/>
    <w:rsid w:val="00BE482C"/>
    <w:rsid w:val="00BE5816"/>
    <w:rsid w:val="00BF7285"/>
    <w:rsid w:val="00C804E0"/>
    <w:rsid w:val="00C81B04"/>
    <w:rsid w:val="00C95646"/>
    <w:rsid w:val="00C95F26"/>
    <w:rsid w:val="00CF25DD"/>
    <w:rsid w:val="00D14F2C"/>
    <w:rsid w:val="00D15622"/>
    <w:rsid w:val="00D84329"/>
    <w:rsid w:val="00DB6662"/>
    <w:rsid w:val="00DC2F9C"/>
    <w:rsid w:val="00DF2FF3"/>
    <w:rsid w:val="00DF404A"/>
    <w:rsid w:val="00E16F4B"/>
    <w:rsid w:val="00E17A8B"/>
    <w:rsid w:val="00E32728"/>
    <w:rsid w:val="00E82DE3"/>
    <w:rsid w:val="00EE5793"/>
    <w:rsid w:val="00EF3231"/>
    <w:rsid w:val="00F14E0F"/>
    <w:rsid w:val="00F65412"/>
    <w:rsid w:val="00F77DE9"/>
    <w:rsid w:val="00FF7F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7655F"/>
  <w15:chartTrackingRefBased/>
  <w15:docId w15:val="{ECA7B722-88BE-4C65-8789-8601FE28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3"/>
    <w:rsid w:val="005B26EB"/>
    <w:pPr>
      <w:spacing w:after="0" w:line="360" w:lineRule="auto"/>
    </w:pPr>
    <w:rPr>
      <w:rFonts w:ascii="Times New Roman" w:eastAsia="Times New Roman" w:hAnsi="Times New Roman" w:cs="Times New Roman"/>
      <w:szCs w:val="24"/>
      <w:lang w:val="en-GB"/>
    </w:rPr>
  </w:style>
  <w:style w:type="paragraph" w:styleId="berschrift1">
    <w:name w:val="heading 1"/>
    <w:basedOn w:val="Standard"/>
    <w:next w:val="Standard"/>
    <w:link w:val="berschrift1Zchn"/>
    <w:uiPriority w:val="9"/>
    <w:rsid w:val="005B26E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26EB"/>
    <w:rPr>
      <w:rFonts w:asciiTheme="majorHAnsi" w:eastAsiaTheme="majorEastAsia" w:hAnsiTheme="majorHAnsi" w:cstheme="majorBidi"/>
      <w:b/>
      <w:bCs/>
      <w:color w:val="2F5496" w:themeColor="accent1" w:themeShade="BF"/>
      <w:sz w:val="28"/>
      <w:szCs w:val="28"/>
      <w:lang w:val="en-GB"/>
    </w:rPr>
  </w:style>
  <w:style w:type="paragraph" w:customStyle="1" w:styleId="IUCracknowledgements">
    <w:name w:val="IUCr acknowledgements"/>
    <w:next w:val="Standard"/>
    <w:uiPriority w:val="1"/>
    <w:qFormat/>
    <w:rsid w:val="005B26EB"/>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val="en-GB"/>
    </w:rPr>
  </w:style>
  <w:style w:type="paragraph" w:customStyle="1" w:styleId="IUCrappendixheading1">
    <w:name w:val="IUCr appendix heading 1"/>
    <w:next w:val="Standard"/>
    <w:uiPriority w:val="2"/>
    <w:qFormat/>
    <w:rsid w:val="005B26EB"/>
    <w:pPr>
      <w:numPr>
        <w:numId w:val="3"/>
      </w:numPr>
      <w:spacing w:before="240" w:after="120" w:line="360" w:lineRule="auto"/>
    </w:pPr>
    <w:rPr>
      <w:rFonts w:ascii="Arial" w:eastAsia="Times New Roman" w:hAnsi="Arial" w:cs="Times New Roman"/>
      <w:b/>
      <w:sz w:val="20"/>
      <w:szCs w:val="20"/>
      <w:lang w:val="en-GB"/>
    </w:rPr>
  </w:style>
  <w:style w:type="paragraph" w:customStyle="1" w:styleId="IUCrappendixheading2">
    <w:name w:val="IUCr appendix heading 2"/>
    <w:next w:val="Standard"/>
    <w:uiPriority w:val="2"/>
    <w:qFormat/>
    <w:rsid w:val="005B26EB"/>
    <w:pPr>
      <w:numPr>
        <w:ilvl w:val="1"/>
        <w:numId w:val="3"/>
      </w:numPr>
      <w:spacing w:before="240" w:after="120" w:line="360" w:lineRule="auto"/>
    </w:pPr>
    <w:rPr>
      <w:rFonts w:ascii="Arial" w:eastAsia="Times New Roman" w:hAnsi="Arial" w:cs="Times New Roman"/>
      <w:b/>
      <w:sz w:val="20"/>
      <w:szCs w:val="20"/>
      <w:lang w:val="en-GB"/>
    </w:rPr>
  </w:style>
  <w:style w:type="paragraph" w:customStyle="1" w:styleId="IUCrappendixheading3">
    <w:name w:val="IUCr appendix heading 3"/>
    <w:next w:val="Standard"/>
    <w:uiPriority w:val="2"/>
    <w:qFormat/>
    <w:rsid w:val="005B26EB"/>
    <w:pPr>
      <w:numPr>
        <w:ilvl w:val="2"/>
        <w:numId w:val="3"/>
      </w:numPr>
      <w:spacing w:before="240" w:after="120" w:line="360" w:lineRule="auto"/>
    </w:pPr>
    <w:rPr>
      <w:rFonts w:ascii="Arial" w:eastAsia="Times New Roman" w:hAnsi="Arial" w:cs="Times New Roman"/>
      <w:b/>
      <w:sz w:val="20"/>
      <w:szCs w:val="20"/>
      <w:lang w:val="en-GB"/>
    </w:rPr>
  </w:style>
  <w:style w:type="paragraph" w:customStyle="1" w:styleId="IUCrarticletitle">
    <w:name w:val="IUCr article title"/>
    <w:next w:val="Standard"/>
    <w:link w:val="IUCrarticletitleChar"/>
    <w:uiPriority w:val="7"/>
    <w:rsid w:val="005B26EB"/>
    <w:pPr>
      <w:spacing w:after="240" w:line="360" w:lineRule="auto"/>
    </w:pPr>
    <w:rPr>
      <w:rFonts w:ascii="Arial" w:eastAsia="Times New Roman" w:hAnsi="Arial" w:cs="Times New Roman"/>
      <w:b/>
      <w:sz w:val="28"/>
      <w:szCs w:val="20"/>
      <w:lang w:val="en-GB"/>
    </w:rPr>
  </w:style>
  <w:style w:type="paragraph" w:customStyle="1" w:styleId="IUCrbodytext">
    <w:name w:val="IUCr body text"/>
    <w:basedOn w:val="Textkrper"/>
    <w:link w:val="IUCrbodytextChar"/>
    <w:qFormat/>
    <w:rsid w:val="005B26EB"/>
    <w:pPr>
      <w:spacing w:line="360" w:lineRule="auto"/>
    </w:pPr>
    <w:rPr>
      <w:rFonts w:ascii="Times New Roman" w:hAnsi="Times New Roman" w:cs="Times New Roman"/>
      <w:szCs w:val="24"/>
    </w:rPr>
  </w:style>
  <w:style w:type="paragraph" w:styleId="Textkrper">
    <w:name w:val="Body Text"/>
    <w:basedOn w:val="Standard"/>
    <w:link w:val="TextkrperZchn"/>
    <w:uiPriority w:val="99"/>
    <w:semiHidden/>
    <w:unhideWhenUsed/>
    <w:rsid w:val="005B26EB"/>
    <w:pPr>
      <w:spacing w:after="120" w:line="276" w:lineRule="auto"/>
    </w:pPr>
    <w:rPr>
      <w:rFonts w:asciiTheme="minorHAnsi" w:hAnsiTheme="minorHAnsi" w:cstheme="minorBidi"/>
      <w:szCs w:val="22"/>
      <w:lang w:eastAsia="en-GB"/>
    </w:rPr>
  </w:style>
  <w:style w:type="character" w:customStyle="1" w:styleId="TextkrperZchn">
    <w:name w:val="Textkörper Zchn"/>
    <w:basedOn w:val="Absatz-Standardschriftart"/>
    <w:link w:val="Textkrper"/>
    <w:uiPriority w:val="99"/>
    <w:semiHidden/>
    <w:rsid w:val="005B26EB"/>
    <w:rPr>
      <w:rFonts w:eastAsia="Times New Roman"/>
      <w:lang w:val="en-GB" w:eastAsia="en-GB"/>
    </w:rPr>
  </w:style>
  <w:style w:type="paragraph" w:customStyle="1" w:styleId="IUCrfigurecaption">
    <w:name w:val="IUCr figure caption"/>
    <w:next w:val="IUCrbodytext"/>
    <w:uiPriority w:val="1"/>
    <w:qFormat/>
    <w:rsid w:val="005B26EB"/>
    <w:pPr>
      <w:numPr>
        <w:numId w:val="4"/>
      </w:numPr>
      <w:tabs>
        <w:tab w:val="left" w:pos="964"/>
      </w:tabs>
      <w:spacing w:before="120" w:after="120" w:line="360" w:lineRule="auto"/>
    </w:pPr>
    <w:rPr>
      <w:rFonts w:ascii="Times New Roman" w:eastAsia="Times New Roman" w:hAnsi="Times New Roman" w:cs="Times New Roman"/>
      <w:szCs w:val="20"/>
      <w:lang w:val="en-GB"/>
    </w:rPr>
  </w:style>
  <w:style w:type="paragraph" w:customStyle="1" w:styleId="IUCrheading1">
    <w:name w:val="IUCr heading 1"/>
    <w:next w:val="IUCrbodytext"/>
    <w:qFormat/>
    <w:rsid w:val="005B26EB"/>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heading2">
    <w:name w:val="IUCr heading 2"/>
    <w:next w:val="IUCrbodytext"/>
    <w:qFormat/>
    <w:rsid w:val="005B26EB"/>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heading3">
    <w:name w:val="IUCr heading 3"/>
    <w:next w:val="IUCrbodytext"/>
    <w:qFormat/>
    <w:rsid w:val="005B26EB"/>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tableheadnote">
    <w:name w:val="IUCr table headnote"/>
    <w:basedOn w:val="IUCrtabletext"/>
    <w:next w:val="IUCrtabletext"/>
    <w:link w:val="IUCrtableheadnoteChar"/>
    <w:qFormat/>
    <w:rsid w:val="005B26EB"/>
  </w:style>
  <w:style w:type="paragraph" w:customStyle="1" w:styleId="IUCrreferences">
    <w:name w:val="IUCr references"/>
    <w:uiPriority w:val="1"/>
    <w:qFormat/>
    <w:rsid w:val="005B26EB"/>
    <w:pPr>
      <w:spacing w:after="0" w:line="360" w:lineRule="auto"/>
    </w:pPr>
    <w:rPr>
      <w:rFonts w:ascii="Times New Roman" w:eastAsia="Times New Roman" w:hAnsi="Times New Roman" w:cs="Times New Roman"/>
      <w:szCs w:val="20"/>
      <w:lang w:val="en-GB"/>
    </w:rPr>
  </w:style>
  <w:style w:type="character" w:customStyle="1" w:styleId="IUCrtableheadnoteChar">
    <w:name w:val="IUCr table headnote Char"/>
    <w:basedOn w:val="IUCrtabletextChar"/>
    <w:link w:val="IUCrtableheadnote"/>
    <w:rsid w:val="005B26EB"/>
    <w:rPr>
      <w:rFonts w:ascii="Times New Roman" w:eastAsia="Times New Roman" w:hAnsi="Times New Roman" w:cs="Times New Roman"/>
      <w:sz w:val="20"/>
      <w:szCs w:val="24"/>
      <w:lang w:val="en-GB" w:eastAsia="en-GB"/>
    </w:rPr>
  </w:style>
  <w:style w:type="paragraph" w:customStyle="1" w:styleId="IUCrtablecaption">
    <w:name w:val="IUCr table caption"/>
    <w:next w:val="Standard"/>
    <w:qFormat/>
    <w:rsid w:val="005B26EB"/>
    <w:pPr>
      <w:numPr>
        <w:numId w:val="10"/>
      </w:numPr>
      <w:tabs>
        <w:tab w:val="left" w:pos="964"/>
      </w:tabs>
      <w:spacing w:before="240" w:after="120" w:line="360" w:lineRule="auto"/>
    </w:pPr>
    <w:rPr>
      <w:rFonts w:ascii="Times New Roman" w:eastAsia="Times New Roman" w:hAnsi="Times New Roman" w:cs="Times New Roman"/>
      <w:szCs w:val="20"/>
      <w:lang w:val="en-GB"/>
    </w:rPr>
  </w:style>
  <w:style w:type="character" w:styleId="Platzhaltertext">
    <w:name w:val="Placeholder Text"/>
    <w:basedOn w:val="Absatz-Standardschriftart"/>
    <w:uiPriority w:val="99"/>
    <w:semiHidden/>
    <w:rsid w:val="005B26EB"/>
    <w:rPr>
      <w:color w:val="808080"/>
    </w:rPr>
  </w:style>
  <w:style w:type="character" w:customStyle="1" w:styleId="IUCraddress">
    <w:name w:val="IUCr address"/>
    <w:uiPriority w:val="3"/>
    <w:rsid w:val="005B26EB"/>
    <w:rPr>
      <w:rFonts w:ascii="Arial" w:hAnsi="Arial"/>
      <w:sz w:val="20"/>
    </w:rPr>
  </w:style>
  <w:style w:type="character" w:customStyle="1" w:styleId="IUCrauthor">
    <w:name w:val="IUCr author"/>
    <w:uiPriority w:val="3"/>
    <w:rsid w:val="005B26EB"/>
    <w:rPr>
      <w:rFonts w:ascii="Arial" w:hAnsi="Arial"/>
      <w:b/>
      <w:sz w:val="20"/>
    </w:rPr>
  </w:style>
  <w:style w:type="character" w:customStyle="1" w:styleId="IUCrarticletitleChar">
    <w:name w:val="IUCr article title Char"/>
    <w:basedOn w:val="Absatz-Standardschriftart"/>
    <w:link w:val="IUCrarticletitle"/>
    <w:uiPriority w:val="7"/>
    <w:rsid w:val="005B26EB"/>
    <w:rPr>
      <w:rFonts w:ascii="Arial" w:eastAsia="Times New Roman" w:hAnsi="Arial" w:cs="Times New Roman"/>
      <w:b/>
      <w:sz w:val="28"/>
      <w:szCs w:val="20"/>
      <w:lang w:val="en-GB"/>
    </w:rPr>
  </w:style>
  <w:style w:type="character" w:customStyle="1" w:styleId="IUCrbodytextChar">
    <w:name w:val="IUCr body text Char"/>
    <w:basedOn w:val="TextkrperZchn"/>
    <w:link w:val="IUCrbodytext"/>
    <w:rsid w:val="005B26EB"/>
    <w:rPr>
      <w:rFonts w:ascii="Times New Roman" w:eastAsia="Times New Roman" w:hAnsi="Times New Roman" w:cs="Times New Roman"/>
      <w:szCs w:val="24"/>
      <w:lang w:val="en-GB" w:eastAsia="en-GB"/>
    </w:rPr>
  </w:style>
  <w:style w:type="paragraph" w:customStyle="1" w:styleId="IUCrtitle">
    <w:name w:val="IUCr title"/>
    <w:basedOn w:val="IUCrarticletitle"/>
    <w:next w:val="Standard"/>
    <w:uiPriority w:val="3"/>
    <w:rsid w:val="005B26EB"/>
  </w:style>
  <w:style w:type="character" w:styleId="Hyperlink">
    <w:name w:val="Hyperlink"/>
    <w:basedOn w:val="Absatz-Standardschriftart"/>
    <w:uiPriority w:val="99"/>
    <w:unhideWhenUsed/>
    <w:rsid w:val="005B26EB"/>
    <w:rPr>
      <w:color w:val="0563C1" w:themeColor="hyperlink"/>
      <w:u w:val="none"/>
    </w:rPr>
  </w:style>
  <w:style w:type="paragraph" w:customStyle="1" w:styleId="IUCrsansparagraph">
    <w:name w:val="IUCr sans paragraph"/>
    <w:basedOn w:val="Standard"/>
    <w:uiPriority w:val="3"/>
    <w:rsid w:val="005B26EB"/>
    <w:pPr>
      <w:spacing w:after="240"/>
    </w:pPr>
    <w:rPr>
      <w:rFonts w:ascii="Arial" w:hAnsi="Arial"/>
      <w:sz w:val="20"/>
    </w:rPr>
  </w:style>
  <w:style w:type="character" w:customStyle="1" w:styleId="IUCrsanstext">
    <w:name w:val="IUCr sans text"/>
    <w:basedOn w:val="IUCraddress"/>
    <w:uiPriority w:val="3"/>
    <w:rsid w:val="005B26EB"/>
    <w:rPr>
      <w:rFonts w:ascii="Arial" w:hAnsi="Arial"/>
      <w:sz w:val="20"/>
    </w:rPr>
  </w:style>
  <w:style w:type="character" w:customStyle="1" w:styleId="IUCrsanstextgrey">
    <w:name w:val="IUCr sans text grey"/>
    <w:basedOn w:val="IUCrsanstext"/>
    <w:uiPriority w:val="3"/>
    <w:rsid w:val="005B26EB"/>
    <w:rPr>
      <w:rFonts w:ascii="Arial" w:hAnsi="Arial"/>
      <w:color w:val="7F7F7F" w:themeColor="text1" w:themeTint="80"/>
      <w:sz w:val="20"/>
    </w:rPr>
  </w:style>
  <w:style w:type="paragraph" w:customStyle="1" w:styleId="IUCrheading4">
    <w:name w:val="IUCr heading 4"/>
    <w:basedOn w:val="IUCrsansparagraph"/>
    <w:next w:val="IUCrbodytext"/>
    <w:rsid w:val="005B26EB"/>
    <w:pPr>
      <w:spacing w:before="240" w:after="120"/>
    </w:pPr>
    <w:rPr>
      <w:b/>
    </w:rPr>
  </w:style>
  <w:style w:type="character" w:customStyle="1" w:styleId="IUCrsanstextbold">
    <w:name w:val="IUCr sans text bold"/>
    <w:basedOn w:val="IUCrsanstext"/>
    <w:uiPriority w:val="3"/>
    <w:rsid w:val="005B26EB"/>
    <w:rPr>
      <w:rFonts w:ascii="Arial" w:hAnsi="Arial"/>
      <w:b/>
      <w:sz w:val="20"/>
    </w:rPr>
  </w:style>
  <w:style w:type="paragraph" w:styleId="Kopfzeile">
    <w:name w:val="header"/>
    <w:basedOn w:val="Standard"/>
    <w:link w:val="KopfzeileZchn"/>
    <w:uiPriority w:val="99"/>
    <w:unhideWhenUsed/>
    <w:rsid w:val="005B26EB"/>
    <w:pPr>
      <w:tabs>
        <w:tab w:val="center" w:pos="4513"/>
        <w:tab w:val="right" w:pos="9026"/>
      </w:tabs>
    </w:pPr>
  </w:style>
  <w:style w:type="character" w:customStyle="1" w:styleId="KopfzeileZchn">
    <w:name w:val="Kopfzeile Zchn"/>
    <w:basedOn w:val="Absatz-Standardschriftart"/>
    <w:link w:val="Kopfzeile"/>
    <w:uiPriority w:val="99"/>
    <w:rsid w:val="005B26EB"/>
    <w:rPr>
      <w:rFonts w:ascii="Times New Roman" w:eastAsia="Times New Roman" w:hAnsi="Times New Roman" w:cs="Times New Roman"/>
      <w:szCs w:val="24"/>
      <w:lang w:val="en-GB"/>
    </w:rPr>
  </w:style>
  <w:style w:type="paragraph" w:styleId="Fuzeile">
    <w:name w:val="footer"/>
    <w:basedOn w:val="Standard"/>
    <w:link w:val="FuzeileZchn"/>
    <w:uiPriority w:val="99"/>
    <w:unhideWhenUsed/>
    <w:rsid w:val="005B26EB"/>
    <w:pPr>
      <w:tabs>
        <w:tab w:val="center" w:pos="4513"/>
        <w:tab w:val="right" w:pos="9026"/>
      </w:tabs>
    </w:pPr>
  </w:style>
  <w:style w:type="character" w:customStyle="1" w:styleId="FuzeileZchn">
    <w:name w:val="Fußzeile Zchn"/>
    <w:basedOn w:val="Absatz-Standardschriftart"/>
    <w:link w:val="Fuzeile"/>
    <w:uiPriority w:val="99"/>
    <w:rsid w:val="005B26EB"/>
    <w:rPr>
      <w:rFonts w:ascii="Times New Roman" w:eastAsia="Times New Roman" w:hAnsi="Times New Roman" w:cs="Times New Roman"/>
      <w:szCs w:val="24"/>
      <w:lang w:val="en-GB"/>
    </w:rPr>
  </w:style>
  <w:style w:type="paragraph" w:customStyle="1" w:styleId="IUCrtablefootnote">
    <w:name w:val="IUCr table footnote"/>
    <w:basedOn w:val="IUCrtabletext"/>
    <w:next w:val="IUCrbodytext"/>
    <w:link w:val="IUCrtablefootnoteChar"/>
    <w:qFormat/>
    <w:rsid w:val="005B26EB"/>
  </w:style>
  <w:style w:type="character" w:customStyle="1" w:styleId="IUCrsanstextsmall">
    <w:name w:val="IUCr sans text small"/>
    <w:basedOn w:val="IUCrsanstext"/>
    <w:uiPriority w:val="3"/>
    <w:rsid w:val="005B26EB"/>
    <w:rPr>
      <w:rFonts w:ascii="Arial" w:hAnsi="Arial"/>
      <w:sz w:val="16"/>
    </w:rPr>
  </w:style>
  <w:style w:type="paragraph" w:customStyle="1" w:styleId="IUCrtabletext">
    <w:name w:val="IUCr table text"/>
    <w:basedOn w:val="IUCrbodytext"/>
    <w:link w:val="IUCrtabletextChar"/>
    <w:qFormat/>
    <w:rsid w:val="005B26EB"/>
    <w:rPr>
      <w:sz w:val="20"/>
    </w:rPr>
  </w:style>
  <w:style w:type="character" w:customStyle="1" w:styleId="IUCrtabletextChar">
    <w:name w:val="IUCr table text Char"/>
    <w:basedOn w:val="IUCrbodytextChar"/>
    <w:link w:val="IUCrtabletext"/>
    <w:rsid w:val="005B26EB"/>
    <w:rPr>
      <w:rFonts w:ascii="Times New Roman" w:eastAsia="Times New Roman" w:hAnsi="Times New Roman" w:cs="Times New Roman"/>
      <w:sz w:val="20"/>
      <w:szCs w:val="24"/>
      <w:lang w:val="en-GB" w:eastAsia="en-GB"/>
    </w:rPr>
  </w:style>
  <w:style w:type="character" w:customStyle="1" w:styleId="IUCrtablefootnoteChar">
    <w:name w:val="IUCr table footnote Char"/>
    <w:basedOn w:val="IUCrtabletextChar"/>
    <w:link w:val="IUCrtablefootnote"/>
    <w:rsid w:val="005B26EB"/>
    <w:rPr>
      <w:rFonts w:ascii="Times New Roman" w:eastAsia="Times New Roman" w:hAnsi="Times New Roman" w:cs="Times New Roman"/>
      <w:sz w:val="20"/>
      <w:szCs w:val="24"/>
      <w:lang w:val="en-GB" w:eastAsia="en-GB"/>
    </w:rPr>
  </w:style>
  <w:style w:type="table" w:customStyle="1" w:styleId="IUCrtable">
    <w:name w:val="IUCr table"/>
    <w:basedOn w:val="NormaleTabelle"/>
    <w:uiPriority w:val="99"/>
    <w:rsid w:val="005B26EB"/>
    <w:pPr>
      <w:spacing w:after="0" w:line="240" w:lineRule="auto"/>
    </w:pPr>
    <w:rPr>
      <w:rFonts w:eastAsiaTheme="minorEastAsia"/>
      <w:sz w:val="20"/>
      <w:lang w:val="en-GB" w:eastAsia="en-GB"/>
    </w:rPr>
    <w:tblPr>
      <w:tblInd w:w="170" w:type="dxa"/>
      <w:tblBorders>
        <w:top w:val="single" w:sz="4" w:space="0" w:color="auto"/>
        <w:bottom w:val="single" w:sz="4" w:space="0" w:color="auto"/>
      </w:tblBorders>
    </w:tblPr>
  </w:style>
  <w:style w:type="table" w:styleId="Tabellenraster">
    <w:name w:val="Table Grid"/>
    <w:basedOn w:val="NormaleTabelle"/>
    <w:uiPriority w:val="59"/>
    <w:rsid w:val="005B26EB"/>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5B26EB"/>
    <w:rPr>
      <w:rFonts w:ascii="Arial" w:hAnsi="Arial"/>
      <w:color w:val="7F7F7F" w:themeColor="text1" w:themeTint="80"/>
      <w:sz w:val="16"/>
    </w:rPr>
  </w:style>
  <w:style w:type="paragraph" w:customStyle="1" w:styleId="IUCrsupfigurecaption">
    <w:name w:val="IUCr sup figure caption"/>
    <w:basedOn w:val="IUCrfigurecaption"/>
    <w:qFormat/>
    <w:rsid w:val="005B26EB"/>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5B26EB"/>
    <w:pPr>
      <w:numPr>
        <w:numId w:val="9"/>
      </w:numPr>
    </w:pPr>
  </w:style>
  <w:style w:type="paragraph" w:customStyle="1" w:styleId="IUCrsupheading2">
    <w:name w:val="IUCr sup heading 2"/>
    <w:basedOn w:val="IUCrheading2"/>
    <w:next w:val="IUCrbodytext"/>
    <w:qFormat/>
    <w:rsid w:val="005B26EB"/>
    <w:pPr>
      <w:numPr>
        <w:numId w:val="9"/>
      </w:numPr>
    </w:pPr>
    <w:rPr>
      <w:rFonts w:cstheme="minorBidi"/>
      <w:szCs w:val="22"/>
      <w:lang w:eastAsia="en-GB"/>
    </w:rPr>
  </w:style>
  <w:style w:type="paragraph" w:customStyle="1" w:styleId="IUCrsupheading3">
    <w:name w:val="IUCr sup heading 3"/>
    <w:basedOn w:val="IUCrheading3"/>
    <w:next w:val="IUCrbodytext"/>
    <w:qFormat/>
    <w:rsid w:val="005B26EB"/>
    <w:pPr>
      <w:numPr>
        <w:numId w:val="9"/>
      </w:numPr>
    </w:pPr>
  </w:style>
  <w:style w:type="paragraph" w:customStyle="1" w:styleId="IUCrsuptablecaption">
    <w:name w:val="IUCr sup table caption"/>
    <w:basedOn w:val="IUCrtablecaption"/>
    <w:next w:val="IUCrtableheadnote"/>
    <w:qFormat/>
    <w:rsid w:val="005B26EB"/>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5B26EB"/>
    <w:rPr>
      <w:sz w:val="32"/>
    </w:rPr>
  </w:style>
  <w:style w:type="paragraph" w:customStyle="1" w:styleId="IUCrabstract">
    <w:name w:val="IUCr abstract"/>
    <w:next w:val="Standard"/>
    <w:uiPriority w:val="7"/>
    <w:rsid w:val="005B26EB"/>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rPr>
  </w:style>
  <w:style w:type="paragraph" w:customStyle="1" w:styleId="IUCrkeywords">
    <w:name w:val="IUCr keywords"/>
    <w:next w:val="IUCrheading1"/>
    <w:uiPriority w:val="7"/>
    <w:rsid w:val="005B26EB"/>
    <w:pPr>
      <w:numPr>
        <w:numId w:val="6"/>
      </w:numPr>
      <w:tabs>
        <w:tab w:val="left" w:pos="1134"/>
      </w:tabs>
      <w:spacing w:after="240" w:line="240" w:lineRule="auto"/>
    </w:pPr>
    <w:rPr>
      <w:rFonts w:ascii="Arial" w:eastAsia="Times New Roman" w:hAnsi="Arial" w:cs="Times New Roman"/>
      <w:b/>
      <w:sz w:val="20"/>
      <w:szCs w:val="20"/>
      <w:lang w:val="en-GB"/>
    </w:rPr>
  </w:style>
  <w:style w:type="character" w:customStyle="1" w:styleId="IUCrsanstextgreybold">
    <w:name w:val="IUCr sans text grey bold"/>
    <w:basedOn w:val="IUCrsanstextgrey"/>
    <w:uiPriority w:val="1"/>
    <w:qFormat/>
    <w:rsid w:val="005B26EB"/>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5B26EB"/>
    <w:rPr>
      <w:rFonts w:ascii="Arial" w:hAnsi="Arial"/>
      <w:i/>
      <w:color w:val="7F7F7F" w:themeColor="text1" w:themeTint="80"/>
      <w:sz w:val="20"/>
    </w:rPr>
  </w:style>
  <w:style w:type="numbering" w:customStyle="1" w:styleId="IUCrsup">
    <w:name w:val="IUCr sup"/>
    <w:uiPriority w:val="99"/>
    <w:rsid w:val="005B26EB"/>
    <w:pPr>
      <w:numPr>
        <w:numId w:val="7"/>
      </w:numPr>
    </w:pPr>
  </w:style>
  <w:style w:type="paragraph" w:customStyle="1" w:styleId="IUCrsynopsis">
    <w:name w:val="IUCr synopsis"/>
    <w:basedOn w:val="IUCrabstract"/>
    <w:next w:val="IUCrabstract"/>
    <w:uiPriority w:val="7"/>
    <w:rsid w:val="005B26EB"/>
    <w:pPr>
      <w:numPr>
        <w:numId w:val="12"/>
      </w:numPr>
      <w:spacing w:before="240"/>
    </w:pPr>
  </w:style>
  <w:style w:type="character" w:customStyle="1" w:styleId="IUCrsuptitleChar">
    <w:name w:val="IUCr sup title Char"/>
    <w:basedOn w:val="IUCrarticletitleChar"/>
    <w:link w:val="IUCrsuptitle"/>
    <w:locked/>
    <w:rsid w:val="005B26EB"/>
    <w:rPr>
      <w:rFonts w:ascii="Arial" w:eastAsia="Times New Roman" w:hAnsi="Arial" w:cs="Times New Roman"/>
      <w:b/>
      <w:sz w:val="32"/>
      <w:szCs w:val="20"/>
      <w:lang w:val="en-GB"/>
    </w:rPr>
  </w:style>
  <w:style w:type="table" w:customStyle="1" w:styleId="TableNormal1">
    <w:name w:val="Table Normal1"/>
    <w:uiPriority w:val="99"/>
    <w:semiHidden/>
    <w:qFormat/>
    <w:rsid w:val="005B26EB"/>
    <w:pPr>
      <w:spacing w:after="200" w:line="276" w:lineRule="auto"/>
    </w:pPr>
    <w:rPr>
      <w:rFonts w:eastAsiaTheme="minorEastAsia"/>
      <w:lang w:val="en-GB" w:eastAsia="en-GB"/>
    </w:rPr>
    <w:tblPr>
      <w:tblCellMar>
        <w:top w:w="0" w:type="dxa"/>
        <w:left w:w="108" w:type="dxa"/>
        <w:bottom w:w="0" w:type="dxa"/>
        <w:right w:w="108" w:type="dxa"/>
      </w:tblCellMar>
    </w:tblPr>
  </w:style>
  <w:style w:type="paragraph" w:customStyle="1" w:styleId="IUCrsanstext1">
    <w:name w:val="IUCr sans text1"/>
    <w:basedOn w:val="Standard"/>
    <w:uiPriority w:val="3"/>
    <w:rsid w:val="005B26EB"/>
    <w:pPr>
      <w:spacing w:before="100" w:beforeAutospacing="1" w:after="100" w:afterAutospacing="1" w:line="240" w:lineRule="auto"/>
    </w:pPr>
    <w:rPr>
      <w:rFonts w:ascii="Arial" w:eastAsiaTheme="minorEastAsia" w:hAnsi="Arial" w:cs="Arial"/>
      <w:sz w:val="20"/>
      <w:lang w:eastAsia="en-GB"/>
    </w:rPr>
  </w:style>
  <w:style w:type="paragraph" w:customStyle="1" w:styleId="IUCrsanstextbold1">
    <w:name w:val="IUCr sans text bold1"/>
    <w:basedOn w:val="Standard"/>
    <w:uiPriority w:val="3"/>
    <w:rsid w:val="005B26EB"/>
    <w:pPr>
      <w:spacing w:before="100" w:beforeAutospacing="1" w:after="100" w:afterAutospacing="1" w:line="240" w:lineRule="auto"/>
    </w:pPr>
    <w:rPr>
      <w:rFonts w:ascii="Arial" w:eastAsiaTheme="minorEastAsia" w:hAnsi="Arial" w:cs="Arial"/>
      <w:b/>
      <w:sz w:val="20"/>
      <w:lang w:eastAsia="en-GB"/>
    </w:rPr>
  </w:style>
  <w:style w:type="paragraph" w:styleId="Sprechblasentext">
    <w:name w:val="Balloon Text"/>
    <w:basedOn w:val="Standard"/>
    <w:link w:val="SprechblasentextZchn"/>
    <w:uiPriority w:val="99"/>
    <w:semiHidden/>
    <w:unhideWhenUsed/>
    <w:rsid w:val="005B26E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26EB"/>
    <w:rPr>
      <w:rFonts w:ascii="Tahoma" w:eastAsia="Times New Roman" w:hAnsi="Tahoma" w:cs="Tahoma"/>
      <w:sz w:val="16"/>
      <w:szCs w:val="16"/>
      <w:lang w:val="en-GB"/>
    </w:rPr>
  </w:style>
  <w:style w:type="character" w:customStyle="1" w:styleId="tlid-translation">
    <w:name w:val="tlid-translation"/>
    <w:basedOn w:val="Absatz-Standardschriftart"/>
    <w:rsid w:val="005B26EB"/>
  </w:style>
  <w:style w:type="paragraph" w:customStyle="1" w:styleId="VDTableTitle">
    <w:name w:val="VD_Table_Title"/>
    <w:basedOn w:val="Standard"/>
    <w:next w:val="Standard"/>
    <w:rsid w:val="005B26EB"/>
    <w:pPr>
      <w:spacing w:after="200" w:line="480" w:lineRule="auto"/>
      <w:jc w:val="both"/>
    </w:pPr>
    <w:rPr>
      <w:rFonts w:ascii="Times" w:hAnsi="Times"/>
      <w:sz w:val="24"/>
      <w:szCs w:val="20"/>
      <w:lang w:val="en-US"/>
    </w:rPr>
  </w:style>
  <w:style w:type="paragraph" w:customStyle="1" w:styleId="FCChartFootnote">
    <w:name w:val="FC_Chart_Footnote"/>
    <w:basedOn w:val="Standard"/>
    <w:next w:val="Standard"/>
    <w:rsid w:val="005B26EB"/>
    <w:pPr>
      <w:spacing w:after="200" w:line="240" w:lineRule="auto"/>
      <w:ind w:firstLine="187"/>
      <w:jc w:val="both"/>
    </w:pPr>
    <w:rPr>
      <w:rFonts w:ascii="Times" w:hAnsi="Times"/>
      <w:sz w:val="24"/>
      <w:szCs w:val="20"/>
      <w:lang w:val="en-US"/>
    </w:rPr>
  </w:style>
  <w:style w:type="paragraph" w:customStyle="1" w:styleId="TCTableBody">
    <w:name w:val="TC_Table_Body"/>
    <w:basedOn w:val="Standard"/>
    <w:link w:val="TCTableBodyChar"/>
    <w:rsid w:val="005B26EB"/>
    <w:pPr>
      <w:spacing w:after="200" w:line="240" w:lineRule="auto"/>
      <w:jc w:val="both"/>
    </w:pPr>
    <w:rPr>
      <w:rFonts w:ascii="Times" w:hAnsi="Times"/>
      <w:sz w:val="24"/>
      <w:szCs w:val="20"/>
      <w:lang w:val="en-US"/>
    </w:rPr>
  </w:style>
  <w:style w:type="paragraph" w:customStyle="1" w:styleId="RSCT01TableTitlewithtopbar">
    <w:name w:val="RSC T01 Table Title with top bar"/>
    <w:basedOn w:val="Standard"/>
    <w:link w:val="RSCT01TableTitlewithtopbarChar"/>
    <w:qFormat/>
    <w:rsid w:val="005B26EB"/>
    <w:pPr>
      <w:keepNext/>
      <w:keepLines/>
      <w:pBdr>
        <w:top w:val="single" w:sz="12" w:space="1" w:color="999999"/>
        <w:bottom w:val="single" w:sz="6" w:space="1" w:color="auto"/>
      </w:pBdr>
      <w:spacing w:before="120" w:after="120" w:line="200" w:lineRule="exact"/>
    </w:pPr>
    <w:rPr>
      <w:rFonts w:asciiTheme="minorHAnsi" w:hAnsiTheme="minorHAnsi"/>
      <w:sz w:val="14"/>
      <w:szCs w:val="20"/>
      <w:lang w:eastAsia="en-GB"/>
    </w:rPr>
  </w:style>
  <w:style w:type="paragraph" w:customStyle="1" w:styleId="RSCT03TableBody">
    <w:name w:val="RSC T03 Table Body"/>
    <w:basedOn w:val="Standard"/>
    <w:link w:val="RSCT03TableBodyChar"/>
    <w:qFormat/>
    <w:rsid w:val="005B26EB"/>
    <w:pPr>
      <w:keepNext/>
      <w:keepLines/>
      <w:spacing w:line="220" w:lineRule="exact"/>
      <w:jc w:val="center"/>
    </w:pPr>
    <w:rPr>
      <w:rFonts w:asciiTheme="minorHAnsi" w:hAnsiTheme="minorHAnsi"/>
      <w:sz w:val="16"/>
      <w:szCs w:val="16"/>
      <w:lang w:eastAsia="en-GB"/>
    </w:rPr>
  </w:style>
  <w:style w:type="character" w:customStyle="1" w:styleId="RSCT01TableTitlewithtopbarChar">
    <w:name w:val="RSC T01 Table Title with top bar Char"/>
    <w:basedOn w:val="Absatz-Standardschriftart"/>
    <w:link w:val="RSCT01TableTitlewithtopbar"/>
    <w:rsid w:val="005B26EB"/>
    <w:rPr>
      <w:rFonts w:eastAsia="Times New Roman" w:cs="Times New Roman"/>
      <w:sz w:val="14"/>
      <w:szCs w:val="20"/>
      <w:lang w:val="en-GB" w:eastAsia="en-GB"/>
    </w:rPr>
  </w:style>
  <w:style w:type="character" w:customStyle="1" w:styleId="RSCT03TableBodyChar">
    <w:name w:val="RSC T03 Table Body Char"/>
    <w:basedOn w:val="Absatz-Standardschriftart"/>
    <w:link w:val="RSCT03TableBody"/>
    <w:rsid w:val="005B26EB"/>
    <w:rPr>
      <w:rFonts w:eastAsia="Times New Roman" w:cs="Times New Roman"/>
      <w:sz w:val="16"/>
      <w:szCs w:val="16"/>
      <w:lang w:val="en-GB" w:eastAsia="en-GB"/>
    </w:rPr>
  </w:style>
  <w:style w:type="paragraph" w:customStyle="1" w:styleId="RSCT05TableFootnotewithoutbottombar">
    <w:name w:val="RSC T05 Table Footnote without bottom bar"/>
    <w:basedOn w:val="Standard"/>
    <w:link w:val="RSCT05TableFootnotewithoutbottombarChar"/>
    <w:qFormat/>
    <w:rsid w:val="005B26EB"/>
    <w:pPr>
      <w:keepLines/>
      <w:spacing w:before="120" w:after="160" w:line="200" w:lineRule="exact"/>
    </w:pPr>
    <w:rPr>
      <w:rFonts w:asciiTheme="minorHAnsi" w:hAnsiTheme="minorHAnsi"/>
      <w:sz w:val="15"/>
      <w:szCs w:val="20"/>
      <w:lang w:eastAsia="en-GB"/>
    </w:rPr>
  </w:style>
  <w:style w:type="character" w:customStyle="1" w:styleId="RSCT05TableFootnotewithoutbottombarChar">
    <w:name w:val="RSC T05 Table Footnote without bottom bar Char"/>
    <w:basedOn w:val="Absatz-Standardschriftart"/>
    <w:link w:val="RSCT05TableFootnotewithoutbottombar"/>
    <w:rsid w:val="005B26EB"/>
    <w:rPr>
      <w:rFonts w:eastAsia="Times New Roman" w:cs="Times New Roman"/>
      <w:sz w:val="15"/>
      <w:szCs w:val="20"/>
      <w:lang w:val="en-GB" w:eastAsia="en-GB"/>
    </w:rPr>
  </w:style>
  <w:style w:type="paragraph" w:customStyle="1" w:styleId="RSCB06BHeadingSub-Section">
    <w:name w:val="RSC B06 B Heading (Sub-Section)"/>
    <w:link w:val="RSCB06BHeadingSub-SectionChar"/>
    <w:qFormat/>
    <w:rsid w:val="005B26EB"/>
    <w:pPr>
      <w:spacing w:after="80" w:line="240" w:lineRule="exact"/>
    </w:pPr>
    <w:rPr>
      <w:b/>
      <w:sz w:val="18"/>
      <w:lang w:val="en-GB"/>
    </w:rPr>
  </w:style>
  <w:style w:type="character" w:customStyle="1" w:styleId="RSCB06BHeadingSub-SectionChar">
    <w:name w:val="RSC B06 B Heading (Sub-Section) Char"/>
    <w:basedOn w:val="Absatz-Standardschriftart"/>
    <w:link w:val="RSCB06BHeadingSub-Section"/>
    <w:rsid w:val="005B26EB"/>
    <w:rPr>
      <w:b/>
      <w:sz w:val="18"/>
      <w:lang w:val="en-GB"/>
    </w:rPr>
  </w:style>
  <w:style w:type="paragraph" w:customStyle="1" w:styleId="RSCB02ArticleText">
    <w:name w:val="RSC B02 Article Text"/>
    <w:basedOn w:val="Standard"/>
    <w:link w:val="RSCB02ArticleTextChar"/>
    <w:qFormat/>
    <w:rsid w:val="005B26EB"/>
    <w:pPr>
      <w:tabs>
        <w:tab w:val="left" w:pos="284"/>
      </w:tabs>
      <w:spacing w:line="240" w:lineRule="exact"/>
      <w:jc w:val="both"/>
    </w:pPr>
    <w:rPr>
      <w:rFonts w:asciiTheme="minorHAnsi" w:eastAsiaTheme="minorHAnsi" w:hAnsiTheme="minorHAnsi"/>
      <w:w w:val="108"/>
      <w:sz w:val="18"/>
      <w:szCs w:val="18"/>
    </w:rPr>
  </w:style>
  <w:style w:type="character" w:customStyle="1" w:styleId="RSCB02ArticleTextChar">
    <w:name w:val="RSC B02 Article Text Char"/>
    <w:basedOn w:val="Absatz-Standardschriftart"/>
    <w:link w:val="RSCB02ArticleText"/>
    <w:rsid w:val="005B26EB"/>
    <w:rPr>
      <w:rFonts w:cs="Times New Roman"/>
      <w:w w:val="108"/>
      <w:sz w:val="18"/>
      <w:szCs w:val="18"/>
      <w:lang w:val="en-GB"/>
    </w:rPr>
  </w:style>
  <w:style w:type="character" w:customStyle="1" w:styleId="TCTableBodyChar">
    <w:name w:val="TC_Table_Body Char"/>
    <w:link w:val="TCTableBody"/>
    <w:rsid w:val="005B26EB"/>
    <w:rPr>
      <w:rFonts w:ascii="Times" w:eastAsia="Times New Roman" w:hAnsi="Times" w:cs="Times New Roman"/>
      <w:sz w:val="24"/>
      <w:szCs w:val="20"/>
      <w:lang w:val="en-US"/>
    </w:rPr>
  </w:style>
  <w:style w:type="paragraph" w:customStyle="1" w:styleId="TAMainText">
    <w:name w:val="TA_Main_Text"/>
    <w:basedOn w:val="Standard"/>
    <w:rsid w:val="005B26EB"/>
    <w:pPr>
      <w:spacing w:line="480" w:lineRule="auto"/>
      <w:ind w:firstLine="202"/>
      <w:jc w:val="both"/>
    </w:pPr>
    <w:rPr>
      <w:rFonts w:ascii="Times" w:hAnsi="Times"/>
      <w:sz w:val="24"/>
      <w:szCs w:val="20"/>
      <w:lang w:val="en-US"/>
    </w:rPr>
  </w:style>
  <w:style w:type="paragraph" w:styleId="StandardWeb">
    <w:name w:val="Normal (Web)"/>
    <w:basedOn w:val="Standard"/>
    <w:uiPriority w:val="99"/>
    <w:semiHidden/>
    <w:unhideWhenUsed/>
    <w:rsid w:val="005B26EB"/>
    <w:pPr>
      <w:spacing w:before="100" w:beforeAutospacing="1" w:after="100" w:afterAutospacing="1" w:line="240" w:lineRule="auto"/>
    </w:pPr>
    <w:rPr>
      <w:rFonts w:eastAsiaTheme="minorEastAsia"/>
      <w:sz w:val="24"/>
      <w:lang w:eastAsia="en-GB"/>
    </w:rPr>
  </w:style>
  <w:style w:type="paragraph" w:customStyle="1" w:styleId="EndNoteBibliographyTitle">
    <w:name w:val="EndNote Bibliography Title"/>
    <w:basedOn w:val="Standard"/>
    <w:link w:val="EndNoteBibliographyTitleCar"/>
    <w:rsid w:val="005B26EB"/>
    <w:pPr>
      <w:jc w:val="center"/>
    </w:pPr>
    <w:rPr>
      <w:noProof/>
      <w:lang w:val="en-US"/>
    </w:rPr>
  </w:style>
  <w:style w:type="character" w:customStyle="1" w:styleId="EndNoteBibliographyTitleCar">
    <w:name w:val="EndNote Bibliography Title Car"/>
    <w:basedOn w:val="IUCrsuptitleChar"/>
    <w:link w:val="EndNoteBibliographyTitle"/>
    <w:rsid w:val="005B26EB"/>
    <w:rPr>
      <w:rFonts w:ascii="Times New Roman" w:eastAsia="Times New Roman" w:hAnsi="Times New Roman" w:cs="Times New Roman"/>
      <w:b w:val="0"/>
      <w:noProof/>
      <w:sz w:val="32"/>
      <w:szCs w:val="24"/>
      <w:lang w:val="en-US"/>
    </w:rPr>
  </w:style>
  <w:style w:type="paragraph" w:customStyle="1" w:styleId="EndNoteBibliography">
    <w:name w:val="EndNote Bibliography"/>
    <w:basedOn w:val="Standard"/>
    <w:link w:val="EndNoteBibliographyCar"/>
    <w:rsid w:val="005B26EB"/>
    <w:pPr>
      <w:spacing w:line="240" w:lineRule="auto"/>
    </w:pPr>
    <w:rPr>
      <w:noProof/>
      <w:lang w:val="en-US"/>
    </w:rPr>
  </w:style>
  <w:style w:type="character" w:customStyle="1" w:styleId="EndNoteBibliographyCar">
    <w:name w:val="EndNote Bibliography Car"/>
    <w:basedOn w:val="IUCrsuptitleChar"/>
    <w:link w:val="EndNoteBibliography"/>
    <w:rsid w:val="005B26EB"/>
    <w:rPr>
      <w:rFonts w:ascii="Times New Roman" w:eastAsia="Times New Roman" w:hAnsi="Times New Roman" w:cs="Times New Roman"/>
      <w:b w:val="0"/>
      <w:noProof/>
      <w:sz w:val="32"/>
      <w:szCs w:val="24"/>
      <w:lang w:val="en-US"/>
    </w:rPr>
  </w:style>
  <w:style w:type="character" w:customStyle="1" w:styleId="UnresolvedMention1">
    <w:name w:val="Unresolved Mention1"/>
    <w:basedOn w:val="Absatz-Standardschriftart"/>
    <w:uiPriority w:val="99"/>
    <w:semiHidden/>
    <w:unhideWhenUsed/>
    <w:rsid w:val="005B26EB"/>
    <w:rPr>
      <w:color w:val="605E5C"/>
      <w:shd w:val="clear" w:color="auto" w:fill="E1DFDD"/>
    </w:rPr>
  </w:style>
  <w:style w:type="character" w:styleId="Kommentarzeichen">
    <w:name w:val="annotation reference"/>
    <w:basedOn w:val="Absatz-Standardschriftart"/>
    <w:uiPriority w:val="99"/>
    <w:semiHidden/>
    <w:unhideWhenUsed/>
    <w:rsid w:val="005B26EB"/>
    <w:rPr>
      <w:sz w:val="16"/>
      <w:szCs w:val="16"/>
    </w:rPr>
  </w:style>
  <w:style w:type="paragraph" w:styleId="Kommentartext">
    <w:name w:val="annotation text"/>
    <w:basedOn w:val="Standard"/>
    <w:link w:val="KommentartextZchn"/>
    <w:uiPriority w:val="99"/>
    <w:semiHidden/>
    <w:unhideWhenUsed/>
    <w:rsid w:val="005B26EB"/>
    <w:pPr>
      <w:spacing w:after="200"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5B26EB"/>
    <w:rPr>
      <w:sz w:val="20"/>
      <w:szCs w:val="20"/>
      <w:lang w:val="en-GB"/>
    </w:rPr>
  </w:style>
  <w:style w:type="paragraph" w:customStyle="1" w:styleId="textgrass">
    <w:name w:val="textgrass"/>
    <w:basedOn w:val="Standard"/>
    <w:rsid w:val="005B26EB"/>
    <w:pPr>
      <w:spacing w:before="100" w:beforeAutospacing="1" w:after="100" w:afterAutospacing="1" w:line="240" w:lineRule="auto"/>
    </w:pPr>
    <w:rPr>
      <w:sz w:val="24"/>
      <w:lang w:val="fr-FR" w:eastAsia="fr-FR"/>
    </w:rPr>
  </w:style>
  <w:style w:type="paragraph" w:styleId="Kommentarthema">
    <w:name w:val="annotation subject"/>
    <w:basedOn w:val="Kommentartext"/>
    <w:next w:val="Kommentartext"/>
    <w:link w:val="KommentarthemaZchn"/>
    <w:uiPriority w:val="99"/>
    <w:semiHidden/>
    <w:unhideWhenUsed/>
    <w:rsid w:val="005B26EB"/>
    <w:pPr>
      <w:spacing w:after="0"/>
    </w:pPr>
    <w:rPr>
      <w:rFonts w:ascii="Times New Roman" w:eastAsia="Times New Roman" w:hAnsi="Times New Roman" w:cs="Times New Roman"/>
      <w:b/>
      <w:bCs/>
    </w:rPr>
  </w:style>
  <w:style w:type="character" w:customStyle="1" w:styleId="KommentarthemaZchn">
    <w:name w:val="Kommentarthema Zchn"/>
    <w:basedOn w:val="KommentartextZchn"/>
    <w:link w:val="Kommentarthema"/>
    <w:uiPriority w:val="99"/>
    <w:semiHidden/>
    <w:rsid w:val="005B26EB"/>
    <w:rPr>
      <w:rFonts w:ascii="Times New Roman" w:eastAsia="Times New Roman" w:hAnsi="Times New Roman" w:cs="Times New Roman"/>
      <w:b/>
      <w:bCs/>
      <w:sz w:val="20"/>
      <w:szCs w:val="20"/>
      <w:lang w:val="en-GB"/>
    </w:rPr>
  </w:style>
  <w:style w:type="character" w:customStyle="1" w:styleId="Mentionnonrsolue1">
    <w:name w:val="Mention non résolue1"/>
    <w:basedOn w:val="Absatz-Standardschriftart"/>
    <w:uiPriority w:val="99"/>
    <w:semiHidden/>
    <w:unhideWhenUsed/>
    <w:rsid w:val="005B26EB"/>
    <w:rPr>
      <w:color w:val="605E5C"/>
      <w:shd w:val="clear" w:color="auto" w:fill="E1DFDD"/>
    </w:rPr>
  </w:style>
  <w:style w:type="character" w:customStyle="1" w:styleId="jlqj4b">
    <w:name w:val="jlqj4b"/>
    <w:basedOn w:val="Absatz-Standardschriftart"/>
    <w:rsid w:val="005B26EB"/>
  </w:style>
  <w:style w:type="paragraph" w:styleId="HTMLVorformatiert">
    <w:name w:val="HTML Preformatted"/>
    <w:basedOn w:val="Standard"/>
    <w:link w:val="HTMLVorformatiertZchn"/>
    <w:uiPriority w:val="99"/>
    <w:semiHidden/>
    <w:unhideWhenUsed/>
    <w:rsid w:val="005B26EB"/>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B26EB"/>
    <w:rPr>
      <w:rFonts w:ascii="Consolas" w:eastAsia="Times New Roman" w:hAnsi="Consolas" w:cs="Times New Roman"/>
      <w:sz w:val="20"/>
      <w:szCs w:val="20"/>
      <w:lang w:val="en-GB"/>
    </w:rPr>
  </w:style>
  <w:style w:type="character" w:customStyle="1" w:styleId="viiyi">
    <w:name w:val="viiyi"/>
    <w:basedOn w:val="Absatz-Standardschriftart"/>
    <w:rsid w:val="005B26EB"/>
  </w:style>
  <w:style w:type="paragraph" w:styleId="berarbeitung">
    <w:name w:val="Revision"/>
    <w:hidden/>
    <w:uiPriority w:val="99"/>
    <w:semiHidden/>
    <w:rsid w:val="005B26EB"/>
    <w:pPr>
      <w:spacing w:after="0" w:line="240" w:lineRule="auto"/>
    </w:pPr>
    <w:rPr>
      <w:rFonts w:ascii="Times New Roman" w:eastAsia="Times New Roman" w:hAnsi="Times New Roman" w:cs="Times New Roman"/>
      <w:szCs w:val="24"/>
      <w:lang w:val="en-GB"/>
    </w:rPr>
  </w:style>
  <w:style w:type="character" w:customStyle="1" w:styleId="Mentionnonrsolue2">
    <w:name w:val="Mention non résolue2"/>
    <w:basedOn w:val="Absatz-Standardschriftart"/>
    <w:uiPriority w:val="99"/>
    <w:semiHidden/>
    <w:unhideWhenUsed/>
    <w:rsid w:val="005B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so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12073-870D-4818-A1D0-C6850215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4496</Words>
  <Characters>28330</Characters>
  <Application>Microsoft Office Word</Application>
  <DocSecurity>0</DocSecurity>
  <Lines>236</Lines>
  <Paragraphs>65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Université de Montpellier</Company>
  <LinksUpToDate>false</LinksUpToDate>
  <CharactersWithSpaces>32761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Ceretti</dc:creator>
  <cp:keywords/>
  <dc:description/>
  <cp:lastModifiedBy>Martin Meven</cp:lastModifiedBy>
  <cp:revision>3</cp:revision>
  <cp:lastPrinted>2021-02-04T09:01:00Z</cp:lastPrinted>
  <dcterms:created xsi:type="dcterms:W3CDTF">2021-12-14T22:02:00Z</dcterms:created>
  <dcterms:modified xsi:type="dcterms:W3CDTF">2021-12-14T22:03:00Z</dcterms:modified>
</cp:coreProperties>
</file>