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tiff" ContentType="image/tiff"/>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9903886" w14:textId="5AFC61FB" w:rsidR="006C1139" w:rsidRDefault="0029324F" w:rsidP="00380DCE">
      <w:pPr>
        <w:spacing w:after="0" w:line="240" w:lineRule="auto"/>
        <w:jc w:val="both"/>
        <w:rPr>
          <w:rFonts w:ascii="Times New Roman" w:hAnsi="Times New Roman" w:cs="Times New Roman"/>
          <w:b/>
          <w:sz w:val="32"/>
          <w:szCs w:val="32"/>
          <w:lang w:val="en-US"/>
        </w:rPr>
      </w:pPr>
      <w:r>
        <w:rPr>
          <w:rFonts w:ascii="Times New Roman" w:hAnsi="Times New Roman" w:cs="Times New Roman"/>
          <w:b/>
          <w:sz w:val="32"/>
          <w:szCs w:val="32"/>
          <w:lang w:val="en-US"/>
        </w:rPr>
        <w:t xml:space="preserve">Circulatory </w:t>
      </w:r>
      <w:r w:rsidR="00AB5905">
        <w:rPr>
          <w:rFonts w:ascii="Times New Roman" w:hAnsi="Times New Roman" w:cs="Times New Roman"/>
          <w:b/>
          <w:sz w:val="32"/>
          <w:szCs w:val="32"/>
          <w:lang w:val="en-US"/>
        </w:rPr>
        <w:t>D</w:t>
      </w:r>
      <w:r w:rsidR="00AB5905" w:rsidRPr="0029324F">
        <w:rPr>
          <w:rFonts w:ascii="Times New Roman" w:hAnsi="Times New Roman" w:cs="Times New Roman"/>
          <w:b/>
          <w:sz w:val="32"/>
          <w:szCs w:val="32"/>
          <w:lang w:val="en-US"/>
        </w:rPr>
        <w:t xml:space="preserve">ipeptidyl </w:t>
      </w:r>
      <w:r w:rsidR="00AB5905">
        <w:rPr>
          <w:rFonts w:ascii="Times New Roman" w:hAnsi="Times New Roman" w:cs="Times New Roman"/>
          <w:b/>
          <w:sz w:val="32"/>
          <w:szCs w:val="32"/>
          <w:lang w:val="en-US"/>
        </w:rPr>
        <w:t>P</w:t>
      </w:r>
      <w:r w:rsidR="00AB5905" w:rsidRPr="0029324F">
        <w:rPr>
          <w:rFonts w:ascii="Times New Roman" w:hAnsi="Times New Roman" w:cs="Times New Roman"/>
          <w:b/>
          <w:sz w:val="32"/>
          <w:szCs w:val="32"/>
          <w:lang w:val="en-US"/>
        </w:rPr>
        <w:t xml:space="preserve">eptidase </w:t>
      </w:r>
      <w:r w:rsidRPr="0029324F">
        <w:rPr>
          <w:rFonts w:ascii="Times New Roman" w:hAnsi="Times New Roman" w:cs="Times New Roman"/>
          <w:b/>
          <w:sz w:val="32"/>
          <w:szCs w:val="32"/>
          <w:lang w:val="en-US"/>
        </w:rPr>
        <w:t>3</w:t>
      </w:r>
      <w:r>
        <w:rPr>
          <w:rFonts w:ascii="Times New Roman" w:hAnsi="Times New Roman" w:cs="Times New Roman"/>
          <w:b/>
          <w:sz w:val="32"/>
          <w:szCs w:val="32"/>
          <w:lang w:val="en-US"/>
        </w:rPr>
        <w:t xml:space="preserve"> (</w:t>
      </w:r>
      <w:r w:rsidR="00D163A6">
        <w:rPr>
          <w:rFonts w:ascii="Times New Roman" w:hAnsi="Times New Roman" w:cs="Times New Roman"/>
          <w:b/>
          <w:sz w:val="32"/>
          <w:szCs w:val="32"/>
          <w:lang w:val="en-US"/>
        </w:rPr>
        <w:t>c</w:t>
      </w:r>
      <w:r>
        <w:rPr>
          <w:rFonts w:ascii="Times New Roman" w:hAnsi="Times New Roman" w:cs="Times New Roman"/>
          <w:b/>
          <w:sz w:val="32"/>
          <w:szCs w:val="32"/>
          <w:lang w:val="en-US"/>
        </w:rPr>
        <w:t xml:space="preserve">DPP3) is a </w:t>
      </w:r>
      <w:r w:rsidR="00AB5905">
        <w:rPr>
          <w:rFonts w:ascii="Times New Roman" w:hAnsi="Times New Roman" w:cs="Times New Roman"/>
          <w:b/>
          <w:sz w:val="32"/>
          <w:szCs w:val="32"/>
          <w:lang w:val="en-US"/>
        </w:rPr>
        <w:t xml:space="preserve">Potential Biomarker </w:t>
      </w:r>
      <w:r>
        <w:rPr>
          <w:rFonts w:ascii="Times New Roman" w:hAnsi="Times New Roman" w:cs="Times New Roman"/>
          <w:b/>
          <w:sz w:val="32"/>
          <w:szCs w:val="32"/>
          <w:lang w:val="en-US"/>
        </w:rPr>
        <w:t xml:space="preserve">for </w:t>
      </w:r>
      <w:r w:rsidR="00380DCE">
        <w:rPr>
          <w:rFonts w:ascii="Times New Roman" w:hAnsi="Times New Roman" w:cs="Times New Roman"/>
          <w:b/>
          <w:sz w:val="32"/>
          <w:szCs w:val="32"/>
          <w:lang w:val="en-US"/>
        </w:rPr>
        <w:t xml:space="preserve">Early Detection of Secondary Brain Injury </w:t>
      </w:r>
      <w:r>
        <w:rPr>
          <w:rFonts w:ascii="Times New Roman" w:hAnsi="Times New Roman" w:cs="Times New Roman"/>
          <w:b/>
          <w:sz w:val="32"/>
          <w:szCs w:val="32"/>
          <w:lang w:val="en-US"/>
        </w:rPr>
        <w:t xml:space="preserve">after </w:t>
      </w:r>
      <w:r w:rsidR="00AB5905">
        <w:rPr>
          <w:rFonts w:ascii="Times New Roman" w:hAnsi="Times New Roman" w:cs="Times New Roman"/>
          <w:b/>
          <w:sz w:val="32"/>
          <w:szCs w:val="32"/>
          <w:lang w:val="en-US"/>
        </w:rPr>
        <w:t>Aneurysmal Subarachnoid Hemorrhage</w:t>
      </w:r>
    </w:p>
    <w:p w14:paraId="0CD55788" w14:textId="77777777" w:rsidR="00D163A6" w:rsidRPr="003304A9" w:rsidRDefault="00D163A6" w:rsidP="00D163A6">
      <w:pPr>
        <w:spacing w:after="0" w:line="240" w:lineRule="auto"/>
        <w:jc w:val="both"/>
        <w:rPr>
          <w:rFonts w:ascii="Times New Roman" w:hAnsi="Times New Roman" w:cs="Times New Roman"/>
          <w:b/>
          <w:sz w:val="32"/>
          <w:szCs w:val="32"/>
          <w:lang w:val="en-US"/>
        </w:rPr>
      </w:pPr>
    </w:p>
    <w:p w14:paraId="5B8CB8C6" w14:textId="74BF6FD6" w:rsidR="00BB15A5" w:rsidRPr="00BB15A5" w:rsidRDefault="00BB15A5" w:rsidP="009C7E7A">
      <w:pPr>
        <w:spacing w:after="0" w:line="240" w:lineRule="auto"/>
        <w:jc w:val="both"/>
        <w:rPr>
          <w:rFonts w:ascii="Times New Roman" w:hAnsi="Times New Roman" w:cs="Times New Roman"/>
          <w:b/>
          <w:sz w:val="24"/>
          <w:szCs w:val="24"/>
          <w:lang w:val="en-US"/>
        </w:rPr>
      </w:pPr>
      <w:r w:rsidRPr="00BB15A5">
        <w:rPr>
          <w:rFonts w:ascii="Times New Roman" w:hAnsi="Times New Roman" w:cs="Times New Roman"/>
          <w:b/>
          <w:sz w:val="24"/>
          <w:szCs w:val="24"/>
          <w:lang w:val="en-US"/>
        </w:rPr>
        <w:t>Felix Neumaier</w:t>
      </w:r>
      <w:r w:rsidRPr="00BB15A5">
        <w:rPr>
          <w:rFonts w:ascii="Times New Roman" w:hAnsi="Times New Roman" w:cs="Times New Roman"/>
          <w:b/>
          <w:sz w:val="24"/>
          <w:szCs w:val="24"/>
          <w:vertAlign w:val="superscript"/>
          <w:lang w:val="en-US"/>
        </w:rPr>
        <w:t>1,2</w:t>
      </w:r>
      <w:r w:rsidR="002C5F14">
        <w:rPr>
          <w:rFonts w:ascii="Times New Roman" w:hAnsi="Times New Roman" w:cs="Times New Roman"/>
          <w:b/>
          <w:sz w:val="24"/>
          <w:szCs w:val="24"/>
          <w:vertAlign w:val="superscript"/>
          <w:lang w:val="en-US"/>
        </w:rPr>
        <w:t>,3</w:t>
      </w:r>
      <w:r w:rsidRPr="00BB15A5">
        <w:rPr>
          <w:rFonts w:ascii="Times New Roman" w:hAnsi="Times New Roman" w:cs="Times New Roman"/>
          <w:b/>
          <w:sz w:val="24"/>
          <w:szCs w:val="24"/>
          <w:lang w:val="en-US"/>
        </w:rPr>
        <w:t xml:space="preserve">, PhD; </w:t>
      </w:r>
      <w:r w:rsidR="00074EF5">
        <w:rPr>
          <w:rFonts w:ascii="Times New Roman" w:hAnsi="Times New Roman" w:cs="Times New Roman"/>
          <w:b/>
          <w:sz w:val="24"/>
          <w:szCs w:val="24"/>
          <w:lang w:val="en-US"/>
        </w:rPr>
        <w:t>Christian Stoppe</w:t>
      </w:r>
      <w:r w:rsidR="00074EF5">
        <w:rPr>
          <w:rFonts w:ascii="Times New Roman" w:hAnsi="Times New Roman" w:cs="Times New Roman"/>
          <w:b/>
          <w:sz w:val="24"/>
          <w:szCs w:val="24"/>
          <w:vertAlign w:val="superscript"/>
          <w:lang w:val="en-US"/>
        </w:rPr>
        <w:t>4</w:t>
      </w:r>
      <w:r w:rsidR="00074EF5">
        <w:rPr>
          <w:rFonts w:ascii="Times New Roman" w:hAnsi="Times New Roman" w:cs="Times New Roman"/>
          <w:b/>
          <w:sz w:val="24"/>
          <w:szCs w:val="24"/>
          <w:lang w:val="en-US"/>
        </w:rPr>
        <w:t xml:space="preserve">, MD; </w:t>
      </w:r>
      <w:r w:rsidRPr="00BB15A5">
        <w:rPr>
          <w:rFonts w:ascii="Times New Roman" w:hAnsi="Times New Roman" w:cs="Times New Roman"/>
          <w:b/>
          <w:sz w:val="24"/>
          <w:szCs w:val="24"/>
          <w:lang w:val="en-US"/>
        </w:rPr>
        <w:t>Michael Veldeman</w:t>
      </w:r>
      <w:r w:rsidRPr="00BB15A5">
        <w:rPr>
          <w:rFonts w:ascii="Times New Roman" w:hAnsi="Times New Roman" w:cs="Times New Roman"/>
          <w:b/>
          <w:sz w:val="24"/>
          <w:szCs w:val="24"/>
          <w:vertAlign w:val="superscript"/>
          <w:lang w:val="en-US"/>
        </w:rPr>
        <w:t>1</w:t>
      </w:r>
      <w:r w:rsidRPr="00BB15A5">
        <w:rPr>
          <w:rFonts w:ascii="Times New Roman" w:hAnsi="Times New Roman" w:cs="Times New Roman"/>
          <w:b/>
          <w:sz w:val="24"/>
          <w:szCs w:val="24"/>
          <w:lang w:val="en-US"/>
        </w:rPr>
        <w:t xml:space="preserve">, MD; </w:t>
      </w:r>
      <w:r w:rsidRPr="00BB15A5">
        <w:rPr>
          <w:rFonts w:ascii="Times New Roman" w:hAnsi="Times New Roman" w:cs="Times New Roman"/>
          <w:b/>
          <w:color w:val="000000" w:themeColor="text1"/>
          <w:sz w:val="24"/>
          <w:szCs w:val="24"/>
          <w:lang w:val="en-US"/>
        </w:rPr>
        <w:t>Miriam Weiss</w:t>
      </w:r>
      <w:r w:rsidRPr="00BB15A5">
        <w:rPr>
          <w:rFonts w:ascii="Times New Roman" w:hAnsi="Times New Roman" w:cs="Times New Roman"/>
          <w:b/>
          <w:color w:val="000000" w:themeColor="text1"/>
          <w:sz w:val="24"/>
          <w:szCs w:val="24"/>
          <w:vertAlign w:val="superscript"/>
          <w:lang w:val="en-US"/>
        </w:rPr>
        <w:t>1</w:t>
      </w:r>
      <w:r w:rsidRPr="00BB15A5">
        <w:rPr>
          <w:rFonts w:ascii="Times New Roman" w:hAnsi="Times New Roman" w:cs="Times New Roman"/>
          <w:b/>
          <w:color w:val="000000" w:themeColor="text1"/>
          <w:sz w:val="24"/>
          <w:szCs w:val="24"/>
          <w:lang w:val="en-US"/>
        </w:rPr>
        <w:t xml:space="preserve">, MD; </w:t>
      </w:r>
      <w:r w:rsidR="00074EF5" w:rsidRPr="00BB15A5">
        <w:rPr>
          <w:rFonts w:ascii="Times New Roman" w:hAnsi="Times New Roman" w:cs="Times New Roman"/>
          <w:b/>
          <w:sz w:val="24"/>
          <w:szCs w:val="24"/>
          <w:lang w:val="en-US"/>
        </w:rPr>
        <w:t>Tim Simon</w:t>
      </w:r>
      <w:r w:rsidR="00074EF5">
        <w:rPr>
          <w:rFonts w:ascii="Times New Roman" w:hAnsi="Times New Roman" w:cs="Times New Roman"/>
          <w:b/>
          <w:sz w:val="24"/>
          <w:szCs w:val="24"/>
          <w:vertAlign w:val="superscript"/>
          <w:lang w:val="en-US"/>
        </w:rPr>
        <w:t>4</w:t>
      </w:r>
      <w:r w:rsidR="00074EF5" w:rsidRPr="00BB15A5">
        <w:rPr>
          <w:rFonts w:ascii="Times New Roman" w:hAnsi="Times New Roman" w:cs="Times New Roman"/>
          <w:b/>
          <w:sz w:val="24"/>
          <w:szCs w:val="24"/>
          <w:lang w:val="en-US"/>
        </w:rPr>
        <w:t xml:space="preserve">, MD; </w:t>
      </w:r>
      <w:r w:rsidRPr="00BB15A5">
        <w:rPr>
          <w:rFonts w:ascii="Times New Roman" w:hAnsi="Times New Roman" w:cs="Times New Roman"/>
          <w:b/>
          <w:color w:val="000000" w:themeColor="text1"/>
          <w:sz w:val="24"/>
          <w:szCs w:val="24"/>
          <w:lang w:val="en-US"/>
        </w:rPr>
        <w:t>Anke Hoellig</w:t>
      </w:r>
      <w:r w:rsidR="004568CD" w:rsidRPr="00C14673">
        <w:rPr>
          <w:rFonts w:ascii="Times New Roman" w:hAnsi="Times New Roman" w:cs="Times New Roman"/>
          <w:b/>
          <w:color w:val="000000" w:themeColor="text1"/>
          <w:sz w:val="24"/>
          <w:szCs w:val="24"/>
          <w:vertAlign w:val="superscript"/>
          <w:lang w:val="en-US"/>
        </w:rPr>
        <w:t>1</w:t>
      </w:r>
      <w:r w:rsidRPr="00BB15A5">
        <w:rPr>
          <w:rFonts w:ascii="Times New Roman" w:hAnsi="Times New Roman" w:cs="Times New Roman"/>
          <w:b/>
          <w:color w:val="000000" w:themeColor="text1"/>
          <w:sz w:val="24"/>
          <w:szCs w:val="24"/>
          <w:lang w:val="en-US"/>
        </w:rPr>
        <w:t xml:space="preserve">, MD; </w:t>
      </w:r>
      <w:r w:rsidR="007D778D">
        <w:rPr>
          <w:rFonts w:ascii="Times New Roman" w:hAnsi="Times New Roman" w:cs="Times New Roman"/>
          <w:b/>
          <w:sz w:val="24"/>
          <w:szCs w:val="24"/>
          <w:lang w:val="en-US"/>
        </w:rPr>
        <w:t>Gernot Marx</w:t>
      </w:r>
      <w:r w:rsidR="002C5F14" w:rsidRPr="00846DD4">
        <w:rPr>
          <w:rFonts w:ascii="Times New Roman" w:hAnsi="Times New Roman" w:cs="Times New Roman"/>
          <w:b/>
          <w:sz w:val="24"/>
          <w:szCs w:val="24"/>
          <w:vertAlign w:val="superscript"/>
          <w:lang w:val="en-US"/>
        </w:rPr>
        <w:t>4</w:t>
      </w:r>
      <w:r w:rsidR="007D778D">
        <w:rPr>
          <w:rFonts w:ascii="Times New Roman" w:hAnsi="Times New Roman" w:cs="Times New Roman"/>
          <w:b/>
          <w:sz w:val="24"/>
          <w:szCs w:val="24"/>
          <w:lang w:val="en-US"/>
        </w:rPr>
        <w:t xml:space="preserve">, MD; </w:t>
      </w:r>
      <w:r w:rsidR="009C7E7A" w:rsidRPr="00BB15A5">
        <w:rPr>
          <w:rFonts w:ascii="Times New Roman" w:hAnsi="Times New Roman" w:cs="Times New Roman"/>
          <w:b/>
          <w:sz w:val="24"/>
          <w:szCs w:val="24"/>
          <w:lang w:val="en-US"/>
        </w:rPr>
        <w:t>Hans Clusmann</w:t>
      </w:r>
      <w:r w:rsidR="009C7E7A" w:rsidRPr="00BB15A5">
        <w:rPr>
          <w:rFonts w:ascii="Times New Roman" w:hAnsi="Times New Roman" w:cs="Times New Roman"/>
          <w:b/>
          <w:sz w:val="24"/>
          <w:szCs w:val="24"/>
          <w:vertAlign w:val="superscript"/>
          <w:lang w:val="en-US"/>
        </w:rPr>
        <w:t>1</w:t>
      </w:r>
      <w:r w:rsidR="009C7E7A" w:rsidRPr="00BB15A5">
        <w:rPr>
          <w:rFonts w:ascii="Times New Roman" w:hAnsi="Times New Roman" w:cs="Times New Roman"/>
          <w:b/>
          <w:sz w:val="24"/>
          <w:szCs w:val="24"/>
          <w:lang w:val="en-US"/>
        </w:rPr>
        <w:t xml:space="preserve">, </w:t>
      </w:r>
      <w:r w:rsidR="009C7E7A">
        <w:rPr>
          <w:rFonts w:ascii="Times New Roman" w:hAnsi="Times New Roman" w:cs="Times New Roman"/>
          <w:b/>
          <w:sz w:val="24"/>
          <w:szCs w:val="24"/>
          <w:lang w:val="en-US"/>
        </w:rPr>
        <w:t xml:space="preserve">MD; </w:t>
      </w:r>
      <w:r w:rsidRPr="00BB15A5">
        <w:rPr>
          <w:rFonts w:ascii="Times New Roman" w:hAnsi="Times New Roman" w:cs="Times New Roman"/>
          <w:b/>
          <w:sz w:val="24"/>
          <w:szCs w:val="24"/>
          <w:lang w:val="en-US"/>
        </w:rPr>
        <w:t>Walid Albanna</w:t>
      </w:r>
      <w:r w:rsidRPr="00BB15A5">
        <w:rPr>
          <w:rFonts w:ascii="Times New Roman" w:hAnsi="Times New Roman" w:cs="Times New Roman"/>
          <w:b/>
          <w:sz w:val="24"/>
          <w:szCs w:val="24"/>
          <w:vertAlign w:val="superscript"/>
          <w:lang w:val="en-US"/>
        </w:rPr>
        <w:t>1</w:t>
      </w:r>
      <w:r w:rsidR="008E1B74">
        <w:rPr>
          <w:rFonts w:ascii="Times New Roman" w:hAnsi="Times New Roman" w:cs="Times New Roman"/>
          <w:b/>
          <w:sz w:val="24"/>
          <w:szCs w:val="24"/>
          <w:vertAlign w:val="superscript"/>
          <w:lang w:val="en-US"/>
        </w:rPr>
        <w:t>*</w:t>
      </w:r>
      <w:r w:rsidRPr="00BB15A5">
        <w:rPr>
          <w:rFonts w:ascii="Times New Roman" w:hAnsi="Times New Roman" w:cs="Times New Roman"/>
          <w:b/>
          <w:sz w:val="24"/>
          <w:szCs w:val="24"/>
          <w:lang w:val="en-US"/>
        </w:rPr>
        <w:t>, MD</w:t>
      </w:r>
    </w:p>
    <w:p w14:paraId="409958C0" w14:textId="634B44A9" w:rsidR="00BB15A5" w:rsidRDefault="00BB15A5" w:rsidP="00BB15A5">
      <w:pPr>
        <w:spacing w:after="0" w:line="240" w:lineRule="auto"/>
        <w:rPr>
          <w:rFonts w:ascii="Times New Roman" w:hAnsi="Times New Roman" w:cs="Times New Roman"/>
          <w:sz w:val="24"/>
          <w:szCs w:val="24"/>
          <w:vertAlign w:val="superscript"/>
          <w:lang w:val="en-US"/>
        </w:rPr>
      </w:pPr>
    </w:p>
    <w:p w14:paraId="5995F6E3" w14:textId="692D4717" w:rsidR="009D29B9" w:rsidRDefault="009D29B9" w:rsidP="00BB15A5">
      <w:pPr>
        <w:spacing w:after="0" w:line="240" w:lineRule="auto"/>
        <w:rPr>
          <w:rFonts w:ascii="Times New Roman" w:hAnsi="Times New Roman" w:cs="Times New Roman"/>
          <w:sz w:val="24"/>
          <w:szCs w:val="24"/>
          <w:vertAlign w:val="superscript"/>
          <w:lang w:val="en-US"/>
        </w:rPr>
      </w:pPr>
    </w:p>
    <w:p w14:paraId="090D3B63" w14:textId="159DC8A7" w:rsidR="009D29B9" w:rsidRDefault="009D29B9" w:rsidP="00BB15A5">
      <w:pPr>
        <w:spacing w:after="0" w:line="240" w:lineRule="auto"/>
        <w:rPr>
          <w:rFonts w:ascii="Times New Roman" w:hAnsi="Times New Roman" w:cs="Times New Roman"/>
          <w:sz w:val="24"/>
          <w:szCs w:val="24"/>
          <w:vertAlign w:val="superscript"/>
          <w:lang w:val="en-US"/>
        </w:rPr>
      </w:pPr>
    </w:p>
    <w:p w14:paraId="6127600B" w14:textId="3E9C7ABC" w:rsidR="0060670C" w:rsidRDefault="0060670C" w:rsidP="00BB15A5">
      <w:pPr>
        <w:spacing w:after="0" w:line="240" w:lineRule="auto"/>
        <w:rPr>
          <w:rFonts w:ascii="Times New Roman" w:hAnsi="Times New Roman" w:cs="Times New Roman"/>
          <w:sz w:val="24"/>
          <w:szCs w:val="24"/>
          <w:vertAlign w:val="superscript"/>
          <w:lang w:val="en-US"/>
        </w:rPr>
      </w:pPr>
    </w:p>
    <w:p w14:paraId="141D57FD" w14:textId="44C548A5" w:rsidR="0060670C" w:rsidRDefault="0060670C" w:rsidP="00BB15A5">
      <w:pPr>
        <w:spacing w:after="0" w:line="240" w:lineRule="auto"/>
        <w:rPr>
          <w:rFonts w:ascii="Times New Roman" w:hAnsi="Times New Roman" w:cs="Times New Roman"/>
          <w:sz w:val="24"/>
          <w:szCs w:val="24"/>
          <w:vertAlign w:val="superscript"/>
          <w:lang w:val="en-US"/>
        </w:rPr>
      </w:pPr>
    </w:p>
    <w:p w14:paraId="5F80C392" w14:textId="77777777" w:rsidR="0060670C" w:rsidRPr="00BB15A5" w:rsidRDefault="0060670C" w:rsidP="00BB15A5">
      <w:pPr>
        <w:spacing w:after="0" w:line="240" w:lineRule="auto"/>
        <w:rPr>
          <w:rFonts w:ascii="Times New Roman" w:hAnsi="Times New Roman" w:cs="Times New Roman"/>
          <w:sz w:val="24"/>
          <w:szCs w:val="24"/>
          <w:vertAlign w:val="superscript"/>
          <w:lang w:val="en-US"/>
        </w:rPr>
      </w:pPr>
    </w:p>
    <w:p w14:paraId="55EE88E7" w14:textId="77777777" w:rsidR="00BB15A5" w:rsidRPr="00BB15A5" w:rsidRDefault="00BB15A5" w:rsidP="00BB15A5">
      <w:pPr>
        <w:spacing w:after="0" w:line="240" w:lineRule="auto"/>
        <w:rPr>
          <w:rFonts w:ascii="Times New Roman" w:hAnsi="Times New Roman" w:cs="Times New Roman"/>
          <w:sz w:val="24"/>
          <w:szCs w:val="24"/>
          <w:lang w:val="en-US"/>
        </w:rPr>
      </w:pPr>
      <w:r w:rsidRPr="00BB15A5">
        <w:rPr>
          <w:rFonts w:ascii="Times New Roman" w:hAnsi="Times New Roman" w:cs="Times New Roman"/>
          <w:sz w:val="24"/>
          <w:szCs w:val="24"/>
          <w:vertAlign w:val="superscript"/>
          <w:lang w:val="en-US"/>
        </w:rPr>
        <w:t>1</w:t>
      </w:r>
      <w:r w:rsidRPr="00BB15A5">
        <w:rPr>
          <w:rFonts w:ascii="Times New Roman" w:hAnsi="Times New Roman" w:cs="Times New Roman"/>
          <w:sz w:val="24"/>
          <w:szCs w:val="24"/>
          <w:lang w:val="en-US"/>
        </w:rPr>
        <w:t xml:space="preserve"> Department of Neurosurgery, RWTH Aachen University Hospital, Aachen, Germany.</w:t>
      </w:r>
    </w:p>
    <w:p w14:paraId="3B06E6E0" w14:textId="17FCCDCC" w:rsidR="00BB15A5" w:rsidRDefault="00BB15A5" w:rsidP="00BB15A5">
      <w:pPr>
        <w:autoSpaceDE w:val="0"/>
        <w:autoSpaceDN w:val="0"/>
        <w:adjustRightInd w:val="0"/>
        <w:spacing w:after="0" w:line="240" w:lineRule="auto"/>
        <w:rPr>
          <w:rFonts w:ascii="Times New Roman" w:hAnsi="Times New Roman" w:cs="Times New Roman"/>
          <w:color w:val="000000"/>
          <w:sz w:val="24"/>
          <w:szCs w:val="24"/>
          <w:lang w:val="en-US"/>
        </w:rPr>
      </w:pPr>
      <w:r w:rsidRPr="00BB15A5">
        <w:rPr>
          <w:rFonts w:ascii="Times New Roman" w:hAnsi="Times New Roman" w:cs="Times New Roman"/>
          <w:color w:val="000000"/>
          <w:sz w:val="24"/>
          <w:szCs w:val="24"/>
          <w:vertAlign w:val="superscript"/>
          <w:lang w:val="en-US"/>
        </w:rPr>
        <w:t>2</w:t>
      </w:r>
      <w:r w:rsidRPr="00BB15A5">
        <w:rPr>
          <w:rFonts w:ascii="Times New Roman" w:hAnsi="Times New Roman" w:cs="Times New Roman"/>
          <w:color w:val="000000"/>
          <w:sz w:val="24"/>
          <w:szCs w:val="24"/>
          <w:lang w:val="en-US"/>
        </w:rPr>
        <w:t xml:space="preserve"> </w:t>
      </w:r>
      <w:proofErr w:type="spellStart"/>
      <w:r w:rsidR="002C5F14" w:rsidRPr="002C5F14">
        <w:rPr>
          <w:rFonts w:ascii="Times New Roman" w:hAnsi="Times New Roman" w:cs="Times New Roman"/>
          <w:color w:val="000000"/>
          <w:sz w:val="24"/>
          <w:szCs w:val="24"/>
          <w:lang w:val="en-US"/>
        </w:rPr>
        <w:t>Forschungszentrum</w:t>
      </w:r>
      <w:proofErr w:type="spellEnd"/>
      <w:r w:rsidR="002C5F14" w:rsidRPr="002C5F14">
        <w:rPr>
          <w:rFonts w:ascii="Times New Roman" w:hAnsi="Times New Roman" w:cs="Times New Roman"/>
          <w:color w:val="000000"/>
          <w:sz w:val="24"/>
          <w:szCs w:val="24"/>
          <w:lang w:val="en-US"/>
        </w:rPr>
        <w:t xml:space="preserve"> </w:t>
      </w:r>
      <w:proofErr w:type="spellStart"/>
      <w:r w:rsidR="002C5F14" w:rsidRPr="002C5F14">
        <w:rPr>
          <w:rFonts w:ascii="Times New Roman" w:hAnsi="Times New Roman" w:cs="Times New Roman"/>
          <w:color w:val="000000"/>
          <w:sz w:val="24"/>
          <w:szCs w:val="24"/>
          <w:lang w:val="en-US"/>
        </w:rPr>
        <w:t>Jülich</w:t>
      </w:r>
      <w:proofErr w:type="spellEnd"/>
      <w:r w:rsidR="002C5F14" w:rsidRPr="002C5F14">
        <w:rPr>
          <w:rFonts w:ascii="Times New Roman" w:hAnsi="Times New Roman" w:cs="Times New Roman"/>
          <w:color w:val="000000"/>
          <w:sz w:val="24"/>
          <w:szCs w:val="24"/>
          <w:lang w:val="en-US"/>
        </w:rPr>
        <w:t xml:space="preserve"> GmbH, Institute of Neuroscience and Medicine, Nuclear Chemistry (INM-5), Wilhelm-</w:t>
      </w:r>
      <w:proofErr w:type="spellStart"/>
      <w:r w:rsidR="002C5F14" w:rsidRPr="002C5F14">
        <w:rPr>
          <w:rFonts w:ascii="Times New Roman" w:hAnsi="Times New Roman" w:cs="Times New Roman"/>
          <w:color w:val="000000"/>
          <w:sz w:val="24"/>
          <w:szCs w:val="24"/>
          <w:lang w:val="en-US"/>
        </w:rPr>
        <w:t>Johnen</w:t>
      </w:r>
      <w:proofErr w:type="spellEnd"/>
      <w:r w:rsidR="002C5F14" w:rsidRPr="002C5F14">
        <w:rPr>
          <w:rFonts w:ascii="Times New Roman" w:hAnsi="Times New Roman" w:cs="Times New Roman"/>
          <w:color w:val="000000"/>
          <w:sz w:val="24"/>
          <w:szCs w:val="24"/>
          <w:lang w:val="en-US"/>
        </w:rPr>
        <w:t>-</w:t>
      </w:r>
      <w:proofErr w:type="spellStart"/>
      <w:r w:rsidR="002C5F14" w:rsidRPr="002C5F14">
        <w:rPr>
          <w:rFonts w:ascii="Times New Roman" w:hAnsi="Times New Roman" w:cs="Times New Roman"/>
          <w:color w:val="000000"/>
          <w:sz w:val="24"/>
          <w:szCs w:val="24"/>
          <w:lang w:val="en-US"/>
        </w:rPr>
        <w:t>Straße</w:t>
      </w:r>
      <w:proofErr w:type="spellEnd"/>
      <w:r w:rsidR="002C5F14" w:rsidRPr="002C5F14">
        <w:rPr>
          <w:rFonts w:ascii="Times New Roman" w:hAnsi="Times New Roman" w:cs="Times New Roman"/>
          <w:color w:val="000000"/>
          <w:sz w:val="24"/>
          <w:szCs w:val="24"/>
          <w:lang w:val="en-US"/>
        </w:rPr>
        <w:t xml:space="preserve">, 52428 </w:t>
      </w:r>
      <w:proofErr w:type="spellStart"/>
      <w:r w:rsidR="002C5F14" w:rsidRPr="002C5F14">
        <w:rPr>
          <w:rFonts w:ascii="Times New Roman" w:hAnsi="Times New Roman" w:cs="Times New Roman"/>
          <w:color w:val="000000"/>
          <w:sz w:val="24"/>
          <w:szCs w:val="24"/>
          <w:lang w:val="en-US"/>
        </w:rPr>
        <w:t>Jülich</w:t>
      </w:r>
      <w:proofErr w:type="spellEnd"/>
      <w:r w:rsidR="002C5F14" w:rsidRPr="002C5F14">
        <w:rPr>
          <w:rFonts w:ascii="Times New Roman" w:hAnsi="Times New Roman" w:cs="Times New Roman"/>
          <w:color w:val="000000"/>
          <w:sz w:val="24"/>
          <w:szCs w:val="24"/>
          <w:lang w:val="en-US"/>
        </w:rPr>
        <w:t>, Germany</w:t>
      </w:r>
      <w:r w:rsidRPr="00BB15A5">
        <w:rPr>
          <w:rFonts w:ascii="Times New Roman" w:hAnsi="Times New Roman" w:cs="Times New Roman"/>
          <w:color w:val="000000"/>
          <w:sz w:val="24"/>
          <w:szCs w:val="24"/>
          <w:lang w:val="en-US"/>
        </w:rPr>
        <w:t>.</w:t>
      </w:r>
    </w:p>
    <w:p w14:paraId="29DDA4BF" w14:textId="25275B28" w:rsidR="002C5F14" w:rsidRPr="00BB15A5" w:rsidRDefault="002C5F14" w:rsidP="00BB15A5">
      <w:pPr>
        <w:autoSpaceDE w:val="0"/>
        <w:autoSpaceDN w:val="0"/>
        <w:adjustRightInd w:val="0"/>
        <w:spacing w:after="0" w:line="240" w:lineRule="auto"/>
        <w:rPr>
          <w:rFonts w:ascii="Times New Roman" w:hAnsi="Times New Roman" w:cs="Times New Roman"/>
          <w:color w:val="000000"/>
          <w:sz w:val="24"/>
          <w:szCs w:val="24"/>
          <w:lang w:val="en-US"/>
        </w:rPr>
      </w:pPr>
      <w:r w:rsidRPr="00846DD4">
        <w:rPr>
          <w:rFonts w:ascii="Times New Roman" w:hAnsi="Times New Roman" w:cs="Times New Roman"/>
          <w:color w:val="000000"/>
          <w:sz w:val="24"/>
          <w:szCs w:val="24"/>
          <w:vertAlign w:val="superscript"/>
          <w:lang w:val="en-US"/>
        </w:rPr>
        <w:t>3</w:t>
      </w:r>
      <w:r>
        <w:rPr>
          <w:rFonts w:ascii="Times New Roman" w:hAnsi="Times New Roman" w:cs="Times New Roman"/>
          <w:color w:val="000000"/>
          <w:sz w:val="24"/>
          <w:szCs w:val="24"/>
          <w:lang w:val="en-US"/>
        </w:rPr>
        <w:t xml:space="preserve"> </w:t>
      </w:r>
      <w:r w:rsidRPr="002C5F14">
        <w:rPr>
          <w:rFonts w:ascii="Times New Roman" w:hAnsi="Times New Roman" w:cs="Times New Roman"/>
          <w:color w:val="000000"/>
          <w:sz w:val="24"/>
          <w:szCs w:val="24"/>
          <w:lang w:val="en-US"/>
        </w:rPr>
        <w:t>University of Cologne, Faculty of Medicine and University Hospital Cologne, Institute of Radiochemistry and Experimental Molecular Imaging</w:t>
      </w:r>
      <w:r>
        <w:rPr>
          <w:rFonts w:ascii="Times New Roman" w:hAnsi="Times New Roman" w:cs="Times New Roman"/>
          <w:color w:val="000000"/>
          <w:sz w:val="24"/>
          <w:szCs w:val="24"/>
          <w:lang w:val="en-US"/>
        </w:rPr>
        <w:t>.</w:t>
      </w:r>
    </w:p>
    <w:p w14:paraId="12D3FADE" w14:textId="52D547D1" w:rsidR="00BB15A5" w:rsidRPr="00BB15A5" w:rsidRDefault="002C5F14" w:rsidP="00BB15A5">
      <w:pPr>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sz w:val="24"/>
          <w:szCs w:val="24"/>
          <w:vertAlign w:val="superscript"/>
          <w:lang w:val="en-US"/>
        </w:rPr>
        <w:t>4</w:t>
      </w:r>
      <w:r w:rsidRPr="00BB15A5">
        <w:rPr>
          <w:rFonts w:ascii="Times New Roman" w:hAnsi="Times New Roman" w:cs="Times New Roman"/>
          <w:color w:val="000000"/>
          <w:sz w:val="24"/>
          <w:szCs w:val="24"/>
          <w:lang w:val="en-US"/>
        </w:rPr>
        <w:t xml:space="preserve"> </w:t>
      </w:r>
      <w:r w:rsidR="00BB15A5" w:rsidRPr="00BB15A5">
        <w:rPr>
          <w:rFonts w:ascii="Times New Roman" w:hAnsi="Times New Roman" w:cs="Times New Roman"/>
          <w:color w:val="000000"/>
          <w:sz w:val="24"/>
          <w:szCs w:val="24"/>
          <w:lang w:val="en-US"/>
        </w:rPr>
        <w:t>Department of Intensive Care and Intermediate Care, RWTH Aachen University, Aachen, Germany.</w:t>
      </w:r>
    </w:p>
    <w:p w14:paraId="44DA67B8" w14:textId="09C9D0DE" w:rsidR="00BB15A5" w:rsidRPr="00BB15A5" w:rsidRDefault="00BB15A5" w:rsidP="006C1139">
      <w:pPr>
        <w:spacing w:line="480" w:lineRule="auto"/>
        <w:jc w:val="both"/>
        <w:rPr>
          <w:rFonts w:ascii="Times New Roman" w:hAnsi="Times New Roman" w:cs="Times New Roman"/>
          <w:b/>
          <w:sz w:val="24"/>
          <w:szCs w:val="24"/>
          <w:lang w:val="en-US"/>
        </w:rPr>
      </w:pPr>
    </w:p>
    <w:p w14:paraId="1E5E9204" w14:textId="2D14743A" w:rsidR="00BB15A5" w:rsidRPr="009E672A" w:rsidRDefault="00BB15A5" w:rsidP="009E672A">
      <w:pPr>
        <w:spacing w:after="0" w:line="240" w:lineRule="auto"/>
        <w:jc w:val="both"/>
        <w:rPr>
          <w:rFonts w:ascii="Times New Roman" w:hAnsi="Times New Roman" w:cs="Times New Roman"/>
          <w:b/>
          <w:sz w:val="24"/>
          <w:szCs w:val="24"/>
          <w:lang w:val="en-US"/>
        </w:rPr>
      </w:pPr>
    </w:p>
    <w:p w14:paraId="55915D0A" w14:textId="6613AFDB" w:rsidR="006C1139" w:rsidRPr="009E672A" w:rsidRDefault="006C1139" w:rsidP="009E672A">
      <w:pPr>
        <w:spacing w:after="0" w:line="240" w:lineRule="auto"/>
        <w:rPr>
          <w:rFonts w:ascii="Times New Roman" w:hAnsi="Times New Roman" w:cs="Times New Roman"/>
          <w:sz w:val="24"/>
          <w:szCs w:val="24"/>
          <w:lang w:val="en-US"/>
        </w:rPr>
      </w:pPr>
      <w:r w:rsidRPr="009E672A">
        <w:rPr>
          <w:rFonts w:ascii="Times New Roman" w:hAnsi="Times New Roman" w:cs="Times New Roman"/>
          <w:sz w:val="24"/>
          <w:szCs w:val="24"/>
          <w:lang w:val="en-US"/>
        </w:rPr>
        <w:t>*</w:t>
      </w:r>
      <w:r w:rsidRPr="009E672A">
        <w:rPr>
          <w:rFonts w:ascii="Times New Roman" w:hAnsi="Times New Roman" w:cs="Times New Roman"/>
          <w:b/>
          <w:sz w:val="24"/>
          <w:szCs w:val="24"/>
          <w:lang w:val="en-US"/>
        </w:rPr>
        <w:t>Corresponding author</w:t>
      </w:r>
    </w:p>
    <w:p w14:paraId="44AB3E0C" w14:textId="77777777" w:rsidR="006C1139" w:rsidRPr="009E672A" w:rsidRDefault="006C1139" w:rsidP="009E672A">
      <w:pPr>
        <w:spacing w:after="0" w:line="240" w:lineRule="auto"/>
        <w:ind w:firstLine="708"/>
        <w:rPr>
          <w:rFonts w:ascii="Times New Roman" w:hAnsi="Times New Roman" w:cs="Times New Roman"/>
          <w:sz w:val="24"/>
          <w:szCs w:val="24"/>
          <w:lang w:val="en-US"/>
        </w:rPr>
      </w:pPr>
      <w:r w:rsidRPr="009E672A">
        <w:rPr>
          <w:rFonts w:ascii="Times New Roman" w:hAnsi="Times New Roman" w:cs="Times New Roman"/>
          <w:sz w:val="24"/>
          <w:szCs w:val="24"/>
          <w:lang w:val="en-US"/>
        </w:rPr>
        <w:t>Walid Albanna MD</w:t>
      </w:r>
    </w:p>
    <w:p w14:paraId="78781E09" w14:textId="77777777" w:rsidR="006C1139" w:rsidRPr="009E672A" w:rsidRDefault="006C1139" w:rsidP="009E672A">
      <w:pPr>
        <w:spacing w:after="0" w:line="240" w:lineRule="auto"/>
        <w:ind w:firstLine="708"/>
        <w:rPr>
          <w:rFonts w:ascii="Times New Roman" w:hAnsi="Times New Roman" w:cs="Times New Roman"/>
          <w:sz w:val="24"/>
          <w:szCs w:val="24"/>
          <w:lang w:val="en-US"/>
        </w:rPr>
      </w:pPr>
      <w:r w:rsidRPr="009E672A">
        <w:rPr>
          <w:rFonts w:ascii="Times New Roman" w:hAnsi="Times New Roman" w:cs="Times New Roman"/>
          <w:sz w:val="24"/>
          <w:szCs w:val="24"/>
          <w:lang w:val="en-US"/>
        </w:rPr>
        <w:t>Department of Neurosurgery, RWTH Aachen University Hospital</w:t>
      </w:r>
    </w:p>
    <w:p w14:paraId="33252AA5" w14:textId="77777777" w:rsidR="006C1139" w:rsidRPr="009E672A" w:rsidRDefault="006C1139" w:rsidP="009E672A">
      <w:pPr>
        <w:spacing w:after="0" w:line="240" w:lineRule="auto"/>
        <w:ind w:firstLine="708"/>
        <w:rPr>
          <w:rFonts w:ascii="Times New Roman" w:hAnsi="Times New Roman" w:cs="Times New Roman"/>
          <w:sz w:val="24"/>
          <w:szCs w:val="24"/>
          <w:lang w:val="en-US"/>
        </w:rPr>
      </w:pPr>
      <w:proofErr w:type="spellStart"/>
      <w:r w:rsidRPr="009E672A">
        <w:rPr>
          <w:rFonts w:ascii="Times New Roman" w:hAnsi="Times New Roman" w:cs="Times New Roman"/>
          <w:sz w:val="24"/>
          <w:szCs w:val="24"/>
          <w:lang w:val="en-US"/>
        </w:rPr>
        <w:t>Pauwelsstrasse</w:t>
      </w:r>
      <w:proofErr w:type="spellEnd"/>
      <w:r w:rsidRPr="009E672A">
        <w:rPr>
          <w:rFonts w:ascii="Times New Roman" w:hAnsi="Times New Roman" w:cs="Times New Roman"/>
          <w:sz w:val="24"/>
          <w:szCs w:val="24"/>
          <w:lang w:val="en-US"/>
        </w:rPr>
        <w:t xml:space="preserve"> 30</w:t>
      </w:r>
    </w:p>
    <w:p w14:paraId="33E1BAA8" w14:textId="77777777" w:rsidR="006C1139" w:rsidRPr="009E672A" w:rsidRDefault="006C1139" w:rsidP="009E672A">
      <w:pPr>
        <w:spacing w:after="0" w:line="240" w:lineRule="auto"/>
        <w:ind w:left="708"/>
        <w:rPr>
          <w:rFonts w:ascii="Times New Roman" w:hAnsi="Times New Roman" w:cs="Times New Roman"/>
          <w:sz w:val="24"/>
          <w:szCs w:val="24"/>
          <w:lang w:val="en-US"/>
        </w:rPr>
      </w:pPr>
      <w:r w:rsidRPr="009E672A">
        <w:rPr>
          <w:rFonts w:ascii="Times New Roman" w:hAnsi="Times New Roman" w:cs="Times New Roman"/>
          <w:sz w:val="24"/>
          <w:szCs w:val="24"/>
          <w:lang w:val="en-US"/>
        </w:rPr>
        <w:t>52074 Aachen, Germany</w:t>
      </w:r>
    </w:p>
    <w:p w14:paraId="75C29A24" w14:textId="77777777" w:rsidR="006C1139" w:rsidRPr="009E672A" w:rsidRDefault="006C1139" w:rsidP="009E672A">
      <w:pPr>
        <w:spacing w:after="0" w:line="240" w:lineRule="auto"/>
        <w:ind w:left="708"/>
        <w:rPr>
          <w:rFonts w:ascii="Times New Roman" w:hAnsi="Times New Roman" w:cs="Times New Roman"/>
          <w:sz w:val="24"/>
          <w:szCs w:val="24"/>
          <w:lang w:val="en-US"/>
        </w:rPr>
      </w:pPr>
      <w:r w:rsidRPr="009E672A">
        <w:rPr>
          <w:rFonts w:ascii="Times New Roman" w:hAnsi="Times New Roman" w:cs="Times New Roman"/>
          <w:sz w:val="24"/>
          <w:szCs w:val="24"/>
          <w:lang w:val="en-US"/>
        </w:rPr>
        <w:t>Tel. no.: +49-241-8088481</w:t>
      </w:r>
    </w:p>
    <w:p w14:paraId="45A0527C" w14:textId="77777777" w:rsidR="006C1139" w:rsidRPr="009E672A" w:rsidRDefault="006C1139" w:rsidP="009E672A">
      <w:pPr>
        <w:spacing w:after="0" w:line="240" w:lineRule="auto"/>
        <w:ind w:left="708"/>
        <w:rPr>
          <w:rFonts w:ascii="Times New Roman" w:hAnsi="Times New Roman" w:cs="Times New Roman"/>
          <w:sz w:val="24"/>
          <w:szCs w:val="24"/>
          <w:lang w:val="en-US"/>
        </w:rPr>
      </w:pPr>
      <w:r w:rsidRPr="009E672A">
        <w:rPr>
          <w:rFonts w:ascii="Times New Roman" w:hAnsi="Times New Roman" w:cs="Times New Roman"/>
          <w:sz w:val="24"/>
          <w:szCs w:val="24"/>
          <w:lang w:val="en-US"/>
        </w:rPr>
        <w:t>Fax no.: +49-241-82420</w:t>
      </w:r>
    </w:p>
    <w:p w14:paraId="32893F2E" w14:textId="094985D6" w:rsidR="006C1139" w:rsidRPr="009E672A" w:rsidRDefault="006C1139" w:rsidP="009E672A">
      <w:pPr>
        <w:spacing w:after="0" w:line="240" w:lineRule="auto"/>
        <w:ind w:left="709"/>
        <w:rPr>
          <w:rStyle w:val="Hyperlink"/>
          <w:rFonts w:ascii="Times New Roman" w:hAnsi="Times New Roman" w:cs="Times New Roman"/>
          <w:sz w:val="24"/>
          <w:szCs w:val="24"/>
          <w:lang w:val="en-US"/>
        </w:rPr>
      </w:pPr>
      <w:r w:rsidRPr="009E672A">
        <w:rPr>
          <w:rFonts w:ascii="Times New Roman" w:hAnsi="Times New Roman" w:cs="Times New Roman"/>
          <w:sz w:val="24"/>
          <w:szCs w:val="24"/>
          <w:lang w:val="en-US"/>
        </w:rPr>
        <w:t xml:space="preserve">E-mail address: </w:t>
      </w:r>
      <w:r w:rsidR="00DD1CFD" w:rsidRPr="009E672A">
        <w:rPr>
          <w:rFonts w:ascii="Times New Roman" w:hAnsi="Times New Roman" w:cs="Times New Roman"/>
          <w:sz w:val="24"/>
          <w:szCs w:val="24"/>
          <w:lang w:val="en-US"/>
        </w:rPr>
        <w:t>WalidAlbanna</w:t>
      </w:r>
      <w:r w:rsidR="00AB5905" w:rsidRPr="009E672A">
        <w:rPr>
          <w:rFonts w:ascii="Times New Roman" w:hAnsi="Times New Roman" w:cs="Times New Roman"/>
          <w:sz w:val="24"/>
          <w:szCs w:val="24"/>
          <w:lang w:val="en-US"/>
        </w:rPr>
        <w:t>@yahoo.de</w:t>
      </w:r>
    </w:p>
    <w:p w14:paraId="3643ADBF" w14:textId="77777777" w:rsidR="00D2723C" w:rsidRDefault="00D2723C" w:rsidP="00D2723C">
      <w:pPr>
        <w:spacing w:after="0" w:line="240" w:lineRule="auto"/>
        <w:jc w:val="both"/>
        <w:rPr>
          <w:rFonts w:ascii="Times New Roman" w:hAnsi="Times New Roman" w:cs="Times New Roman"/>
          <w:b/>
          <w:color w:val="000000" w:themeColor="text1"/>
          <w:sz w:val="24"/>
          <w:szCs w:val="24"/>
          <w:lang w:val="en-US"/>
        </w:rPr>
      </w:pPr>
    </w:p>
    <w:p w14:paraId="42A57306" w14:textId="77777777" w:rsidR="00D2723C" w:rsidRDefault="00D2723C" w:rsidP="00D2723C">
      <w:pPr>
        <w:spacing w:after="0" w:line="240" w:lineRule="auto"/>
        <w:jc w:val="both"/>
        <w:rPr>
          <w:rFonts w:ascii="Times New Roman" w:hAnsi="Times New Roman" w:cs="Times New Roman"/>
          <w:b/>
          <w:color w:val="000000" w:themeColor="text1"/>
          <w:sz w:val="24"/>
          <w:szCs w:val="24"/>
          <w:lang w:val="en-US"/>
        </w:rPr>
      </w:pPr>
    </w:p>
    <w:p w14:paraId="2B4C6939" w14:textId="35CA8BC5" w:rsidR="00DD1CFD" w:rsidRPr="00D2723C" w:rsidRDefault="00030A65" w:rsidP="00D2723C">
      <w:pPr>
        <w:spacing w:after="0" w:line="240" w:lineRule="auto"/>
        <w:jc w:val="both"/>
        <w:rPr>
          <w:rFonts w:ascii="Times New Roman" w:hAnsi="Times New Roman" w:cs="Times New Roman"/>
          <w:bCs/>
          <w:color w:val="000000" w:themeColor="text1"/>
          <w:sz w:val="24"/>
          <w:szCs w:val="24"/>
          <w:lang w:val="en-US"/>
        </w:rPr>
      </w:pPr>
      <w:r w:rsidRPr="009E672A">
        <w:rPr>
          <w:rFonts w:ascii="Times New Roman" w:hAnsi="Times New Roman" w:cs="Times New Roman"/>
          <w:b/>
          <w:color w:val="000000" w:themeColor="text1"/>
          <w:sz w:val="24"/>
          <w:szCs w:val="24"/>
          <w:lang w:val="en-US"/>
        </w:rPr>
        <w:t xml:space="preserve">Keywords: </w:t>
      </w:r>
      <w:r w:rsidR="00D2723C" w:rsidRPr="009E672A">
        <w:rPr>
          <w:rFonts w:ascii="Times New Roman" w:hAnsi="Times New Roman" w:cs="Times New Roman"/>
          <w:color w:val="000000" w:themeColor="text1"/>
          <w:sz w:val="24"/>
          <w:szCs w:val="24"/>
          <w:lang w:val="en-US"/>
        </w:rPr>
        <w:t>aneurysmal SAH</w:t>
      </w:r>
      <w:r w:rsidR="00D2723C" w:rsidRPr="009E672A">
        <w:rPr>
          <w:rFonts w:ascii="Times New Roman" w:hAnsi="Times New Roman" w:cs="Times New Roman"/>
          <w:bCs/>
          <w:color w:val="000000" w:themeColor="text1"/>
          <w:sz w:val="24"/>
          <w:szCs w:val="24"/>
          <w:lang w:val="en-US"/>
        </w:rPr>
        <w:t xml:space="preserve">, </w:t>
      </w:r>
      <w:r w:rsidR="00D2723C">
        <w:rPr>
          <w:rFonts w:ascii="Times New Roman" w:hAnsi="Times New Roman" w:cs="Times New Roman"/>
          <w:sz w:val="24"/>
          <w:szCs w:val="24"/>
          <w:lang w:val="en-US"/>
        </w:rPr>
        <w:t>c</w:t>
      </w:r>
      <w:r w:rsidRPr="009E672A">
        <w:rPr>
          <w:rFonts w:ascii="Times New Roman" w:hAnsi="Times New Roman" w:cs="Times New Roman"/>
          <w:sz w:val="24"/>
          <w:szCs w:val="24"/>
          <w:lang w:val="en-US"/>
        </w:rPr>
        <w:t>irculatory DPP3</w:t>
      </w:r>
      <w:r w:rsidRPr="009E672A">
        <w:rPr>
          <w:rFonts w:ascii="Times New Roman" w:hAnsi="Times New Roman" w:cs="Times New Roman"/>
          <w:b/>
          <w:color w:val="000000" w:themeColor="text1"/>
          <w:sz w:val="24"/>
          <w:szCs w:val="24"/>
          <w:lang w:val="en-US"/>
        </w:rPr>
        <w:t xml:space="preserve">, </w:t>
      </w:r>
      <w:r w:rsidR="00D2723C" w:rsidRPr="009E672A">
        <w:rPr>
          <w:rFonts w:ascii="Times New Roman" w:hAnsi="Times New Roman" w:cs="Times New Roman"/>
          <w:color w:val="000000" w:themeColor="text1"/>
          <w:sz w:val="24"/>
          <w:szCs w:val="24"/>
          <w:lang w:val="en-US"/>
        </w:rPr>
        <w:t>DCI, infarction</w:t>
      </w:r>
      <w:r w:rsidR="00D2723C">
        <w:rPr>
          <w:rFonts w:ascii="Times New Roman" w:hAnsi="Times New Roman" w:cs="Times New Roman"/>
          <w:color w:val="000000" w:themeColor="text1"/>
          <w:sz w:val="24"/>
          <w:szCs w:val="24"/>
          <w:lang w:val="en-US"/>
        </w:rPr>
        <w:t>,</w:t>
      </w:r>
      <w:r w:rsidR="00D2723C" w:rsidRPr="009E672A">
        <w:rPr>
          <w:rFonts w:ascii="Times New Roman" w:hAnsi="Times New Roman" w:cs="Times New Roman"/>
          <w:bCs/>
          <w:color w:val="000000" w:themeColor="text1"/>
          <w:sz w:val="24"/>
          <w:szCs w:val="24"/>
          <w:lang w:val="en-US"/>
        </w:rPr>
        <w:t xml:space="preserve"> </w:t>
      </w:r>
      <w:r w:rsidRPr="009E672A">
        <w:rPr>
          <w:rFonts w:ascii="Times New Roman" w:hAnsi="Times New Roman" w:cs="Times New Roman"/>
          <w:bCs/>
          <w:color w:val="000000" w:themeColor="text1"/>
          <w:sz w:val="24"/>
          <w:szCs w:val="24"/>
          <w:lang w:val="en-US"/>
        </w:rPr>
        <w:t xml:space="preserve">ruptured aneurysm </w:t>
      </w:r>
    </w:p>
    <w:p w14:paraId="5DBE577B" w14:textId="1677E945" w:rsidR="00DD1CFD" w:rsidRPr="009E672A" w:rsidRDefault="00DD1CFD" w:rsidP="00AB5905">
      <w:pPr>
        <w:spacing w:line="480" w:lineRule="auto"/>
        <w:rPr>
          <w:rFonts w:ascii="Times New Roman" w:hAnsi="Times New Roman" w:cs="Times New Roman"/>
          <w:sz w:val="24"/>
          <w:szCs w:val="24"/>
          <w:lang w:val="en-US"/>
        </w:rPr>
      </w:pPr>
    </w:p>
    <w:p w14:paraId="0DC73D91" w14:textId="4714D6D6" w:rsidR="009E672A" w:rsidRPr="009E672A" w:rsidRDefault="009E672A" w:rsidP="009E672A">
      <w:pPr>
        <w:tabs>
          <w:tab w:val="left" w:pos="8602"/>
        </w:tabs>
        <w:spacing w:after="0" w:line="240" w:lineRule="auto"/>
        <w:rPr>
          <w:rFonts w:ascii="Times New Roman" w:hAnsi="Times New Roman" w:cs="Times New Roman"/>
          <w:sz w:val="24"/>
          <w:szCs w:val="24"/>
          <w:lang w:val="en-US"/>
        </w:rPr>
      </w:pPr>
      <w:r w:rsidRPr="009E672A">
        <w:rPr>
          <w:rFonts w:ascii="Times New Roman" w:hAnsi="Times New Roman" w:cs="Times New Roman"/>
          <w:sz w:val="24"/>
          <w:szCs w:val="24"/>
          <w:lang w:val="en-US"/>
        </w:rPr>
        <w:t>Abstract word count: 249</w:t>
      </w:r>
    </w:p>
    <w:p w14:paraId="2F91AC95" w14:textId="0B180922" w:rsidR="009E672A" w:rsidRPr="009E672A" w:rsidRDefault="009E672A" w:rsidP="009E672A">
      <w:pPr>
        <w:spacing w:after="0" w:line="240" w:lineRule="auto"/>
        <w:rPr>
          <w:rFonts w:ascii="Times New Roman" w:hAnsi="Times New Roman" w:cs="Times New Roman"/>
          <w:sz w:val="24"/>
          <w:szCs w:val="24"/>
          <w:lang w:val="en-US"/>
        </w:rPr>
      </w:pPr>
      <w:r w:rsidRPr="009E672A">
        <w:rPr>
          <w:rFonts w:ascii="Times New Roman" w:hAnsi="Times New Roman" w:cs="Times New Roman"/>
          <w:sz w:val="24"/>
          <w:szCs w:val="24"/>
          <w:lang w:val="en-US"/>
        </w:rPr>
        <w:t>Text word count: 3829</w:t>
      </w:r>
    </w:p>
    <w:p w14:paraId="02969FDB" w14:textId="1BAA7F26" w:rsidR="009E672A" w:rsidRPr="009E672A" w:rsidRDefault="009E672A" w:rsidP="009E672A">
      <w:pPr>
        <w:spacing w:after="0" w:line="240" w:lineRule="auto"/>
        <w:rPr>
          <w:rFonts w:ascii="Times New Roman" w:hAnsi="Times New Roman" w:cs="Times New Roman"/>
          <w:sz w:val="24"/>
          <w:szCs w:val="24"/>
          <w:lang w:val="en-US"/>
        </w:rPr>
      </w:pPr>
      <w:r w:rsidRPr="009E672A">
        <w:rPr>
          <w:rFonts w:ascii="Times New Roman" w:hAnsi="Times New Roman" w:cs="Times New Roman"/>
          <w:sz w:val="24"/>
          <w:szCs w:val="24"/>
          <w:lang w:val="en-US"/>
        </w:rPr>
        <w:t>Number of references: 27</w:t>
      </w:r>
    </w:p>
    <w:p w14:paraId="677F5239" w14:textId="0636DA64" w:rsidR="009E672A" w:rsidRPr="009E672A" w:rsidRDefault="009E672A" w:rsidP="009E672A">
      <w:pPr>
        <w:spacing w:after="0" w:line="240" w:lineRule="auto"/>
        <w:rPr>
          <w:rFonts w:ascii="Times New Roman" w:hAnsi="Times New Roman" w:cs="Times New Roman"/>
          <w:sz w:val="24"/>
          <w:szCs w:val="24"/>
          <w:lang w:val="en-US"/>
        </w:rPr>
      </w:pPr>
      <w:r w:rsidRPr="009E672A">
        <w:rPr>
          <w:rFonts w:ascii="Times New Roman" w:hAnsi="Times New Roman" w:cs="Times New Roman"/>
          <w:sz w:val="24"/>
          <w:szCs w:val="24"/>
          <w:lang w:val="en-US"/>
        </w:rPr>
        <w:t>Number of tables and/or figures: 4 / 5</w:t>
      </w:r>
    </w:p>
    <w:p w14:paraId="1A82415C" w14:textId="77777777" w:rsidR="009E672A" w:rsidRPr="009E672A" w:rsidRDefault="009E672A" w:rsidP="009E672A">
      <w:pPr>
        <w:spacing w:after="0" w:line="240" w:lineRule="auto"/>
        <w:rPr>
          <w:rFonts w:ascii="Times New Roman" w:hAnsi="Times New Roman" w:cs="Times New Roman"/>
          <w:sz w:val="24"/>
          <w:szCs w:val="24"/>
          <w:lang w:val="en-US"/>
        </w:rPr>
      </w:pPr>
      <w:r w:rsidRPr="009E672A">
        <w:rPr>
          <w:rFonts w:ascii="Times New Roman" w:hAnsi="Times New Roman" w:cs="Times New Roman"/>
          <w:sz w:val="24"/>
          <w:szCs w:val="24"/>
          <w:lang w:val="en-US"/>
        </w:rPr>
        <w:t>Number of videos: NA</w:t>
      </w:r>
    </w:p>
    <w:p w14:paraId="232CA3F0" w14:textId="77777777" w:rsidR="009E672A" w:rsidRDefault="009E672A" w:rsidP="009E672A">
      <w:pPr>
        <w:spacing w:after="0" w:line="240" w:lineRule="auto"/>
        <w:jc w:val="both"/>
        <w:rPr>
          <w:rFonts w:ascii="Times New Roman" w:hAnsi="Times New Roman" w:cs="Times New Roman"/>
          <w:sz w:val="24"/>
          <w:szCs w:val="24"/>
          <w:lang w:val="en-US"/>
        </w:rPr>
      </w:pPr>
    </w:p>
    <w:p w14:paraId="072AF7FA" w14:textId="44C3B612" w:rsidR="009E672A" w:rsidRPr="009E672A" w:rsidRDefault="009E672A" w:rsidP="009E672A">
      <w:pPr>
        <w:spacing w:after="0" w:line="240" w:lineRule="auto"/>
        <w:jc w:val="both"/>
        <w:rPr>
          <w:rFonts w:ascii="Times New Roman" w:hAnsi="Times New Roman" w:cs="Times New Roman"/>
          <w:color w:val="000000"/>
          <w:sz w:val="24"/>
          <w:szCs w:val="24"/>
          <w:shd w:val="clear" w:color="auto" w:fill="FFFFFF"/>
          <w:lang w:val="en-US"/>
        </w:rPr>
      </w:pPr>
      <w:r w:rsidRPr="009E672A">
        <w:rPr>
          <w:rFonts w:ascii="Times New Roman" w:hAnsi="Times New Roman" w:cs="Times New Roman"/>
          <w:sz w:val="24"/>
          <w:szCs w:val="24"/>
          <w:lang w:val="en-US"/>
        </w:rPr>
        <w:t>This trial has been registered at ClinicalTrials.gov (</w:t>
      </w:r>
      <w:r w:rsidRPr="009E672A">
        <w:rPr>
          <w:rFonts w:ascii="Times New Roman" w:hAnsi="Times New Roman" w:cs="Times New Roman"/>
          <w:color w:val="000000" w:themeColor="text1"/>
          <w:sz w:val="24"/>
          <w:szCs w:val="24"/>
          <w:lang w:val="en-US"/>
        </w:rPr>
        <w:t>NCT02142166</w:t>
      </w:r>
      <w:r w:rsidRPr="009E672A">
        <w:rPr>
          <w:rFonts w:ascii="Times New Roman" w:hAnsi="Times New Roman" w:cs="Times New Roman"/>
          <w:color w:val="000000"/>
          <w:sz w:val="24"/>
          <w:szCs w:val="24"/>
          <w:shd w:val="clear" w:color="auto" w:fill="FFFFFF"/>
          <w:lang w:val="en-US"/>
        </w:rPr>
        <w:t xml:space="preserve">) as part of a </w:t>
      </w:r>
      <w:proofErr w:type="gramStart"/>
      <w:r w:rsidRPr="009E672A">
        <w:rPr>
          <w:rFonts w:ascii="Times New Roman" w:hAnsi="Times New Roman" w:cs="Times New Roman"/>
          <w:color w:val="000000"/>
          <w:sz w:val="24"/>
          <w:szCs w:val="24"/>
          <w:shd w:val="clear" w:color="auto" w:fill="FFFFFF"/>
          <w:lang w:val="en-US"/>
        </w:rPr>
        <w:t>large scale</w:t>
      </w:r>
      <w:proofErr w:type="gramEnd"/>
      <w:r w:rsidRPr="009E672A">
        <w:rPr>
          <w:rFonts w:ascii="Times New Roman" w:hAnsi="Times New Roman" w:cs="Times New Roman"/>
          <w:color w:val="000000"/>
          <w:sz w:val="24"/>
          <w:szCs w:val="24"/>
          <w:shd w:val="clear" w:color="auto" w:fill="FFFFFF"/>
          <w:lang w:val="en-US"/>
        </w:rPr>
        <w:t xml:space="preserve"> prospective data collection. </w:t>
      </w:r>
    </w:p>
    <w:p w14:paraId="34786B2C" w14:textId="505C1D58" w:rsidR="0097285B" w:rsidRPr="00DA24E7" w:rsidRDefault="009E672A" w:rsidP="0097285B">
      <w:pPr>
        <w:spacing w:after="120" w:line="360" w:lineRule="auto"/>
        <w:rPr>
          <w:rFonts w:ascii="Times New Roman" w:hAnsi="Times New Roman" w:cs="Times New Roman"/>
          <w:b/>
          <w:sz w:val="32"/>
          <w:szCs w:val="36"/>
          <w:lang w:val="en-US"/>
        </w:rPr>
      </w:pPr>
      <w:r>
        <w:rPr>
          <w:rFonts w:ascii="Times New Roman" w:hAnsi="Times New Roman" w:cs="Times New Roman"/>
          <w:b/>
          <w:sz w:val="32"/>
          <w:szCs w:val="36"/>
          <w:lang w:val="en-US"/>
        </w:rPr>
        <w:br w:type="column"/>
      </w:r>
      <w:r w:rsidR="0097285B" w:rsidRPr="00DA24E7">
        <w:rPr>
          <w:rFonts w:ascii="Times New Roman" w:hAnsi="Times New Roman" w:cs="Times New Roman"/>
          <w:b/>
          <w:sz w:val="32"/>
          <w:szCs w:val="36"/>
          <w:lang w:val="en-US"/>
        </w:rPr>
        <w:lastRenderedPageBreak/>
        <w:t>Abstract</w:t>
      </w:r>
    </w:p>
    <w:p w14:paraId="2EC287A7" w14:textId="77777777" w:rsidR="009E672A" w:rsidRDefault="009E672A" w:rsidP="009E672A">
      <w:pPr>
        <w:spacing w:after="0" w:line="360" w:lineRule="atLeast"/>
        <w:jc w:val="both"/>
        <w:rPr>
          <w:rFonts w:ascii="Times New Roman" w:eastAsia="Times New Roman" w:hAnsi="Times New Roman" w:cs="Times New Roman"/>
          <w:color w:val="000000"/>
          <w:sz w:val="24"/>
          <w:szCs w:val="24"/>
          <w:lang w:val="en-US" w:eastAsia="de-DE"/>
        </w:rPr>
      </w:pPr>
      <w:r w:rsidRPr="009E672A">
        <w:rPr>
          <w:rFonts w:ascii="Times New Roman" w:eastAsia="Times New Roman" w:hAnsi="Times New Roman" w:cs="Times New Roman"/>
          <w:b/>
          <w:bCs/>
          <w:color w:val="000000"/>
          <w:sz w:val="24"/>
          <w:szCs w:val="24"/>
          <w:lang w:val="en-US" w:eastAsia="de-DE"/>
        </w:rPr>
        <w:t>Introduction</w:t>
      </w:r>
      <w:r w:rsidRPr="009E672A">
        <w:rPr>
          <w:rFonts w:ascii="Times New Roman" w:eastAsia="Times New Roman" w:hAnsi="Times New Roman" w:cs="Times New Roman"/>
          <w:color w:val="000000"/>
          <w:sz w:val="24"/>
          <w:szCs w:val="24"/>
          <w:lang w:val="en-US" w:eastAsia="de-DE"/>
        </w:rPr>
        <w:t> </w:t>
      </w:r>
    </w:p>
    <w:p w14:paraId="5ACDA96E" w14:textId="230916F5" w:rsidR="009E672A" w:rsidRPr="009E672A" w:rsidRDefault="009E672A" w:rsidP="009E672A">
      <w:pPr>
        <w:spacing w:after="0" w:line="360" w:lineRule="atLeast"/>
        <w:jc w:val="both"/>
        <w:rPr>
          <w:rFonts w:ascii="Times New Roman" w:eastAsia="Times New Roman" w:hAnsi="Times New Roman" w:cs="Times New Roman"/>
          <w:color w:val="000000"/>
          <w:sz w:val="24"/>
          <w:szCs w:val="24"/>
          <w:lang w:val="en-US" w:eastAsia="de-DE"/>
        </w:rPr>
      </w:pPr>
      <w:r w:rsidRPr="009E672A">
        <w:rPr>
          <w:rFonts w:ascii="Times New Roman" w:eastAsia="Times New Roman" w:hAnsi="Times New Roman" w:cs="Times New Roman"/>
          <w:color w:val="000000"/>
          <w:sz w:val="24"/>
          <w:szCs w:val="24"/>
          <w:lang w:val="en-US" w:eastAsia="de-DE"/>
        </w:rPr>
        <w:t>Delayed cerebral ischemia (DCI) is a common complication after aneurysmal subarachnoid hemorrhage (aSAH) that can culminate in secondary brain damage. Although it remains one of the main preventable causes of aSAH-related morbidity, there is still a lack of prognostic criteria for identification of patients at risk of developing DCI. Because elevated circulatory levels of the enzyme dipeptidyl peptidase 3 (cDPP3) were recently identified as a potential biomarker for outcome prediction in critically ill patients, we evaluated the time-course of changes in cDPP3 levels after aSAH. </w:t>
      </w:r>
    </w:p>
    <w:p w14:paraId="2F67169F" w14:textId="77777777" w:rsidR="007D0E5D" w:rsidRDefault="007D0E5D" w:rsidP="009E672A">
      <w:pPr>
        <w:spacing w:after="0" w:line="360" w:lineRule="atLeast"/>
        <w:jc w:val="both"/>
        <w:rPr>
          <w:rFonts w:ascii="Times New Roman" w:eastAsia="Times New Roman" w:hAnsi="Times New Roman" w:cs="Times New Roman"/>
          <w:b/>
          <w:bCs/>
          <w:color w:val="000000"/>
          <w:sz w:val="24"/>
          <w:szCs w:val="24"/>
          <w:lang w:val="en-US" w:eastAsia="de-DE"/>
        </w:rPr>
      </w:pPr>
    </w:p>
    <w:p w14:paraId="5EFCB26D" w14:textId="49391F00" w:rsidR="009E672A" w:rsidRDefault="009E672A" w:rsidP="009E672A">
      <w:pPr>
        <w:spacing w:after="0" w:line="360" w:lineRule="atLeast"/>
        <w:jc w:val="both"/>
        <w:rPr>
          <w:rFonts w:ascii="Times New Roman" w:eastAsia="Times New Roman" w:hAnsi="Times New Roman" w:cs="Times New Roman"/>
          <w:color w:val="000000"/>
          <w:sz w:val="24"/>
          <w:szCs w:val="24"/>
          <w:lang w:val="en-US" w:eastAsia="de-DE"/>
        </w:rPr>
      </w:pPr>
      <w:r w:rsidRPr="009E672A">
        <w:rPr>
          <w:rFonts w:ascii="Times New Roman" w:eastAsia="Times New Roman" w:hAnsi="Times New Roman" w:cs="Times New Roman"/>
          <w:b/>
          <w:bCs/>
          <w:color w:val="000000"/>
          <w:sz w:val="24"/>
          <w:szCs w:val="24"/>
          <w:lang w:val="en-US" w:eastAsia="de-DE"/>
        </w:rPr>
        <w:t>Materials and Methods</w:t>
      </w:r>
      <w:r w:rsidRPr="009E672A">
        <w:rPr>
          <w:rFonts w:ascii="Times New Roman" w:eastAsia="Times New Roman" w:hAnsi="Times New Roman" w:cs="Times New Roman"/>
          <w:color w:val="000000"/>
          <w:sz w:val="24"/>
          <w:szCs w:val="24"/>
          <w:lang w:val="en-US" w:eastAsia="de-DE"/>
        </w:rPr>
        <w:t> </w:t>
      </w:r>
    </w:p>
    <w:p w14:paraId="1EE9C897" w14:textId="162181F6" w:rsidR="009E672A" w:rsidRPr="00EC7D66" w:rsidRDefault="009E672A" w:rsidP="009E672A">
      <w:pPr>
        <w:spacing w:after="0" w:line="360" w:lineRule="atLeast"/>
        <w:jc w:val="both"/>
        <w:rPr>
          <w:rFonts w:ascii="Times New Roman" w:eastAsia="Times New Roman" w:hAnsi="Times New Roman" w:cs="Times New Roman"/>
          <w:b/>
          <w:bCs/>
          <w:color w:val="FF0000"/>
          <w:sz w:val="24"/>
          <w:szCs w:val="24"/>
          <w:lang w:val="en-US" w:eastAsia="de-DE"/>
        </w:rPr>
      </w:pPr>
      <w:r w:rsidRPr="009E672A">
        <w:rPr>
          <w:rFonts w:ascii="Times New Roman" w:eastAsia="Times New Roman" w:hAnsi="Times New Roman" w:cs="Times New Roman"/>
          <w:color w:val="000000"/>
          <w:sz w:val="24"/>
          <w:szCs w:val="24"/>
          <w:lang w:val="en-US" w:eastAsia="de-DE"/>
        </w:rPr>
        <w:t xml:space="preserve">cDPP3 levels were quantified in serum obtained from 96 confirmed aSAH patients during the </w:t>
      </w:r>
      <w:r w:rsidRPr="00452352">
        <w:rPr>
          <w:rFonts w:ascii="Times New Roman" w:eastAsia="Times New Roman" w:hAnsi="Times New Roman" w:cs="Times New Roman"/>
          <w:color w:val="000000" w:themeColor="text1"/>
          <w:sz w:val="24"/>
          <w:szCs w:val="24"/>
          <w:lang w:val="en-US" w:eastAsia="de-DE"/>
        </w:rPr>
        <w:t>early (EP: d</w:t>
      </w:r>
      <w:r w:rsidRPr="00452352">
        <w:rPr>
          <w:rFonts w:ascii="Times New Roman" w:eastAsia="Times New Roman" w:hAnsi="Times New Roman" w:cs="Times New Roman"/>
          <w:color w:val="000000" w:themeColor="text1"/>
          <w:sz w:val="24"/>
          <w:szCs w:val="24"/>
          <w:vertAlign w:val="subscript"/>
          <w:lang w:val="en-US" w:eastAsia="de-DE"/>
        </w:rPr>
        <w:t>1-4</w:t>
      </w:r>
      <w:r w:rsidRPr="00452352">
        <w:rPr>
          <w:rFonts w:ascii="Times New Roman" w:eastAsia="Times New Roman" w:hAnsi="Times New Roman" w:cs="Times New Roman"/>
          <w:color w:val="000000" w:themeColor="text1"/>
          <w:sz w:val="24"/>
          <w:szCs w:val="24"/>
          <w:lang w:val="en-US" w:eastAsia="de-DE"/>
        </w:rPr>
        <w:t>), critical (CP: d</w:t>
      </w:r>
      <w:r w:rsidRPr="00452352">
        <w:rPr>
          <w:rFonts w:ascii="Times New Roman" w:eastAsia="Times New Roman" w:hAnsi="Times New Roman" w:cs="Times New Roman"/>
          <w:color w:val="000000" w:themeColor="text1"/>
          <w:sz w:val="24"/>
          <w:szCs w:val="24"/>
          <w:vertAlign w:val="subscript"/>
          <w:lang w:val="en-US" w:eastAsia="de-DE"/>
        </w:rPr>
        <w:t>5-8</w:t>
      </w:r>
      <w:r w:rsidRPr="00452352">
        <w:rPr>
          <w:rFonts w:ascii="Times New Roman" w:eastAsia="Times New Roman" w:hAnsi="Times New Roman" w:cs="Times New Roman"/>
          <w:color w:val="000000" w:themeColor="text1"/>
          <w:sz w:val="24"/>
          <w:szCs w:val="24"/>
          <w:lang w:val="en-US" w:eastAsia="de-DE"/>
        </w:rPr>
        <w:t>, d</w:t>
      </w:r>
      <w:r w:rsidRPr="00452352">
        <w:rPr>
          <w:rFonts w:ascii="Times New Roman" w:eastAsia="Times New Roman" w:hAnsi="Times New Roman" w:cs="Times New Roman"/>
          <w:color w:val="000000" w:themeColor="text1"/>
          <w:sz w:val="24"/>
          <w:szCs w:val="24"/>
          <w:vertAlign w:val="subscript"/>
          <w:lang w:val="en-US" w:eastAsia="de-DE"/>
        </w:rPr>
        <w:t>9-12</w:t>
      </w:r>
      <w:r w:rsidRPr="00452352">
        <w:rPr>
          <w:rFonts w:ascii="Times New Roman" w:eastAsia="Times New Roman" w:hAnsi="Times New Roman" w:cs="Times New Roman"/>
          <w:color w:val="000000" w:themeColor="text1"/>
          <w:sz w:val="24"/>
          <w:szCs w:val="24"/>
          <w:lang w:val="en-US" w:eastAsia="de-DE"/>
        </w:rPr>
        <w:t>, d</w:t>
      </w:r>
      <w:r w:rsidRPr="00452352">
        <w:rPr>
          <w:rFonts w:ascii="Times New Roman" w:eastAsia="Times New Roman" w:hAnsi="Times New Roman" w:cs="Times New Roman"/>
          <w:color w:val="000000" w:themeColor="text1"/>
          <w:sz w:val="24"/>
          <w:szCs w:val="24"/>
          <w:vertAlign w:val="subscript"/>
          <w:lang w:val="en-US" w:eastAsia="de-DE"/>
        </w:rPr>
        <w:t>13-15</w:t>
      </w:r>
      <w:r w:rsidRPr="00452352">
        <w:rPr>
          <w:rFonts w:ascii="Times New Roman" w:eastAsia="Times New Roman" w:hAnsi="Times New Roman" w:cs="Times New Roman"/>
          <w:color w:val="000000" w:themeColor="text1"/>
          <w:sz w:val="24"/>
          <w:szCs w:val="24"/>
          <w:lang w:val="en-US" w:eastAsia="de-DE"/>
        </w:rPr>
        <w:t>) and late (LP: d</w:t>
      </w:r>
      <w:r w:rsidRPr="00452352">
        <w:rPr>
          <w:rFonts w:ascii="Times New Roman" w:eastAsia="Times New Roman" w:hAnsi="Times New Roman" w:cs="Times New Roman"/>
          <w:color w:val="000000" w:themeColor="text1"/>
          <w:sz w:val="24"/>
          <w:szCs w:val="24"/>
          <w:vertAlign w:val="subscript"/>
          <w:lang w:val="en-US" w:eastAsia="de-DE"/>
        </w:rPr>
        <w:t>16-21</w:t>
      </w:r>
      <w:r w:rsidRPr="00452352">
        <w:rPr>
          <w:rFonts w:ascii="Times New Roman" w:eastAsia="Times New Roman" w:hAnsi="Times New Roman" w:cs="Times New Roman"/>
          <w:color w:val="000000" w:themeColor="text1"/>
          <w:sz w:val="24"/>
          <w:szCs w:val="24"/>
          <w:lang w:val="en-US" w:eastAsia="de-DE"/>
        </w:rPr>
        <w:t xml:space="preserve">) phase after aSAH onset. </w:t>
      </w:r>
      <w:r w:rsidR="00EC7D66" w:rsidRPr="00452352">
        <w:rPr>
          <w:rFonts w:ascii="Times New Roman" w:hAnsi="Times New Roman" w:cs="Times New Roman"/>
          <w:bCs/>
          <w:color w:val="000000" w:themeColor="text1"/>
          <w:sz w:val="24"/>
          <w:szCs w:val="24"/>
          <w:lang w:val="en-US"/>
        </w:rPr>
        <w:t>Associations between cDPP3 levels and demographic or clinical parameters were evaluated. The relations between cDPP3 levels and DCI, DCI-related infarctions and long-term clinical outcomes were examined by receiver operating characteristics (ROC) curve analysis and multivariate logistic regression.</w:t>
      </w:r>
    </w:p>
    <w:p w14:paraId="24A997C2" w14:textId="77777777" w:rsidR="007D0E5D" w:rsidRDefault="007D0E5D" w:rsidP="009E672A">
      <w:pPr>
        <w:spacing w:after="0" w:line="360" w:lineRule="atLeast"/>
        <w:jc w:val="both"/>
        <w:rPr>
          <w:rFonts w:ascii="Times New Roman" w:eastAsia="Times New Roman" w:hAnsi="Times New Roman" w:cs="Times New Roman"/>
          <w:b/>
          <w:bCs/>
          <w:color w:val="000000"/>
          <w:sz w:val="24"/>
          <w:szCs w:val="24"/>
          <w:lang w:val="en-US" w:eastAsia="de-DE"/>
        </w:rPr>
      </w:pPr>
    </w:p>
    <w:p w14:paraId="1EBA8BE1" w14:textId="20DBA083" w:rsidR="009E672A" w:rsidRDefault="009E672A" w:rsidP="009E672A">
      <w:pPr>
        <w:spacing w:after="0" w:line="360" w:lineRule="atLeast"/>
        <w:jc w:val="both"/>
        <w:rPr>
          <w:rFonts w:ascii="Times New Roman" w:eastAsia="Times New Roman" w:hAnsi="Times New Roman" w:cs="Times New Roman"/>
          <w:b/>
          <w:bCs/>
          <w:color w:val="000000"/>
          <w:sz w:val="24"/>
          <w:szCs w:val="24"/>
          <w:lang w:val="en-US" w:eastAsia="de-DE"/>
        </w:rPr>
      </w:pPr>
      <w:r w:rsidRPr="009E672A">
        <w:rPr>
          <w:rFonts w:ascii="Times New Roman" w:eastAsia="Times New Roman" w:hAnsi="Times New Roman" w:cs="Times New Roman"/>
          <w:b/>
          <w:bCs/>
          <w:color w:val="000000"/>
          <w:sz w:val="24"/>
          <w:szCs w:val="24"/>
          <w:lang w:val="en-US" w:eastAsia="de-DE"/>
        </w:rPr>
        <w:t>Results</w:t>
      </w:r>
    </w:p>
    <w:p w14:paraId="09C1045A" w14:textId="5FF0F342" w:rsidR="009E672A" w:rsidRPr="00452352" w:rsidRDefault="009E672A" w:rsidP="009E672A">
      <w:pPr>
        <w:spacing w:after="0" w:line="360" w:lineRule="atLeast"/>
        <w:jc w:val="both"/>
        <w:rPr>
          <w:rFonts w:ascii="Times New Roman" w:eastAsia="Times New Roman" w:hAnsi="Times New Roman" w:cs="Times New Roman"/>
          <w:color w:val="000000" w:themeColor="text1"/>
          <w:sz w:val="24"/>
          <w:szCs w:val="24"/>
          <w:lang w:val="en-US" w:eastAsia="de-DE"/>
        </w:rPr>
      </w:pPr>
      <w:r w:rsidRPr="00452352">
        <w:rPr>
          <w:rFonts w:ascii="Times New Roman" w:eastAsia="Times New Roman" w:hAnsi="Times New Roman" w:cs="Times New Roman"/>
          <w:color w:val="000000" w:themeColor="text1"/>
          <w:sz w:val="24"/>
          <w:szCs w:val="24"/>
          <w:lang w:val="en-US" w:eastAsia="de-DE"/>
        </w:rPr>
        <w:t>Significantly higher cDPP3 levels during CP (d</w:t>
      </w:r>
      <w:r w:rsidRPr="00452352">
        <w:rPr>
          <w:rFonts w:ascii="Times New Roman" w:eastAsia="Times New Roman" w:hAnsi="Times New Roman" w:cs="Times New Roman"/>
          <w:color w:val="000000" w:themeColor="text1"/>
          <w:sz w:val="24"/>
          <w:szCs w:val="24"/>
          <w:vertAlign w:val="subscript"/>
          <w:lang w:val="en-US" w:eastAsia="de-DE"/>
        </w:rPr>
        <w:t>5-8</w:t>
      </w:r>
      <w:r w:rsidRPr="00452352">
        <w:rPr>
          <w:rFonts w:ascii="Times New Roman" w:eastAsia="Times New Roman" w:hAnsi="Times New Roman" w:cs="Times New Roman"/>
          <w:color w:val="000000" w:themeColor="text1"/>
          <w:sz w:val="24"/>
          <w:szCs w:val="24"/>
          <w:lang w:val="en-US" w:eastAsia="de-DE"/>
        </w:rPr>
        <w:t>, d</w:t>
      </w:r>
      <w:r w:rsidRPr="00452352">
        <w:rPr>
          <w:rFonts w:ascii="Times New Roman" w:eastAsia="Times New Roman" w:hAnsi="Times New Roman" w:cs="Times New Roman"/>
          <w:color w:val="000000" w:themeColor="text1"/>
          <w:sz w:val="24"/>
          <w:szCs w:val="24"/>
          <w:vertAlign w:val="subscript"/>
          <w:lang w:val="en-US" w:eastAsia="de-DE"/>
        </w:rPr>
        <w:t>9-12</w:t>
      </w:r>
      <w:r w:rsidRPr="00452352">
        <w:rPr>
          <w:rFonts w:ascii="Times New Roman" w:eastAsia="Times New Roman" w:hAnsi="Times New Roman" w:cs="Times New Roman"/>
          <w:color w:val="000000" w:themeColor="text1"/>
          <w:sz w:val="24"/>
          <w:szCs w:val="24"/>
          <w:lang w:val="en-US" w:eastAsia="de-DE"/>
        </w:rPr>
        <w:t>, d</w:t>
      </w:r>
      <w:r w:rsidRPr="00452352">
        <w:rPr>
          <w:rFonts w:ascii="Times New Roman" w:eastAsia="Times New Roman" w:hAnsi="Times New Roman" w:cs="Times New Roman"/>
          <w:color w:val="000000" w:themeColor="text1"/>
          <w:sz w:val="24"/>
          <w:szCs w:val="24"/>
          <w:vertAlign w:val="subscript"/>
          <w:lang w:val="en-US" w:eastAsia="de-DE"/>
        </w:rPr>
        <w:t>13-15</w:t>
      </w:r>
      <w:r w:rsidRPr="00452352">
        <w:rPr>
          <w:rFonts w:ascii="Times New Roman" w:eastAsia="Times New Roman" w:hAnsi="Times New Roman" w:cs="Times New Roman"/>
          <w:color w:val="000000" w:themeColor="text1"/>
          <w:sz w:val="24"/>
          <w:szCs w:val="24"/>
          <w:lang w:val="en-US" w:eastAsia="de-DE"/>
        </w:rPr>
        <w:t>) were observed in patients with poor clinical (p&lt;0.001 to p=0.033) or radiological (p=0.012 to p=0.039) status on admission, DCI (p&lt;0.001 to p=0.001), DCI-related infarctions (p=0.002 to p=0.007), and poorer long-term outcome (p=0.007 to p=0.019). ROC curve analysis indicated that higher cDPP3 levels on d</w:t>
      </w:r>
      <w:r w:rsidRPr="00452352">
        <w:rPr>
          <w:rFonts w:ascii="Times New Roman" w:eastAsia="Times New Roman" w:hAnsi="Times New Roman" w:cs="Times New Roman"/>
          <w:color w:val="000000" w:themeColor="text1"/>
          <w:sz w:val="24"/>
          <w:szCs w:val="24"/>
          <w:vertAlign w:val="subscript"/>
          <w:lang w:val="en-US" w:eastAsia="de-DE"/>
        </w:rPr>
        <w:t>5-8</w:t>
      </w:r>
      <w:r w:rsidRPr="00452352">
        <w:rPr>
          <w:rFonts w:ascii="Times New Roman" w:eastAsia="Times New Roman" w:hAnsi="Times New Roman" w:cs="Times New Roman"/>
          <w:color w:val="000000" w:themeColor="text1"/>
          <w:sz w:val="24"/>
          <w:szCs w:val="24"/>
          <w:lang w:val="en-US" w:eastAsia="de-DE"/>
        </w:rPr>
        <w:t> are predictive for a poor clinical outcome (</w:t>
      </w:r>
      <w:r w:rsidR="00B708DA" w:rsidRPr="00452352">
        <w:rPr>
          <w:rFonts w:ascii="Times New Roman" w:eastAsia="Times New Roman" w:hAnsi="Times New Roman" w:cs="Times New Roman"/>
          <w:color w:val="000000" w:themeColor="text1"/>
          <w:sz w:val="24"/>
          <w:szCs w:val="24"/>
          <w:lang w:val="en-US" w:eastAsia="de-DE"/>
        </w:rPr>
        <w:t>area under the curve</w:t>
      </w:r>
      <w:r w:rsidRPr="00452352">
        <w:rPr>
          <w:rFonts w:ascii="Times New Roman" w:eastAsia="Times New Roman" w:hAnsi="Times New Roman" w:cs="Times New Roman"/>
          <w:color w:val="000000" w:themeColor="text1"/>
          <w:sz w:val="24"/>
          <w:szCs w:val="24"/>
          <w:lang w:val="en-US" w:eastAsia="de-DE"/>
        </w:rPr>
        <w:t>=0.677, p=0.007). In multivariate analysis, there was an independent association between cDPP3 levels on d</w:t>
      </w:r>
      <w:r w:rsidRPr="00452352">
        <w:rPr>
          <w:rFonts w:ascii="Times New Roman" w:eastAsia="Times New Roman" w:hAnsi="Times New Roman" w:cs="Times New Roman"/>
          <w:color w:val="000000" w:themeColor="text1"/>
          <w:sz w:val="24"/>
          <w:szCs w:val="24"/>
          <w:vertAlign w:val="subscript"/>
          <w:lang w:val="en-US" w:eastAsia="de-DE"/>
        </w:rPr>
        <w:t>5-8</w:t>
      </w:r>
      <w:r w:rsidRPr="00452352">
        <w:rPr>
          <w:rFonts w:ascii="Times New Roman" w:eastAsia="Times New Roman" w:hAnsi="Times New Roman" w:cs="Times New Roman"/>
          <w:color w:val="000000" w:themeColor="text1"/>
          <w:sz w:val="24"/>
          <w:szCs w:val="24"/>
          <w:lang w:val="en-US" w:eastAsia="de-DE"/>
        </w:rPr>
        <w:t> and development of DCI-related infarctions (p=0.038).</w:t>
      </w:r>
    </w:p>
    <w:p w14:paraId="7C4C3C6B" w14:textId="77777777" w:rsidR="007D0E5D" w:rsidRDefault="007D0E5D" w:rsidP="009E672A">
      <w:pPr>
        <w:spacing w:after="0" w:line="360" w:lineRule="atLeast"/>
        <w:jc w:val="both"/>
        <w:rPr>
          <w:rFonts w:ascii="Times New Roman" w:eastAsia="Times New Roman" w:hAnsi="Times New Roman" w:cs="Times New Roman"/>
          <w:b/>
          <w:bCs/>
          <w:color w:val="000000"/>
          <w:sz w:val="24"/>
          <w:szCs w:val="24"/>
          <w:lang w:val="en-US" w:eastAsia="de-DE"/>
        </w:rPr>
      </w:pPr>
    </w:p>
    <w:p w14:paraId="69575FB4" w14:textId="30F9DAD0" w:rsidR="009E672A" w:rsidRDefault="009E672A" w:rsidP="009E672A">
      <w:pPr>
        <w:spacing w:after="0" w:line="360" w:lineRule="atLeast"/>
        <w:jc w:val="both"/>
        <w:rPr>
          <w:rFonts w:ascii="Times New Roman" w:eastAsia="Times New Roman" w:hAnsi="Times New Roman" w:cs="Times New Roman"/>
          <w:b/>
          <w:bCs/>
          <w:color w:val="000000"/>
          <w:sz w:val="24"/>
          <w:szCs w:val="24"/>
          <w:lang w:val="en-US" w:eastAsia="de-DE"/>
        </w:rPr>
      </w:pPr>
      <w:r w:rsidRPr="009E672A">
        <w:rPr>
          <w:rFonts w:ascii="Times New Roman" w:eastAsia="Times New Roman" w:hAnsi="Times New Roman" w:cs="Times New Roman"/>
          <w:b/>
          <w:bCs/>
          <w:color w:val="000000"/>
          <w:sz w:val="24"/>
          <w:szCs w:val="24"/>
          <w:lang w:val="en-US" w:eastAsia="de-DE"/>
        </w:rPr>
        <w:t>Conclusion</w:t>
      </w:r>
    </w:p>
    <w:p w14:paraId="4CD0ACB6" w14:textId="192FC2F9" w:rsidR="009E672A" w:rsidRPr="009E672A" w:rsidRDefault="009E672A" w:rsidP="009E672A">
      <w:pPr>
        <w:spacing w:after="0" w:line="360" w:lineRule="atLeast"/>
        <w:jc w:val="both"/>
        <w:rPr>
          <w:rFonts w:ascii="Times New Roman" w:eastAsia="Times New Roman" w:hAnsi="Times New Roman" w:cs="Times New Roman"/>
          <w:color w:val="000000"/>
          <w:sz w:val="24"/>
          <w:szCs w:val="24"/>
          <w:lang w:val="en-US" w:eastAsia="de-DE"/>
        </w:rPr>
      </w:pPr>
      <w:r w:rsidRPr="009E672A">
        <w:rPr>
          <w:rFonts w:ascii="Times New Roman" w:eastAsia="Times New Roman" w:hAnsi="Times New Roman" w:cs="Times New Roman"/>
          <w:color w:val="000000"/>
          <w:sz w:val="24"/>
          <w:szCs w:val="24"/>
          <w:lang w:val="en-US" w:eastAsia="de-DE"/>
        </w:rPr>
        <w:t>Our results provide first evidence that cDPP3 could serve as a promising biomarker for early diagnosis of DCI-related infarctions in poor grade aSAH patients.</w:t>
      </w:r>
    </w:p>
    <w:p w14:paraId="6D67FDBF" w14:textId="5C14B65B" w:rsidR="00CB51DF" w:rsidRDefault="00CB51DF" w:rsidP="00EC4E1E">
      <w:pPr>
        <w:spacing w:after="0" w:line="360" w:lineRule="auto"/>
        <w:jc w:val="both"/>
        <w:rPr>
          <w:rFonts w:ascii="Times New Roman" w:hAnsi="Times New Roman" w:cs="Times New Roman"/>
          <w:lang w:val="en-US"/>
        </w:rPr>
      </w:pPr>
    </w:p>
    <w:p w14:paraId="21A4B400" w14:textId="77777777" w:rsidR="00701EA5" w:rsidRDefault="00701EA5" w:rsidP="00EC4E1E">
      <w:pPr>
        <w:spacing w:after="0" w:line="360" w:lineRule="auto"/>
        <w:jc w:val="both"/>
        <w:rPr>
          <w:rFonts w:ascii="Times New Roman" w:hAnsi="Times New Roman" w:cs="Times New Roman"/>
          <w:lang w:val="en-US"/>
        </w:rPr>
      </w:pPr>
    </w:p>
    <w:p w14:paraId="38E675B0" w14:textId="77777777" w:rsidR="003653C7" w:rsidRDefault="003653C7" w:rsidP="00EC4E1E">
      <w:pPr>
        <w:spacing w:after="0" w:line="360" w:lineRule="auto"/>
        <w:jc w:val="both"/>
        <w:rPr>
          <w:rFonts w:ascii="Times New Roman" w:hAnsi="Times New Roman" w:cs="Times New Roman"/>
          <w:lang w:val="en-US"/>
        </w:rPr>
      </w:pPr>
    </w:p>
    <w:p w14:paraId="681AFC3C" w14:textId="1CB12DFA" w:rsidR="006C1139" w:rsidRPr="002A5C3F" w:rsidRDefault="007D778D" w:rsidP="006C1139">
      <w:pPr>
        <w:spacing w:after="0" w:line="360" w:lineRule="auto"/>
        <w:rPr>
          <w:rFonts w:ascii="Times New Roman" w:hAnsi="Times New Roman" w:cs="Times New Roman"/>
          <w:b/>
          <w:sz w:val="28"/>
          <w:szCs w:val="28"/>
          <w:lang w:val="en-US"/>
        </w:rPr>
      </w:pPr>
      <w:r>
        <w:rPr>
          <w:rFonts w:ascii="Times New Roman" w:hAnsi="Times New Roman" w:cs="Times New Roman"/>
          <w:b/>
          <w:sz w:val="28"/>
          <w:szCs w:val="28"/>
          <w:lang w:val="en-US"/>
        </w:rPr>
        <w:br w:type="column"/>
      </w:r>
      <w:r w:rsidR="006C1139" w:rsidRPr="002A5C3F">
        <w:rPr>
          <w:rFonts w:ascii="Times New Roman" w:hAnsi="Times New Roman" w:cs="Times New Roman"/>
          <w:b/>
          <w:sz w:val="28"/>
          <w:szCs w:val="28"/>
          <w:lang w:val="en-US"/>
        </w:rPr>
        <w:lastRenderedPageBreak/>
        <w:t>Introduction</w:t>
      </w:r>
    </w:p>
    <w:p w14:paraId="2191C1D6" w14:textId="4A4F928C" w:rsidR="007A07A1" w:rsidRDefault="00B03BC4" w:rsidP="00250918">
      <w:pPr>
        <w:spacing w:line="360" w:lineRule="auto"/>
        <w:jc w:val="both"/>
        <w:rPr>
          <w:rFonts w:ascii="Times New Roman" w:hAnsi="Times New Roman" w:cs="Times New Roman"/>
          <w:lang w:val="en-US"/>
        </w:rPr>
      </w:pPr>
      <w:r>
        <w:rPr>
          <w:rFonts w:ascii="Times New Roman" w:hAnsi="Times New Roman" w:cs="Times New Roman"/>
          <w:lang w:val="en-US"/>
        </w:rPr>
        <w:t>A</w:t>
      </w:r>
      <w:r w:rsidR="006C1139" w:rsidRPr="006C1139">
        <w:rPr>
          <w:rFonts w:ascii="Times New Roman" w:hAnsi="Times New Roman" w:cs="Times New Roman"/>
          <w:lang w:val="en-US"/>
        </w:rPr>
        <w:t>neurysmal subarachnoid hemorrhage (</w:t>
      </w:r>
      <w:r w:rsidR="000E5F8F">
        <w:rPr>
          <w:rFonts w:ascii="Times New Roman" w:hAnsi="Times New Roman" w:cs="Times New Roman"/>
          <w:lang w:val="en-US"/>
        </w:rPr>
        <w:t>a</w:t>
      </w:r>
      <w:r w:rsidR="006C1139" w:rsidRPr="006C1139">
        <w:rPr>
          <w:rFonts w:ascii="Times New Roman" w:hAnsi="Times New Roman" w:cs="Times New Roman"/>
          <w:lang w:val="en-US"/>
        </w:rPr>
        <w:t>SAH)</w:t>
      </w:r>
      <w:r w:rsidR="005C7B5E">
        <w:rPr>
          <w:rFonts w:ascii="Times New Roman" w:hAnsi="Times New Roman" w:cs="Times New Roman"/>
          <w:lang w:val="en-US"/>
        </w:rPr>
        <w:t xml:space="preserve"> </w:t>
      </w:r>
      <w:r w:rsidR="00273657">
        <w:rPr>
          <w:rFonts w:ascii="Times New Roman" w:hAnsi="Times New Roman" w:cs="Times New Roman"/>
          <w:lang w:val="en-US"/>
        </w:rPr>
        <w:t>due to</w:t>
      </w:r>
      <w:r>
        <w:rPr>
          <w:rFonts w:ascii="Times New Roman" w:hAnsi="Times New Roman" w:cs="Times New Roman"/>
          <w:lang w:val="en-US"/>
        </w:rPr>
        <w:t xml:space="preserve"> </w:t>
      </w:r>
      <w:r w:rsidR="00D24A9B">
        <w:rPr>
          <w:rFonts w:ascii="Times New Roman" w:hAnsi="Times New Roman" w:cs="Times New Roman"/>
          <w:lang w:val="en-US"/>
        </w:rPr>
        <w:t xml:space="preserve">aneurysm </w:t>
      </w:r>
      <w:r>
        <w:rPr>
          <w:rFonts w:ascii="Times New Roman" w:hAnsi="Times New Roman" w:cs="Times New Roman"/>
          <w:lang w:val="en-US"/>
        </w:rPr>
        <w:t xml:space="preserve">rupture </w:t>
      </w:r>
      <w:r w:rsidR="00A60BD4">
        <w:rPr>
          <w:rFonts w:ascii="Times New Roman" w:hAnsi="Times New Roman" w:cs="Times New Roman"/>
          <w:lang w:val="en-US"/>
        </w:rPr>
        <w:t xml:space="preserve">in the brain </w:t>
      </w:r>
      <w:r w:rsidR="00273657">
        <w:rPr>
          <w:rFonts w:ascii="Times New Roman" w:hAnsi="Times New Roman" w:cs="Times New Roman"/>
          <w:lang w:val="en-US"/>
        </w:rPr>
        <w:t xml:space="preserve">and </w:t>
      </w:r>
      <w:r>
        <w:rPr>
          <w:rFonts w:ascii="Times New Roman" w:hAnsi="Times New Roman" w:cs="Times New Roman"/>
          <w:lang w:val="en-US"/>
        </w:rPr>
        <w:t>extravasation of blood into the subarachnoid space</w:t>
      </w:r>
      <w:r w:rsidR="005C7B5E">
        <w:rPr>
          <w:rFonts w:ascii="Times New Roman" w:hAnsi="Times New Roman" w:cs="Times New Roman"/>
          <w:lang w:val="en-US"/>
        </w:rPr>
        <w:t xml:space="preserve"> </w:t>
      </w:r>
      <w:r>
        <w:rPr>
          <w:rFonts w:ascii="Times New Roman" w:hAnsi="Times New Roman" w:cs="Times New Roman"/>
          <w:lang w:val="en-US"/>
        </w:rPr>
        <w:t xml:space="preserve">accounts for only </w:t>
      </w:r>
      <w:r w:rsidR="00107C34">
        <w:rPr>
          <w:rFonts w:ascii="Times New Roman" w:hAnsi="Times New Roman" w:cs="Times New Roman"/>
          <w:lang w:val="en-US"/>
        </w:rPr>
        <w:t xml:space="preserve">about </w:t>
      </w:r>
      <w:r>
        <w:rPr>
          <w:rFonts w:ascii="Times New Roman" w:hAnsi="Times New Roman" w:cs="Times New Roman"/>
          <w:lang w:val="en-US"/>
        </w:rPr>
        <w:t>5</w:t>
      </w:r>
      <w:r w:rsidR="00C617EF">
        <w:rPr>
          <w:rFonts w:ascii="Times New Roman" w:hAnsi="Times New Roman" w:cs="Times New Roman"/>
          <w:lang w:val="en-US"/>
        </w:rPr>
        <w:t>-7</w:t>
      </w:r>
      <w:r>
        <w:rPr>
          <w:rFonts w:ascii="Times New Roman" w:hAnsi="Times New Roman" w:cs="Times New Roman"/>
          <w:lang w:val="en-US"/>
        </w:rPr>
        <w:t>% of all st</w:t>
      </w:r>
      <w:r w:rsidR="009D2A20">
        <w:rPr>
          <w:rFonts w:ascii="Times New Roman" w:hAnsi="Times New Roman" w:cs="Times New Roman"/>
          <w:lang w:val="en-US"/>
        </w:rPr>
        <w:t>r</w:t>
      </w:r>
      <w:r>
        <w:rPr>
          <w:rFonts w:ascii="Times New Roman" w:hAnsi="Times New Roman" w:cs="Times New Roman"/>
          <w:lang w:val="en-US"/>
        </w:rPr>
        <w:t>okes</w:t>
      </w:r>
      <w:r w:rsidR="005C7B5E">
        <w:rPr>
          <w:rFonts w:ascii="Times New Roman" w:hAnsi="Times New Roman" w:cs="Times New Roman"/>
          <w:lang w:val="en-US"/>
        </w:rPr>
        <w:t xml:space="preserve"> but</w:t>
      </w:r>
      <w:r>
        <w:rPr>
          <w:rFonts w:ascii="Times New Roman" w:hAnsi="Times New Roman" w:cs="Times New Roman"/>
          <w:lang w:val="en-US"/>
        </w:rPr>
        <w:t xml:space="preserve"> often occurs at a relatively young age</w:t>
      </w:r>
      <w:r w:rsidR="008320A2">
        <w:rPr>
          <w:rFonts w:ascii="Times New Roman" w:hAnsi="Times New Roman" w:cs="Times New Roman"/>
          <w:lang w:val="en-US"/>
        </w:rPr>
        <w:t xml:space="preserve"> </w:t>
      </w:r>
      <w:r w:rsidR="00C617EF">
        <w:rPr>
          <w:rFonts w:ascii="Times New Roman" w:hAnsi="Times New Roman" w:cs="Times New Roman"/>
          <w:lang w:val="en-US"/>
        </w:rPr>
        <w:fldChar w:fldCharType="begin" w:fldLock="1"/>
      </w:r>
      <w:r w:rsidR="00CF4681">
        <w:rPr>
          <w:rFonts w:ascii="Times New Roman" w:hAnsi="Times New Roman" w:cs="Times New Roman"/>
          <w:lang w:val="en-US"/>
        </w:rPr>
        <w:instrText>ADDIN CSL_CITATION {"citationItems":[{"id":"ITEM-1","itemData":{"DOI":"10.2165/00002512-200017030-00003","ISSN":"1170-229X","author":[{"dropping-particle":"","family":"Kaptain","given":"George J.","non-dropping-particle":"","parse-names":false,"suffix":""},{"dropping-particle":"","family":"Lanzino","given":"Giuseppe","non-dropping-particle":"","parse-names":false,"suffix":""},{"dropping-particle":"","family":"Kassell","given":"Neal F.","non-dropping-particle":"","parse-names":false,"suffix":""}],"container-title":"Drugs &amp; Aging","id":"ITEM-1","issue":"3","issued":{"date-parts":[["2000","9"]]},"page":"183-199","title":"Subarachnoid haemorrhage: Epidemiology, risk factors, and treatment options.","type":"article-journal","volume":"17"},"uris":["http://www.mendeley.com/documents/?uuid=f0a28be1-4785-42b9-a165-24bcbc80a1e5"]}],"mendeley":{"formattedCitation":"[1]","plainTextFormattedCitation":"[1]","previouslyFormattedCitation":"[1]"},"properties":{"noteIndex":0},"schema":"https://github.com/citation-style-language/schema/raw/master/csl-citation.json"}</w:instrText>
      </w:r>
      <w:r w:rsidR="00C617EF">
        <w:rPr>
          <w:rFonts w:ascii="Times New Roman" w:hAnsi="Times New Roman" w:cs="Times New Roman"/>
          <w:lang w:val="en-US"/>
        </w:rPr>
        <w:fldChar w:fldCharType="separate"/>
      </w:r>
      <w:r w:rsidR="008320A2" w:rsidRPr="008320A2">
        <w:rPr>
          <w:rFonts w:ascii="Times New Roman" w:hAnsi="Times New Roman" w:cs="Times New Roman"/>
          <w:noProof/>
          <w:lang w:val="en-US"/>
        </w:rPr>
        <w:t>[1]</w:t>
      </w:r>
      <w:r w:rsidR="00C617EF">
        <w:rPr>
          <w:rFonts w:ascii="Times New Roman" w:hAnsi="Times New Roman" w:cs="Times New Roman"/>
          <w:lang w:val="en-US"/>
        </w:rPr>
        <w:fldChar w:fldCharType="end"/>
      </w:r>
      <w:r w:rsidR="005C7B5E">
        <w:rPr>
          <w:rFonts w:ascii="Times New Roman" w:hAnsi="Times New Roman" w:cs="Times New Roman"/>
          <w:lang w:val="en-US"/>
        </w:rPr>
        <w:t xml:space="preserve">. In addition, </w:t>
      </w:r>
      <w:r w:rsidR="000E5F8F">
        <w:rPr>
          <w:rFonts w:ascii="Times New Roman" w:hAnsi="Times New Roman" w:cs="Times New Roman"/>
          <w:lang w:val="en-US"/>
        </w:rPr>
        <w:t>a</w:t>
      </w:r>
      <w:r w:rsidR="005C7B5E">
        <w:rPr>
          <w:rFonts w:ascii="Times New Roman" w:hAnsi="Times New Roman" w:cs="Times New Roman"/>
          <w:lang w:val="en-US"/>
        </w:rPr>
        <w:t>SAH</w:t>
      </w:r>
      <w:r>
        <w:rPr>
          <w:rFonts w:ascii="Times New Roman" w:hAnsi="Times New Roman" w:cs="Times New Roman"/>
          <w:lang w:val="en-US"/>
        </w:rPr>
        <w:t xml:space="preserve"> is characterized by very high mortality and morbidity</w:t>
      </w:r>
      <w:r w:rsidR="006D1D3D">
        <w:rPr>
          <w:rFonts w:ascii="Times New Roman" w:hAnsi="Times New Roman" w:cs="Times New Roman"/>
          <w:lang w:val="en-US"/>
        </w:rPr>
        <w:t xml:space="preserve"> due to its complex pathophysiology </w:t>
      </w:r>
      <w:r>
        <w:rPr>
          <w:rFonts w:ascii="Times New Roman" w:hAnsi="Times New Roman" w:cs="Times New Roman"/>
          <w:lang w:val="en-US"/>
        </w:rPr>
        <w:t xml:space="preserve">with early and delayed </w:t>
      </w:r>
      <w:r w:rsidR="006D1D3D">
        <w:rPr>
          <w:rFonts w:ascii="Times New Roman" w:hAnsi="Times New Roman" w:cs="Times New Roman"/>
          <w:lang w:val="en-US"/>
        </w:rPr>
        <w:t xml:space="preserve">mechanisms of </w:t>
      </w:r>
      <w:r>
        <w:rPr>
          <w:rFonts w:ascii="Times New Roman" w:hAnsi="Times New Roman" w:cs="Times New Roman"/>
          <w:lang w:val="en-US"/>
        </w:rPr>
        <w:t>brain damage</w:t>
      </w:r>
      <w:r w:rsidR="006D1D3D">
        <w:rPr>
          <w:rFonts w:ascii="Times New Roman" w:hAnsi="Times New Roman" w:cs="Times New Roman"/>
          <w:lang w:val="en-US"/>
        </w:rPr>
        <w:t>.</w:t>
      </w:r>
      <w:r>
        <w:rPr>
          <w:rFonts w:ascii="Times New Roman" w:hAnsi="Times New Roman" w:cs="Times New Roman"/>
          <w:lang w:val="en-US"/>
        </w:rPr>
        <w:t xml:space="preserve"> In the first 24-72 hour</w:t>
      </w:r>
      <w:r w:rsidR="007639B5">
        <w:rPr>
          <w:rFonts w:ascii="Times New Roman" w:hAnsi="Times New Roman" w:cs="Times New Roman"/>
          <w:lang w:val="en-US"/>
        </w:rPr>
        <w:t>s</w:t>
      </w:r>
      <w:r>
        <w:rPr>
          <w:rFonts w:ascii="Times New Roman" w:hAnsi="Times New Roman" w:cs="Times New Roman"/>
          <w:lang w:val="en-US"/>
        </w:rPr>
        <w:t xml:space="preserve"> after </w:t>
      </w:r>
      <w:r w:rsidR="000E5F8F">
        <w:rPr>
          <w:rFonts w:ascii="Times New Roman" w:hAnsi="Times New Roman" w:cs="Times New Roman"/>
          <w:lang w:val="en-US"/>
        </w:rPr>
        <w:t>a</w:t>
      </w:r>
      <w:r>
        <w:rPr>
          <w:rFonts w:ascii="Times New Roman" w:hAnsi="Times New Roman" w:cs="Times New Roman"/>
          <w:lang w:val="en-US"/>
        </w:rPr>
        <w:t xml:space="preserve">SAH onset, </w:t>
      </w:r>
      <w:r w:rsidR="007A07A1">
        <w:rPr>
          <w:rFonts w:ascii="Times New Roman" w:hAnsi="Times New Roman" w:cs="Times New Roman"/>
          <w:lang w:val="en-US"/>
        </w:rPr>
        <w:t xml:space="preserve">increased intracranial pressure, </w:t>
      </w:r>
      <w:r>
        <w:rPr>
          <w:rFonts w:ascii="Times New Roman" w:hAnsi="Times New Roman" w:cs="Times New Roman"/>
          <w:lang w:val="en-US"/>
        </w:rPr>
        <w:t>decreased cerebral perfusion</w:t>
      </w:r>
      <w:r w:rsidR="006056B4">
        <w:rPr>
          <w:rFonts w:ascii="Times New Roman" w:hAnsi="Times New Roman" w:cs="Times New Roman"/>
          <w:lang w:val="en-US"/>
        </w:rPr>
        <w:t>, and transient or persistent cerebral ischemia result in early brain injury (EBI)</w:t>
      </w:r>
      <w:r w:rsidR="008320A2">
        <w:rPr>
          <w:rFonts w:ascii="Times New Roman" w:hAnsi="Times New Roman" w:cs="Times New Roman"/>
          <w:lang w:val="en-US"/>
        </w:rPr>
        <w:t xml:space="preserve"> </w:t>
      </w:r>
      <w:r w:rsidR="0039403A">
        <w:rPr>
          <w:rFonts w:ascii="Times New Roman" w:hAnsi="Times New Roman" w:cs="Times New Roman"/>
          <w:lang w:val="en-US"/>
        </w:rPr>
        <w:fldChar w:fldCharType="begin" w:fldLock="1"/>
      </w:r>
      <w:r w:rsidR="00CF4681">
        <w:rPr>
          <w:rFonts w:ascii="Times New Roman" w:hAnsi="Times New Roman" w:cs="Times New Roman"/>
          <w:lang w:val="en-US"/>
        </w:rPr>
        <w:instrText>ADDIN CSL_CITATION {"citationItems":[{"id":"ITEM-1","itemData":{"DOI":"10.1007/s12975-013-0257-2","ISSN":"1868-4483","author":[{"dropping-particle":"","family":"Fujii","given":"Mutsumi","non-dropping-particle":"","parse-names":false,"suffix":""},{"dropping-particle":"","family":"Yan","given":"Junhao","non-dropping-particle":"","parse-names":false,"suffix":""},{"dropping-particle":"","family":"Rolland","given":"William B.","non-dropping-particle":"","parse-names":false,"suffix":""},{"dropping-particle":"","family":"Soejima","given":"Yoshiteru","non-dropping-particle":"","parse-names":false,"suffix":""},{"dropping-particle":"","family":"Caner","given":"Basak","non-dropping-particle":"","parse-names":false,"suffix":""},{"dropping-particle":"","family":"Zhang","given":"John H.","non-dropping-particle":"","parse-names":false,"suffix":""}],"container-title":"Translational Stroke Research","id":"ITEM-1","issue":"4","issued":{"date-parts":[["2013","8","8"]]},"page":"432-446","title":"Early Brain Injury, an Evolving Frontier in Subarachnoid Hemorrhage Research","type":"article-journal","volume":"4"},"uris":["http://www.mendeley.com/documents/?uuid=499c44b3-7ff6-480a-a590-3d654fafa87e"]}],"mendeley":{"formattedCitation":"[2]","plainTextFormattedCitation":"[2]","previouslyFormattedCitation":"[2]"},"properties":{"noteIndex":0},"schema":"https://github.com/citation-style-language/schema/raw/master/csl-citation.json"}</w:instrText>
      </w:r>
      <w:r w:rsidR="0039403A">
        <w:rPr>
          <w:rFonts w:ascii="Times New Roman" w:hAnsi="Times New Roman" w:cs="Times New Roman"/>
          <w:lang w:val="en-US"/>
        </w:rPr>
        <w:fldChar w:fldCharType="separate"/>
      </w:r>
      <w:r w:rsidR="008320A2" w:rsidRPr="008320A2">
        <w:rPr>
          <w:rFonts w:ascii="Times New Roman" w:hAnsi="Times New Roman" w:cs="Times New Roman"/>
          <w:noProof/>
          <w:lang w:val="en-US"/>
        </w:rPr>
        <w:t>[2]</w:t>
      </w:r>
      <w:r w:rsidR="0039403A">
        <w:rPr>
          <w:rFonts w:ascii="Times New Roman" w:hAnsi="Times New Roman" w:cs="Times New Roman"/>
          <w:lang w:val="en-US"/>
        </w:rPr>
        <w:fldChar w:fldCharType="end"/>
      </w:r>
      <w:r w:rsidR="006056B4">
        <w:rPr>
          <w:rFonts w:ascii="Times New Roman" w:hAnsi="Times New Roman" w:cs="Times New Roman"/>
          <w:lang w:val="en-US"/>
        </w:rPr>
        <w:t>.</w:t>
      </w:r>
      <w:r w:rsidR="006056B4" w:rsidRPr="006056B4">
        <w:rPr>
          <w:rFonts w:ascii="Times New Roman" w:hAnsi="Times New Roman" w:cs="Times New Roman"/>
          <w:lang w:val="en-US"/>
        </w:rPr>
        <w:t xml:space="preserve"> </w:t>
      </w:r>
      <w:r w:rsidR="006056B4">
        <w:rPr>
          <w:rFonts w:ascii="Times New Roman" w:hAnsi="Times New Roman" w:cs="Times New Roman"/>
          <w:lang w:val="en-US"/>
        </w:rPr>
        <w:t xml:space="preserve">EBI </w:t>
      </w:r>
      <w:r w:rsidR="00D24A9B">
        <w:rPr>
          <w:rFonts w:ascii="Times New Roman" w:hAnsi="Times New Roman" w:cs="Times New Roman"/>
          <w:lang w:val="en-US"/>
        </w:rPr>
        <w:t>remains</w:t>
      </w:r>
      <w:r w:rsidR="006056B4">
        <w:rPr>
          <w:rFonts w:ascii="Times New Roman" w:hAnsi="Times New Roman" w:cs="Times New Roman"/>
          <w:lang w:val="en-US"/>
        </w:rPr>
        <w:t xml:space="preserve"> the main cause of </w:t>
      </w:r>
      <w:r w:rsidR="00250918">
        <w:rPr>
          <w:rFonts w:ascii="Times New Roman" w:hAnsi="Times New Roman" w:cs="Times New Roman"/>
          <w:lang w:val="en-US"/>
        </w:rPr>
        <w:t>death</w:t>
      </w:r>
      <w:r w:rsidR="006056B4">
        <w:rPr>
          <w:rFonts w:ascii="Times New Roman" w:hAnsi="Times New Roman" w:cs="Times New Roman"/>
          <w:lang w:val="en-US"/>
        </w:rPr>
        <w:t xml:space="preserve"> in </w:t>
      </w:r>
      <w:r w:rsidR="00E97B09">
        <w:rPr>
          <w:rFonts w:ascii="Times New Roman" w:hAnsi="Times New Roman" w:cs="Times New Roman"/>
          <w:lang w:val="en-US"/>
        </w:rPr>
        <w:t>a</w:t>
      </w:r>
      <w:r w:rsidR="006056B4">
        <w:rPr>
          <w:rFonts w:ascii="Times New Roman" w:hAnsi="Times New Roman" w:cs="Times New Roman"/>
          <w:lang w:val="en-US"/>
        </w:rPr>
        <w:t>SAH patients</w:t>
      </w:r>
      <w:r w:rsidR="008320A2">
        <w:rPr>
          <w:rFonts w:ascii="Times New Roman" w:hAnsi="Times New Roman" w:cs="Times New Roman"/>
          <w:lang w:val="en-US"/>
        </w:rPr>
        <w:t xml:space="preserve"> </w:t>
      </w:r>
      <w:r w:rsidR="006056B4">
        <w:rPr>
          <w:rFonts w:ascii="Times New Roman" w:hAnsi="Times New Roman" w:cs="Times New Roman"/>
          <w:lang w:val="en-US"/>
        </w:rPr>
        <w:fldChar w:fldCharType="begin" w:fldLock="1"/>
      </w:r>
      <w:r w:rsidR="00CF4681">
        <w:rPr>
          <w:rFonts w:ascii="Times New Roman" w:hAnsi="Times New Roman" w:cs="Times New Roman"/>
          <w:lang w:val="en-US"/>
        </w:rPr>
        <w:instrText>ADDIN CSL_CITATION {"citationItems":[{"id":"ITEM-1","itemData":{"DOI":"10.1161/01.STR.25.7.1342","ISSN":"0039-2499","abstract":"Background and Purpose The goal of this study was to determine the causes of mortality and morbidity after sub- arachnoid hemorrhage. Methods We identified all first-ever spontaneous subarach- noid hemorrhages that occurred in the nearly 1.3 million population of greater Cincinnati during 1988. Results Thirty-day mortality for subarachnoid hemorrhage was 45% (36 of 80 cases). Of the 36 deaths, 22 (61%) died within 2 days of onset; 21 of these deaths were due to the initial hemorrhage, and one death was due to rebleeding docu- mented by computed tomography. Nine of the remaining 14 deaths after day 2 were caused by the initial hemorrhage (2 cases) or rebleeding (7 cases). Volume of subarachnoid hem- orrhage was a powerful predictor of 30-day mortality (/)=.0OOl). Only 3 of the 29 patients with a volume of subarachnoid hemorrhage of 15 cm3 or less died before 30 days. Two of these 3 patients died from documented rebleed- ing; the third had 87 cm3 of additional intraventricular hem- orrhage. Delayed arterial vasospasm contributed to only 2 of all 36 deaths. Conclusions Most deaths after subarachnoid hemorrhage occur very rapidly and are due to the initial hemorrhage. Rebleeding is the most important preventable cause of death in hospitalized patients. In a large representative metropolitan population, delayed arterial vasospasm plays a very minor role in mortality caused by subarachnoid hemorrhage.","author":[{"dropping-particle":"","family":"Broderick","given":"J P","non-dropping-particle":"","parse-names":false,"suffix":""},{"dropping-particle":"","family":"Brott","given":"T G","non-dropping-particle":"","parse-names":false,"suffix":""},{"dropping-particle":"","family":"Duldner","given":"J E","non-dropping-particle":"","parse-names":false,"suffix":""},{"dropping-particle":"","family":"Tomsick","given":"T","non-dropping-particle":"","parse-names":false,"suffix":""},{"dropping-particle":"","family":"Leach","given":"A","non-dropping-particle":"","parse-names":false,"suffix":""}],"container-title":"Stroke","id":"ITEM-1","issue":"7","issued":{"date-parts":[["1994","7"]]},"page":"1342-1347","title":"Initial and recurrent bleeding are the major causes of death following subarachnoid hemorrhage.","type":"article-journal","volume":"25"},"uris":["http://www.mendeley.com/documents/?uuid=4fe4813d-d127-4db1-bf76-4d4fb7011d21"]},{"id":"ITEM-2","itemData":{"DOI":"10.1179/016164106X115008","ISSN":"0161-6412","abstract":"Objectives: Increasing body of experimental and clinical data indicates that early brain injury after initial bleeding largely contributes to unfavorable outcome after subarachnoid hemorrhage (SAH). This review presents molecular mechanisms underlying brain injury at its early stages after SAH. Methods: PubMed was searched using term ‘subarachnoid hemorrhage’ and key words referring to molecular and cellular pathomechanisms of SAH-induced early brain injury. Results: The authors reviewed intracranial phenomena and molecular agents that contribute to the early development of pathological sequelae of SAH in cerebral and vascular tissues, including cerebral ischemia and its interactions with injurious blood components, blood–brain barrier disruption, brain edema and apoptosis. Discussion: It is believed that detailedknowledge ofmolecular signaling pathways afterSAH will serve to improve therapeutic interventions. The most promising approach is the protection of neurovascular unit including anti-apoptosis therapy.","author":[{"dropping-particle":"","family":"Ostrowski","given":"Robert P.","non-dropping-particle":"","parse-names":false,"suffix":""},{"dropping-particle":"","family":"Colohan","given":"Austin R.","non-dropping-particle":"","parse-names":false,"suffix":""},{"dropping-particle":"","family":"Zhang","given":"John H.","non-dropping-particle":"","parse-names":false,"suffix":""}],"container-title":"Neurological Research","id":"ITEM-2","issue":"4","issued":{"date-parts":[["2006","6","19"]]},"page":"399-414","title":"Molecular mechanisms of early brain injury after subarachnoid hemorrhage.","type":"article-journal","volume":"28"},"uris":["http://www.mendeley.com/documents/?uuid=87caac04-cfef-4f8d-b6c5-064a26a18d0e"]}],"mendeley":{"formattedCitation":"[3,4]","plainTextFormattedCitation":"[3,4]","previouslyFormattedCitation":"[3,4]"},"properties":{"noteIndex":0},"schema":"https://github.com/citation-style-language/schema/raw/master/csl-citation.json"}</w:instrText>
      </w:r>
      <w:r w:rsidR="006056B4">
        <w:rPr>
          <w:rFonts w:ascii="Times New Roman" w:hAnsi="Times New Roman" w:cs="Times New Roman"/>
          <w:lang w:val="en-US"/>
        </w:rPr>
        <w:fldChar w:fldCharType="separate"/>
      </w:r>
      <w:r w:rsidR="008320A2" w:rsidRPr="008320A2">
        <w:rPr>
          <w:rFonts w:ascii="Times New Roman" w:hAnsi="Times New Roman" w:cs="Times New Roman"/>
          <w:noProof/>
          <w:lang w:val="en-US"/>
        </w:rPr>
        <w:t>[3,4]</w:t>
      </w:r>
      <w:r w:rsidR="006056B4">
        <w:rPr>
          <w:rFonts w:ascii="Times New Roman" w:hAnsi="Times New Roman" w:cs="Times New Roman"/>
          <w:lang w:val="en-US"/>
        </w:rPr>
        <w:fldChar w:fldCharType="end"/>
      </w:r>
      <w:r w:rsidR="00AE4B22">
        <w:rPr>
          <w:rFonts w:ascii="Times New Roman" w:hAnsi="Times New Roman" w:cs="Times New Roman"/>
          <w:lang w:val="en-US"/>
        </w:rPr>
        <w:t xml:space="preserve"> and</w:t>
      </w:r>
      <w:r w:rsidR="00D24A9B">
        <w:rPr>
          <w:rFonts w:ascii="Times New Roman" w:hAnsi="Times New Roman" w:cs="Times New Roman"/>
          <w:lang w:val="en-US"/>
        </w:rPr>
        <w:t xml:space="preserve"> is </w:t>
      </w:r>
      <w:r w:rsidR="006056B4">
        <w:rPr>
          <w:rFonts w:ascii="Times New Roman" w:hAnsi="Times New Roman" w:cs="Times New Roman"/>
          <w:lang w:val="en-US"/>
        </w:rPr>
        <w:t xml:space="preserve">thought to trigger </w:t>
      </w:r>
      <w:r w:rsidR="00A60BD4">
        <w:rPr>
          <w:rFonts w:ascii="Times New Roman" w:hAnsi="Times New Roman" w:cs="Times New Roman"/>
          <w:lang w:val="en-US"/>
        </w:rPr>
        <w:t xml:space="preserve">a number of pathophysiological processes </w:t>
      </w:r>
      <w:r w:rsidR="006056B4">
        <w:rPr>
          <w:rFonts w:ascii="Times New Roman" w:hAnsi="Times New Roman" w:cs="Times New Roman"/>
          <w:lang w:val="en-US"/>
        </w:rPr>
        <w:t xml:space="preserve">that </w:t>
      </w:r>
      <w:r w:rsidR="00137046">
        <w:rPr>
          <w:rFonts w:ascii="Times New Roman" w:hAnsi="Times New Roman" w:cs="Times New Roman"/>
          <w:lang w:val="en-US"/>
        </w:rPr>
        <w:t xml:space="preserve">can </w:t>
      </w:r>
      <w:r w:rsidR="006056B4">
        <w:rPr>
          <w:rFonts w:ascii="Times New Roman" w:hAnsi="Times New Roman" w:cs="Times New Roman"/>
          <w:lang w:val="en-US"/>
        </w:rPr>
        <w:t xml:space="preserve">culminate in </w:t>
      </w:r>
      <w:r w:rsidR="00137046">
        <w:rPr>
          <w:rFonts w:ascii="Times New Roman" w:hAnsi="Times New Roman" w:cs="Times New Roman"/>
          <w:lang w:val="en-US"/>
        </w:rPr>
        <w:t>secondary brain damage</w:t>
      </w:r>
      <w:r w:rsidR="008320A2">
        <w:rPr>
          <w:rFonts w:ascii="Times New Roman" w:hAnsi="Times New Roman" w:cs="Times New Roman"/>
          <w:lang w:val="en-US"/>
        </w:rPr>
        <w:t xml:space="preserve"> </w:t>
      </w:r>
      <w:r w:rsidR="0039403A">
        <w:rPr>
          <w:rFonts w:ascii="Times New Roman" w:hAnsi="Times New Roman" w:cs="Times New Roman"/>
          <w:lang w:val="en-US"/>
        </w:rPr>
        <w:fldChar w:fldCharType="begin" w:fldLock="1"/>
      </w:r>
      <w:r w:rsidR="00CF4681">
        <w:rPr>
          <w:rFonts w:ascii="Times New Roman" w:hAnsi="Times New Roman" w:cs="Times New Roman"/>
          <w:lang w:val="en-US"/>
        </w:rPr>
        <w:instrText>ADDIN CSL_CITATION {"citationItems":[{"id":"ITEM-1","itemData":{"DOI":"10.1007/s11883-017-0690-x","ISSN":"1523-3804","author":[{"dropping-particle":"","family":"Geraghty","given":"Joseph R.","non-dropping-particle":"","parse-names":false,"suffix":""},{"dropping-particle":"","family":"Testai","given":"Fernando D.","non-dropping-particle":"","parse-names":false,"suffix":""}],"container-title":"Current Atherosclerosis Reports","id":"ITEM-1","issue":"12","issued":{"date-parts":[["2017","12","23"]]},"page":"50","title":"Delayed Cerebral Ischemia after Subarachnoid Hemorrhage: Beyond Vasospasm and Towards a Multifactorial Pathophysiology","type":"article-journal","volume":"19"},"uris":["http://www.mendeley.com/documents/?uuid=e168bf52-7181-4822-bc7d-aae572b63ee6"]}],"mendeley":{"formattedCitation":"[5]","plainTextFormattedCitation":"[5]","previouslyFormattedCitation":"[5]"},"properties":{"noteIndex":0},"schema":"https://github.com/citation-style-language/schema/raw/master/csl-citation.json"}</w:instrText>
      </w:r>
      <w:r w:rsidR="0039403A">
        <w:rPr>
          <w:rFonts w:ascii="Times New Roman" w:hAnsi="Times New Roman" w:cs="Times New Roman"/>
          <w:lang w:val="en-US"/>
        </w:rPr>
        <w:fldChar w:fldCharType="separate"/>
      </w:r>
      <w:r w:rsidR="008320A2" w:rsidRPr="008320A2">
        <w:rPr>
          <w:rFonts w:ascii="Times New Roman" w:hAnsi="Times New Roman" w:cs="Times New Roman"/>
          <w:noProof/>
          <w:lang w:val="en-US"/>
        </w:rPr>
        <w:t>[5]</w:t>
      </w:r>
      <w:r w:rsidR="0039403A">
        <w:rPr>
          <w:rFonts w:ascii="Times New Roman" w:hAnsi="Times New Roman" w:cs="Times New Roman"/>
          <w:lang w:val="en-US"/>
        </w:rPr>
        <w:fldChar w:fldCharType="end"/>
      </w:r>
      <w:r w:rsidR="00137046">
        <w:rPr>
          <w:rFonts w:ascii="Times New Roman" w:hAnsi="Times New Roman" w:cs="Times New Roman"/>
          <w:lang w:val="en-US"/>
        </w:rPr>
        <w:t xml:space="preserve">. The clinical manifestation of these processes is delayed cerebral ischemia (DCI), a complication that typically occurs on day 4-14 after </w:t>
      </w:r>
      <w:r w:rsidR="00E97B09">
        <w:rPr>
          <w:rFonts w:ascii="Times New Roman" w:hAnsi="Times New Roman" w:cs="Times New Roman"/>
          <w:lang w:val="en-US"/>
        </w:rPr>
        <w:t>a</w:t>
      </w:r>
      <w:r w:rsidR="00137046">
        <w:rPr>
          <w:rFonts w:ascii="Times New Roman" w:hAnsi="Times New Roman" w:cs="Times New Roman"/>
          <w:lang w:val="en-US"/>
        </w:rPr>
        <w:t>SAH onset</w:t>
      </w:r>
      <w:r w:rsidR="0036585D">
        <w:rPr>
          <w:rFonts w:ascii="Times New Roman" w:hAnsi="Times New Roman" w:cs="Times New Roman"/>
          <w:lang w:val="en-US"/>
        </w:rPr>
        <w:t>, is often but not always correlated with angiographic vasospasm</w:t>
      </w:r>
      <w:r w:rsidR="00137046">
        <w:rPr>
          <w:rFonts w:ascii="Times New Roman" w:hAnsi="Times New Roman" w:cs="Times New Roman"/>
          <w:lang w:val="en-US"/>
        </w:rPr>
        <w:t xml:space="preserve"> and </w:t>
      </w:r>
      <w:r w:rsidR="0036585D">
        <w:rPr>
          <w:rFonts w:ascii="Times New Roman" w:hAnsi="Times New Roman" w:cs="Times New Roman"/>
          <w:lang w:val="en-US"/>
        </w:rPr>
        <w:t>may</w:t>
      </w:r>
      <w:r w:rsidR="00A60BD4">
        <w:rPr>
          <w:rFonts w:ascii="Times New Roman" w:hAnsi="Times New Roman" w:cs="Times New Roman"/>
          <w:lang w:val="en-US"/>
        </w:rPr>
        <w:t xml:space="preserve"> </w:t>
      </w:r>
      <w:r w:rsidR="00AE4B22">
        <w:rPr>
          <w:rFonts w:ascii="Times New Roman" w:hAnsi="Times New Roman" w:cs="Times New Roman"/>
          <w:lang w:val="en-US"/>
        </w:rPr>
        <w:t xml:space="preserve">progress to </w:t>
      </w:r>
      <w:r w:rsidR="00A60BD4">
        <w:rPr>
          <w:rFonts w:ascii="Times New Roman" w:hAnsi="Times New Roman" w:cs="Times New Roman"/>
          <w:lang w:val="en-US"/>
        </w:rPr>
        <w:t>cerebral infarction</w:t>
      </w:r>
      <w:r w:rsidR="008320A2">
        <w:rPr>
          <w:rFonts w:ascii="Times New Roman" w:hAnsi="Times New Roman" w:cs="Times New Roman"/>
          <w:lang w:val="en-US"/>
        </w:rPr>
        <w:t xml:space="preserve"> </w:t>
      </w:r>
      <w:r w:rsidR="0039403A">
        <w:rPr>
          <w:rFonts w:ascii="Times New Roman" w:hAnsi="Times New Roman" w:cs="Times New Roman"/>
          <w:lang w:val="en-US"/>
        </w:rPr>
        <w:fldChar w:fldCharType="begin" w:fldLock="1"/>
      </w:r>
      <w:r w:rsidR="00CF4681">
        <w:rPr>
          <w:rFonts w:ascii="Times New Roman" w:hAnsi="Times New Roman" w:cs="Times New Roman"/>
          <w:lang w:val="en-US"/>
        </w:rPr>
        <w:instrText>ADDIN CSL_CITATION {"citationItems":[{"id":"ITEM-1","itemData":{"DOI":"10.1007/s11883-017-0690-x","ISSN":"1523-3804","author":[{"dropping-particle":"","family":"Geraghty","given":"Joseph R.","non-dropping-particle":"","parse-names":false,"suffix":""},{"dropping-particle":"","family":"Testai","given":"Fernando D.","non-dropping-particle":"","parse-names":false,"suffix":""}],"container-title":"Current Atherosclerosis Reports","id":"ITEM-1","issue":"12","issued":{"date-parts":[["2017","12","23"]]},"page":"50","title":"Delayed Cerebral Ischemia after Subarachnoid Hemorrhage: Beyond Vasospasm and Towards a Multifactorial Pathophysiology","type":"article-journal","volume":"19"},"uris":["http://www.mendeley.com/documents/?uuid=e168bf52-7181-4822-bc7d-aae572b63ee6"]}],"mendeley":{"formattedCitation":"[5]","plainTextFormattedCitation":"[5]","previouslyFormattedCitation":"[5]"},"properties":{"noteIndex":0},"schema":"https://github.com/citation-style-language/schema/raw/master/csl-citation.json"}</w:instrText>
      </w:r>
      <w:r w:rsidR="0039403A">
        <w:rPr>
          <w:rFonts w:ascii="Times New Roman" w:hAnsi="Times New Roman" w:cs="Times New Roman"/>
          <w:lang w:val="en-US"/>
        </w:rPr>
        <w:fldChar w:fldCharType="separate"/>
      </w:r>
      <w:r w:rsidR="008320A2" w:rsidRPr="008320A2">
        <w:rPr>
          <w:rFonts w:ascii="Times New Roman" w:hAnsi="Times New Roman" w:cs="Times New Roman"/>
          <w:noProof/>
          <w:lang w:val="en-US"/>
        </w:rPr>
        <w:t>[5]</w:t>
      </w:r>
      <w:r w:rsidR="0039403A">
        <w:rPr>
          <w:rFonts w:ascii="Times New Roman" w:hAnsi="Times New Roman" w:cs="Times New Roman"/>
          <w:lang w:val="en-US"/>
        </w:rPr>
        <w:fldChar w:fldCharType="end"/>
      </w:r>
      <w:r w:rsidR="00137046">
        <w:rPr>
          <w:rFonts w:ascii="Times New Roman" w:hAnsi="Times New Roman" w:cs="Times New Roman"/>
          <w:lang w:val="en-US"/>
        </w:rPr>
        <w:t>.</w:t>
      </w:r>
      <w:r w:rsidR="00A60BD4">
        <w:rPr>
          <w:rFonts w:ascii="Times New Roman" w:hAnsi="Times New Roman" w:cs="Times New Roman"/>
          <w:lang w:val="en-US"/>
        </w:rPr>
        <w:t xml:space="preserve"> DCI result</w:t>
      </w:r>
      <w:r w:rsidR="00AE4B22">
        <w:rPr>
          <w:rFonts w:ascii="Times New Roman" w:hAnsi="Times New Roman" w:cs="Times New Roman"/>
          <w:lang w:val="en-US"/>
        </w:rPr>
        <w:t>s</w:t>
      </w:r>
      <w:r w:rsidR="00A60BD4">
        <w:rPr>
          <w:rFonts w:ascii="Times New Roman" w:hAnsi="Times New Roman" w:cs="Times New Roman"/>
          <w:lang w:val="en-US"/>
        </w:rPr>
        <w:t xml:space="preserve"> from a complex interplay of systemic and cerebral inflammation, oxidative stress, and endothelial </w:t>
      </w:r>
      <w:r w:rsidR="006253D9">
        <w:rPr>
          <w:rFonts w:ascii="Times New Roman" w:hAnsi="Times New Roman" w:cs="Times New Roman"/>
          <w:lang w:val="en-US"/>
        </w:rPr>
        <w:t>or</w:t>
      </w:r>
      <w:r w:rsidR="00A60BD4">
        <w:rPr>
          <w:rFonts w:ascii="Times New Roman" w:hAnsi="Times New Roman" w:cs="Times New Roman"/>
          <w:lang w:val="en-US"/>
        </w:rPr>
        <w:t xml:space="preserve"> neuronal apoptosis</w:t>
      </w:r>
      <w:r w:rsidR="00AE4B22" w:rsidRPr="00AE4B22">
        <w:rPr>
          <w:rFonts w:ascii="Times New Roman" w:hAnsi="Times New Roman" w:cs="Times New Roman"/>
          <w:lang w:val="en-US"/>
        </w:rPr>
        <w:t xml:space="preserve"> </w:t>
      </w:r>
      <w:r w:rsidR="00AE4B22">
        <w:rPr>
          <w:rFonts w:ascii="Times New Roman" w:hAnsi="Times New Roman" w:cs="Times New Roman"/>
          <w:lang w:val="en-US"/>
        </w:rPr>
        <w:t>that is still poorly understood</w:t>
      </w:r>
      <w:r w:rsidR="008320A2">
        <w:rPr>
          <w:rFonts w:ascii="Times New Roman" w:hAnsi="Times New Roman" w:cs="Times New Roman"/>
          <w:lang w:val="en-US"/>
        </w:rPr>
        <w:t xml:space="preserve"> </w:t>
      </w:r>
      <w:r w:rsidR="0039403A">
        <w:rPr>
          <w:rFonts w:ascii="Times New Roman" w:hAnsi="Times New Roman" w:cs="Times New Roman"/>
          <w:lang w:val="en-US"/>
        </w:rPr>
        <w:fldChar w:fldCharType="begin" w:fldLock="1"/>
      </w:r>
      <w:r w:rsidR="00CF4681">
        <w:rPr>
          <w:rFonts w:ascii="Times New Roman" w:hAnsi="Times New Roman" w:cs="Times New Roman"/>
          <w:lang w:val="en-US"/>
        </w:rPr>
        <w:instrText>ADDIN CSL_CITATION {"citationItems":[{"id":"ITEM-1","itemData":{"DOI":"10.1097/WNP.0000000000000273","ISSN":"0736-0258","author":[{"dropping-particle":"","family":"Foreman","given":"Brandon","non-dropping-particle":"","parse-names":false,"suffix":""}],"container-title":"Journal of Clinical Neurophysiology","id":"ITEM-1","issue":"3","issued":{"date-parts":[["2016","6"]]},"page":"174-182","title":"The Pathophysiology of Delayed Cerebral Ischemia","type":"article-journal","volume":"33"},"uris":["http://www.mendeley.com/documents/?uuid=15ab5c20-24ae-4b1e-b00a-7bcf9e319901"]}],"mendeley":{"formattedCitation":"[6]","plainTextFormattedCitation":"[6]","previouslyFormattedCitation":"[6]"},"properties":{"noteIndex":0},"schema":"https://github.com/citation-style-language/schema/raw/master/csl-citation.json"}</w:instrText>
      </w:r>
      <w:r w:rsidR="0039403A">
        <w:rPr>
          <w:rFonts w:ascii="Times New Roman" w:hAnsi="Times New Roman" w:cs="Times New Roman"/>
          <w:lang w:val="en-US"/>
        </w:rPr>
        <w:fldChar w:fldCharType="separate"/>
      </w:r>
      <w:r w:rsidR="008320A2" w:rsidRPr="008320A2">
        <w:rPr>
          <w:rFonts w:ascii="Times New Roman" w:hAnsi="Times New Roman" w:cs="Times New Roman"/>
          <w:noProof/>
          <w:lang w:val="en-US"/>
        </w:rPr>
        <w:t>[6]</w:t>
      </w:r>
      <w:r w:rsidR="0039403A">
        <w:rPr>
          <w:rFonts w:ascii="Times New Roman" w:hAnsi="Times New Roman" w:cs="Times New Roman"/>
          <w:lang w:val="en-US"/>
        </w:rPr>
        <w:fldChar w:fldCharType="end"/>
      </w:r>
      <w:r w:rsidR="006253D9">
        <w:rPr>
          <w:rFonts w:ascii="Times New Roman" w:hAnsi="Times New Roman" w:cs="Times New Roman"/>
          <w:lang w:val="en-US"/>
        </w:rPr>
        <w:t xml:space="preserve">. </w:t>
      </w:r>
      <w:r w:rsidR="003B023A">
        <w:rPr>
          <w:rFonts w:ascii="Times New Roman" w:hAnsi="Times New Roman" w:cs="Times New Roman"/>
          <w:lang w:val="en-US"/>
        </w:rPr>
        <w:t>As a consequence, t</w:t>
      </w:r>
      <w:r w:rsidR="006253D9">
        <w:rPr>
          <w:rFonts w:ascii="Times New Roman" w:hAnsi="Times New Roman" w:cs="Times New Roman"/>
          <w:lang w:val="en-US"/>
        </w:rPr>
        <w:t xml:space="preserve">reatment decisions are </w:t>
      </w:r>
      <w:r w:rsidR="003B023A">
        <w:rPr>
          <w:rFonts w:ascii="Times New Roman" w:hAnsi="Times New Roman" w:cs="Times New Roman"/>
          <w:lang w:val="en-US"/>
        </w:rPr>
        <w:t>still</w:t>
      </w:r>
      <w:r w:rsidR="006253D9">
        <w:rPr>
          <w:rFonts w:ascii="Times New Roman" w:hAnsi="Times New Roman" w:cs="Times New Roman"/>
          <w:lang w:val="en-US"/>
        </w:rPr>
        <w:t xml:space="preserve"> primarily guided by clinical grading, which may be </w:t>
      </w:r>
      <w:r w:rsidR="000F2903">
        <w:rPr>
          <w:rFonts w:ascii="Times New Roman" w:hAnsi="Times New Roman" w:cs="Times New Roman"/>
          <w:lang w:val="en-US"/>
        </w:rPr>
        <w:t xml:space="preserve">subjective and </w:t>
      </w:r>
      <w:r w:rsidR="006253D9">
        <w:rPr>
          <w:rFonts w:ascii="Times New Roman" w:hAnsi="Times New Roman" w:cs="Times New Roman"/>
          <w:lang w:val="en-US"/>
        </w:rPr>
        <w:t xml:space="preserve">confounded by the </w:t>
      </w:r>
      <w:r w:rsidR="007E268B">
        <w:rPr>
          <w:rFonts w:ascii="Times New Roman" w:hAnsi="Times New Roman" w:cs="Times New Roman"/>
          <w:lang w:val="en-US"/>
        </w:rPr>
        <w:t xml:space="preserve">poor initial condition of most DCI candidates, the </w:t>
      </w:r>
      <w:r w:rsidR="006253D9">
        <w:rPr>
          <w:rFonts w:ascii="Times New Roman" w:hAnsi="Times New Roman" w:cs="Times New Roman"/>
          <w:lang w:val="en-US"/>
        </w:rPr>
        <w:t>requirement for sedation and a number of possible complications</w:t>
      </w:r>
      <w:r w:rsidR="008320A2">
        <w:rPr>
          <w:rFonts w:ascii="Times New Roman" w:hAnsi="Times New Roman" w:cs="Times New Roman"/>
          <w:lang w:val="en-US"/>
        </w:rPr>
        <w:t xml:space="preserve"> </w:t>
      </w:r>
      <w:r w:rsidR="00A94025">
        <w:rPr>
          <w:rFonts w:ascii="Times New Roman" w:hAnsi="Times New Roman" w:cs="Times New Roman"/>
          <w:lang w:val="en-US"/>
        </w:rPr>
        <w:fldChar w:fldCharType="begin" w:fldLock="1"/>
      </w:r>
      <w:r w:rsidR="00CF4681">
        <w:rPr>
          <w:rFonts w:ascii="Times New Roman" w:hAnsi="Times New Roman" w:cs="Times New Roman"/>
          <w:lang w:val="en-US"/>
        </w:rPr>
        <w:instrText>ADDIN CSL_CITATION {"citationItems":[{"id":"ITEM-1","itemData":{"DOI":"10.3389/fneur.2014.00134","ISSN":"1664-2295","author":[{"dropping-particle":"","family":"Sarrafzadeh","given":"Asita S.","non-dropping-particle":"","parse-names":false,"suffix":""},{"dropping-particle":"","family":"Vajkoczy","given":"Peter","non-dropping-particle":"","parse-names":false,"suffix":""},{"dropping-particle":"","family":"Bijlenga","given":"Philippe","non-dropping-particle":"","parse-names":false,"suffix":""},{"dropping-particle":"","family":"Schaller","given":"Karl","non-dropping-particle":"","parse-names":false,"suffix":""}],"container-title":"Frontiers in Neurology","id":"ITEM-1","issued":{"date-parts":[["2014","7","21"]]},"title":"Monitoring in Neurointensive Care - The Challenge to Detect Delayed Cerebral Ischemia in High-Grade Aneurysmal SAH","type":"article-journal","volume":"5"},"uris":["http://www.mendeley.com/documents/?uuid=622b02de-62fd-4bac-b801-cd4ab2d9d054"]}],"mendeley":{"formattedCitation":"[7]","plainTextFormattedCitation":"[7]","previouslyFormattedCitation":"[7]"},"properties":{"noteIndex":0},"schema":"https://github.com/citation-style-language/schema/raw/master/csl-citation.json"}</w:instrText>
      </w:r>
      <w:r w:rsidR="00A94025">
        <w:rPr>
          <w:rFonts w:ascii="Times New Roman" w:hAnsi="Times New Roman" w:cs="Times New Roman"/>
          <w:lang w:val="en-US"/>
        </w:rPr>
        <w:fldChar w:fldCharType="separate"/>
      </w:r>
      <w:r w:rsidR="008320A2" w:rsidRPr="008320A2">
        <w:rPr>
          <w:rFonts w:ascii="Times New Roman" w:hAnsi="Times New Roman" w:cs="Times New Roman"/>
          <w:noProof/>
          <w:lang w:val="en-US"/>
        </w:rPr>
        <w:t>[7]</w:t>
      </w:r>
      <w:r w:rsidR="00A94025">
        <w:rPr>
          <w:rFonts w:ascii="Times New Roman" w:hAnsi="Times New Roman" w:cs="Times New Roman"/>
          <w:lang w:val="en-US"/>
        </w:rPr>
        <w:fldChar w:fldCharType="end"/>
      </w:r>
      <w:r w:rsidR="006253D9">
        <w:rPr>
          <w:rFonts w:ascii="Times New Roman" w:hAnsi="Times New Roman" w:cs="Times New Roman"/>
          <w:lang w:val="en-US"/>
        </w:rPr>
        <w:t>.</w:t>
      </w:r>
      <w:r w:rsidR="004E2F04">
        <w:rPr>
          <w:rFonts w:ascii="Times New Roman" w:hAnsi="Times New Roman" w:cs="Times New Roman"/>
          <w:lang w:val="en-US"/>
        </w:rPr>
        <w:t xml:space="preserve"> </w:t>
      </w:r>
      <w:r w:rsidR="007E268B">
        <w:rPr>
          <w:rFonts w:ascii="Times New Roman" w:hAnsi="Times New Roman" w:cs="Times New Roman"/>
          <w:lang w:val="en-US"/>
        </w:rPr>
        <w:t>In light of th</w:t>
      </w:r>
      <w:r w:rsidR="007464E1">
        <w:rPr>
          <w:rFonts w:ascii="Times New Roman" w:hAnsi="Times New Roman" w:cs="Times New Roman"/>
          <w:lang w:val="en-US"/>
        </w:rPr>
        <w:t>ese</w:t>
      </w:r>
      <w:r w:rsidR="003F7071">
        <w:rPr>
          <w:rFonts w:ascii="Times New Roman" w:hAnsi="Times New Roman" w:cs="Times New Roman"/>
          <w:lang w:val="en-US"/>
        </w:rPr>
        <w:t xml:space="preserve"> circumstances</w:t>
      </w:r>
      <w:r w:rsidR="007E268B">
        <w:rPr>
          <w:rFonts w:ascii="Times New Roman" w:hAnsi="Times New Roman" w:cs="Times New Roman"/>
          <w:lang w:val="en-US"/>
        </w:rPr>
        <w:t xml:space="preserve">, </w:t>
      </w:r>
      <w:r w:rsidR="007E268B" w:rsidRPr="007E268B">
        <w:rPr>
          <w:rFonts w:ascii="Times New Roman" w:hAnsi="Times New Roman" w:cs="Times New Roman"/>
          <w:lang w:val="en-US"/>
        </w:rPr>
        <w:t xml:space="preserve">objective and reliable biomarkers for the </w:t>
      </w:r>
      <w:r w:rsidR="00A866EF">
        <w:rPr>
          <w:rFonts w:ascii="Times New Roman" w:hAnsi="Times New Roman" w:cs="Times New Roman"/>
          <w:lang w:val="en-US"/>
        </w:rPr>
        <w:t>prediction</w:t>
      </w:r>
      <w:r w:rsidR="007E268B" w:rsidRPr="007E268B">
        <w:rPr>
          <w:rFonts w:ascii="Times New Roman" w:hAnsi="Times New Roman" w:cs="Times New Roman"/>
          <w:lang w:val="en-US"/>
        </w:rPr>
        <w:t xml:space="preserve"> of DCI </w:t>
      </w:r>
      <w:r w:rsidR="00A866EF">
        <w:rPr>
          <w:rFonts w:ascii="Times New Roman" w:hAnsi="Times New Roman" w:cs="Times New Roman"/>
          <w:lang w:val="en-US"/>
        </w:rPr>
        <w:t xml:space="preserve">or its diagnosis </w:t>
      </w:r>
      <w:r w:rsidR="007E268B" w:rsidRPr="007E268B">
        <w:rPr>
          <w:rFonts w:ascii="Times New Roman" w:hAnsi="Times New Roman" w:cs="Times New Roman"/>
          <w:lang w:val="en-US"/>
        </w:rPr>
        <w:t xml:space="preserve">in poor grade </w:t>
      </w:r>
      <w:r w:rsidR="00E97B09">
        <w:rPr>
          <w:rFonts w:ascii="Times New Roman" w:hAnsi="Times New Roman" w:cs="Times New Roman"/>
          <w:lang w:val="en-US"/>
        </w:rPr>
        <w:t>a</w:t>
      </w:r>
      <w:r w:rsidR="007E268B" w:rsidRPr="007E268B">
        <w:rPr>
          <w:rFonts w:ascii="Times New Roman" w:hAnsi="Times New Roman" w:cs="Times New Roman"/>
          <w:lang w:val="en-US"/>
        </w:rPr>
        <w:t>SAH patients a</w:t>
      </w:r>
      <w:r w:rsidR="007E268B">
        <w:rPr>
          <w:rFonts w:ascii="Times New Roman" w:hAnsi="Times New Roman" w:cs="Times New Roman"/>
          <w:lang w:val="en-US"/>
        </w:rPr>
        <w:t xml:space="preserve">re urgently needed to </w:t>
      </w:r>
      <w:r w:rsidR="008B70E4">
        <w:rPr>
          <w:rFonts w:ascii="Times New Roman" w:hAnsi="Times New Roman" w:cs="Times New Roman"/>
          <w:lang w:val="en-US"/>
        </w:rPr>
        <w:t>guide</w:t>
      </w:r>
      <w:r w:rsidR="007E268B" w:rsidRPr="007E268B">
        <w:rPr>
          <w:rFonts w:ascii="Times New Roman" w:hAnsi="Times New Roman" w:cs="Times New Roman"/>
          <w:lang w:val="en-US"/>
        </w:rPr>
        <w:t xml:space="preserve"> therapeutic decision making</w:t>
      </w:r>
      <w:r w:rsidR="008320A2">
        <w:rPr>
          <w:rFonts w:ascii="Times New Roman" w:hAnsi="Times New Roman" w:cs="Times New Roman"/>
          <w:lang w:val="en-US"/>
        </w:rPr>
        <w:t xml:space="preserve"> </w:t>
      </w:r>
      <w:r w:rsidR="00A94025">
        <w:rPr>
          <w:rFonts w:ascii="Times New Roman" w:hAnsi="Times New Roman" w:cs="Times New Roman"/>
          <w:lang w:val="en-US"/>
        </w:rPr>
        <w:fldChar w:fldCharType="begin" w:fldLock="1"/>
      </w:r>
      <w:r w:rsidR="00CF4681">
        <w:rPr>
          <w:rFonts w:ascii="Times New Roman" w:hAnsi="Times New Roman" w:cs="Times New Roman"/>
          <w:lang w:val="en-US"/>
        </w:rPr>
        <w:instrText>ADDIN CSL_CITATION {"citationItems":[{"id":"ITEM-1","itemData":{"DOI":"10.3389/fneur.2014.00134","ISSN":"1664-2295","author":[{"dropping-particle":"","family":"Sarrafzadeh","given":"Asita S.","non-dropping-particle":"","parse-names":false,"suffix":""},{"dropping-particle":"","family":"Vajkoczy","given":"Peter","non-dropping-particle":"","parse-names":false,"suffix":""},{"dropping-particle":"","family":"Bijlenga","given":"Philippe","non-dropping-particle":"","parse-names":false,"suffix":""},{"dropping-particle":"","family":"Schaller","given":"Karl","non-dropping-particle":"","parse-names":false,"suffix":""}],"container-title":"Frontiers in Neurology","id":"ITEM-1","issued":{"date-parts":[["2014","7","21"]]},"title":"Monitoring in Neurointensive Care - The Challenge to Detect Delayed Cerebral Ischemia in High-Grade Aneurysmal SAH","type":"article-journal","volume":"5"},"uris":["http://www.mendeley.com/documents/?uuid=622b02de-62fd-4bac-b801-cd4ab2d9d054"]}],"mendeley":{"formattedCitation":"[7]","plainTextFormattedCitation":"[7]","previouslyFormattedCitation":"[7]"},"properties":{"noteIndex":0},"schema":"https://github.com/citation-style-language/schema/raw/master/csl-citation.json"}</w:instrText>
      </w:r>
      <w:r w:rsidR="00A94025">
        <w:rPr>
          <w:rFonts w:ascii="Times New Roman" w:hAnsi="Times New Roman" w:cs="Times New Roman"/>
          <w:lang w:val="en-US"/>
        </w:rPr>
        <w:fldChar w:fldCharType="separate"/>
      </w:r>
      <w:r w:rsidR="008320A2" w:rsidRPr="008320A2">
        <w:rPr>
          <w:rFonts w:ascii="Times New Roman" w:hAnsi="Times New Roman" w:cs="Times New Roman"/>
          <w:noProof/>
          <w:lang w:val="en-US"/>
        </w:rPr>
        <w:t>[7]</w:t>
      </w:r>
      <w:r w:rsidR="00A94025">
        <w:rPr>
          <w:rFonts w:ascii="Times New Roman" w:hAnsi="Times New Roman" w:cs="Times New Roman"/>
          <w:lang w:val="en-US"/>
        </w:rPr>
        <w:fldChar w:fldCharType="end"/>
      </w:r>
      <w:r w:rsidR="007E268B">
        <w:rPr>
          <w:rFonts w:ascii="Times New Roman" w:hAnsi="Times New Roman" w:cs="Times New Roman"/>
          <w:lang w:val="en-US"/>
        </w:rPr>
        <w:t xml:space="preserve">. </w:t>
      </w:r>
    </w:p>
    <w:p w14:paraId="6E4B7CBC" w14:textId="52F1A4DA" w:rsidR="004109FB" w:rsidRDefault="00273657" w:rsidP="007A07A1">
      <w:pPr>
        <w:spacing w:line="360" w:lineRule="auto"/>
        <w:jc w:val="both"/>
        <w:rPr>
          <w:rFonts w:ascii="Times New Roman" w:hAnsi="Times New Roman" w:cs="Times New Roman"/>
          <w:lang w:val="en-US"/>
        </w:rPr>
      </w:pPr>
      <w:r>
        <w:rPr>
          <w:rFonts w:ascii="Times New Roman" w:hAnsi="Times New Roman" w:cs="Times New Roman"/>
          <w:lang w:val="en-US"/>
        </w:rPr>
        <w:t>T</w:t>
      </w:r>
      <w:r w:rsidR="007E268B">
        <w:rPr>
          <w:rFonts w:ascii="Times New Roman" w:hAnsi="Times New Roman" w:cs="Times New Roman"/>
          <w:lang w:val="en-US"/>
        </w:rPr>
        <w:t xml:space="preserve">he enzyme </w:t>
      </w:r>
      <w:r w:rsidR="007E268B" w:rsidRPr="004E2F04">
        <w:rPr>
          <w:rFonts w:ascii="Times New Roman" w:hAnsi="Times New Roman" w:cs="Times New Roman"/>
          <w:lang w:val="en-US"/>
        </w:rPr>
        <w:t>dipeptidyl peptidase 3 (DPP3)</w:t>
      </w:r>
      <w:r w:rsidR="007E268B">
        <w:rPr>
          <w:rFonts w:ascii="Times New Roman" w:hAnsi="Times New Roman" w:cs="Times New Roman"/>
          <w:lang w:val="en-US"/>
        </w:rPr>
        <w:t xml:space="preserve"> </w:t>
      </w:r>
      <w:r w:rsidR="008B70E4">
        <w:rPr>
          <w:rFonts w:ascii="Times New Roman" w:hAnsi="Times New Roman" w:cs="Times New Roman"/>
          <w:lang w:val="en-US"/>
        </w:rPr>
        <w:t xml:space="preserve">was </w:t>
      </w:r>
      <w:r>
        <w:rPr>
          <w:rFonts w:ascii="Times New Roman" w:hAnsi="Times New Roman" w:cs="Times New Roman"/>
          <w:lang w:val="en-US"/>
        </w:rPr>
        <w:t xml:space="preserve">recently </w:t>
      </w:r>
      <w:r w:rsidR="008B70E4">
        <w:rPr>
          <w:rFonts w:ascii="Times New Roman" w:hAnsi="Times New Roman" w:cs="Times New Roman"/>
          <w:lang w:val="en-US"/>
        </w:rPr>
        <w:t>identified as</w:t>
      </w:r>
      <w:r w:rsidR="007E268B">
        <w:rPr>
          <w:rFonts w:ascii="Times New Roman" w:hAnsi="Times New Roman" w:cs="Times New Roman"/>
          <w:lang w:val="en-US"/>
        </w:rPr>
        <w:t xml:space="preserve"> </w:t>
      </w:r>
      <w:r w:rsidR="008B70E4">
        <w:rPr>
          <w:rFonts w:ascii="Times New Roman" w:hAnsi="Times New Roman" w:cs="Times New Roman"/>
          <w:lang w:val="en-US"/>
        </w:rPr>
        <w:t xml:space="preserve">a </w:t>
      </w:r>
      <w:r>
        <w:rPr>
          <w:rFonts w:ascii="Times New Roman" w:hAnsi="Times New Roman" w:cs="Times New Roman"/>
          <w:lang w:val="en-US"/>
        </w:rPr>
        <w:t xml:space="preserve">potential </w:t>
      </w:r>
      <w:r w:rsidR="007E268B">
        <w:rPr>
          <w:rFonts w:ascii="Times New Roman" w:hAnsi="Times New Roman" w:cs="Times New Roman"/>
          <w:lang w:val="en-US"/>
        </w:rPr>
        <w:t xml:space="preserve">biomarker </w:t>
      </w:r>
      <w:r w:rsidR="009D2A20">
        <w:rPr>
          <w:rFonts w:ascii="Times New Roman" w:hAnsi="Times New Roman" w:cs="Times New Roman"/>
          <w:lang w:val="en-US"/>
        </w:rPr>
        <w:t xml:space="preserve">for prediction of organ failure and </w:t>
      </w:r>
      <w:r w:rsidR="00195263">
        <w:rPr>
          <w:rFonts w:ascii="Times New Roman" w:hAnsi="Times New Roman" w:cs="Times New Roman"/>
          <w:lang w:val="en-US"/>
        </w:rPr>
        <w:t xml:space="preserve">short-term </w:t>
      </w:r>
      <w:r w:rsidR="009D2A20">
        <w:rPr>
          <w:rFonts w:ascii="Times New Roman" w:hAnsi="Times New Roman" w:cs="Times New Roman"/>
          <w:lang w:val="en-US"/>
        </w:rPr>
        <w:t xml:space="preserve">outcome </w:t>
      </w:r>
      <w:r w:rsidR="007E268B">
        <w:rPr>
          <w:rFonts w:ascii="Times New Roman" w:hAnsi="Times New Roman" w:cs="Times New Roman"/>
          <w:lang w:val="en-US"/>
        </w:rPr>
        <w:t xml:space="preserve">in </w:t>
      </w:r>
      <w:r w:rsidR="00195263">
        <w:rPr>
          <w:rFonts w:ascii="Times New Roman" w:hAnsi="Times New Roman" w:cs="Times New Roman"/>
          <w:lang w:val="en-US"/>
        </w:rPr>
        <w:t xml:space="preserve">certain </w:t>
      </w:r>
      <w:r w:rsidR="007E268B">
        <w:rPr>
          <w:rFonts w:ascii="Times New Roman" w:hAnsi="Times New Roman" w:cs="Times New Roman"/>
          <w:lang w:val="en-US"/>
        </w:rPr>
        <w:t xml:space="preserve">emergency </w:t>
      </w:r>
      <w:r w:rsidR="009D2A20">
        <w:rPr>
          <w:rFonts w:ascii="Times New Roman" w:hAnsi="Times New Roman" w:cs="Times New Roman"/>
          <w:lang w:val="en-US"/>
        </w:rPr>
        <w:t>settings</w:t>
      </w:r>
      <w:r w:rsidR="008320A2">
        <w:rPr>
          <w:rFonts w:ascii="Times New Roman" w:hAnsi="Times New Roman" w:cs="Times New Roman"/>
          <w:lang w:val="en-US"/>
        </w:rPr>
        <w:t xml:space="preserve"> </w:t>
      </w:r>
      <w:r w:rsidR="0039403A">
        <w:rPr>
          <w:rFonts w:ascii="Times New Roman" w:hAnsi="Times New Roman" w:cs="Times New Roman"/>
          <w:lang w:val="en-US"/>
        </w:rPr>
        <w:fldChar w:fldCharType="begin" w:fldLock="1"/>
      </w:r>
      <w:r w:rsidR="00CF4681">
        <w:rPr>
          <w:rFonts w:ascii="Times New Roman" w:hAnsi="Times New Roman" w:cs="Times New Roman"/>
          <w:lang w:val="en-US"/>
        </w:rPr>
        <w:instrText>ADDIN CSL_CITATION {"citationItems":[{"id":"ITEM-1","itemData":{"DOI":"10.1002/ejhf.1600","ISSN":"1388-9842","author":[{"dropping-particle":"","family":"Takagi","given":"Koji","non-dropping-particle":"","parse-names":false,"suffix":""},{"dropping-particle":"","family":"Blet","given":"Alice","non-dropping-particle":"","parse-names":false,"suffix":""},{"dropping-particle":"","family":"Levy","given":"Bruno","non-dropping-particle":"","parse-names":false,"suffix":""},{"dropping-particle":"","family":"Deniau","given":"Benjamin","non-dropping-particle":"","parse-names":false,"suffix":""},{"dropping-particle":"","family":"Azibani","given":"Feriel","non-dropping-particle":"","parse-names":false,"suffix":""},{"dropping-particle":"","family":"Feliot","given":"Elodie","non-dropping-particle":"","parse-names":false,"suffix":""},{"dropping-particle":"","family":"Bergmann","given":"Andreas","non-dropping-particle":"","parse-names":false,"suffix":""},{"dropping-particle":"","family":"Santos","given":"Karine","non-dropping-particle":"","parse-names":false,"suffix":""},{"dropping-particle":"","family":"Hartmann","given":"Oliver","non-dropping-particle":"","parse-names":false,"suffix":""},{"dropping-particle":"","family":"Gayat","given":"Etienne","non-dropping-particle":"","parse-names":false,"suffix":""},{"dropping-particle":"","family":"Mebazaa","given":"Alexandre","non-dropping-particle":"","parse-names":false,"suffix":""},{"dropping-particle":"","family":"Kimmoun","given":"Antoine","non-dropping-particle":"","parse-names":false,"suffix":""}],"container-title":"European Journal of Heart Failure","id":"ITEM-1","issue":"2","issued":{"date-parts":[["2020","2"]]},"page":"279-286","title":"Circulating dipeptidyl peptidase 3 and alteration in haemodynamics in cardiogenic shock: Results from the OptimaCC trial.","type":"article-journal","volume":"22"},"uris":["http://www.mendeley.com/documents/?uuid=55665246-5d7e-4396-9911-ba08c15f5909"]},{"id":"ITEM-2","itemData":{"DOI":"10.1002/ejhf.1601","ISSN":"1388-9842","author":[{"dropping-particle":"","family":"Deniau","given":"Benjamin","non-dropping-particle":"","parse-names":false,"suffix":""},{"dropping-particle":"","family":"Rehfeld","given":"Linda","non-dropping-particle":"","parse-names":false,"suffix":""},{"dropping-particle":"","family":"Santos","given":"Karine","non-dropping-particle":"","parse-names":false,"suffix":""},{"dropping-particle":"","family":"Dienelt","given":"Anke","non-dropping-particle":"","parse-names":false,"suffix":""},{"dropping-particle":"","family":"Azibani","given":"Feriel","non-dropping-particle":"","parse-names":false,"suffix":""},{"dropping-particle":"","family":"Sadoune","given":"Malha","non-dropping-particle":"","parse-names":false,"suffix":""},{"dropping-particle":"","family":"Kounde","given":"Paul R.","non-dropping-particle":"","parse-names":false,"suffix":""},{"dropping-particle":"","family":"Samuel","given":"Jane L.","non-dropping-particle":"","parse-names":false,"suffix":""},{"dropping-particle":"","family":"Tolpannen","given":"Heli","non-dropping-particle":"","parse-names":false,"suffix":""},{"dropping-particle":"","family":"Lassus","given":"Johan","non-dropping-particle":"","parse-names":false,"suffix":""},{"dropping-particle":"","family":"Harjola","given":"Veli‐Pekka","non-dropping-particle":"","parse-names":false,"suffix":""},{"dropping-particle":"","family":"Vodovar","given":"Nicolas","non-dropping-particle":"","parse-names":false,"suffix":""},{"dropping-particle":"","family":"Bergmann","given":"Andreas","non-dropping-particle":"","parse-names":false,"suffix":""},{"dropping-particle":"","family":"Hartmann","given":"Oliver","non-dropping-particle":"","parse-names":false,"suffix":""},{"dropping-particle":"","family":"Mebazaa","given":"Alexandre","non-dropping-particle":"","parse-names":false,"suffix":""},{"dropping-particle":"","family":"Blet","given":"Alice","non-dropping-particle":"","parse-names":false,"suffix":""}],"container-title":"European Journal of Heart Failure","id":"ITEM-2","issue":"2","issued":{"date-parts":[["2020","2"]]},"page":"290-299","title":"Circulating dipeptidyl peptidase 3 is a myocardial depressant factor: Dipeptidyl peptidase 3 inhibition rapidly and sustainably improves haemodynamics.","type":"article-journal","volume":"22"},"uris":["http://www.mendeley.com/documents/?uuid=39f0896b-3d0c-4c96-9cb4-a045bff6c543"]},{"id":"ITEM-3","itemData":{"DOI":"10.1186/s13054-020-02888-5","ISSN":"1364-8535","author":[{"dropping-particle":"","family":"Dépret","given":"François","non-dropping-particle":"","parse-names":false,"suffix":""},{"dropping-particle":"","family":"Amzallag","given":"Juliette","non-dropping-particle":"","parse-names":false,"suffix":""},{"dropping-particle":"","family":"Pollina","given":"Adrien","non-dropping-particle":"","parse-names":false,"suffix":""},{"dropping-particle":"","family":"Fayolle-Pivot","given":"Laure","non-dropping-particle":"","parse-names":false,"suffix":""},{"dropping-particle":"","family":"Coutrot","given":"Maxime","non-dropping-particle":"","parse-names":false,"suffix":""},{"dropping-particle":"","family":"Chaussard","given":"Maïté","non-dropping-particle":"","parse-names":false,"suffix":""},{"dropping-particle":"","family":"Santos","given":"Karine","non-dropping-particle":"","parse-names":false,"suffix":""},{"dropping-particle":"","family":"Hartmann","given":"Oliver","non-dropping-particle":"","parse-names":false,"suffix":""},{"dropping-particle":"","family":"Jully","given":"Marion","non-dropping-particle":"","parse-names":false,"suffix":""},{"dropping-particle":"","family":"Fratani","given":"Alexandre","non-dropping-particle":"","parse-names":false,"suffix":""},{"dropping-particle":"","family":"Oueslati","given":"Haikel","non-dropping-particle":"","parse-names":false,"suffix":""},{"dropping-particle":"","family":"Cupaciu","given":"Alexandru","non-dropping-particle":"","parse-names":false,"suffix":""},{"dropping-particle":"","family":"Benyamina","given":"Mourad","non-dropping-particle":"","parse-names":false,"suffix":""},{"dropping-particle":"","family":"Guillemet","given":"Lucie","non-dropping-particle":"","parse-names":false,"suffix":""},{"dropping-particle":"","family":"Deniau","given":"Benjamin","non-dropping-particle":"","parse-names":false,"suffix":""},{"dropping-particle":"","family":"Mebazaa","given":"Alexandre","non-dropping-particle":"","parse-names":false,"suffix":""},{"dropping-particle":"","family":"Gayat","given":"Etienne","non-dropping-particle":"","parse-names":false,"suffix":""},{"dropping-particle":"","family":"Farny","given":"Boris","non-dropping-particle":"","parse-names":false,"suffix":""},{"dropping-particle":"","family":"Textoris","given":"Julien","non-dropping-particle":"","parse-names":false,"suffix":""},{"dropping-particle":"","family":"Legrand","given":"Matthieu","non-dropping-particle":"","parse-names":false,"suffix":""}],"container-title":"Critical Care","id":"ITEM-3","issue":"1","issued":{"date-parts":[["2020","12","22"]]},"page":"168","title":"Circulating dipeptidyl peptidase-3 at admission is associated with circulatory failure, acute kidney injury and death in severely ill burn patients.","type":"article-journal","volume":"24"},"uris":["http://www.mendeley.com/documents/?uuid=054b9d29-d4a6-4bff-9326-b974fab8db02"]}],"mendeley":{"formattedCitation":"[8–10]","plainTextFormattedCitation":"[8–10]","previouslyFormattedCitation":"[8–10]"},"properties":{"noteIndex":0},"schema":"https://github.com/citation-style-language/schema/raw/master/csl-citation.json"}</w:instrText>
      </w:r>
      <w:r w:rsidR="0039403A">
        <w:rPr>
          <w:rFonts w:ascii="Times New Roman" w:hAnsi="Times New Roman" w:cs="Times New Roman"/>
          <w:lang w:val="en-US"/>
        </w:rPr>
        <w:fldChar w:fldCharType="separate"/>
      </w:r>
      <w:r w:rsidR="008320A2" w:rsidRPr="008320A2">
        <w:rPr>
          <w:rFonts w:ascii="Times New Roman" w:hAnsi="Times New Roman" w:cs="Times New Roman"/>
          <w:noProof/>
          <w:lang w:val="en-US"/>
        </w:rPr>
        <w:t>[8–10]</w:t>
      </w:r>
      <w:r w:rsidR="0039403A">
        <w:rPr>
          <w:rFonts w:ascii="Times New Roman" w:hAnsi="Times New Roman" w:cs="Times New Roman"/>
          <w:lang w:val="en-US"/>
        </w:rPr>
        <w:fldChar w:fldCharType="end"/>
      </w:r>
      <w:r w:rsidR="009D2A20">
        <w:rPr>
          <w:rFonts w:ascii="Times New Roman" w:hAnsi="Times New Roman" w:cs="Times New Roman"/>
          <w:lang w:val="en-US"/>
        </w:rPr>
        <w:t>.</w:t>
      </w:r>
      <w:r w:rsidR="007E268B">
        <w:rPr>
          <w:rFonts w:ascii="Times New Roman" w:hAnsi="Times New Roman" w:cs="Times New Roman"/>
          <w:lang w:val="en-US"/>
        </w:rPr>
        <w:t xml:space="preserve"> </w:t>
      </w:r>
      <w:r w:rsidR="004E2F04" w:rsidRPr="004E2F04">
        <w:rPr>
          <w:rFonts w:ascii="Times New Roman" w:hAnsi="Times New Roman" w:cs="Times New Roman"/>
          <w:lang w:val="en-US"/>
        </w:rPr>
        <w:t>DPP3</w:t>
      </w:r>
      <w:r w:rsidR="009177DB">
        <w:rPr>
          <w:rFonts w:ascii="Times New Roman" w:hAnsi="Times New Roman" w:cs="Times New Roman"/>
          <w:lang w:val="en-US"/>
        </w:rPr>
        <w:t xml:space="preserve"> is </w:t>
      </w:r>
      <w:proofErr w:type="gramStart"/>
      <w:r w:rsidR="009177DB">
        <w:rPr>
          <w:rFonts w:ascii="Times New Roman" w:hAnsi="Times New Roman" w:cs="Times New Roman"/>
          <w:lang w:val="en-US"/>
        </w:rPr>
        <w:t>a</w:t>
      </w:r>
      <w:r w:rsidR="002A4BD7">
        <w:rPr>
          <w:rFonts w:ascii="Times New Roman" w:hAnsi="Times New Roman" w:cs="Times New Roman"/>
          <w:lang w:val="en-US"/>
        </w:rPr>
        <w:t>n</w:t>
      </w:r>
      <w:proofErr w:type="gramEnd"/>
      <w:r w:rsidR="002A4BD7">
        <w:rPr>
          <w:rFonts w:ascii="Times New Roman" w:hAnsi="Times New Roman" w:cs="Times New Roman"/>
          <w:lang w:val="en-US"/>
        </w:rPr>
        <w:t xml:space="preserve"> ubiquitous,</w:t>
      </w:r>
      <w:r w:rsidR="009177DB">
        <w:rPr>
          <w:rFonts w:ascii="Times New Roman" w:hAnsi="Times New Roman" w:cs="Times New Roman"/>
          <w:lang w:val="en-US"/>
        </w:rPr>
        <w:t xml:space="preserve"> </w:t>
      </w:r>
      <w:r w:rsidR="00A540EF">
        <w:rPr>
          <w:rFonts w:ascii="Times New Roman" w:hAnsi="Times New Roman" w:cs="Times New Roman"/>
          <w:lang w:val="en-US"/>
        </w:rPr>
        <w:t>predominantly cytosolic zinc metallo</w:t>
      </w:r>
      <w:r w:rsidR="009177DB">
        <w:rPr>
          <w:rFonts w:ascii="Times New Roman" w:hAnsi="Times New Roman" w:cs="Times New Roman"/>
          <w:lang w:val="en-US"/>
        </w:rPr>
        <w:t xml:space="preserve">peptidase </w:t>
      </w:r>
      <w:r w:rsidR="002A4BD7">
        <w:rPr>
          <w:rFonts w:ascii="Times New Roman" w:hAnsi="Times New Roman" w:cs="Times New Roman"/>
          <w:lang w:val="en-US"/>
        </w:rPr>
        <w:t>that cleaves d</w:t>
      </w:r>
      <w:r w:rsidR="00107C34">
        <w:rPr>
          <w:rFonts w:ascii="Times New Roman" w:hAnsi="Times New Roman" w:cs="Times New Roman"/>
          <w:lang w:val="en-US"/>
        </w:rPr>
        <w:t>i</w:t>
      </w:r>
      <w:r w:rsidR="002A4BD7">
        <w:rPr>
          <w:rFonts w:ascii="Times New Roman" w:hAnsi="Times New Roman" w:cs="Times New Roman"/>
          <w:lang w:val="en-US"/>
        </w:rPr>
        <w:t xml:space="preserve">peptides from the N-terminus of oligopeptides with </w:t>
      </w:r>
      <w:r w:rsidR="000602C2">
        <w:rPr>
          <w:rFonts w:ascii="Times New Roman" w:hAnsi="Times New Roman" w:cs="Times New Roman"/>
          <w:lang w:val="en-US"/>
        </w:rPr>
        <w:t>3</w:t>
      </w:r>
      <w:r w:rsidR="002A4BD7">
        <w:rPr>
          <w:rFonts w:ascii="Times New Roman" w:hAnsi="Times New Roman" w:cs="Times New Roman"/>
          <w:lang w:val="en-US"/>
        </w:rPr>
        <w:t xml:space="preserve"> to 1</w:t>
      </w:r>
      <w:r w:rsidR="000602C2">
        <w:rPr>
          <w:rFonts w:ascii="Times New Roman" w:hAnsi="Times New Roman" w:cs="Times New Roman"/>
          <w:lang w:val="en-US"/>
        </w:rPr>
        <w:t>0</w:t>
      </w:r>
      <w:r w:rsidR="002A4BD7">
        <w:rPr>
          <w:rFonts w:ascii="Times New Roman" w:hAnsi="Times New Roman" w:cs="Times New Roman"/>
          <w:lang w:val="en-US"/>
        </w:rPr>
        <w:t xml:space="preserve"> amino acid residues.</w:t>
      </w:r>
      <w:r w:rsidR="0036585D">
        <w:rPr>
          <w:rFonts w:ascii="Times New Roman" w:hAnsi="Times New Roman" w:cs="Times New Roman"/>
          <w:lang w:val="en-US"/>
        </w:rPr>
        <w:t xml:space="preserve"> </w:t>
      </w:r>
      <w:r w:rsidR="000602C2">
        <w:rPr>
          <w:rFonts w:ascii="Times New Roman" w:hAnsi="Times New Roman" w:cs="Times New Roman"/>
          <w:lang w:val="en-US"/>
        </w:rPr>
        <w:t>Although the exact physiological role and full range of substrate</w:t>
      </w:r>
      <w:r w:rsidR="007F1285">
        <w:rPr>
          <w:rFonts w:ascii="Times New Roman" w:hAnsi="Times New Roman" w:cs="Times New Roman"/>
          <w:lang w:val="en-US"/>
        </w:rPr>
        <w:t>s</w:t>
      </w:r>
      <w:r w:rsidR="000602C2">
        <w:rPr>
          <w:rFonts w:ascii="Times New Roman" w:hAnsi="Times New Roman" w:cs="Times New Roman"/>
          <w:lang w:val="en-US"/>
        </w:rPr>
        <w:t xml:space="preserve"> remain </w:t>
      </w:r>
      <w:r w:rsidR="004C273B">
        <w:rPr>
          <w:rFonts w:ascii="Times New Roman" w:hAnsi="Times New Roman" w:cs="Times New Roman"/>
          <w:lang w:val="en-US"/>
        </w:rPr>
        <w:t>poorly defined</w:t>
      </w:r>
      <w:r w:rsidR="000602C2">
        <w:rPr>
          <w:rFonts w:ascii="Times New Roman" w:hAnsi="Times New Roman" w:cs="Times New Roman"/>
          <w:lang w:val="en-US"/>
        </w:rPr>
        <w:t>,</w:t>
      </w:r>
      <w:r w:rsidR="004C273B">
        <w:rPr>
          <w:rFonts w:ascii="Times New Roman" w:hAnsi="Times New Roman" w:cs="Times New Roman"/>
          <w:lang w:val="en-US"/>
        </w:rPr>
        <w:t xml:space="preserve"> </w:t>
      </w:r>
      <w:r w:rsidR="007F1285">
        <w:rPr>
          <w:rFonts w:ascii="Times New Roman" w:hAnsi="Times New Roman" w:cs="Times New Roman"/>
          <w:lang w:val="en-US"/>
        </w:rPr>
        <w:t xml:space="preserve">DPP3 has been shown to cleave a number of small bioactive peptides like </w:t>
      </w:r>
      <w:proofErr w:type="spellStart"/>
      <w:r w:rsidR="007F1285">
        <w:rPr>
          <w:rFonts w:ascii="Times New Roman" w:hAnsi="Times New Roman" w:cs="Times New Roman"/>
          <w:lang w:val="en-US"/>
        </w:rPr>
        <w:t>angiotensins</w:t>
      </w:r>
      <w:proofErr w:type="spellEnd"/>
      <w:r w:rsidR="007F1285">
        <w:rPr>
          <w:rFonts w:ascii="Times New Roman" w:hAnsi="Times New Roman" w:cs="Times New Roman"/>
          <w:lang w:val="en-US"/>
        </w:rPr>
        <w:t xml:space="preserve"> (Ang II, III and IV), enkephalins and endorphins</w:t>
      </w:r>
      <w:r w:rsidR="008320A2">
        <w:rPr>
          <w:rFonts w:ascii="Times New Roman" w:hAnsi="Times New Roman" w:cs="Times New Roman"/>
          <w:lang w:val="en-US"/>
        </w:rPr>
        <w:t xml:space="preserve"> </w:t>
      </w:r>
      <w:r w:rsidR="003B023A">
        <w:rPr>
          <w:rFonts w:ascii="Times New Roman" w:hAnsi="Times New Roman" w:cs="Times New Roman"/>
          <w:lang w:val="en-US"/>
        </w:rPr>
        <w:fldChar w:fldCharType="begin" w:fldLock="1"/>
      </w:r>
      <w:r w:rsidR="00CF4681">
        <w:rPr>
          <w:rFonts w:ascii="Times New Roman" w:hAnsi="Times New Roman" w:cs="Times New Roman"/>
          <w:lang w:val="en-US"/>
        </w:rPr>
        <w:instrText>ADDIN CSL_CITATION {"citationItems":[{"id":"ITEM-1","itemData":{"DOI":"10.1016/0009-8981(88)90140-4","ISSN":"00098981","author":[{"dropping-particle":"","family":"Vanha-Perttula","given":"Tapani","non-dropping-particle":"","parse-names":false,"suffix":""}],"container-title":"Clinica Chimica Acta","id":"ITEM-1","issue":"2","issued":{"date-parts":[["1988","10"]]},"page":"179-195","title":"Dipeptidyl peptidase III and alanyl aminopeptidase in the human seminal plasma: Origin and biochemical properties.","type":"article-journal","volume":"177"},"uris":["http://www.mendeley.com/documents/?uuid=a36b1241-2025-4103-8970-f39542b383a9"]},{"id":"ITEM-2","itemData":{"DOI":"10.1248/cpb.34.3333","ISSN":"0009-2363","author":[{"dropping-particle":"","family":"Shimamori","given":"Yoshimitu","non-dropping-particle":"","parse-names":false,"suffix":""},{"dropping-particle":"","family":"Watanabe","given":"Yasuhiro","non-dropping-particle":"","parse-names":false,"suffix":""},{"dropping-particle":"","family":"Fujimoto","given":"Yukio","non-dropping-particle":"","parse-names":false,"suffix":""}],"container-title":"Chemical &amp; Pharmaceutical Bulletin","id":"ITEM-2","issue":"8","issued":{"date-parts":[["1986"]]},"page":"3333-3340","title":"Purification and characterization of dipeptidyl aminopeptidase III from human placenta.","type":"article-journal","volume":"34"},"uris":["http://www.mendeley.com/documents/?uuid=0d97c1a8-0261-41e6-9782-42886680b610"]},{"id":"ITEM-3","itemData":{"DOI":"10.1515/BC.2007.039","ISSN":"1431-6730","author":[{"dropping-particle":"","family":"Baršun","given":"Marina","non-dropping-particle":"","parse-names":false,"suffix":""},{"dropping-particle":"","family":"Jajčanin","given":"Nina","non-dropping-particle":"","parse-names":false,"suffix":""},{"dropping-particle":"","family":"Vukelić","given":"Bojana","non-dropping-particle":"","parse-names":false,"suffix":""},{"dropping-particle":"","family":"Špoljarić","given":"Jasminka","non-dropping-particle":"","parse-names":false,"suffix":""},{"dropping-particle":"","family":"Abramić","given":"Marija","non-dropping-particle":"","parse-names":false,"suffix":""}],"container-title":"Biological Chemistry","id":"ITEM-3","issue":"3","issued":{"date-parts":[["2007","1","1"]]},"title":"Human dipeptidyl peptidase III acts as a post-proline-cleaving enzyme on endomorphins.","type":"article-journal","volume":"388"},"uris":["http://www.mendeley.com/documents/?uuid=b47bda86-65b9-41e2-98a8-aa2f8eef6142"]}],"mendeley":{"formattedCitation":"[11–13]","plainTextFormattedCitation":"[11–13]","previouslyFormattedCitation":"[11–13]"},"properties":{"noteIndex":0},"schema":"https://github.com/citation-style-language/schema/raw/master/csl-citation.json"}</w:instrText>
      </w:r>
      <w:r w:rsidR="003B023A">
        <w:rPr>
          <w:rFonts w:ascii="Times New Roman" w:hAnsi="Times New Roman" w:cs="Times New Roman"/>
          <w:lang w:val="en-US"/>
        </w:rPr>
        <w:fldChar w:fldCharType="separate"/>
      </w:r>
      <w:r w:rsidR="008320A2" w:rsidRPr="008320A2">
        <w:rPr>
          <w:rFonts w:ascii="Times New Roman" w:hAnsi="Times New Roman" w:cs="Times New Roman"/>
          <w:noProof/>
          <w:lang w:val="en-US"/>
        </w:rPr>
        <w:t>[11–13]</w:t>
      </w:r>
      <w:r w:rsidR="003B023A">
        <w:rPr>
          <w:rFonts w:ascii="Times New Roman" w:hAnsi="Times New Roman" w:cs="Times New Roman"/>
          <w:lang w:val="en-US"/>
        </w:rPr>
        <w:fldChar w:fldCharType="end"/>
      </w:r>
      <w:r w:rsidR="007F1285">
        <w:rPr>
          <w:rFonts w:ascii="Times New Roman" w:hAnsi="Times New Roman" w:cs="Times New Roman"/>
          <w:lang w:val="en-US"/>
        </w:rPr>
        <w:t xml:space="preserve">. </w:t>
      </w:r>
      <w:r w:rsidR="00250918">
        <w:rPr>
          <w:rFonts w:ascii="Times New Roman" w:hAnsi="Times New Roman" w:cs="Times New Roman"/>
          <w:lang w:val="en-US"/>
        </w:rPr>
        <w:t>In addition</w:t>
      </w:r>
      <w:r w:rsidR="00E80FBA">
        <w:rPr>
          <w:rFonts w:ascii="Times New Roman" w:hAnsi="Times New Roman" w:cs="Times New Roman"/>
          <w:lang w:val="en-US"/>
        </w:rPr>
        <w:t>,</w:t>
      </w:r>
      <w:r w:rsidR="004109FB">
        <w:rPr>
          <w:rFonts w:ascii="Times New Roman" w:hAnsi="Times New Roman" w:cs="Times New Roman"/>
          <w:lang w:val="en-US"/>
        </w:rPr>
        <w:t xml:space="preserve"> </w:t>
      </w:r>
      <w:r w:rsidR="00E80FBA" w:rsidRPr="00E80FBA">
        <w:rPr>
          <w:rFonts w:ascii="Times New Roman" w:hAnsi="Times New Roman" w:cs="Times New Roman"/>
          <w:i/>
          <w:lang w:val="en-US"/>
        </w:rPr>
        <w:t>i</w:t>
      </w:r>
      <w:r w:rsidR="00250918" w:rsidRPr="00E1323B">
        <w:rPr>
          <w:rFonts w:ascii="Times New Roman" w:hAnsi="Times New Roman" w:cs="Times New Roman"/>
          <w:i/>
          <w:lang w:val="en-US"/>
        </w:rPr>
        <w:t>n vitro</w:t>
      </w:r>
      <w:r w:rsidR="00250918">
        <w:rPr>
          <w:rFonts w:ascii="Times New Roman" w:hAnsi="Times New Roman" w:cs="Times New Roman"/>
          <w:lang w:val="en-US"/>
        </w:rPr>
        <w:t xml:space="preserve"> studies show</w:t>
      </w:r>
      <w:r w:rsidR="00545896">
        <w:rPr>
          <w:rFonts w:ascii="Times New Roman" w:hAnsi="Times New Roman" w:cs="Times New Roman"/>
          <w:lang w:val="en-US"/>
        </w:rPr>
        <w:t>ed</w:t>
      </w:r>
      <w:r w:rsidR="00250918">
        <w:rPr>
          <w:rFonts w:ascii="Times New Roman" w:hAnsi="Times New Roman" w:cs="Times New Roman"/>
          <w:lang w:val="en-US"/>
        </w:rPr>
        <w:t xml:space="preserve"> that cytosolic </w:t>
      </w:r>
      <w:r w:rsidR="007F1285">
        <w:rPr>
          <w:rFonts w:ascii="Times New Roman" w:hAnsi="Times New Roman" w:cs="Times New Roman"/>
          <w:lang w:val="en-US"/>
        </w:rPr>
        <w:t xml:space="preserve">DPP3 </w:t>
      </w:r>
      <w:r w:rsidR="00545896">
        <w:rPr>
          <w:rFonts w:ascii="Times New Roman" w:hAnsi="Times New Roman" w:cs="Times New Roman"/>
          <w:lang w:val="en-US"/>
        </w:rPr>
        <w:t>is</w:t>
      </w:r>
      <w:r w:rsidR="00250918">
        <w:rPr>
          <w:rFonts w:ascii="Times New Roman" w:hAnsi="Times New Roman" w:cs="Times New Roman"/>
          <w:lang w:val="en-US"/>
        </w:rPr>
        <w:t xml:space="preserve"> released </w:t>
      </w:r>
      <w:r w:rsidR="007F1285">
        <w:rPr>
          <w:rFonts w:ascii="Times New Roman" w:hAnsi="Times New Roman" w:cs="Times New Roman"/>
          <w:lang w:val="en-US"/>
        </w:rPr>
        <w:t>from dying cells</w:t>
      </w:r>
      <w:r w:rsidR="008320A2">
        <w:rPr>
          <w:rFonts w:ascii="Times New Roman" w:hAnsi="Times New Roman" w:cs="Times New Roman"/>
          <w:lang w:val="en-US"/>
        </w:rPr>
        <w:t xml:space="preserve"> </w:t>
      </w:r>
      <w:r w:rsidR="00740602">
        <w:rPr>
          <w:rFonts w:ascii="Times New Roman" w:hAnsi="Times New Roman" w:cs="Times New Roman"/>
          <w:lang w:val="en-US"/>
        </w:rPr>
        <w:fldChar w:fldCharType="begin" w:fldLock="1"/>
      </w:r>
      <w:r w:rsidR="00CF4681">
        <w:rPr>
          <w:rFonts w:ascii="Times New Roman" w:hAnsi="Times New Roman" w:cs="Times New Roman"/>
          <w:lang w:val="en-US"/>
        </w:rPr>
        <w:instrText>ADDIN CSL_CITATION {"citationItems":[{"id":"ITEM-1","itemData":{"DOI":"10.1042/BJ20061738","ISSN":"0264-6021","abstract":"A number of studies, mostly performed ex vivo, suggest that lysosomes are involved in apoptosis as a result of a release of their cathepsins into the cytosol. These enzymes could then contribute to the permeabilization of the outer mitochondrial membrane; they could also activate effector caspases. The present study aims at testing whether the membrane of liver lysosomes is disrupted during Fas-mediated cell death of hepatocytes in vivo, a process implicated in several liver pathologies. Apoptosis was induced by injecting mice with aFas (anti-Fas antibody). The state of lysosomes was assessed by determining the proportion of lysosomal enzymes (β-galactosidase, β-glucuronidase, cathepsin C and cathepsin B) present in homogenate supernatants, devoid of intact lysosomes, and by analysing the behaviour in differential and isopycnic centrifugation of β-galactosidase. Apoptosis was monitored by measuring caspase 3 activity (DEVDase) and the release of sulfite cytochrome c reductase, an enzyme located in the mitochondrial intermembrane space. Results show that an injection of 10 μg of aFas causes a rapid and large increase in DEVDase activity and in unsedimentable sulfite cytochrome c reductase. This modifies neither the proportion of unsedimentable lysosomal enzyme in the homogenates nor the behaviour of lysosomes in centrifugation. Experiments performed with a lower dose of aFas (5 μg) indicate that unsedimentable lysosomal hydrolase activity increases in the homogenate after injection but with a marked delay with respect to the increase in DEVDase activity and in unsedimentable sulfite cytochrome c reductase. Comparative experiments ex vivo performed with Jurkat cells show an increase in unsedimentable lysosomal hydrolases, but much later than caspase 3 activation, and a release of dipeptidyl peptidase III and DEVDase into culture medium. It is proposed that the weakening of lysosomes observed after aFas treatment in vivo and ex vivo results from a necrotic process that takes place late after initiation of apoptosis.","author":[{"dropping-particle":"","family":"Wattiaux","given":"Robert","non-dropping-particle":"","parse-names":false,"suffix":""},{"dropping-particle":"","family":"Wattiaux-De Coninck","given":"Simone","non-dropping-particle":"","parse-names":false,"suffix":""},{"dropping-particle":"","family":"Thirion","given":"Jacqueline","non-dropping-particle":"","parse-names":false,"suffix":""},{"dropping-particle":"","family":"Gasingirwa","given":"Mańe-Christine","non-dropping-particle":"","parse-names":false,"suffix":""},{"dropping-particle":"","family":"Jadot","given":"Michel","non-dropping-particle":"","parse-names":false,"suffix":""}],"container-title":"Biochemical Journal","id":"ITEM-1","issue":"1","issued":{"date-parts":[["2007","4","1"]]},"page":"89-95","title":"Lysosomes and Fas-mediated liver cell death.","type":"article-journal","volume":"403"},"uris":["http://www.mendeley.com/documents/?uuid=3e09a716-b747-4525-b823-932ef5330c3f"]}],"mendeley":{"formattedCitation":"[14]","plainTextFormattedCitation":"[14]","previouslyFormattedCitation":"[14]"},"properties":{"noteIndex":0},"schema":"https://github.com/citation-style-language/schema/raw/master/csl-citation.json"}</w:instrText>
      </w:r>
      <w:r w:rsidR="00740602">
        <w:rPr>
          <w:rFonts w:ascii="Times New Roman" w:hAnsi="Times New Roman" w:cs="Times New Roman"/>
          <w:lang w:val="en-US"/>
        </w:rPr>
        <w:fldChar w:fldCharType="separate"/>
      </w:r>
      <w:r w:rsidR="008320A2" w:rsidRPr="008320A2">
        <w:rPr>
          <w:rFonts w:ascii="Times New Roman" w:hAnsi="Times New Roman" w:cs="Times New Roman"/>
          <w:noProof/>
          <w:lang w:val="en-US"/>
        </w:rPr>
        <w:t>[14]</w:t>
      </w:r>
      <w:r w:rsidR="00740602">
        <w:rPr>
          <w:rFonts w:ascii="Times New Roman" w:hAnsi="Times New Roman" w:cs="Times New Roman"/>
          <w:lang w:val="en-US"/>
        </w:rPr>
        <w:fldChar w:fldCharType="end"/>
      </w:r>
      <w:r w:rsidR="007F1285">
        <w:rPr>
          <w:rFonts w:ascii="Times New Roman" w:hAnsi="Times New Roman" w:cs="Times New Roman"/>
          <w:lang w:val="en-US"/>
        </w:rPr>
        <w:t xml:space="preserve"> and recent development of improved </w:t>
      </w:r>
      <w:r w:rsidR="007F1285" w:rsidRPr="004C273B">
        <w:rPr>
          <w:rFonts w:ascii="Times New Roman" w:hAnsi="Times New Roman" w:cs="Times New Roman"/>
          <w:lang w:val="en-US"/>
        </w:rPr>
        <w:t xml:space="preserve">assays to specifically detect and quantify </w:t>
      </w:r>
      <w:r w:rsidR="007F1285">
        <w:rPr>
          <w:rFonts w:ascii="Times New Roman" w:hAnsi="Times New Roman" w:cs="Times New Roman"/>
          <w:lang w:val="en-US"/>
        </w:rPr>
        <w:t xml:space="preserve">the enzyme in human </w:t>
      </w:r>
      <w:r w:rsidR="007639B5">
        <w:rPr>
          <w:rFonts w:ascii="Times New Roman" w:hAnsi="Times New Roman" w:cs="Times New Roman"/>
          <w:lang w:val="en-US"/>
        </w:rPr>
        <w:t xml:space="preserve">blood </w:t>
      </w:r>
      <w:r w:rsidR="007F1285">
        <w:rPr>
          <w:rFonts w:ascii="Times New Roman" w:hAnsi="Times New Roman" w:cs="Times New Roman"/>
          <w:lang w:val="en-US"/>
        </w:rPr>
        <w:t xml:space="preserve">revealed </w:t>
      </w:r>
      <w:r w:rsidR="00740602">
        <w:rPr>
          <w:rFonts w:ascii="Times New Roman" w:hAnsi="Times New Roman" w:cs="Times New Roman"/>
          <w:lang w:val="en-US"/>
        </w:rPr>
        <w:t xml:space="preserve">that </w:t>
      </w:r>
      <w:r w:rsidR="007F1285">
        <w:rPr>
          <w:rFonts w:ascii="Times New Roman" w:hAnsi="Times New Roman" w:cs="Times New Roman"/>
          <w:lang w:val="en-US"/>
        </w:rPr>
        <w:t xml:space="preserve">circulatory DPP3 (cDPP3) levels </w:t>
      </w:r>
      <w:r w:rsidR="00740602">
        <w:rPr>
          <w:rFonts w:ascii="Times New Roman" w:hAnsi="Times New Roman" w:cs="Times New Roman"/>
          <w:lang w:val="en-US"/>
        </w:rPr>
        <w:t xml:space="preserve">are elevated </w:t>
      </w:r>
      <w:r w:rsidR="007F1285">
        <w:rPr>
          <w:rFonts w:ascii="Times New Roman" w:hAnsi="Times New Roman" w:cs="Times New Roman"/>
          <w:lang w:val="en-US"/>
        </w:rPr>
        <w:t>in critically ill patients</w:t>
      </w:r>
      <w:r w:rsidR="008320A2">
        <w:rPr>
          <w:rFonts w:ascii="Times New Roman" w:hAnsi="Times New Roman" w:cs="Times New Roman"/>
          <w:lang w:val="en-US"/>
        </w:rPr>
        <w:t xml:space="preserve"> </w:t>
      </w:r>
      <w:r w:rsidR="00740602">
        <w:rPr>
          <w:rFonts w:ascii="Times New Roman" w:hAnsi="Times New Roman" w:cs="Times New Roman"/>
          <w:lang w:val="en-US"/>
        </w:rPr>
        <w:fldChar w:fldCharType="begin" w:fldLock="1"/>
      </w:r>
      <w:r w:rsidR="00CF4681">
        <w:rPr>
          <w:rFonts w:ascii="Times New Roman" w:hAnsi="Times New Roman" w:cs="Times New Roman"/>
          <w:lang w:val="en-US"/>
        </w:rPr>
        <w:instrText>ADDIN CSL_CITATION {"citationItems":[{"id":"ITEM-1","itemData":{"DOI":"10.1373/jalm.2018.027995","ISSN":"2576-9456","author":[{"dropping-particle":"","family":"Rehfeld","given":"Linda","non-dropping-particle":"","parse-names":false,"suffix":""},{"dropping-particle":"","family":"Funk","given":"Eugenia","non-dropping-particle":"","parse-names":false,"suffix":""},{"dropping-particle":"","family":"Jha","given":"Shalinee","non-dropping-particle":"","parse-names":false,"suffix":""},{"dropping-particle":"","family":"Macheroux","given":"Peter","non-dropping-particle":"","parse-names":false,"suffix":""},{"dropping-particle":"","family":"Melander","given":"Olle","non-dropping-particle":"","parse-names":false,"suffix":""},{"dropping-particle":"","family":"Bergmann","given":"Andreas","non-dropping-particle":"","parse-names":false,"suffix":""}],"container-title":"The Journal of Applied Laboratory Medicine","id":"ITEM-1","issue":"6","issued":{"date-parts":[["2019","5","1"]]},"page":"943-953","title":"Novel methods for the quantification of dipeptidyl peptidase 3 (DPP3) concentration and activity in human blood samples.","type":"article-journal","volume":"3"},"uris":["http://www.mendeley.com/documents/?uuid=714ff383-7386-4508-bb26-062ca508a6e7"]}],"mendeley":{"formattedCitation":"[15]","plainTextFormattedCitation":"[15]","previouslyFormattedCitation":"[15]"},"properties":{"noteIndex":0},"schema":"https://github.com/citation-style-language/schema/raw/master/csl-citation.json"}</w:instrText>
      </w:r>
      <w:r w:rsidR="00740602">
        <w:rPr>
          <w:rFonts w:ascii="Times New Roman" w:hAnsi="Times New Roman" w:cs="Times New Roman"/>
          <w:lang w:val="en-US"/>
        </w:rPr>
        <w:fldChar w:fldCharType="separate"/>
      </w:r>
      <w:r w:rsidR="008320A2" w:rsidRPr="008320A2">
        <w:rPr>
          <w:rFonts w:ascii="Times New Roman" w:hAnsi="Times New Roman" w:cs="Times New Roman"/>
          <w:noProof/>
          <w:lang w:val="en-US"/>
        </w:rPr>
        <w:t>[15]</w:t>
      </w:r>
      <w:r w:rsidR="00740602">
        <w:rPr>
          <w:rFonts w:ascii="Times New Roman" w:hAnsi="Times New Roman" w:cs="Times New Roman"/>
          <w:lang w:val="en-US"/>
        </w:rPr>
        <w:fldChar w:fldCharType="end"/>
      </w:r>
      <w:r w:rsidR="007F1285">
        <w:rPr>
          <w:rFonts w:ascii="Times New Roman" w:hAnsi="Times New Roman" w:cs="Times New Roman"/>
          <w:lang w:val="en-US"/>
        </w:rPr>
        <w:t>.</w:t>
      </w:r>
      <w:r w:rsidR="00740602">
        <w:rPr>
          <w:rFonts w:ascii="Times New Roman" w:hAnsi="Times New Roman" w:cs="Times New Roman"/>
          <w:lang w:val="en-US"/>
        </w:rPr>
        <w:t xml:space="preserve"> Subsequent studies in patients suffering from cardiogenic shock, severe burns and / or sepsis indicated that high cDPP3 levels on admission </w:t>
      </w:r>
      <w:r w:rsidR="00E4711B">
        <w:rPr>
          <w:rFonts w:ascii="Times New Roman" w:hAnsi="Times New Roman" w:cs="Times New Roman"/>
          <w:lang w:val="en-US"/>
        </w:rPr>
        <w:t xml:space="preserve">to the intensive care unit (ICU) </w:t>
      </w:r>
      <w:r w:rsidR="00740602">
        <w:rPr>
          <w:rFonts w:ascii="Times New Roman" w:hAnsi="Times New Roman" w:cs="Times New Roman"/>
          <w:lang w:val="en-US"/>
        </w:rPr>
        <w:t>are associated with disease severity and increased short-term mortality and that dynamic changes of cDPP3 levels during the first 24h are significantly associated with clinical outcome</w:t>
      </w:r>
      <w:r w:rsidR="008320A2">
        <w:rPr>
          <w:rFonts w:ascii="Times New Roman" w:hAnsi="Times New Roman" w:cs="Times New Roman"/>
          <w:lang w:val="en-US"/>
        </w:rPr>
        <w:t xml:space="preserve"> </w:t>
      </w:r>
      <w:r w:rsidR="0029324F">
        <w:rPr>
          <w:rFonts w:ascii="Times New Roman" w:hAnsi="Times New Roman" w:cs="Times New Roman"/>
          <w:lang w:val="en-US"/>
        </w:rPr>
        <w:fldChar w:fldCharType="begin" w:fldLock="1"/>
      </w:r>
      <w:r w:rsidR="00CF4681">
        <w:rPr>
          <w:rFonts w:ascii="Times New Roman" w:hAnsi="Times New Roman" w:cs="Times New Roman"/>
          <w:lang w:val="en-US"/>
        </w:rPr>
        <w:instrText>ADDIN CSL_CITATION {"citationItems":[{"id":"ITEM-1","itemData":{"DOI":"10.1002/ejhf.1600","ISSN":"1388-9842","author":[{"dropping-particle":"","family":"Takagi","given":"Koji","non-dropping-particle":"","parse-names":false,"suffix":""},{"dropping-particle":"","family":"Blet","given":"Alice","non-dropping-particle":"","parse-names":false,"suffix":""},{"dropping-particle":"","family":"Levy","given":"Bruno","non-dropping-particle":"","parse-names":false,"suffix":""},{"dropping-particle":"","family":"Deniau","given":"Benjamin","non-dropping-particle":"","parse-names":false,"suffix":""},{"dropping-particle":"","family":"Azibani","given":"Feriel","non-dropping-particle":"","parse-names":false,"suffix":""},{"dropping-particle":"","family":"Feliot","given":"Elodie","non-dropping-particle":"","parse-names":false,"suffix":""},{"dropping-particle":"","family":"Bergmann","given":"Andreas","non-dropping-particle":"","parse-names":false,"suffix":""},{"dropping-particle":"","family":"Santos","given":"Karine","non-dropping-particle":"","parse-names":false,"suffix":""},{"dropping-particle":"","family":"Hartmann","given":"Oliver","non-dropping-particle":"","parse-names":false,"suffix":""},{"dropping-particle":"","family":"Gayat","given":"Etienne","non-dropping-particle":"","parse-names":false,"suffix":""},{"dropping-particle":"","family":"Mebazaa","given":"Alexandre","non-dropping-particle":"","parse-names":false,"suffix":""},{"dropping-particle":"","family":"Kimmoun","given":"Antoine","non-dropping-particle":"","parse-names":false,"suffix":""}],"container-title":"European Journal of Heart Failure","id":"ITEM-1","issue":"2","issued":{"date-parts":[["2020","2"]]},"page":"279-286","title":"Circulating dipeptidyl peptidase 3 and alteration in haemodynamics in cardiogenic shock: Results from the OptimaCC trial.","type":"article-journal","volume":"22"},"uris":["http://www.mendeley.com/documents/?uuid=55665246-5d7e-4396-9911-ba08c15f5909"]},{"id":"ITEM-2","itemData":{"DOI":"10.1002/ejhf.1601","ISSN":"1388-9842","author":[{"dropping-particle":"","family":"Deniau","given":"Benjamin","non-dropping-particle":"","parse-names":false,"suffix":""},{"dropping-particle":"","family":"Rehfeld","given":"Linda","non-dropping-particle":"","parse-names":false,"suffix":""},{"dropping-particle":"","family":"Santos","given":"Karine","non-dropping-particle":"","parse-names":false,"suffix":""},{"dropping-particle":"","family":"Dienelt","given":"Anke","non-dropping-particle":"","parse-names":false,"suffix":""},{"dropping-particle":"","family":"Azibani","given":"Feriel","non-dropping-particle":"","parse-names":false,"suffix":""},{"dropping-particle":"","family":"Sadoune","given":"Malha","non-dropping-particle":"","parse-names":false,"suffix":""},{"dropping-particle":"","family":"Kounde","given":"Paul R.","non-dropping-particle":"","parse-names":false,"suffix":""},{"dropping-particle":"","family":"Samuel","given":"Jane L.","non-dropping-particle":"","parse-names":false,"suffix":""},{"dropping-particle":"","family":"Tolpannen","given":"Heli","non-dropping-particle":"","parse-names":false,"suffix":""},{"dropping-particle":"","family":"Lassus","given":"Johan","non-dropping-particle":"","parse-names":false,"suffix":""},{"dropping-particle":"","family":"Harjola","given":"Veli‐Pekka","non-dropping-particle":"","parse-names":false,"suffix":""},{"dropping-particle":"","family":"Vodovar","given":"Nicolas","non-dropping-particle":"","parse-names":false,"suffix":""},{"dropping-particle":"","family":"Bergmann","given":"Andreas","non-dropping-particle":"","parse-names":false,"suffix":""},{"dropping-particle":"","family":"Hartmann","given":"Oliver","non-dropping-particle":"","parse-names":false,"suffix":""},{"dropping-particle":"","family":"Mebazaa","given":"Alexandre","non-dropping-particle":"","parse-names":false,"suffix":""},{"dropping-particle":"","family":"Blet","given":"Alice","non-dropping-particle":"","parse-names":false,"suffix":""}],"container-title":"European Journal of Heart Failure","id":"ITEM-2","issue":"2","issued":{"date-parts":[["2020","2"]]},"page":"290-299","title":"Circulating dipeptidyl peptidase 3 is a myocardial depressant factor: Dipeptidyl peptidase 3 inhibition rapidly and sustainably improves haemodynamics.","type":"article-journal","volume":"22"},"uris":["http://www.mendeley.com/documents/?uuid=39f0896b-3d0c-4c96-9cb4-a045bff6c543"]},{"id":"ITEM-3","itemData":{"DOI":"10.1186/s13054-020-02888-5","ISSN":"1364-8535","author":[{"dropping-particle":"","family":"Dépret","given":"François","non-dropping-particle":"","parse-names":false,"suffix":""},{"dropping-particle":"","family":"Amzallag","given":"Juliette","non-dropping-particle":"","parse-names":false,"suffix":""},{"dropping-particle":"","family":"Pollina","given":"Adrien","non-dropping-particle":"","parse-names":false,"suffix":""},{"dropping-particle":"","family":"Fayolle-Pivot","given":"Laure","non-dropping-particle":"","parse-names":false,"suffix":""},{"dropping-particle":"","family":"Coutrot","given":"Maxime","non-dropping-particle":"","parse-names":false,"suffix":""},{"dropping-particle":"","family":"Chaussard","given":"Maïté","non-dropping-particle":"","parse-names":false,"suffix":""},{"dropping-particle":"","family":"Santos","given":"Karine","non-dropping-particle":"","parse-names":false,"suffix":""},{"dropping-particle":"","family":"Hartmann","given":"Oliver","non-dropping-particle":"","parse-names":false,"suffix":""},{"dropping-particle":"","family":"Jully","given":"Marion","non-dropping-particle":"","parse-names":false,"suffix":""},{"dropping-particle":"","family":"Fratani","given":"Alexandre","non-dropping-particle":"","parse-names":false,"suffix":""},{"dropping-particle":"","family":"Oueslati","given":"Haikel","non-dropping-particle":"","parse-names":false,"suffix":""},{"dropping-particle":"","family":"Cupaciu","given":"Alexandru","non-dropping-particle":"","parse-names":false,"suffix":""},{"dropping-particle":"","family":"Benyamina","given":"Mourad","non-dropping-particle":"","parse-names":false,"suffix":""},{"dropping-particle":"","family":"Guillemet","given":"Lucie","non-dropping-particle":"","parse-names":false,"suffix":""},{"dropping-particle":"","family":"Deniau","given":"Benjamin","non-dropping-particle":"","parse-names":false,"suffix":""},{"dropping-particle":"","family":"Mebazaa","given":"Alexandre","non-dropping-particle":"","parse-names":false,"suffix":""},{"dropping-particle":"","family":"Gayat","given":"Etienne","non-dropping-particle":"","parse-names":false,"suffix":""},{"dropping-particle":"","family":"Farny","given":"Boris","non-dropping-particle":"","parse-names":false,"suffix":""},{"dropping-particle":"","family":"Textoris","given":"Julien","non-dropping-particle":"","parse-names":false,"suffix":""},{"dropping-particle":"","family":"Legrand","given":"Matthieu","non-dropping-particle":"","parse-names":false,"suffix":""}],"container-title":"Critical Care","id":"ITEM-3","issue":"1","issued":{"date-parts":[["2020","12","22"]]},"page":"168","title":"Circulating dipeptidyl peptidase-3 at admission is associated with circulatory failure, acute kidney injury and death in severely ill burn patients.","type":"article-journal","volume":"24"},"uris":["http://www.mendeley.com/documents/?uuid=054b9d29-d4a6-4bff-9326-b974fab8db02"]}],"mendeley":{"formattedCitation":"[8–10]","plainTextFormattedCitation":"[8–10]","previouslyFormattedCitation":"[8–10]"},"properties":{"noteIndex":0},"schema":"https://github.com/citation-style-language/schema/raw/master/csl-citation.json"}</w:instrText>
      </w:r>
      <w:r w:rsidR="0029324F">
        <w:rPr>
          <w:rFonts w:ascii="Times New Roman" w:hAnsi="Times New Roman" w:cs="Times New Roman"/>
          <w:lang w:val="en-US"/>
        </w:rPr>
        <w:fldChar w:fldCharType="separate"/>
      </w:r>
      <w:r w:rsidR="008320A2" w:rsidRPr="008320A2">
        <w:rPr>
          <w:rFonts w:ascii="Times New Roman" w:hAnsi="Times New Roman" w:cs="Times New Roman"/>
          <w:noProof/>
          <w:lang w:val="en-US"/>
        </w:rPr>
        <w:t>[8–10]</w:t>
      </w:r>
      <w:r w:rsidR="0029324F">
        <w:rPr>
          <w:rFonts w:ascii="Times New Roman" w:hAnsi="Times New Roman" w:cs="Times New Roman"/>
          <w:lang w:val="en-US"/>
        </w:rPr>
        <w:fldChar w:fldCharType="end"/>
      </w:r>
      <w:r w:rsidR="00740602">
        <w:rPr>
          <w:rFonts w:ascii="Times New Roman" w:hAnsi="Times New Roman" w:cs="Times New Roman"/>
          <w:lang w:val="en-US"/>
        </w:rPr>
        <w:t xml:space="preserve">. </w:t>
      </w:r>
      <w:r w:rsidR="009D2A20">
        <w:rPr>
          <w:rFonts w:ascii="Times New Roman" w:hAnsi="Times New Roman" w:cs="Times New Roman"/>
          <w:lang w:val="en-US"/>
        </w:rPr>
        <w:t xml:space="preserve">In addition, injection of purified DPP3 </w:t>
      </w:r>
      <w:r w:rsidR="008B70E4">
        <w:rPr>
          <w:rFonts w:ascii="Times New Roman" w:hAnsi="Times New Roman" w:cs="Times New Roman"/>
          <w:lang w:val="en-US"/>
        </w:rPr>
        <w:t xml:space="preserve">produced </w:t>
      </w:r>
      <w:r w:rsidR="009C610D">
        <w:rPr>
          <w:rFonts w:ascii="Times New Roman" w:hAnsi="Times New Roman" w:cs="Times New Roman"/>
          <w:lang w:val="en-US"/>
        </w:rPr>
        <w:t xml:space="preserve">acute </w:t>
      </w:r>
      <w:r w:rsidR="008B70E4">
        <w:rPr>
          <w:rFonts w:ascii="Times New Roman" w:hAnsi="Times New Roman" w:cs="Times New Roman"/>
          <w:lang w:val="en-US"/>
        </w:rPr>
        <w:t xml:space="preserve">myocardial depression and impaired kidney </w:t>
      </w:r>
      <w:r w:rsidR="009C610D">
        <w:rPr>
          <w:rFonts w:ascii="Times New Roman" w:hAnsi="Times New Roman" w:cs="Times New Roman"/>
          <w:lang w:val="en-US"/>
        </w:rPr>
        <w:t>function</w:t>
      </w:r>
      <w:r w:rsidR="009C610D" w:rsidRPr="009C610D">
        <w:rPr>
          <w:rFonts w:ascii="Times New Roman" w:hAnsi="Times New Roman" w:cs="Times New Roman"/>
          <w:lang w:val="en-US"/>
        </w:rPr>
        <w:t xml:space="preserve"> </w:t>
      </w:r>
      <w:r w:rsidR="009C610D">
        <w:rPr>
          <w:rFonts w:ascii="Times New Roman" w:hAnsi="Times New Roman" w:cs="Times New Roman"/>
          <w:lang w:val="en-US"/>
        </w:rPr>
        <w:t xml:space="preserve">in healthy mice, while DPP3 inhibition by the specific antibody </w:t>
      </w:r>
      <w:proofErr w:type="spellStart"/>
      <w:r w:rsidR="009C610D">
        <w:rPr>
          <w:rFonts w:ascii="Times New Roman" w:hAnsi="Times New Roman" w:cs="Times New Roman"/>
          <w:lang w:val="en-US"/>
        </w:rPr>
        <w:t>Procizumab</w:t>
      </w:r>
      <w:proofErr w:type="spellEnd"/>
      <w:r w:rsidR="009C610D">
        <w:rPr>
          <w:rFonts w:ascii="Times New Roman" w:hAnsi="Times New Roman" w:cs="Times New Roman"/>
          <w:lang w:val="en-US"/>
        </w:rPr>
        <w:t xml:space="preserve"> normalized cardiac and kidney function and reduced oxidative and inflammatory damage in an acute heart failure mouse model</w:t>
      </w:r>
      <w:r w:rsidR="008320A2">
        <w:rPr>
          <w:rFonts w:ascii="Times New Roman" w:hAnsi="Times New Roman" w:cs="Times New Roman"/>
          <w:lang w:val="en-US"/>
        </w:rPr>
        <w:t xml:space="preserve"> </w:t>
      </w:r>
      <w:r w:rsidR="009C610D">
        <w:rPr>
          <w:rFonts w:ascii="Times New Roman" w:hAnsi="Times New Roman" w:cs="Times New Roman"/>
          <w:lang w:val="en-US"/>
        </w:rPr>
        <w:fldChar w:fldCharType="begin" w:fldLock="1"/>
      </w:r>
      <w:r w:rsidR="00CF4681">
        <w:rPr>
          <w:rFonts w:ascii="Times New Roman" w:hAnsi="Times New Roman" w:cs="Times New Roman"/>
          <w:lang w:val="en-US"/>
        </w:rPr>
        <w:instrText>ADDIN CSL_CITATION {"citationItems":[{"id":"ITEM-1","itemData":{"DOI":"10.1002/ejhf.1601","ISSN":"1388-9842","author":[{"dropping-particle":"","family":"Deniau","given":"Benjamin","non-dropping-particle":"","parse-names":false,"suffix":""},{"dropping-particle":"","family":"Rehfeld","given":"Linda","non-dropping-particle":"","parse-names":false,"suffix":""},{"dropping-particle":"","family":"Santos","given":"Karine","non-dropping-particle":"","parse-names":false,"suffix":""},{"dropping-particle":"","family":"Dienelt","given":"Anke","non-dropping-particle":"","parse-names":false,"suffix":""},{"dropping-particle":"","family":"Azibani","given":"Feriel","non-dropping-particle":"","parse-names":false,"suffix":""},{"dropping-particle":"","family":"Sadoune","given":"Malha","non-dropping-particle":"","parse-names":false,"suffix":""},{"dropping-particle":"","family":"Kounde","given":"Paul R.","non-dropping-particle":"","parse-names":false,"suffix":""},{"dropping-particle":"","family":"Samuel","given":"Jane L.","non-dropping-particle":"","parse-names":false,"suffix":""},{"dropping-particle":"","family":"Tolpannen","given":"Heli","non-dropping-particle":"","parse-names":false,"suffix":""},{"dropping-particle":"","family":"Lassus","given":"Johan","non-dropping-particle":"","parse-names":false,"suffix":""},{"dropping-particle":"","family":"Harjola","given":"Veli‐Pekka","non-dropping-particle":"","parse-names":false,"suffix":""},{"dropping-particle":"","family":"Vodovar","given":"Nicolas","non-dropping-particle":"","parse-names":false,"suffix":""},{"dropping-particle":"","family":"Bergmann","given":"Andreas","non-dropping-particle":"","parse-names":false,"suffix":""},{"dropping-particle":"","family":"Hartmann","given":"Oliver","non-dropping-particle":"","parse-names":false,"suffix":""},{"dropping-particle":"","family":"Mebazaa","given":"Alexandre","non-dropping-particle":"","parse-names":false,"suffix":""},{"dropping-particle":"","family":"Blet","given":"Alice","non-dropping-particle":"","parse-names":false,"suffix":""}],"container-title":"European Journal of Heart Failure","id":"ITEM-1","issue":"2","issued":{"date-parts":[["2020","2"]]},"page":"290-299","title":"Circulating dipeptidyl peptidase 3 is a myocardial depressant factor: Dipeptidyl peptidase 3 inhibition rapidly and sustainably improves haemodynamics.","type":"article-journal","volume":"22"},"uris":["http://www.mendeley.com/documents/?uuid=39f0896b-3d0c-4c96-9cb4-a045bff6c543"]}],"mendeley":{"formattedCitation":"[9]","plainTextFormattedCitation":"[9]","previouslyFormattedCitation":"[9]"},"properties":{"noteIndex":0},"schema":"https://github.com/citation-style-language/schema/raw/master/csl-citation.json"}</w:instrText>
      </w:r>
      <w:r w:rsidR="009C610D">
        <w:rPr>
          <w:rFonts w:ascii="Times New Roman" w:hAnsi="Times New Roman" w:cs="Times New Roman"/>
          <w:lang w:val="en-US"/>
        </w:rPr>
        <w:fldChar w:fldCharType="separate"/>
      </w:r>
      <w:r w:rsidR="008320A2" w:rsidRPr="008320A2">
        <w:rPr>
          <w:rFonts w:ascii="Times New Roman" w:hAnsi="Times New Roman" w:cs="Times New Roman"/>
          <w:noProof/>
          <w:lang w:val="en-US"/>
        </w:rPr>
        <w:t>[9]</w:t>
      </w:r>
      <w:r w:rsidR="009C610D">
        <w:rPr>
          <w:rFonts w:ascii="Times New Roman" w:hAnsi="Times New Roman" w:cs="Times New Roman"/>
          <w:lang w:val="en-US"/>
        </w:rPr>
        <w:fldChar w:fldCharType="end"/>
      </w:r>
      <w:r w:rsidR="008B70E4">
        <w:rPr>
          <w:rFonts w:ascii="Times New Roman" w:hAnsi="Times New Roman" w:cs="Times New Roman"/>
          <w:lang w:val="en-US"/>
        </w:rPr>
        <w:t>.</w:t>
      </w:r>
      <w:r w:rsidR="009D2A20">
        <w:rPr>
          <w:rFonts w:ascii="Times New Roman" w:hAnsi="Times New Roman" w:cs="Times New Roman"/>
          <w:lang w:val="en-US"/>
        </w:rPr>
        <w:t xml:space="preserve"> </w:t>
      </w:r>
      <w:r w:rsidR="00894D0F">
        <w:rPr>
          <w:rFonts w:ascii="Times New Roman" w:hAnsi="Times New Roman" w:cs="Times New Roman"/>
          <w:lang w:val="en-US"/>
        </w:rPr>
        <w:t>C</w:t>
      </w:r>
      <w:r w:rsidR="004109FB">
        <w:rPr>
          <w:rFonts w:ascii="Times New Roman" w:hAnsi="Times New Roman" w:cs="Times New Roman"/>
          <w:lang w:val="en-US"/>
        </w:rPr>
        <w:t xml:space="preserve">ardiac and renal dysfunction are common complications during the acute phase after </w:t>
      </w:r>
      <w:r w:rsidR="00E97B09">
        <w:rPr>
          <w:rFonts w:ascii="Times New Roman" w:hAnsi="Times New Roman" w:cs="Times New Roman"/>
          <w:lang w:val="en-US"/>
        </w:rPr>
        <w:t>a</w:t>
      </w:r>
      <w:r w:rsidR="004109FB">
        <w:rPr>
          <w:rFonts w:ascii="Times New Roman" w:hAnsi="Times New Roman" w:cs="Times New Roman"/>
          <w:lang w:val="en-US"/>
        </w:rPr>
        <w:t>SAH and associated with increased mortality, DCI and poor clinical outcome</w:t>
      </w:r>
      <w:r w:rsidR="00D07909">
        <w:rPr>
          <w:rFonts w:ascii="Times New Roman" w:hAnsi="Times New Roman" w:cs="Times New Roman"/>
          <w:lang w:val="en-US"/>
        </w:rPr>
        <w:t>s</w:t>
      </w:r>
      <w:r w:rsidR="008320A2">
        <w:rPr>
          <w:rFonts w:ascii="Times New Roman" w:hAnsi="Times New Roman" w:cs="Times New Roman"/>
          <w:lang w:val="en-US"/>
        </w:rPr>
        <w:t xml:space="preserve"> </w:t>
      </w:r>
      <w:r w:rsidR="004109FB">
        <w:rPr>
          <w:rFonts w:ascii="Times New Roman" w:hAnsi="Times New Roman" w:cs="Times New Roman"/>
          <w:lang w:val="en-US"/>
        </w:rPr>
        <w:fldChar w:fldCharType="begin" w:fldLock="1"/>
      </w:r>
      <w:r w:rsidR="00CF4681">
        <w:rPr>
          <w:rFonts w:ascii="Times New Roman" w:hAnsi="Times New Roman" w:cs="Times New Roman"/>
          <w:lang w:val="en-US"/>
        </w:rPr>
        <w:instrText>ADDIN CSL_CITATION {"citationItems":[{"id":"ITEM-1","itemData":{"DOI":"10.1161/STROKEAHA.108.545210","ISSN":"0039-2499","author":[{"dropping-particle":"","family":"Zacharia","given":"Brad E.","non-dropping-particle":"","parse-names":false,"suffix":""},{"dropping-particle":"","family":"Ducruet","given":"Andrew F.","non-dropping-particle":"","parse-names":false,"suffix":""},{"dropping-particle":"","family":"Hickman","given":"Zachary L.","non-dropping-particle":"","parse-names":false,"suffix":""},{"dropping-particle":"","family":"Grobelny","given":"Bartosz T.","non-dropping-particle":"","parse-names":false,"suffix":""},{"dropping-particle":"","family":"Fernandez","given":"Luis","non-dropping-particle":"","parse-names":false,"suffix":""},{"dropping-particle":"","family":"Schmidt","given":"J. Michael","non-dropping-particle":"","parse-names":false,"suffix":""},{"dropping-particle":"","family":"Narula","given":"Reshma","non-dropping-particle":"","parse-names":false,"suffix":""},{"dropping-particle":"","family":"Ko","given":"Lauren N.","non-dropping-particle":"","parse-names":false,"suffix":""},{"dropping-particle":"","family":"Cohen","given":"Margot E.","non-dropping-particle":"","parse-names":false,"suffix":""},{"dropping-particle":"","family":"Mayer","given":"Stephan A.","non-dropping-particle":"","parse-names":false,"suffix":""},{"dropping-particle":"","family":"Connolly","given":"E. Sander","non-dropping-particle":"","parse-names":false,"suffix":""}],"container-title":"Stroke","id":"ITEM-1","issue":"7","issued":{"date-parts":[["2009","7"]]},"page":"2375-2381","title":"Renal dysfunction as an independent predictor of outcome after aneurysmal subarachnoid hemorrhage.","type":"article-journal","volume":"40"},"uris":["http://www.mendeley.com/documents/?uuid=77d48056-abdd-4319-80ea-0c34439bea23"]},{"id":"ITEM-2","itemData":{"DOI":"10.1016/j.wneu.2016.03.003","ISSN":"18788750","author":[{"dropping-particle":"","family":"Rumalla","given":"Kavelin","non-dropping-particle":"","parse-names":false,"suffix":""},{"dropping-particle":"","family":"Mittal","given":"Manoj K.","non-dropping-particle":"","parse-names":false,"suffix":""}],"container-title":"World Neurosurgery","id":"ITEM-2","issued":{"date-parts":[["2016","7"]]},"page":"542-547.e6","title":"Acute renal failure in aneurysmal subarachnoid hemorrhage: Nationwide analysis of hospitalizations in the United States.","type":"article-journal","volume":"91"},"uris":["http://www.mendeley.com/documents/?uuid=98e7002c-ef65-41d2-9eb7-eae3f48d83ca"]},{"id":"ITEM-3","itemData":{"DOI":"10.1007/s12028-015-0188-8","ISSN":"1541-6933","author":[{"dropping-particle":"","family":"Cremers","given":"Charlotte H. P.","non-dropping-particle":"","parse-names":false,"suffix":""},{"dropping-particle":"","family":"Bilt","given":"Ivo A. C.","non-dropping-particle":"van der","parse-names":false,"suffix":""},{"dropping-particle":"","family":"Schaaf","given":"Irene C.","non-dropping-particle":"van der","parse-names":false,"suffix":""},{"dropping-particle":"","family":"Vergouwen","given":"Mervyn D. I.","non-dropping-particle":"","parse-names":false,"suffix":""},{"dropping-particle":"","family":"Dankbaar","given":"Jan Willem","non-dropping-particle":"","parse-names":false,"suffix":""},{"dropping-particle":"","family":"Cramer","given":"Maarten J.","non-dropping-particle":"","parse-names":false,"suffix":""},{"dropping-particle":"","family":"Wilde","given":"Arthur A. M.","non-dropping-particle":"","parse-names":false,"suffix":""},{"dropping-particle":"","family":"Rinkel","given":"Gabriel J. E.","non-dropping-particle":"","parse-names":false,"suffix":""},{"dropping-particle":"","family":"Velthuis","given":"Birgitta K.","non-dropping-particle":"","parse-names":false,"suffix":""}],"container-title":"Neurocritical Care","id":"ITEM-3","issue":"2","issued":{"date-parts":[["2016","4","12"]]},"page":"202-206","title":"Relationship between cardiac dysfunction and cerebral perfusion in patients with aneurysmal subarachnoid hemorrhage.","type":"article-journal","volume":"24"},"uris":["http://www.mendeley.com/documents/?uuid=13a361c9-791b-457d-96f2-fa5b23a616ca"]},{"id":"ITEM-4","itemData":{"DOI":"10.1212/WNL.0000000000000057","ISSN":"0028-3878","author":[{"dropping-particle":"","family":"Bilt","given":"I.","non-dropping-particle":"van der","parse-names":false,"suffix":""},{"dropping-particle":"","family":"Hasan","given":"D.","non-dropping-particle":"","parse-names":false,"suffix":""},{"dropping-particle":"","family":"Brink","given":"R.","non-dropping-particle":"van den","parse-names":false,"suffix":""},{"dropping-particle":"","family":"Cramer","given":"M.-J.","non-dropping-particle":"","parse-names":false,"suffix":""},{"dropping-particle":"","family":"Jagt","given":"M.","non-dropping-particle":"van der","parse-names":false,"suffix":""},{"dropping-particle":"","family":"Kooten","given":"F.","non-dropping-particle":"van","parse-names":false,"suffix":""},{"dropping-particle":"","family":"Meertens","given":"J.","non-dropping-particle":"","parse-names":false,"suffix":""},{"dropping-particle":"","family":"Berg","given":"M.","non-dropping-particle":"van den","parse-names":false,"suffix":""},{"dropping-particle":"","family":"Groen","given":"R.","non-dropping-particle":"","parse-names":false,"suffix":""},{"dropping-particle":"","family":"Cate","given":"F.","non-dropping-particle":"ten","parse-names":false,"suffix":""},{"dropping-particle":"","family":"Kamp","given":"O.","non-dropping-particle":"","parse-names":false,"suffix":""},{"dropping-particle":"","family":"Gotte","given":"M.","non-dropping-particle":"","parse-names":false,"suffix":""},{"dropping-particle":"","family":"Horn","given":"J.","non-dropping-particle":"","parse-names":false,"suffix":""},{"dropping-particle":"","family":"Groeneveld","given":"J.","non-dropping-particle":"","parse-names":false,"suffix":""},{"dropping-particle":"","family":"Vandertop","given":"P.","non-dropping-particle":"","parse-names":false,"suffix":""},{"dropping-particle":"","family":"Algra","given":"A.","non-dropping-particle":"","parse-names":false,"suffix":""},{"dropping-particle":"","family":"Visser","given":"F.","non-dropping-particle":"","parse-names":false,"suffix":""},{"dropping-particle":"","family":"Wilde","given":"A.","non-dropping-particle":"","parse-names":false,"suffix":""},{"dropping-particle":"","family":"Rinkel","given":"G.","non-dropping-particle":"","parse-names":false,"suffix":""}],"container-title":"Neurology","id":"ITEM-4","issue":"4","issued":{"date-parts":[["2014","1","28"]]},"page":"351-358","title":"Cardiac dysfunction after aneurysmal subarachnoid hemorrhage: Relationship with outcome.","type":"article-journal","volume":"82"},"uris":["http://www.mendeley.com/documents/?uuid=4019127f-bae1-404f-bb87-f14233e58462"]},{"id":"ITEM-5","itemData":{"DOI":"10.1016/j.jocn.2013.11.022","ISSN":"09675868","author":[{"dropping-particle":"","family":"Murthy","given":"Santosh B.","non-dropping-particle":"","parse-names":false,"suffix":""},{"dropping-particle":"","family":"Shah","given":"Shreyansh","non-dropping-particle":"","parse-names":false,"suffix":""},{"dropping-particle":"","family":"Venkatasubba Rao","given":"Chethan P.","non-dropping-particle":"","parse-names":false,"suffix":""},{"dropping-particle":"","family":"Suarez","given":"Jose I.","non-dropping-particle":"","parse-names":false,"suffix":""},{"dropping-particle":"","family":"Bershad","given":"Eric M.","non-dropping-particle":"","parse-names":false,"suffix":""}],"container-title":"Journal of Clinical Neuroscience","id":"ITEM-5","issue":"8","issued":{"date-parts":[["2014","8"]]},"page":"1279-1282","title":"Clinical characteristics of myocardial stunning in acute stroke.","type":"article-journal","volume":"21"},"uris":["http://www.mendeley.com/documents/?uuid=5e1cb432-8435-4b78-a4ff-e528828db60d"]}],"mendeley":{"formattedCitation":"[16–20]","plainTextFormattedCitation":"[16–20]","previouslyFormattedCitation":"[16–20]"},"properties":{"noteIndex":0},"schema":"https://github.com/citation-style-language/schema/raw/master/csl-citation.json"}</w:instrText>
      </w:r>
      <w:r w:rsidR="004109FB">
        <w:rPr>
          <w:rFonts w:ascii="Times New Roman" w:hAnsi="Times New Roman" w:cs="Times New Roman"/>
          <w:lang w:val="en-US"/>
        </w:rPr>
        <w:fldChar w:fldCharType="separate"/>
      </w:r>
      <w:r w:rsidR="008320A2" w:rsidRPr="008320A2">
        <w:rPr>
          <w:rFonts w:ascii="Times New Roman" w:hAnsi="Times New Roman" w:cs="Times New Roman"/>
          <w:noProof/>
          <w:lang w:val="en-US"/>
        </w:rPr>
        <w:t>[16–20]</w:t>
      </w:r>
      <w:r w:rsidR="004109FB">
        <w:rPr>
          <w:rFonts w:ascii="Times New Roman" w:hAnsi="Times New Roman" w:cs="Times New Roman"/>
          <w:lang w:val="en-US"/>
        </w:rPr>
        <w:fldChar w:fldCharType="end"/>
      </w:r>
      <w:r w:rsidR="004109FB">
        <w:rPr>
          <w:rFonts w:ascii="Times New Roman" w:hAnsi="Times New Roman" w:cs="Times New Roman"/>
          <w:lang w:val="en-US"/>
        </w:rPr>
        <w:t xml:space="preserve">, </w:t>
      </w:r>
      <w:r w:rsidR="00894D0F">
        <w:rPr>
          <w:rFonts w:ascii="Times New Roman" w:hAnsi="Times New Roman" w:cs="Times New Roman"/>
          <w:lang w:val="en-US"/>
        </w:rPr>
        <w:t>suggesting</w:t>
      </w:r>
      <w:r w:rsidR="004109FB">
        <w:rPr>
          <w:rFonts w:ascii="Times New Roman" w:hAnsi="Times New Roman" w:cs="Times New Roman"/>
          <w:lang w:val="en-US"/>
        </w:rPr>
        <w:t xml:space="preserve"> that </w:t>
      </w:r>
      <w:r w:rsidR="00894D0F">
        <w:rPr>
          <w:rFonts w:ascii="Times New Roman" w:hAnsi="Times New Roman" w:cs="Times New Roman"/>
          <w:lang w:val="en-US"/>
        </w:rPr>
        <w:t xml:space="preserve">EBI </w:t>
      </w:r>
      <w:r w:rsidR="004412E5">
        <w:rPr>
          <w:rFonts w:ascii="Times New Roman" w:hAnsi="Times New Roman" w:cs="Times New Roman"/>
          <w:lang w:val="en-US"/>
        </w:rPr>
        <w:t xml:space="preserve">or subsequent events </w:t>
      </w:r>
      <w:r w:rsidR="00894D0F">
        <w:rPr>
          <w:rFonts w:ascii="Times New Roman" w:hAnsi="Times New Roman" w:cs="Times New Roman"/>
          <w:lang w:val="en-US"/>
        </w:rPr>
        <w:t xml:space="preserve">could also be associated with release of DPP3 into the circulation. In the present pilot study, we determined </w:t>
      </w:r>
      <w:r w:rsidR="00195263">
        <w:rPr>
          <w:rFonts w:ascii="Times New Roman" w:hAnsi="Times New Roman" w:cs="Times New Roman"/>
          <w:lang w:val="en-US"/>
        </w:rPr>
        <w:t xml:space="preserve">the </w:t>
      </w:r>
      <w:r w:rsidR="00195263">
        <w:rPr>
          <w:rFonts w:ascii="Times New Roman" w:hAnsi="Times New Roman" w:cs="Times New Roman"/>
          <w:lang w:val="en-US"/>
        </w:rPr>
        <w:lastRenderedPageBreak/>
        <w:t xml:space="preserve">temporal profile of </w:t>
      </w:r>
      <w:r w:rsidR="00894D0F">
        <w:rPr>
          <w:rFonts w:ascii="Times New Roman" w:hAnsi="Times New Roman" w:cs="Times New Roman"/>
          <w:lang w:val="en-US"/>
        </w:rPr>
        <w:t xml:space="preserve">cDPP3 levels in a cohort of confirmed </w:t>
      </w:r>
      <w:r w:rsidR="00E97B09">
        <w:rPr>
          <w:rFonts w:ascii="Times New Roman" w:hAnsi="Times New Roman" w:cs="Times New Roman"/>
          <w:lang w:val="en-US"/>
        </w:rPr>
        <w:t>a</w:t>
      </w:r>
      <w:r w:rsidR="00894D0F">
        <w:rPr>
          <w:rFonts w:ascii="Times New Roman" w:hAnsi="Times New Roman" w:cs="Times New Roman"/>
          <w:lang w:val="en-US"/>
        </w:rPr>
        <w:t xml:space="preserve">SAH patients and analyzed </w:t>
      </w:r>
      <w:r w:rsidR="00195263">
        <w:rPr>
          <w:rFonts w:ascii="Times New Roman" w:hAnsi="Times New Roman" w:cs="Times New Roman"/>
          <w:lang w:val="en-US"/>
        </w:rPr>
        <w:t>its</w:t>
      </w:r>
      <w:r w:rsidR="00894D0F">
        <w:rPr>
          <w:rFonts w:ascii="Times New Roman" w:hAnsi="Times New Roman" w:cs="Times New Roman"/>
          <w:lang w:val="en-US"/>
        </w:rPr>
        <w:t xml:space="preserve"> relation to DCI, DCI-related infarction and clinical outcome.</w:t>
      </w:r>
    </w:p>
    <w:p w14:paraId="60FD2A90" w14:textId="77777777" w:rsidR="00261499" w:rsidRDefault="00261499" w:rsidP="006C1139">
      <w:pPr>
        <w:rPr>
          <w:rFonts w:ascii="Times New Roman" w:hAnsi="Times New Roman" w:cs="Times New Roman"/>
          <w:lang w:val="en-US"/>
        </w:rPr>
      </w:pPr>
    </w:p>
    <w:p w14:paraId="6B56B04D" w14:textId="77777777" w:rsidR="006C1139" w:rsidRPr="00A3160D" w:rsidRDefault="006C1139" w:rsidP="006C1139">
      <w:pPr>
        <w:rPr>
          <w:rFonts w:ascii="Times New Roman" w:hAnsi="Times New Roman" w:cs="Times New Roman"/>
          <w:b/>
          <w:sz w:val="28"/>
          <w:szCs w:val="28"/>
          <w:lang w:val="en-US"/>
        </w:rPr>
      </w:pPr>
      <w:r w:rsidRPr="00A3160D">
        <w:rPr>
          <w:rFonts w:ascii="Times New Roman" w:hAnsi="Times New Roman" w:cs="Times New Roman"/>
          <w:b/>
          <w:sz w:val="28"/>
          <w:szCs w:val="28"/>
          <w:lang w:val="en-US"/>
        </w:rPr>
        <w:t>Material and Methods</w:t>
      </w:r>
    </w:p>
    <w:p w14:paraId="77B65994" w14:textId="77777777" w:rsidR="006C1139" w:rsidRPr="00A3160D" w:rsidRDefault="006C1139" w:rsidP="006C1139">
      <w:pPr>
        <w:spacing w:after="0" w:line="360" w:lineRule="auto"/>
        <w:jc w:val="both"/>
        <w:rPr>
          <w:rFonts w:ascii="Times New Roman" w:hAnsi="Times New Roman" w:cs="Times New Roman"/>
          <w:b/>
          <w:lang w:val="en-US"/>
        </w:rPr>
      </w:pPr>
      <w:r w:rsidRPr="00A3160D">
        <w:rPr>
          <w:rFonts w:ascii="Times New Roman" w:hAnsi="Times New Roman" w:cs="Times New Roman"/>
          <w:b/>
          <w:lang w:val="en-US"/>
        </w:rPr>
        <w:t xml:space="preserve">Patient population and </w:t>
      </w:r>
      <w:r w:rsidR="00CA503E">
        <w:rPr>
          <w:rFonts w:ascii="Times New Roman" w:hAnsi="Times New Roman" w:cs="Times New Roman"/>
          <w:b/>
          <w:lang w:val="en-US"/>
        </w:rPr>
        <w:t>demographics</w:t>
      </w:r>
    </w:p>
    <w:p w14:paraId="518553DB" w14:textId="59B61934" w:rsidR="00042097" w:rsidRPr="00452352" w:rsidRDefault="007A07A1" w:rsidP="00042097">
      <w:pPr>
        <w:spacing w:after="0" w:line="360" w:lineRule="auto"/>
        <w:jc w:val="both"/>
        <w:rPr>
          <w:rFonts w:ascii="Times New Roman" w:hAnsi="Times New Roman" w:cs="Times New Roman"/>
          <w:color w:val="000000" w:themeColor="text1"/>
          <w:lang w:val="en-US"/>
        </w:rPr>
      </w:pPr>
      <w:r>
        <w:rPr>
          <w:rFonts w:ascii="Times New Roman" w:hAnsi="Times New Roman" w:cs="Times New Roman"/>
          <w:lang w:val="en-US"/>
        </w:rPr>
        <w:t xml:space="preserve">The present observational study is based on 96 confirmed aSAH patients who were treated at our </w:t>
      </w:r>
      <w:proofErr w:type="spellStart"/>
      <w:r w:rsidR="00545896" w:rsidRPr="00545896">
        <w:rPr>
          <w:rFonts w:ascii="Times New Roman" w:hAnsi="Times New Roman" w:cs="Times New Roman"/>
          <w:color w:val="000000" w:themeColor="text1"/>
          <w:lang w:val="en-US"/>
        </w:rPr>
        <w:t>neurointensive</w:t>
      </w:r>
      <w:proofErr w:type="spellEnd"/>
      <w:r w:rsidR="00545896" w:rsidRPr="00545896">
        <w:rPr>
          <w:rFonts w:ascii="Times New Roman" w:hAnsi="Times New Roman" w:cs="Times New Roman"/>
          <w:color w:val="000000" w:themeColor="text1"/>
          <w:lang w:val="en-US"/>
        </w:rPr>
        <w:t xml:space="preserve"> care unit (N</w:t>
      </w:r>
      <w:r w:rsidR="00545896">
        <w:rPr>
          <w:rFonts w:ascii="Times New Roman" w:hAnsi="Times New Roman" w:cs="Times New Roman"/>
          <w:color w:val="000000" w:themeColor="text1"/>
          <w:lang w:val="en-US"/>
        </w:rPr>
        <w:t>I</w:t>
      </w:r>
      <w:r w:rsidR="00545896" w:rsidRPr="00545896">
        <w:rPr>
          <w:rFonts w:ascii="Times New Roman" w:hAnsi="Times New Roman" w:cs="Times New Roman"/>
          <w:color w:val="000000" w:themeColor="text1"/>
          <w:lang w:val="en-US"/>
        </w:rPr>
        <w:t>CU</w:t>
      </w:r>
      <w:r>
        <w:rPr>
          <w:rFonts w:ascii="Times New Roman" w:hAnsi="Times New Roman" w:cs="Times New Roman"/>
          <w:color w:val="000000" w:themeColor="text1"/>
          <w:lang w:val="en-US"/>
        </w:rPr>
        <w:t xml:space="preserve">) from April 2014 to July 2018 and met the following criteria: (1) age &gt; 18 years, (2) not </w:t>
      </w:r>
      <w:r w:rsidRPr="00452352">
        <w:rPr>
          <w:rFonts w:ascii="Times New Roman" w:hAnsi="Times New Roman" w:cs="Times New Roman"/>
          <w:color w:val="000000" w:themeColor="text1"/>
          <w:lang w:val="en-US"/>
        </w:rPr>
        <w:t>pregnant, (3) no compromise in hepatic or renal function (total bilirubin &gt;51.3 µmol/L, plasma creatinine ≥22.1 µmol/L)</w:t>
      </w:r>
      <w:r w:rsidR="00E80FBA" w:rsidRPr="00452352">
        <w:rPr>
          <w:rFonts w:ascii="Times New Roman" w:hAnsi="Times New Roman" w:cs="Times New Roman"/>
          <w:color w:val="000000" w:themeColor="text1"/>
          <w:lang w:val="en-US"/>
        </w:rPr>
        <w:t xml:space="preserve"> at admission</w:t>
      </w:r>
      <w:r w:rsidRPr="00452352">
        <w:rPr>
          <w:rFonts w:ascii="Times New Roman" w:hAnsi="Times New Roman" w:cs="Times New Roman"/>
          <w:color w:val="000000" w:themeColor="text1"/>
          <w:lang w:val="en-US"/>
        </w:rPr>
        <w:t xml:space="preserve">, (4) presence of an offending aneurysm, (5) no previous aSAH or recurrent bleeding and (6) no re-treatment for aneurysms. </w:t>
      </w:r>
    </w:p>
    <w:p w14:paraId="694507F4" w14:textId="702C9440" w:rsidR="007A07A1" w:rsidRDefault="007A07A1" w:rsidP="00401AE6">
      <w:pPr>
        <w:spacing w:after="0" w:line="360" w:lineRule="auto"/>
        <w:jc w:val="both"/>
        <w:rPr>
          <w:rFonts w:ascii="Times New Roman" w:hAnsi="Times New Roman" w:cs="Times New Roman"/>
          <w:lang w:val="en-US"/>
        </w:rPr>
      </w:pPr>
      <w:r w:rsidRPr="00452352">
        <w:rPr>
          <w:rFonts w:ascii="Times New Roman" w:hAnsi="Times New Roman" w:cs="Times New Roman"/>
          <w:color w:val="000000" w:themeColor="text1"/>
          <w:lang w:val="en-US"/>
        </w:rPr>
        <w:t>Demographic data obtained on admission or during in-hospital treatment included age, gender, aneurysm location, pre-existing diabetes, smoking habits, treatment modality, clinical severity on admission according to the Hunt &amp; Hess (HH) grading scale, radiological severity on admission according to the modified Fisher grading scale (</w:t>
      </w:r>
      <w:proofErr w:type="spellStart"/>
      <w:r w:rsidRPr="00452352">
        <w:rPr>
          <w:rFonts w:ascii="Times New Roman" w:hAnsi="Times New Roman" w:cs="Times New Roman"/>
          <w:color w:val="000000" w:themeColor="text1"/>
          <w:lang w:val="en-US"/>
        </w:rPr>
        <w:t>mFS</w:t>
      </w:r>
      <w:proofErr w:type="spellEnd"/>
      <w:r w:rsidRPr="00452352">
        <w:rPr>
          <w:rFonts w:ascii="Times New Roman" w:hAnsi="Times New Roman" w:cs="Times New Roman"/>
          <w:color w:val="000000" w:themeColor="text1"/>
          <w:lang w:val="en-US"/>
        </w:rPr>
        <w:t>)</w:t>
      </w:r>
      <w:r w:rsidR="00C26F7C" w:rsidRPr="00452352">
        <w:rPr>
          <w:rFonts w:ascii="Times New Roman" w:hAnsi="Times New Roman" w:cs="Times New Roman"/>
          <w:color w:val="000000" w:themeColor="text1"/>
          <w:lang w:val="en-US"/>
        </w:rPr>
        <w:t xml:space="preserve">, </w:t>
      </w:r>
      <w:r w:rsidR="00C26F7C" w:rsidRPr="00452352">
        <w:rPr>
          <w:rFonts w:ascii="Times New Roman" w:hAnsi="Times New Roman" w:cs="Times New Roman"/>
          <w:bCs/>
          <w:color w:val="000000" w:themeColor="text1"/>
          <w:lang w:val="en-US"/>
        </w:rPr>
        <w:t>ventilation, ventilation time,</w:t>
      </w:r>
      <w:r w:rsidRPr="00452352">
        <w:rPr>
          <w:rFonts w:ascii="Times New Roman" w:hAnsi="Times New Roman" w:cs="Times New Roman"/>
          <w:color w:val="000000" w:themeColor="text1"/>
          <w:lang w:val="en-US"/>
        </w:rPr>
        <w:t xml:space="preserve"> and long-term clinical outcome after 12 month</w:t>
      </w:r>
      <w:r w:rsidR="00011662" w:rsidRPr="00452352">
        <w:rPr>
          <w:rFonts w:ascii="Times New Roman" w:hAnsi="Times New Roman" w:cs="Times New Roman"/>
          <w:color w:val="000000" w:themeColor="text1"/>
          <w:lang w:val="en-US"/>
        </w:rPr>
        <w:t>s</w:t>
      </w:r>
      <w:r w:rsidRPr="00452352">
        <w:rPr>
          <w:rFonts w:ascii="Times New Roman" w:hAnsi="Times New Roman" w:cs="Times New Roman"/>
          <w:color w:val="000000" w:themeColor="text1"/>
          <w:lang w:val="en-US"/>
        </w:rPr>
        <w:t xml:space="preserve"> according to the extended Glasgow outcome scale (GOS-E). Outcome was assessed by an independent investigator based on a telephone interview</w:t>
      </w:r>
      <w:r>
        <w:rPr>
          <w:rFonts w:ascii="Times New Roman" w:hAnsi="Times New Roman" w:cs="Times New Roman"/>
          <w:lang w:val="en-US"/>
        </w:rPr>
        <w:t xml:space="preserve">, clinical investigation in the outpatient clinic or clinical status compiled from the medical reports. The study protocol was approved by the local ethics committee </w:t>
      </w:r>
      <w:r>
        <w:rPr>
          <w:rFonts w:ascii="Times New Roman" w:eastAsia="TimesNewRoman" w:hAnsi="Times New Roman" w:cs="Times New Roman"/>
          <w:lang w:val="en-US"/>
        </w:rPr>
        <w:t>(EK 062/</w:t>
      </w:r>
      <w:r w:rsidR="00E80FBA" w:rsidRPr="00E80FBA">
        <w:rPr>
          <w:rFonts w:ascii="Times New Roman" w:eastAsia="TimesNewRoman" w:hAnsi="Times New Roman" w:cs="Times New Roman"/>
          <w:lang w:val="en-US"/>
        </w:rPr>
        <w:t>14</w:t>
      </w:r>
      <w:r>
        <w:rPr>
          <w:rFonts w:ascii="Times New Roman" w:hAnsi="Times New Roman" w:cs="Times New Roman"/>
          <w:lang w:val="en-US"/>
        </w:rPr>
        <w:t>) and written consent for study inclusion was obtained from all patients or their authorized representatives.</w:t>
      </w:r>
      <w:r w:rsidR="00401AE6" w:rsidRPr="00401AE6">
        <w:rPr>
          <w:lang w:val="en-US"/>
        </w:rPr>
        <w:t xml:space="preserve"> </w:t>
      </w:r>
      <w:r w:rsidR="00401AE6" w:rsidRPr="00601BD3">
        <w:rPr>
          <w:rFonts w:ascii="Times New Roman" w:hAnsi="Times New Roman" w:cs="Times New Roman"/>
          <w:lang w:val="en-US"/>
        </w:rPr>
        <w:t>Th</w:t>
      </w:r>
      <w:r w:rsidR="00401AE6">
        <w:rPr>
          <w:rFonts w:ascii="Times New Roman" w:hAnsi="Times New Roman" w:cs="Times New Roman"/>
          <w:lang w:val="en-US"/>
        </w:rPr>
        <w:t>e</w:t>
      </w:r>
      <w:r w:rsidR="00401AE6" w:rsidRPr="00601BD3">
        <w:rPr>
          <w:rFonts w:ascii="Times New Roman" w:hAnsi="Times New Roman" w:cs="Times New Roman"/>
          <w:lang w:val="en-US"/>
        </w:rPr>
        <w:t xml:space="preserve"> trial has been registered at ClinicalTrials.gov (</w:t>
      </w:r>
      <w:r w:rsidR="00401AE6" w:rsidRPr="00EC4E1E">
        <w:rPr>
          <w:rFonts w:ascii="Times New Roman" w:hAnsi="Times New Roman" w:cs="Times New Roman"/>
          <w:color w:val="000000" w:themeColor="text1"/>
          <w:lang w:val="en-US"/>
        </w:rPr>
        <w:t>NCT02142166</w:t>
      </w:r>
      <w:r w:rsidR="00401AE6">
        <w:rPr>
          <w:rFonts w:ascii="Times New Roman" w:hAnsi="Times New Roman" w:cs="Times New Roman"/>
          <w:color w:val="000000"/>
          <w:shd w:val="clear" w:color="auto" w:fill="FFFFFF"/>
          <w:lang w:val="en-US"/>
        </w:rPr>
        <w:t xml:space="preserve">) as part of a </w:t>
      </w:r>
      <w:proofErr w:type="gramStart"/>
      <w:r w:rsidR="00401AE6">
        <w:rPr>
          <w:rFonts w:ascii="Times New Roman" w:hAnsi="Times New Roman" w:cs="Times New Roman"/>
          <w:color w:val="000000"/>
          <w:shd w:val="clear" w:color="auto" w:fill="FFFFFF"/>
          <w:lang w:val="en-US"/>
        </w:rPr>
        <w:t>large scale</w:t>
      </w:r>
      <w:proofErr w:type="gramEnd"/>
      <w:r w:rsidR="00401AE6">
        <w:rPr>
          <w:rFonts w:ascii="Times New Roman" w:hAnsi="Times New Roman" w:cs="Times New Roman"/>
          <w:color w:val="000000"/>
          <w:shd w:val="clear" w:color="auto" w:fill="FFFFFF"/>
          <w:lang w:val="en-US"/>
        </w:rPr>
        <w:t xml:space="preserve"> prospective data collection. </w:t>
      </w:r>
      <w:r w:rsidR="00401AE6">
        <w:rPr>
          <w:rFonts w:ascii="Times New Roman" w:hAnsi="Times New Roman" w:cs="Times New Roman"/>
          <w:lang w:val="en-US"/>
        </w:rPr>
        <w:t>Demographic and clinical</w:t>
      </w:r>
      <w:r w:rsidR="00401AE6" w:rsidRPr="00401AE6">
        <w:rPr>
          <w:rFonts w:ascii="Times New Roman" w:hAnsi="Times New Roman" w:cs="Times New Roman"/>
          <w:lang w:val="en-US"/>
        </w:rPr>
        <w:t xml:space="preserve"> data were recovered from the comprehensive databases of our local hospital information systems (MEDICO V22.10, Siemens AG, and </w:t>
      </w:r>
      <w:proofErr w:type="spellStart"/>
      <w:r w:rsidR="00401AE6" w:rsidRPr="00401AE6">
        <w:rPr>
          <w:rFonts w:ascii="Times New Roman" w:hAnsi="Times New Roman" w:cs="Times New Roman"/>
          <w:lang w:val="en-US"/>
        </w:rPr>
        <w:t>IntelliSpace</w:t>
      </w:r>
      <w:proofErr w:type="spellEnd"/>
      <w:r w:rsidR="00401AE6" w:rsidRPr="00401AE6">
        <w:rPr>
          <w:rFonts w:ascii="Times New Roman" w:hAnsi="Times New Roman" w:cs="Times New Roman"/>
          <w:lang w:val="en-US"/>
        </w:rPr>
        <w:t xml:space="preserve"> Critical Care, and Anesthesia (ICCA), VF01.02, Philips).</w:t>
      </w:r>
    </w:p>
    <w:p w14:paraId="447CF825" w14:textId="77777777" w:rsidR="00401AE6" w:rsidRPr="00401AE6" w:rsidRDefault="00401AE6" w:rsidP="00401AE6">
      <w:pPr>
        <w:spacing w:after="0" w:line="360" w:lineRule="auto"/>
        <w:jc w:val="both"/>
        <w:rPr>
          <w:rFonts w:ascii="Times New Roman" w:hAnsi="Times New Roman" w:cs="Times New Roman"/>
          <w:color w:val="000000"/>
          <w:shd w:val="clear" w:color="auto" w:fill="FFFFFF"/>
          <w:lang w:val="en-US"/>
        </w:rPr>
      </w:pPr>
    </w:p>
    <w:p w14:paraId="333AC4D8" w14:textId="77777777" w:rsidR="006C1139" w:rsidRPr="00EB1799" w:rsidRDefault="006C1139" w:rsidP="006C1139">
      <w:pPr>
        <w:spacing w:after="0" w:line="360" w:lineRule="auto"/>
        <w:jc w:val="both"/>
        <w:rPr>
          <w:rFonts w:ascii="Times New Roman" w:hAnsi="Times New Roman" w:cs="Times New Roman"/>
          <w:b/>
          <w:lang w:val="en-US"/>
        </w:rPr>
      </w:pPr>
      <w:r w:rsidRPr="00EB1799">
        <w:rPr>
          <w:rFonts w:ascii="Times New Roman" w:hAnsi="Times New Roman" w:cs="Times New Roman"/>
          <w:b/>
          <w:lang w:val="en-US"/>
        </w:rPr>
        <w:t xml:space="preserve">Standard treatment </w:t>
      </w:r>
      <w:r w:rsidR="000B2996">
        <w:rPr>
          <w:rFonts w:ascii="Times New Roman" w:hAnsi="Times New Roman" w:cs="Times New Roman"/>
          <w:b/>
          <w:lang w:val="en-US"/>
        </w:rPr>
        <w:t>procedure</w:t>
      </w:r>
    </w:p>
    <w:p w14:paraId="709E5E25" w14:textId="5376347C" w:rsidR="006C1139" w:rsidRPr="00DA24E7" w:rsidRDefault="007464E1" w:rsidP="006C1139">
      <w:pPr>
        <w:spacing w:after="120" w:line="360" w:lineRule="auto"/>
        <w:jc w:val="both"/>
        <w:rPr>
          <w:rFonts w:ascii="Times New Roman" w:hAnsi="Times New Roman" w:cs="Times New Roman"/>
          <w:lang w:val="en-US"/>
        </w:rPr>
      </w:pPr>
      <w:r>
        <w:rPr>
          <w:rFonts w:ascii="Times New Roman" w:hAnsi="Times New Roman" w:cs="Times New Roman"/>
          <w:lang w:val="en-US"/>
        </w:rPr>
        <w:t>Upon admission</w:t>
      </w:r>
      <w:r w:rsidR="00CE7AAF" w:rsidRPr="00DA24E7">
        <w:rPr>
          <w:rFonts w:ascii="Times New Roman" w:hAnsi="Times New Roman" w:cs="Times New Roman"/>
          <w:lang w:val="en-US"/>
        </w:rPr>
        <w:t xml:space="preserve"> to the </w:t>
      </w:r>
      <w:r w:rsidR="00C617BA" w:rsidRPr="00DA24E7">
        <w:rPr>
          <w:rFonts w:ascii="Times New Roman" w:hAnsi="Times New Roman" w:cs="Times New Roman"/>
          <w:lang w:val="en-US"/>
        </w:rPr>
        <w:t>N</w:t>
      </w:r>
      <w:r w:rsidR="00CB2C7D">
        <w:rPr>
          <w:rFonts w:ascii="Times New Roman" w:hAnsi="Times New Roman" w:cs="Times New Roman"/>
          <w:lang w:val="en-US"/>
        </w:rPr>
        <w:t>I</w:t>
      </w:r>
      <w:r w:rsidR="00B714D7" w:rsidRPr="00DA24E7">
        <w:rPr>
          <w:rFonts w:ascii="Times New Roman" w:hAnsi="Times New Roman" w:cs="Times New Roman"/>
          <w:lang w:val="en-US"/>
        </w:rPr>
        <w:t>CU</w:t>
      </w:r>
      <w:r w:rsidR="008E6679" w:rsidRPr="00DA24E7">
        <w:rPr>
          <w:rFonts w:ascii="Times New Roman" w:hAnsi="Times New Roman" w:cs="Times New Roman"/>
          <w:lang w:val="en-US"/>
        </w:rPr>
        <w:t>, aneurysm</w:t>
      </w:r>
      <w:r w:rsidR="00287EA2" w:rsidRPr="00DA24E7">
        <w:rPr>
          <w:rFonts w:ascii="Times New Roman" w:hAnsi="Times New Roman" w:cs="Times New Roman"/>
          <w:lang w:val="en-US"/>
        </w:rPr>
        <w:t>s were</w:t>
      </w:r>
      <w:r w:rsidR="008E6679" w:rsidRPr="00DA24E7">
        <w:rPr>
          <w:rFonts w:ascii="Times New Roman" w:hAnsi="Times New Roman" w:cs="Times New Roman"/>
          <w:lang w:val="en-US"/>
        </w:rPr>
        <w:t xml:space="preserve"> </w:t>
      </w:r>
      <w:r w:rsidR="00CE0A6A">
        <w:rPr>
          <w:rFonts w:ascii="Times New Roman" w:hAnsi="Times New Roman" w:cs="Times New Roman"/>
          <w:lang w:val="en-US"/>
        </w:rPr>
        <w:t>treated</w:t>
      </w:r>
      <w:r w:rsidR="00CE0A6A" w:rsidRPr="00DA24E7">
        <w:rPr>
          <w:rFonts w:ascii="Times New Roman" w:hAnsi="Times New Roman" w:cs="Times New Roman"/>
          <w:lang w:val="en-US"/>
        </w:rPr>
        <w:t xml:space="preserve"> </w:t>
      </w:r>
      <w:r w:rsidR="00BB1746" w:rsidRPr="00DA24E7">
        <w:rPr>
          <w:rFonts w:ascii="Times New Roman" w:hAnsi="Times New Roman" w:cs="Times New Roman"/>
          <w:lang w:val="en-US"/>
        </w:rPr>
        <w:t>by</w:t>
      </w:r>
      <w:r w:rsidR="008E6679" w:rsidRPr="00DA24E7">
        <w:rPr>
          <w:rFonts w:ascii="Times New Roman" w:hAnsi="Times New Roman" w:cs="Times New Roman"/>
          <w:lang w:val="en-US"/>
        </w:rPr>
        <w:t xml:space="preserve"> </w:t>
      </w:r>
      <w:r w:rsidR="00CE0A6A">
        <w:rPr>
          <w:rFonts w:ascii="Times New Roman" w:hAnsi="Times New Roman" w:cs="Times New Roman"/>
          <w:lang w:val="en-US"/>
        </w:rPr>
        <w:t xml:space="preserve">endovascular coiling or </w:t>
      </w:r>
      <w:r w:rsidR="007A07A1">
        <w:rPr>
          <w:rFonts w:ascii="Times New Roman" w:hAnsi="Times New Roman" w:cs="Times New Roman"/>
          <w:lang w:val="en-US"/>
        </w:rPr>
        <w:t>surgical clipping</w:t>
      </w:r>
      <w:r w:rsidR="00CE0A6A">
        <w:rPr>
          <w:rFonts w:ascii="Times New Roman" w:hAnsi="Times New Roman" w:cs="Times New Roman"/>
          <w:lang w:val="en-US"/>
        </w:rPr>
        <w:t xml:space="preserve"> and</w:t>
      </w:r>
      <w:r w:rsidR="002D4A58" w:rsidRPr="00DA24E7">
        <w:rPr>
          <w:rFonts w:ascii="Times New Roman" w:hAnsi="Times New Roman" w:cs="Times New Roman"/>
          <w:lang w:val="en-US"/>
        </w:rPr>
        <w:t xml:space="preserve"> prophylactic enteral nimodipine was applied as tolerated</w:t>
      </w:r>
      <w:r w:rsidR="008320A2">
        <w:rPr>
          <w:rFonts w:ascii="Times New Roman" w:hAnsi="Times New Roman" w:cs="Times New Roman"/>
          <w:lang w:val="en-US"/>
        </w:rPr>
        <w:t xml:space="preserve"> </w:t>
      </w:r>
      <w:r w:rsidR="00D6554A" w:rsidRPr="00DA24E7">
        <w:rPr>
          <w:rFonts w:ascii="Times New Roman" w:hAnsi="Times New Roman" w:cs="Times New Roman"/>
          <w:lang w:val="en-US"/>
        </w:rPr>
        <w:fldChar w:fldCharType="begin" w:fldLock="1"/>
      </w:r>
      <w:r w:rsidR="00CF4681">
        <w:rPr>
          <w:rFonts w:ascii="Times New Roman" w:hAnsi="Times New Roman" w:cs="Times New Roman"/>
          <w:lang w:val="en-US"/>
        </w:rPr>
        <w:instrText>ADDIN CSL_CITATION {"citationItems":[{"id":"ITEM-1","itemData":{"DOI":"10.1159/000346087","ISSN":"1421-9786","abstract":"Background: Intracranial aneurysm with and without sub- arachnoid haemorrhage (SAH) is a relevant health problem: The overall incidence is about 9 per 100,000 with a wide range, in some countries up to 20 per 100,000. Mortality rate with conservative treatment within the first months is 50– 60%. About one third of patients left with an untreated aneu- rysm will die from recurrent bleeding within 6 months after recovering from the first bleeding. The prognosis is further influenced by vasospasm, hydrocephalus, delayed ischaemic deficit and other complications. The aim of these guidelines is to provide comprehensive recommendations on the man- agement of SAH with and without aneurysm as well as on unruptured intracranial aneurysm. Methods: We performed an extensive literature search from 1960 to 2011 using Med- line and Embase. Members of the writing group met in per- son and by teleconferences to discuss recommendations. Search results were graded according to the criteria of the European Federation of Neurological Societies. Members of the Guidelines Committee of the European Stroke Organiza- tion reviewed the guidelines. Results: These guidelines pro- vide evidence-based information on epidemiology, risk fac- tors and prognosis of SAH and recommendations on diag- nostic and therapeutic methods of both ruptured and unruptured intracranial aneurysms. Several risk factors of an- eurysm growth and rupture have been identified. We provide recommendations on diagnostic work up, monitoring and general management (blood pressure, blood glucose, tem- perature, thromboprophylaxis, antiepileptic treatment, use of steroids). Specific therapeutic interventions consider tim- ing of procedures, clipping and coiling. Complications such as hydrocephalus, vasospasm and delayed ischaemic deficit were covered. We also thought to add recommendations on SAH without aneurysm and on unruptured aneurysms. Con- clusion: Ruptured intracranial aneurysm with a high rate of subsequent complications is a serious disease needing prompt treatment in centres having high quality of experi- ence of treatment for these patients. These guidelines pro- vide practical, evidence-based advice for the management of patients with intracranial aneurysm with or without rupture. Applying these measures can improve the prognosis of SAH.","author":[{"dropping-particle":"","family":"Steiner","given":"Thorsten","non-dropping-particle":"","parse-names":false,"suffix":""},{"dropping-particle":"","family":"Juvela","given":"Seppo","non-dropping-particle":"","parse-names":false,"suffix":""},{"dropping-particle":"","family":"Unterberg","given":"Andreas","non-dropping-particle":"","parse-names":false,"suffix":""},{"dropping-particle":"","family":"Jung","given":"Carla","non-dropping-particle":"","parse-names":false,"suffix":""},{"dropping-particle":"","family":"Forsting","given":"Michael","non-dropping-particle":"","parse-names":false,"suffix":""},{"dropping-particle":"","family":"Rinkel","given":"Gabriel","non-dropping-particle":"","parse-names":false,"suffix":""}],"container-title":"Cerebrovascular Diseases","id":"ITEM-1","issue":"2","issued":{"date-parts":[["2013"]]},"page":"93-112","title":"European stroke organization guidelines for the management of intracranial aneurysms and subarachnoid haemorrhage.","type":"article-journal","volume":"35"},"uris":["http://www.mendeley.com/documents/?uuid=681dd88d-d0b0-4e1f-9134-ace6d080c837"]}],"mendeley":{"formattedCitation":"[21]","plainTextFormattedCitation":"[21]","previouslyFormattedCitation":"[21]"},"properties":{"noteIndex":0},"schema":"https://github.com/citation-style-language/schema/raw/master/csl-citation.json"}</w:instrText>
      </w:r>
      <w:r w:rsidR="00D6554A" w:rsidRPr="00DA24E7">
        <w:rPr>
          <w:rFonts w:ascii="Times New Roman" w:hAnsi="Times New Roman" w:cs="Times New Roman"/>
          <w:lang w:val="en-US"/>
        </w:rPr>
        <w:fldChar w:fldCharType="separate"/>
      </w:r>
      <w:r w:rsidR="008320A2" w:rsidRPr="008320A2">
        <w:rPr>
          <w:rFonts w:ascii="Times New Roman" w:hAnsi="Times New Roman" w:cs="Times New Roman"/>
          <w:noProof/>
          <w:lang w:val="en-US"/>
        </w:rPr>
        <w:t>[21]</w:t>
      </w:r>
      <w:r w:rsidR="00D6554A" w:rsidRPr="00DA24E7">
        <w:rPr>
          <w:rFonts w:ascii="Times New Roman" w:hAnsi="Times New Roman" w:cs="Times New Roman"/>
          <w:lang w:val="en-US"/>
        </w:rPr>
        <w:fldChar w:fldCharType="end"/>
      </w:r>
      <w:r w:rsidR="00CE0A6A">
        <w:rPr>
          <w:rFonts w:ascii="Times New Roman" w:hAnsi="Times New Roman" w:cs="Times New Roman"/>
          <w:lang w:val="en-US"/>
        </w:rPr>
        <w:t>.</w:t>
      </w:r>
      <w:r w:rsidR="002D4A58" w:rsidRPr="00DA24E7">
        <w:rPr>
          <w:rFonts w:ascii="Times New Roman" w:hAnsi="Times New Roman" w:cs="Times New Roman"/>
          <w:lang w:val="en-US"/>
        </w:rPr>
        <w:t xml:space="preserve"> </w:t>
      </w:r>
      <w:r w:rsidR="00CE0A6A">
        <w:rPr>
          <w:rFonts w:ascii="Times New Roman" w:hAnsi="Times New Roman" w:cs="Times New Roman"/>
          <w:lang w:val="en-US"/>
        </w:rPr>
        <w:t>Thereafter,</w:t>
      </w:r>
      <w:r w:rsidR="00CE7AAF" w:rsidRPr="00DA24E7">
        <w:rPr>
          <w:rFonts w:ascii="Times New Roman" w:hAnsi="Times New Roman" w:cs="Times New Roman"/>
          <w:lang w:val="en-US"/>
        </w:rPr>
        <w:t xml:space="preserve"> </w:t>
      </w:r>
      <w:r w:rsidR="000A476E" w:rsidRPr="00DA24E7">
        <w:rPr>
          <w:rFonts w:ascii="Times New Roman" w:hAnsi="Times New Roman" w:cs="Times New Roman"/>
          <w:lang w:val="en-US"/>
        </w:rPr>
        <w:t>patients were</w:t>
      </w:r>
      <w:r w:rsidR="00CE7AAF" w:rsidRPr="00DA24E7">
        <w:rPr>
          <w:rFonts w:ascii="Times New Roman" w:hAnsi="Times New Roman" w:cs="Times New Roman"/>
          <w:lang w:val="en-US"/>
        </w:rPr>
        <w:t xml:space="preserve"> </w:t>
      </w:r>
      <w:r w:rsidR="000A476E" w:rsidRPr="00DA24E7">
        <w:rPr>
          <w:rFonts w:ascii="Times New Roman" w:hAnsi="Times New Roman" w:cs="Times New Roman"/>
          <w:lang w:val="en-US"/>
        </w:rPr>
        <w:t xml:space="preserve">continuously </w:t>
      </w:r>
      <w:r w:rsidR="00CE7AAF" w:rsidRPr="00DA24E7">
        <w:rPr>
          <w:rFonts w:ascii="Times New Roman" w:hAnsi="Times New Roman" w:cs="Times New Roman"/>
          <w:lang w:val="en-US"/>
        </w:rPr>
        <w:t xml:space="preserve">monitored for </w:t>
      </w:r>
      <w:r w:rsidR="00CE0A6A">
        <w:rPr>
          <w:rFonts w:ascii="Times New Roman" w:hAnsi="Times New Roman" w:cs="Times New Roman"/>
          <w:lang w:val="en-US"/>
        </w:rPr>
        <w:t xml:space="preserve">the following </w:t>
      </w:r>
      <w:r w:rsidR="00CE7AAF" w:rsidRPr="00DA24E7">
        <w:rPr>
          <w:rFonts w:ascii="Times New Roman" w:hAnsi="Times New Roman" w:cs="Times New Roman"/>
          <w:lang w:val="en-US"/>
        </w:rPr>
        <w:t xml:space="preserve">signs of </w:t>
      </w:r>
      <w:r w:rsidR="002D4A58" w:rsidRPr="00DA24E7">
        <w:rPr>
          <w:rFonts w:ascii="Times New Roman" w:hAnsi="Times New Roman" w:cs="Times New Roman"/>
          <w:lang w:val="en-US"/>
        </w:rPr>
        <w:t>deterioration</w:t>
      </w:r>
      <w:r>
        <w:rPr>
          <w:rFonts w:ascii="Times New Roman" w:hAnsi="Times New Roman" w:cs="Times New Roman"/>
          <w:lang w:val="en-US"/>
        </w:rPr>
        <w:t>.</w:t>
      </w:r>
      <w:r w:rsidR="00CE7AAF" w:rsidRPr="00DA24E7">
        <w:rPr>
          <w:rFonts w:ascii="Times New Roman" w:hAnsi="Times New Roman" w:cs="Times New Roman"/>
          <w:lang w:val="en-US"/>
        </w:rPr>
        <w:t xml:space="preserve"> </w:t>
      </w:r>
      <w:r w:rsidR="00BD7570" w:rsidRPr="00DA24E7">
        <w:rPr>
          <w:rFonts w:ascii="Times New Roman" w:hAnsi="Times New Roman" w:cs="Times New Roman"/>
          <w:lang w:val="en-US"/>
        </w:rPr>
        <w:t xml:space="preserve">In awake patients, </w:t>
      </w:r>
      <w:r w:rsidR="00CE0A6A">
        <w:rPr>
          <w:rFonts w:ascii="Times New Roman" w:hAnsi="Times New Roman" w:cs="Times New Roman"/>
          <w:lang w:val="en-US"/>
        </w:rPr>
        <w:t xml:space="preserve">the occurrence of </w:t>
      </w:r>
      <w:r w:rsidR="00BD7570" w:rsidRPr="00DA24E7">
        <w:rPr>
          <w:rFonts w:ascii="Times New Roman" w:hAnsi="Times New Roman" w:cs="Times New Roman"/>
          <w:lang w:val="en-US"/>
        </w:rPr>
        <w:t xml:space="preserve">DCI was diagnosed according to the criteria for clinical deterioration defined by </w:t>
      </w:r>
      <w:proofErr w:type="spellStart"/>
      <w:r w:rsidR="00BD7570" w:rsidRPr="00DA24E7">
        <w:rPr>
          <w:rFonts w:ascii="Times New Roman" w:hAnsi="Times New Roman" w:cs="Times New Roman"/>
          <w:lang w:val="en-US"/>
        </w:rPr>
        <w:t>Vergouwen</w:t>
      </w:r>
      <w:proofErr w:type="spellEnd"/>
      <w:r w:rsidR="008320A2">
        <w:rPr>
          <w:rFonts w:ascii="Times New Roman" w:hAnsi="Times New Roman" w:cs="Times New Roman"/>
          <w:lang w:val="en-US"/>
        </w:rPr>
        <w:t xml:space="preserve"> </w:t>
      </w:r>
      <w:r w:rsidR="00BD7570" w:rsidRPr="00DA24E7">
        <w:rPr>
          <w:rFonts w:ascii="Times New Roman" w:hAnsi="Times New Roman" w:cs="Times New Roman"/>
          <w:lang w:val="en-US"/>
        </w:rPr>
        <w:fldChar w:fldCharType="begin" w:fldLock="1"/>
      </w:r>
      <w:r w:rsidR="00CF4681">
        <w:rPr>
          <w:rFonts w:ascii="Times New Roman" w:hAnsi="Times New Roman" w:cs="Times New Roman"/>
          <w:lang w:val="en-US"/>
        </w:rPr>
        <w:instrText>ADDIN CSL_CITATION {"citationItems":[{"id":"ITEM-1","itemData":{"DOI":"10.1161/STROKEAHA.110.589275","ISSN":"0039-2499","abstract":"Background and Purpose—In clinical trials and observational studies there is considerable inconsistency in the use of definitions to describe delayed cerebral ischemia (DCI) after aneurysmal subarachnoid hemorrhage. A major cause for this inconsistency is the combining of radiographic evidence of vasospasm with clinical features of cerebral ischemia, although multiple factors may contribute to DCI. The second issue is the variability and overlap of terms used to describe each phenomenon. This makes comparisons among studies difficult. Methods—An international ad hoc panel of experts involved in subarachnoid hemorrhage research developed and proposed a definition of DCI to be used as an outcome measure in clinical trials and observational studies. We used a consensus-building approach. Results—It is proposed that in observational studies and clinical trials aiming to investigate strategies to prevent DCI, the 2 main outcome measures should be: (1) cerebral infarction identified on CT or MRI or proven at autopsy, after exclusion of procedure-related infarctions; and (2) functional outcome. Secondary outcome measure should be clinical deterioration caused by DCI, after exclusion of other potential causes of clinical deterioration. Vasospasm on angiography or transcranial Doppler can also be used as an outcome measure to investigate proof of concept but should be interpreted in conjunction with DCI or functional outcome. Conclusion—The proposed measures reflect the most relevant morphological and clinical features of DCI without regard to pathogenesis to be used as an outcome measure in clinical trials and observational studies.","author":[{"dropping-particle":"","family":"Vergouwen","given":"Mervyn D. I.","non-dropping-particle":"","parse-names":false,"suffix":""},{"dropping-particle":"","family":"Vermeulen","given":"Marinus","non-dropping-particle":"","parse-names":false,"suffix":""},{"dropping-particle":"","family":"Gijn","given":"Jan","non-dropping-particle":"van","parse-names":false,"suffix":""},{"dropping-particle":"","family":"Rinkel","given":"Gabriel J. E.","non-dropping-particle":"","parse-names":false,"suffix":""},{"dropping-particle":"","family":"Wijdicks","given":"Eelco F.","non-dropping-particle":"","parse-names":false,"suffix":""},{"dropping-particle":"","family":"Muizelaar","given":"J. Paul","non-dropping-particle":"","parse-names":false,"suffix":""},{"dropping-particle":"","family":"Mendelow","given":"A. David","non-dropping-particle":"","parse-names":false,"suffix":""},{"dropping-particle":"","family":"Juvela","given":"Seppo","non-dropping-particle":"","parse-names":false,"suffix":""},{"dropping-particle":"","family":"Yonas","given":"Howard","non-dropping-particle":"","parse-names":false,"suffix":""},{"dropping-particle":"","family":"Terbrugge","given":"Karel G.","non-dropping-particle":"","parse-names":false,"suffix":""},{"dropping-particle":"","family":"Macdonald","given":"R. Loch","non-dropping-particle":"","parse-names":false,"suffix":""},{"dropping-particle":"","family":"Diringer","given":"Michael N.","non-dropping-particle":"","parse-names":false,"suffix":""},{"dropping-particle":"","family":"Broderick","given":"Joseph P.","non-dropping-particle":"","parse-names":false,"suffix":""},{"dropping-particle":"","family":"Dreier","given":"Jens P.","non-dropping-particle":"","parse-names":false,"suffix":""},{"dropping-particle":"","family":"Roos","given":"Yvo B. W. E. M.","non-dropping-particle":"","parse-names":false,"suffix":""}],"container-title":"Stroke","id":"ITEM-1","issue":"10","issued":{"date-parts":[["2010","10"]]},"page":"2391-2395","title":"Definition of delayed cerebral ischemia after aneurysmal subarachnoid hemorrhage as an outcome event in clinical trials and observational studies: Proposal of a multidisciplinary research group.","type":"article-journal","volume":"41"},"uris":["http://www.mendeley.com/documents/?uuid=75f76d1f-35c6-4e7c-866e-5f445fafe239"]}],"mendeley":{"formattedCitation":"[22]","plainTextFormattedCitation":"[22]","previouslyFormattedCitation":"[22]"},"properties":{"noteIndex":0},"schema":"https://github.com/citation-style-language/schema/raw/master/csl-citation.json"}</w:instrText>
      </w:r>
      <w:r w:rsidR="00BD7570" w:rsidRPr="00DA24E7">
        <w:rPr>
          <w:rFonts w:ascii="Times New Roman" w:hAnsi="Times New Roman" w:cs="Times New Roman"/>
          <w:lang w:val="en-US"/>
        </w:rPr>
        <w:fldChar w:fldCharType="separate"/>
      </w:r>
      <w:r w:rsidR="008320A2" w:rsidRPr="008320A2">
        <w:rPr>
          <w:rFonts w:ascii="Times New Roman" w:hAnsi="Times New Roman" w:cs="Times New Roman"/>
          <w:noProof/>
          <w:lang w:val="en-US"/>
        </w:rPr>
        <w:t>[22]</w:t>
      </w:r>
      <w:r w:rsidR="00BD7570" w:rsidRPr="00DA24E7">
        <w:rPr>
          <w:rFonts w:ascii="Times New Roman" w:hAnsi="Times New Roman" w:cs="Times New Roman"/>
          <w:lang w:val="en-US"/>
        </w:rPr>
        <w:fldChar w:fldCharType="end"/>
      </w:r>
      <w:r w:rsidR="00BD7570" w:rsidRPr="00DA24E7">
        <w:rPr>
          <w:rFonts w:ascii="Times New Roman" w:hAnsi="Times New Roman" w:cs="Times New Roman"/>
          <w:lang w:val="en-US"/>
        </w:rPr>
        <w:t xml:space="preserve">, </w:t>
      </w:r>
      <w:r w:rsidR="00CE0A6A">
        <w:rPr>
          <w:rFonts w:ascii="Times New Roman" w:hAnsi="Times New Roman" w:cs="Times New Roman"/>
          <w:lang w:val="en-US"/>
        </w:rPr>
        <w:t>namely</w:t>
      </w:r>
      <w:r w:rsidR="00CE0A6A" w:rsidRPr="00DA24E7">
        <w:rPr>
          <w:rFonts w:ascii="Times New Roman" w:hAnsi="Times New Roman" w:cs="Times New Roman"/>
          <w:lang w:val="en-US"/>
        </w:rPr>
        <w:t xml:space="preserve"> </w:t>
      </w:r>
      <w:r w:rsidR="00BD7570" w:rsidRPr="00DA24E7">
        <w:rPr>
          <w:rFonts w:ascii="Times New Roman" w:hAnsi="Times New Roman" w:cs="Times New Roman"/>
          <w:lang w:val="en-US"/>
        </w:rPr>
        <w:t>a decrease in Glasgow Coma Scale ≥2 for ≥1 h or the appearance of new focal neurological deficit</w:t>
      </w:r>
      <w:r w:rsidR="00CE0A6A">
        <w:rPr>
          <w:rFonts w:ascii="Times New Roman" w:hAnsi="Times New Roman" w:cs="Times New Roman"/>
          <w:lang w:val="en-US"/>
        </w:rPr>
        <w:t>s</w:t>
      </w:r>
      <w:r w:rsidR="00BD7570" w:rsidRPr="00DA24E7">
        <w:rPr>
          <w:rFonts w:ascii="Times New Roman" w:hAnsi="Times New Roman" w:cs="Times New Roman"/>
          <w:lang w:val="en-US"/>
        </w:rPr>
        <w:t xml:space="preserve">. </w:t>
      </w:r>
      <w:r w:rsidR="00CE7AAF" w:rsidRPr="00DA24E7">
        <w:rPr>
          <w:rFonts w:ascii="Times New Roman" w:hAnsi="Times New Roman" w:cs="Times New Roman"/>
          <w:lang w:val="en-US"/>
        </w:rPr>
        <w:t>In sedated or comatose patients, invasive neuromonitor</w:t>
      </w:r>
      <w:r w:rsidR="002D4A58" w:rsidRPr="00DA24E7">
        <w:rPr>
          <w:rFonts w:ascii="Times New Roman" w:hAnsi="Times New Roman" w:cs="Times New Roman"/>
          <w:lang w:val="en-US"/>
        </w:rPr>
        <w:t>ing was performed according to r</w:t>
      </w:r>
      <w:r w:rsidR="00CE7AAF" w:rsidRPr="00DA24E7">
        <w:rPr>
          <w:rFonts w:ascii="Times New Roman" w:hAnsi="Times New Roman" w:cs="Times New Roman"/>
          <w:lang w:val="en-US"/>
        </w:rPr>
        <w:t>ecent consensus recommendations</w:t>
      </w:r>
      <w:r w:rsidR="008320A2">
        <w:rPr>
          <w:rFonts w:ascii="Times New Roman" w:hAnsi="Times New Roman" w:cs="Times New Roman"/>
          <w:lang w:val="en-US"/>
        </w:rPr>
        <w:t xml:space="preserve"> </w:t>
      </w:r>
      <w:r w:rsidR="00D6554A" w:rsidRPr="00DA24E7">
        <w:rPr>
          <w:rFonts w:ascii="Times New Roman" w:hAnsi="Times New Roman" w:cs="Times New Roman"/>
          <w:lang w:val="en-US"/>
        </w:rPr>
        <w:fldChar w:fldCharType="begin" w:fldLock="1"/>
      </w:r>
      <w:r w:rsidR="00CF4681">
        <w:rPr>
          <w:rFonts w:ascii="Times New Roman" w:hAnsi="Times New Roman" w:cs="Times New Roman"/>
          <w:lang w:val="en-US"/>
        </w:rPr>
        <w:instrText>ADDIN CSL_CITATION {"citationItems":[{"id":"ITEM-1","itemData":{"DOI":"10.1007/s00134-014-3369-6","ISSN":"0342-4642","abstract":"Abstract Neurocritical care depends, in part, on careful patient monitoring but as yet there are little data on what processes are the most important to monitor, how these should be monitored, and whether monitoring these processes is cost- effective and impacts outcome. At the same time, bioinformatics is a rapidly emerging field in critical care but as yet there is little agreement or stan- dardization on what information is important and how it should be dis- played and analyzed. The Neurocritical Care Society in collab- oration with the European Society of Intensive Care Medicine, the Society for Critical Care Medicine, and the Latin America Brain Injury Consor- tium organized an international, multidisciplinary consensus confer- ence to begin to address these needs. International experts from neurosur- gery, neurocritical care, neurology, critical care, neuroanesthesiology, nursing, pharmacy, and informatics were recruited on the basis of their research, publication record, and expertise. They undertook a system- atic literature review to develop recommendations about specific top- ics on physiologic processes important to the care of patients with disorders that require neurocritical care. This review does not make recommendations about treatment, imaging, and intraoperative monitor- ing. A multidisciplinary jury, selected for their expertise in clinical investi- gation and development of practice guidelines, guided this process. The GRADE system was used to develop recommendations based on literature review, discussion, integrating the literature with the participants’ col- lective experience, and critical review by an impartial jury. Emphasis was placed on the principle that recom- mendations should be based on both data quality and on trade-offs and translation into clinical practice. Strong consideration was given to providing pragmatic guidance and recommendations for bedside neuro- monitoring, even in the absence of high quality data.","author":[{"dropping-particle":"","family":"Roux","given":"Peter","non-dropping-particle":"Le","parse-names":false,"suffix":""},{"dropping-particle":"","family":"Menon","given":"David K.","non-dropping-particle":"","parse-names":false,"suffix":""},{"dropping-particle":"","family":"Citerio","given":"Giuseppe","non-dropping-particle":"","parse-names":false,"suffix":""},{"dropping-particle":"","family":"Vespa","given":"Paul","non-dropping-particle":"","parse-names":false,"suffix":""},{"dropping-particle":"","family":"Bader","given":"Mary Kay","non-dropping-particle":"","parse-names":false,"suffix":""},{"dropping-particle":"","family":"Brophy","given":"Gretchen M.","non-dropping-particle":"","parse-names":false,"suffix":""},{"dropping-particle":"","family":"Diringer","given":"Michael N.","non-dropping-particle":"","parse-names":false,"suffix":""},{"dropping-particle":"","family":"Stocchetti","given":"Nino","non-dropping-particle":"","parse-names":false,"suffix":""},{"dropping-particle":"","family":"Videtta","given":"Walter","non-dropping-particle":"","parse-names":false,"suffix":""},{"dropping-particle":"","family":"Armonda","given":"Rocco","non-dropping-particle":"","parse-names":false,"suffix":""},{"dropping-particle":"","family":"Badjatia","given":"Neeraj","non-dropping-particle":"","parse-names":false,"suffix":""},{"dropping-particle":"","family":"Böesel","given":"Julian","non-dropping-particle":"","parse-names":false,"suffix":""},{"dropping-particle":"","family":"Chesnut","given":"Randall","non-dropping-particle":"","parse-names":false,"suffix":""},{"dropping-particle":"","family":"Chou","given":"Sherry","non-dropping-particle":"","parse-names":false,"suffix":""},{"dropping-particle":"","family":"Claassen","given":"Jan","non-dropping-particle":"","parse-names":false,"suffix":""},{"dropping-particle":"","family":"Czosnyka","given":"Marek","non-dropping-particle":"","parse-names":false,"suffix":""},{"dropping-particle":"","family":"Georgia","given":"Michael","non-dropping-particle":"De","parse-names":false,"suffix":""},{"dropping-particle":"","family":"Figaji","given":"Anthony","non-dropping-particle":"","parse-names":false,"suffix":""},{"dropping-particle":"","family":"Fugate","given":"Jennifer","non-dropping-particle":"","parse-names":false,"suffix":""},{"dropping-particle":"","family":"Helbok","given":"Raimund","non-dropping-particle":"","parse-names":false,"suffix":""},{"dropping-particle":"","family":"Horowitz","given":"David","non-dropping-particle":"","parse-names":false,"suffix":""},{"dropping-particle":"","family":"Hutchinson","given":"Peter","non-dropping-particle":"","parse-names":false,"suffix":""},{"dropping-particle":"","family":"Kumar","given":"Monisha","non-dropping-particle":"","parse-names":false,"suffix":""},{"dropping-particle":"","family":"McNett","given":"Molly","non-dropping-particle":"","parse-names":false,"suffix":""},{"dropping-particle":"","family":"Miller","given":"Chad","non-dropping-particle":"","parse-names":false,"suffix":""},{"dropping-particle":"","family":"Naidech","given":"Andrew","non-dropping-particle":"","parse-names":false,"suffix":""},{"dropping-particle":"","family":"Oddo","given":"Mauro","non-dropping-particle":"","parse-names":false,"suffix":""},{"dropping-particle":"","family":"Olson","given":"DaiWai","non-dropping-particle":"","parse-names":false,"suffix":""},{"dropping-particle":"","family":"O’Phelan","given":"Kristine","non-dropping-particle":"","parse-names":false,"suffix":""},{"dropping-particle":"","family":"Provencio","given":"J. Javier","non-dropping-particle":"","parse-names":false,"suffix":""},{"dropping-particle":"","family":"Puppo","given":"Corinna","non-dropping-particle":"","parse-names":false,"suffix":""},{"dropping-particle":"","family":"Riker","given":"Richard","non-dropping-particle":"","parse-names":false,"suffix":""},{"dropping-particle":"","family":"Robertson","given":"Claudia","non-dropping-particle":"","parse-names":false,"suffix":""},{"dropping-particle":"","family":"Schmidt","given":"Michael","non-dropping-particle":"","parse-names":false,"suffix":""},{"dropping-particle":"","family":"Taccone","given":"Fabio","non-dropping-particle":"","parse-names":false,"suffix":""}],"container-title":"Intensive Care Medicine","id":"ITEM-1","issue":"9","issued":{"date-parts":[["2014","9","20"]]},"page":"1189-1209","title":"Consensus summary statement of the International Multidisciplinary Consensus Conference on Multimodality Monitoring in Neurocritical Care.","type":"article-journal","volume":"40"},"uris":["http://www.mendeley.com/documents/?uuid=7db1ed14-f340-4c4a-9422-5cede729531e"]}],"mendeley":{"formattedCitation":"[23]","plainTextFormattedCitation":"[23]","previouslyFormattedCitation":"[23]"},"properties":{"noteIndex":0},"schema":"https://github.com/citation-style-language/schema/raw/master/csl-citation.json"}</w:instrText>
      </w:r>
      <w:r w:rsidR="00D6554A" w:rsidRPr="00DA24E7">
        <w:rPr>
          <w:rFonts w:ascii="Times New Roman" w:hAnsi="Times New Roman" w:cs="Times New Roman"/>
          <w:lang w:val="en-US"/>
        </w:rPr>
        <w:fldChar w:fldCharType="separate"/>
      </w:r>
      <w:r w:rsidR="008320A2" w:rsidRPr="008320A2">
        <w:rPr>
          <w:rFonts w:ascii="Times New Roman" w:hAnsi="Times New Roman" w:cs="Times New Roman"/>
          <w:noProof/>
          <w:lang w:val="en-US"/>
        </w:rPr>
        <w:t>[23]</w:t>
      </w:r>
      <w:r w:rsidR="00D6554A" w:rsidRPr="00DA24E7">
        <w:rPr>
          <w:rFonts w:ascii="Times New Roman" w:hAnsi="Times New Roman" w:cs="Times New Roman"/>
          <w:lang w:val="en-US"/>
        </w:rPr>
        <w:fldChar w:fldCharType="end"/>
      </w:r>
      <w:r w:rsidR="00CE7AAF" w:rsidRPr="00DA24E7">
        <w:rPr>
          <w:rFonts w:ascii="Times New Roman" w:hAnsi="Times New Roman" w:cs="Times New Roman"/>
          <w:lang w:val="en-US"/>
        </w:rPr>
        <w:t xml:space="preserve"> and included</w:t>
      </w:r>
      <w:r w:rsidR="002D4A58" w:rsidRPr="00DA24E7">
        <w:rPr>
          <w:rFonts w:ascii="Times New Roman" w:hAnsi="Times New Roman" w:cs="Times New Roman"/>
          <w:lang w:val="en-US"/>
        </w:rPr>
        <w:t xml:space="preserve"> measurement of </w:t>
      </w:r>
      <w:r w:rsidR="00C617BA" w:rsidRPr="00DA24E7">
        <w:rPr>
          <w:rFonts w:ascii="Times New Roman" w:hAnsi="Times New Roman" w:cs="Times New Roman"/>
          <w:lang w:val="en-US"/>
        </w:rPr>
        <w:t>brain tissue oxygen level</w:t>
      </w:r>
      <w:r w:rsidR="00552875" w:rsidRPr="00DA24E7">
        <w:rPr>
          <w:rFonts w:ascii="Times New Roman" w:hAnsi="Times New Roman" w:cs="Times New Roman"/>
          <w:lang w:val="en-US"/>
        </w:rPr>
        <w:t>s</w:t>
      </w:r>
      <w:r w:rsidR="002D4A58" w:rsidRPr="00DA24E7">
        <w:rPr>
          <w:rFonts w:ascii="Times New Roman" w:hAnsi="Times New Roman" w:cs="Times New Roman"/>
          <w:lang w:val="en-US"/>
        </w:rPr>
        <w:t xml:space="preserve"> (p</w:t>
      </w:r>
      <w:r w:rsidR="002D4A58" w:rsidRPr="00DA24E7">
        <w:rPr>
          <w:rFonts w:ascii="Times New Roman" w:hAnsi="Times New Roman" w:cs="Times New Roman"/>
          <w:vertAlign w:val="subscript"/>
          <w:lang w:val="en-US"/>
        </w:rPr>
        <w:t>ti</w:t>
      </w:r>
      <w:r w:rsidR="002D4A58" w:rsidRPr="00DA24E7">
        <w:rPr>
          <w:rFonts w:ascii="Times New Roman" w:hAnsi="Times New Roman" w:cs="Times New Roman"/>
          <w:lang w:val="en-US"/>
        </w:rPr>
        <w:t>O</w:t>
      </w:r>
      <w:r w:rsidR="002D4A58" w:rsidRPr="00DA24E7">
        <w:rPr>
          <w:rFonts w:ascii="Times New Roman" w:hAnsi="Times New Roman" w:cs="Times New Roman"/>
          <w:vertAlign w:val="subscript"/>
          <w:lang w:val="en-US"/>
        </w:rPr>
        <w:t>2</w:t>
      </w:r>
      <w:r w:rsidR="00004044" w:rsidRPr="00DA24E7">
        <w:rPr>
          <w:rFonts w:ascii="Times New Roman" w:hAnsi="Times New Roman" w:cs="Times New Roman"/>
          <w:lang w:val="en-US"/>
        </w:rPr>
        <w:t xml:space="preserve">) with </w:t>
      </w:r>
      <w:proofErr w:type="spellStart"/>
      <w:r w:rsidR="00004044" w:rsidRPr="00DA24E7">
        <w:rPr>
          <w:rFonts w:ascii="Times New Roman" w:hAnsi="Times New Roman" w:cs="Times New Roman"/>
          <w:lang w:val="en-US"/>
        </w:rPr>
        <w:t>Neurovent</w:t>
      </w:r>
      <w:proofErr w:type="spellEnd"/>
      <w:r w:rsidR="00004044" w:rsidRPr="00DA24E7">
        <w:rPr>
          <w:rFonts w:ascii="Times New Roman" w:hAnsi="Times New Roman" w:cs="Times New Roman"/>
          <w:lang w:val="en-US"/>
        </w:rPr>
        <w:t xml:space="preserve"> PTO catheters (</w:t>
      </w:r>
      <w:proofErr w:type="spellStart"/>
      <w:r w:rsidR="002D4A58" w:rsidRPr="00DA24E7">
        <w:rPr>
          <w:rFonts w:ascii="Times New Roman" w:hAnsi="Times New Roman" w:cs="Times New Roman"/>
          <w:lang w:val="en-US"/>
        </w:rPr>
        <w:t>Raumedic</w:t>
      </w:r>
      <w:proofErr w:type="spellEnd"/>
      <w:r w:rsidR="002D4A58" w:rsidRPr="00DA24E7">
        <w:rPr>
          <w:rFonts w:ascii="Times New Roman" w:hAnsi="Times New Roman" w:cs="Times New Roman"/>
          <w:lang w:val="en-US"/>
        </w:rPr>
        <w:t xml:space="preserve"> AG, </w:t>
      </w:r>
      <w:proofErr w:type="spellStart"/>
      <w:r w:rsidR="002D4A58" w:rsidRPr="00DA24E7">
        <w:rPr>
          <w:rFonts w:ascii="Times New Roman" w:hAnsi="Times New Roman" w:cs="Times New Roman"/>
          <w:lang w:val="en-US"/>
        </w:rPr>
        <w:t>Helmbrechts</w:t>
      </w:r>
      <w:proofErr w:type="spellEnd"/>
      <w:r w:rsidR="002D4A58" w:rsidRPr="00DA24E7">
        <w:rPr>
          <w:rFonts w:ascii="Times New Roman" w:hAnsi="Times New Roman" w:cs="Times New Roman"/>
          <w:lang w:val="en-US"/>
        </w:rPr>
        <w:t xml:space="preserve">, Germany) and </w:t>
      </w:r>
      <w:r w:rsidR="00C617BA" w:rsidRPr="00DA24E7">
        <w:rPr>
          <w:rFonts w:ascii="Times New Roman" w:hAnsi="Times New Roman" w:cs="Times New Roman"/>
          <w:lang w:val="en-US"/>
        </w:rPr>
        <w:t xml:space="preserve">cerebral </w:t>
      </w:r>
      <w:r w:rsidR="002D4A58" w:rsidRPr="00DA24E7">
        <w:rPr>
          <w:rFonts w:ascii="Times New Roman" w:hAnsi="Times New Roman" w:cs="Times New Roman"/>
          <w:lang w:val="en-US"/>
        </w:rPr>
        <w:t xml:space="preserve">metabolism within the affected territory </w:t>
      </w:r>
      <w:r w:rsidR="00004044" w:rsidRPr="00DA24E7">
        <w:rPr>
          <w:rFonts w:ascii="Times New Roman" w:hAnsi="Times New Roman" w:cs="Times New Roman"/>
          <w:lang w:val="en-US"/>
        </w:rPr>
        <w:t xml:space="preserve">with </w:t>
      </w:r>
      <w:r w:rsidR="00C617BA" w:rsidRPr="00DA24E7">
        <w:rPr>
          <w:rFonts w:ascii="Times New Roman" w:hAnsi="Times New Roman" w:cs="Times New Roman"/>
          <w:lang w:val="en-US"/>
        </w:rPr>
        <w:t xml:space="preserve">71 </w:t>
      </w:r>
      <w:r w:rsidR="00004044" w:rsidRPr="00DA24E7">
        <w:rPr>
          <w:rFonts w:ascii="Times New Roman" w:hAnsi="Times New Roman" w:cs="Times New Roman"/>
          <w:lang w:val="en-US"/>
        </w:rPr>
        <w:t>h</w:t>
      </w:r>
      <w:r w:rsidR="00C617BA" w:rsidRPr="00DA24E7">
        <w:rPr>
          <w:rFonts w:ascii="Times New Roman" w:hAnsi="Times New Roman" w:cs="Times New Roman"/>
          <w:lang w:val="en-US"/>
        </w:rPr>
        <w:t xml:space="preserve">igh </w:t>
      </w:r>
      <w:r w:rsidR="00004044" w:rsidRPr="00DA24E7">
        <w:rPr>
          <w:rFonts w:ascii="Times New Roman" w:hAnsi="Times New Roman" w:cs="Times New Roman"/>
          <w:lang w:val="en-US"/>
        </w:rPr>
        <w:t>c</w:t>
      </w:r>
      <w:r w:rsidR="00C617BA" w:rsidRPr="00DA24E7">
        <w:rPr>
          <w:rFonts w:ascii="Times New Roman" w:hAnsi="Times New Roman" w:cs="Times New Roman"/>
          <w:lang w:val="en-US"/>
        </w:rPr>
        <w:t>ut-</w:t>
      </w:r>
      <w:r w:rsidR="00004044" w:rsidRPr="00DA24E7">
        <w:rPr>
          <w:rFonts w:ascii="Times New Roman" w:hAnsi="Times New Roman" w:cs="Times New Roman"/>
          <w:lang w:val="en-US"/>
        </w:rPr>
        <w:t>o</w:t>
      </w:r>
      <w:r w:rsidR="00C617BA" w:rsidRPr="00DA24E7">
        <w:rPr>
          <w:rFonts w:ascii="Times New Roman" w:hAnsi="Times New Roman" w:cs="Times New Roman"/>
          <w:lang w:val="en-US"/>
        </w:rPr>
        <w:t xml:space="preserve">ff </w:t>
      </w:r>
      <w:r w:rsidR="00004044" w:rsidRPr="00DA24E7">
        <w:rPr>
          <w:rFonts w:ascii="Times New Roman" w:hAnsi="Times New Roman" w:cs="Times New Roman"/>
          <w:lang w:val="en-US"/>
        </w:rPr>
        <w:t>b</w:t>
      </w:r>
      <w:r w:rsidR="00C617BA" w:rsidRPr="00DA24E7">
        <w:rPr>
          <w:rFonts w:ascii="Times New Roman" w:hAnsi="Times New Roman" w:cs="Times New Roman"/>
          <w:lang w:val="en-US"/>
        </w:rPr>
        <w:t xml:space="preserve">rain </w:t>
      </w:r>
      <w:proofErr w:type="spellStart"/>
      <w:r w:rsidR="00004044" w:rsidRPr="00DA24E7">
        <w:rPr>
          <w:rFonts w:ascii="Times New Roman" w:hAnsi="Times New Roman" w:cs="Times New Roman"/>
          <w:lang w:val="en-US"/>
        </w:rPr>
        <w:t>m</w:t>
      </w:r>
      <w:r w:rsidR="00C617BA" w:rsidRPr="00DA24E7">
        <w:rPr>
          <w:rFonts w:ascii="Times New Roman" w:hAnsi="Times New Roman" w:cs="Times New Roman"/>
          <w:lang w:val="en-US"/>
        </w:rPr>
        <w:t>icrodialysis</w:t>
      </w:r>
      <w:proofErr w:type="spellEnd"/>
      <w:r w:rsidR="00C617BA" w:rsidRPr="00DA24E7">
        <w:rPr>
          <w:rFonts w:ascii="Times New Roman" w:hAnsi="Times New Roman" w:cs="Times New Roman"/>
          <w:lang w:val="en-US"/>
        </w:rPr>
        <w:t xml:space="preserve"> </w:t>
      </w:r>
      <w:r w:rsidR="00004044" w:rsidRPr="00DA24E7">
        <w:rPr>
          <w:rFonts w:ascii="Times New Roman" w:hAnsi="Times New Roman" w:cs="Times New Roman"/>
          <w:lang w:val="en-US"/>
        </w:rPr>
        <w:t>c</w:t>
      </w:r>
      <w:r w:rsidR="00C617BA" w:rsidRPr="00DA24E7">
        <w:rPr>
          <w:rFonts w:ascii="Times New Roman" w:hAnsi="Times New Roman" w:cs="Times New Roman"/>
          <w:lang w:val="en-US"/>
        </w:rPr>
        <w:t>atheter</w:t>
      </w:r>
      <w:r w:rsidR="00004044" w:rsidRPr="00DA24E7">
        <w:rPr>
          <w:rFonts w:ascii="Times New Roman" w:hAnsi="Times New Roman" w:cs="Times New Roman"/>
          <w:lang w:val="en-US"/>
        </w:rPr>
        <w:t>s</w:t>
      </w:r>
      <w:r w:rsidR="002D4A58" w:rsidRPr="00DA24E7">
        <w:rPr>
          <w:rFonts w:ascii="Times New Roman" w:hAnsi="Times New Roman" w:cs="Times New Roman"/>
          <w:lang w:val="en-US"/>
        </w:rPr>
        <w:t xml:space="preserve"> </w:t>
      </w:r>
      <w:r w:rsidR="00004044" w:rsidRPr="00DA24E7">
        <w:rPr>
          <w:rFonts w:ascii="Times New Roman" w:hAnsi="Times New Roman" w:cs="Times New Roman"/>
          <w:lang w:val="en-US"/>
        </w:rPr>
        <w:t>(</w:t>
      </w:r>
      <w:r w:rsidR="002D4A58" w:rsidRPr="00DA24E7">
        <w:rPr>
          <w:rFonts w:ascii="Times New Roman" w:hAnsi="Times New Roman" w:cs="Times New Roman"/>
          <w:lang w:val="en-US"/>
        </w:rPr>
        <w:t xml:space="preserve">µdialysis, Stockholm, Sweden). </w:t>
      </w:r>
      <w:proofErr w:type="spellStart"/>
      <w:r w:rsidR="00BD7570" w:rsidRPr="00DA24E7">
        <w:rPr>
          <w:rFonts w:ascii="Times New Roman" w:hAnsi="Times New Roman" w:cs="Times New Roman"/>
          <w:lang w:val="en-US"/>
        </w:rPr>
        <w:t>Microdialysis</w:t>
      </w:r>
      <w:proofErr w:type="spellEnd"/>
      <w:r w:rsidR="00BD7570" w:rsidRPr="00DA24E7">
        <w:rPr>
          <w:rFonts w:ascii="Times New Roman" w:hAnsi="Times New Roman" w:cs="Times New Roman"/>
          <w:lang w:val="en-US"/>
        </w:rPr>
        <w:t xml:space="preserve"> probes were perfused at 0.3</w:t>
      </w:r>
      <w:r w:rsidR="00E97B09">
        <w:rPr>
          <w:rFonts w:ascii="Times New Roman" w:hAnsi="Times New Roman" w:cs="Times New Roman"/>
          <w:lang w:val="en-US"/>
        </w:rPr>
        <w:t xml:space="preserve"> </w:t>
      </w:r>
      <w:proofErr w:type="spellStart"/>
      <w:r w:rsidR="00BD7570" w:rsidRPr="00DA24E7">
        <w:rPr>
          <w:rFonts w:ascii="Times New Roman" w:hAnsi="Times New Roman" w:cs="Times New Roman"/>
          <w:lang w:val="en-US"/>
        </w:rPr>
        <w:t>μl</w:t>
      </w:r>
      <w:proofErr w:type="spellEnd"/>
      <w:r w:rsidR="00BD7570" w:rsidRPr="00DA24E7">
        <w:rPr>
          <w:rFonts w:ascii="Times New Roman" w:hAnsi="Times New Roman" w:cs="Times New Roman"/>
          <w:lang w:val="en-US"/>
        </w:rPr>
        <w:t xml:space="preserve">/min with standard perfusion fluid </w:t>
      </w:r>
      <w:r w:rsidR="0021240B" w:rsidRPr="00DA24E7">
        <w:rPr>
          <w:rFonts w:ascii="Times New Roman" w:hAnsi="Times New Roman" w:cs="Times New Roman"/>
          <w:lang w:val="en-US"/>
        </w:rPr>
        <w:t>as described previously</w:t>
      </w:r>
      <w:r w:rsidR="008320A2">
        <w:rPr>
          <w:rFonts w:ascii="Times New Roman" w:hAnsi="Times New Roman" w:cs="Times New Roman"/>
          <w:lang w:val="en-US"/>
        </w:rPr>
        <w:t xml:space="preserve"> </w:t>
      </w:r>
      <w:r w:rsidR="0021240B" w:rsidRPr="00DA24E7">
        <w:rPr>
          <w:rFonts w:ascii="Times New Roman" w:hAnsi="Times New Roman" w:cs="Times New Roman"/>
          <w:lang w:val="en-US"/>
        </w:rPr>
        <w:fldChar w:fldCharType="begin" w:fldLock="1"/>
      </w:r>
      <w:r w:rsidR="00CF4681">
        <w:rPr>
          <w:rFonts w:ascii="Times New Roman" w:hAnsi="Times New Roman" w:cs="Times New Roman"/>
          <w:lang w:val="en-US"/>
        </w:rPr>
        <w:instrText>ADDIN CSL_CITATION {"citationItems":[{"id":"ITEM-1","itemData":{"DOI":"10.1093/neuros/nyw132","ISSN":"0148-396X","abstract":"BACKGROUND: Critical hypoperfusion and metabolic derangement are frequently encounteredwith refractory vasospasm. Endovascular rescue therapies (ERT) have proven beneficial in selected cases. However, angioplasty (AP) and intraarterial lysis (IAL) are measures of last resort and prospective, quantitative results regarding the efficacy (cerebral oxygenation, metabolism) are largely lacking. OBJECTIVE: To evaluate the efficacy of ERTs for medically refractory vasospasm using multimodal, continuous event neuromonitoring. METHODS: To detect cerebral compromise in a timely fashion, sedated patients with aneurysmal subarachnoid hemorrhage received continuous neuromonitoring (ptiO2 measurement, intraparenchymal microdialysis). ERT (AP and/or IAL) was considered in cases of clinically relevant vasospasm refractory to conservative treatment measures. Oxygen saturation and cerebral and systemic metabolism before and after events of ERT was recorded. RESULTS: We prospectively included 13 consecutive patients and recorded a total of 25 ERT events: AP (n = 10), IAL (n = 11), or both (AP + IAL, n = 4). Average cerebral ptiO2 was 10 ± 11 torr before and 49 ± 22 torr after ERT (P &lt; .001), with a lactate-pyruvate ratio decreasing from 146.6 ± 119.0 to 27.9 ± 10.7 after ERT (P &lt; .001). Comparable improvement was observed for each type of intervention (AP, IAL, or both). No significant alterations in systemic metabolism could be detected after ERT CONCLUSION: Multimodal event neuromonitoring is able to quantify treatment efficacy in subarachnoid hemorrhage-related vasospasm. In our small cohort of highly selected cases, ERT was associated with improvement in cerebral oxygenation and metabolism with reasonable outcome. Event neuromonitoring may facilitate individual and timely optimization of treatment modality according to the individual clinical course.","author":[{"dropping-particle":"","family":"Albanna","given":"Walid","non-dropping-particle":"","parse-names":false,"suffix":""},{"dropping-particle":"","family":"Weiss","given":"Miriam","non-dropping-particle":"","parse-names":false,"suffix":""},{"dropping-particle":"","family":"Müller","given":"Marguerite","non-dropping-particle":"","parse-names":false,"suffix":""},{"dropping-particle":"","family":"Brockmann","given":"Marc Alexander","non-dropping-particle":"","parse-names":false,"suffix":""},{"dropping-particle":"","family":"Rieg","given":"Annette","non-dropping-particle":"","parse-names":false,"suffix":""},{"dropping-particle":"","family":"Conzen","given":"Catharina","non-dropping-particle":"","parse-names":false,"suffix":""},{"dropping-particle":"","family":"Clusmann","given":"Hans","non-dropping-particle":"","parse-names":false,"suffix":""},{"dropping-particle":"","family":"Höllig","given":"Anke","non-dropping-particle":"","parse-names":false,"suffix":""},{"dropping-particle":"","family":"Schubert","given":"Gerrit Alexander","non-dropping-particle":"","parse-names":false,"suffix":""}],"container-title":"Neurosurgery","id":"ITEM-1","issue":"6","issued":{"date-parts":[["2017","6","1"]]},"page":"942-949","title":"Endovascular rescue therapies for refractory vasospasm after subarachnoid hemorrhage: A prospective evaluation study using multimodal, continuous event neuromonitoring.","type":"article-journal","volume":"80"},"uris":["http://www.mendeley.com/documents/?uuid=2ae4364a-0555-47bc-ab72-b1b0f21af242"]}],"mendeley":{"formattedCitation":"[24]","plainTextFormattedCitation":"[24]","previouslyFormattedCitation":"[24]"},"properties":{"noteIndex":0},"schema":"https://github.com/citation-style-language/schema/raw/master/csl-citation.json"}</w:instrText>
      </w:r>
      <w:r w:rsidR="0021240B" w:rsidRPr="00DA24E7">
        <w:rPr>
          <w:rFonts w:ascii="Times New Roman" w:hAnsi="Times New Roman" w:cs="Times New Roman"/>
          <w:lang w:val="en-US"/>
        </w:rPr>
        <w:fldChar w:fldCharType="separate"/>
      </w:r>
      <w:r w:rsidR="008320A2" w:rsidRPr="008320A2">
        <w:rPr>
          <w:rFonts w:ascii="Times New Roman" w:hAnsi="Times New Roman" w:cs="Times New Roman"/>
          <w:noProof/>
          <w:lang w:val="en-US"/>
        </w:rPr>
        <w:t>[24]</w:t>
      </w:r>
      <w:r w:rsidR="0021240B" w:rsidRPr="00DA24E7">
        <w:rPr>
          <w:rFonts w:ascii="Times New Roman" w:hAnsi="Times New Roman" w:cs="Times New Roman"/>
          <w:lang w:val="en-US"/>
        </w:rPr>
        <w:fldChar w:fldCharType="end"/>
      </w:r>
      <w:r w:rsidR="00BD7570" w:rsidRPr="00DA24E7">
        <w:rPr>
          <w:rFonts w:ascii="Times New Roman" w:hAnsi="Times New Roman" w:cs="Times New Roman"/>
          <w:lang w:val="en-US"/>
        </w:rPr>
        <w:t xml:space="preserve">. </w:t>
      </w:r>
      <w:r w:rsidR="0058561E" w:rsidRPr="00DA24E7">
        <w:rPr>
          <w:rFonts w:ascii="Times New Roman" w:hAnsi="Times New Roman" w:cs="Times New Roman"/>
          <w:lang w:val="en-US"/>
        </w:rPr>
        <w:t xml:space="preserve">DCI </w:t>
      </w:r>
      <w:r w:rsidR="00BD7570" w:rsidRPr="00DA24E7">
        <w:rPr>
          <w:rFonts w:ascii="Times New Roman" w:hAnsi="Times New Roman" w:cs="Times New Roman"/>
          <w:lang w:val="en-US"/>
        </w:rPr>
        <w:t xml:space="preserve">in unconscious patients </w:t>
      </w:r>
      <w:r w:rsidR="0058561E" w:rsidRPr="00DA24E7">
        <w:rPr>
          <w:rFonts w:ascii="Times New Roman" w:hAnsi="Times New Roman" w:cs="Times New Roman"/>
          <w:lang w:val="en-US"/>
        </w:rPr>
        <w:t xml:space="preserve">was defined as </w:t>
      </w:r>
      <w:r w:rsidR="00FD3B12" w:rsidRPr="00DA24E7">
        <w:rPr>
          <w:rFonts w:ascii="Times New Roman" w:hAnsi="Times New Roman" w:cs="Times New Roman"/>
          <w:lang w:val="en-US"/>
        </w:rPr>
        <w:t>a metabolic (</w:t>
      </w:r>
      <w:r w:rsidR="0037491A" w:rsidRPr="00DA24E7">
        <w:rPr>
          <w:rFonts w:ascii="Times New Roman" w:hAnsi="Times New Roman" w:cs="Times New Roman"/>
          <w:lang w:val="en-US"/>
        </w:rPr>
        <w:t>lactate / pyruvate ratio ≥ 40</w:t>
      </w:r>
      <w:r w:rsidR="00FD3B12" w:rsidRPr="00DA24E7">
        <w:rPr>
          <w:rFonts w:ascii="Times New Roman" w:hAnsi="Times New Roman" w:cs="Times New Roman"/>
          <w:lang w:val="en-US"/>
        </w:rPr>
        <w:t>) or oxygenation (p</w:t>
      </w:r>
      <w:r w:rsidR="00FD3B12" w:rsidRPr="00DA24E7">
        <w:rPr>
          <w:rFonts w:ascii="Times New Roman" w:hAnsi="Times New Roman" w:cs="Times New Roman"/>
          <w:vertAlign w:val="subscript"/>
          <w:lang w:val="en-US"/>
        </w:rPr>
        <w:t>ti</w:t>
      </w:r>
      <w:r w:rsidR="00FD3B12" w:rsidRPr="00DA24E7">
        <w:rPr>
          <w:rFonts w:ascii="Times New Roman" w:hAnsi="Times New Roman" w:cs="Times New Roman"/>
          <w:lang w:val="en-US"/>
        </w:rPr>
        <w:t>O</w:t>
      </w:r>
      <w:r w:rsidR="00FD3B12" w:rsidRPr="00DA24E7">
        <w:rPr>
          <w:rFonts w:ascii="Times New Roman" w:hAnsi="Times New Roman" w:cs="Times New Roman"/>
          <w:vertAlign w:val="subscript"/>
          <w:lang w:val="en-US"/>
        </w:rPr>
        <w:t>2</w:t>
      </w:r>
      <w:r w:rsidR="00FD3B12" w:rsidRPr="00DA24E7">
        <w:rPr>
          <w:rFonts w:ascii="Times New Roman" w:hAnsi="Times New Roman" w:cs="Times New Roman"/>
          <w:lang w:val="en-US"/>
        </w:rPr>
        <w:t xml:space="preserve"> &lt; 10 mmHg) crisis or the appearance of </w:t>
      </w:r>
      <w:r w:rsidR="0058561E" w:rsidRPr="00DA24E7">
        <w:rPr>
          <w:rFonts w:ascii="Times New Roman" w:hAnsi="Times New Roman" w:cs="Times New Roman"/>
          <w:lang w:val="en-US"/>
        </w:rPr>
        <w:t xml:space="preserve">a new </w:t>
      </w:r>
      <w:r w:rsidR="0039403A">
        <w:rPr>
          <w:rFonts w:ascii="Times New Roman" w:hAnsi="Times New Roman" w:cs="Times New Roman"/>
          <w:lang w:val="en-US"/>
        </w:rPr>
        <w:t>computed tomography (</w:t>
      </w:r>
      <w:r w:rsidR="0058561E" w:rsidRPr="00DA24E7">
        <w:rPr>
          <w:rFonts w:ascii="Times New Roman" w:hAnsi="Times New Roman" w:cs="Times New Roman"/>
          <w:lang w:val="en-US"/>
        </w:rPr>
        <w:t>CT</w:t>
      </w:r>
      <w:r w:rsidR="0039403A">
        <w:rPr>
          <w:rFonts w:ascii="Times New Roman" w:hAnsi="Times New Roman" w:cs="Times New Roman"/>
          <w:lang w:val="en-US"/>
        </w:rPr>
        <w:t>)</w:t>
      </w:r>
      <w:r w:rsidR="0058561E" w:rsidRPr="00DA24E7">
        <w:rPr>
          <w:rFonts w:ascii="Times New Roman" w:hAnsi="Times New Roman" w:cs="Times New Roman"/>
          <w:lang w:val="en-US"/>
        </w:rPr>
        <w:t xml:space="preserve"> </w:t>
      </w:r>
      <w:r w:rsidR="0058561E" w:rsidRPr="00DA24E7">
        <w:rPr>
          <w:rFonts w:ascii="Times New Roman" w:hAnsi="Times New Roman" w:cs="Times New Roman"/>
          <w:lang w:val="en-US"/>
        </w:rPr>
        <w:lastRenderedPageBreak/>
        <w:t>perfusion deficit</w:t>
      </w:r>
      <w:r w:rsidR="001423B3" w:rsidRPr="00DA24E7">
        <w:rPr>
          <w:rFonts w:ascii="Times New Roman" w:hAnsi="Times New Roman" w:cs="Times New Roman"/>
          <w:lang w:val="en-US"/>
        </w:rPr>
        <w:t xml:space="preserve"> if other causes like </w:t>
      </w:r>
      <w:r w:rsidR="001C654D" w:rsidRPr="00DA24E7">
        <w:rPr>
          <w:rFonts w:ascii="Times New Roman" w:hAnsi="Times New Roman" w:cs="Times New Roman"/>
          <w:lang w:val="en-US"/>
        </w:rPr>
        <w:t>untreated hydrocephalus, rebleed, infection, electrolyte imbalance, seizures or infection could be ruled out.</w:t>
      </w:r>
      <w:r w:rsidR="0037491A" w:rsidRPr="00DA24E7">
        <w:rPr>
          <w:rFonts w:ascii="Times New Roman" w:hAnsi="Times New Roman" w:cs="Times New Roman"/>
          <w:lang w:val="en-US"/>
        </w:rPr>
        <w:t xml:space="preserve"> The first line of treatment for DCI consisted of induced euvolemic hypertension </w:t>
      </w:r>
      <w:r w:rsidR="00004044" w:rsidRPr="00DA24E7">
        <w:rPr>
          <w:rFonts w:ascii="Times New Roman" w:hAnsi="Times New Roman" w:cs="Times New Roman"/>
          <w:lang w:val="en-US"/>
        </w:rPr>
        <w:t>by</w:t>
      </w:r>
      <w:r w:rsidR="0037491A" w:rsidRPr="00DA24E7">
        <w:rPr>
          <w:rFonts w:ascii="Times New Roman" w:hAnsi="Times New Roman" w:cs="Times New Roman"/>
          <w:lang w:val="en-US"/>
        </w:rPr>
        <w:t xml:space="preserve"> intravenous noradrenaline infusion</w:t>
      </w:r>
      <w:r w:rsidR="00552875" w:rsidRPr="00DA24E7">
        <w:rPr>
          <w:rFonts w:ascii="Times New Roman" w:hAnsi="Times New Roman" w:cs="Times New Roman"/>
          <w:lang w:val="en-US"/>
        </w:rPr>
        <w:t xml:space="preserve"> to raise </w:t>
      </w:r>
      <w:r w:rsidR="00004044" w:rsidRPr="00DA24E7">
        <w:rPr>
          <w:rFonts w:ascii="Times New Roman" w:hAnsi="Times New Roman" w:cs="Times New Roman"/>
          <w:lang w:val="en-US"/>
        </w:rPr>
        <w:t xml:space="preserve">the </w:t>
      </w:r>
      <w:r w:rsidR="00552875" w:rsidRPr="00DA24E7">
        <w:rPr>
          <w:rFonts w:ascii="Times New Roman" w:hAnsi="Times New Roman" w:cs="Times New Roman"/>
          <w:lang w:val="en-US"/>
        </w:rPr>
        <w:t>systolic arterial blood pressure to ≥ 180 mmHg</w:t>
      </w:r>
      <w:r w:rsidR="0037491A" w:rsidRPr="00DA24E7">
        <w:rPr>
          <w:rFonts w:ascii="Times New Roman" w:hAnsi="Times New Roman" w:cs="Times New Roman"/>
          <w:lang w:val="en-US"/>
        </w:rPr>
        <w:t>.</w:t>
      </w:r>
      <w:r w:rsidR="000B2996" w:rsidRPr="00DA24E7">
        <w:rPr>
          <w:rFonts w:ascii="Times New Roman" w:hAnsi="Times New Roman" w:cs="Times New Roman"/>
          <w:lang w:val="en-US"/>
        </w:rPr>
        <w:t xml:space="preserve"> </w:t>
      </w:r>
      <w:r w:rsidR="000F7D1B" w:rsidRPr="00DA24E7">
        <w:rPr>
          <w:rFonts w:ascii="Times New Roman" w:hAnsi="Times New Roman" w:cs="Times New Roman"/>
          <w:lang w:val="en-US"/>
        </w:rPr>
        <w:t xml:space="preserve">In cases without clinical and functional improvement, </w:t>
      </w:r>
      <w:r w:rsidR="00CE0A6A">
        <w:rPr>
          <w:rFonts w:ascii="Times New Roman" w:hAnsi="Times New Roman" w:cs="Times New Roman"/>
          <w:lang w:val="en-US"/>
        </w:rPr>
        <w:t xml:space="preserve">perfusion CT and / or cerebral angiography were used to verify </w:t>
      </w:r>
      <w:r w:rsidR="00BB1746" w:rsidRPr="00DA24E7">
        <w:rPr>
          <w:rFonts w:ascii="Times New Roman" w:hAnsi="Times New Roman" w:cs="Times New Roman"/>
          <w:lang w:val="en-US"/>
        </w:rPr>
        <w:t xml:space="preserve">relevant </w:t>
      </w:r>
      <w:r w:rsidR="000F7D1B" w:rsidRPr="00DA24E7">
        <w:rPr>
          <w:rFonts w:ascii="Times New Roman" w:hAnsi="Times New Roman" w:cs="Times New Roman"/>
          <w:lang w:val="en-US"/>
        </w:rPr>
        <w:t>hypoperfu</w:t>
      </w:r>
      <w:r w:rsidR="00BB1746" w:rsidRPr="00DA24E7">
        <w:rPr>
          <w:rFonts w:ascii="Times New Roman" w:hAnsi="Times New Roman" w:cs="Times New Roman"/>
          <w:lang w:val="en-US"/>
        </w:rPr>
        <w:t xml:space="preserve">sion and vasoconstriction before </w:t>
      </w:r>
      <w:r w:rsidR="00124A1D" w:rsidRPr="00DA24E7">
        <w:rPr>
          <w:rFonts w:ascii="Times New Roman" w:hAnsi="Times New Roman" w:cs="Times New Roman"/>
          <w:lang w:val="en-US"/>
        </w:rPr>
        <w:t xml:space="preserve">endovascular rescue treatment was performed by transluminal balloon-angioplasty or intra-arterial </w:t>
      </w:r>
      <w:proofErr w:type="spellStart"/>
      <w:r w:rsidR="00124A1D" w:rsidRPr="00DA24E7">
        <w:rPr>
          <w:rFonts w:ascii="Times New Roman" w:hAnsi="Times New Roman" w:cs="Times New Roman"/>
          <w:lang w:val="en-US"/>
        </w:rPr>
        <w:t>spasmolysis</w:t>
      </w:r>
      <w:proofErr w:type="spellEnd"/>
      <w:r w:rsidR="000B2996" w:rsidRPr="00DA24E7">
        <w:rPr>
          <w:rFonts w:ascii="Times New Roman" w:hAnsi="Times New Roman" w:cs="Times New Roman"/>
          <w:lang w:val="en-US"/>
        </w:rPr>
        <w:t xml:space="preserve"> </w:t>
      </w:r>
      <w:r w:rsidR="00BD7570" w:rsidRPr="00DA24E7">
        <w:rPr>
          <w:rFonts w:ascii="Times New Roman" w:hAnsi="Times New Roman" w:cs="Times New Roman"/>
          <w:lang w:val="en-US"/>
        </w:rPr>
        <w:t xml:space="preserve">after multidisciplinary discussion </w:t>
      </w:r>
      <w:r w:rsidR="000B2996" w:rsidRPr="00DA24E7">
        <w:rPr>
          <w:rFonts w:ascii="Times New Roman" w:hAnsi="Times New Roman" w:cs="Times New Roman"/>
          <w:lang w:val="en-US"/>
        </w:rPr>
        <w:t>as described in more detail elsewhere</w:t>
      </w:r>
      <w:r w:rsidR="008320A2">
        <w:rPr>
          <w:rFonts w:ascii="Times New Roman" w:hAnsi="Times New Roman" w:cs="Times New Roman"/>
          <w:lang w:val="en-US"/>
        </w:rPr>
        <w:t xml:space="preserve"> </w:t>
      </w:r>
      <w:r w:rsidR="00323E16" w:rsidRPr="00DA24E7">
        <w:rPr>
          <w:rFonts w:ascii="Times New Roman" w:hAnsi="Times New Roman" w:cs="Times New Roman"/>
          <w:lang w:val="en-US"/>
        </w:rPr>
        <w:fldChar w:fldCharType="begin" w:fldLock="1"/>
      </w:r>
      <w:r w:rsidR="00CF4681">
        <w:rPr>
          <w:rFonts w:ascii="Times New Roman" w:hAnsi="Times New Roman" w:cs="Times New Roman"/>
          <w:lang w:val="en-US"/>
        </w:rPr>
        <w:instrText>ADDIN CSL_CITATION {"citationItems":[{"id":"ITEM-1","itemData":{"DOI":"10.3389/fneur.2019.00136","ISSN":"1664-2295","abstract":"Background: The implementation of rescue efforts for delayed cerebral ischemia after aneurysmal subarachnoid hemorrhage remains largely empirical for a lack of supporting evidence, while the associated risk profile is also unclear. Objective: The present study evaluates the safety and efficacy of endovascular rescue treatment (ERT, continuous intraarterial nimodipine; IAN, transcutaneous balloon angioplasty, TBA). Methods: In this prospective observational study, we assessed periprocedural complications and side effects in context of ERT. We evaluated neurological status, multimodal neuromonitoring (ptiO2, lactate/pyruvate ratio, transcranial doppler), and cranial imaging (CTP, DSA). All parameters were included into multivariate analysis to determine predictors for the need of retreatment. Results: We included 33 consecutive patients with 54 ERT (IAN n = 35; TBA n = 13; TBA + IAN n = 6). We recorded no serious complications and initial improvement in all parameters (neurostatus 72.3% of patients; ptiO2 15.0 ± 11.7 to 25.8 ± 15.5 mmHg, p &lt; 0.0001; lactate/pyruvate ratio 46.3 ± 27.5 to 31.0 ± 9.7, p &lt;0.05; transcranial doppler 139.0 ± 46.3 to 98.9 ± 29.6 cm/s, p &lt;0.05; CTP 81.6% of patients; DSA 93.1% of patients). Retreatment (n = 16, 48.5%) was independently associated with preinterventional ptiO2 &lt; 5 mmHg (p &lt;0.01) and early (&lt;72 h) discontinuation of IAN treatment (p = 0.08). DCI related cerebral infarction was noted in n = 8 patients (24.2%). At 3 months after discharge, favorable outcome was noted for n = 11 (35.5%) patients. Conclusion: Provided a detailed decision tree, timely ERT can provide a relatively safe and effective treatment option in those highly-selected patients undergoing multimodality monitoring where conservative treatment options are exhausted. Continuous treatment in particular may be suitable to surpass sustained DCI and was associated with a low rate of DCI related infarction and comparably high percentage of good outcome.","author":[{"dropping-particle":"","family":"Weiss","given":"Miriam","non-dropping-particle":"","parse-names":false,"suffix":""},{"dropping-particle":"","family":"Conzen","given":"Catharina","non-dropping-particle":"","parse-names":false,"suffix":""},{"dropping-particle":"","family":"Mueller","given":"Marguerite","non-dropping-particle":"","parse-names":false,"suffix":""},{"dropping-particle":"","family":"Wiesmann","given":"Martin","non-dropping-particle":"","parse-names":false,"suffix":""},{"dropping-particle":"","family":"Clusmann","given":"Hans","non-dropping-particle":"","parse-names":false,"suffix":""},{"dropping-particle":"","family":"Albanna","given":"Walid","non-dropping-particle":"","parse-names":false,"suffix":""},{"dropping-particle":"","family":"Schubert","given":"Gerrit Alexander","non-dropping-particle":"","parse-names":false,"suffix":""}],"container-title":"Frontiers in Neurology","id":"ITEM-1","issued":{"date-parts":[["2019","2","21"]]},"page":"136","title":"Endovascular rescue treatment for delayed cerebral ischemia after subarachnoid hemorrhage is safe and effective.","type":"article-journal","volume":"10"},"uris":["http://www.mendeley.com/documents/?uuid=54c0d846-7696-4d7d-8c96-ac69287b7504"]},{"id":"ITEM-2","itemData":{"DOI":"10.1093/neuros/nyw132","ISSN":"0148-396X","abstract":"BACKGROUND: Critical hypoperfusion and metabolic derangement are frequently encounteredwith refractory vasospasm. Endovascular rescue therapies (ERT) have proven beneficial in selected cases. However, angioplasty (AP) and intraarterial lysis (IAL) are measures of last resort and prospective, quantitative results regarding the efficacy (cerebral oxygenation, metabolism) are largely lacking. OBJECTIVE: To evaluate the efficacy of ERTs for medically refractory vasospasm using multimodal, continuous event neuromonitoring. METHODS: To detect cerebral compromise in a timely fashion, sedated patients with aneurysmal subarachnoid hemorrhage received continuous neuromonitoring (ptiO2 measurement, intraparenchymal microdialysis). ERT (AP and/or IAL) was considered in cases of clinically relevant vasospasm refractory to conservative treatment measures. Oxygen saturation and cerebral and systemic metabolism before and after events of ERT was recorded. RESULTS: We prospectively included 13 consecutive patients and recorded a total of 25 ERT events: AP (n = 10), IAL (n = 11), or both (AP + IAL, n = 4). Average cerebral ptiO2 was 10 ± 11 torr before and 49 ± 22 torr after ERT (P &lt; .001), with a lactate-pyruvate ratio decreasing from 146.6 ± 119.0 to 27.9 ± 10.7 after ERT (P &lt; .001). Comparable improvement was observed for each type of intervention (AP, IAL, or both). No significant alterations in systemic metabolism could be detected after ERT CONCLUSION: Multimodal event neuromonitoring is able to quantify treatment efficacy in subarachnoid hemorrhage-related vasospasm. In our small cohort of highly selected cases, ERT was associated with improvement in cerebral oxygenation and metabolism with reasonable outcome. Event neuromonitoring may facilitate individual and timely optimization of treatment modality according to the individual clinical course.","author":[{"dropping-particle":"","family":"Albanna","given":"Walid","non-dropping-particle":"","parse-names":false,"suffix":""},{"dropping-particle":"","family":"Weiss","given":"Miriam","non-dropping-particle":"","parse-names":false,"suffix":""},{"dropping-particle":"","family":"Müller","given":"Marguerite","non-dropping-particle":"","parse-names":false,"suffix":""},{"dropping-particle":"","family":"Brockmann","given":"Marc Alexander","non-dropping-particle":"","parse-names":false,"suffix":""},{"dropping-particle":"","family":"Rieg","given":"Annette","non-dropping-particle":"","parse-names":false,"suffix":""},{"dropping-particle":"","family":"Conzen","given":"Catharina","non-dropping-particle":"","parse-names":false,"suffix":""},{"dropping-particle":"","family":"Clusmann","given":"Hans","non-dropping-particle":"","parse-names":false,"suffix":""},{"dropping-particle":"","family":"Höllig","given":"Anke","non-dropping-particle":"","parse-names":false,"suffix":""},{"dropping-particle":"","family":"Schubert","given":"Gerrit Alexander","non-dropping-particle":"","parse-names":false,"suffix":""}],"container-title":"Neurosurgery","id":"ITEM-2","issue":"6","issued":{"date-parts":[["2017","6","1"]]},"page":"942-949","title":"Endovascular rescue therapies for refractory vasospasm after subarachnoid hemorrhage: A prospective evaluation study using multimodal, continuous event neuromonitoring.","type":"article-journal","volume":"80"},"uris":["http://www.mendeley.com/documents/?uuid=2ae4364a-0555-47bc-ab72-b1b0f21af242"]}],"mendeley":{"formattedCitation":"[24,25]","plainTextFormattedCitation":"[24,25]","previouslyFormattedCitation":"[24,25]"},"properties":{"noteIndex":0},"schema":"https://github.com/citation-style-language/schema/raw/master/csl-citation.json"}</w:instrText>
      </w:r>
      <w:r w:rsidR="00323E16" w:rsidRPr="00DA24E7">
        <w:rPr>
          <w:rFonts w:ascii="Times New Roman" w:hAnsi="Times New Roman" w:cs="Times New Roman"/>
          <w:lang w:val="en-US"/>
        </w:rPr>
        <w:fldChar w:fldCharType="separate"/>
      </w:r>
      <w:r w:rsidR="008320A2" w:rsidRPr="008320A2">
        <w:rPr>
          <w:rFonts w:ascii="Times New Roman" w:hAnsi="Times New Roman" w:cs="Times New Roman"/>
          <w:noProof/>
          <w:lang w:val="en-US"/>
        </w:rPr>
        <w:t>[24,25]</w:t>
      </w:r>
      <w:r w:rsidR="00323E16" w:rsidRPr="00DA24E7">
        <w:rPr>
          <w:rFonts w:ascii="Times New Roman" w:hAnsi="Times New Roman" w:cs="Times New Roman"/>
          <w:lang w:val="en-US"/>
        </w:rPr>
        <w:fldChar w:fldCharType="end"/>
      </w:r>
      <w:r w:rsidR="00124A1D" w:rsidRPr="00DA24E7">
        <w:rPr>
          <w:rFonts w:ascii="Times New Roman" w:hAnsi="Times New Roman" w:cs="Times New Roman"/>
          <w:lang w:val="en-US"/>
        </w:rPr>
        <w:t>.</w:t>
      </w:r>
      <w:r w:rsidR="00287EA2" w:rsidRPr="00DA24E7">
        <w:rPr>
          <w:rFonts w:ascii="Times New Roman" w:hAnsi="Times New Roman" w:cs="Times New Roman"/>
          <w:lang w:val="en-US"/>
        </w:rPr>
        <w:t xml:space="preserve"> </w:t>
      </w:r>
      <w:r w:rsidR="00CE0A6A">
        <w:rPr>
          <w:rFonts w:ascii="Times New Roman" w:hAnsi="Times New Roman" w:cs="Times New Roman"/>
          <w:lang w:val="en-US"/>
        </w:rPr>
        <w:t>DCI-related infarctions were defined as c</w:t>
      </w:r>
      <w:r w:rsidR="00833462" w:rsidRPr="00DA24E7">
        <w:rPr>
          <w:rFonts w:ascii="Times New Roman" w:hAnsi="Times New Roman" w:cs="Times New Roman"/>
          <w:lang w:val="en-US"/>
        </w:rPr>
        <w:t xml:space="preserve">erebral infarctions during ongoing DCI </w:t>
      </w:r>
      <w:r w:rsidR="00DD6CDF">
        <w:rPr>
          <w:rFonts w:ascii="Times New Roman" w:hAnsi="Times New Roman" w:cs="Times New Roman"/>
          <w:lang w:val="en-US"/>
        </w:rPr>
        <w:t>and confirmed by CT</w:t>
      </w:r>
      <w:r w:rsidR="00833462" w:rsidRPr="00DA24E7">
        <w:rPr>
          <w:rFonts w:ascii="Times New Roman" w:hAnsi="Times New Roman" w:cs="Times New Roman"/>
          <w:lang w:val="en-US"/>
        </w:rPr>
        <w:t xml:space="preserve">. </w:t>
      </w:r>
      <w:r w:rsidR="008E6679" w:rsidRPr="00DA24E7">
        <w:rPr>
          <w:rFonts w:ascii="Times New Roman" w:hAnsi="Times New Roman" w:cs="Times New Roman"/>
          <w:lang w:val="en-US"/>
        </w:rPr>
        <w:t xml:space="preserve">Nutrition was administered according to the guidelines of the European Society for Clinical Nutrition and Metabolism (ESPEN) for </w:t>
      </w:r>
      <w:r w:rsidR="00E97B09">
        <w:rPr>
          <w:rFonts w:ascii="Times New Roman" w:hAnsi="Times New Roman" w:cs="Times New Roman"/>
          <w:lang w:val="en-US"/>
        </w:rPr>
        <w:t>ICU</w:t>
      </w:r>
      <w:r w:rsidR="00287EA2" w:rsidRPr="00DA24E7">
        <w:rPr>
          <w:rFonts w:ascii="Times New Roman" w:hAnsi="Times New Roman" w:cs="Times New Roman"/>
          <w:lang w:val="en-US"/>
        </w:rPr>
        <w:t xml:space="preserve"> patients</w:t>
      </w:r>
      <w:r w:rsidR="008320A2">
        <w:rPr>
          <w:rFonts w:ascii="Times New Roman" w:hAnsi="Times New Roman" w:cs="Times New Roman"/>
          <w:lang w:val="en-US"/>
        </w:rPr>
        <w:t xml:space="preserve"> </w:t>
      </w:r>
      <w:r w:rsidR="00287EA2" w:rsidRPr="00DA24E7">
        <w:rPr>
          <w:rFonts w:ascii="Times New Roman" w:hAnsi="Times New Roman" w:cs="Times New Roman"/>
          <w:lang w:val="en-US"/>
        </w:rPr>
        <w:fldChar w:fldCharType="begin" w:fldLock="1"/>
      </w:r>
      <w:r w:rsidR="00CF4681">
        <w:rPr>
          <w:rFonts w:ascii="Times New Roman" w:hAnsi="Times New Roman" w:cs="Times New Roman"/>
          <w:lang w:val="en-US"/>
        </w:rPr>
        <w:instrText>ADDIN CSL_CITATION {"citationItems":[{"id":"ITEM-1","itemData":{"DOI":"10.1016/j.clnu.2018.08.037","ISSN":"02615614","abstract":"Following the new ESPEN Standard Operating Procedures, the previous guidelines to provide best medical nutritional therapy to critically ill patients have been updated. These guidelines define who are the patients at risk, how to assess nutritional status of an ICU patient, how to define the amount of energy to provide, the route to choose and how to adapt according to various clinical conditions. When to start and how to progress in the administration of adequate provision of nutrients is also described. The best determination of amount and nature of carbohydrates, fat and protein are suggested. Special attention is given to glutamine and omega-3 fatty acids. Particular conditions frequently observed in intensive care such as patients with dysphagia, frail patients, multiple trauma patients, abdominal sur- gery, sepsis, and obesity are discussed to guide the practitioner toward the best evidence based therapy. Monitoring of this nutritional therapy is discussed in a separate document.","author":[{"dropping-particle":"","family":"Singer","given":"Pierre","non-dropping-particle":"","parse-names":false,"suffix":""},{"dropping-particle":"","family":"Blaser","given":"Annika Reintam","non-dropping-particle":"","parse-names":false,"suffix":""},{"dropping-particle":"","family":"Berger","given":"Mette M.","non-dropping-particle":"","parse-names":false,"suffix":""},{"dropping-particle":"","family":"Alhazzani","given":"Waleed","non-dropping-particle":"","parse-names":false,"suffix":""},{"dropping-particle":"","family":"Calder","given":"Philip C.","non-dropping-particle":"","parse-names":false,"suffix":""},{"dropping-particle":"","family":"Casaer","given":"Michael P.","non-dropping-particle":"","parse-names":false,"suffix":""},{"dropping-particle":"","family":"Hiesmayr","given":"Michael","non-dropping-particle":"","parse-names":false,"suffix":""},{"dropping-particle":"","family":"Mayer","given":"Konstantin","non-dropping-particle":"","parse-names":false,"suffix":""},{"dropping-particle":"","family":"Montejo","given":"Juan Carlos","non-dropping-particle":"","parse-names":false,"suffix":""},{"dropping-particle":"","family":"Pichard","given":"Claude","non-dropping-particle":"","parse-names":false,"suffix":""},{"dropping-particle":"","family":"Preiser","given":"Jean-Charles","non-dropping-particle":"","parse-names":false,"suffix":""},{"dropping-particle":"","family":"Zanten","given":"Arthur R.H.","non-dropping-particle":"van","parse-names":false,"suffix":""},{"dropping-particle":"","family":"Oczkowski","given":"Simon","non-dropping-particle":"","parse-names":false,"suffix":""},{"dropping-particle":"","family":"Szczeklik","given":"Wojciech","non-dropping-particle":"","parse-names":false,"suffix":""},{"dropping-particle":"","family":"Bischoff","given":"Stephan C.","non-dropping-particle":"","parse-names":false,"suffix":""}],"container-title":"Clinical Nutrition","id":"ITEM-1","issue":"1","issued":{"date-parts":[["2019","2"]]},"page":"48-79","title":"ESPEN guideline on clinical nutrition in the intensive care unit.","type":"article-journal","volume":"38"},"uris":["http://www.mendeley.com/documents/?uuid=ab76d2c1-fac4-4f77-b74c-dfc9aa8c0f10"]}],"mendeley":{"formattedCitation":"[26]","plainTextFormattedCitation":"[26]","previouslyFormattedCitation":"[26]"},"properties":{"noteIndex":0},"schema":"https://github.com/citation-style-language/schema/raw/master/csl-citation.json"}</w:instrText>
      </w:r>
      <w:r w:rsidR="00287EA2" w:rsidRPr="00DA24E7">
        <w:rPr>
          <w:rFonts w:ascii="Times New Roman" w:hAnsi="Times New Roman" w:cs="Times New Roman"/>
          <w:lang w:val="en-US"/>
        </w:rPr>
        <w:fldChar w:fldCharType="separate"/>
      </w:r>
      <w:r w:rsidR="008320A2" w:rsidRPr="008320A2">
        <w:rPr>
          <w:rFonts w:ascii="Times New Roman" w:hAnsi="Times New Roman" w:cs="Times New Roman"/>
          <w:noProof/>
          <w:lang w:val="en-US"/>
        </w:rPr>
        <w:t>[26]</w:t>
      </w:r>
      <w:r w:rsidR="00287EA2" w:rsidRPr="00DA24E7">
        <w:rPr>
          <w:rFonts w:ascii="Times New Roman" w:hAnsi="Times New Roman" w:cs="Times New Roman"/>
          <w:lang w:val="en-US"/>
        </w:rPr>
        <w:fldChar w:fldCharType="end"/>
      </w:r>
      <w:r w:rsidR="00287EA2" w:rsidRPr="00DA24E7">
        <w:rPr>
          <w:rFonts w:ascii="Times New Roman" w:hAnsi="Times New Roman" w:cs="Times New Roman"/>
          <w:lang w:val="en-US"/>
        </w:rPr>
        <w:t>.</w:t>
      </w:r>
      <w:r w:rsidR="008E6679" w:rsidRPr="00DA24E7">
        <w:rPr>
          <w:rFonts w:ascii="Times New Roman" w:hAnsi="Times New Roman" w:cs="Times New Roman"/>
          <w:lang w:val="en-US"/>
        </w:rPr>
        <w:t xml:space="preserve"> </w:t>
      </w:r>
      <w:r w:rsidR="006C1139" w:rsidRPr="00DA24E7">
        <w:rPr>
          <w:rFonts w:ascii="Times New Roman" w:hAnsi="Times New Roman" w:cs="Times New Roman"/>
          <w:lang w:val="en-US"/>
        </w:rPr>
        <w:t xml:space="preserve"> </w:t>
      </w:r>
    </w:p>
    <w:p w14:paraId="068E9CD1" w14:textId="320C74C0" w:rsidR="006C1139" w:rsidRPr="00452352" w:rsidRDefault="001D2663" w:rsidP="006C1139">
      <w:pPr>
        <w:spacing w:after="0" w:line="360" w:lineRule="auto"/>
        <w:contextualSpacing/>
        <w:jc w:val="both"/>
        <w:rPr>
          <w:rFonts w:ascii="Times New Roman" w:hAnsi="Times New Roman" w:cs="Times New Roman"/>
          <w:b/>
          <w:color w:val="000000" w:themeColor="text1"/>
          <w:lang w:val="en-US"/>
        </w:rPr>
      </w:pPr>
      <w:r w:rsidRPr="00452352">
        <w:rPr>
          <w:rFonts w:ascii="Times New Roman" w:hAnsi="Times New Roman" w:cs="Times New Roman"/>
          <w:b/>
          <w:color w:val="000000" w:themeColor="text1"/>
          <w:lang w:val="en-US"/>
        </w:rPr>
        <w:t>Sample collection and m</w:t>
      </w:r>
      <w:r w:rsidR="00180663" w:rsidRPr="00452352">
        <w:rPr>
          <w:rFonts w:ascii="Times New Roman" w:hAnsi="Times New Roman" w:cs="Times New Roman"/>
          <w:b/>
          <w:color w:val="000000" w:themeColor="text1"/>
          <w:lang w:val="en-US"/>
        </w:rPr>
        <w:t xml:space="preserve">easurement of </w:t>
      </w:r>
      <w:r w:rsidR="004412E5" w:rsidRPr="00452352">
        <w:rPr>
          <w:rFonts w:ascii="Times New Roman" w:hAnsi="Times New Roman" w:cs="Times New Roman"/>
          <w:b/>
          <w:color w:val="000000" w:themeColor="text1"/>
          <w:lang w:val="en-US"/>
        </w:rPr>
        <w:t>circulatory DPP3 levels</w:t>
      </w:r>
      <w:r w:rsidR="006E6103" w:rsidRPr="00452352">
        <w:rPr>
          <w:rFonts w:ascii="Times New Roman" w:hAnsi="Times New Roman" w:cs="Times New Roman"/>
          <w:b/>
          <w:color w:val="000000" w:themeColor="text1"/>
          <w:lang w:val="en-US"/>
        </w:rPr>
        <w:t xml:space="preserve"> (cDPP3)</w:t>
      </w:r>
    </w:p>
    <w:p w14:paraId="1EA0D93E" w14:textId="4AA08462" w:rsidR="00FE53F7" w:rsidRPr="00FE53F7" w:rsidRDefault="0018542B" w:rsidP="00FE53F7">
      <w:pPr>
        <w:spacing w:after="360" w:line="360" w:lineRule="auto"/>
        <w:contextualSpacing/>
        <w:jc w:val="both"/>
        <w:rPr>
          <w:rFonts w:ascii="Times New Roman" w:hAnsi="Times New Roman" w:cs="Times New Roman"/>
          <w:color w:val="000000"/>
          <w:lang w:val="en-US"/>
        </w:rPr>
      </w:pPr>
      <w:r>
        <w:rPr>
          <w:rFonts w:ascii="Times New Roman" w:hAnsi="Times New Roman" w:cs="Times New Roman"/>
          <w:color w:val="000000" w:themeColor="text1"/>
          <w:lang w:val="en-US"/>
        </w:rPr>
        <w:t>Blood</w:t>
      </w:r>
      <w:r w:rsidR="00DE0C58">
        <w:rPr>
          <w:rFonts w:ascii="Times New Roman" w:hAnsi="Times New Roman" w:cs="Times New Roman"/>
          <w:color w:val="000000" w:themeColor="text1"/>
          <w:lang w:val="en-US"/>
        </w:rPr>
        <w:t xml:space="preserve"> samples </w:t>
      </w:r>
      <w:r>
        <w:rPr>
          <w:rFonts w:ascii="Times New Roman" w:hAnsi="Times New Roman" w:cs="Times New Roman"/>
          <w:color w:val="000000" w:themeColor="text1"/>
          <w:lang w:val="en-US"/>
        </w:rPr>
        <w:t>from aSAH patients</w:t>
      </w:r>
      <w:r w:rsidR="00DE0C58">
        <w:rPr>
          <w:rFonts w:ascii="Times New Roman" w:hAnsi="Times New Roman" w:cs="Times New Roman"/>
          <w:color w:val="000000" w:themeColor="text1"/>
          <w:lang w:val="en-US"/>
        </w:rPr>
        <w:t xml:space="preserve"> were collected </w:t>
      </w:r>
      <w:r w:rsidRPr="00DE0C58">
        <w:rPr>
          <w:rFonts w:ascii="Times New Roman" w:hAnsi="Times New Roman" w:cs="Times New Roman"/>
          <w:color w:val="000000" w:themeColor="text1"/>
          <w:lang w:val="en-US"/>
        </w:rPr>
        <w:t>in regular intervals (initially daily, every two days after day 4)</w:t>
      </w:r>
      <w:r>
        <w:rPr>
          <w:rFonts w:ascii="Times New Roman" w:hAnsi="Times New Roman" w:cs="Times New Roman"/>
          <w:color w:val="000000" w:themeColor="text1"/>
          <w:lang w:val="en-US"/>
        </w:rPr>
        <w:t xml:space="preserve"> </w:t>
      </w:r>
      <w:r w:rsidR="00DE0C58">
        <w:rPr>
          <w:rFonts w:ascii="Times New Roman" w:hAnsi="Times New Roman" w:cs="Times New Roman"/>
          <w:color w:val="000000" w:themeColor="text1"/>
          <w:lang w:val="en-US"/>
        </w:rPr>
        <w:t>a</w:t>
      </w:r>
      <w:r w:rsidR="00DE0C58" w:rsidRPr="00DE0C58">
        <w:rPr>
          <w:rFonts w:ascii="Times New Roman" w:hAnsi="Times New Roman" w:cs="Times New Roman"/>
          <w:color w:val="000000" w:themeColor="text1"/>
          <w:lang w:val="en-US"/>
        </w:rPr>
        <w:t xml:space="preserve">s part of a </w:t>
      </w:r>
      <w:r>
        <w:rPr>
          <w:rFonts w:ascii="Times New Roman" w:hAnsi="Times New Roman" w:cs="Times New Roman"/>
          <w:color w:val="000000" w:themeColor="text1"/>
          <w:lang w:val="en-US"/>
        </w:rPr>
        <w:t xml:space="preserve">larger scale </w:t>
      </w:r>
      <w:r w:rsidR="00DE0C58" w:rsidRPr="00DE0C58">
        <w:rPr>
          <w:rFonts w:ascii="Times New Roman" w:hAnsi="Times New Roman" w:cs="Times New Roman"/>
          <w:color w:val="000000" w:themeColor="text1"/>
          <w:lang w:val="en-US"/>
        </w:rPr>
        <w:t>prospective biomarker study</w:t>
      </w:r>
      <w:r>
        <w:rPr>
          <w:rFonts w:ascii="Times New Roman" w:hAnsi="Times New Roman" w:cs="Times New Roman"/>
          <w:color w:val="000000" w:themeColor="text1"/>
          <w:lang w:val="en-US"/>
        </w:rPr>
        <w:t>. They</w:t>
      </w:r>
      <w:r w:rsidR="00FE53F7" w:rsidRPr="00FE53F7">
        <w:rPr>
          <w:rFonts w:ascii="Times New Roman" w:hAnsi="Times New Roman" w:cs="Times New Roman"/>
          <w:color w:val="000000" w:themeColor="text1"/>
          <w:lang w:val="en-US"/>
        </w:rPr>
        <w:t xml:space="preserve"> </w:t>
      </w:r>
      <w:r w:rsidR="00FE53F7" w:rsidRPr="00FE53F7">
        <w:rPr>
          <w:rFonts w:ascii="Times New Roman" w:hAnsi="Times New Roman" w:cs="Times New Roman"/>
          <w:lang w:val="en-US"/>
        </w:rPr>
        <w:t xml:space="preserve">were centrifuged immediately after removal and serum </w:t>
      </w:r>
      <w:r w:rsidR="00FE53F7">
        <w:rPr>
          <w:rFonts w:ascii="Times New Roman" w:hAnsi="Times New Roman" w:cs="Times New Roman"/>
          <w:lang w:val="en-US"/>
        </w:rPr>
        <w:t>was</w:t>
      </w:r>
      <w:r w:rsidR="00FE53F7" w:rsidRPr="00FE53F7">
        <w:rPr>
          <w:rFonts w:ascii="Times New Roman" w:hAnsi="Times New Roman" w:cs="Times New Roman"/>
          <w:lang w:val="en-US"/>
        </w:rPr>
        <w:t xml:space="preserve"> pipetted into suitable polypropylene cryotubes (VWR International GmbH, Darmstadt, Germany). All receptacles were permanently deep-frozen at -80 </w:t>
      </w:r>
      <w:r w:rsidR="00FE53F7" w:rsidRPr="00FE53F7">
        <w:rPr>
          <w:rFonts w:ascii="Times New Roman" w:hAnsi="Times New Roman" w:cs="Times New Roman"/>
          <w:color w:val="000000"/>
          <w:lang w:val="en-US"/>
        </w:rPr>
        <w:t xml:space="preserve">°C (Ultra-low Temperature Freezer, Panasonic Biomedical, </w:t>
      </w:r>
      <w:proofErr w:type="spellStart"/>
      <w:r w:rsidR="00FE53F7" w:rsidRPr="00FE53F7">
        <w:rPr>
          <w:rFonts w:ascii="Times New Roman" w:hAnsi="Times New Roman" w:cs="Times New Roman"/>
          <w:color w:val="000000"/>
          <w:lang w:val="en-US"/>
        </w:rPr>
        <w:t>Etten-Leur</w:t>
      </w:r>
      <w:proofErr w:type="spellEnd"/>
      <w:r w:rsidR="00FE53F7" w:rsidRPr="00FE53F7">
        <w:rPr>
          <w:rFonts w:ascii="Times New Roman" w:hAnsi="Times New Roman" w:cs="Times New Roman"/>
          <w:color w:val="000000"/>
          <w:lang w:val="en-US"/>
        </w:rPr>
        <w:t>, Netherlands). Protection from light exposure during transport and storage was ensured and only interrupted during analysis.</w:t>
      </w:r>
    </w:p>
    <w:p w14:paraId="4C6FA82D" w14:textId="15005074" w:rsidR="00E80FBA" w:rsidRDefault="002E40DE" w:rsidP="00E80FBA">
      <w:pPr>
        <w:autoSpaceDE w:val="0"/>
        <w:autoSpaceDN w:val="0"/>
        <w:adjustRightInd w:val="0"/>
        <w:spacing w:after="0" w:line="360" w:lineRule="auto"/>
        <w:jc w:val="both"/>
        <w:rPr>
          <w:rStyle w:val="Hyperlink"/>
          <w:rFonts w:ascii="Times New Roman" w:hAnsi="Times New Roman" w:cs="Times New Roman"/>
          <w:color w:val="000000" w:themeColor="text1"/>
          <w:u w:val="none"/>
          <w:lang w:val="en-US"/>
        </w:rPr>
      </w:pPr>
      <w:r w:rsidRPr="007D778D">
        <w:rPr>
          <w:rStyle w:val="Hyperlink"/>
          <w:rFonts w:ascii="Times New Roman" w:hAnsi="Times New Roman" w:cs="Times New Roman"/>
          <w:color w:val="000000" w:themeColor="text1"/>
          <w:u w:val="none"/>
          <w:lang w:val="en-US"/>
        </w:rPr>
        <w:t>Human serum samples were measured using the DPP3 luminescence immunoassay (DPP3-LIA)</w:t>
      </w:r>
      <w:r w:rsidR="008320A2">
        <w:rPr>
          <w:rStyle w:val="Hyperlink"/>
          <w:rFonts w:ascii="Times New Roman" w:hAnsi="Times New Roman" w:cs="Times New Roman"/>
          <w:color w:val="000000" w:themeColor="text1"/>
          <w:u w:val="none"/>
          <w:lang w:val="en-US"/>
        </w:rPr>
        <w:t xml:space="preserve"> </w:t>
      </w:r>
      <w:r w:rsidRPr="0039403A">
        <w:rPr>
          <w:rFonts w:ascii="Times New Roman" w:hAnsi="Times New Roman" w:cs="Times New Roman"/>
          <w:lang w:val="en-US"/>
        </w:rPr>
        <w:fldChar w:fldCharType="begin" w:fldLock="1"/>
      </w:r>
      <w:r w:rsidR="00CF4681">
        <w:rPr>
          <w:rFonts w:ascii="Times New Roman" w:hAnsi="Times New Roman" w:cs="Times New Roman"/>
          <w:lang w:val="en-US"/>
        </w:rPr>
        <w:instrText>ADDIN CSL_CITATION {"citationItems":[{"id":"ITEM-1","itemData":{"DOI":"10.1373/jalm.2018.027995","ISSN":"2576-9456","author":[{"dropping-particle":"","family":"Rehfeld","given":"Linda","non-dropping-particle":"","parse-names":false,"suffix":""},{"dropping-particle":"","family":"Funk","given":"Eugenia","non-dropping-particle":"","parse-names":false,"suffix":""},{"dropping-particle":"","family":"Jha","given":"Shalinee","non-dropping-particle":"","parse-names":false,"suffix":""},{"dropping-particle":"","family":"Macheroux","given":"Peter","non-dropping-particle":"","parse-names":false,"suffix":""},{"dropping-particle":"","family":"Melander","given":"Olle","non-dropping-particle":"","parse-names":false,"suffix":""},{"dropping-particle":"","family":"Bergmann","given":"Andreas","non-dropping-particle":"","parse-names":false,"suffix":""}],"container-title":"The Journal of Applied Laboratory Medicine","id":"ITEM-1","issue":"6","issued":{"date-parts":[["2019","5","1"]]},"page":"943-953","title":"Novel methods for the quantification of dipeptidyl peptidase 3 (DPP3) concentration and activity in human blood samples.","type":"article-journal","volume":"3"},"uris":["http://www.mendeley.com/documents/?uuid=714ff383-7386-4508-bb26-062ca508a6e7"]}],"mendeley":{"formattedCitation":"[15]","plainTextFormattedCitation":"[15]","previouslyFormattedCitation":"[15]"},"properties":{"noteIndex":0},"schema":"https://github.com/citation-style-language/schema/raw/master/csl-citation.json"}</w:instrText>
      </w:r>
      <w:r w:rsidRPr="0039403A">
        <w:rPr>
          <w:rFonts w:ascii="Times New Roman" w:hAnsi="Times New Roman" w:cs="Times New Roman"/>
          <w:lang w:val="en-US"/>
        </w:rPr>
        <w:fldChar w:fldCharType="separate"/>
      </w:r>
      <w:r w:rsidR="008320A2" w:rsidRPr="008320A2">
        <w:rPr>
          <w:rFonts w:ascii="Times New Roman" w:hAnsi="Times New Roman" w:cs="Times New Roman"/>
          <w:noProof/>
          <w:lang w:val="en-US"/>
        </w:rPr>
        <w:t>[15]</w:t>
      </w:r>
      <w:r w:rsidRPr="0039403A">
        <w:rPr>
          <w:rFonts w:ascii="Times New Roman" w:hAnsi="Times New Roman" w:cs="Times New Roman"/>
          <w:lang w:val="en-US"/>
        </w:rPr>
        <w:fldChar w:fldCharType="end"/>
      </w:r>
      <w:r w:rsidRPr="007D778D">
        <w:rPr>
          <w:rStyle w:val="Hyperlink"/>
          <w:rFonts w:ascii="Times New Roman" w:hAnsi="Times New Roman" w:cs="Times New Roman"/>
          <w:color w:val="000000" w:themeColor="text1"/>
          <w:u w:val="none"/>
          <w:lang w:val="en-US"/>
        </w:rPr>
        <w:t>. Briefly, twenty microliters of samples or calibrators were pipetted into antibody-coated microtiter plates. After adding anti-DPP3 tracer antibody, the microtiter plates were incubated for 3 h at room temperature and 600 rpm (</w:t>
      </w:r>
      <w:proofErr w:type="spellStart"/>
      <w:r w:rsidRPr="007D778D">
        <w:rPr>
          <w:rStyle w:val="Hyperlink"/>
          <w:rFonts w:ascii="Times New Roman" w:hAnsi="Times New Roman" w:cs="Times New Roman"/>
          <w:color w:val="000000" w:themeColor="text1"/>
          <w:u w:val="none"/>
          <w:lang w:val="en-US"/>
        </w:rPr>
        <w:t>Titramax</w:t>
      </w:r>
      <w:proofErr w:type="spellEnd"/>
      <w:r w:rsidRPr="007D778D">
        <w:rPr>
          <w:rStyle w:val="Hyperlink"/>
          <w:rFonts w:ascii="Times New Roman" w:hAnsi="Times New Roman" w:cs="Times New Roman"/>
          <w:color w:val="000000" w:themeColor="text1"/>
          <w:u w:val="none"/>
          <w:lang w:val="en-US"/>
        </w:rPr>
        <w:t xml:space="preserve"> 101, </w:t>
      </w:r>
      <w:proofErr w:type="spellStart"/>
      <w:r w:rsidRPr="007D778D">
        <w:rPr>
          <w:rStyle w:val="Hyperlink"/>
          <w:rFonts w:ascii="Times New Roman" w:hAnsi="Times New Roman" w:cs="Times New Roman"/>
          <w:color w:val="000000" w:themeColor="text1"/>
          <w:u w:val="none"/>
          <w:lang w:val="en-US"/>
        </w:rPr>
        <w:t>Heidolph</w:t>
      </w:r>
      <w:proofErr w:type="spellEnd"/>
      <w:r w:rsidRPr="007D778D">
        <w:rPr>
          <w:rStyle w:val="Hyperlink"/>
          <w:rFonts w:ascii="Times New Roman" w:hAnsi="Times New Roman" w:cs="Times New Roman"/>
          <w:color w:val="000000" w:themeColor="text1"/>
          <w:u w:val="none"/>
          <w:lang w:val="en-US"/>
        </w:rPr>
        <w:t xml:space="preserve"> Instruments GmbH &amp; CO. KG). Unbound tracer was removed by washing 4 times (350 </w:t>
      </w:r>
      <w:proofErr w:type="spellStart"/>
      <w:r w:rsidRPr="007D778D">
        <w:rPr>
          <w:rStyle w:val="Hyperlink"/>
          <w:rFonts w:ascii="Times New Roman" w:hAnsi="Times New Roman" w:cs="Times New Roman"/>
          <w:color w:val="000000" w:themeColor="text1"/>
          <w:u w:val="none"/>
          <w:lang w:val="en-US"/>
        </w:rPr>
        <w:t>μL</w:t>
      </w:r>
      <w:proofErr w:type="spellEnd"/>
      <w:r w:rsidRPr="007D778D">
        <w:rPr>
          <w:rStyle w:val="Hyperlink"/>
          <w:rFonts w:ascii="Times New Roman" w:hAnsi="Times New Roman" w:cs="Times New Roman"/>
          <w:color w:val="000000" w:themeColor="text1"/>
          <w:u w:val="none"/>
          <w:lang w:val="en-US"/>
        </w:rPr>
        <w:t xml:space="preserve"> per well). Remaining chemiluminescence was measured for 1s per well by use of the Centro LB 960 microtiter plate luminometer (Berthold Technologies GmbH &amp; Co. KG). The concentration of DPP3 was determined with a 6-point calibration curve [0 (def. 0.01</w:t>
      </w:r>
      <w:r w:rsidR="007D778D" w:rsidRPr="007D778D">
        <w:rPr>
          <w:rStyle w:val="Hyperlink"/>
          <w:rFonts w:ascii="Times New Roman" w:hAnsi="Times New Roman" w:cs="Times New Roman"/>
          <w:color w:val="000000" w:themeColor="text1"/>
          <w:u w:val="none"/>
          <w:lang w:val="en-US"/>
        </w:rPr>
        <w:t>)</w:t>
      </w:r>
      <w:r w:rsidR="007D778D">
        <w:rPr>
          <w:rStyle w:val="Hyperlink"/>
          <w:rFonts w:ascii="Times New Roman" w:hAnsi="Times New Roman" w:cs="Times New Roman"/>
          <w:color w:val="000000" w:themeColor="text1"/>
          <w:u w:val="none"/>
          <w:lang w:val="en-US"/>
        </w:rPr>
        <w:t xml:space="preserve"> - </w:t>
      </w:r>
      <w:r w:rsidRPr="007D778D">
        <w:rPr>
          <w:rStyle w:val="Hyperlink"/>
          <w:rFonts w:ascii="Times New Roman" w:hAnsi="Times New Roman" w:cs="Times New Roman"/>
          <w:color w:val="000000" w:themeColor="text1"/>
          <w:u w:val="none"/>
          <w:lang w:val="en-US"/>
        </w:rPr>
        <w:t xml:space="preserve">200 ng/mL]. </w:t>
      </w:r>
      <w:r w:rsidR="00E80FBA">
        <w:rPr>
          <w:rStyle w:val="Hyperlink"/>
          <w:rFonts w:ascii="Times New Roman" w:hAnsi="Times New Roman" w:cs="Times New Roman"/>
          <w:color w:val="000000" w:themeColor="text1"/>
          <w:u w:val="none"/>
          <w:lang w:val="en-US"/>
        </w:rPr>
        <w:t>Calibrators were run in quadruplicate and samples were run in duplicate.</w:t>
      </w:r>
    </w:p>
    <w:p w14:paraId="24CB5F3B" w14:textId="77777777" w:rsidR="00E80FBA" w:rsidRDefault="00E80FBA" w:rsidP="00E80FBA">
      <w:pPr>
        <w:spacing w:after="360" w:line="360" w:lineRule="auto"/>
        <w:contextualSpacing/>
        <w:jc w:val="both"/>
        <w:rPr>
          <w:rFonts w:ascii="Times New Roman" w:hAnsi="Times New Roman" w:cs="Times New Roman"/>
          <w:lang w:val="en-US"/>
        </w:rPr>
      </w:pPr>
    </w:p>
    <w:p w14:paraId="340F2907" w14:textId="5BAC0C5F" w:rsidR="006C1139" w:rsidRPr="00821977" w:rsidRDefault="004F640C" w:rsidP="001D6E2E">
      <w:pPr>
        <w:spacing w:after="360" w:line="360" w:lineRule="auto"/>
        <w:contextualSpacing/>
        <w:jc w:val="both"/>
        <w:rPr>
          <w:rFonts w:ascii="Times New Roman" w:hAnsi="Times New Roman" w:cs="Times New Roman"/>
          <w:b/>
          <w:color w:val="201F1E"/>
          <w:lang w:val="en-US"/>
        </w:rPr>
      </w:pPr>
      <w:r>
        <w:rPr>
          <w:rFonts w:ascii="Times New Roman" w:hAnsi="Times New Roman" w:cs="Times New Roman"/>
          <w:b/>
          <w:color w:val="201F1E"/>
          <w:lang w:val="en-US"/>
        </w:rPr>
        <w:t>T</w:t>
      </w:r>
      <w:r w:rsidRPr="004F640C">
        <w:rPr>
          <w:rFonts w:ascii="Times New Roman" w:hAnsi="Times New Roman" w:cs="Times New Roman"/>
          <w:b/>
          <w:color w:val="201F1E"/>
          <w:lang w:val="en-US"/>
        </w:rPr>
        <w:t xml:space="preserve">ime-course </w:t>
      </w:r>
      <w:r w:rsidR="006C1139" w:rsidRPr="00821977">
        <w:rPr>
          <w:rFonts w:ascii="Times New Roman" w:hAnsi="Times New Roman" w:cs="Times New Roman"/>
          <w:b/>
          <w:color w:val="201F1E"/>
          <w:lang w:val="en-US"/>
        </w:rPr>
        <w:t>analys</w:t>
      </w:r>
      <w:r w:rsidR="006F2373">
        <w:rPr>
          <w:rFonts w:ascii="Times New Roman" w:hAnsi="Times New Roman" w:cs="Times New Roman"/>
          <w:b/>
          <w:color w:val="201F1E"/>
          <w:lang w:val="en-US"/>
        </w:rPr>
        <w:t>e</w:t>
      </w:r>
      <w:r w:rsidR="006C1139" w:rsidRPr="00821977">
        <w:rPr>
          <w:rFonts w:ascii="Times New Roman" w:hAnsi="Times New Roman" w:cs="Times New Roman"/>
          <w:b/>
          <w:color w:val="201F1E"/>
          <w:lang w:val="en-US"/>
        </w:rPr>
        <w:t>s</w:t>
      </w:r>
    </w:p>
    <w:p w14:paraId="44A5C649" w14:textId="0D8BAD9D" w:rsidR="0097060B" w:rsidRPr="002B05A7" w:rsidRDefault="00CE2D84" w:rsidP="006F2373">
      <w:pPr>
        <w:spacing w:after="120" w:line="360" w:lineRule="auto"/>
        <w:jc w:val="both"/>
        <w:rPr>
          <w:rFonts w:ascii="Times New Roman" w:hAnsi="Times New Roman" w:cs="Times New Roman"/>
          <w:lang w:val="en-US"/>
        </w:rPr>
      </w:pPr>
      <w:r>
        <w:rPr>
          <w:rFonts w:ascii="Times New Roman" w:hAnsi="Times New Roman" w:cs="Times New Roman"/>
          <w:lang w:val="en-US"/>
        </w:rPr>
        <w:t>Because sampling was not performed on a daily basis and b</w:t>
      </w:r>
      <w:r w:rsidR="00DE2B8D" w:rsidRPr="002B05A7">
        <w:rPr>
          <w:rFonts w:ascii="Times New Roman" w:hAnsi="Times New Roman" w:cs="Times New Roman"/>
          <w:lang w:val="en-US"/>
        </w:rPr>
        <w:t xml:space="preserve">ased on the typical time-course for development </w:t>
      </w:r>
      <w:r w:rsidR="006F2373" w:rsidRPr="002B05A7">
        <w:rPr>
          <w:rFonts w:ascii="Times New Roman" w:hAnsi="Times New Roman" w:cs="Times New Roman"/>
          <w:lang w:val="en-US"/>
        </w:rPr>
        <w:t>of EBI</w:t>
      </w:r>
      <w:r w:rsidR="00DE2B8D" w:rsidRPr="002B05A7">
        <w:rPr>
          <w:rFonts w:ascii="Times New Roman" w:hAnsi="Times New Roman" w:cs="Times New Roman"/>
          <w:lang w:val="en-US"/>
        </w:rPr>
        <w:t xml:space="preserve"> </w:t>
      </w:r>
      <w:r w:rsidR="006F2373" w:rsidRPr="002B05A7">
        <w:rPr>
          <w:rFonts w:ascii="Times New Roman" w:hAnsi="Times New Roman" w:cs="Times New Roman"/>
          <w:lang w:val="en-US"/>
        </w:rPr>
        <w:t>and</w:t>
      </w:r>
      <w:r w:rsidR="00DE2B8D" w:rsidRPr="002B05A7">
        <w:rPr>
          <w:rFonts w:ascii="Times New Roman" w:hAnsi="Times New Roman" w:cs="Times New Roman"/>
          <w:lang w:val="en-US"/>
        </w:rPr>
        <w:t xml:space="preserve"> DCI, comparisons were made between measurements obtained </w:t>
      </w:r>
      <w:r>
        <w:rPr>
          <w:rFonts w:ascii="Times New Roman" w:hAnsi="Times New Roman" w:cs="Times New Roman"/>
          <w:lang w:val="en-US"/>
        </w:rPr>
        <w:t xml:space="preserve">in pre-defined time intervals </w:t>
      </w:r>
      <w:r w:rsidR="006F2373" w:rsidRPr="002B05A7">
        <w:rPr>
          <w:rFonts w:ascii="Times New Roman" w:hAnsi="Times New Roman" w:cs="Times New Roman"/>
          <w:lang w:val="en-US"/>
        </w:rPr>
        <w:t>during the early (</w:t>
      </w:r>
      <w:r w:rsidR="00E97B09">
        <w:rPr>
          <w:rFonts w:ascii="Times New Roman" w:hAnsi="Times New Roman" w:cs="Times New Roman"/>
          <w:lang w:val="en-US"/>
        </w:rPr>
        <w:t xml:space="preserve">EP: </w:t>
      </w:r>
      <w:r w:rsidR="006F2373" w:rsidRPr="002B05A7">
        <w:rPr>
          <w:rFonts w:ascii="Times New Roman" w:hAnsi="Times New Roman" w:cs="Times New Roman"/>
          <w:lang w:val="en-US"/>
        </w:rPr>
        <w:t>d1-4), critical (</w:t>
      </w:r>
      <w:r w:rsidR="00E97B09">
        <w:rPr>
          <w:rFonts w:ascii="Times New Roman" w:hAnsi="Times New Roman" w:cs="Times New Roman"/>
          <w:lang w:val="en-US"/>
        </w:rPr>
        <w:t xml:space="preserve">CP: </w:t>
      </w:r>
      <w:r w:rsidR="006F2373" w:rsidRPr="002B05A7">
        <w:rPr>
          <w:rFonts w:ascii="Times New Roman" w:hAnsi="Times New Roman" w:cs="Times New Roman"/>
          <w:lang w:val="en-US"/>
        </w:rPr>
        <w:t>d5-8, d9-12, d13-15) and late (</w:t>
      </w:r>
      <w:r w:rsidR="00E97B09">
        <w:rPr>
          <w:rFonts w:ascii="Times New Roman" w:hAnsi="Times New Roman" w:cs="Times New Roman"/>
          <w:lang w:val="en-US"/>
        </w:rPr>
        <w:t xml:space="preserve">LP: </w:t>
      </w:r>
      <w:r w:rsidR="006F2373" w:rsidRPr="002B05A7">
        <w:rPr>
          <w:rFonts w:ascii="Times New Roman" w:hAnsi="Times New Roman" w:cs="Times New Roman"/>
          <w:lang w:val="en-US"/>
        </w:rPr>
        <w:t>d16-21) phase</w:t>
      </w:r>
      <w:r w:rsidR="001D78A4">
        <w:rPr>
          <w:rFonts w:ascii="Times New Roman" w:hAnsi="Times New Roman" w:cs="Times New Roman"/>
          <w:lang w:val="en-US"/>
        </w:rPr>
        <w:t xml:space="preserve"> after aSAH onset</w:t>
      </w:r>
      <w:r w:rsidR="006F2373" w:rsidRPr="002B05A7">
        <w:rPr>
          <w:rFonts w:ascii="Times New Roman" w:hAnsi="Times New Roman" w:cs="Times New Roman"/>
          <w:lang w:val="en-US"/>
        </w:rPr>
        <w:t>.</w:t>
      </w:r>
      <w:r w:rsidR="004F640C">
        <w:rPr>
          <w:rFonts w:ascii="Times New Roman" w:eastAsia="OTNEJMQuadraat" w:hAnsi="Times New Roman" w:cs="Times New Roman"/>
          <w:lang w:val="en-US"/>
        </w:rPr>
        <w:t xml:space="preserve"> </w:t>
      </w:r>
      <w:r w:rsidR="00907B5C">
        <w:rPr>
          <w:rFonts w:ascii="Times New Roman" w:eastAsia="OTNEJMQuadraat" w:hAnsi="Times New Roman" w:cs="Times New Roman"/>
          <w:lang w:val="en-US"/>
        </w:rPr>
        <w:t xml:space="preserve">The number of patients for which measurements in the different intervals were available are summarized in </w:t>
      </w:r>
      <w:r w:rsidR="00907B5C" w:rsidRPr="00907B5C">
        <w:rPr>
          <w:rFonts w:ascii="Times New Roman" w:eastAsia="OTNEJMQuadraat" w:hAnsi="Times New Roman" w:cs="Times New Roman"/>
          <w:b/>
          <w:lang w:val="en-US"/>
        </w:rPr>
        <w:t>Tab. 1-3</w:t>
      </w:r>
      <w:r w:rsidR="00907B5C">
        <w:rPr>
          <w:rFonts w:ascii="Times New Roman" w:eastAsia="OTNEJMQuadraat" w:hAnsi="Times New Roman" w:cs="Times New Roman"/>
          <w:lang w:val="en-US"/>
        </w:rPr>
        <w:t xml:space="preserve">. </w:t>
      </w:r>
      <w:r>
        <w:rPr>
          <w:rFonts w:ascii="Times New Roman" w:eastAsia="OTNEJMQuadraat" w:hAnsi="Times New Roman" w:cs="Times New Roman"/>
          <w:lang w:val="en-US"/>
        </w:rPr>
        <w:t>If more than one measurement was available for a given patient</w:t>
      </w:r>
      <w:r w:rsidR="00907B5C">
        <w:rPr>
          <w:rFonts w:ascii="Times New Roman" w:eastAsia="OTNEJMQuadraat" w:hAnsi="Times New Roman" w:cs="Times New Roman"/>
          <w:lang w:val="en-US"/>
        </w:rPr>
        <w:t xml:space="preserve"> in a given interval, all measurements in this interval were used to calculate a mean value for this patient. For analysis, p</w:t>
      </w:r>
      <w:r w:rsidR="004F640C" w:rsidRPr="002B05A7">
        <w:rPr>
          <w:rFonts w:ascii="Times New Roman" w:eastAsia="OTNEJMQuadraat" w:hAnsi="Times New Roman" w:cs="Times New Roman"/>
          <w:lang w:val="en-US"/>
        </w:rPr>
        <w:t xml:space="preserve">atients </w:t>
      </w:r>
      <w:r w:rsidR="0097060B" w:rsidRPr="002B05A7">
        <w:rPr>
          <w:rFonts w:ascii="Times New Roman" w:eastAsia="OTNEJMQuadraat" w:hAnsi="Times New Roman" w:cs="Times New Roman"/>
          <w:lang w:val="en-US"/>
        </w:rPr>
        <w:t xml:space="preserve">were stratified into groups according to </w:t>
      </w:r>
      <w:r w:rsidR="002B05A7" w:rsidRPr="002B05A7">
        <w:rPr>
          <w:rFonts w:ascii="Times New Roman" w:eastAsia="OTNEJMQuadraat" w:hAnsi="Times New Roman" w:cs="Times New Roman"/>
          <w:lang w:val="en-US"/>
        </w:rPr>
        <w:t xml:space="preserve">gender, </w:t>
      </w:r>
      <w:r w:rsidR="00404143">
        <w:rPr>
          <w:rFonts w:ascii="Times New Roman" w:eastAsia="OTNEJMQuadraat" w:hAnsi="Times New Roman" w:cs="Times New Roman"/>
          <w:lang w:val="en-US"/>
        </w:rPr>
        <w:t xml:space="preserve">age (≤52 years vs. &gt;52 years, based on the median value), </w:t>
      </w:r>
      <w:r w:rsidR="002B05A7" w:rsidRPr="002B05A7">
        <w:rPr>
          <w:rFonts w:ascii="Times New Roman" w:eastAsia="OTNEJMQuadraat" w:hAnsi="Times New Roman" w:cs="Times New Roman"/>
          <w:lang w:val="en-US"/>
        </w:rPr>
        <w:t xml:space="preserve">pre-existing diabetes, cigarette consumption (smoker vs. non-smoker), </w:t>
      </w:r>
      <w:r w:rsidR="009B19A0" w:rsidRPr="002B05A7">
        <w:rPr>
          <w:rFonts w:ascii="Times New Roman" w:eastAsia="OTNEJMQuadraat" w:hAnsi="Times New Roman" w:cs="Times New Roman"/>
          <w:lang w:val="en-US"/>
        </w:rPr>
        <w:t>clinical severity on admission (good grade = HH</w:t>
      </w:r>
      <w:r w:rsidR="009B19A0" w:rsidRPr="002B05A7">
        <w:rPr>
          <w:rFonts w:ascii="Times New Roman" w:eastAsia="OTNEJMQuadraat" w:hAnsi="Times New Roman" w:cs="Times New Roman"/>
          <w:vertAlign w:val="subscript"/>
          <w:lang w:val="en-US"/>
        </w:rPr>
        <w:t>1-</w:t>
      </w:r>
      <w:r w:rsidR="00D07909">
        <w:rPr>
          <w:rFonts w:ascii="Times New Roman" w:eastAsia="OTNEJMQuadraat" w:hAnsi="Times New Roman" w:cs="Times New Roman"/>
          <w:vertAlign w:val="subscript"/>
          <w:lang w:val="en-US"/>
        </w:rPr>
        <w:t>3</w:t>
      </w:r>
      <w:r w:rsidR="009B19A0" w:rsidRPr="002B05A7">
        <w:rPr>
          <w:rFonts w:ascii="Times New Roman" w:eastAsia="OTNEJMQuadraat" w:hAnsi="Times New Roman" w:cs="Times New Roman"/>
          <w:lang w:val="en-US"/>
        </w:rPr>
        <w:t xml:space="preserve"> vs. poor grade = HH</w:t>
      </w:r>
      <w:r w:rsidR="00D07909">
        <w:rPr>
          <w:rFonts w:ascii="Times New Roman" w:eastAsia="OTNEJMQuadraat" w:hAnsi="Times New Roman" w:cs="Times New Roman"/>
          <w:vertAlign w:val="subscript"/>
          <w:lang w:val="en-US"/>
        </w:rPr>
        <w:t>4</w:t>
      </w:r>
      <w:r w:rsidR="009B19A0" w:rsidRPr="002B05A7">
        <w:rPr>
          <w:rFonts w:ascii="Times New Roman" w:eastAsia="OTNEJMQuadraat" w:hAnsi="Times New Roman" w:cs="Times New Roman"/>
          <w:vertAlign w:val="subscript"/>
          <w:lang w:val="en-US"/>
        </w:rPr>
        <w:t>-5</w:t>
      </w:r>
      <w:r w:rsidR="009B19A0" w:rsidRPr="002B05A7">
        <w:rPr>
          <w:rFonts w:ascii="Times New Roman" w:eastAsia="OTNEJMQuadraat" w:hAnsi="Times New Roman" w:cs="Times New Roman"/>
          <w:lang w:val="en-US"/>
        </w:rPr>
        <w:t xml:space="preserve">), </w:t>
      </w:r>
      <w:r w:rsidR="00DE2B8D" w:rsidRPr="002B05A7">
        <w:rPr>
          <w:rFonts w:ascii="Times New Roman" w:eastAsia="OTNEJMQuadraat" w:hAnsi="Times New Roman" w:cs="Times New Roman"/>
          <w:lang w:val="en-US"/>
        </w:rPr>
        <w:t>radiological severity on admission (good grade = mFS</w:t>
      </w:r>
      <w:r w:rsidR="00DE2B8D" w:rsidRPr="002B05A7">
        <w:rPr>
          <w:rFonts w:ascii="Times New Roman" w:eastAsia="OTNEJMQuadraat" w:hAnsi="Times New Roman" w:cs="Times New Roman"/>
          <w:vertAlign w:val="subscript"/>
          <w:lang w:val="en-US"/>
        </w:rPr>
        <w:t>1-2</w:t>
      </w:r>
      <w:r w:rsidR="00DE2B8D" w:rsidRPr="002B05A7">
        <w:rPr>
          <w:rFonts w:ascii="Times New Roman" w:eastAsia="OTNEJMQuadraat" w:hAnsi="Times New Roman" w:cs="Times New Roman"/>
          <w:lang w:val="en-US"/>
        </w:rPr>
        <w:t xml:space="preserve"> vs. poor grade = mFS</w:t>
      </w:r>
      <w:r w:rsidR="00DE2B8D" w:rsidRPr="002B05A7">
        <w:rPr>
          <w:rFonts w:ascii="Times New Roman" w:eastAsia="OTNEJMQuadraat" w:hAnsi="Times New Roman" w:cs="Times New Roman"/>
          <w:vertAlign w:val="subscript"/>
          <w:lang w:val="en-US"/>
        </w:rPr>
        <w:t>3-4</w:t>
      </w:r>
      <w:r w:rsidR="00DE2B8D" w:rsidRPr="002B05A7">
        <w:rPr>
          <w:rFonts w:ascii="Times New Roman" w:eastAsia="OTNEJMQuadraat" w:hAnsi="Times New Roman" w:cs="Times New Roman"/>
          <w:lang w:val="en-US"/>
        </w:rPr>
        <w:t xml:space="preserve">), </w:t>
      </w:r>
      <w:r w:rsidR="00165040" w:rsidRPr="002B05A7">
        <w:rPr>
          <w:rFonts w:ascii="Times New Roman" w:eastAsia="OTNEJMQuadraat" w:hAnsi="Times New Roman" w:cs="Times New Roman"/>
          <w:lang w:val="en-US"/>
        </w:rPr>
        <w:t xml:space="preserve">treatment modality (coiling vs. </w:t>
      </w:r>
      <w:r w:rsidR="00165040" w:rsidRPr="002B05A7">
        <w:rPr>
          <w:rFonts w:ascii="Times New Roman" w:eastAsia="OTNEJMQuadraat" w:hAnsi="Times New Roman" w:cs="Times New Roman"/>
          <w:lang w:val="en-US"/>
        </w:rPr>
        <w:lastRenderedPageBreak/>
        <w:t xml:space="preserve">clipping), aneurysm location (anterior vs. posterior circulation), </w:t>
      </w:r>
      <w:r w:rsidR="009B19A0" w:rsidRPr="002B05A7">
        <w:rPr>
          <w:rFonts w:ascii="Times New Roman" w:eastAsia="OTNEJMQuadraat" w:hAnsi="Times New Roman" w:cs="Times New Roman"/>
          <w:lang w:val="en-US"/>
        </w:rPr>
        <w:t xml:space="preserve">occurrence of DCI (DCI vs. no DCI) </w:t>
      </w:r>
      <w:r w:rsidR="00165040" w:rsidRPr="002B05A7">
        <w:rPr>
          <w:rFonts w:ascii="Times New Roman" w:eastAsia="OTNEJMQuadraat" w:hAnsi="Times New Roman" w:cs="Times New Roman"/>
          <w:lang w:val="en-US"/>
        </w:rPr>
        <w:t>or</w:t>
      </w:r>
      <w:r w:rsidR="009B19A0" w:rsidRPr="002B05A7">
        <w:rPr>
          <w:rFonts w:ascii="Times New Roman" w:eastAsia="OTNEJMQuadraat" w:hAnsi="Times New Roman" w:cs="Times New Roman"/>
          <w:lang w:val="en-US"/>
        </w:rPr>
        <w:t xml:space="preserve"> DCI-related infa</w:t>
      </w:r>
      <w:r w:rsidR="00292D30" w:rsidRPr="002B05A7">
        <w:rPr>
          <w:rFonts w:ascii="Times New Roman" w:eastAsia="OTNEJMQuadraat" w:hAnsi="Times New Roman" w:cs="Times New Roman"/>
          <w:lang w:val="en-US"/>
        </w:rPr>
        <w:t>r</w:t>
      </w:r>
      <w:r w:rsidR="009B19A0" w:rsidRPr="002B05A7">
        <w:rPr>
          <w:rFonts w:ascii="Times New Roman" w:eastAsia="OTNEJMQuadraat" w:hAnsi="Times New Roman" w:cs="Times New Roman"/>
          <w:lang w:val="en-US"/>
        </w:rPr>
        <w:t>ction</w:t>
      </w:r>
      <w:r w:rsidR="00165040" w:rsidRPr="002B05A7">
        <w:rPr>
          <w:rFonts w:ascii="Times New Roman" w:eastAsia="OTNEJMQuadraat" w:hAnsi="Times New Roman" w:cs="Times New Roman"/>
          <w:lang w:val="en-US"/>
        </w:rPr>
        <w:t xml:space="preserve"> (</w:t>
      </w:r>
      <w:r w:rsidR="002B05A7" w:rsidRPr="002B05A7">
        <w:rPr>
          <w:rFonts w:ascii="Times New Roman" w:eastAsia="OTNEJMQuadraat" w:hAnsi="Times New Roman" w:cs="Times New Roman"/>
          <w:lang w:val="en-US"/>
        </w:rPr>
        <w:t>DCI only</w:t>
      </w:r>
      <w:r w:rsidR="00165040" w:rsidRPr="002B05A7">
        <w:rPr>
          <w:rFonts w:ascii="Times New Roman" w:eastAsia="OTNEJMQuadraat" w:hAnsi="Times New Roman" w:cs="Times New Roman"/>
          <w:lang w:val="en-US"/>
        </w:rPr>
        <w:t xml:space="preserve"> vs. </w:t>
      </w:r>
      <w:r w:rsidR="002B05A7" w:rsidRPr="002B05A7">
        <w:rPr>
          <w:rFonts w:ascii="Times New Roman" w:eastAsia="OTNEJMQuadraat" w:hAnsi="Times New Roman" w:cs="Times New Roman"/>
          <w:lang w:val="en-US"/>
        </w:rPr>
        <w:t xml:space="preserve">DCI-related </w:t>
      </w:r>
      <w:r w:rsidR="00165040" w:rsidRPr="002B05A7">
        <w:rPr>
          <w:rFonts w:ascii="Times New Roman" w:eastAsia="OTNEJMQuadraat" w:hAnsi="Times New Roman" w:cs="Times New Roman"/>
          <w:lang w:val="en-US"/>
        </w:rPr>
        <w:t>infarction)</w:t>
      </w:r>
      <w:r w:rsidR="000A1B13" w:rsidRPr="002B05A7">
        <w:rPr>
          <w:rFonts w:ascii="Times New Roman" w:eastAsia="OTNEJMQuadraat" w:hAnsi="Times New Roman" w:cs="Times New Roman"/>
          <w:lang w:val="en-US"/>
        </w:rPr>
        <w:t xml:space="preserve"> and clinical outcome </w:t>
      </w:r>
      <w:r w:rsidR="00165040" w:rsidRPr="002B05A7">
        <w:rPr>
          <w:rFonts w:ascii="Times New Roman" w:eastAsia="OTNEJMQuadraat" w:hAnsi="Times New Roman" w:cs="Times New Roman"/>
          <w:lang w:val="en-US"/>
        </w:rPr>
        <w:t xml:space="preserve">after 12 months </w:t>
      </w:r>
      <w:r w:rsidR="009B19A0" w:rsidRPr="002B05A7">
        <w:rPr>
          <w:rFonts w:ascii="Times New Roman" w:eastAsia="OTNEJMQuadraat" w:hAnsi="Times New Roman" w:cs="Times New Roman"/>
          <w:lang w:val="en-US"/>
        </w:rPr>
        <w:t>(favorable</w:t>
      </w:r>
      <w:r w:rsidR="002B05A7">
        <w:rPr>
          <w:rFonts w:ascii="Times New Roman" w:eastAsia="OTNEJMQuadraat" w:hAnsi="Times New Roman" w:cs="Times New Roman"/>
          <w:lang w:val="en-US"/>
        </w:rPr>
        <w:t xml:space="preserve"> </w:t>
      </w:r>
      <w:r w:rsidR="009B19A0" w:rsidRPr="002B05A7">
        <w:rPr>
          <w:rFonts w:ascii="Times New Roman" w:eastAsia="OTNEJMQuadraat" w:hAnsi="Times New Roman" w:cs="Times New Roman"/>
          <w:lang w:val="en-US"/>
        </w:rPr>
        <w:t>=</w:t>
      </w:r>
      <w:r w:rsidR="002B05A7">
        <w:rPr>
          <w:rFonts w:ascii="Times New Roman" w:eastAsia="OTNEJMQuadraat" w:hAnsi="Times New Roman" w:cs="Times New Roman"/>
          <w:lang w:val="en-US"/>
        </w:rPr>
        <w:t xml:space="preserve"> </w:t>
      </w:r>
      <w:r w:rsidR="002B05A7" w:rsidRPr="002B05A7">
        <w:rPr>
          <w:rFonts w:ascii="Times New Roman" w:eastAsia="OTNEJMQuadraat" w:hAnsi="Times New Roman" w:cs="Times New Roman"/>
          <w:lang w:val="en-US"/>
        </w:rPr>
        <w:t>GOS-E</w:t>
      </w:r>
      <w:r w:rsidR="002B05A7" w:rsidRPr="002B05A7">
        <w:rPr>
          <w:rFonts w:ascii="Times New Roman" w:eastAsia="OTNEJMQuadraat" w:hAnsi="Times New Roman" w:cs="Times New Roman"/>
          <w:vertAlign w:val="subscript"/>
          <w:lang w:val="en-US"/>
        </w:rPr>
        <w:t>5</w:t>
      </w:r>
      <w:r w:rsidR="009B19A0" w:rsidRPr="002B05A7">
        <w:rPr>
          <w:rFonts w:ascii="Times New Roman" w:eastAsia="OTNEJMQuadraat" w:hAnsi="Times New Roman" w:cs="Times New Roman"/>
          <w:vertAlign w:val="subscript"/>
          <w:lang w:val="en-US"/>
        </w:rPr>
        <w:t>-</w:t>
      </w:r>
      <w:r w:rsidR="002B05A7" w:rsidRPr="002B05A7">
        <w:rPr>
          <w:rFonts w:ascii="Times New Roman" w:eastAsia="OTNEJMQuadraat" w:hAnsi="Times New Roman" w:cs="Times New Roman"/>
          <w:vertAlign w:val="subscript"/>
          <w:lang w:val="en-US"/>
        </w:rPr>
        <w:t>8</w:t>
      </w:r>
      <w:r w:rsidR="009B19A0" w:rsidRPr="002B05A7">
        <w:rPr>
          <w:rFonts w:ascii="Times New Roman" w:eastAsia="OTNEJMQuadraat" w:hAnsi="Times New Roman" w:cs="Times New Roman"/>
          <w:lang w:val="en-US"/>
        </w:rPr>
        <w:t xml:space="preserve"> vs. unfavorable</w:t>
      </w:r>
      <w:r w:rsidR="002B05A7" w:rsidRPr="002B05A7">
        <w:rPr>
          <w:rFonts w:ascii="Times New Roman" w:eastAsia="OTNEJMQuadraat" w:hAnsi="Times New Roman" w:cs="Times New Roman"/>
          <w:lang w:val="en-US"/>
        </w:rPr>
        <w:t xml:space="preserve"> </w:t>
      </w:r>
      <w:r w:rsidR="009B19A0" w:rsidRPr="002B05A7">
        <w:rPr>
          <w:rFonts w:ascii="Times New Roman" w:eastAsia="OTNEJMQuadraat" w:hAnsi="Times New Roman" w:cs="Times New Roman"/>
          <w:lang w:val="en-US"/>
        </w:rPr>
        <w:t>=</w:t>
      </w:r>
      <w:r w:rsidR="002B05A7" w:rsidRPr="002B05A7">
        <w:rPr>
          <w:rFonts w:ascii="Times New Roman" w:eastAsia="OTNEJMQuadraat" w:hAnsi="Times New Roman" w:cs="Times New Roman"/>
          <w:lang w:val="en-US"/>
        </w:rPr>
        <w:t xml:space="preserve"> GOS-E</w:t>
      </w:r>
      <w:r w:rsidR="002B05A7" w:rsidRPr="002B05A7">
        <w:rPr>
          <w:rFonts w:ascii="Times New Roman" w:eastAsia="OTNEJMQuadraat" w:hAnsi="Times New Roman" w:cs="Times New Roman"/>
          <w:vertAlign w:val="subscript"/>
          <w:lang w:val="en-US"/>
        </w:rPr>
        <w:t>1</w:t>
      </w:r>
      <w:r w:rsidR="009B19A0" w:rsidRPr="002B05A7">
        <w:rPr>
          <w:rFonts w:ascii="Times New Roman" w:eastAsia="OTNEJMQuadraat" w:hAnsi="Times New Roman" w:cs="Times New Roman"/>
          <w:vertAlign w:val="subscript"/>
          <w:lang w:val="en-US"/>
        </w:rPr>
        <w:t>-</w:t>
      </w:r>
      <w:r w:rsidR="002B05A7" w:rsidRPr="002B05A7">
        <w:rPr>
          <w:rFonts w:ascii="Times New Roman" w:eastAsia="OTNEJMQuadraat" w:hAnsi="Times New Roman" w:cs="Times New Roman"/>
          <w:vertAlign w:val="subscript"/>
          <w:lang w:val="en-US"/>
        </w:rPr>
        <w:t>4</w:t>
      </w:r>
      <w:r w:rsidR="004412E5">
        <w:rPr>
          <w:rFonts w:ascii="Times New Roman" w:eastAsia="OTNEJMQuadraat" w:hAnsi="Times New Roman" w:cs="Times New Roman"/>
          <w:lang w:val="en-US"/>
        </w:rPr>
        <w:t>)</w:t>
      </w:r>
      <w:r w:rsidR="009B19A0" w:rsidRPr="002B05A7">
        <w:rPr>
          <w:rFonts w:ascii="Times New Roman" w:eastAsia="OTNEJMQuadraat" w:hAnsi="Times New Roman" w:cs="Times New Roman"/>
          <w:lang w:val="en-US"/>
        </w:rPr>
        <w:t>.</w:t>
      </w:r>
    </w:p>
    <w:p w14:paraId="02763665" w14:textId="77777777" w:rsidR="00202BC6" w:rsidRDefault="00202BC6" w:rsidP="00202BC6">
      <w:pPr>
        <w:autoSpaceDE w:val="0"/>
        <w:autoSpaceDN w:val="0"/>
        <w:adjustRightInd w:val="0"/>
        <w:spacing w:after="0" w:line="360" w:lineRule="auto"/>
        <w:jc w:val="both"/>
        <w:rPr>
          <w:rFonts w:ascii="Times New Roman" w:eastAsia="OTNEJMQuadraat" w:hAnsi="Times New Roman" w:cs="Times New Roman"/>
          <w:b/>
          <w:lang w:val="en-US"/>
        </w:rPr>
      </w:pPr>
    </w:p>
    <w:p w14:paraId="26B4C912" w14:textId="6C332DF0" w:rsidR="006C1139" w:rsidRPr="00202BC6" w:rsidRDefault="006C1139" w:rsidP="00202BC6">
      <w:pPr>
        <w:autoSpaceDE w:val="0"/>
        <w:autoSpaceDN w:val="0"/>
        <w:adjustRightInd w:val="0"/>
        <w:spacing w:after="0" w:line="360" w:lineRule="auto"/>
        <w:jc w:val="both"/>
        <w:rPr>
          <w:rFonts w:ascii="Times New Roman" w:eastAsia="OTNEJMQuadraat" w:hAnsi="Times New Roman" w:cs="Times New Roman"/>
          <w:b/>
          <w:lang w:val="en-US"/>
        </w:rPr>
      </w:pPr>
      <w:r w:rsidRPr="00202BC6">
        <w:rPr>
          <w:rFonts w:ascii="Times New Roman" w:eastAsia="OTNEJMQuadraat" w:hAnsi="Times New Roman" w:cs="Times New Roman"/>
          <w:b/>
          <w:lang w:val="en-US"/>
        </w:rPr>
        <w:t>Statistical Methods</w:t>
      </w:r>
    </w:p>
    <w:p w14:paraId="15EEB20B" w14:textId="026D83BB" w:rsidR="00202BC6" w:rsidRPr="00452352" w:rsidRDefault="008E1B74" w:rsidP="000703FA">
      <w:pPr>
        <w:widowControl w:val="0"/>
        <w:autoSpaceDE w:val="0"/>
        <w:autoSpaceDN w:val="0"/>
        <w:adjustRightInd w:val="0"/>
        <w:spacing w:after="0" w:line="360" w:lineRule="auto"/>
        <w:jc w:val="both"/>
        <w:rPr>
          <w:rFonts w:ascii="Times New Roman" w:hAnsi="Times New Roman" w:cs="Times New Roman"/>
          <w:color w:val="000000" w:themeColor="text1"/>
          <w:lang w:val="en-GB"/>
        </w:rPr>
      </w:pPr>
      <w:r w:rsidRPr="008E1B74">
        <w:rPr>
          <w:rFonts w:ascii="Times New Roman" w:hAnsi="Times New Roman" w:cs="Times New Roman"/>
          <w:lang w:val="en-GB"/>
        </w:rPr>
        <w:t xml:space="preserve">Quantitative, normally distributed data are presented as mean </w:t>
      </w:r>
      <w:r>
        <w:rPr>
          <w:rFonts w:ascii="Times New Roman" w:hAnsi="Times New Roman" w:cs="Times New Roman"/>
          <w:lang w:val="en-GB"/>
        </w:rPr>
        <w:t xml:space="preserve">values </w:t>
      </w:r>
      <w:r w:rsidRPr="008E1B74">
        <w:rPr>
          <w:rFonts w:ascii="Times New Roman" w:hAnsi="Times New Roman" w:cs="Times New Roman"/>
          <w:lang w:val="en-GB"/>
        </w:rPr>
        <w:t>± standard deviation</w:t>
      </w:r>
      <w:r>
        <w:rPr>
          <w:rFonts w:ascii="Times New Roman" w:hAnsi="Times New Roman" w:cs="Times New Roman"/>
          <w:lang w:val="en-GB"/>
        </w:rPr>
        <w:t xml:space="preserve"> (</w:t>
      </w:r>
      <w:r w:rsidRPr="008E1B74">
        <w:rPr>
          <w:rFonts w:ascii="Times New Roman" w:hAnsi="Times New Roman" w:cs="Times New Roman"/>
          <w:lang w:val="en-GB"/>
        </w:rPr>
        <w:t>SD</w:t>
      </w:r>
      <w:r>
        <w:rPr>
          <w:rFonts w:ascii="Times New Roman" w:hAnsi="Times New Roman" w:cs="Times New Roman"/>
          <w:lang w:val="en-GB"/>
        </w:rPr>
        <w:t>), while non-</w:t>
      </w:r>
      <w:r w:rsidR="00B643E2">
        <w:rPr>
          <w:rFonts w:ascii="Times New Roman" w:hAnsi="Times New Roman" w:cs="Times New Roman"/>
          <w:lang w:val="en-GB"/>
        </w:rPr>
        <w:t>parametric</w:t>
      </w:r>
      <w:r>
        <w:rPr>
          <w:rFonts w:ascii="Times New Roman" w:hAnsi="Times New Roman" w:cs="Times New Roman"/>
          <w:lang w:val="en-GB"/>
        </w:rPr>
        <w:t xml:space="preserve"> data are summarized by</w:t>
      </w:r>
      <w:r w:rsidRPr="008E1B74">
        <w:rPr>
          <w:rFonts w:ascii="Times New Roman" w:hAnsi="Times New Roman" w:cs="Times New Roman"/>
          <w:lang w:val="en-GB"/>
        </w:rPr>
        <w:t xml:space="preserve"> median </w:t>
      </w:r>
      <w:r>
        <w:rPr>
          <w:rFonts w:ascii="Times New Roman" w:hAnsi="Times New Roman" w:cs="Times New Roman"/>
          <w:lang w:val="en-GB"/>
        </w:rPr>
        <w:t xml:space="preserve">values </w:t>
      </w:r>
      <w:r w:rsidRPr="008E1B74">
        <w:rPr>
          <w:rFonts w:ascii="Times New Roman" w:hAnsi="Times New Roman" w:cs="Times New Roman"/>
          <w:lang w:val="en-GB"/>
        </w:rPr>
        <w:t>[1.</w:t>
      </w:r>
      <w:r w:rsidR="000703FA">
        <w:rPr>
          <w:rFonts w:ascii="Times New Roman" w:hAnsi="Times New Roman" w:cs="Times New Roman"/>
          <w:lang w:val="en-GB"/>
        </w:rPr>
        <w:t xml:space="preserve"> </w:t>
      </w:r>
      <w:r w:rsidRPr="008E1B74">
        <w:rPr>
          <w:rFonts w:ascii="Times New Roman" w:hAnsi="Times New Roman" w:cs="Times New Roman"/>
          <w:lang w:val="en-GB"/>
        </w:rPr>
        <w:t>quartile – 3.</w:t>
      </w:r>
      <w:r w:rsidR="000703FA">
        <w:rPr>
          <w:rFonts w:ascii="Times New Roman" w:hAnsi="Times New Roman" w:cs="Times New Roman"/>
          <w:lang w:val="en-GB"/>
        </w:rPr>
        <w:t xml:space="preserve"> </w:t>
      </w:r>
      <w:r w:rsidRPr="008E1B74">
        <w:rPr>
          <w:rFonts w:ascii="Times New Roman" w:hAnsi="Times New Roman" w:cs="Times New Roman"/>
          <w:lang w:val="en-GB"/>
        </w:rPr>
        <w:t xml:space="preserve">quartile]. In </w:t>
      </w:r>
      <w:r>
        <w:rPr>
          <w:rFonts w:ascii="Times New Roman" w:hAnsi="Times New Roman" w:cs="Times New Roman"/>
          <w:lang w:val="en-GB"/>
        </w:rPr>
        <w:t xml:space="preserve">the </w:t>
      </w:r>
      <w:r w:rsidRPr="008E1B74">
        <w:rPr>
          <w:rFonts w:ascii="Times New Roman" w:hAnsi="Times New Roman" w:cs="Times New Roman"/>
          <w:lang w:val="en-GB"/>
        </w:rPr>
        <w:t>case of c</w:t>
      </w:r>
      <w:r>
        <w:rPr>
          <w:rFonts w:ascii="Times New Roman" w:hAnsi="Times New Roman" w:cs="Times New Roman"/>
          <w:lang w:val="en-GB"/>
        </w:rPr>
        <w:t>ategorical variables, data are given</w:t>
      </w:r>
      <w:r w:rsidRPr="008E1B74">
        <w:rPr>
          <w:rFonts w:ascii="Times New Roman" w:hAnsi="Times New Roman" w:cs="Times New Roman"/>
          <w:lang w:val="en-GB"/>
        </w:rPr>
        <w:t xml:space="preserve"> as numbers and percentage</w:t>
      </w:r>
      <w:r>
        <w:rPr>
          <w:rFonts w:ascii="Times New Roman" w:hAnsi="Times New Roman" w:cs="Times New Roman"/>
          <w:lang w:val="en-GB"/>
        </w:rPr>
        <w:t>s</w:t>
      </w:r>
      <w:r w:rsidRPr="008E1B74">
        <w:rPr>
          <w:rFonts w:ascii="Times New Roman" w:hAnsi="Times New Roman" w:cs="Times New Roman"/>
          <w:lang w:val="en-GB"/>
        </w:rPr>
        <w:t>.</w:t>
      </w:r>
      <w:r w:rsidR="00B643E2" w:rsidRPr="00B643E2">
        <w:rPr>
          <w:rFonts w:ascii="Times New Roman" w:hAnsi="Times New Roman" w:cs="Times New Roman"/>
          <w:lang w:val="en-GB"/>
        </w:rPr>
        <w:t xml:space="preserve"> After normality testing via the Shapiro-Wilk test, continuous normally distributed data were compared using T-tests, while the Mann-Whitney U test was used for non-parametric data. Nominal data was tested between groups using the Fisher´s exact test and in case of multinomial data with a Chi</w:t>
      </w:r>
      <w:r w:rsidR="00B643E2" w:rsidRPr="00B643E2">
        <w:rPr>
          <w:rFonts w:ascii="Times New Roman" w:hAnsi="Times New Roman" w:cs="Times New Roman"/>
          <w:vertAlign w:val="superscript"/>
          <w:lang w:val="en-GB"/>
        </w:rPr>
        <w:t>2</w:t>
      </w:r>
      <w:r w:rsidR="00B643E2" w:rsidRPr="00B643E2">
        <w:rPr>
          <w:rFonts w:ascii="Times New Roman" w:hAnsi="Times New Roman" w:cs="Times New Roman"/>
          <w:lang w:val="en-GB"/>
        </w:rPr>
        <w:t xml:space="preserve"> test.</w:t>
      </w:r>
      <w:r w:rsidR="000E5F8F" w:rsidRPr="00202BC6">
        <w:rPr>
          <w:rFonts w:ascii="Times New Roman" w:hAnsi="Times New Roman" w:cs="Times New Roman"/>
          <w:lang w:val="en-GB"/>
        </w:rPr>
        <w:t xml:space="preserve"> </w:t>
      </w:r>
      <w:r w:rsidR="00401AE6">
        <w:rPr>
          <w:rFonts w:ascii="Times New Roman" w:hAnsi="Times New Roman" w:cs="Times New Roman"/>
          <w:lang w:val="en-GB"/>
        </w:rPr>
        <w:t xml:space="preserve">Correlation analysis was carried out using Spearman’s correlation coefficient. </w:t>
      </w:r>
      <w:r w:rsidR="000E5F8F" w:rsidRPr="00202BC6">
        <w:rPr>
          <w:rFonts w:ascii="Times New Roman" w:hAnsi="Times New Roman" w:cs="Times New Roman"/>
          <w:lang w:val="en-GB"/>
        </w:rPr>
        <w:t xml:space="preserve">Risk factor selection was </w:t>
      </w:r>
      <w:r w:rsidR="000E5F8F" w:rsidRPr="00202BC6">
        <w:rPr>
          <w:rFonts w:ascii="Times New Roman" w:hAnsi="Times New Roman" w:cs="Times New Roman"/>
          <w:color w:val="000000" w:themeColor="text1"/>
          <w:lang w:val="en-GB"/>
        </w:rPr>
        <w:t xml:space="preserve">performed in two steps. We started with univariate logistic regression models of the potential association of age, gender, clinical grade, aneurysm location, modified Fisher grade, and type of treatment modalities (coiling or clipping) on the occurrence of </w:t>
      </w:r>
      <w:r w:rsidR="00F019E7">
        <w:rPr>
          <w:rFonts w:ascii="Times New Roman" w:hAnsi="Times New Roman" w:cs="Times New Roman"/>
          <w:color w:val="000000" w:themeColor="text1"/>
          <w:lang w:val="en-GB"/>
        </w:rPr>
        <w:t>DCI-related infarcts</w:t>
      </w:r>
      <w:r w:rsidR="000E5F8F" w:rsidRPr="00202BC6">
        <w:rPr>
          <w:rFonts w:ascii="Times New Roman" w:hAnsi="Times New Roman" w:cs="Times New Roman"/>
          <w:color w:val="000000" w:themeColor="text1"/>
          <w:lang w:val="en-GB"/>
        </w:rPr>
        <w:t>. This step was used as a model building process, based on the decision rule, that factors showing a p-value of less or equal to 0.</w:t>
      </w:r>
      <w:r w:rsidR="00F019E7">
        <w:rPr>
          <w:rFonts w:ascii="Times New Roman" w:hAnsi="Times New Roman" w:cs="Times New Roman"/>
          <w:color w:val="000000" w:themeColor="text1"/>
          <w:lang w:val="en-GB"/>
        </w:rPr>
        <w:t>1</w:t>
      </w:r>
      <w:r w:rsidR="00F019E7" w:rsidRPr="00202BC6">
        <w:rPr>
          <w:rFonts w:ascii="Times New Roman" w:hAnsi="Times New Roman" w:cs="Times New Roman"/>
          <w:color w:val="000000" w:themeColor="text1"/>
          <w:lang w:val="en-GB"/>
        </w:rPr>
        <w:t xml:space="preserve"> </w:t>
      </w:r>
      <w:r w:rsidR="000E5F8F" w:rsidRPr="00202BC6">
        <w:rPr>
          <w:rFonts w:ascii="Times New Roman" w:hAnsi="Times New Roman" w:cs="Times New Roman"/>
          <w:color w:val="000000" w:themeColor="text1"/>
          <w:lang w:val="en-GB"/>
        </w:rPr>
        <w:t xml:space="preserve">are used in the corresponding multivariate logistic regression </w:t>
      </w:r>
      <w:r w:rsidR="000E5F8F" w:rsidRPr="00452352">
        <w:rPr>
          <w:rFonts w:ascii="Times New Roman" w:hAnsi="Times New Roman" w:cs="Times New Roman"/>
          <w:color w:val="000000" w:themeColor="text1"/>
          <w:lang w:val="en-GB"/>
        </w:rPr>
        <w:t>model. In this last step, factors were assessed as significant, if the corresponding p-value fell below the 5% margin. We reported our results by p-values, odds ratios and corresponding 95% confidence intervals (Cl)</w:t>
      </w:r>
      <w:r w:rsidR="00202BC6" w:rsidRPr="00452352">
        <w:rPr>
          <w:rFonts w:ascii="Times New Roman" w:hAnsi="Times New Roman" w:cs="Times New Roman"/>
          <w:color w:val="000000" w:themeColor="text1"/>
          <w:lang w:val="en-GB"/>
        </w:rPr>
        <w:t xml:space="preserve">. </w:t>
      </w:r>
      <w:r w:rsidR="00202BC6" w:rsidRPr="00452352">
        <w:rPr>
          <w:rFonts w:ascii="Times New Roman" w:eastAsia="OTNEJMQuadraat" w:hAnsi="Times New Roman" w:cs="Times New Roman"/>
          <w:color w:val="000000" w:themeColor="text1"/>
          <w:lang w:val="en-US"/>
        </w:rPr>
        <w:t>The predictive</w:t>
      </w:r>
      <w:r w:rsidR="007C369E" w:rsidRPr="00452352">
        <w:rPr>
          <w:rFonts w:ascii="Times New Roman" w:eastAsia="OTNEJMQuadraat" w:hAnsi="Times New Roman" w:cs="Times New Roman"/>
          <w:color w:val="000000" w:themeColor="text1"/>
          <w:lang w:val="en-US"/>
        </w:rPr>
        <w:t>/diagnostic</w:t>
      </w:r>
      <w:r w:rsidR="00202BC6" w:rsidRPr="00452352">
        <w:rPr>
          <w:rFonts w:ascii="Times New Roman" w:eastAsia="OTNEJMQuadraat" w:hAnsi="Times New Roman" w:cs="Times New Roman"/>
          <w:color w:val="000000" w:themeColor="text1"/>
          <w:lang w:val="en-US"/>
        </w:rPr>
        <w:t xml:space="preserve"> value of </w:t>
      </w:r>
      <w:r w:rsidR="00EF46F3" w:rsidRPr="00452352">
        <w:rPr>
          <w:rFonts w:ascii="Times New Roman" w:eastAsia="OTNEJMQuadraat" w:hAnsi="Times New Roman" w:cs="Times New Roman"/>
          <w:color w:val="000000" w:themeColor="text1"/>
          <w:lang w:val="en-US"/>
        </w:rPr>
        <w:t>c</w:t>
      </w:r>
      <w:r w:rsidR="00C855F3" w:rsidRPr="00452352">
        <w:rPr>
          <w:rFonts w:ascii="Times New Roman" w:eastAsia="OTNEJMQuadraat" w:hAnsi="Times New Roman" w:cs="Times New Roman"/>
          <w:color w:val="000000" w:themeColor="text1"/>
          <w:lang w:val="en-US"/>
        </w:rPr>
        <w:t xml:space="preserve">DPP3 </w:t>
      </w:r>
      <w:r w:rsidR="00202BC6" w:rsidRPr="00452352">
        <w:rPr>
          <w:rFonts w:ascii="Times New Roman" w:eastAsia="OTNEJMQuadraat" w:hAnsi="Times New Roman" w:cs="Times New Roman"/>
          <w:color w:val="000000" w:themeColor="text1"/>
          <w:lang w:val="en-US"/>
        </w:rPr>
        <w:t>was assessed using a receiver operating characteristics (ROC) and area under the curve (AUC) analysis with their respective standard errors (SE</w:t>
      </w:r>
      <w:r w:rsidR="00202BC6" w:rsidRPr="00452352">
        <w:rPr>
          <w:rFonts w:ascii="Times New Roman" w:eastAsia="OTNEJMQuadraat" w:hAnsi="Times New Roman" w:cs="Times New Roman"/>
          <w:b/>
          <w:bCs/>
          <w:color w:val="000000" w:themeColor="text1"/>
          <w:lang w:val="en-US"/>
        </w:rPr>
        <w:t xml:space="preserve">). </w:t>
      </w:r>
      <w:r w:rsidR="001974AE" w:rsidRPr="00452352">
        <w:rPr>
          <w:rFonts w:ascii="Times New Roman" w:eastAsia="OTNEJMQuadraat" w:hAnsi="Times New Roman" w:cs="Times New Roman"/>
          <w:bCs/>
          <w:color w:val="000000" w:themeColor="text1"/>
          <w:lang w:val="en-US"/>
        </w:rPr>
        <w:t xml:space="preserve">In </w:t>
      </w:r>
      <w:r w:rsidR="00533D29" w:rsidRPr="00452352">
        <w:rPr>
          <w:rFonts w:ascii="Times New Roman" w:eastAsia="OTNEJMQuadraat" w:hAnsi="Times New Roman" w:cs="Times New Roman"/>
          <w:bCs/>
          <w:color w:val="000000" w:themeColor="text1"/>
          <w:lang w:val="en-US"/>
        </w:rPr>
        <w:t>addition</w:t>
      </w:r>
      <w:r w:rsidR="001974AE" w:rsidRPr="00452352">
        <w:rPr>
          <w:rFonts w:ascii="Times New Roman" w:eastAsia="OTNEJMQuadraat" w:hAnsi="Times New Roman" w:cs="Times New Roman"/>
          <w:bCs/>
          <w:color w:val="000000" w:themeColor="text1"/>
          <w:lang w:val="en-US"/>
        </w:rPr>
        <w:t xml:space="preserve">, </w:t>
      </w:r>
      <w:r w:rsidR="001974AE" w:rsidRPr="00452352">
        <w:rPr>
          <w:rFonts w:ascii="Times New Roman" w:hAnsi="Times New Roman" w:cs="Times New Roman"/>
          <w:bCs/>
          <w:color w:val="000000" w:themeColor="text1"/>
          <w:lang w:val="en-US"/>
        </w:rPr>
        <w:t xml:space="preserve">cDPP3 values </w:t>
      </w:r>
      <w:r w:rsidR="00533D29" w:rsidRPr="00452352">
        <w:rPr>
          <w:rFonts w:ascii="Times New Roman" w:hAnsi="Times New Roman" w:cs="Times New Roman"/>
          <w:bCs/>
          <w:color w:val="000000" w:themeColor="text1"/>
          <w:lang w:val="en-US"/>
        </w:rPr>
        <w:t xml:space="preserve">between different periods during the critical phase (CP) </w:t>
      </w:r>
      <w:r w:rsidR="001974AE" w:rsidRPr="00452352">
        <w:rPr>
          <w:rFonts w:ascii="Times New Roman" w:hAnsi="Times New Roman" w:cs="Times New Roman"/>
          <w:bCs/>
          <w:color w:val="000000" w:themeColor="text1"/>
          <w:lang w:val="en-US"/>
        </w:rPr>
        <w:t>were compared by a repeated measures analysis of variance with a Greenhouse-</w:t>
      </w:r>
      <w:proofErr w:type="spellStart"/>
      <w:r w:rsidR="001974AE" w:rsidRPr="00452352">
        <w:rPr>
          <w:rFonts w:ascii="Times New Roman" w:hAnsi="Times New Roman" w:cs="Times New Roman"/>
          <w:bCs/>
          <w:color w:val="000000" w:themeColor="text1"/>
          <w:lang w:val="en-US"/>
        </w:rPr>
        <w:t>Geisser</w:t>
      </w:r>
      <w:proofErr w:type="spellEnd"/>
      <w:r w:rsidR="001974AE" w:rsidRPr="00452352">
        <w:rPr>
          <w:rFonts w:ascii="Times New Roman" w:hAnsi="Times New Roman" w:cs="Times New Roman"/>
          <w:bCs/>
          <w:color w:val="000000" w:themeColor="text1"/>
          <w:lang w:val="en-US"/>
        </w:rPr>
        <w:t xml:space="preserve"> correction for sphericity.</w:t>
      </w:r>
    </w:p>
    <w:p w14:paraId="6B0A929D" w14:textId="01310FC4" w:rsidR="009B19A0" w:rsidRPr="00452352" w:rsidRDefault="00DE2B8D" w:rsidP="00202BC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360" w:lineRule="auto"/>
        <w:jc w:val="both"/>
        <w:rPr>
          <w:rFonts w:ascii="Times New Roman" w:hAnsi="Times New Roman" w:cs="Times New Roman"/>
          <w:color w:val="000000" w:themeColor="text1"/>
          <w:lang w:val="en-GB"/>
        </w:rPr>
      </w:pPr>
      <w:r w:rsidRPr="00452352">
        <w:rPr>
          <w:rFonts w:ascii="Times New Roman" w:eastAsia="OTNEJMQuadraat" w:hAnsi="Times New Roman" w:cs="Times New Roman"/>
          <w:color w:val="000000" w:themeColor="text1"/>
          <w:lang w:val="en-US"/>
        </w:rPr>
        <w:t>B</w:t>
      </w:r>
      <w:r w:rsidR="005A7643" w:rsidRPr="00452352">
        <w:rPr>
          <w:rFonts w:ascii="Times New Roman" w:eastAsia="OTNEJMQuadraat" w:hAnsi="Times New Roman" w:cs="Times New Roman"/>
          <w:color w:val="000000" w:themeColor="text1"/>
          <w:lang w:val="en-US"/>
        </w:rPr>
        <w:t>oxplots show median</w:t>
      </w:r>
      <w:r w:rsidRPr="00452352">
        <w:rPr>
          <w:rFonts w:ascii="Times New Roman" w:eastAsia="OTNEJMQuadraat" w:hAnsi="Times New Roman" w:cs="Times New Roman"/>
          <w:color w:val="000000" w:themeColor="text1"/>
          <w:lang w:val="en-US"/>
        </w:rPr>
        <w:t xml:space="preserve"> values</w:t>
      </w:r>
      <w:r w:rsidR="005A7643" w:rsidRPr="00452352">
        <w:rPr>
          <w:rFonts w:ascii="Times New Roman" w:eastAsia="OTNEJMQuadraat" w:hAnsi="Times New Roman" w:cs="Times New Roman"/>
          <w:color w:val="000000" w:themeColor="text1"/>
          <w:lang w:val="en-US"/>
        </w:rPr>
        <w:t>, upper and lower quartiles (box), minimum and maximum values (whiskers) and individual data points (dots).</w:t>
      </w:r>
      <w:r w:rsidR="00356E08" w:rsidRPr="00452352">
        <w:rPr>
          <w:rFonts w:ascii="Times New Roman" w:eastAsia="OTNEJMQuadraat" w:hAnsi="Times New Roman" w:cs="Times New Roman"/>
          <w:color w:val="000000" w:themeColor="text1"/>
          <w:lang w:val="en-US"/>
        </w:rPr>
        <w:t xml:space="preserve"> </w:t>
      </w:r>
      <w:r w:rsidR="000E5F8F" w:rsidRPr="00452352">
        <w:rPr>
          <w:rFonts w:ascii="Times New Roman" w:hAnsi="Times New Roman" w:cs="Times New Roman"/>
          <w:color w:val="000000" w:themeColor="text1"/>
          <w:lang w:val="en-GB"/>
        </w:rPr>
        <w:t>All analyses were performed using IBM</w:t>
      </w:r>
      <w:r w:rsidR="000E5F8F" w:rsidRPr="00452352">
        <w:rPr>
          <w:rFonts w:ascii="Times New Roman" w:hAnsi="Times New Roman" w:cs="Times New Roman"/>
          <w:color w:val="000000" w:themeColor="text1"/>
          <w:vertAlign w:val="superscript"/>
          <w:lang w:val="en-GB"/>
        </w:rPr>
        <w:t>®</w:t>
      </w:r>
      <w:r w:rsidR="000E5F8F" w:rsidRPr="00452352">
        <w:rPr>
          <w:rFonts w:ascii="Times New Roman" w:hAnsi="Times New Roman" w:cs="Times New Roman"/>
          <w:color w:val="000000" w:themeColor="text1"/>
          <w:lang w:val="en-GB"/>
        </w:rPr>
        <w:t xml:space="preserve"> SPSS</w:t>
      </w:r>
      <w:r w:rsidR="000E5F8F" w:rsidRPr="00452352">
        <w:rPr>
          <w:rFonts w:ascii="Times New Roman" w:hAnsi="Times New Roman" w:cs="Times New Roman"/>
          <w:color w:val="000000" w:themeColor="text1"/>
          <w:vertAlign w:val="superscript"/>
          <w:lang w:val="en-GB"/>
        </w:rPr>
        <w:t>®</w:t>
      </w:r>
      <w:r w:rsidR="000E5F8F" w:rsidRPr="00452352">
        <w:rPr>
          <w:rFonts w:ascii="Times New Roman" w:hAnsi="Times New Roman" w:cs="Times New Roman"/>
          <w:color w:val="000000" w:themeColor="text1"/>
          <w:lang w:val="en-GB"/>
        </w:rPr>
        <w:t xml:space="preserve"> Statistics V22.0 (IBM, Chicago, Illinois, USA).</w:t>
      </w:r>
    </w:p>
    <w:p w14:paraId="0FA77C99" w14:textId="77777777" w:rsidR="009B19A0" w:rsidRDefault="009B19A0" w:rsidP="006C1139">
      <w:pPr>
        <w:spacing w:after="0" w:line="360" w:lineRule="auto"/>
        <w:jc w:val="both"/>
        <w:rPr>
          <w:rFonts w:ascii="Times New Roman" w:eastAsia="OTNEJMQuadraat" w:hAnsi="Times New Roman" w:cs="Times New Roman"/>
          <w:color w:val="FF0000"/>
          <w:lang w:val="en-US"/>
        </w:rPr>
      </w:pPr>
    </w:p>
    <w:p w14:paraId="2763B680" w14:textId="77777777" w:rsidR="002B05A7" w:rsidRDefault="002B05A7" w:rsidP="006C1139">
      <w:pPr>
        <w:spacing w:after="0" w:line="360" w:lineRule="auto"/>
        <w:jc w:val="both"/>
        <w:rPr>
          <w:rFonts w:ascii="Times New Roman" w:eastAsia="OTNEJMQuadraat" w:hAnsi="Times New Roman" w:cs="Times New Roman"/>
          <w:color w:val="FF0000"/>
          <w:lang w:val="en-US"/>
        </w:rPr>
      </w:pPr>
    </w:p>
    <w:p w14:paraId="7241489F" w14:textId="77777777" w:rsidR="00E80FBA" w:rsidRPr="00E80FBA" w:rsidRDefault="00DF7C21" w:rsidP="00E80FBA">
      <w:pPr>
        <w:rPr>
          <w:rFonts w:ascii="Times New Roman" w:hAnsi="Times New Roman" w:cs="Times New Roman"/>
          <w:b/>
          <w:sz w:val="28"/>
          <w:szCs w:val="28"/>
          <w:lang w:val="en-US"/>
        </w:rPr>
      </w:pPr>
      <w:r>
        <w:rPr>
          <w:rFonts w:ascii="Times New Roman" w:hAnsi="Times New Roman" w:cs="Times New Roman"/>
          <w:b/>
          <w:sz w:val="28"/>
          <w:szCs w:val="28"/>
          <w:lang w:val="en-US"/>
        </w:rPr>
        <w:t xml:space="preserve">2. </w:t>
      </w:r>
      <w:r w:rsidR="00E80FBA" w:rsidRPr="00E80FBA">
        <w:rPr>
          <w:rFonts w:ascii="Times New Roman" w:hAnsi="Times New Roman" w:cs="Times New Roman"/>
          <w:b/>
          <w:sz w:val="28"/>
          <w:szCs w:val="28"/>
          <w:lang w:val="en-US"/>
        </w:rPr>
        <w:t xml:space="preserve">Results </w:t>
      </w:r>
    </w:p>
    <w:p w14:paraId="09B49EE1" w14:textId="77777777" w:rsidR="006C1139" w:rsidRPr="0018596C" w:rsidRDefault="00DF7C21" w:rsidP="006C1139">
      <w:pPr>
        <w:spacing w:after="0" w:line="360" w:lineRule="auto"/>
        <w:jc w:val="both"/>
        <w:rPr>
          <w:rFonts w:ascii="Times New Roman" w:hAnsi="Times New Roman" w:cs="Times New Roman"/>
          <w:b/>
          <w:lang w:val="en-US"/>
        </w:rPr>
      </w:pPr>
      <w:r>
        <w:rPr>
          <w:rFonts w:ascii="Times New Roman" w:hAnsi="Times New Roman" w:cs="Times New Roman"/>
          <w:b/>
          <w:lang w:val="en-US"/>
        </w:rPr>
        <w:t xml:space="preserve">2.1. </w:t>
      </w:r>
      <w:r w:rsidR="006C1139" w:rsidRPr="0018596C">
        <w:rPr>
          <w:rFonts w:ascii="Times New Roman" w:hAnsi="Times New Roman" w:cs="Times New Roman"/>
          <w:b/>
          <w:lang w:val="en-US"/>
        </w:rPr>
        <w:t>Participants</w:t>
      </w:r>
    </w:p>
    <w:p w14:paraId="45AFE1AB" w14:textId="2A464F83" w:rsidR="00C26F7C" w:rsidRDefault="00FE53F7" w:rsidP="001149B0">
      <w:pPr>
        <w:spacing w:after="120" w:line="360" w:lineRule="auto"/>
        <w:jc w:val="both"/>
        <w:rPr>
          <w:rFonts w:ascii="Times New Roman" w:hAnsi="Times New Roman" w:cs="Times New Roman"/>
          <w:lang w:val="en-US"/>
        </w:rPr>
      </w:pPr>
      <w:r>
        <w:rPr>
          <w:rFonts w:ascii="Times New Roman" w:hAnsi="Times New Roman" w:cs="Times New Roman"/>
          <w:lang w:val="en-US"/>
        </w:rPr>
        <w:t>Ninety-six</w:t>
      </w:r>
      <w:r w:rsidR="00250918" w:rsidRPr="001A7D3E">
        <w:rPr>
          <w:rFonts w:ascii="Times New Roman" w:hAnsi="Times New Roman" w:cs="Times New Roman"/>
          <w:lang w:val="en-US"/>
        </w:rPr>
        <w:t xml:space="preserve"> patients with a mean age of </w:t>
      </w:r>
      <w:r w:rsidR="009907BA">
        <w:rPr>
          <w:rFonts w:ascii="Times New Roman" w:hAnsi="Times New Roman" w:cs="Times New Roman"/>
          <w:lang w:val="en-US"/>
        </w:rPr>
        <w:t>54</w:t>
      </w:r>
      <w:r w:rsidR="00250918" w:rsidRPr="001A7D3E">
        <w:rPr>
          <w:rFonts w:ascii="Times New Roman" w:hAnsi="Times New Roman" w:cs="Times New Roman"/>
          <w:lang w:val="en-US"/>
        </w:rPr>
        <w:t>±</w:t>
      </w:r>
      <w:r w:rsidR="009907BA">
        <w:rPr>
          <w:rFonts w:ascii="Times New Roman" w:hAnsi="Times New Roman" w:cs="Times New Roman"/>
          <w:lang w:val="en-US"/>
        </w:rPr>
        <w:t>1</w:t>
      </w:r>
      <w:r w:rsidR="001D78A4">
        <w:rPr>
          <w:rFonts w:ascii="Times New Roman" w:hAnsi="Times New Roman" w:cs="Times New Roman"/>
          <w:lang w:val="en-US"/>
        </w:rPr>
        <w:t>2</w:t>
      </w:r>
      <w:r w:rsidR="00250918" w:rsidRPr="001A7D3E">
        <w:rPr>
          <w:rFonts w:ascii="Times New Roman" w:hAnsi="Times New Roman" w:cs="Times New Roman"/>
          <w:lang w:val="en-US"/>
        </w:rPr>
        <w:t xml:space="preserve"> years met the criteria for inclusion in the present study. Their demographic data are summarized in </w:t>
      </w:r>
      <w:r w:rsidR="00250918" w:rsidRPr="001E484A">
        <w:rPr>
          <w:rFonts w:ascii="Times New Roman" w:hAnsi="Times New Roman" w:cs="Times New Roman"/>
          <w:b/>
          <w:lang w:val="en-US"/>
        </w:rPr>
        <w:t>Tab</w:t>
      </w:r>
      <w:r w:rsidR="00CB2C7D">
        <w:rPr>
          <w:rFonts w:ascii="Times New Roman" w:hAnsi="Times New Roman" w:cs="Times New Roman"/>
          <w:b/>
          <w:lang w:val="en-US"/>
        </w:rPr>
        <w:t>le</w:t>
      </w:r>
      <w:r w:rsidR="00250918" w:rsidRPr="001E484A">
        <w:rPr>
          <w:rFonts w:ascii="Times New Roman" w:hAnsi="Times New Roman" w:cs="Times New Roman"/>
          <w:b/>
          <w:lang w:val="en-US"/>
        </w:rPr>
        <w:t xml:space="preserve"> </w:t>
      </w:r>
      <w:r w:rsidR="00E80FBA" w:rsidRPr="00E80FBA">
        <w:rPr>
          <w:rFonts w:ascii="Times New Roman" w:hAnsi="Times New Roman" w:cs="Times New Roman"/>
          <w:b/>
          <w:lang w:val="en-US"/>
        </w:rPr>
        <w:t>1</w:t>
      </w:r>
      <w:r w:rsidR="00250918" w:rsidRPr="001A7D3E">
        <w:rPr>
          <w:rFonts w:ascii="Times New Roman" w:hAnsi="Times New Roman" w:cs="Times New Roman"/>
          <w:lang w:val="en-US"/>
        </w:rPr>
        <w:t xml:space="preserve">. </w:t>
      </w:r>
      <w:r w:rsidR="001E484A">
        <w:rPr>
          <w:rFonts w:ascii="Times New Roman" w:hAnsi="Times New Roman" w:cs="Times New Roman"/>
          <w:lang w:val="en-US"/>
        </w:rPr>
        <w:t xml:space="preserve">In total, </w:t>
      </w:r>
      <w:r w:rsidR="00250918" w:rsidRPr="001A7D3E">
        <w:rPr>
          <w:rFonts w:ascii="Times New Roman" w:hAnsi="Times New Roman" w:cs="Times New Roman"/>
          <w:lang w:val="en-US"/>
        </w:rPr>
        <w:t xml:space="preserve">48 of the </w:t>
      </w:r>
      <w:r w:rsidR="003E2446">
        <w:rPr>
          <w:rFonts w:ascii="Times New Roman" w:hAnsi="Times New Roman" w:cs="Times New Roman"/>
          <w:lang w:val="en-US"/>
        </w:rPr>
        <w:t xml:space="preserve">96 </w:t>
      </w:r>
      <w:r w:rsidR="00250918" w:rsidRPr="001A7D3E">
        <w:rPr>
          <w:rFonts w:ascii="Times New Roman" w:hAnsi="Times New Roman" w:cs="Times New Roman"/>
          <w:lang w:val="en-US"/>
        </w:rPr>
        <w:t>patients (50%) developed DCI</w:t>
      </w:r>
      <w:r w:rsidR="00F86149">
        <w:rPr>
          <w:rFonts w:ascii="Times New Roman" w:hAnsi="Times New Roman" w:cs="Times New Roman"/>
          <w:lang w:val="en-US"/>
        </w:rPr>
        <w:t xml:space="preserve"> </w:t>
      </w:r>
      <w:r w:rsidR="00250918" w:rsidRPr="001A7D3E">
        <w:rPr>
          <w:rFonts w:ascii="Times New Roman" w:hAnsi="Times New Roman" w:cs="Times New Roman"/>
          <w:lang w:val="en-US"/>
        </w:rPr>
        <w:t>(</w:t>
      </w:r>
      <w:r w:rsidR="009907BA">
        <w:rPr>
          <w:rFonts w:ascii="Times New Roman" w:hAnsi="Times New Roman" w:cs="Times New Roman"/>
          <w:lang w:val="en-US"/>
        </w:rPr>
        <w:t>median: day 7</w:t>
      </w:r>
      <w:r w:rsidR="00250918" w:rsidRPr="001A7D3E">
        <w:rPr>
          <w:rFonts w:ascii="Times New Roman" w:hAnsi="Times New Roman" w:cs="Times New Roman"/>
          <w:lang w:val="en-US"/>
        </w:rPr>
        <w:t xml:space="preserve"> </w:t>
      </w:r>
      <w:r w:rsidR="00E207AC">
        <w:rPr>
          <w:rFonts w:ascii="Times New Roman" w:hAnsi="Times New Roman" w:cs="Times New Roman"/>
          <w:lang w:val="en-US"/>
        </w:rPr>
        <w:t>after SAH onset</w:t>
      </w:r>
      <w:r w:rsidR="00C14673">
        <w:rPr>
          <w:rFonts w:ascii="Times New Roman" w:hAnsi="Times New Roman" w:cs="Times New Roman"/>
          <w:lang w:val="en-US"/>
        </w:rPr>
        <w:t>), which</w:t>
      </w:r>
      <w:r w:rsidR="00250918" w:rsidRPr="001A7D3E">
        <w:rPr>
          <w:rFonts w:ascii="Times New Roman" w:hAnsi="Times New Roman" w:cs="Times New Roman"/>
          <w:lang w:val="en-US"/>
        </w:rPr>
        <w:t xml:space="preserve"> progressed to </w:t>
      </w:r>
      <w:r w:rsidR="00250918" w:rsidRPr="000F0A90">
        <w:rPr>
          <w:rFonts w:ascii="Times New Roman" w:hAnsi="Times New Roman" w:cs="Times New Roman"/>
          <w:lang w:val="en-US"/>
        </w:rPr>
        <w:t xml:space="preserve">infarction in </w:t>
      </w:r>
      <w:r w:rsidR="001A7D3E" w:rsidRPr="000F0A90">
        <w:rPr>
          <w:rFonts w:ascii="Times New Roman" w:hAnsi="Times New Roman" w:cs="Times New Roman"/>
          <w:lang w:val="en-US"/>
        </w:rPr>
        <w:t>10 patients</w:t>
      </w:r>
      <w:r w:rsidR="00F86149">
        <w:rPr>
          <w:rFonts w:ascii="Times New Roman" w:hAnsi="Times New Roman" w:cs="Times New Roman"/>
          <w:lang w:val="en-US"/>
        </w:rPr>
        <w:t xml:space="preserve"> (</w:t>
      </w:r>
      <w:r w:rsidR="00D1384B">
        <w:rPr>
          <w:rFonts w:ascii="Times New Roman" w:hAnsi="Times New Roman" w:cs="Times New Roman"/>
          <w:lang w:val="en-US"/>
        </w:rPr>
        <w:t xml:space="preserve">10/96, </w:t>
      </w:r>
      <w:r w:rsidR="00CB15AE">
        <w:rPr>
          <w:rFonts w:ascii="Times New Roman" w:hAnsi="Times New Roman" w:cs="Times New Roman"/>
          <w:lang w:val="en-US"/>
        </w:rPr>
        <w:t>10%)</w:t>
      </w:r>
      <w:r w:rsidR="001A7D3E" w:rsidRPr="000F0A90">
        <w:rPr>
          <w:rFonts w:ascii="Times New Roman" w:hAnsi="Times New Roman" w:cs="Times New Roman"/>
          <w:lang w:val="en-US"/>
        </w:rPr>
        <w:t xml:space="preserve">. </w:t>
      </w:r>
      <w:r w:rsidR="007639B5" w:rsidRPr="000F0A90">
        <w:rPr>
          <w:rFonts w:ascii="Times New Roman" w:hAnsi="Times New Roman" w:cs="Times New Roman"/>
          <w:lang w:val="en-US"/>
        </w:rPr>
        <w:t>The</w:t>
      </w:r>
      <w:r w:rsidR="00684BB3" w:rsidRPr="000F0A90">
        <w:rPr>
          <w:rFonts w:ascii="Times New Roman" w:hAnsi="Times New Roman" w:cs="Times New Roman"/>
          <w:lang w:val="en-US"/>
        </w:rPr>
        <w:t xml:space="preserve"> infarctions </w:t>
      </w:r>
      <w:r w:rsidR="000D3656" w:rsidRPr="000F0A90">
        <w:rPr>
          <w:rFonts w:ascii="Times New Roman" w:hAnsi="Times New Roman" w:cs="Times New Roman"/>
          <w:lang w:val="en-US"/>
        </w:rPr>
        <w:t>were diagnosed</w:t>
      </w:r>
      <w:r w:rsidR="00684BB3" w:rsidRPr="000F0A90">
        <w:rPr>
          <w:rFonts w:ascii="Times New Roman" w:hAnsi="Times New Roman" w:cs="Times New Roman"/>
          <w:lang w:val="en-US"/>
        </w:rPr>
        <w:t xml:space="preserve"> between day 1 and 15 (median: day 11) after </w:t>
      </w:r>
      <w:r w:rsidR="007C369E">
        <w:rPr>
          <w:rFonts w:ascii="Times New Roman" w:hAnsi="Times New Roman" w:cs="Times New Roman"/>
          <w:lang w:val="en-US"/>
        </w:rPr>
        <w:t>a</w:t>
      </w:r>
      <w:r w:rsidR="00684BB3" w:rsidRPr="000F0A90">
        <w:rPr>
          <w:rFonts w:ascii="Times New Roman" w:hAnsi="Times New Roman" w:cs="Times New Roman"/>
          <w:lang w:val="en-US"/>
        </w:rPr>
        <w:t xml:space="preserve">SAH onset. </w:t>
      </w:r>
    </w:p>
    <w:p w14:paraId="33166099" w14:textId="44606D95" w:rsidR="001149B0" w:rsidRDefault="00F86149" w:rsidP="001149B0">
      <w:pPr>
        <w:spacing w:after="120" w:line="360" w:lineRule="auto"/>
        <w:jc w:val="both"/>
        <w:rPr>
          <w:rFonts w:ascii="Times New Roman" w:hAnsi="Times New Roman" w:cs="Times New Roman"/>
          <w:lang w:val="en-US"/>
        </w:rPr>
      </w:pPr>
      <w:r>
        <w:rPr>
          <w:rFonts w:ascii="Times New Roman" w:hAnsi="Times New Roman" w:cs="Times New Roman"/>
          <w:lang w:val="en-US"/>
        </w:rPr>
        <w:t>The o</w:t>
      </w:r>
      <w:r w:rsidRPr="0059359C">
        <w:rPr>
          <w:rFonts w:ascii="Times New Roman" w:hAnsi="Times New Roman" w:cs="Times New Roman"/>
          <w:lang w:val="en-US"/>
        </w:rPr>
        <w:t xml:space="preserve">utcome </w:t>
      </w:r>
      <w:r w:rsidR="001E484A" w:rsidRPr="0059359C">
        <w:rPr>
          <w:rFonts w:ascii="Times New Roman" w:hAnsi="Times New Roman" w:cs="Times New Roman"/>
          <w:lang w:val="en-US"/>
        </w:rPr>
        <w:t>after 12 months</w:t>
      </w:r>
      <w:r w:rsidR="001A7D3E" w:rsidRPr="0059359C">
        <w:rPr>
          <w:rFonts w:ascii="Times New Roman" w:hAnsi="Times New Roman" w:cs="Times New Roman"/>
          <w:lang w:val="en-US"/>
        </w:rPr>
        <w:t xml:space="preserve"> was favorable</w:t>
      </w:r>
      <w:r w:rsidR="001D78A4" w:rsidRPr="0059359C">
        <w:rPr>
          <w:rFonts w:ascii="Times New Roman" w:hAnsi="Times New Roman" w:cs="Times New Roman"/>
          <w:lang w:val="en-US"/>
        </w:rPr>
        <w:t xml:space="preserve"> (</w:t>
      </w:r>
      <w:r w:rsidR="001D78A4" w:rsidRPr="0059359C">
        <w:rPr>
          <w:rFonts w:ascii="Times New Roman" w:eastAsia="OTNEJMQuadraat" w:hAnsi="Times New Roman" w:cs="Times New Roman"/>
          <w:lang w:val="en-US"/>
        </w:rPr>
        <w:t>GOS-E</w:t>
      </w:r>
      <w:r w:rsidR="001D78A4" w:rsidRPr="0059359C">
        <w:rPr>
          <w:rFonts w:ascii="Times New Roman" w:eastAsia="OTNEJMQuadraat" w:hAnsi="Times New Roman" w:cs="Times New Roman"/>
          <w:vertAlign w:val="subscript"/>
          <w:lang w:val="en-US"/>
        </w:rPr>
        <w:t>5-8</w:t>
      </w:r>
      <w:r w:rsidR="001D78A4" w:rsidRPr="0059359C">
        <w:rPr>
          <w:rFonts w:ascii="Times New Roman" w:eastAsia="OTNEJMQuadraat" w:hAnsi="Times New Roman" w:cs="Times New Roman"/>
          <w:lang w:val="en-US"/>
        </w:rPr>
        <w:t xml:space="preserve">) </w:t>
      </w:r>
      <w:r w:rsidR="001A7D3E" w:rsidRPr="0059359C">
        <w:rPr>
          <w:rFonts w:ascii="Times New Roman" w:hAnsi="Times New Roman" w:cs="Times New Roman"/>
          <w:lang w:val="en-US"/>
        </w:rPr>
        <w:t>in 65 (68%)</w:t>
      </w:r>
      <w:r w:rsidR="001E484A" w:rsidRPr="0059359C">
        <w:rPr>
          <w:rFonts w:ascii="Times New Roman" w:hAnsi="Times New Roman" w:cs="Times New Roman"/>
          <w:lang w:val="en-US"/>
        </w:rPr>
        <w:t xml:space="preserve">, </w:t>
      </w:r>
      <w:r>
        <w:rPr>
          <w:rFonts w:ascii="Times New Roman" w:hAnsi="Times New Roman" w:cs="Times New Roman"/>
          <w:lang w:val="en-US"/>
        </w:rPr>
        <w:t xml:space="preserve">and </w:t>
      </w:r>
      <w:r w:rsidR="001E484A" w:rsidRPr="000F0A90">
        <w:rPr>
          <w:rFonts w:ascii="Times New Roman" w:hAnsi="Times New Roman" w:cs="Times New Roman"/>
          <w:lang w:val="en-US"/>
        </w:rPr>
        <w:t xml:space="preserve">unfavorable </w:t>
      </w:r>
      <w:r w:rsidR="001D78A4" w:rsidRPr="000F0A90">
        <w:rPr>
          <w:rFonts w:ascii="Times New Roman" w:hAnsi="Times New Roman" w:cs="Times New Roman"/>
          <w:lang w:val="en-US"/>
        </w:rPr>
        <w:t>(</w:t>
      </w:r>
      <w:r w:rsidR="001D78A4" w:rsidRPr="000F0A90">
        <w:rPr>
          <w:rFonts w:ascii="Times New Roman" w:eastAsia="OTNEJMQuadraat" w:hAnsi="Times New Roman" w:cs="Times New Roman"/>
          <w:lang w:val="en-US"/>
        </w:rPr>
        <w:t>GOS-E</w:t>
      </w:r>
      <w:r w:rsidR="001D78A4" w:rsidRPr="000F0A90">
        <w:rPr>
          <w:rFonts w:ascii="Times New Roman" w:eastAsia="OTNEJMQuadraat" w:hAnsi="Times New Roman" w:cs="Times New Roman"/>
          <w:vertAlign w:val="subscript"/>
          <w:lang w:val="en-US"/>
        </w:rPr>
        <w:t>1-4</w:t>
      </w:r>
      <w:r w:rsidR="001D78A4" w:rsidRPr="000F0A90">
        <w:rPr>
          <w:rFonts w:ascii="Times New Roman" w:eastAsia="OTNEJMQuadraat" w:hAnsi="Times New Roman" w:cs="Times New Roman"/>
          <w:lang w:val="en-US"/>
        </w:rPr>
        <w:t xml:space="preserve">) </w:t>
      </w:r>
      <w:r w:rsidR="001E484A" w:rsidRPr="000F0A90">
        <w:rPr>
          <w:rFonts w:ascii="Times New Roman" w:hAnsi="Times New Roman" w:cs="Times New Roman"/>
          <w:lang w:val="en-US"/>
        </w:rPr>
        <w:t>in 25 (26%)</w:t>
      </w:r>
      <w:r w:rsidR="000F0A90" w:rsidRPr="000F0A90">
        <w:rPr>
          <w:rFonts w:ascii="Times New Roman" w:hAnsi="Times New Roman" w:cs="Times New Roman"/>
          <w:lang w:val="en-US"/>
        </w:rPr>
        <w:t xml:space="preserve"> </w:t>
      </w:r>
      <w:r w:rsidR="001E484A" w:rsidRPr="000F0A90">
        <w:rPr>
          <w:rFonts w:ascii="Times New Roman" w:hAnsi="Times New Roman" w:cs="Times New Roman"/>
          <w:lang w:val="en-US"/>
        </w:rPr>
        <w:t>patients</w:t>
      </w:r>
      <w:r w:rsidR="0059359C">
        <w:rPr>
          <w:rFonts w:ascii="Times New Roman" w:hAnsi="Times New Roman" w:cs="Times New Roman"/>
          <w:lang w:val="en-US"/>
        </w:rPr>
        <w:t>.</w:t>
      </w:r>
      <w:r w:rsidR="001E484A" w:rsidRPr="000F0A90">
        <w:rPr>
          <w:rFonts w:ascii="Times New Roman" w:hAnsi="Times New Roman" w:cs="Times New Roman"/>
          <w:lang w:val="en-US"/>
        </w:rPr>
        <w:t xml:space="preserve"> </w:t>
      </w:r>
      <w:r w:rsidR="0059359C">
        <w:rPr>
          <w:rFonts w:ascii="Times New Roman" w:hAnsi="Times New Roman" w:cs="Times New Roman"/>
          <w:lang w:val="en-US"/>
        </w:rPr>
        <w:t>P</w:t>
      </w:r>
      <w:r w:rsidR="000F0A90">
        <w:rPr>
          <w:rFonts w:ascii="Times New Roman" w:hAnsi="Times New Roman" w:cs="Times New Roman"/>
          <w:lang w:val="en-US"/>
        </w:rPr>
        <w:t xml:space="preserve">oor </w:t>
      </w:r>
      <w:r w:rsidR="001E484A" w:rsidRPr="000F0A90">
        <w:rPr>
          <w:rFonts w:ascii="Times New Roman" w:hAnsi="Times New Roman" w:cs="Times New Roman"/>
          <w:lang w:val="en-US"/>
        </w:rPr>
        <w:t>clinical (</w:t>
      </w:r>
      <w:r w:rsidR="00E80FBA" w:rsidRPr="00E80FBA">
        <w:rPr>
          <w:rFonts w:ascii="Times New Roman" w:hAnsi="Times New Roman" w:cs="Times New Roman"/>
          <w:lang w:val="en-US"/>
        </w:rPr>
        <w:t>p</w:t>
      </w:r>
      <w:r w:rsidR="001E484A" w:rsidRPr="000F0A90">
        <w:rPr>
          <w:rFonts w:ascii="Times New Roman" w:hAnsi="Times New Roman" w:cs="Times New Roman"/>
          <w:lang w:val="en-US"/>
        </w:rPr>
        <w:t>=0.003)</w:t>
      </w:r>
      <w:r>
        <w:rPr>
          <w:rFonts w:ascii="Times New Roman" w:hAnsi="Times New Roman" w:cs="Times New Roman"/>
          <w:lang w:val="en-US"/>
        </w:rPr>
        <w:t xml:space="preserve"> and</w:t>
      </w:r>
      <w:r w:rsidR="0059359C">
        <w:rPr>
          <w:rFonts w:ascii="Times New Roman" w:hAnsi="Times New Roman" w:cs="Times New Roman"/>
          <w:lang w:val="en-US"/>
        </w:rPr>
        <w:t xml:space="preserve"> </w:t>
      </w:r>
      <w:r w:rsidR="001E484A" w:rsidRPr="000F0A90">
        <w:rPr>
          <w:rFonts w:ascii="Times New Roman" w:hAnsi="Times New Roman" w:cs="Times New Roman"/>
          <w:lang w:val="en-US"/>
        </w:rPr>
        <w:t xml:space="preserve">radiological (p&lt;0.001) </w:t>
      </w:r>
      <w:r w:rsidR="00C14673">
        <w:rPr>
          <w:rFonts w:ascii="Times New Roman" w:hAnsi="Times New Roman" w:cs="Times New Roman"/>
          <w:lang w:val="en-US"/>
        </w:rPr>
        <w:t>status on admission</w:t>
      </w:r>
      <w:r w:rsidR="0059359C">
        <w:rPr>
          <w:rFonts w:ascii="Times New Roman" w:hAnsi="Times New Roman" w:cs="Times New Roman"/>
          <w:lang w:val="en-US"/>
        </w:rPr>
        <w:t xml:space="preserve">, and </w:t>
      </w:r>
      <w:r w:rsidR="0059359C" w:rsidRPr="000F0A90">
        <w:rPr>
          <w:rFonts w:ascii="Times New Roman" w:hAnsi="Times New Roman" w:cs="Times New Roman"/>
          <w:lang w:val="en-US"/>
        </w:rPr>
        <w:t>the occurrence of DCI (p=0.002)</w:t>
      </w:r>
      <w:r w:rsidR="0059359C">
        <w:rPr>
          <w:rFonts w:ascii="Times New Roman" w:hAnsi="Times New Roman" w:cs="Times New Roman"/>
          <w:lang w:val="en-US"/>
        </w:rPr>
        <w:t xml:space="preserve"> were</w:t>
      </w:r>
      <w:r w:rsidR="0059359C" w:rsidRPr="000F0A90">
        <w:rPr>
          <w:rFonts w:ascii="Times New Roman" w:hAnsi="Times New Roman" w:cs="Times New Roman"/>
          <w:lang w:val="en-US"/>
        </w:rPr>
        <w:t xml:space="preserve"> significantly associated with</w:t>
      </w:r>
      <w:r w:rsidR="001E484A" w:rsidRPr="000F0A90">
        <w:rPr>
          <w:rFonts w:ascii="Times New Roman" w:hAnsi="Times New Roman" w:cs="Times New Roman"/>
          <w:lang w:val="en-US"/>
        </w:rPr>
        <w:t xml:space="preserve"> </w:t>
      </w:r>
      <w:r w:rsidR="0059359C" w:rsidRPr="000F0A90">
        <w:rPr>
          <w:rFonts w:ascii="Times New Roman" w:eastAsia="OTNEJMQuadraat" w:hAnsi="Times New Roman" w:cs="Times New Roman"/>
          <w:lang w:val="en-US"/>
        </w:rPr>
        <w:t>GOS-E</w:t>
      </w:r>
      <w:r w:rsidR="0059359C" w:rsidRPr="000F0A90">
        <w:rPr>
          <w:rFonts w:ascii="Times New Roman" w:eastAsia="OTNEJMQuadraat" w:hAnsi="Times New Roman" w:cs="Times New Roman"/>
          <w:vertAlign w:val="subscript"/>
          <w:lang w:val="en-US"/>
        </w:rPr>
        <w:t>1-4</w:t>
      </w:r>
      <w:r w:rsidR="00FB1033" w:rsidRPr="000F0A90">
        <w:rPr>
          <w:rFonts w:ascii="Times New Roman" w:hAnsi="Times New Roman" w:cs="Times New Roman"/>
          <w:lang w:val="en-US"/>
        </w:rPr>
        <w:t xml:space="preserve">. </w:t>
      </w:r>
      <w:r w:rsidR="000F0A90">
        <w:rPr>
          <w:rFonts w:ascii="Times New Roman" w:hAnsi="Times New Roman" w:cs="Times New Roman"/>
          <w:color w:val="000000" w:themeColor="text1"/>
          <w:lang w:val="en-US"/>
        </w:rPr>
        <w:t>Six</w:t>
      </w:r>
      <w:r w:rsidR="000F0A90" w:rsidRPr="000F0A90">
        <w:rPr>
          <w:rFonts w:ascii="Times New Roman" w:hAnsi="Times New Roman" w:cs="Times New Roman"/>
          <w:color w:val="000000" w:themeColor="text1"/>
          <w:lang w:val="en-US"/>
        </w:rPr>
        <w:t xml:space="preserve"> patients were lost to </w:t>
      </w:r>
      <w:r w:rsidR="000F0A90" w:rsidRPr="000F0A90">
        <w:rPr>
          <w:rFonts w:ascii="Times New Roman" w:hAnsi="Times New Roman" w:cs="Times New Roman"/>
          <w:color w:val="000000" w:themeColor="text1"/>
          <w:lang w:val="en-US"/>
        </w:rPr>
        <w:lastRenderedPageBreak/>
        <w:t>follow-up at 12-</w:t>
      </w:r>
      <w:r w:rsidR="000F0A90" w:rsidRPr="00452352">
        <w:rPr>
          <w:rFonts w:ascii="Times New Roman" w:hAnsi="Times New Roman" w:cs="Times New Roman"/>
          <w:color w:val="000000" w:themeColor="text1"/>
          <w:lang w:val="en-US"/>
        </w:rPr>
        <w:t>months.</w:t>
      </w:r>
      <w:r w:rsidR="001149B0" w:rsidRPr="00452352">
        <w:rPr>
          <w:rFonts w:ascii="Times New Roman" w:hAnsi="Times New Roman" w:cs="Times New Roman"/>
          <w:color w:val="000000" w:themeColor="text1"/>
          <w:lang w:val="en-US"/>
        </w:rPr>
        <w:t xml:space="preserve"> </w:t>
      </w:r>
      <w:r w:rsidR="001149B0" w:rsidRPr="00452352">
        <w:rPr>
          <w:rFonts w:ascii="Times New Roman" w:hAnsi="Times New Roman" w:cs="Times New Roman"/>
          <w:bCs/>
          <w:color w:val="000000" w:themeColor="text1"/>
          <w:lang w:val="en-US"/>
        </w:rPr>
        <w:t xml:space="preserve">Fifty patients (52.1%) required ventilation </w:t>
      </w:r>
      <w:r w:rsidR="00BD714C" w:rsidRPr="00452352">
        <w:rPr>
          <w:rFonts w:ascii="Times New Roman" w:hAnsi="Times New Roman" w:cs="Times New Roman"/>
          <w:bCs/>
          <w:color w:val="000000" w:themeColor="text1"/>
          <w:lang w:val="en-US"/>
        </w:rPr>
        <w:t>for</w:t>
      </w:r>
      <w:r w:rsidR="001149B0" w:rsidRPr="00452352">
        <w:rPr>
          <w:rFonts w:ascii="Times New Roman" w:hAnsi="Times New Roman" w:cs="Times New Roman"/>
          <w:bCs/>
          <w:color w:val="000000" w:themeColor="text1"/>
          <w:lang w:val="en-US"/>
        </w:rPr>
        <w:t xml:space="preserve"> a median of 22 days [12-32]. Twenty-four </w:t>
      </w:r>
      <w:r w:rsidR="00BD714C" w:rsidRPr="00452352">
        <w:rPr>
          <w:rFonts w:ascii="Times New Roman" w:hAnsi="Times New Roman" w:cs="Times New Roman"/>
          <w:bCs/>
          <w:color w:val="000000" w:themeColor="text1"/>
          <w:lang w:val="en-US"/>
        </w:rPr>
        <w:t xml:space="preserve">of the </w:t>
      </w:r>
      <w:r w:rsidR="003F2DD3" w:rsidRPr="00452352">
        <w:rPr>
          <w:rFonts w:ascii="Times New Roman" w:hAnsi="Times New Roman" w:cs="Times New Roman"/>
          <w:bCs/>
          <w:color w:val="000000" w:themeColor="text1"/>
          <w:lang w:val="en-US"/>
        </w:rPr>
        <w:t xml:space="preserve">patients with an unfavorable outcome </w:t>
      </w:r>
      <w:r w:rsidR="001149B0" w:rsidRPr="00452352">
        <w:rPr>
          <w:rFonts w:ascii="Times New Roman" w:hAnsi="Times New Roman" w:cs="Times New Roman"/>
          <w:bCs/>
          <w:color w:val="000000" w:themeColor="text1"/>
          <w:lang w:val="en-US"/>
        </w:rPr>
        <w:t xml:space="preserve">(24/25, 96%) </w:t>
      </w:r>
      <w:r w:rsidR="003F2DD3" w:rsidRPr="00452352">
        <w:rPr>
          <w:rFonts w:ascii="Times New Roman" w:hAnsi="Times New Roman" w:cs="Times New Roman"/>
          <w:bCs/>
          <w:color w:val="000000" w:themeColor="text1"/>
          <w:lang w:val="en-US"/>
        </w:rPr>
        <w:t>and</w:t>
      </w:r>
      <w:r w:rsidR="001149B0" w:rsidRPr="00452352">
        <w:rPr>
          <w:rFonts w:ascii="Times New Roman" w:hAnsi="Times New Roman" w:cs="Times New Roman"/>
          <w:bCs/>
          <w:color w:val="000000" w:themeColor="text1"/>
          <w:lang w:val="en-US"/>
        </w:rPr>
        <w:t xml:space="preserve"> 21 patients </w:t>
      </w:r>
      <w:r w:rsidR="003F2DD3" w:rsidRPr="00452352">
        <w:rPr>
          <w:rFonts w:ascii="Times New Roman" w:hAnsi="Times New Roman" w:cs="Times New Roman"/>
          <w:bCs/>
          <w:color w:val="000000" w:themeColor="text1"/>
          <w:lang w:val="en-US"/>
        </w:rPr>
        <w:t xml:space="preserve">with a favorable outcome </w:t>
      </w:r>
      <w:r w:rsidR="001149B0" w:rsidRPr="00452352">
        <w:rPr>
          <w:rFonts w:ascii="Times New Roman" w:hAnsi="Times New Roman" w:cs="Times New Roman"/>
          <w:bCs/>
          <w:color w:val="000000" w:themeColor="text1"/>
          <w:lang w:val="en-US"/>
        </w:rPr>
        <w:t xml:space="preserve">(21/65, 32.3%) </w:t>
      </w:r>
      <w:r w:rsidR="003F2DD3" w:rsidRPr="00452352">
        <w:rPr>
          <w:rFonts w:ascii="Times New Roman" w:hAnsi="Times New Roman" w:cs="Times New Roman"/>
          <w:bCs/>
          <w:color w:val="000000" w:themeColor="text1"/>
          <w:lang w:val="en-US"/>
        </w:rPr>
        <w:t>required ventilation</w:t>
      </w:r>
      <w:r w:rsidR="001149B0" w:rsidRPr="00452352">
        <w:rPr>
          <w:rFonts w:ascii="Times New Roman" w:hAnsi="Times New Roman" w:cs="Times New Roman"/>
          <w:bCs/>
          <w:color w:val="000000" w:themeColor="text1"/>
          <w:lang w:val="en-US"/>
        </w:rPr>
        <w:t xml:space="preserve"> (p&lt;0.0001). Ventilation time did not significantly differ between the groups (p=0.161).</w:t>
      </w:r>
      <w:r w:rsidR="00B708DA" w:rsidRPr="00452352">
        <w:rPr>
          <w:rFonts w:ascii="Times New Roman" w:hAnsi="Times New Roman" w:cs="Times New Roman"/>
          <w:bCs/>
          <w:color w:val="000000" w:themeColor="text1"/>
          <w:lang w:val="en-US"/>
        </w:rPr>
        <w:t xml:space="preserve"> Eight patients suffered from stunned myocardium related to induced arterial hypertension during DCI treatment. In these cases, induced hypertension was terminated.</w:t>
      </w:r>
    </w:p>
    <w:p w14:paraId="2BD5915E" w14:textId="7C849DFA" w:rsidR="000F0A90" w:rsidRPr="000F0A90" w:rsidRDefault="000F0A90" w:rsidP="00C14673">
      <w:pPr>
        <w:spacing w:after="120" w:line="360" w:lineRule="auto"/>
        <w:jc w:val="both"/>
        <w:rPr>
          <w:rFonts w:ascii="Times New Roman" w:hAnsi="Times New Roman" w:cs="Times New Roman"/>
          <w:lang w:val="en-US"/>
        </w:rPr>
      </w:pPr>
    </w:p>
    <w:p w14:paraId="32957C7D" w14:textId="77777777" w:rsidR="000F0A90" w:rsidRPr="001A7D3E" w:rsidRDefault="000F0A90" w:rsidP="00E85470">
      <w:pPr>
        <w:spacing w:after="120" w:line="360" w:lineRule="auto"/>
        <w:jc w:val="both"/>
        <w:rPr>
          <w:rFonts w:ascii="Times New Roman" w:hAnsi="Times New Roman" w:cs="Times New Roman"/>
          <w:lang w:val="en-US"/>
        </w:rPr>
      </w:pPr>
    </w:p>
    <w:p w14:paraId="37DFA170" w14:textId="28387B19" w:rsidR="00C866A7" w:rsidRDefault="00DF7C21" w:rsidP="006C1139">
      <w:pPr>
        <w:spacing w:after="0" w:line="360" w:lineRule="auto"/>
        <w:jc w:val="both"/>
        <w:rPr>
          <w:rFonts w:ascii="Times New Roman" w:hAnsi="Times New Roman" w:cs="Times New Roman"/>
          <w:b/>
          <w:lang w:val="en-US"/>
        </w:rPr>
      </w:pPr>
      <w:r>
        <w:rPr>
          <w:rFonts w:ascii="Times New Roman" w:hAnsi="Times New Roman" w:cs="Times New Roman"/>
          <w:b/>
          <w:lang w:val="en-US"/>
        </w:rPr>
        <w:t xml:space="preserve">2.2. </w:t>
      </w:r>
      <w:r w:rsidR="001E484A">
        <w:rPr>
          <w:rFonts w:ascii="Times New Roman" w:hAnsi="Times New Roman" w:cs="Times New Roman"/>
          <w:b/>
          <w:lang w:val="en-US"/>
        </w:rPr>
        <w:t xml:space="preserve">Temporal profile of </w:t>
      </w:r>
      <w:r w:rsidR="006471CE">
        <w:rPr>
          <w:rFonts w:ascii="Times New Roman" w:hAnsi="Times New Roman" w:cs="Times New Roman"/>
          <w:b/>
          <w:lang w:val="en-US"/>
        </w:rPr>
        <w:t>circulatory DPP3 (</w:t>
      </w:r>
      <w:r w:rsidR="001E484A">
        <w:rPr>
          <w:rFonts w:ascii="Times New Roman" w:hAnsi="Times New Roman" w:cs="Times New Roman"/>
          <w:b/>
          <w:lang w:val="en-US"/>
        </w:rPr>
        <w:t>cDPP3</w:t>
      </w:r>
      <w:r w:rsidR="006471CE">
        <w:rPr>
          <w:rFonts w:ascii="Times New Roman" w:hAnsi="Times New Roman" w:cs="Times New Roman"/>
          <w:b/>
          <w:lang w:val="en-US"/>
        </w:rPr>
        <w:t>)</w:t>
      </w:r>
      <w:r w:rsidR="001E484A">
        <w:rPr>
          <w:rFonts w:ascii="Times New Roman" w:hAnsi="Times New Roman" w:cs="Times New Roman"/>
          <w:b/>
          <w:lang w:val="en-US"/>
        </w:rPr>
        <w:t xml:space="preserve"> levels after </w:t>
      </w:r>
      <w:r w:rsidR="0059359C">
        <w:rPr>
          <w:rFonts w:ascii="Times New Roman" w:hAnsi="Times New Roman" w:cs="Times New Roman"/>
          <w:b/>
          <w:lang w:val="en-US"/>
        </w:rPr>
        <w:t>a</w:t>
      </w:r>
      <w:r w:rsidR="001E484A">
        <w:rPr>
          <w:rFonts w:ascii="Times New Roman" w:hAnsi="Times New Roman" w:cs="Times New Roman"/>
          <w:b/>
          <w:lang w:val="en-US"/>
        </w:rPr>
        <w:t>SAH</w:t>
      </w:r>
    </w:p>
    <w:p w14:paraId="19411E2E" w14:textId="740332F2" w:rsidR="0034746F" w:rsidRPr="004412E5" w:rsidRDefault="00FD2D32" w:rsidP="00746181">
      <w:pPr>
        <w:spacing w:after="120" w:line="360" w:lineRule="auto"/>
        <w:jc w:val="both"/>
        <w:rPr>
          <w:rFonts w:ascii="Times New Roman" w:hAnsi="Times New Roman" w:cs="Times New Roman"/>
          <w:lang w:val="en-US"/>
        </w:rPr>
      </w:pPr>
      <w:r w:rsidRPr="000E72D0">
        <w:rPr>
          <w:rFonts w:ascii="Times New Roman" w:hAnsi="Times New Roman" w:cs="Times New Roman"/>
          <w:b/>
          <w:lang w:val="en-US"/>
        </w:rPr>
        <w:t xml:space="preserve">Figure </w:t>
      </w:r>
      <w:r w:rsidR="002C5F14">
        <w:rPr>
          <w:rFonts w:ascii="Times New Roman" w:hAnsi="Times New Roman" w:cs="Times New Roman"/>
          <w:b/>
          <w:lang w:val="en-US"/>
        </w:rPr>
        <w:t>1</w:t>
      </w:r>
      <w:r w:rsidR="002C5F14">
        <w:rPr>
          <w:rFonts w:ascii="Times New Roman" w:hAnsi="Times New Roman" w:cs="Times New Roman"/>
          <w:lang w:val="en-US"/>
        </w:rPr>
        <w:t xml:space="preserve"> </w:t>
      </w:r>
      <w:r>
        <w:rPr>
          <w:rFonts w:ascii="Times New Roman" w:hAnsi="Times New Roman" w:cs="Times New Roman"/>
          <w:lang w:val="en-US"/>
        </w:rPr>
        <w:t xml:space="preserve">shows median cDPP3 levels measured during the early (d1-4), critical (d5-8, d9-12, d13-15) and late (d16-21) phase after </w:t>
      </w:r>
      <w:r w:rsidR="00F86149">
        <w:rPr>
          <w:rFonts w:ascii="Times New Roman" w:hAnsi="Times New Roman" w:cs="Times New Roman"/>
          <w:lang w:val="en-US"/>
        </w:rPr>
        <w:t>a</w:t>
      </w:r>
      <w:r>
        <w:rPr>
          <w:rFonts w:ascii="Times New Roman" w:hAnsi="Times New Roman" w:cs="Times New Roman"/>
          <w:lang w:val="en-US"/>
        </w:rPr>
        <w:t xml:space="preserve">SAH onset. </w:t>
      </w:r>
      <w:r w:rsidR="001A74C2">
        <w:rPr>
          <w:rFonts w:ascii="Times New Roman" w:hAnsi="Times New Roman" w:cs="Times New Roman"/>
          <w:lang w:val="en-US"/>
        </w:rPr>
        <w:t>T</w:t>
      </w:r>
      <w:r>
        <w:rPr>
          <w:rFonts w:ascii="Times New Roman" w:hAnsi="Times New Roman" w:cs="Times New Roman"/>
          <w:lang w:val="en-US"/>
        </w:rPr>
        <w:t xml:space="preserve">here was little change in cDPP3 levels, </w:t>
      </w:r>
      <w:r w:rsidR="00937ED1">
        <w:rPr>
          <w:rFonts w:ascii="Times New Roman" w:hAnsi="Times New Roman" w:cs="Times New Roman"/>
          <w:lang w:val="en-US"/>
        </w:rPr>
        <w:t>with median values that</w:t>
      </w:r>
      <w:r>
        <w:rPr>
          <w:rFonts w:ascii="Times New Roman" w:hAnsi="Times New Roman" w:cs="Times New Roman"/>
          <w:lang w:val="en-US"/>
        </w:rPr>
        <w:t xml:space="preserve"> increased slightly from </w:t>
      </w:r>
      <w:r w:rsidR="00937ED1">
        <w:rPr>
          <w:rFonts w:ascii="Times New Roman" w:hAnsi="Times New Roman" w:cs="Times New Roman"/>
          <w:lang w:val="en-US"/>
        </w:rPr>
        <w:t xml:space="preserve">8.6 (6.6-10.6) </w:t>
      </w:r>
      <w:r w:rsidR="0026575B">
        <w:rPr>
          <w:rFonts w:ascii="Times New Roman" w:hAnsi="Times New Roman" w:cs="Times New Roman"/>
          <w:lang w:val="en-US"/>
        </w:rPr>
        <w:t xml:space="preserve">ng/ml </w:t>
      </w:r>
      <w:r w:rsidR="00937ED1">
        <w:rPr>
          <w:rFonts w:ascii="Times New Roman" w:hAnsi="Times New Roman" w:cs="Times New Roman"/>
          <w:lang w:val="en-US"/>
        </w:rPr>
        <w:t xml:space="preserve">during the early to a maximum of 10.2 (7.8-14.8) </w:t>
      </w:r>
      <w:r w:rsidR="0026575B">
        <w:rPr>
          <w:rFonts w:ascii="Times New Roman" w:hAnsi="Times New Roman" w:cs="Times New Roman"/>
          <w:lang w:val="en-US"/>
        </w:rPr>
        <w:t xml:space="preserve">ng/ml </w:t>
      </w:r>
      <w:r w:rsidR="00937ED1">
        <w:rPr>
          <w:rFonts w:ascii="Times New Roman" w:hAnsi="Times New Roman" w:cs="Times New Roman"/>
          <w:lang w:val="en-US"/>
        </w:rPr>
        <w:t xml:space="preserve">during the critical (d9-12) and 11.0 (8.0-14.5) </w:t>
      </w:r>
      <w:r w:rsidR="0026575B">
        <w:rPr>
          <w:rFonts w:ascii="Times New Roman" w:hAnsi="Times New Roman" w:cs="Times New Roman"/>
          <w:lang w:val="en-US"/>
        </w:rPr>
        <w:t xml:space="preserve">ng/ml </w:t>
      </w:r>
      <w:r w:rsidR="00937ED1">
        <w:rPr>
          <w:rFonts w:ascii="Times New Roman" w:hAnsi="Times New Roman" w:cs="Times New Roman"/>
          <w:lang w:val="en-US"/>
        </w:rPr>
        <w:t xml:space="preserve">during the late </w:t>
      </w:r>
      <w:r w:rsidR="00E80FBA" w:rsidRPr="00E80FBA">
        <w:rPr>
          <w:rFonts w:ascii="Times New Roman" w:hAnsi="Times New Roman" w:cs="Times New Roman"/>
          <w:lang w:val="en-US"/>
        </w:rPr>
        <w:t>phase</w:t>
      </w:r>
      <w:r w:rsidR="00937ED1">
        <w:rPr>
          <w:rFonts w:ascii="Times New Roman" w:hAnsi="Times New Roman" w:cs="Times New Roman"/>
          <w:lang w:val="en-US"/>
        </w:rPr>
        <w:t xml:space="preserve">. </w:t>
      </w:r>
      <w:r w:rsidR="00E80FBA">
        <w:rPr>
          <w:rFonts w:ascii="Times New Roman" w:hAnsi="Times New Roman" w:cs="Times New Roman"/>
          <w:lang w:val="en-US"/>
        </w:rPr>
        <w:t>T</w:t>
      </w:r>
      <w:r w:rsidR="0019291E">
        <w:rPr>
          <w:rFonts w:ascii="Times New Roman" w:hAnsi="Times New Roman" w:cs="Times New Roman"/>
          <w:lang w:val="en-US"/>
        </w:rPr>
        <w:t xml:space="preserve">hese values </w:t>
      </w:r>
      <w:r w:rsidR="00226D72">
        <w:rPr>
          <w:rFonts w:ascii="Times New Roman" w:hAnsi="Times New Roman" w:cs="Times New Roman"/>
          <w:lang w:val="en-US"/>
        </w:rPr>
        <w:t>are</w:t>
      </w:r>
      <w:r w:rsidR="0019291E">
        <w:rPr>
          <w:rFonts w:ascii="Times New Roman" w:hAnsi="Times New Roman" w:cs="Times New Roman"/>
          <w:lang w:val="en-US"/>
        </w:rPr>
        <w:t xml:space="preserve"> </w:t>
      </w:r>
      <w:r w:rsidR="00226D72">
        <w:rPr>
          <w:rFonts w:ascii="Times New Roman" w:hAnsi="Times New Roman" w:cs="Times New Roman"/>
          <w:lang w:val="en-US"/>
        </w:rPr>
        <w:t xml:space="preserve">within the range </w:t>
      </w:r>
      <w:r w:rsidR="0019291E">
        <w:rPr>
          <w:rFonts w:ascii="Times New Roman" w:hAnsi="Times New Roman" w:cs="Times New Roman"/>
          <w:lang w:val="en-US"/>
        </w:rPr>
        <w:t>previously observed in healthy subjects</w:t>
      </w:r>
      <w:r w:rsidR="007F3A57">
        <w:rPr>
          <w:rFonts w:ascii="Times New Roman" w:hAnsi="Times New Roman" w:cs="Times New Roman"/>
          <w:lang w:val="en-US"/>
        </w:rPr>
        <w:t xml:space="preserve"> (</w:t>
      </w:r>
      <w:r w:rsidR="007C369E">
        <w:rPr>
          <w:rFonts w:ascii="Times New Roman" w:hAnsi="Times New Roman" w:cs="Times New Roman"/>
          <w:lang w:val="en-US"/>
        </w:rPr>
        <w:t xml:space="preserve">mean of </w:t>
      </w:r>
      <w:r w:rsidR="007F3A57">
        <w:rPr>
          <w:rFonts w:ascii="Times New Roman" w:hAnsi="Times New Roman" w:cs="Times New Roman"/>
          <w:lang w:val="en-US"/>
        </w:rPr>
        <w:t>16.6</w:t>
      </w:r>
      <w:r w:rsidR="00CE3C92">
        <w:rPr>
          <w:rFonts w:ascii="Times New Roman" w:hAnsi="Times New Roman" w:cs="Times New Roman"/>
          <w:lang w:val="en-US"/>
        </w:rPr>
        <w:t>±9.8</w:t>
      </w:r>
      <w:r w:rsidR="007F3A57">
        <w:rPr>
          <w:rFonts w:ascii="Times New Roman" w:hAnsi="Times New Roman" w:cs="Times New Roman"/>
          <w:lang w:val="en-US"/>
        </w:rPr>
        <w:t xml:space="preserve"> ng/ml)</w:t>
      </w:r>
      <w:r w:rsidR="008320A2">
        <w:rPr>
          <w:rFonts w:ascii="Times New Roman" w:hAnsi="Times New Roman" w:cs="Times New Roman"/>
          <w:lang w:val="en-US"/>
        </w:rPr>
        <w:t xml:space="preserve"> </w:t>
      </w:r>
      <w:r w:rsidR="00CE3C92">
        <w:rPr>
          <w:rFonts w:ascii="Times New Roman" w:hAnsi="Times New Roman" w:cs="Times New Roman"/>
          <w:lang w:val="en-US"/>
        </w:rPr>
        <w:fldChar w:fldCharType="begin" w:fldLock="1"/>
      </w:r>
      <w:r w:rsidR="00CF4681">
        <w:rPr>
          <w:rFonts w:ascii="Times New Roman" w:hAnsi="Times New Roman" w:cs="Times New Roman"/>
          <w:lang w:val="en-US"/>
        </w:rPr>
        <w:instrText>ADDIN CSL_CITATION {"citationItems":[{"id":"ITEM-1","itemData":{"DOI":"10.1373/jalm.2018.027995","ISSN":"2576-9456","author":[{"dropping-particle":"","family":"Rehfeld","given":"Linda","non-dropping-particle":"","parse-names":false,"suffix":""},{"dropping-particle":"","family":"Funk","given":"Eugenia","non-dropping-particle":"","parse-names":false,"suffix":""},{"dropping-particle":"","family":"Jha","given":"Shalinee","non-dropping-particle":"","parse-names":false,"suffix":""},{"dropping-particle":"","family":"Macheroux","given":"Peter","non-dropping-particle":"","parse-names":false,"suffix":""},{"dropping-particle":"","family":"Melander","given":"Olle","non-dropping-particle":"","parse-names":false,"suffix":""},{"dropping-particle":"","family":"Bergmann","given":"Andreas","non-dropping-particle":"","parse-names":false,"suffix":""}],"container-title":"The Journal of Applied Laboratory Medicine","id":"ITEM-1","issue":"6","issued":{"date-parts":[["2019","5","1"]]},"page":"943-953","title":"Novel methods for the quantification of dipeptidyl peptidase 3 (DPP3) concentration and activity in human blood samples.","type":"article-journal","volume":"3"},"uris":["http://www.mendeley.com/documents/?uuid=714ff383-7386-4508-bb26-062ca508a6e7"]}],"mendeley":{"formattedCitation":"[15]","plainTextFormattedCitation":"[15]","previouslyFormattedCitation":"[15]"},"properties":{"noteIndex":0},"schema":"https://github.com/citation-style-language/schema/raw/master/csl-citation.json"}</w:instrText>
      </w:r>
      <w:r w:rsidR="00CE3C92">
        <w:rPr>
          <w:rFonts w:ascii="Times New Roman" w:hAnsi="Times New Roman" w:cs="Times New Roman"/>
          <w:lang w:val="en-US"/>
        </w:rPr>
        <w:fldChar w:fldCharType="separate"/>
      </w:r>
      <w:r w:rsidR="008320A2" w:rsidRPr="008320A2">
        <w:rPr>
          <w:rFonts w:ascii="Times New Roman" w:hAnsi="Times New Roman" w:cs="Times New Roman"/>
          <w:noProof/>
          <w:lang w:val="en-US"/>
        </w:rPr>
        <w:t>[15]</w:t>
      </w:r>
      <w:r w:rsidR="00CE3C92">
        <w:rPr>
          <w:rFonts w:ascii="Times New Roman" w:hAnsi="Times New Roman" w:cs="Times New Roman"/>
          <w:lang w:val="en-US"/>
        </w:rPr>
        <w:fldChar w:fldCharType="end"/>
      </w:r>
      <w:r w:rsidR="00CE3C92">
        <w:rPr>
          <w:rFonts w:ascii="Times New Roman" w:hAnsi="Times New Roman" w:cs="Times New Roman"/>
          <w:lang w:val="en-US"/>
        </w:rPr>
        <w:t>,</w:t>
      </w:r>
      <w:r w:rsidR="00ED06AD" w:rsidRPr="00C54BE8">
        <w:rPr>
          <w:rFonts w:ascii="Times New Roman" w:hAnsi="Times New Roman" w:cs="Times New Roman"/>
          <w:color w:val="FF0000"/>
          <w:lang w:val="en-US"/>
        </w:rPr>
        <w:t xml:space="preserve"> </w:t>
      </w:r>
      <w:r w:rsidR="00226D72">
        <w:rPr>
          <w:rFonts w:ascii="Times New Roman" w:hAnsi="Times New Roman" w:cs="Times New Roman"/>
          <w:lang w:val="en-US"/>
        </w:rPr>
        <w:t>suggesting that the initial insult was either not associated with an increase in cDPP3 levels or that patients who survived</w:t>
      </w:r>
      <w:r w:rsidR="0041662A">
        <w:rPr>
          <w:rFonts w:ascii="Times New Roman" w:hAnsi="Times New Roman" w:cs="Times New Roman"/>
          <w:lang w:val="en-US"/>
        </w:rPr>
        <w:t xml:space="preserve"> were capable of normalizing their levels within the first 24 hours.</w:t>
      </w:r>
      <w:r w:rsidR="0019291E">
        <w:rPr>
          <w:rFonts w:ascii="Times New Roman" w:hAnsi="Times New Roman" w:cs="Times New Roman"/>
          <w:lang w:val="en-US"/>
        </w:rPr>
        <w:t xml:space="preserve"> </w:t>
      </w:r>
    </w:p>
    <w:p w14:paraId="722F920A" w14:textId="11B8926A" w:rsidR="007439B3" w:rsidRDefault="00DF7C21" w:rsidP="0061430D">
      <w:pPr>
        <w:spacing w:after="0" w:line="360" w:lineRule="auto"/>
        <w:jc w:val="both"/>
        <w:rPr>
          <w:rFonts w:ascii="Times New Roman" w:hAnsi="Times New Roman" w:cs="Times New Roman"/>
          <w:b/>
          <w:lang w:val="en-US"/>
        </w:rPr>
      </w:pPr>
      <w:r>
        <w:rPr>
          <w:rFonts w:ascii="Times New Roman" w:hAnsi="Times New Roman" w:cs="Times New Roman"/>
          <w:b/>
          <w:lang w:val="en-US"/>
        </w:rPr>
        <w:t xml:space="preserve">2.3. </w:t>
      </w:r>
      <w:r w:rsidR="004F640C">
        <w:rPr>
          <w:rFonts w:ascii="Times New Roman" w:hAnsi="Times New Roman" w:cs="Times New Roman"/>
          <w:b/>
          <w:lang w:val="en-US"/>
        </w:rPr>
        <w:t>Association with clinical variables</w:t>
      </w:r>
    </w:p>
    <w:p w14:paraId="1F774A17" w14:textId="1FBB65F1" w:rsidR="00541043" w:rsidRPr="00452352" w:rsidRDefault="00146BA6" w:rsidP="00541043">
      <w:pPr>
        <w:spacing w:after="120" w:line="360" w:lineRule="auto"/>
        <w:jc w:val="both"/>
        <w:rPr>
          <w:rFonts w:ascii="Times New Roman" w:hAnsi="Times New Roman" w:cs="Times New Roman"/>
          <w:color w:val="000000" w:themeColor="text1"/>
          <w:lang w:val="en-US"/>
        </w:rPr>
      </w:pPr>
      <w:r>
        <w:rPr>
          <w:rFonts w:ascii="Times New Roman" w:hAnsi="Times New Roman" w:cs="Times New Roman"/>
          <w:lang w:val="en-US"/>
        </w:rPr>
        <w:t>A comparison of the results between different subgroups of patients is provided</w:t>
      </w:r>
      <w:r w:rsidR="00BD65BA">
        <w:rPr>
          <w:rFonts w:ascii="Times New Roman" w:hAnsi="Times New Roman" w:cs="Times New Roman"/>
          <w:lang w:val="en-US"/>
        </w:rPr>
        <w:t xml:space="preserve"> in </w:t>
      </w:r>
      <w:r w:rsidR="00BD65BA" w:rsidRPr="000521A6">
        <w:rPr>
          <w:rFonts w:ascii="Times New Roman" w:hAnsi="Times New Roman" w:cs="Times New Roman"/>
          <w:b/>
          <w:lang w:val="en-US"/>
        </w:rPr>
        <w:t xml:space="preserve">Fig. </w:t>
      </w:r>
      <w:r w:rsidR="002C5F14">
        <w:rPr>
          <w:rFonts w:ascii="Times New Roman" w:hAnsi="Times New Roman" w:cs="Times New Roman"/>
          <w:b/>
          <w:lang w:val="en-US"/>
        </w:rPr>
        <w:t>2</w:t>
      </w:r>
      <w:r w:rsidR="00BD65BA" w:rsidRPr="000521A6">
        <w:rPr>
          <w:rFonts w:ascii="Times New Roman" w:hAnsi="Times New Roman" w:cs="Times New Roman"/>
          <w:b/>
          <w:lang w:val="en-US"/>
        </w:rPr>
        <w:t>-</w:t>
      </w:r>
      <w:r w:rsidR="002C5F14">
        <w:rPr>
          <w:rFonts w:ascii="Times New Roman" w:hAnsi="Times New Roman" w:cs="Times New Roman"/>
          <w:b/>
          <w:lang w:val="en-US"/>
        </w:rPr>
        <w:t>4</w:t>
      </w:r>
      <w:r w:rsidR="002C5F14">
        <w:rPr>
          <w:rFonts w:ascii="Times New Roman" w:hAnsi="Times New Roman" w:cs="Times New Roman"/>
          <w:lang w:val="en-US"/>
        </w:rPr>
        <w:t xml:space="preserve"> </w:t>
      </w:r>
      <w:r w:rsidR="00BD65BA">
        <w:rPr>
          <w:rFonts w:ascii="Times New Roman" w:hAnsi="Times New Roman" w:cs="Times New Roman"/>
          <w:lang w:val="en-US"/>
        </w:rPr>
        <w:t xml:space="preserve">and </w:t>
      </w:r>
      <w:r w:rsidR="00BD65BA" w:rsidRPr="000521A6">
        <w:rPr>
          <w:rFonts w:ascii="Times New Roman" w:hAnsi="Times New Roman" w:cs="Times New Roman"/>
          <w:b/>
          <w:lang w:val="en-US"/>
        </w:rPr>
        <w:t>Tab</w:t>
      </w:r>
      <w:r w:rsidR="00CB2C7D">
        <w:rPr>
          <w:rFonts w:ascii="Times New Roman" w:hAnsi="Times New Roman" w:cs="Times New Roman"/>
          <w:b/>
          <w:lang w:val="en-US"/>
        </w:rPr>
        <w:t>le</w:t>
      </w:r>
      <w:r w:rsidR="00BD65BA" w:rsidRPr="000521A6">
        <w:rPr>
          <w:rFonts w:ascii="Times New Roman" w:hAnsi="Times New Roman" w:cs="Times New Roman"/>
          <w:b/>
          <w:lang w:val="en-US"/>
        </w:rPr>
        <w:t xml:space="preserve"> 2</w:t>
      </w:r>
      <w:r w:rsidR="00BD65BA">
        <w:rPr>
          <w:rFonts w:ascii="Times New Roman" w:hAnsi="Times New Roman" w:cs="Times New Roman"/>
          <w:lang w:val="en-US"/>
        </w:rPr>
        <w:t>-</w:t>
      </w:r>
      <w:r w:rsidR="00BD65BA" w:rsidRPr="000521A6">
        <w:rPr>
          <w:rFonts w:ascii="Times New Roman" w:hAnsi="Times New Roman" w:cs="Times New Roman"/>
          <w:b/>
          <w:lang w:val="en-US"/>
        </w:rPr>
        <w:t>3</w:t>
      </w:r>
      <w:r w:rsidR="00BD65BA">
        <w:rPr>
          <w:rFonts w:ascii="Times New Roman" w:hAnsi="Times New Roman" w:cs="Times New Roman"/>
          <w:lang w:val="en-US"/>
        </w:rPr>
        <w:t>. There was no association between cDPP3 levels during any of the time-points examined and gender, smoking or pre-existing diabetes (</w:t>
      </w:r>
      <w:r w:rsidR="00BD65BA" w:rsidRPr="00BD65BA">
        <w:rPr>
          <w:rFonts w:ascii="Times New Roman" w:hAnsi="Times New Roman" w:cs="Times New Roman"/>
          <w:b/>
          <w:lang w:val="en-US"/>
        </w:rPr>
        <w:t>Tab</w:t>
      </w:r>
      <w:r w:rsidR="00CB2C7D">
        <w:rPr>
          <w:rFonts w:ascii="Times New Roman" w:hAnsi="Times New Roman" w:cs="Times New Roman"/>
          <w:b/>
          <w:lang w:val="en-US"/>
        </w:rPr>
        <w:t>le</w:t>
      </w:r>
      <w:r w:rsidR="00BD65BA" w:rsidRPr="00BD65BA">
        <w:rPr>
          <w:rFonts w:ascii="Times New Roman" w:hAnsi="Times New Roman" w:cs="Times New Roman"/>
          <w:b/>
          <w:lang w:val="en-US"/>
        </w:rPr>
        <w:t xml:space="preserve"> 2-3</w:t>
      </w:r>
      <w:r w:rsidR="00BD65BA">
        <w:rPr>
          <w:rFonts w:ascii="Times New Roman" w:hAnsi="Times New Roman" w:cs="Times New Roman"/>
          <w:lang w:val="en-US"/>
        </w:rPr>
        <w:t xml:space="preserve">, </w:t>
      </w:r>
      <w:r w:rsidR="00BD65BA" w:rsidRPr="00BD65BA">
        <w:rPr>
          <w:rFonts w:ascii="Times New Roman" w:hAnsi="Times New Roman" w:cs="Times New Roman"/>
          <w:b/>
          <w:lang w:val="en-US"/>
        </w:rPr>
        <w:t>Suppl. Fig. 1</w:t>
      </w:r>
      <w:r w:rsidR="00BD65BA">
        <w:rPr>
          <w:rFonts w:ascii="Times New Roman" w:hAnsi="Times New Roman" w:cs="Times New Roman"/>
          <w:lang w:val="en-US"/>
        </w:rPr>
        <w:t xml:space="preserve">). </w:t>
      </w:r>
      <w:r w:rsidR="00C63197">
        <w:rPr>
          <w:rFonts w:ascii="Times New Roman" w:hAnsi="Times New Roman" w:cs="Times New Roman"/>
          <w:lang w:val="en-US"/>
        </w:rPr>
        <w:t xml:space="preserve">There was also no difference when comparing </w:t>
      </w:r>
      <w:r w:rsidR="00C63197" w:rsidRPr="00541043">
        <w:rPr>
          <w:rFonts w:ascii="Times New Roman" w:hAnsi="Times New Roman" w:cs="Times New Roman"/>
          <w:lang w:val="en-US"/>
        </w:rPr>
        <w:t xml:space="preserve">patients with regard to aneurysm location, except that </w:t>
      </w:r>
      <w:r w:rsidR="00C332A1" w:rsidRPr="00541043">
        <w:rPr>
          <w:rFonts w:ascii="Times New Roman" w:hAnsi="Times New Roman" w:cs="Times New Roman"/>
          <w:lang w:val="en-US"/>
        </w:rPr>
        <w:t xml:space="preserve">median </w:t>
      </w:r>
      <w:r w:rsidR="00C63197" w:rsidRPr="00541043">
        <w:rPr>
          <w:rFonts w:ascii="Times New Roman" w:hAnsi="Times New Roman" w:cs="Times New Roman"/>
          <w:lang w:val="en-US"/>
        </w:rPr>
        <w:t xml:space="preserve">cDPP3 levels during the late phase </w:t>
      </w:r>
      <w:r w:rsidR="00DF7C21" w:rsidRPr="00541043">
        <w:rPr>
          <w:rFonts w:ascii="Times New Roman" w:hAnsi="Times New Roman" w:cs="Times New Roman"/>
          <w:lang w:val="en-US"/>
        </w:rPr>
        <w:t xml:space="preserve">were </w:t>
      </w:r>
      <w:r w:rsidR="00C63197" w:rsidRPr="00541043">
        <w:rPr>
          <w:rFonts w:ascii="Times New Roman" w:hAnsi="Times New Roman" w:cs="Times New Roman"/>
          <w:lang w:val="en-US"/>
        </w:rPr>
        <w:t>higher in patients with aneurysms located in the anterior</w:t>
      </w:r>
      <w:r w:rsidR="00C332A1" w:rsidRPr="00541043">
        <w:rPr>
          <w:rFonts w:ascii="Times New Roman" w:hAnsi="Times New Roman" w:cs="Times New Roman"/>
          <w:lang w:val="en-US"/>
        </w:rPr>
        <w:t xml:space="preserve"> vs. posterior (12.3 ng/ml </w:t>
      </w:r>
      <w:r w:rsidR="00C332A1" w:rsidRPr="00541043">
        <w:rPr>
          <w:rFonts w:ascii="Times New Roman" w:hAnsi="Times New Roman" w:cs="Times New Roman"/>
          <w:i/>
          <w:lang w:val="en-US"/>
        </w:rPr>
        <w:t>vs.</w:t>
      </w:r>
      <w:r w:rsidR="00C332A1" w:rsidRPr="00541043">
        <w:rPr>
          <w:rFonts w:ascii="Times New Roman" w:hAnsi="Times New Roman" w:cs="Times New Roman"/>
          <w:lang w:val="en-US"/>
        </w:rPr>
        <w:t xml:space="preserve"> 9.0 ng/ml, p=0.015)</w:t>
      </w:r>
      <w:r w:rsidR="00C63197" w:rsidRPr="00541043">
        <w:rPr>
          <w:rFonts w:ascii="Times New Roman" w:hAnsi="Times New Roman" w:cs="Times New Roman"/>
          <w:lang w:val="en-US"/>
        </w:rPr>
        <w:t xml:space="preserve"> circulation (</w:t>
      </w:r>
      <w:r w:rsidR="00C63197" w:rsidRPr="00541043">
        <w:rPr>
          <w:rFonts w:ascii="Times New Roman" w:hAnsi="Times New Roman" w:cs="Times New Roman"/>
          <w:b/>
          <w:lang w:val="en-US"/>
        </w:rPr>
        <w:t>Tab</w:t>
      </w:r>
      <w:r w:rsidR="00CB2C7D" w:rsidRPr="00541043">
        <w:rPr>
          <w:rFonts w:ascii="Times New Roman" w:hAnsi="Times New Roman" w:cs="Times New Roman"/>
          <w:b/>
          <w:lang w:val="en-US"/>
        </w:rPr>
        <w:t>le</w:t>
      </w:r>
      <w:r w:rsidR="002C5F14" w:rsidRPr="00541043">
        <w:rPr>
          <w:rFonts w:ascii="Times New Roman" w:hAnsi="Times New Roman" w:cs="Times New Roman"/>
          <w:b/>
          <w:lang w:val="en-US"/>
        </w:rPr>
        <w:t xml:space="preserve"> </w:t>
      </w:r>
      <w:r w:rsidR="00C63197" w:rsidRPr="00541043">
        <w:rPr>
          <w:rFonts w:ascii="Times New Roman" w:hAnsi="Times New Roman" w:cs="Times New Roman"/>
          <w:b/>
          <w:lang w:val="en-US"/>
        </w:rPr>
        <w:t>2</w:t>
      </w:r>
      <w:r w:rsidR="006471CE" w:rsidRPr="00541043">
        <w:rPr>
          <w:rFonts w:ascii="Times New Roman" w:hAnsi="Times New Roman" w:cs="Times New Roman"/>
          <w:lang w:val="en-US"/>
        </w:rPr>
        <w:t>,</w:t>
      </w:r>
      <w:r w:rsidR="00C63197" w:rsidRPr="00541043">
        <w:rPr>
          <w:rFonts w:ascii="Times New Roman" w:hAnsi="Times New Roman" w:cs="Times New Roman"/>
          <w:lang w:val="en-US"/>
        </w:rPr>
        <w:t xml:space="preserve"> </w:t>
      </w:r>
      <w:r w:rsidR="00C63197" w:rsidRPr="00541043">
        <w:rPr>
          <w:rFonts w:ascii="Times New Roman" w:hAnsi="Times New Roman" w:cs="Times New Roman"/>
          <w:b/>
          <w:lang w:val="en-US"/>
        </w:rPr>
        <w:t>Suppl</w:t>
      </w:r>
      <w:r w:rsidR="00C63197" w:rsidRPr="00452352">
        <w:rPr>
          <w:rFonts w:ascii="Times New Roman" w:hAnsi="Times New Roman" w:cs="Times New Roman"/>
          <w:b/>
          <w:color w:val="000000" w:themeColor="text1"/>
          <w:lang w:val="en-US"/>
        </w:rPr>
        <w:t>. Fig. 1</w:t>
      </w:r>
      <w:r w:rsidR="00C63197" w:rsidRPr="00452352">
        <w:rPr>
          <w:rFonts w:ascii="Times New Roman" w:hAnsi="Times New Roman" w:cs="Times New Roman"/>
          <w:color w:val="000000" w:themeColor="text1"/>
          <w:lang w:val="en-US"/>
        </w:rPr>
        <w:t xml:space="preserve">). </w:t>
      </w:r>
      <w:r w:rsidR="00541043" w:rsidRPr="00452352">
        <w:rPr>
          <w:rFonts w:ascii="Times New Roman" w:hAnsi="Times New Roman" w:cs="Times New Roman"/>
          <w:color w:val="000000" w:themeColor="text1"/>
          <w:lang w:val="en-US"/>
        </w:rPr>
        <w:t xml:space="preserve"> </w:t>
      </w:r>
      <w:r w:rsidR="00541043" w:rsidRPr="00452352">
        <w:rPr>
          <w:rFonts w:ascii="Times New Roman" w:eastAsia="Times New Roman" w:hAnsi="Times New Roman" w:cs="Times New Roman"/>
          <w:color w:val="000000" w:themeColor="text1"/>
          <w:lang w:val="en-US"/>
        </w:rPr>
        <w:t xml:space="preserve">To evaluate the association between the aneurysm localization and cDPP3 in the late phase in a multifactorial manner, multivariate analysis </w:t>
      </w:r>
      <w:proofErr w:type="gramStart"/>
      <w:r w:rsidR="00541043" w:rsidRPr="00452352">
        <w:rPr>
          <w:rFonts w:ascii="Times New Roman" w:eastAsia="Times New Roman" w:hAnsi="Times New Roman" w:cs="Times New Roman"/>
          <w:color w:val="000000" w:themeColor="text1"/>
          <w:lang w:val="en-US"/>
        </w:rPr>
        <w:t>were</w:t>
      </w:r>
      <w:proofErr w:type="gramEnd"/>
      <w:r w:rsidR="00541043" w:rsidRPr="00452352">
        <w:rPr>
          <w:rFonts w:ascii="Times New Roman" w:eastAsia="Times New Roman" w:hAnsi="Times New Roman" w:cs="Times New Roman"/>
          <w:color w:val="000000" w:themeColor="text1"/>
          <w:lang w:val="en-US"/>
        </w:rPr>
        <w:t xml:space="preserve"> conducted for certain factors, Hunt &amp; Hess, DCI, DCI-related infarcts, and aneurysm location. Aneurysm location was not an associated predictor for the elevated cDPP3 in the late phase (p=0.491).</w:t>
      </w:r>
    </w:p>
    <w:p w14:paraId="260286D7" w14:textId="4718DA30" w:rsidR="00C63197" w:rsidRPr="004412E5" w:rsidRDefault="00C63197" w:rsidP="00C63197">
      <w:pPr>
        <w:spacing w:after="120" w:line="360" w:lineRule="auto"/>
        <w:jc w:val="both"/>
        <w:rPr>
          <w:rFonts w:ascii="Times New Roman" w:hAnsi="Times New Roman" w:cs="Times New Roman"/>
          <w:lang w:val="en-US"/>
        </w:rPr>
      </w:pPr>
      <w:r w:rsidRPr="00452352">
        <w:rPr>
          <w:rFonts w:ascii="Times New Roman" w:hAnsi="Times New Roman" w:cs="Times New Roman"/>
          <w:color w:val="000000" w:themeColor="text1"/>
          <w:lang w:val="en-US"/>
        </w:rPr>
        <w:t xml:space="preserve">In addition, median cDPP3 levels </w:t>
      </w:r>
      <w:r w:rsidR="00C332A1" w:rsidRPr="00452352">
        <w:rPr>
          <w:rFonts w:ascii="Times New Roman" w:hAnsi="Times New Roman" w:cs="Times New Roman"/>
          <w:color w:val="000000" w:themeColor="text1"/>
          <w:lang w:val="en-US"/>
        </w:rPr>
        <w:t>on day 5-8 were significantly</w:t>
      </w:r>
      <w:r w:rsidRPr="00452352">
        <w:rPr>
          <w:rFonts w:ascii="Times New Roman" w:hAnsi="Times New Roman" w:cs="Times New Roman"/>
          <w:color w:val="000000" w:themeColor="text1"/>
          <w:lang w:val="en-US"/>
        </w:rPr>
        <w:t xml:space="preserve"> higher when the aneurysm was </w:t>
      </w:r>
      <w:r w:rsidRPr="00541043">
        <w:rPr>
          <w:rFonts w:ascii="Times New Roman" w:hAnsi="Times New Roman" w:cs="Times New Roman"/>
          <w:lang w:val="en-US"/>
        </w:rPr>
        <w:t>secured by surgical clipping as compared to endovascular coiling</w:t>
      </w:r>
      <w:r w:rsidR="00C332A1" w:rsidRPr="00541043">
        <w:rPr>
          <w:rFonts w:ascii="Times New Roman" w:hAnsi="Times New Roman" w:cs="Times New Roman"/>
          <w:lang w:val="en-US"/>
        </w:rPr>
        <w:t xml:space="preserve"> (</w:t>
      </w:r>
      <w:r w:rsidR="00C229D9" w:rsidRPr="00541043">
        <w:rPr>
          <w:rFonts w:ascii="Times New Roman" w:hAnsi="Times New Roman" w:cs="Times New Roman"/>
          <w:lang w:val="en-US"/>
        </w:rPr>
        <w:t>10.3</w:t>
      </w:r>
      <w:r w:rsidR="00C332A1" w:rsidRPr="00541043">
        <w:rPr>
          <w:rFonts w:ascii="Times New Roman" w:hAnsi="Times New Roman" w:cs="Times New Roman"/>
          <w:lang w:val="en-US"/>
        </w:rPr>
        <w:t xml:space="preserve"> ng/ml</w:t>
      </w:r>
      <w:r w:rsidR="00C229D9" w:rsidRPr="00541043">
        <w:rPr>
          <w:rFonts w:ascii="Times New Roman" w:hAnsi="Times New Roman" w:cs="Times New Roman"/>
          <w:lang w:val="en-US"/>
        </w:rPr>
        <w:t xml:space="preserve"> </w:t>
      </w:r>
      <w:r w:rsidR="00C229D9" w:rsidRPr="00541043">
        <w:rPr>
          <w:rFonts w:ascii="Times New Roman" w:hAnsi="Times New Roman" w:cs="Times New Roman"/>
          <w:i/>
          <w:lang w:val="en-US"/>
        </w:rPr>
        <w:t>vs.</w:t>
      </w:r>
      <w:r w:rsidR="00C229D9" w:rsidRPr="00541043">
        <w:rPr>
          <w:rFonts w:ascii="Times New Roman" w:hAnsi="Times New Roman" w:cs="Times New Roman"/>
          <w:lang w:val="en-US"/>
        </w:rPr>
        <w:t xml:space="preserve"> 9.0 ng/ml, p=0.008</w:t>
      </w:r>
      <w:r w:rsidR="00C332A1" w:rsidRPr="00541043">
        <w:rPr>
          <w:rFonts w:ascii="Times New Roman" w:hAnsi="Times New Roman" w:cs="Times New Roman"/>
          <w:lang w:val="en-US"/>
        </w:rPr>
        <w:t>)</w:t>
      </w:r>
      <w:r w:rsidR="00DF7C21" w:rsidRPr="00541043">
        <w:rPr>
          <w:rFonts w:ascii="Times New Roman" w:hAnsi="Times New Roman" w:cs="Times New Roman"/>
          <w:lang w:val="en-US"/>
        </w:rPr>
        <w:t>, which could reflect the more invasive nature</w:t>
      </w:r>
      <w:r w:rsidR="00DF7C21">
        <w:rPr>
          <w:rFonts w:ascii="Times New Roman" w:hAnsi="Times New Roman" w:cs="Times New Roman"/>
          <w:lang w:val="en-US"/>
        </w:rPr>
        <w:t xml:space="preserve"> of the former treatment (</w:t>
      </w:r>
      <w:r w:rsidR="00DF7C21" w:rsidRPr="006471CE">
        <w:rPr>
          <w:rFonts w:ascii="Times New Roman" w:hAnsi="Times New Roman" w:cs="Times New Roman"/>
          <w:b/>
          <w:lang w:val="en-US"/>
        </w:rPr>
        <w:t>Tab</w:t>
      </w:r>
      <w:r w:rsidR="00CB2C7D">
        <w:rPr>
          <w:rFonts w:ascii="Times New Roman" w:hAnsi="Times New Roman" w:cs="Times New Roman"/>
          <w:b/>
          <w:lang w:val="en-US"/>
        </w:rPr>
        <w:t>le</w:t>
      </w:r>
      <w:r w:rsidR="00DF7C21" w:rsidRPr="006471CE">
        <w:rPr>
          <w:rFonts w:ascii="Times New Roman" w:hAnsi="Times New Roman" w:cs="Times New Roman"/>
          <w:b/>
          <w:lang w:val="en-US"/>
        </w:rPr>
        <w:t xml:space="preserve"> 3</w:t>
      </w:r>
      <w:r w:rsidR="00DF7C21">
        <w:rPr>
          <w:rFonts w:ascii="Times New Roman" w:hAnsi="Times New Roman" w:cs="Times New Roman"/>
          <w:lang w:val="en-US"/>
        </w:rPr>
        <w:t xml:space="preserve">, </w:t>
      </w:r>
      <w:r w:rsidR="00DF7C21" w:rsidRPr="006471CE">
        <w:rPr>
          <w:rFonts w:ascii="Times New Roman" w:hAnsi="Times New Roman" w:cs="Times New Roman"/>
          <w:b/>
          <w:lang w:val="en-US"/>
        </w:rPr>
        <w:t>Suppl. Fig. 1</w:t>
      </w:r>
      <w:r w:rsidR="00DF7C21">
        <w:rPr>
          <w:rFonts w:ascii="Times New Roman" w:hAnsi="Times New Roman" w:cs="Times New Roman"/>
          <w:lang w:val="en-US"/>
        </w:rPr>
        <w:t>)</w:t>
      </w:r>
    </w:p>
    <w:p w14:paraId="49FBADA9" w14:textId="4A1DF76F" w:rsidR="0061430D" w:rsidRDefault="00DF7C21" w:rsidP="0061430D">
      <w:pPr>
        <w:spacing w:after="0" w:line="360" w:lineRule="auto"/>
        <w:jc w:val="both"/>
        <w:rPr>
          <w:rFonts w:ascii="Times New Roman" w:hAnsi="Times New Roman" w:cs="Times New Roman"/>
          <w:b/>
          <w:lang w:val="en-US"/>
        </w:rPr>
      </w:pPr>
      <w:r>
        <w:rPr>
          <w:rFonts w:ascii="Times New Roman" w:hAnsi="Times New Roman" w:cs="Times New Roman"/>
          <w:b/>
          <w:lang w:val="en-US"/>
        </w:rPr>
        <w:t xml:space="preserve">2.3.1. </w:t>
      </w:r>
      <w:r w:rsidR="00D112E9">
        <w:rPr>
          <w:rFonts w:ascii="Times New Roman" w:hAnsi="Times New Roman" w:cs="Times New Roman"/>
          <w:b/>
          <w:lang w:val="en-US"/>
        </w:rPr>
        <w:t>Relation between</w:t>
      </w:r>
      <w:r w:rsidR="000E72D0">
        <w:rPr>
          <w:rFonts w:ascii="Times New Roman" w:hAnsi="Times New Roman" w:cs="Times New Roman"/>
          <w:b/>
          <w:lang w:val="en-US"/>
        </w:rPr>
        <w:t xml:space="preserve"> cDPP3 levels</w:t>
      </w:r>
      <w:r w:rsidR="00CC3F3A">
        <w:rPr>
          <w:rFonts w:ascii="Times New Roman" w:hAnsi="Times New Roman" w:cs="Times New Roman"/>
          <w:b/>
          <w:lang w:val="en-US"/>
        </w:rPr>
        <w:t xml:space="preserve"> and </w:t>
      </w:r>
      <w:r w:rsidR="004347D6">
        <w:rPr>
          <w:rFonts w:ascii="Times New Roman" w:hAnsi="Times New Roman" w:cs="Times New Roman"/>
          <w:b/>
          <w:lang w:val="en-US"/>
        </w:rPr>
        <w:t>a</w:t>
      </w:r>
      <w:r w:rsidR="00D112E9">
        <w:rPr>
          <w:rFonts w:ascii="Times New Roman" w:hAnsi="Times New Roman" w:cs="Times New Roman"/>
          <w:b/>
          <w:lang w:val="en-US"/>
        </w:rPr>
        <w:t>SAH severity</w:t>
      </w:r>
    </w:p>
    <w:p w14:paraId="57421824" w14:textId="3C828467" w:rsidR="00165E0B" w:rsidRDefault="00CC3F3A" w:rsidP="00DF7C21">
      <w:pPr>
        <w:spacing w:after="120" w:line="360" w:lineRule="auto"/>
        <w:jc w:val="both"/>
        <w:rPr>
          <w:rFonts w:ascii="Times New Roman" w:hAnsi="Times New Roman" w:cs="Times New Roman"/>
          <w:lang w:val="en-US"/>
        </w:rPr>
      </w:pPr>
      <w:r w:rsidRPr="0002600D">
        <w:rPr>
          <w:rFonts w:ascii="Times New Roman" w:hAnsi="Times New Roman" w:cs="Times New Roman"/>
          <w:b/>
          <w:lang w:val="en-US"/>
        </w:rPr>
        <w:t xml:space="preserve">Figure </w:t>
      </w:r>
      <w:r w:rsidR="002C5F14">
        <w:rPr>
          <w:rFonts w:ascii="Times New Roman" w:hAnsi="Times New Roman" w:cs="Times New Roman"/>
          <w:b/>
          <w:lang w:val="en-US"/>
        </w:rPr>
        <w:t>2</w:t>
      </w:r>
      <w:r w:rsidR="002C5F14" w:rsidRPr="0002600D">
        <w:rPr>
          <w:rFonts w:ascii="Times New Roman" w:hAnsi="Times New Roman" w:cs="Times New Roman"/>
          <w:b/>
          <w:lang w:val="en-US"/>
        </w:rPr>
        <w:t>A</w:t>
      </w:r>
      <w:r w:rsidR="002C5F14">
        <w:rPr>
          <w:rFonts w:ascii="Times New Roman" w:hAnsi="Times New Roman" w:cs="Times New Roman"/>
          <w:lang w:val="en-US"/>
        </w:rPr>
        <w:t xml:space="preserve"> </w:t>
      </w:r>
      <w:r>
        <w:rPr>
          <w:rFonts w:ascii="Times New Roman" w:hAnsi="Times New Roman" w:cs="Times New Roman"/>
          <w:lang w:val="en-US"/>
        </w:rPr>
        <w:t xml:space="preserve">compares the </w:t>
      </w:r>
      <w:r w:rsidR="00E80FBA">
        <w:rPr>
          <w:rFonts w:ascii="Times New Roman" w:hAnsi="Times New Roman" w:cs="Times New Roman"/>
          <w:lang w:val="en-US"/>
        </w:rPr>
        <w:t>time course</w:t>
      </w:r>
      <w:r>
        <w:rPr>
          <w:rFonts w:ascii="Times New Roman" w:hAnsi="Times New Roman" w:cs="Times New Roman"/>
          <w:lang w:val="en-US"/>
        </w:rPr>
        <w:t xml:space="preserve"> of cDPP3 levels in patients with a good vs. poor clinical status on admission according to the Hunt &amp; Hess (HH) grading scale. Significant differences between groups are indicated by arrows and are shown in more detail in </w:t>
      </w:r>
      <w:r w:rsidRPr="009F09E0">
        <w:rPr>
          <w:rFonts w:ascii="Times New Roman" w:hAnsi="Times New Roman" w:cs="Times New Roman"/>
          <w:b/>
          <w:lang w:val="en-US"/>
        </w:rPr>
        <w:t xml:space="preserve">Fig. </w:t>
      </w:r>
      <w:r w:rsidR="002C5F14">
        <w:rPr>
          <w:rFonts w:ascii="Times New Roman" w:hAnsi="Times New Roman" w:cs="Times New Roman"/>
          <w:b/>
          <w:lang w:val="en-US"/>
        </w:rPr>
        <w:t>2B</w:t>
      </w:r>
      <w:r w:rsidR="002C5F14">
        <w:rPr>
          <w:rFonts w:ascii="Times New Roman" w:hAnsi="Times New Roman" w:cs="Times New Roman"/>
          <w:lang w:val="en-US"/>
        </w:rPr>
        <w:t xml:space="preserve"> </w:t>
      </w:r>
      <w:r>
        <w:rPr>
          <w:rFonts w:ascii="Times New Roman" w:hAnsi="Times New Roman" w:cs="Times New Roman"/>
          <w:lang w:val="en-US"/>
        </w:rPr>
        <w:t xml:space="preserve">and </w:t>
      </w:r>
      <w:r w:rsidR="00CB2C7D">
        <w:rPr>
          <w:rFonts w:ascii="Times New Roman" w:hAnsi="Times New Roman" w:cs="Times New Roman"/>
          <w:b/>
          <w:lang w:val="en-US"/>
        </w:rPr>
        <w:t>Table</w:t>
      </w:r>
      <w:r w:rsidRPr="009F09E0">
        <w:rPr>
          <w:rFonts w:ascii="Times New Roman" w:hAnsi="Times New Roman" w:cs="Times New Roman"/>
          <w:b/>
          <w:lang w:val="en-US"/>
        </w:rPr>
        <w:t xml:space="preserve"> </w:t>
      </w:r>
      <w:r>
        <w:rPr>
          <w:rFonts w:ascii="Times New Roman" w:hAnsi="Times New Roman" w:cs="Times New Roman"/>
          <w:b/>
          <w:lang w:val="en-US"/>
        </w:rPr>
        <w:t>2 &amp;</w:t>
      </w:r>
      <w:r w:rsidRPr="009F09E0">
        <w:rPr>
          <w:rFonts w:ascii="Times New Roman" w:hAnsi="Times New Roman" w:cs="Times New Roman"/>
          <w:b/>
          <w:lang w:val="en-US"/>
        </w:rPr>
        <w:t xml:space="preserve"> 3</w:t>
      </w:r>
      <w:r>
        <w:rPr>
          <w:rFonts w:ascii="Times New Roman" w:hAnsi="Times New Roman" w:cs="Times New Roman"/>
          <w:lang w:val="en-US"/>
        </w:rPr>
        <w:t>. P</w:t>
      </w:r>
      <w:r w:rsidR="0002600D">
        <w:rPr>
          <w:rFonts w:ascii="Times New Roman" w:hAnsi="Times New Roman" w:cs="Times New Roman"/>
          <w:lang w:val="en-US"/>
        </w:rPr>
        <w:t xml:space="preserve">atients with a poor clinical status on admission </w:t>
      </w:r>
      <w:r w:rsidR="003D025E">
        <w:rPr>
          <w:rFonts w:ascii="Times New Roman" w:hAnsi="Times New Roman" w:cs="Times New Roman"/>
          <w:lang w:val="en-US"/>
        </w:rPr>
        <w:t>(HH</w:t>
      </w:r>
      <w:r w:rsidR="003D025E" w:rsidRPr="00FB1DAC">
        <w:rPr>
          <w:rFonts w:ascii="Times New Roman" w:hAnsi="Times New Roman" w:cs="Times New Roman"/>
          <w:vertAlign w:val="subscript"/>
          <w:lang w:val="en-US"/>
        </w:rPr>
        <w:t>4-5</w:t>
      </w:r>
      <w:r w:rsidR="003D025E">
        <w:rPr>
          <w:rFonts w:ascii="Times New Roman" w:hAnsi="Times New Roman" w:cs="Times New Roman"/>
          <w:lang w:val="en-US"/>
        </w:rPr>
        <w:t xml:space="preserve">) </w:t>
      </w:r>
      <w:r w:rsidR="0002600D">
        <w:rPr>
          <w:rFonts w:ascii="Times New Roman" w:hAnsi="Times New Roman" w:cs="Times New Roman"/>
          <w:lang w:val="en-US"/>
        </w:rPr>
        <w:t>exhibited significantly higher cDPP3 levels throughout the whole observation period</w:t>
      </w:r>
      <w:r w:rsidR="009F09E0">
        <w:rPr>
          <w:rFonts w:ascii="Times New Roman" w:hAnsi="Times New Roman" w:cs="Times New Roman"/>
          <w:lang w:val="en-US"/>
        </w:rPr>
        <w:t xml:space="preserve"> (see </w:t>
      </w:r>
      <w:r w:rsidR="00AE25E2" w:rsidRPr="00AE25E2">
        <w:rPr>
          <w:rFonts w:ascii="Times New Roman" w:hAnsi="Times New Roman" w:cs="Times New Roman"/>
          <w:lang w:val="en-US"/>
        </w:rPr>
        <w:t xml:space="preserve">also </w:t>
      </w:r>
      <w:r w:rsidR="00AE25E2" w:rsidRPr="00AE25E2">
        <w:rPr>
          <w:rFonts w:ascii="Times New Roman" w:hAnsi="Times New Roman" w:cs="Times New Roman"/>
          <w:b/>
          <w:lang w:val="en-US"/>
        </w:rPr>
        <w:t>Tab</w:t>
      </w:r>
      <w:r w:rsidR="00AE25E2">
        <w:rPr>
          <w:rFonts w:ascii="Times New Roman" w:hAnsi="Times New Roman" w:cs="Times New Roman"/>
          <w:b/>
          <w:lang w:val="en-US"/>
        </w:rPr>
        <w:t>le</w:t>
      </w:r>
      <w:r w:rsidR="00AE25E2" w:rsidRPr="00AE25E2">
        <w:rPr>
          <w:rFonts w:ascii="Times New Roman" w:hAnsi="Times New Roman" w:cs="Times New Roman"/>
          <w:b/>
          <w:lang w:val="en-US"/>
        </w:rPr>
        <w:t xml:space="preserve"> 2</w:t>
      </w:r>
      <w:r w:rsidR="00AE25E2" w:rsidRPr="00AE25E2">
        <w:rPr>
          <w:rFonts w:ascii="Times New Roman" w:hAnsi="Times New Roman" w:cs="Times New Roman"/>
          <w:lang w:val="en-US"/>
        </w:rPr>
        <w:t xml:space="preserve"> &amp; </w:t>
      </w:r>
      <w:r w:rsidR="00AE25E2" w:rsidRPr="00AE25E2">
        <w:rPr>
          <w:rFonts w:ascii="Times New Roman" w:hAnsi="Times New Roman" w:cs="Times New Roman"/>
          <w:b/>
          <w:lang w:val="en-US"/>
        </w:rPr>
        <w:t>3</w:t>
      </w:r>
      <w:r w:rsidR="009F09E0">
        <w:rPr>
          <w:rFonts w:ascii="Times New Roman" w:hAnsi="Times New Roman" w:cs="Times New Roman"/>
          <w:lang w:val="en-US"/>
        </w:rPr>
        <w:t>)</w:t>
      </w:r>
      <w:r w:rsidR="00E5219B">
        <w:rPr>
          <w:rFonts w:ascii="Times New Roman" w:hAnsi="Times New Roman" w:cs="Times New Roman"/>
          <w:lang w:val="en-US"/>
        </w:rPr>
        <w:t xml:space="preserve">. </w:t>
      </w:r>
      <w:r w:rsidR="003D025E">
        <w:rPr>
          <w:rFonts w:ascii="Times New Roman" w:hAnsi="Times New Roman" w:cs="Times New Roman"/>
          <w:lang w:val="en-US"/>
        </w:rPr>
        <w:t xml:space="preserve">For example, the median cDPP3 level on day 5-8 was 8.9 (7.2-10.5) ng/ml in patients with a good clinical status compared to 11.6 (9.5-16.8) ng/ml in </w:t>
      </w:r>
      <w:r w:rsidR="003D025E">
        <w:rPr>
          <w:rFonts w:ascii="Times New Roman" w:hAnsi="Times New Roman" w:cs="Times New Roman"/>
          <w:lang w:val="en-US"/>
        </w:rPr>
        <w:lastRenderedPageBreak/>
        <w:t xml:space="preserve">patients with a poor clinical status (p&lt;0.001). </w:t>
      </w:r>
      <w:r w:rsidR="002E40DE">
        <w:rPr>
          <w:rFonts w:ascii="Times New Roman" w:hAnsi="Times New Roman" w:cs="Times New Roman"/>
          <w:lang w:val="en-US"/>
        </w:rPr>
        <w:t>Additionally</w:t>
      </w:r>
      <w:r w:rsidR="00E5219B">
        <w:rPr>
          <w:rFonts w:ascii="Times New Roman" w:hAnsi="Times New Roman" w:cs="Times New Roman"/>
          <w:lang w:val="en-US"/>
        </w:rPr>
        <w:t>,</w:t>
      </w:r>
      <w:r w:rsidR="00397617">
        <w:rPr>
          <w:rFonts w:ascii="Times New Roman" w:hAnsi="Times New Roman" w:cs="Times New Roman"/>
          <w:lang w:val="en-US"/>
        </w:rPr>
        <w:t xml:space="preserve"> there was a highly significant correlation </w:t>
      </w:r>
      <w:r w:rsidR="00165E0B">
        <w:rPr>
          <w:rFonts w:ascii="Times New Roman" w:hAnsi="Times New Roman" w:cs="Times New Roman"/>
          <w:lang w:val="en-US"/>
        </w:rPr>
        <w:t>(</w:t>
      </w:r>
      <w:r w:rsidR="00CB2C7D">
        <w:rPr>
          <w:rFonts w:ascii="Times New Roman" w:hAnsi="Times New Roman" w:cs="Times New Roman"/>
          <w:lang w:val="en-US"/>
        </w:rPr>
        <w:t>Spearman r</w:t>
      </w:r>
      <w:r w:rsidR="00165E0B">
        <w:rPr>
          <w:rFonts w:ascii="Times New Roman" w:hAnsi="Times New Roman" w:cs="Times New Roman"/>
          <w:lang w:val="en-US"/>
        </w:rPr>
        <w:t xml:space="preserve">=0.369, p&lt;0.001) </w:t>
      </w:r>
      <w:r w:rsidR="00397617">
        <w:rPr>
          <w:rFonts w:ascii="Times New Roman" w:hAnsi="Times New Roman" w:cs="Times New Roman"/>
          <w:lang w:val="en-US"/>
        </w:rPr>
        <w:t xml:space="preserve">between cDPP3 levels on day 5-8 and HH score </w:t>
      </w:r>
      <w:r w:rsidR="00165E0B">
        <w:rPr>
          <w:rFonts w:ascii="Times New Roman" w:hAnsi="Times New Roman" w:cs="Times New Roman"/>
          <w:lang w:val="en-US"/>
        </w:rPr>
        <w:t>(</w:t>
      </w:r>
      <w:r w:rsidR="00165E0B" w:rsidRPr="00165E0B">
        <w:rPr>
          <w:rFonts w:ascii="Times New Roman" w:hAnsi="Times New Roman" w:cs="Times New Roman"/>
          <w:b/>
          <w:lang w:val="en-US"/>
        </w:rPr>
        <w:t>Suppl. Tab</w:t>
      </w:r>
      <w:r w:rsidR="00CB2C7D">
        <w:rPr>
          <w:rFonts w:ascii="Times New Roman" w:hAnsi="Times New Roman" w:cs="Times New Roman"/>
          <w:b/>
          <w:lang w:val="en-US"/>
        </w:rPr>
        <w:t>le</w:t>
      </w:r>
      <w:r w:rsidR="00165E0B" w:rsidRPr="00165E0B">
        <w:rPr>
          <w:rFonts w:ascii="Times New Roman" w:hAnsi="Times New Roman" w:cs="Times New Roman"/>
          <w:b/>
          <w:lang w:val="en-US"/>
        </w:rPr>
        <w:t xml:space="preserve"> 1</w:t>
      </w:r>
      <w:r w:rsidR="00165E0B">
        <w:rPr>
          <w:rFonts w:ascii="Times New Roman" w:hAnsi="Times New Roman" w:cs="Times New Roman"/>
          <w:lang w:val="en-US"/>
        </w:rPr>
        <w:t>).</w:t>
      </w:r>
      <w:r w:rsidR="0002600D">
        <w:rPr>
          <w:rFonts w:ascii="Times New Roman" w:hAnsi="Times New Roman" w:cs="Times New Roman"/>
          <w:lang w:val="en-US"/>
        </w:rPr>
        <w:t xml:space="preserve"> </w:t>
      </w:r>
      <w:r w:rsidR="003D025E">
        <w:rPr>
          <w:rFonts w:ascii="Times New Roman" w:hAnsi="Times New Roman" w:cs="Times New Roman"/>
          <w:lang w:val="en-US"/>
        </w:rPr>
        <w:t xml:space="preserve">Although </w:t>
      </w:r>
      <w:r w:rsidR="009F09E0">
        <w:rPr>
          <w:rFonts w:ascii="Times New Roman" w:hAnsi="Times New Roman" w:cs="Times New Roman"/>
          <w:lang w:val="en-US"/>
        </w:rPr>
        <w:t>cDPP3 levels in p</w:t>
      </w:r>
      <w:r w:rsidR="0002600D">
        <w:rPr>
          <w:rFonts w:ascii="Times New Roman" w:hAnsi="Times New Roman" w:cs="Times New Roman"/>
          <w:lang w:val="en-US"/>
        </w:rPr>
        <w:t xml:space="preserve">atients with a poor radiological status on admission </w:t>
      </w:r>
      <w:r w:rsidR="001E10A6">
        <w:rPr>
          <w:rFonts w:ascii="Times New Roman" w:hAnsi="Times New Roman" w:cs="Times New Roman"/>
          <w:lang w:val="en-US"/>
        </w:rPr>
        <w:t>(mFS</w:t>
      </w:r>
      <w:r w:rsidR="00707E30" w:rsidRPr="00C14673">
        <w:rPr>
          <w:rFonts w:ascii="Times New Roman" w:hAnsi="Times New Roman" w:cs="Times New Roman"/>
          <w:vertAlign w:val="subscript"/>
          <w:lang w:val="en-US"/>
        </w:rPr>
        <w:t>3-4</w:t>
      </w:r>
      <w:r w:rsidR="001E10A6">
        <w:rPr>
          <w:rFonts w:ascii="Times New Roman" w:hAnsi="Times New Roman" w:cs="Times New Roman"/>
          <w:lang w:val="en-US"/>
        </w:rPr>
        <w:t xml:space="preserve">) </w:t>
      </w:r>
      <w:r w:rsidR="009F09E0">
        <w:rPr>
          <w:rFonts w:ascii="Times New Roman" w:hAnsi="Times New Roman" w:cs="Times New Roman"/>
          <w:lang w:val="en-US"/>
        </w:rPr>
        <w:t>tended to be higher</w:t>
      </w:r>
      <w:r w:rsidR="0002600D">
        <w:rPr>
          <w:rFonts w:ascii="Times New Roman" w:hAnsi="Times New Roman" w:cs="Times New Roman"/>
          <w:lang w:val="en-US"/>
        </w:rPr>
        <w:t xml:space="preserve"> as well</w:t>
      </w:r>
      <w:r w:rsidR="009F09E0">
        <w:rPr>
          <w:rFonts w:ascii="Times New Roman" w:hAnsi="Times New Roman" w:cs="Times New Roman"/>
          <w:lang w:val="en-US"/>
        </w:rPr>
        <w:t xml:space="preserve"> (</w:t>
      </w:r>
      <w:r w:rsidR="009F09E0" w:rsidRPr="009F09E0">
        <w:rPr>
          <w:rFonts w:ascii="Times New Roman" w:hAnsi="Times New Roman" w:cs="Times New Roman"/>
          <w:b/>
          <w:lang w:val="en-US"/>
        </w:rPr>
        <w:t xml:space="preserve">Fig. </w:t>
      </w:r>
      <w:r w:rsidR="002C5F14">
        <w:rPr>
          <w:rFonts w:ascii="Times New Roman" w:hAnsi="Times New Roman" w:cs="Times New Roman"/>
          <w:b/>
          <w:lang w:val="en-US"/>
        </w:rPr>
        <w:t>2</w:t>
      </w:r>
      <w:r w:rsidR="002C5F14" w:rsidRPr="009F09E0">
        <w:rPr>
          <w:rFonts w:ascii="Times New Roman" w:hAnsi="Times New Roman" w:cs="Times New Roman"/>
          <w:b/>
          <w:lang w:val="en-US"/>
        </w:rPr>
        <w:t>C</w:t>
      </w:r>
      <w:r w:rsidR="009F09E0">
        <w:rPr>
          <w:rFonts w:ascii="Times New Roman" w:hAnsi="Times New Roman" w:cs="Times New Roman"/>
          <w:lang w:val="en-US"/>
        </w:rPr>
        <w:t>)</w:t>
      </w:r>
      <w:r w:rsidR="0002600D">
        <w:rPr>
          <w:rFonts w:ascii="Times New Roman" w:hAnsi="Times New Roman" w:cs="Times New Roman"/>
          <w:lang w:val="en-US"/>
        </w:rPr>
        <w:t xml:space="preserve">, the differences </w:t>
      </w:r>
      <w:r>
        <w:rPr>
          <w:rFonts w:ascii="Times New Roman" w:hAnsi="Times New Roman" w:cs="Times New Roman"/>
          <w:lang w:val="en-US"/>
        </w:rPr>
        <w:t xml:space="preserve">were </w:t>
      </w:r>
      <w:r w:rsidR="0002600D">
        <w:rPr>
          <w:rFonts w:ascii="Times New Roman" w:hAnsi="Times New Roman" w:cs="Times New Roman"/>
          <w:lang w:val="en-US"/>
        </w:rPr>
        <w:t>much less evident and only significant during parts of the critical phase</w:t>
      </w:r>
      <w:r w:rsidR="00C14673">
        <w:rPr>
          <w:rFonts w:ascii="Times New Roman" w:hAnsi="Times New Roman" w:cs="Times New Roman"/>
          <w:lang w:val="en-US"/>
        </w:rPr>
        <w:t xml:space="preserve"> (CP</w:t>
      </w:r>
      <w:r w:rsidR="00C14673" w:rsidRPr="00310B17">
        <w:rPr>
          <w:rFonts w:ascii="Times New Roman" w:hAnsi="Times New Roman" w:cs="Times New Roman"/>
          <w:vertAlign w:val="subscript"/>
          <w:lang w:val="en-US"/>
        </w:rPr>
        <w:t>d</w:t>
      </w:r>
      <w:r w:rsidR="00DB17BA" w:rsidRPr="00310B17">
        <w:rPr>
          <w:rFonts w:ascii="Times New Roman" w:hAnsi="Times New Roman" w:cs="Times New Roman"/>
          <w:vertAlign w:val="subscript"/>
          <w:lang w:val="en-US"/>
        </w:rPr>
        <w:t>5-8</w:t>
      </w:r>
      <w:r w:rsidR="00C14673">
        <w:rPr>
          <w:rFonts w:ascii="Times New Roman" w:hAnsi="Times New Roman" w:cs="Times New Roman"/>
          <w:lang w:val="en-US"/>
        </w:rPr>
        <w:t>: p=0.039</w:t>
      </w:r>
      <w:r w:rsidR="00DB17BA">
        <w:rPr>
          <w:rFonts w:ascii="Times New Roman" w:hAnsi="Times New Roman" w:cs="Times New Roman"/>
          <w:lang w:val="en-US"/>
        </w:rPr>
        <w:t>, CP</w:t>
      </w:r>
      <w:r w:rsidR="00DB17BA" w:rsidRPr="00310B17">
        <w:rPr>
          <w:rFonts w:ascii="Times New Roman" w:hAnsi="Times New Roman" w:cs="Times New Roman"/>
          <w:vertAlign w:val="subscript"/>
          <w:lang w:val="en-US"/>
        </w:rPr>
        <w:t>d9-12</w:t>
      </w:r>
      <w:r w:rsidR="00DB17BA">
        <w:rPr>
          <w:rFonts w:ascii="Times New Roman" w:hAnsi="Times New Roman" w:cs="Times New Roman"/>
          <w:lang w:val="en-US"/>
        </w:rPr>
        <w:t>: p=0.012)</w:t>
      </w:r>
      <w:r w:rsidR="009F09E0">
        <w:rPr>
          <w:rFonts w:ascii="Times New Roman" w:hAnsi="Times New Roman" w:cs="Times New Roman"/>
          <w:lang w:val="en-US"/>
        </w:rPr>
        <w:t xml:space="preserve"> (</w:t>
      </w:r>
      <w:r w:rsidR="009F09E0" w:rsidRPr="009F09E0">
        <w:rPr>
          <w:rFonts w:ascii="Times New Roman" w:hAnsi="Times New Roman" w:cs="Times New Roman"/>
          <w:b/>
          <w:lang w:val="en-US"/>
        </w:rPr>
        <w:t xml:space="preserve">Fig. </w:t>
      </w:r>
      <w:r w:rsidR="002C5F14">
        <w:rPr>
          <w:rFonts w:ascii="Times New Roman" w:hAnsi="Times New Roman" w:cs="Times New Roman"/>
          <w:b/>
          <w:lang w:val="en-US"/>
        </w:rPr>
        <w:t>2</w:t>
      </w:r>
      <w:r w:rsidR="002C5F14" w:rsidRPr="009F09E0">
        <w:rPr>
          <w:rFonts w:ascii="Times New Roman" w:hAnsi="Times New Roman" w:cs="Times New Roman"/>
          <w:b/>
          <w:lang w:val="en-US"/>
        </w:rPr>
        <w:t>D</w:t>
      </w:r>
      <w:r w:rsidR="009F09E0">
        <w:rPr>
          <w:rFonts w:ascii="Times New Roman" w:hAnsi="Times New Roman" w:cs="Times New Roman"/>
          <w:lang w:val="en-US"/>
        </w:rPr>
        <w:t xml:space="preserve">, </w:t>
      </w:r>
      <w:r w:rsidR="009F09E0" w:rsidRPr="009F09E0">
        <w:rPr>
          <w:rFonts w:ascii="Times New Roman" w:hAnsi="Times New Roman" w:cs="Times New Roman"/>
          <w:b/>
          <w:lang w:val="en-US"/>
        </w:rPr>
        <w:t>Tab. 3</w:t>
      </w:r>
      <w:r w:rsidR="009F09E0">
        <w:rPr>
          <w:rFonts w:ascii="Times New Roman" w:hAnsi="Times New Roman" w:cs="Times New Roman"/>
          <w:lang w:val="en-US"/>
        </w:rPr>
        <w:t>)</w:t>
      </w:r>
      <w:r w:rsidR="00165E0B">
        <w:rPr>
          <w:rFonts w:ascii="Times New Roman" w:hAnsi="Times New Roman" w:cs="Times New Roman"/>
          <w:lang w:val="en-US"/>
        </w:rPr>
        <w:t>. In addition</w:t>
      </w:r>
      <w:r w:rsidR="00E675E8">
        <w:rPr>
          <w:rFonts w:ascii="Times New Roman" w:hAnsi="Times New Roman" w:cs="Times New Roman"/>
          <w:lang w:val="en-US"/>
        </w:rPr>
        <w:t>,</w:t>
      </w:r>
      <w:r w:rsidR="00165E0B">
        <w:rPr>
          <w:rFonts w:ascii="Times New Roman" w:hAnsi="Times New Roman" w:cs="Times New Roman"/>
          <w:lang w:val="en-US"/>
        </w:rPr>
        <w:t xml:space="preserve"> there was no correlation between </w:t>
      </w:r>
      <w:proofErr w:type="spellStart"/>
      <w:r w:rsidR="00165E0B">
        <w:rPr>
          <w:rFonts w:ascii="Times New Roman" w:hAnsi="Times New Roman" w:cs="Times New Roman"/>
          <w:lang w:val="en-US"/>
        </w:rPr>
        <w:t>mFS</w:t>
      </w:r>
      <w:proofErr w:type="spellEnd"/>
      <w:r w:rsidR="00165E0B">
        <w:rPr>
          <w:rFonts w:ascii="Times New Roman" w:hAnsi="Times New Roman" w:cs="Times New Roman"/>
          <w:lang w:val="en-US"/>
        </w:rPr>
        <w:t xml:space="preserve"> scores and cDPP3 levels during any of the time-points examined</w:t>
      </w:r>
      <w:r w:rsidR="001E10A6">
        <w:rPr>
          <w:rFonts w:ascii="Times New Roman" w:hAnsi="Times New Roman" w:cs="Times New Roman"/>
          <w:lang w:val="en-US"/>
        </w:rPr>
        <w:t xml:space="preserve"> (</w:t>
      </w:r>
      <w:r w:rsidR="001E10A6" w:rsidRPr="001E10A6">
        <w:rPr>
          <w:rFonts w:ascii="Times New Roman" w:hAnsi="Times New Roman" w:cs="Times New Roman"/>
          <w:b/>
          <w:lang w:val="en-US"/>
        </w:rPr>
        <w:t>Suppl. Tab</w:t>
      </w:r>
      <w:r w:rsidR="00CB2C7D">
        <w:rPr>
          <w:rFonts w:ascii="Times New Roman" w:hAnsi="Times New Roman" w:cs="Times New Roman"/>
          <w:b/>
          <w:lang w:val="en-US"/>
        </w:rPr>
        <w:t>le</w:t>
      </w:r>
      <w:r w:rsidR="001E10A6" w:rsidRPr="001E10A6">
        <w:rPr>
          <w:rFonts w:ascii="Times New Roman" w:hAnsi="Times New Roman" w:cs="Times New Roman"/>
          <w:b/>
          <w:lang w:val="en-US"/>
        </w:rPr>
        <w:t xml:space="preserve"> 1</w:t>
      </w:r>
      <w:r w:rsidR="001E10A6">
        <w:rPr>
          <w:rFonts w:ascii="Times New Roman" w:hAnsi="Times New Roman" w:cs="Times New Roman"/>
          <w:lang w:val="en-US"/>
        </w:rPr>
        <w:t>)</w:t>
      </w:r>
      <w:r w:rsidR="00165E0B">
        <w:rPr>
          <w:rFonts w:ascii="Times New Roman" w:hAnsi="Times New Roman" w:cs="Times New Roman"/>
          <w:lang w:val="en-US"/>
        </w:rPr>
        <w:t>.</w:t>
      </w:r>
    </w:p>
    <w:p w14:paraId="1DA4FE90" w14:textId="77777777" w:rsidR="000852A4" w:rsidRDefault="00DF7C21" w:rsidP="000852A4">
      <w:pPr>
        <w:spacing w:after="0" w:line="360" w:lineRule="auto"/>
        <w:jc w:val="both"/>
        <w:rPr>
          <w:rFonts w:ascii="Times New Roman" w:hAnsi="Times New Roman" w:cs="Times New Roman"/>
          <w:b/>
          <w:lang w:val="en-US"/>
        </w:rPr>
      </w:pPr>
      <w:r>
        <w:rPr>
          <w:rFonts w:ascii="Times New Roman" w:hAnsi="Times New Roman" w:cs="Times New Roman"/>
          <w:b/>
          <w:lang w:val="en-US"/>
        </w:rPr>
        <w:t xml:space="preserve">2.3.2. </w:t>
      </w:r>
      <w:r w:rsidR="0002600D">
        <w:rPr>
          <w:rFonts w:ascii="Times New Roman" w:hAnsi="Times New Roman" w:cs="Times New Roman"/>
          <w:b/>
          <w:lang w:val="en-US"/>
        </w:rPr>
        <w:t>Relation between cDPP3 levels, DCI and DCI-related infarctions</w:t>
      </w:r>
    </w:p>
    <w:p w14:paraId="6FA44A89" w14:textId="649BEC4D" w:rsidR="00CC3F3A" w:rsidRDefault="009E6785" w:rsidP="007439B3">
      <w:pPr>
        <w:spacing w:after="120" w:line="360" w:lineRule="auto"/>
        <w:jc w:val="both"/>
        <w:rPr>
          <w:rFonts w:ascii="Times New Roman" w:hAnsi="Times New Roman" w:cs="Times New Roman"/>
          <w:lang w:val="en-US"/>
        </w:rPr>
      </w:pPr>
      <w:r w:rsidRPr="00DF7C21">
        <w:rPr>
          <w:rFonts w:ascii="Times New Roman" w:hAnsi="Times New Roman" w:cs="Times New Roman"/>
          <w:b/>
          <w:lang w:val="en-US"/>
        </w:rPr>
        <w:t xml:space="preserve">Fig. </w:t>
      </w:r>
      <w:r w:rsidR="002C5F14">
        <w:rPr>
          <w:rFonts w:ascii="Times New Roman" w:hAnsi="Times New Roman" w:cs="Times New Roman"/>
          <w:b/>
          <w:lang w:val="en-US"/>
        </w:rPr>
        <w:t>3</w:t>
      </w:r>
      <w:r w:rsidR="002C5F14" w:rsidRPr="00DF7C21">
        <w:rPr>
          <w:rFonts w:ascii="Times New Roman" w:hAnsi="Times New Roman" w:cs="Times New Roman"/>
          <w:b/>
          <w:lang w:val="en-US"/>
        </w:rPr>
        <w:t>A</w:t>
      </w:r>
      <w:r w:rsidR="002C5F14">
        <w:rPr>
          <w:rFonts w:ascii="Times New Roman" w:hAnsi="Times New Roman" w:cs="Times New Roman"/>
          <w:lang w:val="en-US"/>
        </w:rPr>
        <w:t xml:space="preserve"> </w:t>
      </w:r>
      <w:r>
        <w:rPr>
          <w:rFonts w:ascii="Times New Roman" w:hAnsi="Times New Roman" w:cs="Times New Roman"/>
          <w:lang w:val="en-US"/>
        </w:rPr>
        <w:t xml:space="preserve">&amp; </w:t>
      </w:r>
      <w:r w:rsidRPr="00DF7C21">
        <w:rPr>
          <w:rFonts w:ascii="Times New Roman" w:hAnsi="Times New Roman" w:cs="Times New Roman"/>
          <w:b/>
          <w:lang w:val="en-US"/>
        </w:rPr>
        <w:t>B</w:t>
      </w:r>
      <w:r>
        <w:rPr>
          <w:rFonts w:ascii="Times New Roman" w:hAnsi="Times New Roman" w:cs="Times New Roman"/>
          <w:lang w:val="en-US"/>
        </w:rPr>
        <w:t xml:space="preserve"> compare cDPP3 levels in patients with or with</w:t>
      </w:r>
      <w:r w:rsidR="00D809CA">
        <w:rPr>
          <w:rFonts w:ascii="Times New Roman" w:hAnsi="Times New Roman" w:cs="Times New Roman"/>
          <w:lang w:val="en-US"/>
        </w:rPr>
        <w:t>out</w:t>
      </w:r>
      <w:r>
        <w:rPr>
          <w:rFonts w:ascii="Times New Roman" w:hAnsi="Times New Roman" w:cs="Times New Roman"/>
          <w:lang w:val="en-US"/>
        </w:rPr>
        <w:t xml:space="preserve"> DCI. </w:t>
      </w:r>
      <w:r w:rsidR="00165E0B">
        <w:rPr>
          <w:rFonts w:ascii="Times New Roman" w:hAnsi="Times New Roman" w:cs="Times New Roman"/>
          <w:lang w:val="en-US"/>
        </w:rPr>
        <w:t>T</w:t>
      </w:r>
      <w:r>
        <w:rPr>
          <w:rFonts w:ascii="Times New Roman" w:hAnsi="Times New Roman" w:cs="Times New Roman"/>
          <w:lang w:val="en-US"/>
        </w:rPr>
        <w:t xml:space="preserve">here was little difference between the two groups during the early phase </w:t>
      </w:r>
      <w:r w:rsidR="00165E0B">
        <w:rPr>
          <w:rFonts w:ascii="Times New Roman" w:hAnsi="Times New Roman" w:cs="Times New Roman"/>
          <w:lang w:val="en-US"/>
        </w:rPr>
        <w:t xml:space="preserve">and </w:t>
      </w:r>
      <w:r>
        <w:rPr>
          <w:rFonts w:ascii="Times New Roman" w:hAnsi="Times New Roman" w:cs="Times New Roman"/>
          <w:lang w:val="en-US"/>
        </w:rPr>
        <w:t xml:space="preserve">cDPP3 levels in patients </w:t>
      </w:r>
      <w:r w:rsidR="00165E0B">
        <w:rPr>
          <w:rFonts w:ascii="Times New Roman" w:hAnsi="Times New Roman" w:cs="Times New Roman"/>
          <w:lang w:val="en-US"/>
        </w:rPr>
        <w:t xml:space="preserve">without DCI showed </w:t>
      </w:r>
      <w:r w:rsidR="00D809CA">
        <w:rPr>
          <w:rFonts w:ascii="Times New Roman" w:hAnsi="Times New Roman" w:cs="Times New Roman"/>
          <w:lang w:val="en-US"/>
        </w:rPr>
        <w:t>almost no</w:t>
      </w:r>
      <w:r w:rsidR="00165E0B">
        <w:rPr>
          <w:rFonts w:ascii="Times New Roman" w:hAnsi="Times New Roman" w:cs="Times New Roman"/>
          <w:lang w:val="en-US"/>
        </w:rPr>
        <w:t xml:space="preserve"> changes over time. In contrast, cDPP3 levels in patients </w:t>
      </w:r>
      <w:r>
        <w:rPr>
          <w:rFonts w:ascii="Times New Roman" w:hAnsi="Times New Roman" w:cs="Times New Roman"/>
          <w:lang w:val="en-US"/>
        </w:rPr>
        <w:t xml:space="preserve">that developed DCI increased </w:t>
      </w:r>
      <w:r w:rsidR="00165E0B">
        <w:rPr>
          <w:rFonts w:ascii="Times New Roman" w:hAnsi="Times New Roman" w:cs="Times New Roman"/>
          <w:lang w:val="en-US"/>
        </w:rPr>
        <w:t>to significantly higher levels on day 5-8</w:t>
      </w:r>
      <w:r w:rsidR="00DB17BA">
        <w:rPr>
          <w:rFonts w:ascii="Times New Roman" w:hAnsi="Times New Roman" w:cs="Times New Roman"/>
          <w:lang w:val="en-US"/>
        </w:rPr>
        <w:t xml:space="preserve"> (</w:t>
      </w:r>
      <w:r w:rsidR="00C229D9">
        <w:rPr>
          <w:rFonts w:ascii="Times New Roman" w:hAnsi="Times New Roman" w:cs="Times New Roman"/>
          <w:lang w:val="en-US"/>
        </w:rPr>
        <w:t xml:space="preserve">10.5 ng/ml </w:t>
      </w:r>
      <w:r w:rsidR="00C229D9" w:rsidRPr="00C229D9">
        <w:rPr>
          <w:rFonts w:ascii="Times New Roman" w:hAnsi="Times New Roman" w:cs="Times New Roman"/>
          <w:i/>
          <w:lang w:val="en-US"/>
        </w:rPr>
        <w:t>vs.</w:t>
      </w:r>
      <w:r w:rsidR="00C229D9">
        <w:rPr>
          <w:rFonts w:ascii="Times New Roman" w:hAnsi="Times New Roman" w:cs="Times New Roman"/>
          <w:lang w:val="en-US"/>
        </w:rPr>
        <w:t xml:space="preserve"> 8.8 ng/ml in patients without DCI, </w:t>
      </w:r>
      <w:r w:rsidR="00DB17BA">
        <w:rPr>
          <w:rFonts w:ascii="Times New Roman" w:hAnsi="Times New Roman" w:cs="Times New Roman"/>
          <w:lang w:val="en-US"/>
        </w:rPr>
        <w:t>p=0.001)</w:t>
      </w:r>
      <w:r w:rsidR="00165E0B">
        <w:rPr>
          <w:rFonts w:ascii="Times New Roman" w:hAnsi="Times New Roman" w:cs="Times New Roman"/>
          <w:lang w:val="en-US"/>
        </w:rPr>
        <w:t xml:space="preserve"> and 9-12 </w:t>
      </w:r>
      <w:r w:rsidR="00DB17BA">
        <w:rPr>
          <w:rFonts w:ascii="Times New Roman" w:hAnsi="Times New Roman" w:cs="Times New Roman"/>
          <w:lang w:val="en-US"/>
        </w:rPr>
        <w:t>(</w:t>
      </w:r>
      <w:r w:rsidR="00C229D9">
        <w:rPr>
          <w:rFonts w:ascii="Times New Roman" w:hAnsi="Times New Roman" w:cs="Times New Roman"/>
          <w:lang w:val="en-US"/>
        </w:rPr>
        <w:t xml:space="preserve">12.7 ng/ml </w:t>
      </w:r>
      <w:r w:rsidR="00C229D9" w:rsidRPr="00C229D9">
        <w:rPr>
          <w:rFonts w:ascii="Times New Roman" w:hAnsi="Times New Roman" w:cs="Times New Roman"/>
          <w:i/>
          <w:lang w:val="en-US"/>
        </w:rPr>
        <w:t>vs.</w:t>
      </w:r>
      <w:r w:rsidR="00C229D9">
        <w:rPr>
          <w:rFonts w:ascii="Times New Roman" w:hAnsi="Times New Roman" w:cs="Times New Roman"/>
          <w:lang w:val="en-US"/>
        </w:rPr>
        <w:t xml:space="preserve"> 8.9 ng/ml in patients without DCI, </w:t>
      </w:r>
      <w:r w:rsidR="00DB17BA">
        <w:rPr>
          <w:rFonts w:ascii="Times New Roman" w:hAnsi="Times New Roman" w:cs="Times New Roman"/>
          <w:lang w:val="en-US"/>
        </w:rPr>
        <w:t xml:space="preserve">p&lt;0.001) </w:t>
      </w:r>
      <w:r w:rsidR="00165E0B">
        <w:rPr>
          <w:rFonts w:ascii="Times New Roman" w:hAnsi="Times New Roman" w:cs="Times New Roman"/>
          <w:lang w:val="en-US"/>
        </w:rPr>
        <w:t xml:space="preserve">after </w:t>
      </w:r>
      <w:r w:rsidR="007C369E">
        <w:rPr>
          <w:rFonts w:ascii="Times New Roman" w:hAnsi="Times New Roman" w:cs="Times New Roman"/>
          <w:lang w:val="en-US"/>
        </w:rPr>
        <w:t>a</w:t>
      </w:r>
      <w:r w:rsidR="00165E0B">
        <w:rPr>
          <w:rFonts w:ascii="Times New Roman" w:hAnsi="Times New Roman" w:cs="Times New Roman"/>
          <w:lang w:val="en-US"/>
        </w:rPr>
        <w:t xml:space="preserve">SAH onset </w:t>
      </w:r>
      <w:r w:rsidR="007439B3">
        <w:rPr>
          <w:rFonts w:ascii="Times New Roman" w:hAnsi="Times New Roman" w:cs="Times New Roman"/>
          <w:lang w:val="en-US"/>
        </w:rPr>
        <w:t xml:space="preserve">and remained significantly elevated </w:t>
      </w:r>
      <w:r>
        <w:rPr>
          <w:rFonts w:ascii="Times New Roman" w:hAnsi="Times New Roman" w:cs="Times New Roman"/>
          <w:lang w:val="en-US"/>
        </w:rPr>
        <w:t xml:space="preserve">during the </w:t>
      </w:r>
      <w:r w:rsidR="007439B3">
        <w:rPr>
          <w:rFonts w:ascii="Times New Roman" w:hAnsi="Times New Roman" w:cs="Times New Roman"/>
          <w:lang w:val="en-US"/>
        </w:rPr>
        <w:t xml:space="preserve">remaining </w:t>
      </w:r>
      <w:r>
        <w:rPr>
          <w:rFonts w:ascii="Times New Roman" w:hAnsi="Times New Roman" w:cs="Times New Roman"/>
          <w:lang w:val="en-US"/>
        </w:rPr>
        <w:t xml:space="preserve">critical </w:t>
      </w:r>
      <w:r w:rsidR="00DB17BA">
        <w:rPr>
          <w:rFonts w:ascii="Times New Roman" w:hAnsi="Times New Roman" w:cs="Times New Roman"/>
          <w:lang w:val="en-US"/>
        </w:rPr>
        <w:t>(</w:t>
      </w:r>
      <w:r w:rsidR="00C229D9">
        <w:rPr>
          <w:rFonts w:ascii="Times New Roman" w:hAnsi="Times New Roman" w:cs="Times New Roman"/>
          <w:lang w:val="en-US"/>
        </w:rPr>
        <w:t xml:space="preserve">12.2 ng/ml </w:t>
      </w:r>
      <w:r w:rsidR="00C229D9" w:rsidRPr="00C229D9">
        <w:rPr>
          <w:rFonts w:ascii="Times New Roman" w:hAnsi="Times New Roman" w:cs="Times New Roman"/>
          <w:i/>
          <w:lang w:val="en-US"/>
        </w:rPr>
        <w:t>vs.</w:t>
      </w:r>
      <w:r w:rsidR="00C229D9">
        <w:rPr>
          <w:rFonts w:ascii="Times New Roman" w:hAnsi="Times New Roman" w:cs="Times New Roman"/>
          <w:lang w:val="en-US"/>
        </w:rPr>
        <w:t xml:space="preserve"> 8.4 ng/ml in patients without DCI, </w:t>
      </w:r>
      <w:r w:rsidR="00DB17BA">
        <w:rPr>
          <w:rFonts w:ascii="Times New Roman" w:hAnsi="Times New Roman" w:cs="Times New Roman"/>
          <w:lang w:val="en-US"/>
        </w:rPr>
        <w:t xml:space="preserve">p&lt;0.001) </w:t>
      </w:r>
      <w:r w:rsidR="007439B3">
        <w:rPr>
          <w:rFonts w:ascii="Times New Roman" w:hAnsi="Times New Roman" w:cs="Times New Roman"/>
          <w:lang w:val="en-US"/>
        </w:rPr>
        <w:t xml:space="preserve">and the late </w:t>
      </w:r>
      <w:r w:rsidR="00DB17BA">
        <w:rPr>
          <w:rFonts w:ascii="Times New Roman" w:hAnsi="Times New Roman" w:cs="Times New Roman"/>
          <w:lang w:val="en-US"/>
        </w:rPr>
        <w:t>(</w:t>
      </w:r>
      <w:r w:rsidR="00C229D9">
        <w:rPr>
          <w:rFonts w:ascii="Times New Roman" w:hAnsi="Times New Roman" w:cs="Times New Roman"/>
          <w:lang w:val="en-US"/>
        </w:rPr>
        <w:t xml:space="preserve">12.2 ng/ml </w:t>
      </w:r>
      <w:r w:rsidR="00C229D9" w:rsidRPr="00C229D9">
        <w:rPr>
          <w:rFonts w:ascii="Times New Roman" w:hAnsi="Times New Roman" w:cs="Times New Roman"/>
          <w:i/>
          <w:lang w:val="en-US"/>
        </w:rPr>
        <w:t>vs.</w:t>
      </w:r>
      <w:r w:rsidR="00C229D9">
        <w:rPr>
          <w:rFonts w:ascii="Times New Roman" w:hAnsi="Times New Roman" w:cs="Times New Roman"/>
          <w:lang w:val="en-US"/>
        </w:rPr>
        <w:t xml:space="preserve"> 8.4 ng/ml in patients without DCI, </w:t>
      </w:r>
      <w:r w:rsidR="00DB17BA">
        <w:rPr>
          <w:rFonts w:ascii="Times New Roman" w:hAnsi="Times New Roman" w:cs="Times New Roman"/>
          <w:lang w:val="en-US"/>
        </w:rPr>
        <w:t xml:space="preserve">p=0.010) </w:t>
      </w:r>
      <w:r>
        <w:rPr>
          <w:rFonts w:ascii="Times New Roman" w:hAnsi="Times New Roman" w:cs="Times New Roman"/>
          <w:lang w:val="en-US"/>
        </w:rPr>
        <w:t>phase</w:t>
      </w:r>
      <w:r w:rsidR="00DF7C21">
        <w:rPr>
          <w:rFonts w:ascii="Times New Roman" w:hAnsi="Times New Roman" w:cs="Times New Roman"/>
          <w:lang w:val="en-US"/>
        </w:rPr>
        <w:t xml:space="preserve"> (</w:t>
      </w:r>
      <w:r w:rsidR="00DF7C21" w:rsidRPr="00DF7C21">
        <w:rPr>
          <w:rFonts w:ascii="Times New Roman" w:hAnsi="Times New Roman" w:cs="Times New Roman"/>
          <w:b/>
          <w:lang w:val="en-US"/>
        </w:rPr>
        <w:t xml:space="preserve">Fig. </w:t>
      </w:r>
      <w:r w:rsidR="002C5F14">
        <w:rPr>
          <w:rFonts w:ascii="Times New Roman" w:hAnsi="Times New Roman" w:cs="Times New Roman"/>
          <w:b/>
          <w:lang w:val="en-US"/>
        </w:rPr>
        <w:t>3</w:t>
      </w:r>
      <w:r w:rsidR="002C5F14" w:rsidRPr="00DF7C21">
        <w:rPr>
          <w:rFonts w:ascii="Times New Roman" w:hAnsi="Times New Roman" w:cs="Times New Roman"/>
          <w:b/>
          <w:lang w:val="en-US"/>
        </w:rPr>
        <w:t>A</w:t>
      </w:r>
      <w:r w:rsidR="00DF7C21">
        <w:rPr>
          <w:rFonts w:ascii="Times New Roman" w:hAnsi="Times New Roman" w:cs="Times New Roman"/>
          <w:lang w:val="en-US"/>
        </w:rPr>
        <w:t>&amp;</w:t>
      </w:r>
      <w:r w:rsidR="00DF7C21" w:rsidRPr="00DF7C21">
        <w:rPr>
          <w:rFonts w:ascii="Times New Roman" w:hAnsi="Times New Roman" w:cs="Times New Roman"/>
          <w:b/>
          <w:lang w:val="en-US"/>
        </w:rPr>
        <w:t>B</w:t>
      </w:r>
      <w:r w:rsidR="00DF7C21">
        <w:rPr>
          <w:rFonts w:ascii="Times New Roman" w:hAnsi="Times New Roman" w:cs="Times New Roman"/>
          <w:lang w:val="en-US"/>
        </w:rPr>
        <w:t>)</w:t>
      </w:r>
      <w:r w:rsidR="007439B3">
        <w:rPr>
          <w:rFonts w:ascii="Times New Roman" w:hAnsi="Times New Roman" w:cs="Times New Roman"/>
          <w:lang w:val="en-US"/>
        </w:rPr>
        <w:t xml:space="preserve">. A more </w:t>
      </w:r>
      <w:r w:rsidR="00AE25E2">
        <w:rPr>
          <w:rFonts w:ascii="Times New Roman" w:hAnsi="Times New Roman" w:cs="Times New Roman"/>
          <w:lang w:val="en-US"/>
        </w:rPr>
        <w:t>pronounced</w:t>
      </w:r>
      <w:r w:rsidR="007439B3">
        <w:rPr>
          <w:rFonts w:ascii="Times New Roman" w:hAnsi="Times New Roman" w:cs="Times New Roman"/>
          <w:lang w:val="en-US"/>
        </w:rPr>
        <w:t xml:space="preserve"> difference was observed when comparing patients with DCI only and patients that developed a DCI-related infarction (</w:t>
      </w:r>
      <w:r w:rsidR="007439B3" w:rsidRPr="00DF7C21">
        <w:rPr>
          <w:rFonts w:ascii="Times New Roman" w:hAnsi="Times New Roman" w:cs="Times New Roman"/>
          <w:b/>
          <w:lang w:val="en-US"/>
        </w:rPr>
        <w:t xml:space="preserve">Fig. </w:t>
      </w:r>
      <w:r w:rsidR="002C5F14">
        <w:rPr>
          <w:rFonts w:ascii="Times New Roman" w:hAnsi="Times New Roman" w:cs="Times New Roman"/>
          <w:b/>
          <w:lang w:val="en-US"/>
        </w:rPr>
        <w:t>3</w:t>
      </w:r>
      <w:r w:rsidR="002C5F14" w:rsidRPr="00DF7C21">
        <w:rPr>
          <w:rFonts w:ascii="Times New Roman" w:hAnsi="Times New Roman" w:cs="Times New Roman"/>
          <w:b/>
          <w:lang w:val="en-US"/>
        </w:rPr>
        <w:t>C</w:t>
      </w:r>
      <w:r w:rsidR="002C5F14">
        <w:rPr>
          <w:rFonts w:ascii="Times New Roman" w:hAnsi="Times New Roman" w:cs="Times New Roman"/>
          <w:lang w:val="en-US"/>
        </w:rPr>
        <w:t xml:space="preserve"> </w:t>
      </w:r>
      <w:r w:rsidR="007439B3">
        <w:rPr>
          <w:rFonts w:ascii="Times New Roman" w:hAnsi="Times New Roman" w:cs="Times New Roman"/>
          <w:lang w:val="en-US"/>
        </w:rPr>
        <w:t xml:space="preserve">&amp; </w:t>
      </w:r>
      <w:r w:rsidR="007439B3" w:rsidRPr="00DF7C21">
        <w:rPr>
          <w:rFonts w:ascii="Times New Roman" w:hAnsi="Times New Roman" w:cs="Times New Roman"/>
          <w:b/>
          <w:lang w:val="en-US"/>
        </w:rPr>
        <w:t>D</w:t>
      </w:r>
      <w:r w:rsidR="007439B3">
        <w:rPr>
          <w:rFonts w:ascii="Times New Roman" w:hAnsi="Times New Roman" w:cs="Times New Roman"/>
          <w:lang w:val="en-US"/>
        </w:rPr>
        <w:t>)</w:t>
      </w:r>
      <w:r w:rsidR="00236453">
        <w:rPr>
          <w:rFonts w:ascii="Times New Roman" w:hAnsi="Times New Roman" w:cs="Times New Roman"/>
          <w:lang w:val="en-US"/>
        </w:rPr>
        <w:t>.</w:t>
      </w:r>
      <w:r w:rsidR="007439B3">
        <w:rPr>
          <w:rFonts w:ascii="Times New Roman" w:hAnsi="Times New Roman" w:cs="Times New Roman"/>
          <w:lang w:val="en-US"/>
        </w:rPr>
        <w:t xml:space="preserve"> </w:t>
      </w:r>
      <w:r w:rsidR="00FB1033">
        <w:rPr>
          <w:rFonts w:ascii="Times New Roman" w:hAnsi="Times New Roman" w:cs="Times New Roman"/>
          <w:lang w:val="en-US"/>
        </w:rPr>
        <w:t xml:space="preserve">Thus, while patients with DCI only showed little changes </w:t>
      </w:r>
      <w:r w:rsidR="00226D72">
        <w:rPr>
          <w:rFonts w:ascii="Times New Roman" w:hAnsi="Times New Roman" w:cs="Times New Roman"/>
          <w:lang w:val="en-US"/>
        </w:rPr>
        <w:t xml:space="preserve">in cDPP3 levels </w:t>
      </w:r>
      <w:r w:rsidR="00FB1033">
        <w:rPr>
          <w:rFonts w:ascii="Times New Roman" w:hAnsi="Times New Roman" w:cs="Times New Roman"/>
          <w:lang w:val="en-US"/>
        </w:rPr>
        <w:t>over time, patients with DCI-related infarction exhibited</w:t>
      </w:r>
      <w:r w:rsidR="007439B3">
        <w:rPr>
          <w:rFonts w:ascii="Times New Roman" w:hAnsi="Times New Roman" w:cs="Times New Roman"/>
          <w:lang w:val="en-US"/>
        </w:rPr>
        <w:t xml:space="preserve"> a steep increase</w:t>
      </w:r>
      <w:r w:rsidR="00C96327">
        <w:rPr>
          <w:rFonts w:ascii="Times New Roman" w:hAnsi="Times New Roman" w:cs="Times New Roman"/>
          <w:lang w:val="en-US"/>
        </w:rPr>
        <w:t xml:space="preserve"> during the critical phase</w:t>
      </w:r>
      <w:r w:rsidR="007439B3">
        <w:rPr>
          <w:rFonts w:ascii="Times New Roman" w:hAnsi="Times New Roman" w:cs="Times New Roman"/>
          <w:lang w:val="en-US"/>
        </w:rPr>
        <w:t xml:space="preserve">, which peaked on day 13-15 after </w:t>
      </w:r>
      <w:r w:rsidR="007C369E">
        <w:rPr>
          <w:rFonts w:ascii="Times New Roman" w:hAnsi="Times New Roman" w:cs="Times New Roman"/>
          <w:lang w:val="en-US"/>
        </w:rPr>
        <w:t>a</w:t>
      </w:r>
      <w:r w:rsidR="007439B3">
        <w:rPr>
          <w:rFonts w:ascii="Times New Roman" w:hAnsi="Times New Roman" w:cs="Times New Roman"/>
          <w:lang w:val="en-US"/>
        </w:rPr>
        <w:t xml:space="preserve">SAH onset and declined again during the late phase. </w:t>
      </w:r>
      <w:r w:rsidR="00CC447A">
        <w:rPr>
          <w:rFonts w:ascii="Times New Roman" w:hAnsi="Times New Roman" w:cs="Times New Roman"/>
          <w:lang w:val="en-US"/>
        </w:rPr>
        <w:t xml:space="preserve">As a consequence, median cDPP3 levels in patients with DCI-related infarction were significantly higher on day 5-8 (12.4 ng/ml </w:t>
      </w:r>
      <w:r w:rsidR="00CC447A" w:rsidRPr="00CC447A">
        <w:rPr>
          <w:rFonts w:ascii="Times New Roman" w:hAnsi="Times New Roman" w:cs="Times New Roman"/>
          <w:i/>
          <w:lang w:val="en-US"/>
        </w:rPr>
        <w:t>vs.</w:t>
      </w:r>
      <w:r w:rsidR="00CC447A">
        <w:rPr>
          <w:rFonts w:ascii="Times New Roman" w:hAnsi="Times New Roman" w:cs="Times New Roman"/>
          <w:lang w:val="en-US"/>
        </w:rPr>
        <w:t xml:space="preserve"> 10.3 ng/ml in patients with DCI only, p=0.007), day 9-12 (20.2 ng/ml </w:t>
      </w:r>
      <w:r w:rsidR="00CC447A" w:rsidRPr="00CC447A">
        <w:rPr>
          <w:rFonts w:ascii="Times New Roman" w:hAnsi="Times New Roman" w:cs="Times New Roman"/>
          <w:i/>
          <w:lang w:val="en-US"/>
        </w:rPr>
        <w:t>vs.</w:t>
      </w:r>
      <w:r w:rsidR="00CC447A">
        <w:rPr>
          <w:rFonts w:ascii="Times New Roman" w:hAnsi="Times New Roman" w:cs="Times New Roman"/>
          <w:lang w:val="en-US"/>
        </w:rPr>
        <w:t xml:space="preserve"> 11.5 ng/ml in patients with DCI only, p=0.002), day 13-15 (25.3 ng/ml </w:t>
      </w:r>
      <w:r w:rsidR="00CC447A" w:rsidRPr="00CC447A">
        <w:rPr>
          <w:rFonts w:ascii="Times New Roman" w:hAnsi="Times New Roman" w:cs="Times New Roman"/>
          <w:i/>
          <w:lang w:val="en-US"/>
        </w:rPr>
        <w:t>vs.</w:t>
      </w:r>
      <w:r w:rsidR="00CC447A">
        <w:rPr>
          <w:rFonts w:ascii="Times New Roman" w:hAnsi="Times New Roman" w:cs="Times New Roman"/>
          <w:lang w:val="en-US"/>
        </w:rPr>
        <w:t xml:space="preserve"> 11.6 ng/ml in patients with DCI only, p=0.006) and day 16-21 (15.5 ng/ml </w:t>
      </w:r>
      <w:r w:rsidR="00CC447A" w:rsidRPr="00CC447A">
        <w:rPr>
          <w:rFonts w:ascii="Times New Roman" w:hAnsi="Times New Roman" w:cs="Times New Roman"/>
          <w:i/>
          <w:lang w:val="en-US"/>
        </w:rPr>
        <w:t>vs.</w:t>
      </w:r>
      <w:r w:rsidR="00CC447A">
        <w:rPr>
          <w:rFonts w:ascii="Times New Roman" w:hAnsi="Times New Roman" w:cs="Times New Roman"/>
          <w:lang w:val="en-US"/>
        </w:rPr>
        <w:t xml:space="preserve"> 11.6 ng/ml in patients with DCI only, p=0.019). </w:t>
      </w:r>
      <w:r w:rsidR="00226D72">
        <w:rPr>
          <w:rFonts w:ascii="Times New Roman" w:hAnsi="Times New Roman" w:cs="Times New Roman"/>
          <w:lang w:val="en-US"/>
        </w:rPr>
        <w:t>I</w:t>
      </w:r>
      <w:r w:rsidR="00E20ACF">
        <w:rPr>
          <w:rFonts w:ascii="Times New Roman" w:hAnsi="Times New Roman" w:cs="Times New Roman"/>
          <w:lang w:val="en-US"/>
        </w:rPr>
        <w:t xml:space="preserve">t follows </w:t>
      </w:r>
      <w:r w:rsidR="00FB1033">
        <w:rPr>
          <w:rFonts w:ascii="Times New Roman" w:hAnsi="Times New Roman" w:cs="Times New Roman"/>
          <w:lang w:val="en-US"/>
        </w:rPr>
        <w:t xml:space="preserve">that the elevation of cDPP3 levels in patients with DCI was mainly due to </w:t>
      </w:r>
      <w:r w:rsidR="00D809CA">
        <w:rPr>
          <w:rFonts w:ascii="Times New Roman" w:hAnsi="Times New Roman" w:cs="Times New Roman"/>
          <w:lang w:val="en-US"/>
        </w:rPr>
        <w:t>the</w:t>
      </w:r>
      <w:r w:rsidR="00386641">
        <w:rPr>
          <w:rFonts w:ascii="Times New Roman" w:hAnsi="Times New Roman" w:cs="Times New Roman"/>
          <w:lang w:val="en-US"/>
        </w:rPr>
        <w:t xml:space="preserve"> subgroup which suffered from </w:t>
      </w:r>
      <w:r w:rsidR="00D809CA">
        <w:rPr>
          <w:rFonts w:ascii="Times New Roman" w:hAnsi="Times New Roman" w:cs="Times New Roman"/>
          <w:lang w:val="en-US"/>
        </w:rPr>
        <w:t>DCI-related infarction</w:t>
      </w:r>
      <w:r w:rsidR="00386641">
        <w:rPr>
          <w:rFonts w:ascii="Times New Roman" w:hAnsi="Times New Roman" w:cs="Times New Roman"/>
          <w:lang w:val="en-US"/>
        </w:rPr>
        <w:t>s</w:t>
      </w:r>
      <w:r w:rsidR="00D809CA">
        <w:rPr>
          <w:rFonts w:ascii="Times New Roman" w:hAnsi="Times New Roman" w:cs="Times New Roman"/>
          <w:lang w:val="en-US"/>
        </w:rPr>
        <w:t>.</w:t>
      </w:r>
    </w:p>
    <w:p w14:paraId="61151C7C" w14:textId="61FAD997" w:rsidR="00CC3F3A" w:rsidRDefault="00CC3F3A" w:rsidP="00CC3F3A">
      <w:pPr>
        <w:spacing w:after="0" w:line="360" w:lineRule="auto"/>
        <w:jc w:val="both"/>
        <w:rPr>
          <w:rFonts w:ascii="Times New Roman" w:hAnsi="Times New Roman" w:cs="Times New Roman"/>
          <w:b/>
          <w:lang w:val="en-US"/>
        </w:rPr>
      </w:pPr>
      <w:r>
        <w:rPr>
          <w:rFonts w:ascii="Times New Roman" w:hAnsi="Times New Roman" w:cs="Times New Roman"/>
          <w:b/>
          <w:lang w:val="en-US"/>
        </w:rPr>
        <w:t>2.3.3. Relation between cDPP3 levels and long-term clinical outcome</w:t>
      </w:r>
    </w:p>
    <w:p w14:paraId="3F8EAC0C" w14:textId="5A0CCD2D" w:rsidR="00E675E8" w:rsidRDefault="00CC3F3A" w:rsidP="007C44AF">
      <w:pPr>
        <w:spacing w:after="120" w:line="360" w:lineRule="auto"/>
        <w:jc w:val="both"/>
        <w:rPr>
          <w:rFonts w:ascii="Times New Roman" w:hAnsi="Times New Roman" w:cs="Times New Roman"/>
          <w:lang w:val="en-US"/>
        </w:rPr>
      </w:pPr>
      <w:r w:rsidRPr="0002600D">
        <w:rPr>
          <w:rFonts w:ascii="Times New Roman" w:hAnsi="Times New Roman" w:cs="Times New Roman"/>
          <w:b/>
          <w:lang w:val="en-US"/>
        </w:rPr>
        <w:t xml:space="preserve">Figure </w:t>
      </w:r>
      <w:r w:rsidR="002C5F14">
        <w:rPr>
          <w:rFonts w:ascii="Times New Roman" w:hAnsi="Times New Roman" w:cs="Times New Roman"/>
          <w:b/>
          <w:lang w:val="en-US"/>
        </w:rPr>
        <w:t>4A</w:t>
      </w:r>
      <w:r w:rsidR="002C5F14">
        <w:rPr>
          <w:rFonts w:ascii="Times New Roman" w:hAnsi="Times New Roman" w:cs="Times New Roman"/>
          <w:lang w:val="en-US"/>
        </w:rPr>
        <w:t xml:space="preserve"> </w:t>
      </w:r>
      <w:r>
        <w:rPr>
          <w:rFonts w:ascii="Times New Roman" w:hAnsi="Times New Roman" w:cs="Times New Roman"/>
          <w:lang w:val="en-US"/>
        </w:rPr>
        <w:t>compare</w:t>
      </w:r>
      <w:r w:rsidR="008E480F">
        <w:rPr>
          <w:rFonts w:ascii="Times New Roman" w:hAnsi="Times New Roman" w:cs="Times New Roman"/>
          <w:lang w:val="en-US"/>
        </w:rPr>
        <w:t>s</w:t>
      </w:r>
      <w:r>
        <w:rPr>
          <w:rFonts w:ascii="Times New Roman" w:hAnsi="Times New Roman" w:cs="Times New Roman"/>
          <w:lang w:val="en-US"/>
        </w:rPr>
        <w:t xml:space="preserve"> the </w:t>
      </w:r>
      <w:r w:rsidR="00AE25E2">
        <w:rPr>
          <w:rFonts w:ascii="Times New Roman" w:hAnsi="Times New Roman" w:cs="Times New Roman"/>
          <w:lang w:val="en-US"/>
        </w:rPr>
        <w:t>time course</w:t>
      </w:r>
      <w:r>
        <w:rPr>
          <w:rFonts w:ascii="Times New Roman" w:hAnsi="Times New Roman" w:cs="Times New Roman"/>
          <w:lang w:val="en-US"/>
        </w:rPr>
        <w:t xml:space="preserve"> of cDPP3 levels in patients with a favorable vs. unfavorable clinical outcome after 12 months. </w:t>
      </w:r>
      <w:r w:rsidR="00AE25E2">
        <w:rPr>
          <w:rFonts w:ascii="Times New Roman" w:hAnsi="Times New Roman" w:cs="Times New Roman"/>
          <w:lang w:val="en-US"/>
        </w:rPr>
        <w:t>T</w:t>
      </w:r>
      <w:r>
        <w:rPr>
          <w:rFonts w:ascii="Times New Roman" w:hAnsi="Times New Roman" w:cs="Times New Roman"/>
          <w:lang w:val="en-US"/>
        </w:rPr>
        <w:t>here was little change in cDPP3 levels determined in patients with favorable clinical outcome</w:t>
      </w:r>
      <w:r w:rsidR="00C96327">
        <w:rPr>
          <w:rFonts w:ascii="Times New Roman" w:hAnsi="Times New Roman" w:cs="Times New Roman"/>
          <w:lang w:val="en-US"/>
        </w:rPr>
        <w:t>s</w:t>
      </w:r>
      <w:r>
        <w:rPr>
          <w:rFonts w:ascii="Times New Roman" w:hAnsi="Times New Roman" w:cs="Times New Roman"/>
          <w:lang w:val="en-US"/>
        </w:rPr>
        <w:t>, while the levels in patients with unfavorable outcome</w:t>
      </w:r>
      <w:r w:rsidR="00C96327">
        <w:rPr>
          <w:rFonts w:ascii="Times New Roman" w:hAnsi="Times New Roman" w:cs="Times New Roman"/>
          <w:lang w:val="en-US"/>
        </w:rPr>
        <w:t>s</w:t>
      </w:r>
      <w:r>
        <w:rPr>
          <w:rFonts w:ascii="Times New Roman" w:hAnsi="Times New Roman" w:cs="Times New Roman"/>
          <w:lang w:val="en-US"/>
        </w:rPr>
        <w:t xml:space="preserve"> increased to a peak value on day 9-12 after </w:t>
      </w:r>
      <w:r w:rsidR="007C369E">
        <w:rPr>
          <w:rFonts w:ascii="Times New Roman" w:hAnsi="Times New Roman" w:cs="Times New Roman"/>
          <w:lang w:val="en-US"/>
        </w:rPr>
        <w:t>a</w:t>
      </w:r>
      <w:r>
        <w:rPr>
          <w:rFonts w:ascii="Times New Roman" w:hAnsi="Times New Roman" w:cs="Times New Roman"/>
          <w:lang w:val="en-US"/>
        </w:rPr>
        <w:t xml:space="preserve">SAH onset and decreased again towards the late </w:t>
      </w:r>
      <w:r w:rsidR="00AE25E2" w:rsidRPr="00AE25E2">
        <w:rPr>
          <w:rFonts w:ascii="Times New Roman" w:hAnsi="Times New Roman" w:cs="Times New Roman"/>
          <w:lang w:val="en-US"/>
        </w:rPr>
        <w:t>phase</w:t>
      </w:r>
      <w:r>
        <w:rPr>
          <w:rFonts w:ascii="Times New Roman" w:hAnsi="Times New Roman" w:cs="Times New Roman"/>
          <w:lang w:val="en-US"/>
        </w:rPr>
        <w:t xml:space="preserve">. As a consequence, </w:t>
      </w:r>
      <w:r w:rsidR="00C96327">
        <w:rPr>
          <w:rFonts w:ascii="Times New Roman" w:hAnsi="Times New Roman" w:cs="Times New Roman"/>
          <w:lang w:val="en-US"/>
        </w:rPr>
        <w:t xml:space="preserve">median </w:t>
      </w:r>
      <w:r>
        <w:rPr>
          <w:rFonts w:ascii="Times New Roman" w:hAnsi="Times New Roman" w:cs="Times New Roman"/>
          <w:lang w:val="en-US"/>
        </w:rPr>
        <w:t xml:space="preserve">cDPP3 levels </w:t>
      </w:r>
      <w:r w:rsidR="00C96327">
        <w:rPr>
          <w:rFonts w:ascii="Times New Roman" w:hAnsi="Times New Roman" w:cs="Times New Roman"/>
          <w:lang w:val="en-US"/>
        </w:rPr>
        <w:t>in patients with an unfavorable outcome (GOS-E</w:t>
      </w:r>
      <w:r w:rsidR="00C96327" w:rsidRPr="00C96327">
        <w:rPr>
          <w:rFonts w:ascii="Times New Roman" w:hAnsi="Times New Roman" w:cs="Times New Roman"/>
          <w:vertAlign w:val="subscript"/>
          <w:lang w:val="en-US"/>
        </w:rPr>
        <w:t>1-4</w:t>
      </w:r>
      <w:r w:rsidR="00C96327">
        <w:rPr>
          <w:rFonts w:ascii="Times New Roman" w:hAnsi="Times New Roman" w:cs="Times New Roman"/>
          <w:lang w:val="en-US"/>
        </w:rPr>
        <w:t xml:space="preserve">) were significantly higher on day 5-8 (10.7 ng/ml </w:t>
      </w:r>
      <w:r w:rsidR="00C96327" w:rsidRPr="00CC447A">
        <w:rPr>
          <w:rFonts w:ascii="Times New Roman" w:hAnsi="Times New Roman" w:cs="Times New Roman"/>
          <w:i/>
          <w:lang w:val="en-US"/>
        </w:rPr>
        <w:t>vs.</w:t>
      </w:r>
      <w:r w:rsidR="00C96327">
        <w:rPr>
          <w:rFonts w:ascii="Times New Roman" w:hAnsi="Times New Roman" w:cs="Times New Roman"/>
          <w:lang w:val="en-US"/>
        </w:rPr>
        <w:t xml:space="preserve"> 8.9 ng/ml in patients with GOS-E</w:t>
      </w:r>
      <w:r w:rsidR="00C96327" w:rsidRPr="00C96327">
        <w:rPr>
          <w:rFonts w:ascii="Times New Roman" w:hAnsi="Times New Roman" w:cs="Times New Roman"/>
          <w:vertAlign w:val="subscript"/>
          <w:lang w:val="en-US"/>
        </w:rPr>
        <w:t>5-8</w:t>
      </w:r>
      <w:r w:rsidR="00C96327">
        <w:rPr>
          <w:rFonts w:ascii="Times New Roman" w:hAnsi="Times New Roman" w:cs="Times New Roman"/>
          <w:lang w:val="en-US"/>
        </w:rPr>
        <w:t xml:space="preserve">, p=0.007), day 9-12 (15.1 ng/ml </w:t>
      </w:r>
      <w:r w:rsidR="00C96327" w:rsidRPr="00CC447A">
        <w:rPr>
          <w:rFonts w:ascii="Times New Roman" w:hAnsi="Times New Roman" w:cs="Times New Roman"/>
          <w:i/>
          <w:lang w:val="en-US"/>
        </w:rPr>
        <w:t>vs.</w:t>
      </w:r>
      <w:r w:rsidR="00C96327">
        <w:rPr>
          <w:rFonts w:ascii="Times New Roman" w:hAnsi="Times New Roman" w:cs="Times New Roman"/>
          <w:lang w:val="en-US"/>
        </w:rPr>
        <w:t xml:space="preserve"> 9.7 ng/ml in patients with GOS-E</w:t>
      </w:r>
      <w:r w:rsidR="00C96327" w:rsidRPr="00C96327">
        <w:rPr>
          <w:rFonts w:ascii="Times New Roman" w:hAnsi="Times New Roman" w:cs="Times New Roman"/>
          <w:vertAlign w:val="subscript"/>
          <w:lang w:val="en-US"/>
        </w:rPr>
        <w:t>5-8</w:t>
      </w:r>
      <w:r w:rsidR="00C96327">
        <w:rPr>
          <w:rFonts w:ascii="Times New Roman" w:hAnsi="Times New Roman" w:cs="Times New Roman"/>
          <w:lang w:val="en-US"/>
        </w:rPr>
        <w:t xml:space="preserve">, p=0.008) and day 13-15 (11.9 ng/ml </w:t>
      </w:r>
      <w:r w:rsidR="00C96327" w:rsidRPr="00CC447A">
        <w:rPr>
          <w:rFonts w:ascii="Times New Roman" w:hAnsi="Times New Roman" w:cs="Times New Roman"/>
          <w:i/>
          <w:lang w:val="en-US"/>
        </w:rPr>
        <w:t>vs.</w:t>
      </w:r>
      <w:r w:rsidR="00C96327">
        <w:rPr>
          <w:rFonts w:ascii="Times New Roman" w:hAnsi="Times New Roman" w:cs="Times New Roman"/>
          <w:lang w:val="en-US"/>
        </w:rPr>
        <w:t xml:space="preserve"> 8.9 ng/ml in patients with GOS-E</w:t>
      </w:r>
      <w:r w:rsidR="00C96327" w:rsidRPr="00C96327">
        <w:rPr>
          <w:rFonts w:ascii="Times New Roman" w:hAnsi="Times New Roman" w:cs="Times New Roman"/>
          <w:vertAlign w:val="subscript"/>
          <w:lang w:val="en-US"/>
        </w:rPr>
        <w:t>5-8</w:t>
      </w:r>
      <w:r w:rsidR="00C96327">
        <w:rPr>
          <w:rFonts w:ascii="Times New Roman" w:hAnsi="Times New Roman" w:cs="Times New Roman"/>
          <w:lang w:val="en-US"/>
        </w:rPr>
        <w:t>, p=0.019), while there was no difference between the two groups during the</w:t>
      </w:r>
      <w:r>
        <w:rPr>
          <w:rFonts w:ascii="Times New Roman" w:hAnsi="Times New Roman" w:cs="Times New Roman"/>
          <w:lang w:val="en-US"/>
        </w:rPr>
        <w:t xml:space="preserve"> early </w:t>
      </w:r>
      <w:r w:rsidR="00DB17BA">
        <w:rPr>
          <w:rFonts w:ascii="Times New Roman" w:hAnsi="Times New Roman" w:cs="Times New Roman"/>
          <w:lang w:val="en-US"/>
        </w:rPr>
        <w:t xml:space="preserve">(p=0.512) </w:t>
      </w:r>
      <w:r>
        <w:rPr>
          <w:rFonts w:ascii="Times New Roman" w:hAnsi="Times New Roman" w:cs="Times New Roman"/>
          <w:lang w:val="en-US"/>
        </w:rPr>
        <w:t xml:space="preserve">or late </w:t>
      </w:r>
      <w:r w:rsidR="00DB17BA">
        <w:rPr>
          <w:rFonts w:ascii="Times New Roman" w:hAnsi="Times New Roman" w:cs="Times New Roman"/>
          <w:lang w:val="en-US"/>
        </w:rPr>
        <w:t xml:space="preserve">(p=0.054) </w:t>
      </w:r>
      <w:r>
        <w:rPr>
          <w:rFonts w:ascii="Times New Roman" w:hAnsi="Times New Roman" w:cs="Times New Roman"/>
          <w:lang w:val="en-US"/>
        </w:rPr>
        <w:t xml:space="preserve">phase </w:t>
      </w:r>
      <w:r w:rsidR="008E480F">
        <w:rPr>
          <w:rFonts w:ascii="Times New Roman" w:hAnsi="Times New Roman" w:cs="Times New Roman"/>
          <w:lang w:val="en-US"/>
        </w:rPr>
        <w:t>(</w:t>
      </w:r>
      <w:r w:rsidR="008E480F" w:rsidRPr="00FB1DAC">
        <w:rPr>
          <w:rFonts w:ascii="Times New Roman" w:hAnsi="Times New Roman" w:cs="Times New Roman"/>
          <w:b/>
          <w:lang w:val="en-US"/>
        </w:rPr>
        <w:t xml:space="preserve">Fig. </w:t>
      </w:r>
      <w:r w:rsidR="002C5F14">
        <w:rPr>
          <w:rFonts w:ascii="Times New Roman" w:hAnsi="Times New Roman" w:cs="Times New Roman"/>
          <w:b/>
          <w:lang w:val="en-US"/>
        </w:rPr>
        <w:t>4</w:t>
      </w:r>
      <w:r w:rsidR="002C5F14" w:rsidRPr="00FB1DAC">
        <w:rPr>
          <w:rFonts w:ascii="Times New Roman" w:hAnsi="Times New Roman" w:cs="Times New Roman"/>
          <w:b/>
          <w:lang w:val="en-US"/>
        </w:rPr>
        <w:t>B</w:t>
      </w:r>
      <w:r w:rsidR="008E480F">
        <w:rPr>
          <w:rFonts w:ascii="Times New Roman" w:hAnsi="Times New Roman" w:cs="Times New Roman"/>
          <w:lang w:val="en-US"/>
        </w:rPr>
        <w:t>)</w:t>
      </w:r>
      <w:r>
        <w:rPr>
          <w:rFonts w:ascii="Times New Roman" w:hAnsi="Times New Roman" w:cs="Times New Roman"/>
          <w:lang w:val="en-US"/>
        </w:rPr>
        <w:t>. In addition, there was a significant correlation of cDPP3 levels during the critical phase and the GOS-E (Spearm</w:t>
      </w:r>
      <w:r w:rsidR="00562ED8">
        <w:rPr>
          <w:rFonts w:ascii="Times New Roman" w:hAnsi="Times New Roman" w:cs="Times New Roman"/>
          <w:lang w:val="en-US"/>
        </w:rPr>
        <w:t>a</w:t>
      </w:r>
      <w:r>
        <w:rPr>
          <w:rFonts w:ascii="Times New Roman" w:hAnsi="Times New Roman" w:cs="Times New Roman"/>
          <w:lang w:val="en-US"/>
        </w:rPr>
        <w:t xml:space="preserve">n r≤-0.316, p≤0.003) score (for details see </w:t>
      </w:r>
      <w:r w:rsidRPr="001E10A6">
        <w:rPr>
          <w:rFonts w:ascii="Times New Roman" w:hAnsi="Times New Roman" w:cs="Times New Roman"/>
          <w:b/>
          <w:lang w:val="en-US"/>
        </w:rPr>
        <w:t>Suppl.</w:t>
      </w:r>
      <w:r>
        <w:rPr>
          <w:rFonts w:ascii="Times New Roman" w:hAnsi="Times New Roman" w:cs="Times New Roman"/>
          <w:lang w:val="en-US"/>
        </w:rPr>
        <w:t xml:space="preserve"> </w:t>
      </w:r>
      <w:r w:rsidRPr="00397617">
        <w:rPr>
          <w:rFonts w:ascii="Times New Roman" w:hAnsi="Times New Roman" w:cs="Times New Roman"/>
          <w:b/>
          <w:lang w:val="en-US"/>
        </w:rPr>
        <w:lastRenderedPageBreak/>
        <w:t>Tab</w:t>
      </w:r>
      <w:r w:rsidR="00CB2C7D">
        <w:rPr>
          <w:rFonts w:ascii="Times New Roman" w:hAnsi="Times New Roman" w:cs="Times New Roman"/>
          <w:b/>
          <w:lang w:val="en-US"/>
        </w:rPr>
        <w:t>le</w:t>
      </w:r>
      <w:r w:rsidRPr="00397617">
        <w:rPr>
          <w:rFonts w:ascii="Times New Roman" w:hAnsi="Times New Roman" w:cs="Times New Roman"/>
          <w:b/>
          <w:lang w:val="en-US"/>
        </w:rPr>
        <w:t xml:space="preserve"> 1</w:t>
      </w:r>
      <w:r>
        <w:rPr>
          <w:rFonts w:ascii="Times New Roman" w:hAnsi="Times New Roman" w:cs="Times New Roman"/>
          <w:lang w:val="en-US"/>
        </w:rPr>
        <w:t>), further supporting the assumption that there was an association between circulatory levels of the enzyme and clinical outcome.</w:t>
      </w:r>
    </w:p>
    <w:p w14:paraId="27091B3C" w14:textId="768AA2A6" w:rsidR="00634836" w:rsidRPr="00D9058F" w:rsidRDefault="00DF7C21" w:rsidP="00634836">
      <w:pPr>
        <w:spacing w:after="0" w:line="360" w:lineRule="auto"/>
        <w:jc w:val="both"/>
        <w:rPr>
          <w:rFonts w:ascii="Times New Roman" w:hAnsi="Times New Roman" w:cs="Times New Roman"/>
          <w:b/>
          <w:lang w:val="en-US"/>
        </w:rPr>
      </w:pPr>
      <w:r>
        <w:rPr>
          <w:rFonts w:ascii="Times New Roman" w:hAnsi="Times New Roman" w:cs="Times New Roman"/>
          <w:b/>
          <w:lang w:val="en-US"/>
        </w:rPr>
        <w:t>2.3.</w:t>
      </w:r>
      <w:r w:rsidR="00CC3F3A">
        <w:rPr>
          <w:rFonts w:ascii="Times New Roman" w:hAnsi="Times New Roman" w:cs="Times New Roman"/>
          <w:b/>
          <w:lang w:val="en-US"/>
        </w:rPr>
        <w:t>4</w:t>
      </w:r>
      <w:r>
        <w:rPr>
          <w:rFonts w:ascii="Times New Roman" w:hAnsi="Times New Roman" w:cs="Times New Roman"/>
          <w:b/>
          <w:lang w:val="en-US"/>
        </w:rPr>
        <w:t>. Predictive value of cDPP3 levels</w:t>
      </w:r>
    </w:p>
    <w:p w14:paraId="23669AE0" w14:textId="2D7FBF3B" w:rsidR="004644FE" w:rsidRDefault="00DF7C21" w:rsidP="00226D72">
      <w:pPr>
        <w:spacing w:line="360" w:lineRule="auto"/>
        <w:jc w:val="both"/>
        <w:rPr>
          <w:rFonts w:ascii="Times New Roman" w:hAnsi="Times New Roman" w:cs="Times New Roman"/>
          <w:lang w:val="en-US"/>
        </w:rPr>
      </w:pPr>
      <w:r>
        <w:rPr>
          <w:rFonts w:ascii="Times New Roman" w:hAnsi="Times New Roman" w:cs="Times New Roman"/>
          <w:lang w:val="en-US"/>
        </w:rPr>
        <w:t xml:space="preserve">To </w:t>
      </w:r>
      <w:r w:rsidR="00CE3C92">
        <w:rPr>
          <w:rFonts w:ascii="Times New Roman" w:hAnsi="Times New Roman" w:cs="Times New Roman"/>
          <w:lang w:val="en-US"/>
        </w:rPr>
        <w:t xml:space="preserve">further </w:t>
      </w:r>
      <w:r>
        <w:rPr>
          <w:rFonts w:ascii="Times New Roman" w:hAnsi="Times New Roman" w:cs="Times New Roman"/>
          <w:lang w:val="en-US"/>
        </w:rPr>
        <w:t xml:space="preserve">determine </w:t>
      </w:r>
      <w:r w:rsidR="001E10A6">
        <w:rPr>
          <w:rFonts w:ascii="Times New Roman" w:hAnsi="Times New Roman" w:cs="Times New Roman"/>
          <w:lang w:val="en-US"/>
        </w:rPr>
        <w:t xml:space="preserve">if cDPP3 levels measured on day 5-8 were </w:t>
      </w:r>
      <w:r w:rsidR="00CE3C92">
        <w:rPr>
          <w:rFonts w:ascii="Times New Roman" w:hAnsi="Times New Roman" w:cs="Times New Roman"/>
          <w:lang w:val="en-US"/>
        </w:rPr>
        <w:t>related to</w:t>
      </w:r>
      <w:r w:rsidR="001E10A6">
        <w:rPr>
          <w:rFonts w:ascii="Times New Roman" w:hAnsi="Times New Roman" w:cs="Times New Roman"/>
          <w:lang w:val="en-US"/>
        </w:rPr>
        <w:t xml:space="preserve"> </w:t>
      </w:r>
      <w:r w:rsidR="002174DB">
        <w:rPr>
          <w:rFonts w:ascii="Times New Roman" w:hAnsi="Times New Roman" w:cs="Times New Roman"/>
          <w:lang w:val="en-US"/>
        </w:rPr>
        <w:t>outcome</w:t>
      </w:r>
      <w:r w:rsidR="00F37E69">
        <w:rPr>
          <w:rFonts w:ascii="Times New Roman" w:hAnsi="Times New Roman" w:cs="Times New Roman"/>
          <w:lang w:val="en-US"/>
        </w:rPr>
        <w:t>,</w:t>
      </w:r>
      <w:r w:rsidR="003F7A4F">
        <w:rPr>
          <w:rFonts w:ascii="Times New Roman" w:hAnsi="Times New Roman" w:cs="Times New Roman"/>
          <w:lang w:val="en-US"/>
        </w:rPr>
        <w:t xml:space="preserve"> </w:t>
      </w:r>
      <w:r w:rsidR="001E10A6">
        <w:rPr>
          <w:rFonts w:ascii="Times New Roman" w:hAnsi="Times New Roman" w:cs="Times New Roman"/>
          <w:lang w:val="en-US"/>
        </w:rPr>
        <w:t>occur</w:t>
      </w:r>
      <w:r w:rsidR="001C47F4">
        <w:rPr>
          <w:rFonts w:ascii="Times New Roman" w:hAnsi="Times New Roman" w:cs="Times New Roman"/>
          <w:lang w:val="en-US"/>
        </w:rPr>
        <w:t>re</w:t>
      </w:r>
      <w:r w:rsidR="001E10A6">
        <w:rPr>
          <w:rFonts w:ascii="Times New Roman" w:hAnsi="Times New Roman" w:cs="Times New Roman"/>
          <w:lang w:val="en-US"/>
        </w:rPr>
        <w:t>nce of DCI</w:t>
      </w:r>
      <w:r w:rsidR="001C47F4">
        <w:rPr>
          <w:rFonts w:ascii="Times New Roman" w:hAnsi="Times New Roman" w:cs="Times New Roman"/>
          <w:lang w:val="en-US"/>
        </w:rPr>
        <w:t xml:space="preserve"> </w:t>
      </w:r>
      <w:r w:rsidR="00F37E69">
        <w:rPr>
          <w:rFonts w:ascii="Times New Roman" w:hAnsi="Times New Roman" w:cs="Times New Roman"/>
          <w:lang w:val="en-US"/>
        </w:rPr>
        <w:t xml:space="preserve">or </w:t>
      </w:r>
      <w:r w:rsidR="001E10A6">
        <w:rPr>
          <w:rFonts w:ascii="Times New Roman" w:hAnsi="Times New Roman" w:cs="Times New Roman"/>
          <w:lang w:val="en-US"/>
        </w:rPr>
        <w:t>DCI-related infarction</w:t>
      </w:r>
      <w:r w:rsidR="00386641">
        <w:rPr>
          <w:rFonts w:ascii="Times New Roman" w:hAnsi="Times New Roman" w:cs="Times New Roman"/>
          <w:lang w:val="en-US"/>
        </w:rPr>
        <w:t>s</w:t>
      </w:r>
      <w:r w:rsidR="001C47F4">
        <w:rPr>
          <w:rFonts w:ascii="Times New Roman" w:hAnsi="Times New Roman" w:cs="Times New Roman"/>
          <w:lang w:val="en-US"/>
        </w:rPr>
        <w:t xml:space="preserve"> in our group of patients</w:t>
      </w:r>
      <w:r w:rsidR="001E10A6">
        <w:rPr>
          <w:rFonts w:ascii="Times New Roman" w:hAnsi="Times New Roman" w:cs="Times New Roman"/>
          <w:lang w:val="en-US"/>
        </w:rPr>
        <w:t>, we performed receiver operating characteristics (ROC) curve analys</w:t>
      </w:r>
      <w:r w:rsidR="00CB2C7D">
        <w:rPr>
          <w:rFonts w:ascii="Times New Roman" w:hAnsi="Times New Roman" w:cs="Times New Roman"/>
          <w:lang w:val="en-US"/>
        </w:rPr>
        <w:t>e</w:t>
      </w:r>
      <w:r w:rsidR="001E10A6">
        <w:rPr>
          <w:rFonts w:ascii="Times New Roman" w:hAnsi="Times New Roman" w:cs="Times New Roman"/>
          <w:lang w:val="en-US"/>
        </w:rPr>
        <w:t xml:space="preserve">s. As illustrated in </w:t>
      </w:r>
      <w:r w:rsidR="001E10A6" w:rsidRPr="0094693C">
        <w:rPr>
          <w:rFonts w:ascii="Times New Roman" w:hAnsi="Times New Roman" w:cs="Times New Roman"/>
          <w:b/>
          <w:lang w:val="en-US"/>
        </w:rPr>
        <w:t xml:space="preserve">Fig. </w:t>
      </w:r>
      <w:r w:rsidR="002C5F14">
        <w:rPr>
          <w:rFonts w:ascii="Times New Roman" w:hAnsi="Times New Roman" w:cs="Times New Roman"/>
          <w:b/>
          <w:lang w:val="en-US"/>
        </w:rPr>
        <w:t>5</w:t>
      </w:r>
      <w:r w:rsidR="005E7AE7">
        <w:rPr>
          <w:rFonts w:ascii="Times New Roman" w:hAnsi="Times New Roman" w:cs="Times New Roman"/>
          <w:lang w:val="en-US"/>
        </w:rPr>
        <w:t xml:space="preserve">, ROC analysis </w:t>
      </w:r>
      <w:r w:rsidR="00CB2C7D">
        <w:rPr>
          <w:rFonts w:ascii="Times New Roman" w:hAnsi="Times New Roman" w:cs="Times New Roman"/>
          <w:lang w:val="en-US"/>
        </w:rPr>
        <w:t xml:space="preserve">of cDPP3 levels </w:t>
      </w:r>
      <w:r w:rsidR="005E7AE7">
        <w:rPr>
          <w:rFonts w:ascii="Times New Roman" w:hAnsi="Times New Roman" w:cs="Times New Roman"/>
          <w:lang w:val="en-US"/>
        </w:rPr>
        <w:t xml:space="preserve">showed </w:t>
      </w:r>
      <w:r w:rsidR="00CB2C7D">
        <w:rPr>
          <w:rFonts w:ascii="Times New Roman" w:hAnsi="Times New Roman" w:cs="Times New Roman"/>
          <w:lang w:val="en-US"/>
        </w:rPr>
        <w:t xml:space="preserve">a </w:t>
      </w:r>
      <w:r w:rsidR="005E7AE7">
        <w:rPr>
          <w:rFonts w:ascii="Times New Roman" w:hAnsi="Times New Roman" w:cs="Times New Roman"/>
          <w:lang w:val="en-US"/>
        </w:rPr>
        <w:t xml:space="preserve">significant area under the curve </w:t>
      </w:r>
      <w:r w:rsidR="00F37E69">
        <w:rPr>
          <w:rFonts w:ascii="Times New Roman" w:hAnsi="Times New Roman" w:cs="Times New Roman"/>
          <w:lang w:val="en-US"/>
        </w:rPr>
        <w:t xml:space="preserve">for </w:t>
      </w:r>
      <w:r w:rsidR="00AE25E2" w:rsidRPr="00AE25E2">
        <w:rPr>
          <w:rFonts w:ascii="Times New Roman" w:hAnsi="Times New Roman" w:cs="Times New Roman"/>
          <w:lang w:val="en-US"/>
        </w:rPr>
        <w:t>DCI</w:t>
      </w:r>
      <w:r w:rsidR="00F37E69">
        <w:rPr>
          <w:rFonts w:ascii="Times New Roman" w:hAnsi="Times New Roman" w:cs="Times New Roman"/>
          <w:lang w:val="en-US"/>
        </w:rPr>
        <w:t xml:space="preserve"> </w:t>
      </w:r>
      <w:r w:rsidR="005E7AE7">
        <w:rPr>
          <w:rFonts w:ascii="Times New Roman" w:hAnsi="Times New Roman" w:cs="Times New Roman"/>
          <w:lang w:val="en-US"/>
        </w:rPr>
        <w:t>(</w:t>
      </w:r>
      <w:r w:rsidR="00562ED8">
        <w:rPr>
          <w:rFonts w:ascii="Times New Roman" w:hAnsi="Times New Roman" w:cs="Times New Roman"/>
          <w:lang w:val="en-US"/>
        </w:rPr>
        <w:t xml:space="preserve">AUC=0.703±0.056, p=0.001, </w:t>
      </w:r>
      <w:r w:rsidR="00F37E69" w:rsidRPr="007C44AF">
        <w:rPr>
          <w:rFonts w:ascii="Times New Roman" w:hAnsi="Times New Roman" w:cs="Times New Roman"/>
          <w:b/>
          <w:lang w:val="en-US"/>
        </w:rPr>
        <w:t xml:space="preserve">Fig. </w:t>
      </w:r>
      <w:r w:rsidR="002C5F14">
        <w:rPr>
          <w:rFonts w:ascii="Times New Roman" w:hAnsi="Times New Roman" w:cs="Times New Roman"/>
          <w:b/>
          <w:lang w:val="en-US"/>
        </w:rPr>
        <w:t>5</w:t>
      </w:r>
      <w:r w:rsidR="002C5F14" w:rsidRPr="007C44AF">
        <w:rPr>
          <w:rFonts w:ascii="Times New Roman" w:hAnsi="Times New Roman" w:cs="Times New Roman"/>
          <w:b/>
          <w:lang w:val="en-US"/>
        </w:rPr>
        <w:t>A</w:t>
      </w:r>
      <w:r w:rsidR="005E7AE7">
        <w:rPr>
          <w:rFonts w:ascii="Times New Roman" w:hAnsi="Times New Roman" w:cs="Times New Roman"/>
          <w:lang w:val="en-US"/>
        </w:rPr>
        <w:t>)</w:t>
      </w:r>
      <w:r w:rsidR="00F37E69">
        <w:rPr>
          <w:rFonts w:ascii="Times New Roman" w:hAnsi="Times New Roman" w:cs="Times New Roman"/>
          <w:lang w:val="en-US"/>
        </w:rPr>
        <w:t>, DCI-related infarctions (</w:t>
      </w:r>
      <w:r w:rsidR="00562ED8">
        <w:rPr>
          <w:rFonts w:ascii="Times New Roman" w:hAnsi="Times New Roman" w:cs="Times New Roman"/>
          <w:lang w:val="en-US"/>
        </w:rPr>
        <w:t xml:space="preserve">AUC=0.789±0.070, p=0.007, </w:t>
      </w:r>
      <w:r w:rsidR="00F37E69" w:rsidRPr="007C44AF">
        <w:rPr>
          <w:rFonts w:ascii="Times New Roman" w:hAnsi="Times New Roman" w:cs="Times New Roman"/>
          <w:b/>
          <w:lang w:val="en-US"/>
        </w:rPr>
        <w:t xml:space="preserve">Fig. </w:t>
      </w:r>
      <w:r w:rsidR="002C5F14">
        <w:rPr>
          <w:rFonts w:ascii="Times New Roman" w:hAnsi="Times New Roman" w:cs="Times New Roman"/>
          <w:b/>
          <w:lang w:val="en-US"/>
        </w:rPr>
        <w:t>5</w:t>
      </w:r>
      <w:r w:rsidR="002C5F14" w:rsidRPr="007C44AF">
        <w:rPr>
          <w:rFonts w:ascii="Times New Roman" w:hAnsi="Times New Roman" w:cs="Times New Roman"/>
          <w:b/>
          <w:lang w:val="en-US"/>
        </w:rPr>
        <w:t>B</w:t>
      </w:r>
      <w:r w:rsidR="00F37E69">
        <w:rPr>
          <w:rFonts w:ascii="Times New Roman" w:hAnsi="Times New Roman" w:cs="Times New Roman"/>
          <w:lang w:val="en-US"/>
        </w:rPr>
        <w:t>) and</w:t>
      </w:r>
      <w:r w:rsidR="002174DB">
        <w:rPr>
          <w:rFonts w:ascii="Times New Roman" w:hAnsi="Times New Roman" w:cs="Times New Roman"/>
          <w:lang w:val="en-US"/>
        </w:rPr>
        <w:t xml:space="preserve"> unfavorable outcome</w:t>
      </w:r>
      <w:r w:rsidR="00F37E69">
        <w:rPr>
          <w:rFonts w:ascii="Times New Roman" w:hAnsi="Times New Roman" w:cs="Times New Roman"/>
          <w:lang w:val="en-US"/>
        </w:rPr>
        <w:t>s</w:t>
      </w:r>
      <w:r w:rsidR="002174DB">
        <w:rPr>
          <w:rFonts w:ascii="Times New Roman" w:hAnsi="Times New Roman" w:cs="Times New Roman"/>
          <w:lang w:val="en-US"/>
        </w:rPr>
        <w:t xml:space="preserve"> after 12 months according to the GOS-E score</w:t>
      </w:r>
      <w:r w:rsidR="00213D10">
        <w:rPr>
          <w:rFonts w:ascii="Times New Roman" w:hAnsi="Times New Roman" w:cs="Times New Roman"/>
          <w:lang w:val="en-US"/>
        </w:rPr>
        <w:t xml:space="preserve"> (</w:t>
      </w:r>
      <w:r w:rsidR="00562ED8">
        <w:rPr>
          <w:rFonts w:ascii="Times New Roman" w:hAnsi="Times New Roman" w:cs="Times New Roman"/>
          <w:lang w:val="en-US"/>
        </w:rPr>
        <w:t xml:space="preserve">AUC=0.677±0.058, p=0.007, </w:t>
      </w:r>
      <w:r w:rsidR="00213D10" w:rsidRPr="00213D10">
        <w:rPr>
          <w:rFonts w:ascii="Times New Roman" w:hAnsi="Times New Roman" w:cs="Times New Roman"/>
          <w:b/>
          <w:lang w:val="en-US"/>
        </w:rPr>
        <w:t xml:space="preserve">Fig. </w:t>
      </w:r>
      <w:r w:rsidR="002C5F14">
        <w:rPr>
          <w:rFonts w:ascii="Times New Roman" w:hAnsi="Times New Roman" w:cs="Times New Roman"/>
          <w:b/>
          <w:lang w:val="en-US"/>
        </w:rPr>
        <w:t>5</w:t>
      </w:r>
      <w:r w:rsidR="002C5F14" w:rsidRPr="00213D10">
        <w:rPr>
          <w:rFonts w:ascii="Times New Roman" w:hAnsi="Times New Roman" w:cs="Times New Roman"/>
          <w:b/>
          <w:lang w:val="en-US"/>
        </w:rPr>
        <w:t>C</w:t>
      </w:r>
      <w:r w:rsidR="00213D10">
        <w:rPr>
          <w:rFonts w:ascii="Times New Roman" w:hAnsi="Times New Roman" w:cs="Times New Roman"/>
          <w:lang w:val="en-US"/>
        </w:rPr>
        <w:t>)</w:t>
      </w:r>
      <w:r w:rsidR="002174DB">
        <w:rPr>
          <w:rFonts w:ascii="Times New Roman" w:hAnsi="Times New Roman" w:cs="Times New Roman"/>
          <w:lang w:val="en-US"/>
        </w:rPr>
        <w:t>. I</w:t>
      </w:r>
      <w:r w:rsidR="001C47F4">
        <w:rPr>
          <w:rFonts w:ascii="Times New Roman" w:hAnsi="Times New Roman" w:cs="Times New Roman"/>
          <w:lang w:val="en-US"/>
        </w:rPr>
        <w:t xml:space="preserve">n multivariate analysis after adjusting for clinical severity </w:t>
      </w:r>
      <w:r w:rsidR="006303A4">
        <w:rPr>
          <w:rFonts w:ascii="Times New Roman" w:hAnsi="Times New Roman" w:cs="Times New Roman"/>
          <w:lang w:val="en-US"/>
        </w:rPr>
        <w:t>up</w:t>
      </w:r>
      <w:r w:rsidR="001C47F4">
        <w:rPr>
          <w:rFonts w:ascii="Times New Roman" w:hAnsi="Times New Roman" w:cs="Times New Roman"/>
          <w:lang w:val="en-US"/>
        </w:rPr>
        <w:t>on admission</w:t>
      </w:r>
      <w:r w:rsidR="007C44AF">
        <w:rPr>
          <w:rFonts w:ascii="Times New Roman" w:hAnsi="Times New Roman" w:cs="Times New Roman"/>
          <w:lang w:val="en-US"/>
        </w:rPr>
        <w:t xml:space="preserve"> (Hunt &amp; Hess)</w:t>
      </w:r>
      <w:r w:rsidR="001C47F4">
        <w:rPr>
          <w:rFonts w:ascii="Times New Roman" w:hAnsi="Times New Roman" w:cs="Times New Roman"/>
          <w:lang w:val="en-US"/>
        </w:rPr>
        <w:t xml:space="preserve">, there was an independent association between cDPP3 levels on day 5-8 and </w:t>
      </w:r>
      <w:r w:rsidR="00386641">
        <w:rPr>
          <w:rFonts w:ascii="Times New Roman" w:hAnsi="Times New Roman" w:cs="Times New Roman"/>
          <w:lang w:val="en-US"/>
        </w:rPr>
        <w:t xml:space="preserve">the </w:t>
      </w:r>
      <w:r w:rsidR="001C47F4">
        <w:rPr>
          <w:rFonts w:ascii="Times New Roman" w:hAnsi="Times New Roman" w:cs="Times New Roman"/>
          <w:lang w:val="en-US"/>
        </w:rPr>
        <w:t>development of DCI-related infarction</w:t>
      </w:r>
      <w:r w:rsidR="0094693C">
        <w:rPr>
          <w:rFonts w:ascii="Times New Roman" w:hAnsi="Times New Roman" w:cs="Times New Roman"/>
          <w:lang w:val="en-US"/>
        </w:rPr>
        <w:t>s</w:t>
      </w:r>
      <w:r w:rsidR="001C47F4">
        <w:rPr>
          <w:rFonts w:ascii="Times New Roman" w:hAnsi="Times New Roman" w:cs="Times New Roman"/>
          <w:lang w:val="en-US"/>
        </w:rPr>
        <w:t xml:space="preserve"> (</w:t>
      </w:r>
      <w:r w:rsidR="00562ED8">
        <w:rPr>
          <w:rFonts w:ascii="Times New Roman" w:hAnsi="Times New Roman" w:cs="Times New Roman"/>
          <w:lang w:val="en-US"/>
        </w:rPr>
        <w:t xml:space="preserve">p=0.038, </w:t>
      </w:r>
      <w:r w:rsidR="001C47F4" w:rsidRPr="001C47F4">
        <w:rPr>
          <w:rFonts w:ascii="Times New Roman" w:hAnsi="Times New Roman" w:cs="Times New Roman"/>
          <w:b/>
          <w:lang w:val="en-US"/>
        </w:rPr>
        <w:t>Tab. 4</w:t>
      </w:r>
      <w:r w:rsidR="001C47F4">
        <w:rPr>
          <w:rFonts w:ascii="Times New Roman" w:hAnsi="Times New Roman" w:cs="Times New Roman"/>
          <w:lang w:val="en-US"/>
        </w:rPr>
        <w:t xml:space="preserve">), suggesting that circulatory levels of the enzyme could be a promising </w:t>
      </w:r>
      <w:r w:rsidR="00CE3C92">
        <w:rPr>
          <w:rFonts w:ascii="Times New Roman" w:hAnsi="Times New Roman" w:cs="Times New Roman"/>
          <w:lang w:val="en-US"/>
        </w:rPr>
        <w:t xml:space="preserve">diagnostic </w:t>
      </w:r>
      <w:r w:rsidR="007C369E">
        <w:rPr>
          <w:rFonts w:ascii="Times New Roman" w:hAnsi="Times New Roman" w:cs="Times New Roman"/>
          <w:lang w:val="en-US"/>
        </w:rPr>
        <w:t>a</w:t>
      </w:r>
      <w:r w:rsidR="001C47F4">
        <w:rPr>
          <w:rFonts w:ascii="Times New Roman" w:hAnsi="Times New Roman" w:cs="Times New Roman"/>
          <w:lang w:val="en-US"/>
        </w:rPr>
        <w:t xml:space="preserve">SAH biomarker for </w:t>
      </w:r>
      <w:r w:rsidR="00386641">
        <w:rPr>
          <w:rFonts w:ascii="Times New Roman" w:hAnsi="Times New Roman" w:cs="Times New Roman"/>
          <w:lang w:val="en-US"/>
        </w:rPr>
        <w:t xml:space="preserve">identification </w:t>
      </w:r>
      <w:r w:rsidR="001C47F4">
        <w:rPr>
          <w:rFonts w:ascii="Times New Roman" w:hAnsi="Times New Roman" w:cs="Times New Roman"/>
          <w:lang w:val="en-US"/>
        </w:rPr>
        <w:t xml:space="preserve">of </w:t>
      </w:r>
      <w:r w:rsidR="00386641">
        <w:rPr>
          <w:rFonts w:ascii="Times New Roman" w:hAnsi="Times New Roman" w:cs="Times New Roman"/>
          <w:lang w:val="en-US"/>
        </w:rPr>
        <w:t xml:space="preserve">patients suffering from </w:t>
      </w:r>
      <w:r w:rsidR="001C47F4">
        <w:rPr>
          <w:rFonts w:ascii="Times New Roman" w:hAnsi="Times New Roman" w:cs="Times New Roman"/>
          <w:lang w:val="en-US"/>
        </w:rPr>
        <w:t xml:space="preserve">delayed brain damage. </w:t>
      </w:r>
    </w:p>
    <w:p w14:paraId="34D1F302" w14:textId="77777777" w:rsidR="002E40DE" w:rsidRDefault="006C1139" w:rsidP="006C1139">
      <w:pPr>
        <w:tabs>
          <w:tab w:val="center" w:pos="4536"/>
        </w:tabs>
        <w:rPr>
          <w:rFonts w:ascii="Times New Roman" w:hAnsi="Times New Roman" w:cs="Times New Roman"/>
          <w:lang w:val="en-US"/>
        </w:rPr>
      </w:pPr>
      <w:r w:rsidRPr="002255F0">
        <w:rPr>
          <w:rFonts w:ascii="Times New Roman" w:hAnsi="Times New Roman" w:cs="Times New Roman"/>
          <w:b/>
          <w:sz w:val="28"/>
          <w:szCs w:val="28"/>
          <w:lang w:val="en-US"/>
        </w:rPr>
        <w:t>Discussion</w:t>
      </w:r>
      <w:r w:rsidR="002E40DE" w:rsidRPr="002E40DE">
        <w:rPr>
          <w:rFonts w:ascii="Times New Roman" w:hAnsi="Times New Roman" w:cs="Times New Roman"/>
          <w:lang w:val="en-US"/>
        </w:rPr>
        <w:t xml:space="preserve"> </w:t>
      </w:r>
    </w:p>
    <w:p w14:paraId="1423C423" w14:textId="10692B23" w:rsidR="00AE25E2" w:rsidRPr="00AE25E2" w:rsidRDefault="00F37E69" w:rsidP="00AE25E2">
      <w:pPr>
        <w:spacing w:after="120" w:line="360" w:lineRule="auto"/>
        <w:jc w:val="both"/>
        <w:rPr>
          <w:rFonts w:ascii="Times New Roman" w:hAnsi="Times New Roman" w:cs="Times New Roman"/>
          <w:lang w:val="en-US"/>
        </w:rPr>
      </w:pPr>
      <w:r>
        <w:rPr>
          <w:rFonts w:ascii="Times New Roman" w:hAnsi="Times New Roman" w:cs="Times New Roman"/>
          <w:lang w:val="en-US"/>
        </w:rPr>
        <w:t>Elevated circulatory levels of the cytosolic enzyme DPP3 were recently identified as a potential biomarker for prediction of organ failure and short-term outcome in critically ill patients</w:t>
      </w:r>
      <w:r w:rsidR="008320A2">
        <w:rPr>
          <w:rFonts w:ascii="Times New Roman" w:hAnsi="Times New Roman" w:cs="Times New Roman"/>
          <w:lang w:val="en-US"/>
        </w:rPr>
        <w:t xml:space="preserve"> </w:t>
      </w:r>
      <w:r>
        <w:rPr>
          <w:rFonts w:ascii="Times New Roman" w:hAnsi="Times New Roman" w:cs="Times New Roman"/>
          <w:lang w:val="en-US"/>
        </w:rPr>
        <w:fldChar w:fldCharType="begin" w:fldLock="1"/>
      </w:r>
      <w:r w:rsidR="00CF4681">
        <w:rPr>
          <w:rFonts w:ascii="Times New Roman" w:hAnsi="Times New Roman" w:cs="Times New Roman"/>
          <w:lang w:val="en-US"/>
        </w:rPr>
        <w:instrText>ADDIN CSL_CITATION {"citationItems":[{"id":"ITEM-1","itemData":{"DOI":"10.1373/jalm.2018.027995","ISSN":"2576-9456","author":[{"dropping-particle":"","family":"Rehfeld","given":"Linda","non-dropping-particle":"","parse-names":false,"suffix":""},{"dropping-particle":"","family":"Funk","given":"Eugenia","non-dropping-particle":"","parse-names":false,"suffix":""},{"dropping-particle":"","family":"Jha","given":"Shalinee","non-dropping-particle":"","parse-names":false,"suffix":""},{"dropping-particle":"","family":"Macheroux","given":"Peter","non-dropping-particle":"","parse-names":false,"suffix":""},{"dropping-particle":"","family":"Melander","given":"Olle","non-dropping-particle":"","parse-names":false,"suffix":""},{"dropping-particle":"","family":"Bergmann","given":"Andreas","non-dropping-particle":"","parse-names":false,"suffix":""}],"container-title":"The Journal of Applied Laboratory Medicine","id":"ITEM-1","issue":"6","issued":{"date-parts":[["2019","5","1"]]},"page":"943-953","title":"Novel methods for the quantification of dipeptidyl peptidase 3 (DPP3) concentration and activity in human blood samples.","type":"article-journal","volume":"3"},"uris":["http://www.mendeley.com/documents/?uuid=714ff383-7386-4508-bb26-062ca508a6e7"]}],"mendeley":{"formattedCitation":"[15]","plainTextFormattedCitation":"[15]","previouslyFormattedCitation":"[15]"},"properties":{"noteIndex":0},"schema":"https://github.com/citation-style-language/schema/raw/master/csl-citation.json"}</w:instrText>
      </w:r>
      <w:r>
        <w:rPr>
          <w:rFonts w:ascii="Times New Roman" w:hAnsi="Times New Roman" w:cs="Times New Roman"/>
          <w:lang w:val="en-US"/>
        </w:rPr>
        <w:fldChar w:fldCharType="separate"/>
      </w:r>
      <w:r w:rsidR="008320A2" w:rsidRPr="008320A2">
        <w:rPr>
          <w:rFonts w:ascii="Times New Roman" w:hAnsi="Times New Roman" w:cs="Times New Roman"/>
          <w:noProof/>
          <w:lang w:val="en-US"/>
        </w:rPr>
        <w:t>[15]</w:t>
      </w:r>
      <w:r>
        <w:rPr>
          <w:rFonts w:ascii="Times New Roman" w:hAnsi="Times New Roman" w:cs="Times New Roman"/>
          <w:lang w:val="en-US"/>
        </w:rPr>
        <w:fldChar w:fldCharType="end"/>
      </w:r>
      <w:r w:rsidR="00AE25E2" w:rsidRPr="00AE25E2">
        <w:rPr>
          <w:rFonts w:ascii="Times New Roman" w:hAnsi="Times New Roman" w:cs="Times New Roman"/>
          <w:lang w:val="en-US"/>
        </w:rPr>
        <w:t xml:space="preserve">. In the present pilot study, we examined for the </w:t>
      </w:r>
      <w:proofErr w:type="gramStart"/>
      <w:r w:rsidR="00AE25E2" w:rsidRPr="00AE25E2">
        <w:rPr>
          <w:rFonts w:ascii="Times New Roman" w:hAnsi="Times New Roman" w:cs="Times New Roman"/>
          <w:lang w:val="en-US"/>
        </w:rPr>
        <w:t>first time</w:t>
      </w:r>
      <w:proofErr w:type="gramEnd"/>
      <w:r w:rsidR="00AE25E2" w:rsidRPr="00AE25E2">
        <w:rPr>
          <w:rFonts w:ascii="Times New Roman" w:hAnsi="Times New Roman" w:cs="Times New Roman"/>
          <w:lang w:val="en-US"/>
        </w:rPr>
        <w:t xml:space="preserve"> temporal changes in </w:t>
      </w:r>
      <w:r w:rsidR="00AE25E2" w:rsidRPr="00AE25E2">
        <w:rPr>
          <w:rFonts w:ascii="Times New Roman" w:hAnsi="Times New Roman" w:cs="Times New Roman"/>
          <w:bCs/>
          <w:lang w:val="en-US"/>
        </w:rPr>
        <w:t>circulatory</w:t>
      </w:r>
      <w:r w:rsidR="00AE25E2" w:rsidRPr="00AE25E2">
        <w:rPr>
          <w:rFonts w:ascii="Times New Roman" w:hAnsi="Times New Roman" w:cs="Times New Roman"/>
          <w:b/>
          <w:lang w:val="en-US"/>
        </w:rPr>
        <w:t xml:space="preserve"> </w:t>
      </w:r>
      <w:r w:rsidR="00AE25E2" w:rsidRPr="00AE25E2">
        <w:rPr>
          <w:rFonts w:ascii="Times New Roman" w:hAnsi="Times New Roman" w:cs="Times New Roman"/>
          <w:lang w:val="en-US"/>
        </w:rPr>
        <w:t xml:space="preserve">DPP3 (cDPP3) levels after aSAH and their relation to clinical outcome, DCI and DCI-related infarction.  </w:t>
      </w:r>
    </w:p>
    <w:p w14:paraId="19212200" w14:textId="1386464D" w:rsidR="00F37E69" w:rsidRPr="00D9058F" w:rsidRDefault="000D16F3" w:rsidP="00F37E69">
      <w:pPr>
        <w:spacing w:after="0" w:line="360" w:lineRule="auto"/>
        <w:jc w:val="both"/>
        <w:rPr>
          <w:rFonts w:ascii="Times New Roman" w:hAnsi="Times New Roman" w:cs="Times New Roman"/>
          <w:b/>
          <w:lang w:val="en-US"/>
        </w:rPr>
      </w:pPr>
      <w:r>
        <w:rPr>
          <w:rFonts w:ascii="Times New Roman" w:hAnsi="Times New Roman" w:cs="Times New Roman"/>
          <w:b/>
          <w:lang w:val="en-US"/>
        </w:rPr>
        <w:t>a</w:t>
      </w:r>
      <w:r w:rsidR="00F37E69">
        <w:rPr>
          <w:rFonts w:ascii="Times New Roman" w:hAnsi="Times New Roman" w:cs="Times New Roman"/>
          <w:b/>
          <w:lang w:val="en-US"/>
        </w:rPr>
        <w:t xml:space="preserve">SAH and </w:t>
      </w:r>
      <w:r w:rsidR="00B46136">
        <w:rPr>
          <w:rFonts w:ascii="Times New Roman" w:hAnsi="Times New Roman" w:cs="Times New Roman"/>
          <w:b/>
          <w:lang w:val="en-US"/>
        </w:rPr>
        <w:t>c</w:t>
      </w:r>
      <w:r w:rsidR="00F37E69">
        <w:rPr>
          <w:rFonts w:ascii="Times New Roman" w:hAnsi="Times New Roman" w:cs="Times New Roman"/>
          <w:b/>
          <w:lang w:val="en-US"/>
        </w:rPr>
        <w:t>DPP3 levels</w:t>
      </w:r>
    </w:p>
    <w:p w14:paraId="27220B14" w14:textId="11F0A548" w:rsidR="00F37E69" w:rsidRDefault="00F37E69" w:rsidP="00F37E69">
      <w:pPr>
        <w:spacing w:line="360" w:lineRule="auto"/>
        <w:jc w:val="both"/>
        <w:rPr>
          <w:rFonts w:ascii="Times New Roman" w:hAnsi="Times New Roman" w:cs="Times New Roman"/>
          <w:lang w:val="en-US"/>
        </w:rPr>
      </w:pPr>
      <w:r>
        <w:rPr>
          <w:rFonts w:ascii="Times New Roman" w:hAnsi="Times New Roman" w:cs="Times New Roman"/>
          <w:lang w:val="en-US"/>
        </w:rPr>
        <w:t xml:space="preserve">On average, cDPP3 levels during the first three weeks after </w:t>
      </w:r>
      <w:r w:rsidR="000D16F3">
        <w:rPr>
          <w:rFonts w:ascii="Times New Roman" w:hAnsi="Times New Roman" w:cs="Times New Roman"/>
          <w:lang w:val="en-US"/>
        </w:rPr>
        <w:t>a</w:t>
      </w:r>
      <w:r>
        <w:rPr>
          <w:rFonts w:ascii="Times New Roman" w:hAnsi="Times New Roman" w:cs="Times New Roman"/>
          <w:lang w:val="en-US"/>
        </w:rPr>
        <w:t xml:space="preserve">SAH showed little changes </w:t>
      </w:r>
      <w:r w:rsidR="00AE25E2">
        <w:rPr>
          <w:rFonts w:ascii="Times New Roman" w:hAnsi="Times New Roman" w:cs="Times New Roman"/>
          <w:lang w:val="en-US"/>
        </w:rPr>
        <w:t xml:space="preserve">over time </w:t>
      </w:r>
      <w:r>
        <w:rPr>
          <w:rFonts w:ascii="Times New Roman" w:hAnsi="Times New Roman" w:cs="Times New Roman"/>
          <w:lang w:val="en-US"/>
        </w:rPr>
        <w:t>and were well within the range previously observed in healthy subjects</w:t>
      </w:r>
      <w:r w:rsidR="008320A2">
        <w:rPr>
          <w:rFonts w:ascii="Times New Roman" w:hAnsi="Times New Roman" w:cs="Times New Roman"/>
          <w:lang w:val="en-US"/>
        </w:rPr>
        <w:t xml:space="preserve"> </w:t>
      </w:r>
      <w:r w:rsidR="00DB17BA">
        <w:rPr>
          <w:rFonts w:ascii="Times New Roman" w:hAnsi="Times New Roman" w:cs="Times New Roman"/>
          <w:lang w:val="en-US"/>
        </w:rPr>
        <w:fldChar w:fldCharType="begin" w:fldLock="1"/>
      </w:r>
      <w:r w:rsidR="00CF4681">
        <w:rPr>
          <w:rFonts w:ascii="Times New Roman" w:hAnsi="Times New Roman" w:cs="Times New Roman"/>
          <w:lang w:val="en-US"/>
        </w:rPr>
        <w:instrText>ADDIN CSL_CITATION {"citationItems":[{"id":"ITEM-1","itemData":{"DOI":"10.1373/jalm.2018.027995","ISSN":"2576-9456","author":[{"dropping-particle":"","family":"Rehfeld","given":"Linda","non-dropping-particle":"","parse-names":false,"suffix":""},{"dropping-particle":"","family":"Funk","given":"Eugenia","non-dropping-particle":"","parse-names":false,"suffix":""},{"dropping-particle":"","family":"Jha","given":"Shalinee","non-dropping-particle":"","parse-names":false,"suffix":""},{"dropping-particle":"","family":"Macheroux","given":"Peter","non-dropping-particle":"","parse-names":false,"suffix":""},{"dropping-particle":"","family":"Melander","given":"Olle","non-dropping-particle":"","parse-names":false,"suffix":""},{"dropping-particle":"","family":"Bergmann","given":"Andreas","non-dropping-particle":"","parse-names":false,"suffix":""}],"container-title":"The Journal of Applied Laboratory Medicine","id":"ITEM-1","issue":"6","issued":{"date-parts":[["2019","5","1"]]},"page":"943-953","title":"Novel methods for the quantification of dipeptidyl peptidase 3 (DPP3) concentration and activity in human blood samples.","type":"article-journal","volume":"3"},"uris":["http://www.mendeley.com/documents/?uuid=714ff383-7386-4508-bb26-062ca508a6e7"]}],"mendeley":{"formattedCitation":"[15]","plainTextFormattedCitation":"[15]","previouslyFormattedCitation":"[15]"},"properties":{"noteIndex":0},"schema":"https://github.com/citation-style-language/schema/raw/master/csl-citation.json"}</w:instrText>
      </w:r>
      <w:r w:rsidR="00DB17BA">
        <w:rPr>
          <w:rFonts w:ascii="Times New Roman" w:hAnsi="Times New Roman" w:cs="Times New Roman"/>
          <w:lang w:val="en-US"/>
        </w:rPr>
        <w:fldChar w:fldCharType="separate"/>
      </w:r>
      <w:r w:rsidR="008320A2" w:rsidRPr="008320A2">
        <w:rPr>
          <w:rFonts w:ascii="Times New Roman" w:hAnsi="Times New Roman" w:cs="Times New Roman"/>
          <w:noProof/>
          <w:lang w:val="en-US"/>
        </w:rPr>
        <w:t>[15]</w:t>
      </w:r>
      <w:r w:rsidR="00DB17BA">
        <w:rPr>
          <w:rFonts w:ascii="Times New Roman" w:hAnsi="Times New Roman" w:cs="Times New Roman"/>
          <w:lang w:val="en-US"/>
        </w:rPr>
        <w:fldChar w:fldCharType="end"/>
      </w:r>
      <w:r>
        <w:rPr>
          <w:rFonts w:ascii="Times New Roman" w:hAnsi="Times New Roman" w:cs="Times New Roman"/>
          <w:lang w:val="en-US"/>
        </w:rPr>
        <w:t xml:space="preserve">. Lacking data on cDPP3 levels on the day of </w:t>
      </w:r>
      <w:r w:rsidR="000D16F3">
        <w:rPr>
          <w:rFonts w:ascii="Times New Roman" w:hAnsi="Times New Roman" w:cs="Times New Roman"/>
          <w:lang w:val="en-US"/>
        </w:rPr>
        <w:t>a</w:t>
      </w:r>
      <w:r>
        <w:rPr>
          <w:rFonts w:ascii="Times New Roman" w:hAnsi="Times New Roman" w:cs="Times New Roman"/>
          <w:lang w:val="en-US"/>
        </w:rPr>
        <w:t xml:space="preserve">SAH onset, these findings indicate that </w:t>
      </w:r>
      <w:r w:rsidR="000D16F3">
        <w:rPr>
          <w:rFonts w:ascii="Times New Roman" w:hAnsi="Times New Roman" w:cs="Times New Roman"/>
          <w:lang w:val="en-US"/>
        </w:rPr>
        <w:t>a</w:t>
      </w:r>
      <w:r>
        <w:rPr>
          <w:rFonts w:ascii="Times New Roman" w:hAnsi="Times New Roman" w:cs="Times New Roman"/>
          <w:lang w:val="en-US"/>
        </w:rPr>
        <w:t xml:space="preserve">SAH was either not associated with an early elevation of cDPP3 levels or that patients who survived the initial bleed were capable of normalizing their cDPP3 levels within the first 24 hours. The latter would be in line with previous studies in patients suffering from cardiogenic shock, severe burns and / or sepsis, which indicate that cDPP3 </w:t>
      </w:r>
      <w:r w:rsidR="009843B5">
        <w:rPr>
          <w:rFonts w:ascii="Times New Roman" w:hAnsi="Times New Roman" w:cs="Times New Roman"/>
          <w:lang w:val="en-US"/>
        </w:rPr>
        <w:t>could be</w:t>
      </w:r>
      <w:r>
        <w:rPr>
          <w:rFonts w:ascii="Times New Roman" w:hAnsi="Times New Roman" w:cs="Times New Roman"/>
          <w:lang w:val="en-US"/>
        </w:rPr>
        <w:t xml:space="preserve"> a marker for </w:t>
      </w:r>
      <w:r w:rsidR="00CB2C7D">
        <w:rPr>
          <w:rFonts w:ascii="Times New Roman" w:hAnsi="Times New Roman" w:cs="Times New Roman"/>
          <w:lang w:val="en-US"/>
        </w:rPr>
        <w:t xml:space="preserve">short-term (i.e. in-hospital) outcome </w:t>
      </w:r>
      <w:r>
        <w:rPr>
          <w:rFonts w:ascii="Times New Roman" w:hAnsi="Times New Roman" w:cs="Times New Roman"/>
          <w:lang w:val="en-US"/>
        </w:rPr>
        <w:t>in these patients. Thus, patients capable of normalizing their cDPP3 levels within 24 to 48 hours after admission to the ICU generally had a lower risk of mortality than patients with cDPP3 levels that remained high</w:t>
      </w:r>
      <w:r w:rsidR="008320A2">
        <w:rPr>
          <w:rFonts w:ascii="Times New Roman" w:hAnsi="Times New Roman" w:cs="Times New Roman"/>
          <w:lang w:val="en-US"/>
        </w:rPr>
        <w:t xml:space="preserve"> </w:t>
      </w:r>
      <w:r>
        <w:rPr>
          <w:rFonts w:ascii="Times New Roman" w:hAnsi="Times New Roman" w:cs="Times New Roman"/>
          <w:lang w:val="en-US"/>
        </w:rPr>
        <w:fldChar w:fldCharType="begin" w:fldLock="1"/>
      </w:r>
      <w:r w:rsidR="00CF4681">
        <w:rPr>
          <w:rFonts w:ascii="Times New Roman" w:hAnsi="Times New Roman" w:cs="Times New Roman"/>
          <w:lang w:val="en-US"/>
        </w:rPr>
        <w:instrText>ADDIN CSL_CITATION {"citationItems":[{"id":"ITEM-1","itemData":{"DOI":"10.1002/ejhf.1600","ISSN":"1388-9842","author":[{"dropping-particle":"","family":"Takagi","given":"Koji","non-dropping-particle":"","parse-names":false,"suffix":""},{"dropping-particle":"","family":"Blet","given":"Alice","non-dropping-particle":"","parse-names":false,"suffix":""},{"dropping-particle":"","family":"Levy","given":"Bruno","non-dropping-particle":"","parse-names":false,"suffix":""},{"dropping-particle":"","family":"Deniau","given":"Benjamin","non-dropping-particle":"","parse-names":false,"suffix":""},{"dropping-particle":"","family":"Azibani","given":"Feriel","non-dropping-particle":"","parse-names":false,"suffix":""},{"dropping-particle":"","family":"Feliot","given":"Elodie","non-dropping-particle":"","parse-names":false,"suffix":""},{"dropping-particle":"","family":"Bergmann","given":"Andreas","non-dropping-particle":"","parse-names":false,"suffix":""},{"dropping-particle":"","family":"Santos","given":"Karine","non-dropping-particle":"","parse-names":false,"suffix":""},{"dropping-particle":"","family":"Hartmann","given":"Oliver","non-dropping-particle":"","parse-names":false,"suffix":""},{"dropping-particle":"","family":"Gayat","given":"Etienne","non-dropping-particle":"","parse-names":false,"suffix":""},{"dropping-particle":"","family":"Mebazaa","given":"Alexandre","non-dropping-particle":"","parse-names":false,"suffix":""},{"dropping-particle":"","family":"Kimmoun","given":"Antoine","non-dropping-particle":"","parse-names":false,"suffix":""}],"container-title":"European Journal of Heart Failure","id":"ITEM-1","issue":"2","issued":{"date-parts":[["2020","2"]]},"page":"279-286","title":"Circulating dipeptidyl peptidase 3 and alteration in haemodynamics in cardiogenic shock: Results from the OptimaCC trial.","type":"article-journal","volume":"22"},"uris":["http://www.mendeley.com/documents/?uuid=55665246-5d7e-4396-9911-ba08c15f5909"]},{"id":"ITEM-2","itemData":{"DOI":"10.1002/ejhf.1601","ISSN":"1388-9842","author":[{"dropping-particle":"","family":"Deniau","given":"Benjamin","non-dropping-particle":"","parse-names":false,"suffix":""},{"dropping-particle":"","family":"Rehfeld","given":"Linda","non-dropping-particle":"","parse-names":false,"suffix":""},{"dropping-particle":"","family":"Santos","given":"Karine","non-dropping-particle":"","parse-names":false,"suffix":""},{"dropping-particle":"","family":"Dienelt","given":"Anke","non-dropping-particle":"","parse-names":false,"suffix":""},{"dropping-particle":"","family":"Azibani","given":"Feriel","non-dropping-particle":"","parse-names":false,"suffix":""},{"dropping-particle":"","family":"Sadoune","given":"Malha","non-dropping-particle":"","parse-names":false,"suffix":""},{"dropping-particle":"","family":"Kounde","given":"Paul R.","non-dropping-particle":"","parse-names":false,"suffix":""},{"dropping-particle":"","family":"Samuel","given":"Jane L.","non-dropping-particle":"","parse-names":false,"suffix":""},{"dropping-particle":"","family":"Tolpannen","given":"Heli","non-dropping-particle":"","parse-names":false,"suffix":""},{"dropping-particle":"","family":"Lassus","given":"Johan","non-dropping-particle":"","parse-names":false,"suffix":""},{"dropping-particle":"","family":"Harjola","given":"Veli‐Pekka","non-dropping-particle":"","parse-names":false,"suffix":""},{"dropping-particle":"","family":"Vodovar","given":"Nicolas","non-dropping-particle":"","parse-names":false,"suffix":""},{"dropping-particle":"","family":"Bergmann","given":"Andreas","non-dropping-particle":"","parse-names":false,"suffix":""},{"dropping-particle":"","family":"Hartmann","given":"Oliver","non-dropping-particle":"","parse-names":false,"suffix":""},{"dropping-particle":"","family":"Mebazaa","given":"Alexandre","non-dropping-particle":"","parse-names":false,"suffix":""},{"dropping-particle":"","family":"Blet","given":"Alice","non-dropping-particle":"","parse-names":false,"suffix":""}],"container-title":"European Journal of Heart Failure","id":"ITEM-2","issue":"2","issued":{"date-parts":[["2020","2"]]},"page":"290-299","title":"Circulating dipeptidyl peptidase 3 is a myocardial depressant factor: Dipeptidyl peptidase 3 inhibition rapidly and sustainably improves haemodynamics.","type":"article-journal","volume":"22"},"uris":["http://www.mendeley.com/documents/?uuid=39f0896b-3d0c-4c96-9cb4-a045bff6c543"]},{"id":"ITEM-3","itemData":{"DOI":"10.1186/s13054-020-02888-5","ISSN":"1364-8535","author":[{"dropping-particle":"","family":"Dépret","given":"François","non-dropping-particle":"","parse-names":false,"suffix":""},{"dropping-particle":"","family":"Amzallag","given":"Juliette","non-dropping-particle":"","parse-names":false,"suffix":""},{"dropping-particle":"","family":"Pollina","given":"Adrien","non-dropping-particle":"","parse-names":false,"suffix":""},{"dropping-particle":"","family":"Fayolle-Pivot","given":"Laure","non-dropping-particle":"","parse-names":false,"suffix":""},{"dropping-particle":"","family":"Coutrot","given":"Maxime","non-dropping-particle":"","parse-names":false,"suffix":""},{"dropping-particle":"","family":"Chaussard","given":"Maïté","non-dropping-particle":"","parse-names":false,"suffix":""},{"dropping-particle":"","family":"Santos","given":"Karine","non-dropping-particle":"","parse-names":false,"suffix":""},{"dropping-particle":"","family":"Hartmann","given":"Oliver","non-dropping-particle":"","parse-names":false,"suffix":""},{"dropping-particle":"","family":"Jully","given":"Marion","non-dropping-particle":"","parse-names":false,"suffix":""},{"dropping-particle":"","family":"Fratani","given":"Alexandre","non-dropping-particle":"","parse-names":false,"suffix":""},{"dropping-particle":"","family":"Oueslati","given":"Haikel","non-dropping-particle":"","parse-names":false,"suffix":""},{"dropping-particle":"","family":"Cupaciu","given":"Alexandru","non-dropping-particle":"","parse-names":false,"suffix":""},{"dropping-particle":"","family":"Benyamina","given":"Mourad","non-dropping-particle":"","parse-names":false,"suffix":""},{"dropping-particle":"","family":"Guillemet","given":"Lucie","non-dropping-particle":"","parse-names":false,"suffix":""},{"dropping-particle":"","family":"Deniau","given":"Benjamin","non-dropping-particle":"","parse-names":false,"suffix":""},{"dropping-particle":"","family":"Mebazaa","given":"Alexandre","non-dropping-particle":"","parse-names":false,"suffix":""},{"dropping-particle":"","family":"Gayat","given":"Etienne","non-dropping-particle":"","parse-names":false,"suffix":""},{"dropping-particle":"","family":"Farny","given":"Boris","non-dropping-particle":"","parse-names":false,"suffix":""},{"dropping-particle":"","family":"Textoris","given":"Julien","non-dropping-particle":"","parse-names":false,"suffix":""},{"dropping-particle":"","family":"Legrand","given":"Matthieu","non-dropping-particle":"","parse-names":false,"suffix":""}],"container-title":"Critical Care","id":"ITEM-3","issue":"1","issued":{"date-parts":[["2020","12","22"]]},"page":"168","title":"Circulating dipeptidyl peptidase-3 at admission is associated with circulatory failure, acute kidney injury and death in severely ill burn patients.","type":"article-journal","volume":"24"},"uris":["http://www.mendeley.com/documents/?uuid=054b9d29-d4a6-4bff-9326-b974fab8db02"]}],"mendeley":{"formattedCitation":"[8–10]","plainTextFormattedCitation":"[8–10]","previouslyFormattedCitation":"[8–10]"},"properties":{"noteIndex":0},"schema":"https://github.com/citation-style-language/schema/raw/master/csl-citation.json"}</w:instrText>
      </w:r>
      <w:r>
        <w:rPr>
          <w:rFonts w:ascii="Times New Roman" w:hAnsi="Times New Roman" w:cs="Times New Roman"/>
          <w:lang w:val="en-US"/>
        </w:rPr>
        <w:fldChar w:fldCharType="separate"/>
      </w:r>
      <w:r w:rsidR="008320A2" w:rsidRPr="008320A2">
        <w:rPr>
          <w:rFonts w:ascii="Times New Roman" w:hAnsi="Times New Roman" w:cs="Times New Roman"/>
          <w:noProof/>
          <w:lang w:val="en-US"/>
        </w:rPr>
        <w:t>[8–10]</w:t>
      </w:r>
      <w:r>
        <w:rPr>
          <w:rFonts w:ascii="Times New Roman" w:hAnsi="Times New Roman" w:cs="Times New Roman"/>
          <w:lang w:val="en-US"/>
        </w:rPr>
        <w:fldChar w:fldCharType="end"/>
      </w:r>
      <w:r>
        <w:rPr>
          <w:rFonts w:ascii="Times New Roman" w:hAnsi="Times New Roman" w:cs="Times New Roman"/>
          <w:lang w:val="en-US"/>
        </w:rPr>
        <w:t xml:space="preserve">. However, the </w:t>
      </w:r>
      <w:r w:rsidR="00661B32">
        <w:rPr>
          <w:rFonts w:ascii="Times New Roman" w:hAnsi="Times New Roman" w:cs="Times New Roman"/>
          <w:lang w:val="en-US"/>
        </w:rPr>
        <w:t>mo</w:t>
      </w:r>
      <w:r w:rsidR="000D3656">
        <w:rPr>
          <w:rFonts w:ascii="Times New Roman" w:hAnsi="Times New Roman" w:cs="Times New Roman"/>
          <w:lang w:val="en-US"/>
        </w:rPr>
        <w:t>re</w:t>
      </w:r>
      <w:r w:rsidR="00661B32">
        <w:rPr>
          <w:rFonts w:ascii="Times New Roman" w:hAnsi="Times New Roman" w:cs="Times New Roman"/>
          <w:lang w:val="en-US"/>
        </w:rPr>
        <w:t xml:space="preserve"> important </w:t>
      </w:r>
      <w:r>
        <w:rPr>
          <w:rFonts w:ascii="Times New Roman" w:hAnsi="Times New Roman" w:cs="Times New Roman"/>
          <w:lang w:val="en-US"/>
        </w:rPr>
        <w:t xml:space="preserve">finding of the present study </w:t>
      </w:r>
      <w:r w:rsidR="00661B32">
        <w:rPr>
          <w:rFonts w:ascii="Times New Roman" w:hAnsi="Times New Roman" w:cs="Times New Roman"/>
          <w:lang w:val="en-US"/>
        </w:rPr>
        <w:t xml:space="preserve">is </w:t>
      </w:r>
      <w:r>
        <w:rPr>
          <w:rFonts w:ascii="Times New Roman" w:hAnsi="Times New Roman" w:cs="Times New Roman"/>
          <w:lang w:val="en-US"/>
        </w:rPr>
        <w:t xml:space="preserve">that cDPP3 levels during the critical phase were significantly higher in patients with a poor clinical outcome after 12 months, in patients that developed DCI and especially in patients that developed a DCI-related infarction. Based on the subgroup comparison between patients with DCI only and DCI-related infarction, the elevation of cDPP3 levels in patients with DCI was </w:t>
      </w:r>
      <w:r w:rsidR="001A74C2">
        <w:rPr>
          <w:rFonts w:ascii="Times New Roman" w:hAnsi="Times New Roman" w:cs="Times New Roman"/>
          <w:lang w:val="en-US"/>
        </w:rPr>
        <w:t xml:space="preserve">almost exclusively </w:t>
      </w:r>
      <w:r>
        <w:rPr>
          <w:rFonts w:ascii="Times New Roman" w:hAnsi="Times New Roman" w:cs="Times New Roman"/>
          <w:lang w:val="en-US"/>
        </w:rPr>
        <w:t>due to the latter subgroup</w:t>
      </w:r>
      <w:r w:rsidR="000D16F3">
        <w:rPr>
          <w:rFonts w:ascii="Times New Roman" w:hAnsi="Times New Roman" w:cs="Times New Roman"/>
          <w:lang w:val="en-US"/>
        </w:rPr>
        <w:t>,</w:t>
      </w:r>
      <w:r>
        <w:rPr>
          <w:rFonts w:ascii="Times New Roman" w:hAnsi="Times New Roman" w:cs="Times New Roman"/>
          <w:lang w:val="en-US"/>
        </w:rPr>
        <w:t xml:space="preserve"> which would be consistent with the idea that DPP3 is released from dying cells. Given that there was a significant association between DCI occurrence and clinical outcome after 12 months, it seems </w:t>
      </w:r>
      <w:r w:rsidR="00545896">
        <w:rPr>
          <w:rFonts w:ascii="Times New Roman" w:hAnsi="Times New Roman" w:cs="Times New Roman"/>
          <w:lang w:val="en-US"/>
        </w:rPr>
        <w:t xml:space="preserve">also </w:t>
      </w:r>
      <w:r>
        <w:rPr>
          <w:rFonts w:ascii="Times New Roman" w:hAnsi="Times New Roman" w:cs="Times New Roman"/>
          <w:lang w:val="en-US"/>
        </w:rPr>
        <w:t xml:space="preserve">likely that the higher cDPP3 levels in </w:t>
      </w:r>
      <w:r>
        <w:rPr>
          <w:rFonts w:ascii="Times New Roman" w:hAnsi="Times New Roman" w:cs="Times New Roman"/>
          <w:lang w:val="en-US"/>
        </w:rPr>
        <w:lastRenderedPageBreak/>
        <w:t xml:space="preserve">patients with an unfavorable outcome were at least in part due to patients with DCI-related infarctions as </w:t>
      </w:r>
      <w:r w:rsidR="00AE25E2" w:rsidRPr="00AE25E2">
        <w:rPr>
          <w:rFonts w:ascii="Times New Roman" w:hAnsi="Times New Roman" w:cs="Times New Roman"/>
          <w:lang w:val="en-US"/>
        </w:rPr>
        <w:t>well</w:t>
      </w:r>
      <w:r>
        <w:rPr>
          <w:rFonts w:ascii="Times New Roman" w:hAnsi="Times New Roman" w:cs="Times New Roman"/>
          <w:lang w:val="en-US"/>
        </w:rPr>
        <w:t>.</w:t>
      </w:r>
    </w:p>
    <w:p w14:paraId="600FD721" w14:textId="72C55AFD" w:rsidR="00F37E69" w:rsidRPr="009C7623" w:rsidRDefault="00F37E69" w:rsidP="00F37E69">
      <w:pPr>
        <w:spacing w:after="0" w:line="360" w:lineRule="auto"/>
        <w:jc w:val="both"/>
        <w:rPr>
          <w:rFonts w:ascii="Times New Roman" w:hAnsi="Times New Roman" w:cs="Times New Roman"/>
          <w:b/>
          <w:lang w:val="en-US"/>
        </w:rPr>
      </w:pPr>
      <w:r>
        <w:rPr>
          <w:rFonts w:ascii="Times New Roman" w:hAnsi="Times New Roman" w:cs="Times New Roman"/>
          <w:b/>
          <w:lang w:val="en-US"/>
        </w:rPr>
        <w:t xml:space="preserve">cDPP3 as a potential </w:t>
      </w:r>
      <w:r w:rsidR="000D16F3">
        <w:rPr>
          <w:rFonts w:ascii="Times New Roman" w:hAnsi="Times New Roman" w:cs="Times New Roman"/>
          <w:b/>
          <w:lang w:val="en-US"/>
        </w:rPr>
        <w:t>a</w:t>
      </w:r>
      <w:r>
        <w:rPr>
          <w:rFonts w:ascii="Times New Roman" w:hAnsi="Times New Roman" w:cs="Times New Roman"/>
          <w:b/>
          <w:lang w:val="en-US"/>
        </w:rPr>
        <w:t>SAH biomarker</w:t>
      </w:r>
    </w:p>
    <w:p w14:paraId="50F590D3" w14:textId="3B81ABF5" w:rsidR="00E500BF" w:rsidRDefault="00F37E69" w:rsidP="001C5E02">
      <w:pPr>
        <w:spacing w:line="360" w:lineRule="auto"/>
        <w:jc w:val="both"/>
        <w:rPr>
          <w:rFonts w:ascii="Times New Roman" w:hAnsi="Times New Roman" w:cs="Times New Roman"/>
          <w:lang w:val="en-US"/>
        </w:rPr>
      </w:pPr>
      <w:r>
        <w:rPr>
          <w:rFonts w:ascii="Times New Roman" w:hAnsi="Times New Roman" w:cs="Times New Roman"/>
          <w:lang w:val="en-US"/>
        </w:rPr>
        <w:t xml:space="preserve">Because clinical grading in </w:t>
      </w:r>
      <w:r w:rsidR="000D16F3">
        <w:rPr>
          <w:rFonts w:ascii="Times New Roman" w:hAnsi="Times New Roman" w:cs="Times New Roman"/>
          <w:lang w:val="en-US"/>
        </w:rPr>
        <w:t>a</w:t>
      </w:r>
      <w:r>
        <w:rPr>
          <w:rFonts w:ascii="Times New Roman" w:hAnsi="Times New Roman" w:cs="Times New Roman"/>
          <w:lang w:val="en-US"/>
        </w:rPr>
        <w:t xml:space="preserve">SAH patients is often confounded by their poor initial condition and the need for sedation, there is an urgent need of </w:t>
      </w:r>
      <w:r w:rsidRPr="007E268B">
        <w:rPr>
          <w:rFonts w:ascii="Times New Roman" w:hAnsi="Times New Roman" w:cs="Times New Roman"/>
          <w:lang w:val="en-US"/>
        </w:rPr>
        <w:t xml:space="preserve">objective and reliable </w:t>
      </w:r>
      <w:r w:rsidR="003A0746">
        <w:rPr>
          <w:rFonts w:ascii="Times New Roman" w:hAnsi="Times New Roman" w:cs="Times New Roman"/>
          <w:lang w:val="en-US"/>
        </w:rPr>
        <w:t xml:space="preserve">diagnostic and prognostic </w:t>
      </w:r>
      <w:r w:rsidRPr="007E268B">
        <w:rPr>
          <w:rFonts w:ascii="Times New Roman" w:hAnsi="Times New Roman" w:cs="Times New Roman"/>
          <w:lang w:val="en-US"/>
        </w:rPr>
        <w:t>biomarkers</w:t>
      </w:r>
      <w:r w:rsidR="008320A2">
        <w:rPr>
          <w:rFonts w:ascii="Times New Roman" w:hAnsi="Times New Roman" w:cs="Times New Roman"/>
          <w:lang w:val="en-US"/>
        </w:rPr>
        <w:t xml:space="preserve"> </w:t>
      </w:r>
      <w:r w:rsidR="00A54487">
        <w:rPr>
          <w:rFonts w:ascii="Times New Roman" w:hAnsi="Times New Roman" w:cs="Times New Roman"/>
          <w:lang w:val="en-US"/>
        </w:rPr>
        <w:fldChar w:fldCharType="begin" w:fldLock="1"/>
      </w:r>
      <w:r w:rsidR="00CF4681">
        <w:rPr>
          <w:rFonts w:ascii="Times New Roman" w:hAnsi="Times New Roman" w:cs="Times New Roman"/>
          <w:lang w:val="en-US"/>
        </w:rPr>
        <w:instrText>ADDIN CSL_CITATION {"citationItems":[{"id":"ITEM-1","itemData":{"DOI":"10.1161/STROKEAHA.108.544700","ISSN":"0039-2499","author":[{"dropping-particle":"","family":"Frontera","given":"Jennifer A.","non-dropping-particle":"","parse-names":false,"suffix":""},{"dropping-particle":"","family":"Fernandez","given":"Andres","non-dropping-particle":"","parse-names":false,"suffix":""},{"dropping-particle":"","family":"Schmidt","given":"J. Michael","non-dropping-particle":"","parse-names":false,"suffix":""},{"dropping-particle":"","family":"Claassen","given":"Jan","non-dropping-particle":"","parse-names":false,"suffix":""},{"dropping-particle":"","family":"Wartenberg","given":"Katja E.","non-dropping-particle":"","parse-names":false,"suffix":""},{"dropping-particle":"","family":"Badjatia","given":"Neeraj","non-dropping-particle":"","parse-names":false,"suffix":""},{"dropping-particle":"","family":"Connolly","given":"E. Sander","non-dropping-particle":"","parse-names":false,"suffix":""},{"dropping-particle":"","family":"Mayer","given":"Stephan A.","non-dropping-particle":"","parse-names":false,"suffix":""}],"container-title":"Stroke","id":"ITEM-1","issue":"6","issued":{"date-parts":[["2009","6"]]},"page":"1963-1968","title":"Defining Vasospasm After Subarachnoid Hemorrhage","type":"article-journal","volume":"40"},"uris":["http://www.mendeley.com/documents/?uuid=e14235b0-06b3-44d4-af4e-2961b5813c37"]},{"id":"ITEM-2","itemData":{"DOI":"10.3389/fneur.2014.00134","ISSN":"1664-2295","author":[{"dropping-particle":"","family":"Sarrafzadeh","given":"Asita S.","non-dropping-particle":"","parse-names":false,"suffix":""},{"dropping-particle":"","family":"Vajkoczy","given":"Peter","non-dropping-particle":"","parse-names":false,"suffix":""},{"dropping-particle":"","family":"Bijlenga","given":"Philippe","non-dropping-particle":"","parse-names":false,"suffix":""},{"dropping-particle":"","family":"Schaller","given":"Karl","non-dropping-particle":"","parse-names":false,"suffix":""}],"container-title":"Frontiers in Neurology","id":"ITEM-2","issued":{"date-parts":[["2014","7","21"]]},"title":"Monitoring in Neurointensive Care - The Challenge to Detect Delayed Cerebral Ischemia in High-Grade Aneurysmal SAH","type":"article-journal","volume":"5"},"uris":["http://www.mendeley.com/documents/?uuid=622b02de-62fd-4bac-b801-cd4ab2d9d054"]}],"mendeley":{"formattedCitation":"[7,27]","plainTextFormattedCitation":"[7,27]","previouslyFormattedCitation":"[7,27]"},"properties":{"noteIndex":0},"schema":"https://github.com/citation-style-language/schema/raw/master/csl-citation.json"}</w:instrText>
      </w:r>
      <w:r w:rsidR="00A54487">
        <w:rPr>
          <w:rFonts w:ascii="Times New Roman" w:hAnsi="Times New Roman" w:cs="Times New Roman"/>
          <w:lang w:val="en-US"/>
        </w:rPr>
        <w:fldChar w:fldCharType="separate"/>
      </w:r>
      <w:r w:rsidR="008320A2" w:rsidRPr="008320A2">
        <w:rPr>
          <w:rFonts w:ascii="Times New Roman" w:hAnsi="Times New Roman" w:cs="Times New Roman"/>
          <w:noProof/>
          <w:lang w:val="en-US"/>
        </w:rPr>
        <w:t>[7,27]</w:t>
      </w:r>
      <w:r w:rsidR="00A54487">
        <w:rPr>
          <w:rFonts w:ascii="Times New Roman" w:hAnsi="Times New Roman" w:cs="Times New Roman"/>
          <w:lang w:val="en-US"/>
        </w:rPr>
        <w:fldChar w:fldCharType="end"/>
      </w:r>
      <w:r>
        <w:rPr>
          <w:rFonts w:ascii="Times New Roman" w:hAnsi="Times New Roman" w:cs="Times New Roman"/>
          <w:lang w:val="en-US"/>
        </w:rPr>
        <w:t xml:space="preserve">. Our findings show that patients suffering from DCI-related infarction exhibited a transient increase of cDPP3 levels during the critical phase that became significant on day 5-8 after </w:t>
      </w:r>
      <w:r w:rsidR="000D16F3">
        <w:rPr>
          <w:rFonts w:ascii="Times New Roman" w:hAnsi="Times New Roman" w:cs="Times New Roman"/>
          <w:lang w:val="en-US"/>
        </w:rPr>
        <w:t>a</w:t>
      </w:r>
      <w:r>
        <w:rPr>
          <w:rFonts w:ascii="Times New Roman" w:hAnsi="Times New Roman" w:cs="Times New Roman"/>
          <w:lang w:val="en-US"/>
        </w:rPr>
        <w:t xml:space="preserve">SAH onset and peaked on day 13-15. In addition, cDPP3 levels on day 5-8 were predictive for outcome and multivariate analysis showed an independent association between higher cDPP3 levels on day 5-8 and DCI-related infarction in our patients. </w:t>
      </w:r>
      <w:r w:rsidR="006A49AD">
        <w:rPr>
          <w:rFonts w:ascii="Times New Roman" w:hAnsi="Times New Roman" w:cs="Times New Roman"/>
          <w:lang w:val="en-US"/>
        </w:rPr>
        <w:t xml:space="preserve">What makes it difficult to appraise the </w:t>
      </w:r>
      <w:r w:rsidR="008E09BA">
        <w:rPr>
          <w:rFonts w:ascii="Times New Roman" w:hAnsi="Times New Roman" w:cs="Times New Roman"/>
          <w:lang w:val="en-US"/>
        </w:rPr>
        <w:t xml:space="preserve">exact </w:t>
      </w:r>
      <w:r w:rsidR="006A49AD">
        <w:rPr>
          <w:rFonts w:ascii="Times New Roman" w:hAnsi="Times New Roman" w:cs="Times New Roman"/>
          <w:lang w:val="en-US"/>
        </w:rPr>
        <w:t xml:space="preserve">temporal relationship between </w:t>
      </w:r>
      <w:r w:rsidR="00A94025">
        <w:rPr>
          <w:rFonts w:ascii="Times New Roman" w:hAnsi="Times New Roman" w:cs="Times New Roman"/>
          <w:lang w:val="en-US"/>
        </w:rPr>
        <w:t>DCI-related infarct</w:t>
      </w:r>
      <w:r w:rsidR="006A49AD">
        <w:rPr>
          <w:rFonts w:ascii="Times New Roman" w:hAnsi="Times New Roman" w:cs="Times New Roman"/>
          <w:lang w:val="en-US"/>
        </w:rPr>
        <w:t xml:space="preserve">s and the </w:t>
      </w:r>
      <w:r w:rsidR="007E1A94">
        <w:rPr>
          <w:rFonts w:ascii="Times New Roman" w:hAnsi="Times New Roman" w:cs="Times New Roman"/>
          <w:lang w:val="en-US"/>
        </w:rPr>
        <w:t xml:space="preserve">observed </w:t>
      </w:r>
      <w:r w:rsidR="006A49AD">
        <w:rPr>
          <w:rFonts w:ascii="Times New Roman" w:hAnsi="Times New Roman" w:cs="Times New Roman"/>
          <w:lang w:val="en-US"/>
        </w:rPr>
        <w:t xml:space="preserve">changes in cDPP3 levels is the fact that </w:t>
      </w:r>
      <w:r w:rsidR="00A94025">
        <w:rPr>
          <w:rFonts w:ascii="Times New Roman" w:hAnsi="Times New Roman" w:cs="Times New Roman"/>
          <w:lang w:val="en-US"/>
        </w:rPr>
        <w:t>cerebral infarctions can only be diagnosed retrospectively once an infarct is detected radiographically</w:t>
      </w:r>
      <w:r w:rsidR="008320A2">
        <w:rPr>
          <w:rFonts w:ascii="Times New Roman" w:hAnsi="Times New Roman" w:cs="Times New Roman"/>
          <w:lang w:val="en-US"/>
        </w:rPr>
        <w:t xml:space="preserve"> </w:t>
      </w:r>
      <w:r w:rsidR="007E1A94">
        <w:rPr>
          <w:rFonts w:ascii="Times New Roman" w:hAnsi="Times New Roman" w:cs="Times New Roman"/>
          <w:lang w:val="en-US"/>
        </w:rPr>
        <w:fldChar w:fldCharType="begin" w:fldLock="1"/>
      </w:r>
      <w:r w:rsidR="00CF4681">
        <w:rPr>
          <w:rFonts w:ascii="Times New Roman" w:hAnsi="Times New Roman" w:cs="Times New Roman"/>
          <w:lang w:val="en-US"/>
        </w:rPr>
        <w:instrText>ADDIN CSL_CITATION {"citationItems":[{"id":"ITEM-1","itemData":{"DOI":"10.1161/STROKEAHA.108.544700","ISSN":"0039-2499","author":[{"dropping-particle":"","family":"Frontera","given":"Jennifer A.","non-dropping-particle":"","parse-names":false,"suffix":""},{"dropping-particle":"","family":"Fernandez","given":"Andres","non-dropping-particle":"","parse-names":false,"suffix":""},{"dropping-particle":"","family":"Schmidt","given":"J. Michael","non-dropping-particle":"","parse-names":false,"suffix":""},{"dropping-particle":"","family":"Claassen","given":"Jan","non-dropping-particle":"","parse-names":false,"suffix":""},{"dropping-particle":"","family":"Wartenberg","given":"Katja E.","non-dropping-particle":"","parse-names":false,"suffix":""},{"dropping-particle":"","family":"Badjatia","given":"Neeraj","non-dropping-particle":"","parse-names":false,"suffix":""},{"dropping-particle":"","family":"Connolly","given":"E. Sander","non-dropping-particle":"","parse-names":false,"suffix":""},{"dropping-particle":"","family":"Mayer","given":"Stephan A.","non-dropping-particle":"","parse-names":false,"suffix":""}],"container-title":"Stroke","id":"ITEM-1","issue":"6","issued":{"date-parts":[["2009","6"]]},"page":"1963-1968","title":"Defining Vasospasm After Subarachnoid Hemorrhage","type":"article-journal","volume":"40"},"uris":["http://www.mendeley.com/documents/?uuid=e14235b0-06b3-44d4-af4e-2961b5813c37"]},{"id":"ITEM-2","itemData":{"DOI":"10.3389/fneur.2014.00134","ISSN":"1664-2295","author":[{"dropping-particle":"","family":"Sarrafzadeh","given":"Asita S.","non-dropping-particle":"","parse-names":false,"suffix":""},{"dropping-particle":"","family":"Vajkoczy","given":"Peter","non-dropping-particle":"","parse-names":false,"suffix":""},{"dropping-particle":"","family":"Bijlenga","given":"Philippe","non-dropping-particle":"","parse-names":false,"suffix":""},{"dropping-particle":"","family":"Schaller","given":"Karl","non-dropping-particle":"","parse-names":false,"suffix":""}],"container-title":"Frontiers in Neurology","id":"ITEM-2","issued":{"date-parts":[["2014","7","21"]]},"title":"Monitoring in Neurointensive Care - The Challenge to Detect Delayed Cerebral Ischemia in High-Grade Aneurysmal SAH","type":"article-journal","volume":"5"},"uris":["http://www.mendeley.com/documents/?uuid=622b02de-62fd-4bac-b801-cd4ab2d9d054"]}],"mendeley":{"formattedCitation":"[7,27]","plainTextFormattedCitation":"[7,27]","previouslyFormattedCitation":"[7,27]"},"properties":{"noteIndex":0},"schema":"https://github.com/citation-style-language/schema/raw/master/csl-citation.json"}</w:instrText>
      </w:r>
      <w:r w:rsidR="007E1A94">
        <w:rPr>
          <w:rFonts w:ascii="Times New Roman" w:hAnsi="Times New Roman" w:cs="Times New Roman"/>
          <w:lang w:val="en-US"/>
        </w:rPr>
        <w:fldChar w:fldCharType="separate"/>
      </w:r>
      <w:r w:rsidR="008320A2" w:rsidRPr="008320A2">
        <w:rPr>
          <w:rFonts w:ascii="Times New Roman" w:hAnsi="Times New Roman" w:cs="Times New Roman"/>
          <w:noProof/>
          <w:lang w:val="en-US"/>
        </w:rPr>
        <w:t>[7,27]</w:t>
      </w:r>
      <w:r w:rsidR="007E1A94">
        <w:rPr>
          <w:rFonts w:ascii="Times New Roman" w:hAnsi="Times New Roman" w:cs="Times New Roman"/>
          <w:lang w:val="en-US"/>
        </w:rPr>
        <w:fldChar w:fldCharType="end"/>
      </w:r>
      <w:r w:rsidR="007E1A94">
        <w:rPr>
          <w:rFonts w:ascii="Times New Roman" w:hAnsi="Times New Roman" w:cs="Times New Roman"/>
          <w:lang w:val="en-US"/>
        </w:rPr>
        <w:t xml:space="preserve">. However, </w:t>
      </w:r>
      <w:proofErr w:type="gramStart"/>
      <w:r w:rsidR="007E1A94">
        <w:rPr>
          <w:rFonts w:ascii="Times New Roman" w:hAnsi="Times New Roman" w:cs="Times New Roman"/>
          <w:lang w:val="en-US"/>
        </w:rPr>
        <w:t>t</w:t>
      </w:r>
      <w:r w:rsidR="00EF711F">
        <w:rPr>
          <w:rFonts w:ascii="Times New Roman" w:hAnsi="Times New Roman" w:cs="Times New Roman"/>
          <w:lang w:val="en-US"/>
        </w:rPr>
        <w:t>aking into account</w:t>
      </w:r>
      <w:proofErr w:type="gramEnd"/>
      <w:r w:rsidR="00EF711F">
        <w:rPr>
          <w:rFonts w:ascii="Times New Roman" w:hAnsi="Times New Roman" w:cs="Times New Roman"/>
          <w:lang w:val="en-US"/>
        </w:rPr>
        <w:t xml:space="preserve"> that DCI-related infarctions </w:t>
      </w:r>
      <w:r w:rsidR="003A0746">
        <w:rPr>
          <w:rFonts w:ascii="Times New Roman" w:hAnsi="Times New Roman" w:cs="Times New Roman"/>
          <w:lang w:val="en-US"/>
        </w:rPr>
        <w:t xml:space="preserve">were </w:t>
      </w:r>
      <w:r w:rsidR="006A49AD">
        <w:rPr>
          <w:rFonts w:ascii="Times New Roman" w:hAnsi="Times New Roman" w:cs="Times New Roman"/>
          <w:lang w:val="en-US"/>
        </w:rPr>
        <w:t>diagnosed</w:t>
      </w:r>
      <w:r w:rsidR="00EF711F">
        <w:rPr>
          <w:rFonts w:ascii="Times New Roman" w:hAnsi="Times New Roman" w:cs="Times New Roman"/>
          <w:lang w:val="en-US"/>
        </w:rPr>
        <w:t xml:space="preserve"> between day </w:t>
      </w:r>
      <w:r w:rsidR="001C5E02">
        <w:rPr>
          <w:rFonts w:ascii="Times New Roman" w:hAnsi="Times New Roman" w:cs="Times New Roman"/>
          <w:lang w:val="en-US"/>
        </w:rPr>
        <w:t xml:space="preserve">4 </w:t>
      </w:r>
      <w:r w:rsidR="00EF711F">
        <w:rPr>
          <w:rFonts w:ascii="Times New Roman" w:hAnsi="Times New Roman" w:cs="Times New Roman"/>
          <w:lang w:val="en-US"/>
        </w:rPr>
        <w:t xml:space="preserve">and 15 (median: day 11) after </w:t>
      </w:r>
      <w:r w:rsidR="000D16F3">
        <w:rPr>
          <w:rFonts w:ascii="Times New Roman" w:hAnsi="Times New Roman" w:cs="Times New Roman"/>
          <w:lang w:val="en-US"/>
        </w:rPr>
        <w:t>a</w:t>
      </w:r>
      <w:r w:rsidR="00EF711F">
        <w:rPr>
          <w:rFonts w:ascii="Times New Roman" w:hAnsi="Times New Roman" w:cs="Times New Roman"/>
          <w:lang w:val="en-US"/>
        </w:rPr>
        <w:t xml:space="preserve">SAH onset and that patients with DCI only exhibited no clear increase of cDPP3 levels, it seems likely that the observed </w:t>
      </w:r>
      <w:r w:rsidR="001C5E02">
        <w:rPr>
          <w:rFonts w:ascii="Times New Roman" w:hAnsi="Times New Roman" w:cs="Times New Roman"/>
          <w:lang w:val="en-US"/>
        </w:rPr>
        <w:t>c</w:t>
      </w:r>
      <w:r w:rsidR="00EF711F">
        <w:rPr>
          <w:rFonts w:ascii="Times New Roman" w:hAnsi="Times New Roman" w:cs="Times New Roman"/>
          <w:lang w:val="en-US"/>
        </w:rPr>
        <w:t xml:space="preserve">DPP3 increase </w:t>
      </w:r>
      <w:r w:rsidR="003A0746">
        <w:rPr>
          <w:rFonts w:ascii="Times New Roman" w:hAnsi="Times New Roman" w:cs="Times New Roman"/>
          <w:lang w:val="en-US"/>
        </w:rPr>
        <w:t>occurred secondary</w:t>
      </w:r>
      <w:r w:rsidR="00EF711F">
        <w:rPr>
          <w:rFonts w:ascii="Times New Roman" w:hAnsi="Times New Roman" w:cs="Times New Roman"/>
          <w:lang w:val="en-US"/>
        </w:rPr>
        <w:t xml:space="preserve"> </w:t>
      </w:r>
      <w:r w:rsidR="007E1A94">
        <w:rPr>
          <w:rFonts w:ascii="Times New Roman" w:hAnsi="Times New Roman" w:cs="Times New Roman"/>
          <w:lang w:val="en-US"/>
        </w:rPr>
        <w:t xml:space="preserve">to </w:t>
      </w:r>
      <w:r w:rsidR="00EF711F">
        <w:rPr>
          <w:rFonts w:ascii="Times New Roman" w:hAnsi="Times New Roman" w:cs="Times New Roman"/>
          <w:lang w:val="en-US"/>
        </w:rPr>
        <w:t>the infarction</w:t>
      </w:r>
      <w:r w:rsidR="007E1A94">
        <w:rPr>
          <w:rFonts w:ascii="Times New Roman" w:hAnsi="Times New Roman" w:cs="Times New Roman"/>
          <w:lang w:val="en-US"/>
        </w:rPr>
        <w:t>s</w:t>
      </w:r>
      <w:r w:rsidR="00EF711F">
        <w:rPr>
          <w:rFonts w:ascii="Times New Roman" w:hAnsi="Times New Roman" w:cs="Times New Roman"/>
          <w:lang w:val="en-US"/>
        </w:rPr>
        <w:t>. If this was the case, cDPP3 measurements might have no predictive value for the occurrence of cerebral infarction</w:t>
      </w:r>
      <w:r w:rsidR="001A74C2">
        <w:rPr>
          <w:rFonts w:ascii="Times New Roman" w:hAnsi="Times New Roman" w:cs="Times New Roman"/>
          <w:lang w:val="en-US"/>
        </w:rPr>
        <w:t xml:space="preserve"> after aSAH</w:t>
      </w:r>
      <w:r w:rsidR="00EF711F">
        <w:rPr>
          <w:rFonts w:ascii="Times New Roman" w:hAnsi="Times New Roman" w:cs="Times New Roman"/>
          <w:lang w:val="en-US"/>
        </w:rPr>
        <w:t xml:space="preserve">, but they could be </w:t>
      </w:r>
      <w:r w:rsidR="00850F0C">
        <w:rPr>
          <w:rFonts w:ascii="Times New Roman" w:hAnsi="Times New Roman" w:cs="Times New Roman"/>
          <w:lang w:val="en-US"/>
        </w:rPr>
        <w:t xml:space="preserve">a </w:t>
      </w:r>
      <w:r w:rsidR="00EF711F">
        <w:rPr>
          <w:rFonts w:ascii="Times New Roman" w:hAnsi="Times New Roman" w:cs="Times New Roman"/>
          <w:lang w:val="en-US"/>
        </w:rPr>
        <w:t xml:space="preserve">very useful diagnostic biomarker for </w:t>
      </w:r>
      <w:r w:rsidR="00A54487">
        <w:rPr>
          <w:rFonts w:ascii="Times New Roman" w:hAnsi="Times New Roman" w:cs="Times New Roman"/>
          <w:lang w:val="en-US"/>
        </w:rPr>
        <w:t xml:space="preserve">early </w:t>
      </w:r>
      <w:r w:rsidR="00EF711F">
        <w:rPr>
          <w:rFonts w:ascii="Times New Roman" w:hAnsi="Times New Roman" w:cs="Times New Roman"/>
          <w:lang w:val="en-US"/>
        </w:rPr>
        <w:t>detection of DCI-related infarcts in sedated or comatose patients</w:t>
      </w:r>
      <w:r>
        <w:rPr>
          <w:rFonts w:ascii="Times New Roman" w:hAnsi="Times New Roman" w:cs="Times New Roman"/>
          <w:lang w:val="en-US"/>
        </w:rPr>
        <w:t>, thereby facilitating timely initiation of counter-measures like endovascular rescue treatments</w:t>
      </w:r>
      <w:r w:rsidR="008320A2">
        <w:rPr>
          <w:rFonts w:ascii="Times New Roman" w:hAnsi="Times New Roman" w:cs="Times New Roman"/>
          <w:lang w:val="en-US"/>
        </w:rPr>
        <w:t xml:space="preserve"> </w:t>
      </w:r>
      <w:r w:rsidR="0026575B">
        <w:rPr>
          <w:rFonts w:ascii="Times New Roman" w:hAnsi="Times New Roman" w:cs="Times New Roman"/>
          <w:lang w:val="en-US"/>
        </w:rPr>
        <w:fldChar w:fldCharType="begin" w:fldLock="1"/>
      </w:r>
      <w:r w:rsidR="00CF4681">
        <w:rPr>
          <w:rFonts w:ascii="Times New Roman" w:hAnsi="Times New Roman" w:cs="Times New Roman"/>
          <w:lang w:val="en-US"/>
        </w:rPr>
        <w:instrText>ADDIN CSL_CITATION {"citationItems":[{"id":"ITEM-1","itemData":{"DOI":"10.1093/neuros/nyw132","ISSN":"0148-396X","abstract":"BACKGROUND: Critical hypoperfusion and metabolic derangement are frequently encounteredwith refractory vasospasm. Endovascular rescue therapies (ERT) have proven beneficial in selected cases. However, angioplasty (AP) and intraarterial lysis (IAL) are measures of last resort and prospective, quantitative results regarding the efficacy (cerebral oxygenation, metabolism) are largely lacking. OBJECTIVE: To evaluate the efficacy of ERTs for medically refractory vasospasm using multimodal, continuous event neuromonitoring. METHODS: To detect cerebral compromise in a timely fashion, sedated patients with aneurysmal subarachnoid hemorrhage received continuous neuromonitoring (ptiO2 measurement, intraparenchymal microdialysis). ERT (AP and/or IAL) was considered in cases of clinically relevant vasospasm refractory to conservative treatment measures. Oxygen saturation and cerebral and systemic metabolism before and after events of ERT was recorded. RESULTS: We prospectively included 13 consecutive patients and recorded a total of 25 ERT events: AP (n = 10), IAL (n = 11), or both (AP + IAL, n = 4). Average cerebral ptiO2 was 10 ± 11 torr before and 49 ± 22 torr after ERT (P &lt; .001), with a lactate-pyruvate ratio decreasing from 146.6 ± 119.0 to 27.9 ± 10.7 after ERT (P &lt; .001). Comparable improvement was observed for each type of intervention (AP, IAL, or both). No significant alterations in systemic metabolism could be detected after ERT CONCLUSION: Multimodal event neuromonitoring is able to quantify treatment efficacy in subarachnoid hemorrhage-related vasospasm. In our small cohort of highly selected cases, ERT was associated with improvement in cerebral oxygenation and metabolism with reasonable outcome. Event neuromonitoring may facilitate individual and timely optimization of treatment modality according to the individual clinical course.","author":[{"dropping-particle":"","family":"Albanna","given":"Walid","non-dropping-particle":"","parse-names":false,"suffix":""},{"dropping-particle":"","family":"Weiss","given":"Miriam","non-dropping-particle":"","parse-names":false,"suffix":""},{"dropping-particle":"","family":"Müller","given":"Marguerite","non-dropping-particle":"","parse-names":false,"suffix":""},{"dropping-particle":"","family":"Brockmann","given":"Marc Alexander","non-dropping-particle":"","parse-names":false,"suffix":""},{"dropping-particle":"","family":"Rieg","given":"Annette","non-dropping-particle":"","parse-names":false,"suffix":""},{"dropping-particle":"","family":"Conzen","given":"Catharina","non-dropping-particle":"","parse-names":false,"suffix":""},{"dropping-particle":"","family":"Clusmann","given":"Hans","non-dropping-particle":"","parse-names":false,"suffix":""},{"dropping-particle":"","family":"Höllig","given":"Anke","non-dropping-particle":"","parse-names":false,"suffix":""},{"dropping-particle":"","family":"Schubert","given":"Gerrit Alexander","non-dropping-particle":"","parse-names":false,"suffix":""}],"container-title":"Neurosurgery","id":"ITEM-1","issue":"6","issued":{"date-parts":[["2017","6","1"]]},"page":"942-949","title":"Endovascular rescue therapies for refractory vasospasm after subarachnoid hemorrhage: A prospective evaluation study using multimodal, continuous event neuromonitoring.","type":"article-journal","volume":"80"},"uris":["http://www.mendeley.com/documents/?uuid=2ae4364a-0555-47bc-ab72-b1b0f21af242"]}],"mendeley":{"formattedCitation":"[24]","plainTextFormattedCitation":"[24]","previouslyFormattedCitation":"[24]"},"properties":{"noteIndex":0},"schema":"https://github.com/citation-style-language/schema/raw/master/csl-citation.json"}</w:instrText>
      </w:r>
      <w:r w:rsidR="0026575B">
        <w:rPr>
          <w:rFonts w:ascii="Times New Roman" w:hAnsi="Times New Roman" w:cs="Times New Roman"/>
          <w:lang w:val="en-US"/>
        </w:rPr>
        <w:fldChar w:fldCharType="separate"/>
      </w:r>
      <w:r w:rsidR="008320A2" w:rsidRPr="008320A2">
        <w:rPr>
          <w:rFonts w:ascii="Times New Roman" w:hAnsi="Times New Roman" w:cs="Times New Roman"/>
          <w:noProof/>
          <w:lang w:val="en-US"/>
        </w:rPr>
        <w:t>[24]</w:t>
      </w:r>
      <w:r w:rsidR="0026575B">
        <w:rPr>
          <w:rFonts w:ascii="Times New Roman" w:hAnsi="Times New Roman" w:cs="Times New Roman"/>
          <w:lang w:val="en-US"/>
        </w:rPr>
        <w:fldChar w:fldCharType="end"/>
      </w:r>
      <w:r>
        <w:rPr>
          <w:rFonts w:ascii="Times New Roman" w:hAnsi="Times New Roman" w:cs="Times New Roman"/>
          <w:lang w:val="en-US"/>
        </w:rPr>
        <w:t>.</w:t>
      </w:r>
      <w:r w:rsidR="00E500BF">
        <w:rPr>
          <w:rFonts w:ascii="Times New Roman" w:hAnsi="Times New Roman" w:cs="Times New Roman"/>
          <w:lang w:val="en-US"/>
        </w:rPr>
        <w:t xml:space="preserve"> </w:t>
      </w:r>
    </w:p>
    <w:p w14:paraId="117E8000" w14:textId="77777777" w:rsidR="00EF711F" w:rsidRDefault="00EF711F" w:rsidP="00F37E69">
      <w:pPr>
        <w:spacing w:line="360" w:lineRule="auto"/>
        <w:jc w:val="both"/>
        <w:rPr>
          <w:rFonts w:ascii="Times New Roman" w:hAnsi="Times New Roman" w:cs="Times New Roman"/>
          <w:lang w:val="en-US"/>
        </w:rPr>
      </w:pPr>
    </w:p>
    <w:p w14:paraId="1E62C87F" w14:textId="77777777" w:rsidR="00F37E69" w:rsidRPr="009C7623" w:rsidRDefault="00F37E69" w:rsidP="00F37E69">
      <w:pPr>
        <w:spacing w:after="0" w:line="360" w:lineRule="auto"/>
        <w:jc w:val="both"/>
        <w:rPr>
          <w:rFonts w:ascii="Times New Roman" w:hAnsi="Times New Roman" w:cs="Times New Roman"/>
          <w:b/>
          <w:lang w:val="en-US"/>
        </w:rPr>
      </w:pPr>
      <w:r w:rsidRPr="009C7623">
        <w:rPr>
          <w:rFonts w:ascii="Times New Roman" w:hAnsi="Times New Roman" w:cs="Times New Roman"/>
          <w:b/>
          <w:lang w:val="en-US"/>
        </w:rPr>
        <w:t>Limitations</w:t>
      </w:r>
      <w:r>
        <w:rPr>
          <w:rFonts w:ascii="Times New Roman" w:hAnsi="Times New Roman" w:cs="Times New Roman"/>
          <w:b/>
          <w:lang w:val="en-US"/>
        </w:rPr>
        <w:t xml:space="preserve"> and future directions</w:t>
      </w:r>
    </w:p>
    <w:p w14:paraId="4EB2797E" w14:textId="570670B4" w:rsidR="00F37E69" w:rsidRDefault="00F37E69" w:rsidP="00F37E69">
      <w:pPr>
        <w:spacing w:line="360" w:lineRule="auto"/>
        <w:jc w:val="both"/>
        <w:rPr>
          <w:rFonts w:ascii="Times New Roman" w:hAnsi="Times New Roman" w:cs="Times New Roman"/>
          <w:lang w:val="en-US"/>
        </w:rPr>
      </w:pPr>
      <w:r>
        <w:rPr>
          <w:rFonts w:ascii="Times New Roman" w:hAnsi="Times New Roman" w:cs="Times New Roman"/>
          <w:lang w:val="en-US"/>
        </w:rPr>
        <w:t xml:space="preserve">Our study has several important limitations, </w:t>
      </w:r>
      <w:r w:rsidR="007E1A94">
        <w:rPr>
          <w:rFonts w:ascii="Times New Roman" w:hAnsi="Times New Roman" w:cs="Times New Roman"/>
          <w:lang w:val="en-US"/>
        </w:rPr>
        <w:t>some of which have already been</w:t>
      </w:r>
      <w:r>
        <w:rPr>
          <w:rFonts w:ascii="Times New Roman" w:hAnsi="Times New Roman" w:cs="Times New Roman"/>
          <w:lang w:val="en-US"/>
        </w:rPr>
        <w:t xml:space="preserve"> addressed </w:t>
      </w:r>
      <w:r w:rsidR="007E1A94">
        <w:rPr>
          <w:rFonts w:ascii="Times New Roman" w:hAnsi="Times New Roman" w:cs="Times New Roman"/>
          <w:lang w:val="en-US"/>
        </w:rPr>
        <w:t>above</w:t>
      </w:r>
      <w:r>
        <w:rPr>
          <w:rFonts w:ascii="Times New Roman" w:hAnsi="Times New Roman" w:cs="Times New Roman"/>
          <w:lang w:val="en-US"/>
        </w:rPr>
        <w:t xml:space="preserve">. For example, cDPP3 levels were not available on the day of </w:t>
      </w:r>
      <w:r w:rsidR="00F00D17">
        <w:rPr>
          <w:rFonts w:ascii="Times New Roman" w:hAnsi="Times New Roman" w:cs="Times New Roman"/>
          <w:lang w:val="en-US"/>
        </w:rPr>
        <w:t>a</w:t>
      </w:r>
      <w:r>
        <w:rPr>
          <w:rFonts w:ascii="Times New Roman" w:hAnsi="Times New Roman" w:cs="Times New Roman"/>
          <w:lang w:val="en-US"/>
        </w:rPr>
        <w:t xml:space="preserve">SAH onset, precluding conclusions regarding the relation between EBI and cDPP3 levels on admission and their predictive value for early mortality. </w:t>
      </w:r>
      <w:r w:rsidR="00E500BF">
        <w:rPr>
          <w:rFonts w:ascii="Times New Roman" w:hAnsi="Times New Roman" w:cs="Times New Roman"/>
          <w:lang w:val="en-US"/>
        </w:rPr>
        <w:t xml:space="preserve">Moreover, cDPP3 levels were not analyzed on a daily basis, so that the exact temporal </w:t>
      </w:r>
      <w:r w:rsidR="007E1A94">
        <w:rPr>
          <w:rFonts w:ascii="Times New Roman" w:hAnsi="Times New Roman" w:cs="Times New Roman"/>
          <w:lang w:val="en-US"/>
        </w:rPr>
        <w:t>profile should be elucidated in future studies with more frequent sampling</w:t>
      </w:r>
      <w:r w:rsidR="00E500BF">
        <w:rPr>
          <w:rFonts w:ascii="Times New Roman" w:hAnsi="Times New Roman" w:cs="Times New Roman"/>
          <w:lang w:val="en-US"/>
        </w:rPr>
        <w:t xml:space="preserve">. </w:t>
      </w:r>
      <w:r>
        <w:rPr>
          <w:rFonts w:ascii="Times New Roman" w:hAnsi="Times New Roman" w:cs="Times New Roman"/>
          <w:lang w:val="en-US"/>
        </w:rPr>
        <w:t>Another important question that remains to be answered is</w:t>
      </w:r>
      <w:r w:rsidR="001C5E02">
        <w:rPr>
          <w:rFonts w:ascii="Times New Roman" w:hAnsi="Times New Roman" w:cs="Times New Roman"/>
          <w:lang w:val="en-US"/>
        </w:rPr>
        <w:t>,</w:t>
      </w:r>
      <w:r>
        <w:rPr>
          <w:rFonts w:ascii="Times New Roman" w:hAnsi="Times New Roman" w:cs="Times New Roman"/>
          <w:lang w:val="en-US"/>
        </w:rPr>
        <w:t xml:space="preserve"> if complications like cardiac and renal dysfunction during the acute phase are </w:t>
      </w:r>
      <w:r w:rsidR="007E1A94" w:rsidRPr="00452352">
        <w:rPr>
          <w:rFonts w:ascii="Times New Roman" w:hAnsi="Times New Roman" w:cs="Times New Roman"/>
          <w:color w:val="000000" w:themeColor="text1"/>
          <w:lang w:val="en-US"/>
        </w:rPr>
        <w:t>related to</w:t>
      </w:r>
      <w:r w:rsidRPr="00452352">
        <w:rPr>
          <w:rFonts w:ascii="Times New Roman" w:hAnsi="Times New Roman" w:cs="Times New Roman"/>
          <w:color w:val="000000" w:themeColor="text1"/>
          <w:lang w:val="en-US"/>
        </w:rPr>
        <w:t xml:space="preserve"> higher cDPP3 levels, in which case the specific antibody </w:t>
      </w:r>
      <w:proofErr w:type="spellStart"/>
      <w:r w:rsidRPr="00452352">
        <w:rPr>
          <w:rFonts w:ascii="Times New Roman" w:hAnsi="Times New Roman" w:cs="Times New Roman"/>
          <w:color w:val="000000" w:themeColor="text1"/>
          <w:lang w:val="en-US"/>
        </w:rPr>
        <w:t>Procizumab</w:t>
      </w:r>
      <w:proofErr w:type="spellEnd"/>
      <w:r w:rsidR="008320A2" w:rsidRPr="00452352">
        <w:rPr>
          <w:rFonts w:ascii="Times New Roman" w:hAnsi="Times New Roman" w:cs="Times New Roman"/>
          <w:color w:val="000000" w:themeColor="text1"/>
          <w:lang w:val="en-US"/>
        </w:rPr>
        <w:t xml:space="preserve"> </w:t>
      </w:r>
      <w:r w:rsidR="00A54487" w:rsidRPr="00452352">
        <w:rPr>
          <w:rFonts w:ascii="Times New Roman" w:hAnsi="Times New Roman" w:cs="Times New Roman"/>
          <w:color w:val="000000" w:themeColor="text1"/>
          <w:lang w:val="en-US"/>
        </w:rPr>
        <w:fldChar w:fldCharType="begin" w:fldLock="1"/>
      </w:r>
      <w:r w:rsidR="00CF4681" w:rsidRPr="00452352">
        <w:rPr>
          <w:rFonts w:ascii="Times New Roman" w:hAnsi="Times New Roman" w:cs="Times New Roman"/>
          <w:color w:val="000000" w:themeColor="text1"/>
          <w:lang w:val="en-US"/>
        </w:rPr>
        <w:instrText>ADDIN CSL_CITATION {"citationItems":[{"id":"ITEM-1","itemData":{"DOI":"10.1002/ejhf.1601","ISSN":"1388-9842","author":[{"dropping-particle":"","family":"Deniau","given":"Benjamin","non-dropping-particle":"","parse-names":false,"suffix":""},{"dropping-particle":"","family":"Rehfeld","given":"Linda","non-dropping-particle":"","parse-names":false,"suffix":""},{"dropping-particle":"","family":"Santos","given":"Karine","non-dropping-particle":"","parse-names":false,"suffix":""},{"dropping-particle":"","family":"Dienelt","given":"Anke","non-dropping-particle":"","parse-names":false,"suffix":""},{"dropping-particle":"","family":"Azibani","given":"Feriel","non-dropping-particle":"","parse-names":false,"suffix":""},{"dropping-particle":"","family":"Sadoune","given":"Malha","non-dropping-particle":"","parse-names":false,"suffix":""},{"dropping-particle":"","family":"Kounde","given":"Paul R.","non-dropping-particle":"","parse-names":false,"suffix":""},{"dropping-particle":"","family":"Samuel","given":"Jane L.","non-dropping-particle":"","parse-names":false,"suffix":""},{"dropping-particle":"","family":"Tolpannen","given":"Heli","non-dropping-particle":"","parse-names":false,"suffix":""},{"dropping-particle":"","family":"Lassus","given":"Johan","non-dropping-particle":"","parse-names":false,"suffix":""},{"dropping-particle":"","family":"Harjola","given":"Veli‐Pekka","non-dropping-particle":"","parse-names":false,"suffix":""},{"dropping-particle":"","family":"Vodovar","given":"Nicolas","non-dropping-particle":"","parse-names":false,"suffix":""},{"dropping-particle":"","family":"Bergmann","given":"Andreas","non-dropping-particle":"","parse-names":false,"suffix":""},{"dropping-particle":"","family":"Hartmann","given":"Oliver","non-dropping-particle":"","parse-names":false,"suffix":""},{"dropping-particle":"","family":"Mebazaa","given":"Alexandre","non-dropping-particle":"","parse-names":false,"suffix":""},{"dropping-particle":"","family":"Blet","given":"Alice","non-dropping-particle":"","parse-names":false,"suffix":""}],"container-title":"European Journal of Heart Failure","id":"ITEM-1","issue":"2","issued":{"date-parts":[["2020","2"]]},"page":"290-299","title":"Circulating dipeptidyl peptidase 3 is a myocardial depressant factor: Dipeptidyl peptidase 3 inhibition rapidly and sustainably improves haemodynamics.","type":"article-journal","volume":"22"},"uris":["http://www.mendeley.com/documents/?uuid=39f0896b-3d0c-4c96-9cb4-a045bff6c543"]}],"mendeley":{"formattedCitation":"[9]","plainTextFormattedCitation":"[9]","previouslyFormattedCitation":"[9]"},"properties":{"noteIndex":0},"schema":"https://github.com/citation-style-language/schema/raw/master/csl-citation.json"}</w:instrText>
      </w:r>
      <w:r w:rsidR="00A54487" w:rsidRPr="00452352">
        <w:rPr>
          <w:rFonts w:ascii="Times New Roman" w:hAnsi="Times New Roman" w:cs="Times New Roman"/>
          <w:color w:val="000000" w:themeColor="text1"/>
          <w:lang w:val="en-US"/>
        </w:rPr>
        <w:fldChar w:fldCharType="separate"/>
      </w:r>
      <w:r w:rsidR="008320A2" w:rsidRPr="00452352">
        <w:rPr>
          <w:rFonts w:ascii="Times New Roman" w:hAnsi="Times New Roman" w:cs="Times New Roman"/>
          <w:noProof/>
          <w:color w:val="000000" w:themeColor="text1"/>
          <w:lang w:val="en-US"/>
        </w:rPr>
        <w:t>[9]</w:t>
      </w:r>
      <w:r w:rsidR="00A54487" w:rsidRPr="00452352">
        <w:rPr>
          <w:rFonts w:ascii="Times New Roman" w:hAnsi="Times New Roman" w:cs="Times New Roman"/>
          <w:color w:val="000000" w:themeColor="text1"/>
          <w:lang w:val="en-US"/>
        </w:rPr>
        <w:fldChar w:fldCharType="end"/>
      </w:r>
      <w:r w:rsidRPr="00452352">
        <w:rPr>
          <w:rFonts w:ascii="Times New Roman" w:hAnsi="Times New Roman" w:cs="Times New Roman"/>
          <w:color w:val="000000" w:themeColor="text1"/>
          <w:lang w:val="en-US"/>
        </w:rPr>
        <w:t xml:space="preserve"> could be a potential treatment option. </w:t>
      </w:r>
      <w:r w:rsidR="0099324A" w:rsidRPr="00452352">
        <w:rPr>
          <w:rFonts w:ascii="Times New Roman" w:hAnsi="Times New Roman" w:cs="Times New Roman"/>
          <w:color w:val="000000" w:themeColor="text1"/>
          <w:lang w:val="en-US"/>
        </w:rPr>
        <w:t xml:space="preserve">We can also not exclude that complications related to induced arterial hypertension with noradrenaline during DCI treatment affected our results, even though noradrenaline administration was immediately terminated in these patients. </w:t>
      </w:r>
      <w:r w:rsidRPr="00452352">
        <w:rPr>
          <w:rFonts w:ascii="Times New Roman" w:hAnsi="Times New Roman" w:cs="Times New Roman"/>
          <w:color w:val="000000" w:themeColor="text1"/>
          <w:lang w:val="en-US"/>
        </w:rPr>
        <w:t xml:space="preserve">Likewise, enzyme levels in the present </w:t>
      </w:r>
      <w:r>
        <w:rPr>
          <w:rFonts w:ascii="Times New Roman" w:hAnsi="Times New Roman" w:cs="Times New Roman"/>
          <w:lang w:val="en-US"/>
        </w:rPr>
        <w:t xml:space="preserve">study were only measured in serum samples, but DPP3 activity has also been demonstrated in the cerebrospinal fluid, where </w:t>
      </w:r>
      <w:r w:rsidR="00E70FE4">
        <w:rPr>
          <w:rFonts w:ascii="Times New Roman" w:hAnsi="Times New Roman" w:cs="Times New Roman"/>
          <w:lang w:val="en-US"/>
        </w:rPr>
        <w:t>a</w:t>
      </w:r>
      <w:r>
        <w:rPr>
          <w:rFonts w:ascii="Times New Roman" w:hAnsi="Times New Roman" w:cs="Times New Roman"/>
          <w:lang w:val="en-US"/>
        </w:rPr>
        <w:t xml:space="preserve">SAH could conceivably be associated with much more pronounced changes. With regard to the data at hand, our findings indicate that cDPP3 could be a </w:t>
      </w:r>
      <w:r w:rsidR="00E500BF">
        <w:rPr>
          <w:rFonts w:ascii="Times New Roman" w:hAnsi="Times New Roman" w:cs="Times New Roman"/>
          <w:lang w:val="en-US"/>
        </w:rPr>
        <w:t xml:space="preserve">diagnostic </w:t>
      </w:r>
      <w:r w:rsidR="00F00D17">
        <w:rPr>
          <w:rFonts w:ascii="Times New Roman" w:hAnsi="Times New Roman" w:cs="Times New Roman"/>
          <w:lang w:val="en-US"/>
        </w:rPr>
        <w:t>a</w:t>
      </w:r>
      <w:r>
        <w:rPr>
          <w:rFonts w:ascii="Times New Roman" w:hAnsi="Times New Roman" w:cs="Times New Roman"/>
          <w:lang w:val="en-US"/>
        </w:rPr>
        <w:t xml:space="preserve">SAH biomarker for DCI-related infarctions, but further studies in e.g. animal models will be required to </w:t>
      </w:r>
      <w:r w:rsidR="00863225">
        <w:rPr>
          <w:rFonts w:ascii="Times New Roman" w:hAnsi="Times New Roman" w:cs="Times New Roman"/>
          <w:lang w:val="en-US"/>
        </w:rPr>
        <w:t>determine if</w:t>
      </w:r>
      <w:r>
        <w:rPr>
          <w:rFonts w:ascii="Times New Roman" w:hAnsi="Times New Roman" w:cs="Times New Roman"/>
          <w:lang w:val="en-US"/>
        </w:rPr>
        <w:t xml:space="preserve"> DPP3 released </w:t>
      </w:r>
      <w:r w:rsidR="00863225">
        <w:rPr>
          <w:rFonts w:ascii="Times New Roman" w:hAnsi="Times New Roman" w:cs="Times New Roman"/>
          <w:lang w:val="en-US"/>
        </w:rPr>
        <w:t>during the infarction itself</w:t>
      </w:r>
      <w:r>
        <w:rPr>
          <w:rFonts w:ascii="Times New Roman" w:hAnsi="Times New Roman" w:cs="Times New Roman"/>
          <w:lang w:val="en-US"/>
        </w:rPr>
        <w:t xml:space="preserve"> </w:t>
      </w:r>
      <w:r w:rsidR="00863225">
        <w:rPr>
          <w:rFonts w:ascii="Times New Roman" w:hAnsi="Times New Roman" w:cs="Times New Roman"/>
          <w:lang w:val="en-US"/>
        </w:rPr>
        <w:t xml:space="preserve">is </w:t>
      </w:r>
      <w:r>
        <w:rPr>
          <w:rFonts w:ascii="Times New Roman" w:hAnsi="Times New Roman" w:cs="Times New Roman"/>
          <w:lang w:val="en-US"/>
        </w:rPr>
        <w:t xml:space="preserve">responsible for the increase of cDPP3 levels. </w:t>
      </w:r>
      <w:r>
        <w:rPr>
          <w:rFonts w:ascii="Times New Roman" w:hAnsi="Times New Roman" w:cs="Times New Roman"/>
          <w:lang w:val="en-US"/>
        </w:rPr>
        <w:lastRenderedPageBreak/>
        <w:t xml:space="preserve">Also, due to the exploratory nature of the present study, we have made no attempts to correct for the increased error probability due to multiple statistical comparisons. Finally, even though the inclusion of almost 100 </w:t>
      </w:r>
      <w:r w:rsidR="00F00D17">
        <w:rPr>
          <w:rFonts w:ascii="Times New Roman" w:hAnsi="Times New Roman" w:cs="Times New Roman"/>
          <w:lang w:val="en-US"/>
        </w:rPr>
        <w:t>a</w:t>
      </w:r>
      <w:r>
        <w:rPr>
          <w:rFonts w:ascii="Times New Roman" w:hAnsi="Times New Roman" w:cs="Times New Roman"/>
          <w:lang w:val="en-US"/>
        </w:rPr>
        <w:t xml:space="preserve">SAH patients provided sufficient power for identification of associations between cDPP3 levels and DCI-related infarction, this is still a relatively small number of patients. As such, our findings and hypotheses will clearly have to be validated by additional, well-designed prospective human studies. </w:t>
      </w:r>
    </w:p>
    <w:p w14:paraId="5AA32AA1" w14:textId="77777777" w:rsidR="006C1139" w:rsidRPr="00843C34" w:rsidRDefault="006C1139" w:rsidP="006C1139">
      <w:pPr>
        <w:rPr>
          <w:rFonts w:ascii="Times New Roman" w:hAnsi="Times New Roman" w:cs="Times New Roman"/>
          <w:b/>
          <w:sz w:val="28"/>
          <w:szCs w:val="28"/>
          <w:lang w:val="en-US"/>
        </w:rPr>
      </w:pPr>
      <w:r w:rsidRPr="00843C34">
        <w:rPr>
          <w:rFonts w:ascii="Times New Roman" w:hAnsi="Times New Roman" w:cs="Times New Roman"/>
          <w:b/>
          <w:sz w:val="28"/>
          <w:szCs w:val="28"/>
          <w:lang w:val="en-US"/>
        </w:rPr>
        <w:t>Conclusion</w:t>
      </w:r>
    </w:p>
    <w:p w14:paraId="40A73F06" w14:textId="451627D1" w:rsidR="007C11FB" w:rsidRDefault="007C11FB" w:rsidP="007C11FB">
      <w:pPr>
        <w:spacing w:line="360" w:lineRule="auto"/>
        <w:jc w:val="both"/>
        <w:rPr>
          <w:rFonts w:ascii="Times New Roman" w:hAnsi="Times New Roman" w:cs="Times New Roman"/>
          <w:lang w:val="en-US"/>
        </w:rPr>
      </w:pPr>
      <w:r>
        <w:rPr>
          <w:rFonts w:ascii="Times New Roman" w:hAnsi="Times New Roman" w:cs="Times New Roman"/>
          <w:lang w:val="en-US"/>
        </w:rPr>
        <w:t xml:space="preserve">Taken together, our results provide first evidence that cDPP3 could be a promising biomarker for </w:t>
      </w:r>
      <w:r w:rsidR="00850F0C">
        <w:rPr>
          <w:rFonts w:ascii="Times New Roman" w:hAnsi="Times New Roman" w:cs="Times New Roman"/>
          <w:lang w:val="en-US"/>
        </w:rPr>
        <w:t>the early diagnosis of</w:t>
      </w:r>
      <w:r>
        <w:rPr>
          <w:rFonts w:ascii="Times New Roman" w:hAnsi="Times New Roman" w:cs="Times New Roman"/>
          <w:lang w:val="en-US"/>
        </w:rPr>
        <w:t xml:space="preserve"> DCI-related infarctions</w:t>
      </w:r>
      <w:r w:rsidR="00A54487">
        <w:rPr>
          <w:rFonts w:ascii="Times New Roman" w:hAnsi="Times New Roman" w:cs="Times New Roman"/>
          <w:lang w:val="en-US"/>
        </w:rPr>
        <w:t xml:space="preserve"> in poor grade aSAH patients</w:t>
      </w:r>
      <w:r>
        <w:rPr>
          <w:rFonts w:ascii="Times New Roman" w:hAnsi="Times New Roman" w:cs="Times New Roman"/>
          <w:lang w:val="en-US"/>
        </w:rPr>
        <w:t xml:space="preserve">. These findings and their clinical value should be validated and extended by additional well-designed human and animal studies. </w:t>
      </w:r>
    </w:p>
    <w:p w14:paraId="393FD2E4" w14:textId="77777777" w:rsidR="00076717" w:rsidRDefault="00076717" w:rsidP="006C1139">
      <w:pPr>
        <w:rPr>
          <w:rFonts w:ascii="Times New Roman" w:hAnsi="Times New Roman" w:cs="Times New Roman"/>
          <w:b/>
          <w:sz w:val="28"/>
          <w:szCs w:val="28"/>
          <w:lang w:val="en-US"/>
        </w:rPr>
      </w:pPr>
    </w:p>
    <w:p w14:paraId="4709D786" w14:textId="4B9E1379" w:rsidR="00FE53F7" w:rsidRDefault="006C1139" w:rsidP="002F408C">
      <w:pPr>
        <w:autoSpaceDE w:val="0"/>
        <w:autoSpaceDN w:val="0"/>
        <w:adjustRightInd w:val="0"/>
        <w:spacing w:after="0" w:line="360" w:lineRule="auto"/>
        <w:jc w:val="both"/>
        <w:rPr>
          <w:rFonts w:ascii="Times New Roman" w:hAnsi="Times New Roman" w:cs="Times New Roman"/>
          <w:b/>
          <w:bCs/>
          <w:iCs/>
          <w:color w:val="000000"/>
          <w:lang w:val="en-US"/>
        </w:rPr>
      </w:pPr>
      <w:r w:rsidRPr="00F5233E">
        <w:rPr>
          <w:rFonts w:ascii="Times New Roman" w:hAnsi="Times New Roman" w:cs="Times New Roman"/>
          <w:b/>
          <w:bCs/>
          <w:iCs/>
          <w:color w:val="000000"/>
          <w:lang w:val="en-US"/>
        </w:rPr>
        <w:t>Authors’ contributions</w:t>
      </w:r>
    </w:p>
    <w:p w14:paraId="681AC06F" w14:textId="05CDC5C4" w:rsidR="00D814D4" w:rsidRPr="001B34AA" w:rsidRDefault="00D814D4" w:rsidP="002F408C">
      <w:pPr>
        <w:widowControl w:val="0"/>
        <w:autoSpaceDE w:val="0"/>
        <w:autoSpaceDN w:val="0"/>
        <w:adjustRightInd w:val="0"/>
        <w:spacing w:after="0" w:line="360" w:lineRule="auto"/>
        <w:jc w:val="both"/>
        <w:rPr>
          <w:rFonts w:ascii="Times New Roman" w:eastAsia="Times New Roman" w:hAnsi="Times New Roman" w:cs="Times New Roman"/>
          <w:color w:val="000000"/>
          <w:lang w:val="en-US"/>
        </w:rPr>
      </w:pPr>
      <w:r w:rsidRPr="001B34AA">
        <w:rPr>
          <w:rFonts w:ascii="Times New Roman" w:eastAsia="Times New Roman" w:hAnsi="Times New Roman" w:cs="Times New Roman"/>
          <w:color w:val="000000" w:themeColor="text1"/>
          <w:lang w:val="en-US"/>
        </w:rPr>
        <w:t xml:space="preserve">Conceived, designed and performed the experiments: </w:t>
      </w:r>
      <w:r>
        <w:rPr>
          <w:rFonts w:ascii="Times New Roman" w:eastAsia="Times New Roman" w:hAnsi="Times New Roman" w:cs="Times New Roman"/>
          <w:color w:val="000000" w:themeColor="text1"/>
          <w:lang w:val="en-US"/>
        </w:rPr>
        <w:t>CT</w:t>
      </w:r>
      <w:r w:rsidRPr="001B34AA">
        <w:rPr>
          <w:rFonts w:ascii="Times New Roman" w:eastAsia="Times New Roman" w:hAnsi="Times New Roman" w:cs="Times New Roman"/>
          <w:color w:val="000000" w:themeColor="text1"/>
          <w:lang w:val="en-US"/>
        </w:rPr>
        <w:t xml:space="preserve"> WA</w:t>
      </w:r>
      <w:r w:rsidR="00AE25E2">
        <w:rPr>
          <w:rFonts w:ascii="Times New Roman" w:eastAsia="Times New Roman" w:hAnsi="Times New Roman" w:cs="Times New Roman"/>
          <w:color w:val="000000" w:themeColor="text1"/>
          <w:lang w:val="en-US"/>
        </w:rPr>
        <w:t xml:space="preserve"> CS</w:t>
      </w:r>
      <w:r w:rsidRPr="001B34AA">
        <w:rPr>
          <w:rFonts w:ascii="Times New Roman" w:eastAsia="Times New Roman" w:hAnsi="Times New Roman" w:cs="Times New Roman"/>
          <w:color w:val="000000" w:themeColor="text1"/>
          <w:lang w:val="en-US"/>
        </w:rPr>
        <w:t xml:space="preserve">. First Drafting of the manuscript and illustrations: FN WA. </w:t>
      </w:r>
      <w:r w:rsidRPr="001B34AA">
        <w:rPr>
          <w:rFonts w:ascii="Times New Roman" w:hAnsi="Times New Roman" w:cs="Times New Roman"/>
          <w:bCs/>
          <w:iCs/>
          <w:color w:val="000000"/>
          <w:lang w:val="en-US"/>
        </w:rPr>
        <w:t xml:space="preserve">Data acquisition: FN </w:t>
      </w:r>
      <w:r w:rsidR="00B37D59">
        <w:rPr>
          <w:rFonts w:ascii="Times New Roman" w:hAnsi="Times New Roman" w:cs="Times New Roman"/>
          <w:bCs/>
          <w:iCs/>
          <w:color w:val="000000"/>
          <w:lang w:val="en-US"/>
        </w:rPr>
        <w:t xml:space="preserve">MV </w:t>
      </w:r>
      <w:r>
        <w:rPr>
          <w:rFonts w:ascii="Times New Roman" w:hAnsi="Times New Roman" w:cs="Times New Roman"/>
          <w:bCs/>
          <w:iCs/>
          <w:color w:val="000000"/>
          <w:lang w:val="en-US"/>
        </w:rPr>
        <w:t>MW</w:t>
      </w:r>
      <w:r w:rsidRPr="001B34AA">
        <w:rPr>
          <w:rFonts w:ascii="Times New Roman" w:hAnsi="Times New Roman" w:cs="Times New Roman"/>
          <w:bCs/>
          <w:iCs/>
          <w:color w:val="000000"/>
          <w:lang w:val="en-US"/>
        </w:rPr>
        <w:t xml:space="preserve"> </w:t>
      </w:r>
      <w:r w:rsidR="00CB2C7D" w:rsidRPr="001B34AA">
        <w:rPr>
          <w:rFonts w:ascii="Times New Roman" w:hAnsi="Times New Roman" w:cs="Times New Roman"/>
          <w:bCs/>
          <w:iCs/>
          <w:color w:val="000000"/>
          <w:lang w:val="en-US"/>
        </w:rPr>
        <w:t>WA</w:t>
      </w:r>
      <w:r w:rsidRPr="001B34AA">
        <w:rPr>
          <w:rFonts w:ascii="Times New Roman" w:hAnsi="Times New Roman" w:cs="Times New Roman"/>
          <w:bCs/>
          <w:iCs/>
          <w:color w:val="000000"/>
          <w:lang w:val="en-US"/>
        </w:rPr>
        <w:t>.</w:t>
      </w:r>
      <w:r w:rsidRPr="001B34AA">
        <w:rPr>
          <w:rFonts w:ascii="Times New Roman" w:eastAsia="Times New Roman" w:hAnsi="Times New Roman" w:cs="Times New Roman"/>
          <w:color w:val="000000" w:themeColor="text1"/>
          <w:lang w:val="en-US"/>
        </w:rPr>
        <w:t xml:space="preserve"> Analy</w:t>
      </w:r>
      <w:r w:rsidR="00AE25E2">
        <w:rPr>
          <w:rFonts w:ascii="Times New Roman" w:eastAsia="Times New Roman" w:hAnsi="Times New Roman" w:cs="Times New Roman"/>
          <w:color w:val="000000" w:themeColor="text1"/>
          <w:lang w:val="en-US"/>
        </w:rPr>
        <w:t>sis</w:t>
      </w:r>
      <w:r w:rsidRPr="001B34AA">
        <w:rPr>
          <w:rFonts w:ascii="Times New Roman" w:eastAsia="Times New Roman" w:hAnsi="Times New Roman" w:cs="Times New Roman"/>
          <w:color w:val="000000" w:themeColor="text1"/>
          <w:lang w:val="en-US"/>
        </w:rPr>
        <w:t xml:space="preserve"> and </w:t>
      </w:r>
      <w:r w:rsidRPr="001B34AA">
        <w:rPr>
          <w:rFonts w:ascii="Times New Roman" w:hAnsi="Times New Roman" w:cs="Times New Roman"/>
          <w:bCs/>
          <w:iCs/>
          <w:color w:val="000000"/>
          <w:lang w:val="en-US"/>
        </w:rPr>
        <w:t>interpretation of data</w:t>
      </w:r>
      <w:r w:rsidRPr="001B34AA">
        <w:rPr>
          <w:rFonts w:ascii="Times New Roman" w:eastAsia="Times New Roman" w:hAnsi="Times New Roman" w:cs="Times New Roman"/>
          <w:color w:val="000000" w:themeColor="text1"/>
          <w:lang w:val="en-US"/>
        </w:rPr>
        <w:t xml:space="preserve">: FN </w:t>
      </w:r>
      <w:r w:rsidR="00AE25E2">
        <w:rPr>
          <w:rFonts w:ascii="Times New Roman" w:eastAsia="Times New Roman" w:hAnsi="Times New Roman" w:cs="Times New Roman"/>
          <w:color w:val="000000" w:themeColor="text1"/>
          <w:lang w:val="en-US"/>
        </w:rPr>
        <w:t xml:space="preserve">CS </w:t>
      </w:r>
      <w:r>
        <w:rPr>
          <w:rFonts w:ascii="Times New Roman" w:eastAsia="Times New Roman" w:hAnsi="Times New Roman" w:cs="Times New Roman"/>
          <w:color w:val="000000" w:themeColor="text1"/>
          <w:lang w:val="en-US"/>
        </w:rPr>
        <w:t>WA</w:t>
      </w:r>
      <w:r w:rsidRPr="001B34AA">
        <w:rPr>
          <w:rFonts w:ascii="Times New Roman" w:eastAsia="Times New Roman" w:hAnsi="Times New Roman" w:cs="Times New Roman"/>
          <w:color w:val="000000" w:themeColor="text1"/>
          <w:lang w:val="en-US"/>
        </w:rPr>
        <w:t xml:space="preserve">. Critical review of the manuscript: </w:t>
      </w:r>
      <w:r w:rsidR="00545896">
        <w:rPr>
          <w:rFonts w:ascii="Times New Roman" w:eastAsia="Times New Roman" w:hAnsi="Times New Roman" w:cs="Times New Roman"/>
          <w:color w:val="000000" w:themeColor="text1"/>
          <w:lang w:val="en-US"/>
        </w:rPr>
        <w:t xml:space="preserve">AH </w:t>
      </w:r>
      <w:r>
        <w:rPr>
          <w:rFonts w:ascii="Times New Roman" w:eastAsia="Times New Roman" w:hAnsi="Times New Roman" w:cs="Times New Roman"/>
          <w:color w:val="000000" w:themeColor="text1"/>
          <w:lang w:val="en-US"/>
        </w:rPr>
        <w:t xml:space="preserve">TM MV HC </w:t>
      </w:r>
      <w:r w:rsidR="00AE25E2">
        <w:rPr>
          <w:rFonts w:ascii="Times New Roman" w:eastAsia="Times New Roman" w:hAnsi="Times New Roman" w:cs="Times New Roman"/>
          <w:color w:val="000000" w:themeColor="text1"/>
          <w:lang w:val="en-US"/>
        </w:rPr>
        <w:t xml:space="preserve">CS </w:t>
      </w:r>
      <w:r>
        <w:rPr>
          <w:rFonts w:ascii="Times New Roman" w:eastAsia="Times New Roman" w:hAnsi="Times New Roman" w:cs="Times New Roman"/>
          <w:color w:val="000000" w:themeColor="text1"/>
          <w:lang w:val="en-US"/>
        </w:rPr>
        <w:t>GM</w:t>
      </w:r>
      <w:r w:rsidRPr="001B34AA">
        <w:rPr>
          <w:rFonts w:ascii="Times New Roman" w:eastAsia="Times New Roman" w:hAnsi="Times New Roman" w:cs="Times New Roman"/>
          <w:color w:val="000000"/>
          <w:lang w:val="en-US"/>
        </w:rPr>
        <w:t xml:space="preserve">. </w:t>
      </w:r>
      <w:r w:rsidRPr="001B34AA">
        <w:rPr>
          <w:rFonts w:ascii="Times New Roman" w:eastAsia="TimesNewRoman" w:hAnsi="Times New Roman" w:cs="Times New Roman"/>
          <w:color w:val="000000"/>
          <w:lang w:val="en-US"/>
        </w:rPr>
        <w:t>The final manuscript was critically revised and approved by all authors.</w:t>
      </w:r>
    </w:p>
    <w:p w14:paraId="066CFE7B" w14:textId="77777777" w:rsidR="00AF3BD8" w:rsidRPr="0060670C" w:rsidRDefault="00AF3BD8" w:rsidP="002F408C">
      <w:pPr>
        <w:autoSpaceDE w:val="0"/>
        <w:autoSpaceDN w:val="0"/>
        <w:adjustRightInd w:val="0"/>
        <w:spacing w:after="0" w:line="360" w:lineRule="auto"/>
        <w:jc w:val="both"/>
        <w:rPr>
          <w:rFonts w:ascii="Times New Roman" w:hAnsi="Times New Roman" w:cs="Times New Roman"/>
          <w:bCs/>
          <w:iCs/>
          <w:color w:val="000000"/>
          <w:lang w:val="en-US"/>
        </w:rPr>
      </w:pPr>
    </w:p>
    <w:p w14:paraId="02512B9E" w14:textId="0F428820" w:rsidR="00FE53F7" w:rsidRDefault="006C1139" w:rsidP="002F408C">
      <w:pPr>
        <w:autoSpaceDE w:val="0"/>
        <w:autoSpaceDN w:val="0"/>
        <w:adjustRightInd w:val="0"/>
        <w:spacing w:after="0" w:line="360" w:lineRule="auto"/>
        <w:jc w:val="both"/>
        <w:rPr>
          <w:rFonts w:ascii="Times New Roman" w:hAnsi="Times New Roman" w:cs="Times New Roman"/>
          <w:b/>
          <w:bCs/>
          <w:iCs/>
          <w:color w:val="000000"/>
          <w:lang w:val="en-US"/>
        </w:rPr>
      </w:pPr>
      <w:r w:rsidRPr="00F5233E">
        <w:rPr>
          <w:rFonts w:ascii="Times New Roman" w:hAnsi="Times New Roman" w:cs="Times New Roman"/>
          <w:b/>
          <w:bCs/>
          <w:iCs/>
          <w:color w:val="000000"/>
          <w:lang w:val="en-US"/>
        </w:rPr>
        <w:t>Conflict of interest</w:t>
      </w:r>
    </w:p>
    <w:p w14:paraId="761B350B" w14:textId="4AF05DF4" w:rsidR="006C1139" w:rsidRPr="00FE53F7" w:rsidRDefault="006C1139" w:rsidP="002F408C">
      <w:pPr>
        <w:autoSpaceDE w:val="0"/>
        <w:autoSpaceDN w:val="0"/>
        <w:adjustRightInd w:val="0"/>
        <w:spacing w:after="0" w:line="360" w:lineRule="auto"/>
        <w:jc w:val="both"/>
        <w:rPr>
          <w:rFonts w:ascii="Times New Roman" w:eastAsia="TimesNewRoman" w:hAnsi="Times New Roman" w:cs="Times New Roman"/>
          <w:color w:val="000000" w:themeColor="text1"/>
          <w:lang w:val="en-US"/>
        </w:rPr>
      </w:pPr>
      <w:r w:rsidRPr="00FE53F7">
        <w:rPr>
          <w:rFonts w:ascii="Times New Roman" w:eastAsia="TimesNewRoman" w:hAnsi="Times New Roman" w:cs="Times New Roman"/>
          <w:color w:val="000000" w:themeColor="text1"/>
          <w:lang w:val="en-US"/>
        </w:rPr>
        <w:t>There are no conflicts of interest to report.</w:t>
      </w:r>
    </w:p>
    <w:p w14:paraId="17194D92" w14:textId="77777777" w:rsidR="00D814D4" w:rsidRDefault="00D814D4" w:rsidP="002F408C">
      <w:pPr>
        <w:autoSpaceDE w:val="0"/>
        <w:autoSpaceDN w:val="0"/>
        <w:adjustRightInd w:val="0"/>
        <w:spacing w:after="0" w:line="360" w:lineRule="auto"/>
        <w:jc w:val="both"/>
        <w:rPr>
          <w:rFonts w:ascii="Times New Roman" w:hAnsi="Times New Roman" w:cs="Times New Roman"/>
          <w:b/>
          <w:bCs/>
          <w:iCs/>
          <w:color w:val="000000"/>
          <w:lang w:val="en-US"/>
        </w:rPr>
      </w:pPr>
    </w:p>
    <w:p w14:paraId="30B2D58A" w14:textId="65555E8E" w:rsidR="00FE53F7" w:rsidRDefault="006C1139" w:rsidP="002F408C">
      <w:pPr>
        <w:autoSpaceDE w:val="0"/>
        <w:autoSpaceDN w:val="0"/>
        <w:adjustRightInd w:val="0"/>
        <w:spacing w:after="0" w:line="360" w:lineRule="auto"/>
        <w:jc w:val="both"/>
        <w:rPr>
          <w:rFonts w:ascii="Times New Roman" w:hAnsi="Times New Roman" w:cs="Times New Roman"/>
          <w:b/>
          <w:bCs/>
          <w:iCs/>
          <w:color w:val="000000"/>
          <w:lang w:val="en-US"/>
        </w:rPr>
      </w:pPr>
      <w:r w:rsidRPr="00F5233E">
        <w:rPr>
          <w:rFonts w:ascii="Times New Roman" w:hAnsi="Times New Roman" w:cs="Times New Roman"/>
          <w:b/>
          <w:bCs/>
          <w:iCs/>
          <w:color w:val="000000"/>
          <w:lang w:val="en-US"/>
        </w:rPr>
        <w:t>Role of the funding source</w:t>
      </w:r>
    </w:p>
    <w:p w14:paraId="3A118C39" w14:textId="027823E0" w:rsidR="00FE53F7" w:rsidRPr="002E40DE" w:rsidRDefault="00FE53F7" w:rsidP="002F408C">
      <w:pPr>
        <w:spacing w:after="0" w:line="360" w:lineRule="auto"/>
        <w:jc w:val="both"/>
        <w:rPr>
          <w:rFonts w:ascii="Times New Roman" w:hAnsi="Times New Roman" w:cs="Times New Roman"/>
          <w:lang w:val="en-US"/>
        </w:rPr>
      </w:pPr>
      <w:r w:rsidRPr="002E40DE">
        <w:rPr>
          <w:rFonts w:ascii="Times New Roman" w:hAnsi="Times New Roman" w:cs="Times New Roman"/>
          <w:lang w:val="en-US"/>
        </w:rPr>
        <w:t xml:space="preserve">This work was supported by </w:t>
      </w:r>
      <w:r w:rsidRPr="002E40DE">
        <w:rPr>
          <w:rFonts w:ascii="Times New Roman" w:eastAsia="Times New Roman" w:hAnsi="Times New Roman" w:cs="Times New Roman"/>
          <w:color w:val="000000"/>
          <w:lang w:val="en-US"/>
        </w:rPr>
        <w:t xml:space="preserve">the START-Program of the Faculty of Medicine, RWTH Aachen, Germany. </w:t>
      </w:r>
      <w:r w:rsidRPr="002E40DE">
        <w:rPr>
          <w:rFonts w:ascii="Times New Roman" w:hAnsi="Times New Roman" w:cs="Times New Roman"/>
          <w:lang w:val="en-US"/>
        </w:rPr>
        <w:t xml:space="preserve">Grant number 691540. </w:t>
      </w:r>
      <w:r w:rsidR="002E40DE" w:rsidRPr="002E40DE">
        <w:rPr>
          <w:rFonts w:ascii="Times New Roman" w:hAnsi="Times New Roman" w:cs="Times New Roman"/>
          <w:lang w:val="en-US"/>
        </w:rPr>
        <w:t>4TEEN4 Pharmaceuticals has organized the sample shipment and the DPP3 measurements at no cost for the Department of Neurosurgery, RWTH University of Aachen.</w:t>
      </w:r>
    </w:p>
    <w:p w14:paraId="604A057D" w14:textId="77777777" w:rsidR="00D814D4" w:rsidRDefault="00D814D4" w:rsidP="002F408C">
      <w:pPr>
        <w:autoSpaceDE w:val="0"/>
        <w:autoSpaceDN w:val="0"/>
        <w:adjustRightInd w:val="0"/>
        <w:spacing w:after="0" w:line="360" w:lineRule="auto"/>
        <w:jc w:val="both"/>
        <w:rPr>
          <w:rFonts w:ascii="Times New Roman" w:eastAsia="TimesNewRoman" w:hAnsi="Times New Roman" w:cs="Times New Roman"/>
          <w:b/>
          <w:color w:val="000000"/>
          <w:lang w:val="en-US"/>
        </w:rPr>
      </w:pPr>
    </w:p>
    <w:p w14:paraId="2FAB558B" w14:textId="40C1A7AA" w:rsidR="00FE53F7" w:rsidRDefault="006C1139" w:rsidP="002F408C">
      <w:pPr>
        <w:autoSpaceDE w:val="0"/>
        <w:autoSpaceDN w:val="0"/>
        <w:adjustRightInd w:val="0"/>
        <w:spacing w:after="0" w:line="360" w:lineRule="auto"/>
        <w:jc w:val="both"/>
        <w:rPr>
          <w:rFonts w:ascii="Times New Roman" w:eastAsia="TimesNewRoman" w:hAnsi="Times New Roman" w:cs="Times New Roman"/>
          <w:b/>
          <w:color w:val="000000"/>
          <w:lang w:val="en-US"/>
        </w:rPr>
      </w:pPr>
      <w:r w:rsidRPr="00F5233E">
        <w:rPr>
          <w:rFonts w:ascii="Times New Roman" w:eastAsia="TimesNewRoman" w:hAnsi="Times New Roman" w:cs="Times New Roman"/>
          <w:b/>
          <w:color w:val="000000"/>
          <w:lang w:val="en-US"/>
        </w:rPr>
        <w:t>Ethical statement</w:t>
      </w:r>
    </w:p>
    <w:p w14:paraId="78C1DEAF" w14:textId="40A34E29" w:rsidR="006C1139" w:rsidRDefault="006C1139" w:rsidP="002F408C">
      <w:pPr>
        <w:autoSpaceDE w:val="0"/>
        <w:autoSpaceDN w:val="0"/>
        <w:adjustRightInd w:val="0"/>
        <w:spacing w:after="0" w:line="360" w:lineRule="auto"/>
        <w:jc w:val="both"/>
        <w:rPr>
          <w:rFonts w:ascii="Times New Roman" w:eastAsia="TimesNewRoman" w:hAnsi="Times New Roman" w:cs="Times New Roman"/>
          <w:color w:val="000000"/>
          <w:lang w:val="en-US"/>
        </w:rPr>
      </w:pPr>
      <w:r w:rsidRPr="00F5233E">
        <w:rPr>
          <w:rFonts w:ascii="Times New Roman" w:eastAsia="TimesNewRoman" w:hAnsi="Times New Roman" w:cs="Times New Roman"/>
          <w:color w:val="000000"/>
          <w:lang w:val="en-US"/>
        </w:rPr>
        <w:t>The trial was conducted in accordance with the recommendations of the ethics committee of the Medical Faculty of the RWTH Aachen University</w:t>
      </w:r>
      <w:r w:rsidR="00FE53F7">
        <w:rPr>
          <w:rFonts w:ascii="Times New Roman" w:eastAsia="TimesNewRoman" w:hAnsi="Times New Roman" w:cs="Times New Roman"/>
          <w:color w:val="000000"/>
          <w:lang w:val="en-US"/>
        </w:rPr>
        <w:t xml:space="preserve"> </w:t>
      </w:r>
      <w:r w:rsidR="00FE53F7" w:rsidRPr="00DA24E7">
        <w:rPr>
          <w:rFonts w:ascii="Times New Roman" w:eastAsia="TimesNewRoman" w:hAnsi="Times New Roman" w:cs="Times New Roman"/>
          <w:lang w:val="en-US"/>
        </w:rPr>
        <w:t>(EK 062/14</w:t>
      </w:r>
      <w:r w:rsidR="00FE53F7" w:rsidRPr="00DA24E7">
        <w:rPr>
          <w:rFonts w:ascii="Times New Roman" w:hAnsi="Times New Roman" w:cs="Times New Roman"/>
          <w:lang w:val="en-US"/>
        </w:rPr>
        <w:t>)</w:t>
      </w:r>
    </w:p>
    <w:p w14:paraId="4088E09A" w14:textId="12C1795C" w:rsidR="006C1139" w:rsidRPr="00843C34" w:rsidRDefault="00D814D4" w:rsidP="006C1139">
      <w:pPr>
        <w:rPr>
          <w:rFonts w:ascii="Times New Roman" w:hAnsi="Times New Roman" w:cs="Times New Roman"/>
          <w:b/>
          <w:sz w:val="28"/>
          <w:szCs w:val="28"/>
          <w:lang w:val="en-US"/>
        </w:rPr>
      </w:pPr>
      <w:r>
        <w:rPr>
          <w:rFonts w:ascii="Times New Roman" w:hAnsi="Times New Roman" w:cs="Times New Roman"/>
          <w:b/>
          <w:sz w:val="28"/>
          <w:szCs w:val="28"/>
          <w:lang w:val="en-US"/>
        </w:rPr>
        <w:br w:type="column"/>
      </w:r>
      <w:r w:rsidR="006C1139" w:rsidRPr="00843C34">
        <w:rPr>
          <w:rFonts w:ascii="Times New Roman" w:hAnsi="Times New Roman" w:cs="Times New Roman"/>
          <w:b/>
          <w:sz w:val="28"/>
          <w:szCs w:val="28"/>
          <w:lang w:val="en-US"/>
        </w:rPr>
        <w:lastRenderedPageBreak/>
        <w:t>Abbreviations</w:t>
      </w:r>
    </w:p>
    <w:p w14:paraId="5E1D45B1" w14:textId="77777777" w:rsidR="006471CE" w:rsidRDefault="006471CE" w:rsidP="006C1139">
      <w:pPr>
        <w:rPr>
          <w:rFonts w:ascii="Times New Roman" w:hAnsi="Times New Roman" w:cs="Times New Roman"/>
          <w:lang w:val="en-US"/>
        </w:rPr>
      </w:pPr>
      <w:r>
        <w:rPr>
          <w:rFonts w:ascii="Times New Roman" w:hAnsi="Times New Roman" w:cs="Times New Roman"/>
          <w:lang w:val="en-US"/>
        </w:rPr>
        <w:t>Ang</w:t>
      </w:r>
      <w:r>
        <w:rPr>
          <w:rFonts w:ascii="Times New Roman" w:hAnsi="Times New Roman" w:cs="Times New Roman"/>
          <w:lang w:val="en-US"/>
        </w:rPr>
        <w:tab/>
      </w:r>
      <w:r>
        <w:rPr>
          <w:rFonts w:ascii="Times New Roman" w:hAnsi="Times New Roman" w:cs="Times New Roman"/>
          <w:lang w:val="en-US"/>
        </w:rPr>
        <w:tab/>
        <w:t>angiotensin</w:t>
      </w:r>
    </w:p>
    <w:p w14:paraId="3900F9A3" w14:textId="77777777" w:rsidR="00E70FE4" w:rsidRDefault="00E70FE4" w:rsidP="00E70FE4">
      <w:pPr>
        <w:rPr>
          <w:rFonts w:ascii="Times New Roman" w:hAnsi="Times New Roman" w:cs="Times New Roman"/>
          <w:lang w:val="en-US"/>
        </w:rPr>
      </w:pPr>
      <w:r>
        <w:rPr>
          <w:rFonts w:ascii="Times New Roman" w:hAnsi="Times New Roman" w:cs="Times New Roman"/>
          <w:lang w:val="en-US"/>
        </w:rPr>
        <w:t>aSAH</w:t>
      </w:r>
      <w:r>
        <w:rPr>
          <w:rFonts w:ascii="Times New Roman" w:hAnsi="Times New Roman" w:cs="Times New Roman"/>
          <w:lang w:val="en-US"/>
        </w:rPr>
        <w:tab/>
      </w:r>
      <w:r>
        <w:rPr>
          <w:rFonts w:ascii="Times New Roman" w:hAnsi="Times New Roman" w:cs="Times New Roman"/>
          <w:lang w:val="en-US"/>
        </w:rPr>
        <w:tab/>
        <w:t>aneurysmal subarachnoid hemorrhage</w:t>
      </w:r>
    </w:p>
    <w:p w14:paraId="240777A9" w14:textId="77777777" w:rsidR="006471CE" w:rsidRDefault="006471CE" w:rsidP="006C1139">
      <w:pPr>
        <w:rPr>
          <w:rFonts w:ascii="Times New Roman" w:hAnsi="Times New Roman" w:cs="Times New Roman"/>
          <w:lang w:val="en-US"/>
        </w:rPr>
      </w:pPr>
      <w:r>
        <w:rPr>
          <w:rFonts w:ascii="Times New Roman" w:hAnsi="Times New Roman" w:cs="Times New Roman"/>
          <w:lang w:val="en-US"/>
        </w:rPr>
        <w:t>cDPP3</w:t>
      </w:r>
      <w:r>
        <w:rPr>
          <w:rFonts w:ascii="Times New Roman" w:hAnsi="Times New Roman" w:cs="Times New Roman"/>
          <w:lang w:val="en-US"/>
        </w:rPr>
        <w:tab/>
      </w:r>
      <w:r>
        <w:rPr>
          <w:rFonts w:ascii="Times New Roman" w:hAnsi="Times New Roman" w:cs="Times New Roman"/>
          <w:lang w:val="en-US"/>
        </w:rPr>
        <w:tab/>
        <w:t xml:space="preserve">circulatory </w:t>
      </w:r>
      <w:r w:rsidRPr="004E2F04">
        <w:rPr>
          <w:rFonts w:ascii="Times New Roman" w:hAnsi="Times New Roman" w:cs="Times New Roman"/>
          <w:lang w:val="en-US"/>
        </w:rPr>
        <w:t>dipeptidyl peptidase 3</w:t>
      </w:r>
    </w:p>
    <w:p w14:paraId="4D865880" w14:textId="77777777" w:rsidR="005C098C" w:rsidRDefault="005C098C" w:rsidP="006C1139">
      <w:pPr>
        <w:rPr>
          <w:rFonts w:ascii="Times New Roman" w:hAnsi="Times New Roman" w:cs="Times New Roman"/>
          <w:lang w:val="en-US"/>
        </w:rPr>
      </w:pPr>
      <w:r>
        <w:rPr>
          <w:rFonts w:ascii="Times New Roman" w:hAnsi="Times New Roman" w:cs="Times New Roman"/>
          <w:lang w:val="en-US"/>
        </w:rPr>
        <w:t>CNS</w:t>
      </w:r>
      <w:r>
        <w:rPr>
          <w:rFonts w:ascii="Times New Roman" w:hAnsi="Times New Roman" w:cs="Times New Roman"/>
          <w:lang w:val="en-US"/>
        </w:rPr>
        <w:tab/>
      </w:r>
      <w:r>
        <w:rPr>
          <w:rFonts w:ascii="Times New Roman" w:hAnsi="Times New Roman" w:cs="Times New Roman"/>
          <w:lang w:val="en-US"/>
        </w:rPr>
        <w:tab/>
        <w:t>central nervous system</w:t>
      </w:r>
    </w:p>
    <w:p w14:paraId="35FDF2A1" w14:textId="77777777" w:rsidR="00AD221E" w:rsidRDefault="00AD221E" w:rsidP="006C1139">
      <w:pPr>
        <w:rPr>
          <w:rFonts w:ascii="Times New Roman" w:hAnsi="Times New Roman" w:cs="Times New Roman"/>
          <w:lang w:val="en-US"/>
        </w:rPr>
      </w:pPr>
      <w:r>
        <w:rPr>
          <w:rFonts w:ascii="Times New Roman" w:hAnsi="Times New Roman" w:cs="Times New Roman"/>
          <w:lang w:val="en-US"/>
        </w:rPr>
        <w:t>DCI</w:t>
      </w:r>
      <w:r>
        <w:rPr>
          <w:rFonts w:ascii="Times New Roman" w:hAnsi="Times New Roman" w:cs="Times New Roman"/>
          <w:lang w:val="en-US"/>
        </w:rPr>
        <w:tab/>
      </w:r>
      <w:r>
        <w:rPr>
          <w:rFonts w:ascii="Times New Roman" w:hAnsi="Times New Roman" w:cs="Times New Roman"/>
          <w:lang w:val="en-US"/>
        </w:rPr>
        <w:tab/>
        <w:t>delayed cerebral ischemia</w:t>
      </w:r>
    </w:p>
    <w:p w14:paraId="6A51D2F1" w14:textId="77777777" w:rsidR="006471CE" w:rsidRDefault="006471CE" w:rsidP="006C1139">
      <w:pPr>
        <w:rPr>
          <w:rFonts w:ascii="Times New Roman" w:hAnsi="Times New Roman" w:cs="Times New Roman"/>
          <w:lang w:val="en-US"/>
        </w:rPr>
      </w:pPr>
      <w:r>
        <w:rPr>
          <w:rFonts w:ascii="Times New Roman" w:hAnsi="Times New Roman" w:cs="Times New Roman"/>
          <w:lang w:val="en-US"/>
        </w:rPr>
        <w:t>DPP3</w:t>
      </w:r>
      <w:r>
        <w:rPr>
          <w:rFonts w:ascii="Times New Roman" w:hAnsi="Times New Roman" w:cs="Times New Roman"/>
          <w:lang w:val="en-US"/>
        </w:rPr>
        <w:tab/>
      </w:r>
      <w:r>
        <w:rPr>
          <w:rFonts w:ascii="Times New Roman" w:hAnsi="Times New Roman" w:cs="Times New Roman"/>
          <w:lang w:val="en-US"/>
        </w:rPr>
        <w:tab/>
      </w:r>
      <w:r w:rsidRPr="004E2F04">
        <w:rPr>
          <w:rFonts w:ascii="Times New Roman" w:hAnsi="Times New Roman" w:cs="Times New Roman"/>
          <w:lang w:val="en-US"/>
        </w:rPr>
        <w:t>dipeptidyl peptidase 3</w:t>
      </w:r>
    </w:p>
    <w:p w14:paraId="60165A30" w14:textId="77777777" w:rsidR="00AD221E" w:rsidRDefault="00AD221E" w:rsidP="006C1139">
      <w:pPr>
        <w:rPr>
          <w:rFonts w:ascii="Times New Roman" w:hAnsi="Times New Roman" w:cs="Times New Roman"/>
          <w:lang w:val="en-US"/>
        </w:rPr>
      </w:pPr>
      <w:r>
        <w:rPr>
          <w:rFonts w:ascii="Times New Roman" w:hAnsi="Times New Roman" w:cs="Times New Roman"/>
          <w:lang w:val="en-US"/>
        </w:rPr>
        <w:t>EBI</w:t>
      </w:r>
      <w:r>
        <w:rPr>
          <w:rFonts w:ascii="Times New Roman" w:hAnsi="Times New Roman" w:cs="Times New Roman"/>
          <w:lang w:val="en-US"/>
        </w:rPr>
        <w:tab/>
      </w:r>
      <w:r>
        <w:rPr>
          <w:rFonts w:ascii="Times New Roman" w:hAnsi="Times New Roman" w:cs="Times New Roman"/>
          <w:lang w:val="en-US"/>
        </w:rPr>
        <w:tab/>
        <w:t>early brain injury</w:t>
      </w:r>
    </w:p>
    <w:p w14:paraId="548EE031" w14:textId="77777777" w:rsidR="00C02A10" w:rsidRDefault="00C02A10" w:rsidP="006C1139">
      <w:pPr>
        <w:rPr>
          <w:rFonts w:ascii="Times New Roman" w:hAnsi="Times New Roman" w:cs="Times New Roman"/>
          <w:lang w:val="en-US"/>
        </w:rPr>
      </w:pPr>
      <w:r>
        <w:rPr>
          <w:rFonts w:ascii="Times New Roman" w:hAnsi="Times New Roman" w:cs="Times New Roman"/>
          <w:lang w:val="en-US"/>
        </w:rPr>
        <w:t>GOS-E</w:t>
      </w:r>
      <w:r w:rsidR="006F2373">
        <w:rPr>
          <w:rFonts w:ascii="Times New Roman" w:hAnsi="Times New Roman" w:cs="Times New Roman"/>
          <w:lang w:val="en-US"/>
        </w:rPr>
        <w:tab/>
      </w:r>
      <w:r w:rsidR="006F2373">
        <w:rPr>
          <w:rFonts w:ascii="Times New Roman" w:hAnsi="Times New Roman" w:cs="Times New Roman"/>
          <w:lang w:val="en-US"/>
        </w:rPr>
        <w:tab/>
        <w:t>Glasgow outcome scale - extended</w:t>
      </w:r>
    </w:p>
    <w:p w14:paraId="083BA234" w14:textId="77777777" w:rsidR="006C1139" w:rsidRDefault="006C1139" w:rsidP="00CC3588">
      <w:pPr>
        <w:rPr>
          <w:rFonts w:ascii="Times New Roman" w:hAnsi="Times New Roman" w:cs="Times New Roman"/>
          <w:lang w:val="en-US"/>
        </w:rPr>
      </w:pPr>
      <w:r>
        <w:rPr>
          <w:rFonts w:ascii="Times New Roman" w:hAnsi="Times New Roman" w:cs="Times New Roman"/>
          <w:lang w:val="en-US"/>
        </w:rPr>
        <w:t>HH</w:t>
      </w:r>
      <w:r>
        <w:rPr>
          <w:rFonts w:ascii="Times New Roman" w:hAnsi="Times New Roman" w:cs="Times New Roman"/>
          <w:lang w:val="en-US"/>
        </w:rPr>
        <w:tab/>
      </w:r>
      <w:r>
        <w:rPr>
          <w:rFonts w:ascii="Times New Roman" w:hAnsi="Times New Roman" w:cs="Times New Roman"/>
          <w:lang w:val="en-US"/>
        </w:rPr>
        <w:tab/>
        <w:t>Hunt and Hess grad</w:t>
      </w:r>
      <w:r w:rsidR="00AD221E">
        <w:rPr>
          <w:rFonts w:ascii="Times New Roman" w:hAnsi="Times New Roman" w:cs="Times New Roman"/>
          <w:lang w:val="en-US"/>
        </w:rPr>
        <w:t>ing scale</w:t>
      </w:r>
    </w:p>
    <w:p w14:paraId="72CA55AB" w14:textId="77777777" w:rsidR="006471CE" w:rsidRDefault="006471CE" w:rsidP="00CC3588">
      <w:pPr>
        <w:rPr>
          <w:rFonts w:ascii="Times New Roman" w:hAnsi="Times New Roman" w:cs="Times New Roman"/>
          <w:lang w:val="en-US"/>
        </w:rPr>
      </w:pPr>
      <w:r>
        <w:rPr>
          <w:rFonts w:ascii="Times New Roman" w:hAnsi="Times New Roman" w:cs="Times New Roman"/>
          <w:lang w:val="en-US"/>
        </w:rPr>
        <w:t>ICU</w:t>
      </w:r>
      <w:r>
        <w:rPr>
          <w:rFonts w:ascii="Times New Roman" w:hAnsi="Times New Roman" w:cs="Times New Roman"/>
          <w:lang w:val="en-US"/>
        </w:rPr>
        <w:tab/>
      </w:r>
      <w:r>
        <w:rPr>
          <w:rFonts w:ascii="Times New Roman" w:hAnsi="Times New Roman" w:cs="Times New Roman"/>
          <w:lang w:val="en-US"/>
        </w:rPr>
        <w:tab/>
        <w:t>intensive care unit</w:t>
      </w:r>
    </w:p>
    <w:p w14:paraId="5745647A" w14:textId="77777777" w:rsidR="00CC3588" w:rsidRDefault="00CC3588" w:rsidP="006C1139">
      <w:pPr>
        <w:rPr>
          <w:rFonts w:ascii="Times New Roman" w:hAnsi="Times New Roman" w:cs="Times New Roman"/>
          <w:lang w:val="en-US"/>
        </w:rPr>
      </w:pPr>
      <w:r>
        <w:rPr>
          <w:rFonts w:ascii="Times New Roman" w:hAnsi="Times New Roman" w:cs="Times New Roman"/>
          <w:lang w:val="en-US"/>
        </w:rPr>
        <w:t>IQR</w:t>
      </w:r>
      <w:r>
        <w:rPr>
          <w:rFonts w:ascii="Times New Roman" w:hAnsi="Times New Roman" w:cs="Times New Roman"/>
          <w:lang w:val="en-US"/>
        </w:rPr>
        <w:tab/>
      </w:r>
      <w:r>
        <w:rPr>
          <w:rFonts w:ascii="Times New Roman" w:hAnsi="Times New Roman" w:cs="Times New Roman"/>
          <w:lang w:val="en-US"/>
        </w:rPr>
        <w:tab/>
        <w:t>interquartile range</w:t>
      </w:r>
    </w:p>
    <w:p w14:paraId="6FEEDDE0" w14:textId="77777777" w:rsidR="006471CE" w:rsidRDefault="006C1139" w:rsidP="006C1139">
      <w:pPr>
        <w:rPr>
          <w:rFonts w:ascii="Times New Roman" w:hAnsi="Times New Roman" w:cs="Times New Roman"/>
          <w:lang w:val="en-US"/>
        </w:rPr>
      </w:pPr>
      <w:proofErr w:type="spellStart"/>
      <w:r>
        <w:rPr>
          <w:rFonts w:ascii="Times New Roman" w:hAnsi="Times New Roman" w:cs="Times New Roman"/>
          <w:lang w:val="en-US"/>
        </w:rPr>
        <w:t>mF</w:t>
      </w:r>
      <w:r w:rsidR="00870506">
        <w:rPr>
          <w:rFonts w:ascii="Times New Roman" w:hAnsi="Times New Roman" w:cs="Times New Roman"/>
          <w:lang w:val="en-US"/>
        </w:rPr>
        <w:t>S</w:t>
      </w:r>
      <w:proofErr w:type="spellEnd"/>
      <w:r>
        <w:rPr>
          <w:rFonts w:ascii="Times New Roman" w:hAnsi="Times New Roman" w:cs="Times New Roman"/>
          <w:lang w:val="en-US"/>
        </w:rPr>
        <w:tab/>
      </w:r>
      <w:r w:rsidR="00870506">
        <w:rPr>
          <w:rFonts w:ascii="Times New Roman" w:hAnsi="Times New Roman" w:cs="Times New Roman"/>
          <w:lang w:val="en-US"/>
        </w:rPr>
        <w:tab/>
      </w:r>
      <w:r>
        <w:rPr>
          <w:rFonts w:ascii="Times New Roman" w:hAnsi="Times New Roman" w:cs="Times New Roman"/>
          <w:lang w:val="en-US"/>
        </w:rPr>
        <w:t>modified Fisher scale</w:t>
      </w:r>
    </w:p>
    <w:p w14:paraId="7CC2180A" w14:textId="4D20E004" w:rsidR="00E70FE4" w:rsidRDefault="00E70FE4" w:rsidP="00E70FE4">
      <w:pPr>
        <w:rPr>
          <w:rFonts w:ascii="Times New Roman" w:hAnsi="Times New Roman" w:cs="Times New Roman"/>
          <w:lang w:val="en-US"/>
        </w:rPr>
      </w:pPr>
      <w:r>
        <w:rPr>
          <w:rFonts w:ascii="Times New Roman" w:hAnsi="Times New Roman" w:cs="Times New Roman"/>
          <w:lang w:val="en-US"/>
        </w:rPr>
        <w:t>N</w:t>
      </w:r>
      <w:r w:rsidR="00CB2C7D">
        <w:rPr>
          <w:rFonts w:ascii="Times New Roman" w:hAnsi="Times New Roman" w:cs="Times New Roman"/>
          <w:lang w:val="en-US"/>
        </w:rPr>
        <w:t>I</w:t>
      </w:r>
      <w:r>
        <w:rPr>
          <w:rFonts w:ascii="Times New Roman" w:hAnsi="Times New Roman" w:cs="Times New Roman"/>
          <w:lang w:val="en-US"/>
        </w:rPr>
        <w:t>CU</w:t>
      </w:r>
      <w:r>
        <w:rPr>
          <w:rFonts w:ascii="Times New Roman" w:hAnsi="Times New Roman" w:cs="Times New Roman"/>
          <w:lang w:val="en-US"/>
        </w:rPr>
        <w:tab/>
      </w:r>
      <w:r>
        <w:rPr>
          <w:rFonts w:ascii="Times New Roman" w:hAnsi="Times New Roman" w:cs="Times New Roman"/>
          <w:lang w:val="en-US"/>
        </w:rPr>
        <w:tab/>
      </w:r>
      <w:proofErr w:type="spellStart"/>
      <w:r>
        <w:rPr>
          <w:rFonts w:ascii="Times New Roman" w:hAnsi="Times New Roman" w:cs="Times New Roman"/>
          <w:lang w:val="en-US"/>
        </w:rPr>
        <w:t>neurointensive</w:t>
      </w:r>
      <w:proofErr w:type="spellEnd"/>
      <w:r>
        <w:rPr>
          <w:rFonts w:ascii="Times New Roman" w:hAnsi="Times New Roman" w:cs="Times New Roman"/>
          <w:lang w:val="en-US"/>
        </w:rPr>
        <w:t xml:space="preserve"> care unit</w:t>
      </w:r>
    </w:p>
    <w:p w14:paraId="01B003E1" w14:textId="77777777" w:rsidR="006C1139" w:rsidRDefault="006C1139" w:rsidP="006C1139">
      <w:pPr>
        <w:rPr>
          <w:rFonts w:ascii="Times New Roman" w:hAnsi="Times New Roman" w:cs="Times New Roman"/>
          <w:lang w:val="en-US"/>
        </w:rPr>
      </w:pPr>
      <w:r w:rsidRPr="00F764B4">
        <w:rPr>
          <w:rFonts w:ascii="Times New Roman" w:hAnsi="Times New Roman" w:cs="Times New Roman"/>
          <w:lang w:val="en-US"/>
        </w:rPr>
        <w:t>p</w:t>
      </w:r>
      <w:r w:rsidRPr="00F764B4">
        <w:rPr>
          <w:rFonts w:ascii="Times New Roman" w:hAnsi="Times New Roman" w:cs="Times New Roman"/>
          <w:vertAlign w:val="subscript"/>
          <w:lang w:val="en-US"/>
        </w:rPr>
        <w:t>ti</w:t>
      </w:r>
      <w:r w:rsidRPr="00F764B4">
        <w:rPr>
          <w:rFonts w:ascii="Times New Roman" w:hAnsi="Times New Roman" w:cs="Times New Roman"/>
          <w:lang w:val="en-US"/>
        </w:rPr>
        <w:t>O</w:t>
      </w:r>
      <w:r w:rsidRPr="00F764B4">
        <w:rPr>
          <w:rFonts w:ascii="Times New Roman" w:hAnsi="Times New Roman" w:cs="Times New Roman"/>
          <w:vertAlign w:val="subscript"/>
          <w:lang w:val="en-US"/>
        </w:rPr>
        <w:t>2</w:t>
      </w:r>
      <w:r>
        <w:rPr>
          <w:rFonts w:ascii="Times New Roman" w:hAnsi="Times New Roman" w:cs="Times New Roman"/>
          <w:vertAlign w:val="subscript"/>
          <w:lang w:val="en-US"/>
        </w:rPr>
        <w:tab/>
      </w:r>
      <w:r>
        <w:rPr>
          <w:rFonts w:ascii="Times New Roman" w:hAnsi="Times New Roman" w:cs="Times New Roman"/>
          <w:vertAlign w:val="subscript"/>
          <w:lang w:val="en-US"/>
        </w:rPr>
        <w:tab/>
      </w:r>
      <w:r w:rsidR="00AD221E">
        <w:rPr>
          <w:rFonts w:ascii="Times New Roman" w:hAnsi="Times New Roman" w:cs="Times New Roman"/>
          <w:lang w:val="en-US"/>
        </w:rPr>
        <w:t>b</w:t>
      </w:r>
      <w:r>
        <w:rPr>
          <w:rFonts w:ascii="Times New Roman" w:hAnsi="Times New Roman" w:cs="Times New Roman"/>
          <w:lang w:val="en-US"/>
        </w:rPr>
        <w:t xml:space="preserve">rain tissue oxygen </w:t>
      </w:r>
      <w:r w:rsidR="00870506">
        <w:rPr>
          <w:rFonts w:ascii="Times New Roman" w:hAnsi="Times New Roman" w:cs="Times New Roman"/>
          <w:lang w:val="en-US"/>
        </w:rPr>
        <w:t>level</w:t>
      </w:r>
    </w:p>
    <w:p w14:paraId="4E2C65E3" w14:textId="77777777" w:rsidR="00E70FE4" w:rsidRPr="00EF46F3" w:rsidRDefault="00E70FE4" w:rsidP="006C1139">
      <w:pPr>
        <w:rPr>
          <w:rFonts w:ascii="Times New Roman" w:hAnsi="Times New Roman" w:cs="Times New Roman"/>
          <w:szCs w:val="24"/>
          <w:lang w:val="en-US"/>
        </w:rPr>
      </w:pPr>
      <w:r w:rsidRPr="00EF46F3">
        <w:rPr>
          <w:rFonts w:ascii="Times New Roman" w:hAnsi="Times New Roman" w:cs="Times New Roman"/>
          <w:szCs w:val="24"/>
          <w:lang w:val="en-US"/>
        </w:rPr>
        <w:t>SD</w:t>
      </w:r>
      <w:r w:rsidRPr="00EF46F3">
        <w:rPr>
          <w:rFonts w:ascii="Times New Roman" w:hAnsi="Times New Roman" w:cs="Times New Roman"/>
          <w:szCs w:val="24"/>
          <w:lang w:val="en-US"/>
        </w:rPr>
        <w:tab/>
      </w:r>
      <w:r w:rsidRPr="00EF46F3">
        <w:rPr>
          <w:rFonts w:ascii="Times New Roman" w:hAnsi="Times New Roman" w:cs="Times New Roman"/>
          <w:szCs w:val="24"/>
          <w:lang w:val="en-US"/>
        </w:rPr>
        <w:tab/>
        <w:t>standard deviation</w:t>
      </w:r>
    </w:p>
    <w:p w14:paraId="00EF3E57" w14:textId="2837FF72" w:rsidR="006C1139" w:rsidRPr="00EF46F3" w:rsidRDefault="00E70FE4" w:rsidP="006C1139">
      <w:pPr>
        <w:rPr>
          <w:rFonts w:ascii="Times New Roman" w:hAnsi="Times New Roman" w:cs="Times New Roman"/>
          <w:b/>
          <w:sz w:val="28"/>
          <w:szCs w:val="28"/>
          <w:lang w:val="en-US"/>
        </w:rPr>
      </w:pPr>
      <w:r w:rsidRPr="00EF46F3">
        <w:rPr>
          <w:rFonts w:ascii="Times New Roman" w:hAnsi="Times New Roman" w:cs="Times New Roman"/>
          <w:szCs w:val="24"/>
          <w:lang w:val="en-US"/>
        </w:rPr>
        <w:t>SE</w:t>
      </w:r>
      <w:r w:rsidRPr="00EF46F3">
        <w:rPr>
          <w:rFonts w:ascii="Times New Roman" w:hAnsi="Times New Roman" w:cs="Times New Roman"/>
          <w:szCs w:val="24"/>
          <w:lang w:val="en-US"/>
        </w:rPr>
        <w:tab/>
      </w:r>
      <w:r w:rsidRPr="00EF46F3">
        <w:rPr>
          <w:rFonts w:ascii="Times New Roman" w:hAnsi="Times New Roman" w:cs="Times New Roman"/>
          <w:szCs w:val="24"/>
          <w:lang w:val="en-US"/>
        </w:rPr>
        <w:tab/>
        <w:t xml:space="preserve">standard error </w:t>
      </w:r>
      <w:r w:rsidR="006C1139" w:rsidRPr="00EF46F3">
        <w:rPr>
          <w:rFonts w:ascii="Times New Roman" w:hAnsi="Times New Roman" w:cs="Times New Roman"/>
          <w:b/>
          <w:sz w:val="28"/>
          <w:szCs w:val="28"/>
          <w:lang w:val="en-US"/>
        </w:rPr>
        <w:br w:type="page"/>
      </w:r>
    </w:p>
    <w:p w14:paraId="39ABF9B2" w14:textId="77777777" w:rsidR="00154FEF" w:rsidRPr="00EF46F3" w:rsidRDefault="00154FEF" w:rsidP="00154FEF">
      <w:pPr>
        <w:rPr>
          <w:rFonts w:ascii="Times New Roman" w:hAnsi="Times New Roman" w:cs="Times New Roman"/>
          <w:b/>
          <w:sz w:val="28"/>
          <w:szCs w:val="28"/>
          <w:lang w:val="en-US"/>
        </w:rPr>
      </w:pPr>
      <w:r w:rsidRPr="00EF46F3">
        <w:rPr>
          <w:rFonts w:ascii="Times New Roman" w:hAnsi="Times New Roman" w:cs="Times New Roman"/>
          <w:b/>
          <w:sz w:val="28"/>
          <w:szCs w:val="28"/>
          <w:lang w:val="en-US"/>
        </w:rPr>
        <w:lastRenderedPageBreak/>
        <w:t>References</w:t>
      </w:r>
    </w:p>
    <w:p w14:paraId="7E0E042C" w14:textId="675262C0" w:rsidR="00764BF8" w:rsidRPr="009E672A" w:rsidRDefault="00154FEF" w:rsidP="00764BF8">
      <w:pPr>
        <w:widowControl w:val="0"/>
        <w:autoSpaceDE w:val="0"/>
        <w:autoSpaceDN w:val="0"/>
        <w:adjustRightInd w:val="0"/>
        <w:spacing w:line="240" w:lineRule="auto"/>
        <w:ind w:left="640" w:hanging="640"/>
        <w:rPr>
          <w:rFonts w:ascii="Times New Roman" w:hAnsi="Times New Roman" w:cs="Times New Roman"/>
          <w:noProof/>
          <w:szCs w:val="24"/>
          <w:lang w:val="en-US"/>
        </w:rPr>
      </w:pPr>
      <w:r w:rsidRPr="00591473">
        <w:rPr>
          <w:rFonts w:ascii="Times New Roman" w:hAnsi="Times New Roman" w:cs="Times New Roman"/>
        </w:rPr>
        <w:fldChar w:fldCharType="begin" w:fldLock="1"/>
      </w:r>
      <w:r w:rsidRPr="00EF46F3">
        <w:rPr>
          <w:rFonts w:ascii="Times New Roman" w:hAnsi="Times New Roman" w:cs="Times New Roman"/>
          <w:lang w:val="en-US"/>
        </w:rPr>
        <w:instrText xml:space="preserve">ADDIN Mendeley Bibliography CSL_BIBLIOGRAPHY </w:instrText>
      </w:r>
      <w:r w:rsidRPr="00591473">
        <w:rPr>
          <w:rFonts w:ascii="Times New Roman" w:hAnsi="Times New Roman" w:cs="Times New Roman"/>
        </w:rPr>
        <w:fldChar w:fldCharType="separate"/>
      </w:r>
      <w:r w:rsidR="00764BF8" w:rsidRPr="009E672A">
        <w:rPr>
          <w:rFonts w:ascii="Times New Roman" w:hAnsi="Times New Roman" w:cs="Times New Roman"/>
          <w:noProof/>
          <w:szCs w:val="24"/>
          <w:lang w:val="en-US"/>
        </w:rPr>
        <w:t>[1]</w:t>
      </w:r>
      <w:r w:rsidR="00764BF8" w:rsidRPr="009E672A">
        <w:rPr>
          <w:rFonts w:ascii="Times New Roman" w:hAnsi="Times New Roman" w:cs="Times New Roman"/>
          <w:noProof/>
          <w:szCs w:val="24"/>
          <w:lang w:val="en-US"/>
        </w:rPr>
        <w:tab/>
        <w:t>G.J. Kaptain, G. Lanzino, N.F. Kassell, Subarachnoid haemorrhage: Epidemiology, risk factors, and treatment options., Drugs Aging. 17 (2000) 183–199. https://doi.org/10.2165/00002512-200017030-00003.</w:t>
      </w:r>
    </w:p>
    <w:p w14:paraId="7AC2FB06" w14:textId="77777777" w:rsidR="00764BF8" w:rsidRPr="009E672A" w:rsidRDefault="00764BF8" w:rsidP="00764BF8">
      <w:pPr>
        <w:widowControl w:val="0"/>
        <w:autoSpaceDE w:val="0"/>
        <w:autoSpaceDN w:val="0"/>
        <w:adjustRightInd w:val="0"/>
        <w:spacing w:line="240" w:lineRule="auto"/>
        <w:ind w:left="640" w:hanging="640"/>
        <w:rPr>
          <w:rFonts w:ascii="Times New Roman" w:hAnsi="Times New Roman" w:cs="Times New Roman"/>
          <w:noProof/>
          <w:szCs w:val="24"/>
          <w:lang w:val="en-US"/>
        </w:rPr>
      </w:pPr>
      <w:r w:rsidRPr="009E672A">
        <w:rPr>
          <w:rFonts w:ascii="Times New Roman" w:hAnsi="Times New Roman" w:cs="Times New Roman"/>
          <w:noProof/>
          <w:szCs w:val="24"/>
          <w:lang w:val="en-US"/>
        </w:rPr>
        <w:t>[2]</w:t>
      </w:r>
      <w:r w:rsidRPr="009E672A">
        <w:rPr>
          <w:rFonts w:ascii="Times New Roman" w:hAnsi="Times New Roman" w:cs="Times New Roman"/>
          <w:noProof/>
          <w:szCs w:val="24"/>
          <w:lang w:val="en-US"/>
        </w:rPr>
        <w:tab/>
        <w:t>M. Fujii, J. Yan, W.B. Rolland, Y. Soejima, B. Caner, J.H. Zhang, Early Brain Injury, an Evolving Frontier in Subarachnoid Hemorrhage Research, Transl. Stroke Res. 4 (2013) 432–446. https://doi.org/10.1007/s12975-013-0257-2.</w:t>
      </w:r>
    </w:p>
    <w:p w14:paraId="25251CE0" w14:textId="77777777" w:rsidR="00764BF8" w:rsidRPr="009E672A" w:rsidRDefault="00764BF8" w:rsidP="00764BF8">
      <w:pPr>
        <w:widowControl w:val="0"/>
        <w:autoSpaceDE w:val="0"/>
        <w:autoSpaceDN w:val="0"/>
        <w:adjustRightInd w:val="0"/>
        <w:spacing w:line="240" w:lineRule="auto"/>
        <w:ind w:left="640" w:hanging="640"/>
        <w:rPr>
          <w:rFonts w:ascii="Times New Roman" w:hAnsi="Times New Roman" w:cs="Times New Roman"/>
          <w:noProof/>
          <w:szCs w:val="24"/>
          <w:lang w:val="en-US"/>
        </w:rPr>
      </w:pPr>
      <w:r w:rsidRPr="009E672A">
        <w:rPr>
          <w:rFonts w:ascii="Times New Roman" w:hAnsi="Times New Roman" w:cs="Times New Roman"/>
          <w:noProof/>
          <w:szCs w:val="24"/>
          <w:lang w:val="en-US"/>
        </w:rPr>
        <w:t>[3]</w:t>
      </w:r>
      <w:r w:rsidRPr="009E672A">
        <w:rPr>
          <w:rFonts w:ascii="Times New Roman" w:hAnsi="Times New Roman" w:cs="Times New Roman"/>
          <w:noProof/>
          <w:szCs w:val="24"/>
          <w:lang w:val="en-US"/>
        </w:rPr>
        <w:tab/>
        <w:t>J.P. Broderick, T.G. Brott, J.E. Duldner, T. Tomsick, A. Leach, Initial and recurrent bleeding are the major causes of death following subarachnoid hemorrhage., Stroke. 25 (1994) 1342–1347. https://doi.org/10.1161/01.STR.25.7.1342.</w:t>
      </w:r>
    </w:p>
    <w:p w14:paraId="1BD1956B" w14:textId="77777777" w:rsidR="00764BF8" w:rsidRPr="009E672A" w:rsidRDefault="00764BF8" w:rsidP="00764BF8">
      <w:pPr>
        <w:widowControl w:val="0"/>
        <w:autoSpaceDE w:val="0"/>
        <w:autoSpaceDN w:val="0"/>
        <w:adjustRightInd w:val="0"/>
        <w:spacing w:line="240" w:lineRule="auto"/>
        <w:ind w:left="640" w:hanging="640"/>
        <w:rPr>
          <w:rFonts w:ascii="Times New Roman" w:hAnsi="Times New Roman" w:cs="Times New Roman"/>
          <w:noProof/>
          <w:szCs w:val="24"/>
          <w:lang w:val="en-US"/>
        </w:rPr>
      </w:pPr>
      <w:r w:rsidRPr="009E672A">
        <w:rPr>
          <w:rFonts w:ascii="Times New Roman" w:hAnsi="Times New Roman" w:cs="Times New Roman"/>
          <w:noProof/>
          <w:szCs w:val="24"/>
          <w:lang w:val="en-US"/>
        </w:rPr>
        <w:t>[4]</w:t>
      </w:r>
      <w:r w:rsidRPr="009E672A">
        <w:rPr>
          <w:rFonts w:ascii="Times New Roman" w:hAnsi="Times New Roman" w:cs="Times New Roman"/>
          <w:noProof/>
          <w:szCs w:val="24"/>
          <w:lang w:val="en-US"/>
        </w:rPr>
        <w:tab/>
        <w:t>R.P. Ostrowski, A.R. Colohan, J.H. Zhang, Molecular mechanisms of early brain injury after subarachnoid hemorrhage., Neurol. Res. 28 (2006) 399–414. https://doi.org/10.1179/016164106X115008.</w:t>
      </w:r>
    </w:p>
    <w:p w14:paraId="525DEDC1" w14:textId="77777777" w:rsidR="00764BF8" w:rsidRPr="009E672A" w:rsidRDefault="00764BF8" w:rsidP="00764BF8">
      <w:pPr>
        <w:widowControl w:val="0"/>
        <w:autoSpaceDE w:val="0"/>
        <w:autoSpaceDN w:val="0"/>
        <w:adjustRightInd w:val="0"/>
        <w:spacing w:line="240" w:lineRule="auto"/>
        <w:ind w:left="640" w:hanging="640"/>
        <w:rPr>
          <w:rFonts w:ascii="Times New Roman" w:hAnsi="Times New Roman" w:cs="Times New Roman"/>
          <w:noProof/>
          <w:szCs w:val="24"/>
          <w:lang w:val="en-US"/>
        </w:rPr>
      </w:pPr>
      <w:r w:rsidRPr="009E672A">
        <w:rPr>
          <w:rFonts w:ascii="Times New Roman" w:hAnsi="Times New Roman" w:cs="Times New Roman"/>
          <w:noProof/>
          <w:szCs w:val="24"/>
          <w:lang w:val="en-US"/>
        </w:rPr>
        <w:t>[5]</w:t>
      </w:r>
      <w:r w:rsidRPr="009E672A">
        <w:rPr>
          <w:rFonts w:ascii="Times New Roman" w:hAnsi="Times New Roman" w:cs="Times New Roman"/>
          <w:noProof/>
          <w:szCs w:val="24"/>
          <w:lang w:val="en-US"/>
        </w:rPr>
        <w:tab/>
        <w:t>J.R. Geraghty, F.D. Testai, Delayed Cerebral Ischemia after Subarachnoid Hemorrhage: Beyond Vasospasm and Towards a Multifactorial Pathophysiology, Curr. Atheroscler. Rep. 19 (2017) 50. https://doi.org/10.1007/s11883-017-0690-x.</w:t>
      </w:r>
    </w:p>
    <w:p w14:paraId="7876F4AE" w14:textId="77777777" w:rsidR="00764BF8" w:rsidRPr="009E672A" w:rsidRDefault="00764BF8" w:rsidP="00764BF8">
      <w:pPr>
        <w:widowControl w:val="0"/>
        <w:autoSpaceDE w:val="0"/>
        <w:autoSpaceDN w:val="0"/>
        <w:adjustRightInd w:val="0"/>
        <w:spacing w:line="240" w:lineRule="auto"/>
        <w:ind w:left="640" w:hanging="640"/>
        <w:rPr>
          <w:rFonts w:ascii="Times New Roman" w:hAnsi="Times New Roman" w:cs="Times New Roman"/>
          <w:noProof/>
          <w:szCs w:val="24"/>
          <w:lang w:val="en-US"/>
        </w:rPr>
      </w:pPr>
      <w:r w:rsidRPr="009E672A">
        <w:rPr>
          <w:rFonts w:ascii="Times New Roman" w:hAnsi="Times New Roman" w:cs="Times New Roman"/>
          <w:noProof/>
          <w:szCs w:val="24"/>
          <w:lang w:val="en-US"/>
        </w:rPr>
        <w:t>[6]</w:t>
      </w:r>
      <w:r w:rsidRPr="009E672A">
        <w:rPr>
          <w:rFonts w:ascii="Times New Roman" w:hAnsi="Times New Roman" w:cs="Times New Roman"/>
          <w:noProof/>
          <w:szCs w:val="24"/>
          <w:lang w:val="en-US"/>
        </w:rPr>
        <w:tab/>
        <w:t>B. Foreman, The Pathophysiology of Delayed Cerebral Ischemia, J. Clin. Neurophysiol. 33 (2016) 174–182. https://doi.org/10.1097/WNP.0000000000000273.</w:t>
      </w:r>
    </w:p>
    <w:p w14:paraId="0695A2D0" w14:textId="77777777" w:rsidR="00764BF8" w:rsidRPr="009E672A" w:rsidRDefault="00764BF8" w:rsidP="00764BF8">
      <w:pPr>
        <w:widowControl w:val="0"/>
        <w:autoSpaceDE w:val="0"/>
        <w:autoSpaceDN w:val="0"/>
        <w:adjustRightInd w:val="0"/>
        <w:spacing w:line="240" w:lineRule="auto"/>
        <w:ind w:left="640" w:hanging="640"/>
        <w:rPr>
          <w:rFonts w:ascii="Times New Roman" w:hAnsi="Times New Roman" w:cs="Times New Roman"/>
          <w:noProof/>
          <w:szCs w:val="24"/>
          <w:lang w:val="en-US"/>
        </w:rPr>
      </w:pPr>
      <w:r w:rsidRPr="009E672A">
        <w:rPr>
          <w:rFonts w:ascii="Times New Roman" w:hAnsi="Times New Roman" w:cs="Times New Roman"/>
          <w:noProof/>
          <w:szCs w:val="24"/>
          <w:lang w:val="en-US"/>
        </w:rPr>
        <w:t>[7]</w:t>
      </w:r>
      <w:r w:rsidRPr="009E672A">
        <w:rPr>
          <w:rFonts w:ascii="Times New Roman" w:hAnsi="Times New Roman" w:cs="Times New Roman"/>
          <w:noProof/>
          <w:szCs w:val="24"/>
          <w:lang w:val="en-US"/>
        </w:rPr>
        <w:tab/>
        <w:t>A.S. Sarrafzadeh, P. Vajkoczy, P. Bijlenga, K. Schaller, Monitoring in Neurointensive Care - The Challenge to Detect Delayed Cerebral Ischemia in High-Grade Aneurysmal SAH, Front. Neurol. 5 (2014). https://doi.org/10.3389/fneur.2014.00134.</w:t>
      </w:r>
    </w:p>
    <w:p w14:paraId="3593B2BF" w14:textId="77777777" w:rsidR="00764BF8" w:rsidRPr="009E672A" w:rsidRDefault="00764BF8" w:rsidP="00764BF8">
      <w:pPr>
        <w:widowControl w:val="0"/>
        <w:autoSpaceDE w:val="0"/>
        <w:autoSpaceDN w:val="0"/>
        <w:adjustRightInd w:val="0"/>
        <w:spacing w:line="240" w:lineRule="auto"/>
        <w:ind w:left="640" w:hanging="640"/>
        <w:rPr>
          <w:rFonts w:ascii="Times New Roman" w:hAnsi="Times New Roman" w:cs="Times New Roman"/>
          <w:noProof/>
          <w:szCs w:val="24"/>
          <w:lang w:val="en-US"/>
        </w:rPr>
      </w:pPr>
      <w:r w:rsidRPr="009E672A">
        <w:rPr>
          <w:rFonts w:ascii="Times New Roman" w:hAnsi="Times New Roman" w:cs="Times New Roman"/>
          <w:noProof/>
          <w:szCs w:val="24"/>
          <w:lang w:val="en-US"/>
        </w:rPr>
        <w:t>[8]</w:t>
      </w:r>
      <w:r w:rsidRPr="009E672A">
        <w:rPr>
          <w:rFonts w:ascii="Times New Roman" w:hAnsi="Times New Roman" w:cs="Times New Roman"/>
          <w:noProof/>
          <w:szCs w:val="24"/>
          <w:lang w:val="en-US"/>
        </w:rPr>
        <w:tab/>
        <w:t>K. Takagi, A. Blet, B. Levy, B. Deniau, F. Azibani, E. Feliot, A. Bergmann, K. Santos, O. Hartmann, E. Gayat, A. Mebazaa, A. Kimmoun, Circulating dipeptidyl peptidase 3 and alteration in haemodynamics in cardiogenic shock: Results from the OptimaCC trial., Eur. J. Heart Fail. 22 (2020) 279–286. https://doi.org/10.1002/ejhf.1600.</w:t>
      </w:r>
    </w:p>
    <w:p w14:paraId="7E3D112A" w14:textId="77777777" w:rsidR="00764BF8" w:rsidRPr="009E672A" w:rsidRDefault="00764BF8" w:rsidP="00764BF8">
      <w:pPr>
        <w:widowControl w:val="0"/>
        <w:autoSpaceDE w:val="0"/>
        <w:autoSpaceDN w:val="0"/>
        <w:adjustRightInd w:val="0"/>
        <w:spacing w:line="240" w:lineRule="auto"/>
        <w:ind w:left="640" w:hanging="640"/>
        <w:rPr>
          <w:rFonts w:ascii="Times New Roman" w:hAnsi="Times New Roman" w:cs="Times New Roman"/>
          <w:noProof/>
          <w:szCs w:val="24"/>
          <w:lang w:val="en-US"/>
        </w:rPr>
      </w:pPr>
      <w:r w:rsidRPr="009E672A">
        <w:rPr>
          <w:rFonts w:ascii="Times New Roman" w:hAnsi="Times New Roman" w:cs="Times New Roman"/>
          <w:noProof/>
          <w:szCs w:val="24"/>
          <w:lang w:val="en-US"/>
        </w:rPr>
        <w:t>[9]</w:t>
      </w:r>
      <w:r w:rsidRPr="009E672A">
        <w:rPr>
          <w:rFonts w:ascii="Times New Roman" w:hAnsi="Times New Roman" w:cs="Times New Roman"/>
          <w:noProof/>
          <w:szCs w:val="24"/>
          <w:lang w:val="en-US"/>
        </w:rPr>
        <w:tab/>
        <w:t>B. Deniau, L. Rehfeld, K. Santos, A. Dienelt, F. Azibani, M. Sadoune, P.R. Kounde, J.L. Samuel, H. Tolpannen, J. Lassus, V. Harjola, N. Vodovar, A. Bergmann, O. Hartmann, A. Mebazaa, A. Blet, Circulating dipeptidyl peptidase 3 is a myocardial depressant factor: Dipeptidyl peptidase 3 inhibition rapidly and sustainably improves haemodynamics., Eur. J. Heart Fail. 22 (2020) 290–299. https://doi.org/10.1002/ejhf.1601.</w:t>
      </w:r>
    </w:p>
    <w:p w14:paraId="07C878EA" w14:textId="77777777" w:rsidR="00764BF8" w:rsidRPr="009E672A" w:rsidRDefault="00764BF8" w:rsidP="00764BF8">
      <w:pPr>
        <w:widowControl w:val="0"/>
        <w:autoSpaceDE w:val="0"/>
        <w:autoSpaceDN w:val="0"/>
        <w:adjustRightInd w:val="0"/>
        <w:spacing w:line="240" w:lineRule="auto"/>
        <w:ind w:left="640" w:hanging="640"/>
        <w:rPr>
          <w:rFonts w:ascii="Times New Roman" w:hAnsi="Times New Roman" w:cs="Times New Roman"/>
          <w:noProof/>
          <w:szCs w:val="24"/>
          <w:lang w:val="en-US"/>
        </w:rPr>
      </w:pPr>
      <w:r w:rsidRPr="009E672A">
        <w:rPr>
          <w:rFonts w:ascii="Times New Roman" w:hAnsi="Times New Roman" w:cs="Times New Roman"/>
          <w:noProof/>
          <w:szCs w:val="24"/>
          <w:lang w:val="en-US"/>
        </w:rPr>
        <w:t>[10]</w:t>
      </w:r>
      <w:r w:rsidRPr="009E672A">
        <w:rPr>
          <w:rFonts w:ascii="Times New Roman" w:hAnsi="Times New Roman" w:cs="Times New Roman"/>
          <w:noProof/>
          <w:szCs w:val="24"/>
          <w:lang w:val="en-US"/>
        </w:rPr>
        <w:tab/>
        <w:t>F. Dépret, J. Amzallag, A. Pollina, L. Fayolle-Pivot, M. Coutrot, M. Chaussard, K. Santos, O. Hartmann, M. Jully, A. Fratani, H. Oueslati, A. Cupaciu, M. Benyamina, L. Guillemet, B. Deniau, A. Mebazaa, E. Gayat, B. Farny, J. Textoris, M. Legrand, Circulating dipeptidyl peptidase-3 at admission is associated with circulatory failure, acute kidney injury and death in severely ill burn patients., Crit. Care. 24 (2020) 168. https://doi.org/10.1186/s13054-020-02888-5.</w:t>
      </w:r>
    </w:p>
    <w:p w14:paraId="30D357D7" w14:textId="77777777" w:rsidR="00764BF8" w:rsidRPr="009E672A" w:rsidRDefault="00764BF8" w:rsidP="00764BF8">
      <w:pPr>
        <w:widowControl w:val="0"/>
        <w:autoSpaceDE w:val="0"/>
        <w:autoSpaceDN w:val="0"/>
        <w:adjustRightInd w:val="0"/>
        <w:spacing w:line="240" w:lineRule="auto"/>
        <w:ind w:left="640" w:hanging="640"/>
        <w:rPr>
          <w:rFonts w:ascii="Times New Roman" w:hAnsi="Times New Roman" w:cs="Times New Roman"/>
          <w:noProof/>
          <w:szCs w:val="24"/>
          <w:lang w:val="en-US"/>
        </w:rPr>
      </w:pPr>
      <w:r w:rsidRPr="009E672A">
        <w:rPr>
          <w:rFonts w:ascii="Times New Roman" w:hAnsi="Times New Roman" w:cs="Times New Roman"/>
          <w:noProof/>
          <w:szCs w:val="24"/>
          <w:lang w:val="en-US"/>
        </w:rPr>
        <w:t>[11]</w:t>
      </w:r>
      <w:r w:rsidRPr="009E672A">
        <w:rPr>
          <w:rFonts w:ascii="Times New Roman" w:hAnsi="Times New Roman" w:cs="Times New Roman"/>
          <w:noProof/>
          <w:szCs w:val="24"/>
          <w:lang w:val="en-US"/>
        </w:rPr>
        <w:tab/>
        <w:t>T. Vanha-Perttula, Dipeptidyl peptidase III and alanyl aminopeptidase in the human seminal plasma: Origin and biochemical properties., Clin. Chim. Acta. 177 (1988) 179–195. https://doi.org/10.1016/0009-8981(88)90140-4.</w:t>
      </w:r>
    </w:p>
    <w:p w14:paraId="36DD9ABD" w14:textId="77777777" w:rsidR="00764BF8" w:rsidRPr="009E672A" w:rsidRDefault="00764BF8" w:rsidP="00764BF8">
      <w:pPr>
        <w:widowControl w:val="0"/>
        <w:autoSpaceDE w:val="0"/>
        <w:autoSpaceDN w:val="0"/>
        <w:adjustRightInd w:val="0"/>
        <w:spacing w:line="240" w:lineRule="auto"/>
        <w:ind w:left="640" w:hanging="640"/>
        <w:rPr>
          <w:rFonts w:ascii="Times New Roman" w:hAnsi="Times New Roman" w:cs="Times New Roman"/>
          <w:noProof/>
          <w:szCs w:val="24"/>
          <w:lang w:val="en-US"/>
        </w:rPr>
      </w:pPr>
      <w:r w:rsidRPr="009E672A">
        <w:rPr>
          <w:rFonts w:ascii="Times New Roman" w:hAnsi="Times New Roman" w:cs="Times New Roman"/>
          <w:noProof/>
          <w:szCs w:val="24"/>
          <w:lang w:val="en-US"/>
        </w:rPr>
        <w:t>[12]</w:t>
      </w:r>
      <w:r w:rsidRPr="009E672A">
        <w:rPr>
          <w:rFonts w:ascii="Times New Roman" w:hAnsi="Times New Roman" w:cs="Times New Roman"/>
          <w:noProof/>
          <w:szCs w:val="24"/>
          <w:lang w:val="en-US"/>
        </w:rPr>
        <w:tab/>
        <w:t>Y. Shimamori, Y. Watanabe, Y. Fujimoto, Purification and characterization of dipeptidyl aminopeptidase III from human placenta., Chem. Pharm. Bull. (Tokyo). 34 (1986) 3333–3340. https://doi.org/10.1248/cpb.34.3333.</w:t>
      </w:r>
    </w:p>
    <w:p w14:paraId="6E861102" w14:textId="77777777" w:rsidR="00764BF8" w:rsidRPr="009E672A" w:rsidRDefault="00764BF8" w:rsidP="00764BF8">
      <w:pPr>
        <w:widowControl w:val="0"/>
        <w:autoSpaceDE w:val="0"/>
        <w:autoSpaceDN w:val="0"/>
        <w:adjustRightInd w:val="0"/>
        <w:spacing w:line="240" w:lineRule="auto"/>
        <w:ind w:left="640" w:hanging="640"/>
        <w:rPr>
          <w:rFonts w:ascii="Times New Roman" w:hAnsi="Times New Roman" w:cs="Times New Roman"/>
          <w:noProof/>
          <w:szCs w:val="24"/>
          <w:lang w:val="en-US"/>
        </w:rPr>
      </w:pPr>
      <w:r w:rsidRPr="009E672A">
        <w:rPr>
          <w:rFonts w:ascii="Times New Roman" w:hAnsi="Times New Roman" w:cs="Times New Roman"/>
          <w:noProof/>
          <w:szCs w:val="24"/>
          <w:lang w:val="en-US"/>
        </w:rPr>
        <w:t>[13]</w:t>
      </w:r>
      <w:r w:rsidRPr="009E672A">
        <w:rPr>
          <w:rFonts w:ascii="Times New Roman" w:hAnsi="Times New Roman" w:cs="Times New Roman"/>
          <w:noProof/>
          <w:szCs w:val="24"/>
          <w:lang w:val="en-US"/>
        </w:rPr>
        <w:tab/>
        <w:t>M. Baršun, N. Jajčanin, B. Vukelić, J. Špoljarić, M. Abramić, Human dipeptidyl peptidase III acts as a post-proline-cleaving enzyme on endomorphins., Biol. Chem. 388 (2007). https://doi.org/10.1515/BC.2007.039.</w:t>
      </w:r>
    </w:p>
    <w:p w14:paraId="28477D74" w14:textId="77777777" w:rsidR="00764BF8" w:rsidRPr="009E672A" w:rsidRDefault="00764BF8" w:rsidP="00764BF8">
      <w:pPr>
        <w:widowControl w:val="0"/>
        <w:autoSpaceDE w:val="0"/>
        <w:autoSpaceDN w:val="0"/>
        <w:adjustRightInd w:val="0"/>
        <w:spacing w:line="240" w:lineRule="auto"/>
        <w:ind w:left="640" w:hanging="640"/>
        <w:rPr>
          <w:rFonts w:ascii="Times New Roman" w:hAnsi="Times New Roman" w:cs="Times New Roman"/>
          <w:noProof/>
          <w:szCs w:val="24"/>
          <w:lang w:val="en-US"/>
        </w:rPr>
      </w:pPr>
      <w:r w:rsidRPr="009E672A">
        <w:rPr>
          <w:rFonts w:ascii="Times New Roman" w:hAnsi="Times New Roman" w:cs="Times New Roman"/>
          <w:noProof/>
          <w:szCs w:val="24"/>
          <w:lang w:val="en-US"/>
        </w:rPr>
        <w:t>[14]</w:t>
      </w:r>
      <w:r w:rsidRPr="009E672A">
        <w:rPr>
          <w:rFonts w:ascii="Times New Roman" w:hAnsi="Times New Roman" w:cs="Times New Roman"/>
          <w:noProof/>
          <w:szCs w:val="24"/>
          <w:lang w:val="en-US"/>
        </w:rPr>
        <w:tab/>
        <w:t xml:space="preserve">R. Wattiaux, S. Wattiaux-De Coninck, J. Thirion, M.-C. Gasingirwa, M. Jadot, Lysosomes and Fas-mediated liver cell death., Biochem. J. 403 (2007) 89–95. </w:t>
      </w:r>
      <w:r w:rsidRPr="009E672A">
        <w:rPr>
          <w:rFonts w:ascii="Times New Roman" w:hAnsi="Times New Roman" w:cs="Times New Roman"/>
          <w:noProof/>
          <w:szCs w:val="24"/>
          <w:lang w:val="en-US"/>
        </w:rPr>
        <w:lastRenderedPageBreak/>
        <w:t>https://doi.org/10.1042/BJ20061738.</w:t>
      </w:r>
    </w:p>
    <w:p w14:paraId="59A48B34" w14:textId="77777777" w:rsidR="00764BF8" w:rsidRPr="009E672A" w:rsidRDefault="00764BF8" w:rsidP="00764BF8">
      <w:pPr>
        <w:widowControl w:val="0"/>
        <w:autoSpaceDE w:val="0"/>
        <w:autoSpaceDN w:val="0"/>
        <w:adjustRightInd w:val="0"/>
        <w:spacing w:line="240" w:lineRule="auto"/>
        <w:ind w:left="640" w:hanging="640"/>
        <w:rPr>
          <w:rFonts w:ascii="Times New Roman" w:hAnsi="Times New Roman" w:cs="Times New Roman"/>
          <w:noProof/>
          <w:szCs w:val="24"/>
          <w:lang w:val="en-US"/>
        </w:rPr>
      </w:pPr>
      <w:r w:rsidRPr="009E672A">
        <w:rPr>
          <w:rFonts w:ascii="Times New Roman" w:hAnsi="Times New Roman" w:cs="Times New Roman"/>
          <w:noProof/>
          <w:szCs w:val="24"/>
          <w:lang w:val="en-US"/>
        </w:rPr>
        <w:t>[15]</w:t>
      </w:r>
      <w:r w:rsidRPr="009E672A">
        <w:rPr>
          <w:rFonts w:ascii="Times New Roman" w:hAnsi="Times New Roman" w:cs="Times New Roman"/>
          <w:noProof/>
          <w:szCs w:val="24"/>
          <w:lang w:val="en-US"/>
        </w:rPr>
        <w:tab/>
        <w:t>L. Rehfeld, E. Funk, S. Jha, P. Macheroux, O. Melander, A. Bergmann, Novel methods for the quantification of dipeptidyl peptidase 3 (DPP3) concentration and activity in human blood samples., J. Appl. Lab. Med. 3 (2019) 943–953. https://doi.org/10.1373/jalm.2018.027995.</w:t>
      </w:r>
    </w:p>
    <w:p w14:paraId="187D2F59" w14:textId="77777777" w:rsidR="00764BF8" w:rsidRPr="009E672A" w:rsidRDefault="00764BF8" w:rsidP="00764BF8">
      <w:pPr>
        <w:widowControl w:val="0"/>
        <w:autoSpaceDE w:val="0"/>
        <w:autoSpaceDN w:val="0"/>
        <w:adjustRightInd w:val="0"/>
        <w:spacing w:line="240" w:lineRule="auto"/>
        <w:ind w:left="640" w:hanging="640"/>
        <w:rPr>
          <w:rFonts w:ascii="Times New Roman" w:hAnsi="Times New Roman" w:cs="Times New Roman"/>
          <w:noProof/>
          <w:szCs w:val="24"/>
          <w:lang w:val="en-US"/>
        </w:rPr>
      </w:pPr>
      <w:r w:rsidRPr="009E672A">
        <w:rPr>
          <w:rFonts w:ascii="Times New Roman" w:hAnsi="Times New Roman" w:cs="Times New Roman"/>
          <w:noProof/>
          <w:szCs w:val="24"/>
          <w:lang w:val="en-US"/>
        </w:rPr>
        <w:t>[16]</w:t>
      </w:r>
      <w:r w:rsidRPr="009E672A">
        <w:rPr>
          <w:rFonts w:ascii="Times New Roman" w:hAnsi="Times New Roman" w:cs="Times New Roman"/>
          <w:noProof/>
          <w:szCs w:val="24"/>
          <w:lang w:val="en-US"/>
        </w:rPr>
        <w:tab/>
        <w:t>B.E. Zacharia, A.F. Ducruet, Z.L. Hickman, B.T. Grobelny, L. Fernandez, J.M. Schmidt, R. Narula, L.N. Ko, M.E. Cohen, S.A. Mayer, E.S. Connolly, Renal dysfunction as an independent predictor of outcome after aneurysmal subarachnoid hemorrhage., Stroke. 40 (2009) 2375–2381. https://doi.org/10.1161/STROKEAHA.108.545210.</w:t>
      </w:r>
    </w:p>
    <w:p w14:paraId="158E1A90" w14:textId="77777777" w:rsidR="00764BF8" w:rsidRPr="009E672A" w:rsidRDefault="00764BF8" w:rsidP="00764BF8">
      <w:pPr>
        <w:widowControl w:val="0"/>
        <w:autoSpaceDE w:val="0"/>
        <w:autoSpaceDN w:val="0"/>
        <w:adjustRightInd w:val="0"/>
        <w:spacing w:line="240" w:lineRule="auto"/>
        <w:ind w:left="640" w:hanging="640"/>
        <w:rPr>
          <w:rFonts w:ascii="Times New Roman" w:hAnsi="Times New Roman" w:cs="Times New Roman"/>
          <w:noProof/>
          <w:szCs w:val="24"/>
          <w:lang w:val="en-US"/>
        </w:rPr>
      </w:pPr>
      <w:r w:rsidRPr="009E672A">
        <w:rPr>
          <w:rFonts w:ascii="Times New Roman" w:hAnsi="Times New Roman" w:cs="Times New Roman"/>
          <w:noProof/>
          <w:szCs w:val="24"/>
          <w:lang w:val="en-US"/>
        </w:rPr>
        <w:t>[17]</w:t>
      </w:r>
      <w:r w:rsidRPr="009E672A">
        <w:rPr>
          <w:rFonts w:ascii="Times New Roman" w:hAnsi="Times New Roman" w:cs="Times New Roman"/>
          <w:noProof/>
          <w:szCs w:val="24"/>
          <w:lang w:val="en-US"/>
        </w:rPr>
        <w:tab/>
        <w:t>K. Rumalla, M.K. Mittal, Acute renal failure in aneurysmal subarachnoid hemorrhage: Nationwide analysis of hospitalizations in the United States., World Neurosurg. 91 (2016) 542-547.e6. https://doi.org/10.1016/j.wneu.2016.03.003.</w:t>
      </w:r>
    </w:p>
    <w:p w14:paraId="079DC6C1" w14:textId="77777777" w:rsidR="00764BF8" w:rsidRPr="009E672A" w:rsidRDefault="00764BF8" w:rsidP="00764BF8">
      <w:pPr>
        <w:widowControl w:val="0"/>
        <w:autoSpaceDE w:val="0"/>
        <w:autoSpaceDN w:val="0"/>
        <w:adjustRightInd w:val="0"/>
        <w:spacing w:line="240" w:lineRule="auto"/>
        <w:ind w:left="640" w:hanging="640"/>
        <w:rPr>
          <w:rFonts w:ascii="Times New Roman" w:hAnsi="Times New Roman" w:cs="Times New Roman"/>
          <w:noProof/>
          <w:szCs w:val="24"/>
          <w:lang w:val="en-US"/>
        </w:rPr>
      </w:pPr>
      <w:r w:rsidRPr="009E672A">
        <w:rPr>
          <w:rFonts w:ascii="Times New Roman" w:hAnsi="Times New Roman" w:cs="Times New Roman"/>
          <w:noProof/>
          <w:szCs w:val="24"/>
          <w:lang w:val="en-US"/>
        </w:rPr>
        <w:t>[18]</w:t>
      </w:r>
      <w:r w:rsidRPr="009E672A">
        <w:rPr>
          <w:rFonts w:ascii="Times New Roman" w:hAnsi="Times New Roman" w:cs="Times New Roman"/>
          <w:noProof/>
          <w:szCs w:val="24"/>
          <w:lang w:val="en-US"/>
        </w:rPr>
        <w:tab/>
        <w:t>C.H.P. Cremers, I.A.C. van der Bilt, I.C. van der Schaaf, M.D.I. Vergouwen, J.W. Dankbaar, M.J. Cramer, A.A.M. Wilde, G.J.E. Rinkel, B.K. Velthuis, Relationship between cardiac dysfunction and cerebral perfusion in patients with aneurysmal subarachnoid hemorrhage., Neurocrit. Care. 24 (2016) 202–206. https://doi.org/10.1007/s12028-015-0188-8.</w:t>
      </w:r>
    </w:p>
    <w:p w14:paraId="4ADE95AE" w14:textId="77777777" w:rsidR="00764BF8" w:rsidRPr="009E672A" w:rsidRDefault="00764BF8" w:rsidP="00764BF8">
      <w:pPr>
        <w:widowControl w:val="0"/>
        <w:autoSpaceDE w:val="0"/>
        <w:autoSpaceDN w:val="0"/>
        <w:adjustRightInd w:val="0"/>
        <w:spacing w:line="240" w:lineRule="auto"/>
        <w:ind w:left="640" w:hanging="640"/>
        <w:rPr>
          <w:rFonts w:ascii="Times New Roman" w:hAnsi="Times New Roman" w:cs="Times New Roman"/>
          <w:noProof/>
          <w:szCs w:val="24"/>
          <w:lang w:val="en-US"/>
        </w:rPr>
      </w:pPr>
      <w:r w:rsidRPr="009E672A">
        <w:rPr>
          <w:rFonts w:ascii="Times New Roman" w:hAnsi="Times New Roman" w:cs="Times New Roman"/>
          <w:noProof/>
          <w:szCs w:val="24"/>
          <w:lang w:val="en-US"/>
        </w:rPr>
        <w:t>[19]</w:t>
      </w:r>
      <w:r w:rsidRPr="009E672A">
        <w:rPr>
          <w:rFonts w:ascii="Times New Roman" w:hAnsi="Times New Roman" w:cs="Times New Roman"/>
          <w:noProof/>
          <w:szCs w:val="24"/>
          <w:lang w:val="en-US"/>
        </w:rPr>
        <w:tab/>
        <w:t>I. van der Bilt, D. Hasan, R. van den Brink, M.-J. Cramer, M. van der Jagt, F. van Kooten, J. Meertens, M. van den Berg, R. Groen, F. ten Cate, O. Kamp, M. Gotte, J. Horn, J. Groeneveld, P. Vandertop, A. Algra, F. Visser, A. Wilde, G. Rinkel, Cardiac dysfunction after aneurysmal subarachnoid hemorrhage: Relationship with outcome., Neurology. 82 (2014) 351–358. https://doi.org/10.1212/WNL.0000000000000057.</w:t>
      </w:r>
    </w:p>
    <w:p w14:paraId="58211D8F" w14:textId="77777777" w:rsidR="00764BF8" w:rsidRPr="009E672A" w:rsidRDefault="00764BF8" w:rsidP="00764BF8">
      <w:pPr>
        <w:widowControl w:val="0"/>
        <w:autoSpaceDE w:val="0"/>
        <w:autoSpaceDN w:val="0"/>
        <w:adjustRightInd w:val="0"/>
        <w:spacing w:line="240" w:lineRule="auto"/>
        <w:ind w:left="640" w:hanging="640"/>
        <w:rPr>
          <w:rFonts w:ascii="Times New Roman" w:hAnsi="Times New Roman" w:cs="Times New Roman"/>
          <w:noProof/>
          <w:szCs w:val="24"/>
          <w:lang w:val="en-US"/>
        </w:rPr>
      </w:pPr>
      <w:r w:rsidRPr="009E672A">
        <w:rPr>
          <w:rFonts w:ascii="Times New Roman" w:hAnsi="Times New Roman" w:cs="Times New Roman"/>
          <w:noProof/>
          <w:szCs w:val="24"/>
          <w:lang w:val="en-US"/>
        </w:rPr>
        <w:t>[20]</w:t>
      </w:r>
      <w:r w:rsidRPr="009E672A">
        <w:rPr>
          <w:rFonts w:ascii="Times New Roman" w:hAnsi="Times New Roman" w:cs="Times New Roman"/>
          <w:noProof/>
          <w:szCs w:val="24"/>
          <w:lang w:val="en-US"/>
        </w:rPr>
        <w:tab/>
        <w:t>S.B. Murthy, S. Shah, C.P. Venkatasubba Rao, J.I. Suarez, E.M. Bershad, Clinical characteristics of myocardial stunning in acute stroke., J. Clin. Neurosci. 21 (2014) 1279–1282. https://doi.org/10.1016/j.jocn.2013.11.022.</w:t>
      </w:r>
    </w:p>
    <w:p w14:paraId="0977DFA1" w14:textId="77777777" w:rsidR="00764BF8" w:rsidRPr="009E672A" w:rsidRDefault="00764BF8" w:rsidP="00764BF8">
      <w:pPr>
        <w:widowControl w:val="0"/>
        <w:autoSpaceDE w:val="0"/>
        <w:autoSpaceDN w:val="0"/>
        <w:adjustRightInd w:val="0"/>
        <w:spacing w:line="240" w:lineRule="auto"/>
        <w:ind w:left="640" w:hanging="640"/>
        <w:rPr>
          <w:rFonts w:ascii="Times New Roman" w:hAnsi="Times New Roman" w:cs="Times New Roman"/>
          <w:noProof/>
          <w:szCs w:val="24"/>
          <w:lang w:val="en-US"/>
        </w:rPr>
      </w:pPr>
      <w:r w:rsidRPr="009E672A">
        <w:rPr>
          <w:rFonts w:ascii="Times New Roman" w:hAnsi="Times New Roman" w:cs="Times New Roman"/>
          <w:noProof/>
          <w:szCs w:val="24"/>
          <w:lang w:val="en-US"/>
        </w:rPr>
        <w:t>[21]</w:t>
      </w:r>
      <w:r w:rsidRPr="009E672A">
        <w:rPr>
          <w:rFonts w:ascii="Times New Roman" w:hAnsi="Times New Roman" w:cs="Times New Roman"/>
          <w:noProof/>
          <w:szCs w:val="24"/>
          <w:lang w:val="en-US"/>
        </w:rPr>
        <w:tab/>
        <w:t>T. Steiner, S. Juvela, A. Unterberg, C. Jung, M. Forsting, G. Rinkel, European stroke organization guidelines for the management of intracranial aneurysms and subarachnoid haemorrhage., Cerebrovasc. Dis. 35 (2013) 93–112. https://doi.org/10.1159/000346087.</w:t>
      </w:r>
    </w:p>
    <w:p w14:paraId="56CACD72" w14:textId="77777777" w:rsidR="00764BF8" w:rsidRPr="009E672A" w:rsidRDefault="00764BF8" w:rsidP="00764BF8">
      <w:pPr>
        <w:widowControl w:val="0"/>
        <w:autoSpaceDE w:val="0"/>
        <w:autoSpaceDN w:val="0"/>
        <w:adjustRightInd w:val="0"/>
        <w:spacing w:line="240" w:lineRule="auto"/>
        <w:ind w:left="640" w:hanging="640"/>
        <w:rPr>
          <w:rFonts w:ascii="Times New Roman" w:hAnsi="Times New Roman" w:cs="Times New Roman"/>
          <w:noProof/>
          <w:szCs w:val="24"/>
          <w:lang w:val="en-US"/>
        </w:rPr>
      </w:pPr>
      <w:r w:rsidRPr="009E672A">
        <w:rPr>
          <w:rFonts w:ascii="Times New Roman" w:hAnsi="Times New Roman" w:cs="Times New Roman"/>
          <w:noProof/>
          <w:szCs w:val="24"/>
          <w:lang w:val="en-US"/>
        </w:rPr>
        <w:t>[22]</w:t>
      </w:r>
      <w:r w:rsidRPr="009E672A">
        <w:rPr>
          <w:rFonts w:ascii="Times New Roman" w:hAnsi="Times New Roman" w:cs="Times New Roman"/>
          <w:noProof/>
          <w:szCs w:val="24"/>
          <w:lang w:val="en-US"/>
        </w:rPr>
        <w:tab/>
        <w:t>M.D.I. Vergouwen, M. Vermeulen, J. van Gijn, G.J.E. Rinkel, E.F. Wijdicks, J.P. Muizelaar, A.D. Mendelow, S. Juvela, H. Yonas, K.G. Terbrugge, R.L. Macdonald, M.N. Diringer, J.P. Broderick, J.P. Dreier, Y.B.W.E.M. Roos, Definition of delayed cerebral ischemia after aneurysmal subarachnoid hemorrhage as an outcome event in clinical trials and observational studies: Proposal of a multidisciplinary research group., Stroke. 41 (2010) 2391–2395. https://doi.org/10.1161/STROKEAHA.110.589275.</w:t>
      </w:r>
    </w:p>
    <w:p w14:paraId="3D3883D4" w14:textId="77777777" w:rsidR="00764BF8" w:rsidRPr="009E672A" w:rsidRDefault="00764BF8" w:rsidP="00764BF8">
      <w:pPr>
        <w:widowControl w:val="0"/>
        <w:autoSpaceDE w:val="0"/>
        <w:autoSpaceDN w:val="0"/>
        <w:adjustRightInd w:val="0"/>
        <w:spacing w:line="240" w:lineRule="auto"/>
        <w:ind w:left="640" w:hanging="640"/>
        <w:rPr>
          <w:rFonts w:ascii="Times New Roman" w:hAnsi="Times New Roman" w:cs="Times New Roman"/>
          <w:noProof/>
          <w:szCs w:val="24"/>
          <w:lang w:val="en-US"/>
        </w:rPr>
      </w:pPr>
      <w:r w:rsidRPr="009E672A">
        <w:rPr>
          <w:rFonts w:ascii="Times New Roman" w:hAnsi="Times New Roman" w:cs="Times New Roman"/>
          <w:noProof/>
          <w:szCs w:val="24"/>
          <w:lang w:val="en-US"/>
        </w:rPr>
        <w:t>[23]</w:t>
      </w:r>
      <w:r w:rsidRPr="009E672A">
        <w:rPr>
          <w:rFonts w:ascii="Times New Roman" w:hAnsi="Times New Roman" w:cs="Times New Roman"/>
          <w:noProof/>
          <w:szCs w:val="24"/>
          <w:lang w:val="en-US"/>
        </w:rPr>
        <w:tab/>
        <w:t>P. Le Roux, D.K. Menon, G. Citerio, P. Vespa, M.K. Bader, G.M. Brophy, M.N. Diringer, N. Stocchetti, W. Videtta, R. Armonda, N. Badjatia, J. Böesel, R. Chesnut, S. Chou, J. Claassen, M. Czosnyka, M. De Georgia, A. Figaji, J. Fugate, R. Helbok, D. Horowitz, P. Hutchinson, M. Kumar, M. McNett, C. Miller, A. Naidech, M. Oddo, D. Olson, K. O’Phelan, J.J. Provencio, C. Puppo, R. Riker, C. Robertson, M. Schmidt, F. Taccone, Consensus summary statement of the International Multidisciplinary Consensus Conference on Multimodality Monitoring in Neurocritical Care., Intensive Care Med. 40 (2014) 1189–1209. https://doi.org/10.1007/s00134-014-3369-6.</w:t>
      </w:r>
    </w:p>
    <w:p w14:paraId="3C2627B2" w14:textId="77777777" w:rsidR="00764BF8" w:rsidRPr="009E672A" w:rsidRDefault="00764BF8" w:rsidP="00764BF8">
      <w:pPr>
        <w:widowControl w:val="0"/>
        <w:autoSpaceDE w:val="0"/>
        <w:autoSpaceDN w:val="0"/>
        <w:adjustRightInd w:val="0"/>
        <w:spacing w:line="240" w:lineRule="auto"/>
        <w:ind w:left="640" w:hanging="640"/>
        <w:rPr>
          <w:rFonts w:ascii="Times New Roman" w:hAnsi="Times New Roman" w:cs="Times New Roman"/>
          <w:noProof/>
          <w:szCs w:val="24"/>
          <w:lang w:val="en-US"/>
        </w:rPr>
      </w:pPr>
      <w:r w:rsidRPr="009E672A">
        <w:rPr>
          <w:rFonts w:ascii="Times New Roman" w:hAnsi="Times New Roman" w:cs="Times New Roman"/>
          <w:noProof/>
          <w:szCs w:val="24"/>
          <w:lang w:val="en-US"/>
        </w:rPr>
        <w:t>[24]</w:t>
      </w:r>
      <w:r w:rsidRPr="009E672A">
        <w:rPr>
          <w:rFonts w:ascii="Times New Roman" w:hAnsi="Times New Roman" w:cs="Times New Roman"/>
          <w:noProof/>
          <w:szCs w:val="24"/>
          <w:lang w:val="en-US"/>
        </w:rPr>
        <w:tab/>
        <w:t>W. Albanna, M. Weiss, M. Müller, M.A. Brockmann, A. Rieg, C. Conzen, H. Clusmann, A. Höllig, G.A. Schubert, Endovascular rescue therapies for refractory vasospasm after subarachnoid hemorrhage: A prospective evaluation study using multimodal, continuous event neuromonitoring., Neurosurgery. 80 (2017) 942–949. https://doi.org/10.1093/neuros/nyw132.</w:t>
      </w:r>
    </w:p>
    <w:p w14:paraId="1ECD9CAD" w14:textId="77777777" w:rsidR="00764BF8" w:rsidRPr="009E672A" w:rsidRDefault="00764BF8" w:rsidP="00764BF8">
      <w:pPr>
        <w:widowControl w:val="0"/>
        <w:autoSpaceDE w:val="0"/>
        <w:autoSpaceDN w:val="0"/>
        <w:adjustRightInd w:val="0"/>
        <w:spacing w:line="240" w:lineRule="auto"/>
        <w:ind w:left="640" w:hanging="640"/>
        <w:rPr>
          <w:rFonts w:ascii="Times New Roman" w:hAnsi="Times New Roman" w:cs="Times New Roman"/>
          <w:noProof/>
          <w:szCs w:val="24"/>
          <w:lang w:val="en-US"/>
        </w:rPr>
      </w:pPr>
      <w:r w:rsidRPr="009E672A">
        <w:rPr>
          <w:rFonts w:ascii="Times New Roman" w:hAnsi="Times New Roman" w:cs="Times New Roman"/>
          <w:noProof/>
          <w:szCs w:val="24"/>
          <w:lang w:val="en-US"/>
        </w:rPr>
        <w:t>[25]</w:t>
      </w:r>
      <w:r w:rsidRPr="009E672A">
        <w:rPr>
          <w:rFonts w:ascii="Times New Roman" w:hAnsi="Times New Roman" w:cs="Times New Roman"/>
          <w:noProof/>
          <w:szCs w:val="24"/>
          <w:lang w:val="en-US"/>
        </w:rPr>
        <w:tab/>
        <w:t>M. Weiss, C. Conzen, M. Mueller, M. Wiesmann, H. Clusmann, W. Albanna, G.A. Schubert, Endovascular rescue treatment for delayed cerebral ischemia after subarachnoid hemorrhage is safe and effective., Front. Neurol. 10 (2019) 136. https://doi.org/10.3389/fneur.2019.00136.</w:t>
      </w:r>
    </w:p>
    <w:p w14:paraId="5100577D" w14:textId="77777777" w:rsidR="00764BF8" w:rsidRPr="009E672A" w:rsidRDefault="00764BF8" w:rsidP="00764BF8">
      <w:pPr>
        <w:widowControl w:val="0"/>
        <w:autoSpaceDE w:val="0"/>
        <w:autoSpaceDN w:val="0"/>
        <w:adjustRightInd w:val="0"/>
        <w:spacing w:line="240" w:lineRule="auto"/>
        <w:ind w:left="640" w:hanging="640"/>
        <w:rPr>
          <w:rFonts w:ascii="Times New Roman" w:hAnsi="Times New Roman" w:cs="Times New Roman"/>
          <w:noProof/>
          <w:szCs w:val="24"/>
          <w:lang w:val="en-US"/>
        </w:rPr>
      </w:pPr>
      <w:r w:rsidRPr="009E672A">
        <w:rPr>
          <w:rFonts w:ascii="Times New Roman" w:hAnsi="Times New Roman" w:cs="Times New Roman"/>
          <w:noProof/>
          <w:szCs w:val="24"/>
          <w:lang w:val="en-US"/>
        </w:rPr>
        <w:t>[26]</w:t>
      </w:r>
      <w:r w:rsidRPr="009E672A">
        <w:rPr>
          <w:rFonts w:ascii="Times New Roman" w:hAnsi="Times New Roman" w:cs="Times New Roman"/>
          <w:noProof/>
          <w:szCs w:val="24"/>
          <w:lang w:val="en-US"/>
        </w:rPr>
        <w:tab/>
        <w:t xml:space="preserve">P. Singer, A.R. Blaser, M.M. Berger, W. Alhazzani, P.C. Calder, M.P. Casaer, M. Hiesmayr, </w:t>
      </w:r>
      <w:r w:rsidRPr="009E672A">
        <w:rPr>
          <w:rFonts w:ascii="Times New Roman" w:hAnsi="Times New Roman" w:cs="Times New Roman"/>
          <w:noProof/>
          <w:szCs w:val="24"/>
          <w:lang w:val="en-US"/>
        </w:rPr>
        <w:lastRenderedPageBreak/>
        <w:t>K. Mayer, J.C. Montejo, C. Pichard, J.-C. Preiser, A.R.H. van Zanten, S. Oczkowski, W. Szczeklik, S.C. Bischoff, ESPEN guideline on clinical nutrition in the intensive care unit., Clin. Nutr. 38 (2019) 48–79. https://doi.org/10.1016/j.clnu.2018.08.037.</w:t>
      </w:r>
    </w:p>
    <w:p w14:paraId="15292A8F" w14:textId="77777777" w:rsidR="00764BF8" w:rsidRPr="00764BF8" w:rsidRDefault="00764BF8" w:rsidP="00764BF8">
      <w:pPr>
        <w:widowControl w:val="0"/>
        <w:autoSpaceDE w:val="0"/>
        <w:autoSpaceDN w:val="0"/>
        <w:adjustRightInd w:val="0"/>
        <w:spacing w:line="240" w:lineRule="auto"/>
        <w:ind w:left="640" w:hanging="640"/>
        <w:rPr>
          <w:rFonts w:ascii="Times New Roman" w:hAnsi="Times New Roman" w:cs="Times New Roman"/>
          <w:noProof/>
        </w:rPr>
      </w:pPr>
      <w:r w:rsidRPr="009E672A">
        <w:rPr>
          <w:rFonts w:ascii="Times New Roman" w:hAnsi="Times New Roman" w:cs="Times New Roman"/>
          <w:noProof/>
          <w:szCs w:val="24"/>
          <w:lang w:val="en-US"/>
        </w:rPr>
        <w:t>[27]</w:t>
      </w:r>
      <w:r w:rsidRPr="009E672A">
        <w:rPr>
          <w:rFonts w:ascii="Times New Roman" w:hAnsi="Times New Roman" w:cs="Times New Roman"/>
          <w:noProof/>
          <w:szCs w:val="24"/>
          <w:lang w:val="en-US"/>
        </w:rPr>
        <w:tab/>
        <w:t xml:space="preserve">J.A. Frontera, A. Fernandez, J.M. Schmidt, J. Claassen, K.E. Wartenberg, N. Badjatia, E.S. Connolly, S.A. Mayer, Defining Vasospasm After Subarachnoid Hemorrhage, Stroke. </w:t>
      </w:r>
      <w:r w:rsidRPr="00764BF8">
        <w:rPr>
          <w:rFonts w:ascii="Times New Roman" w:hAnsi="Times New Roman" w:cs="Times New Roman"/>
          <w:noProof/>
          <w:szCs w:val="24"/>
        </w:rPr>
        <w:t>40 (2009) 1963–1968. https://doi.org/10.1161/STROKEAHA.108.544700.</w:t>
      </w:r>
    </w:p>
    <w:p w14:paraId="4CF1582F" w14:textId="274F0D60" w:rsidR="00292D30" w:rsidRPr="000241E5" w:rsidRDefault="00154FEF" w:rsidP="00764BF8">
      <w:pPr>
        <w:widowControl w:val="0"/>
        <w:autoSpaceDE w:val="0"/>
        <w:autoSpaceDN w:val="0"/>
        <w:adjustRightInd w:val="0"/>
        <w:spacing w:line="240" w:lineRule="auto"/>
        <w:ind w:left="640" w:hanging="640"/>
        <w:rPr>
          <w:lang w:val="en-US"/>
        </w:rPr>
      </w:pPr>
      <w:r w:rsidRPr="00591473">
        <w:rPr>
          <w:rFonts w:ascii="Times New Roman" w:hAnsi="Times New Roman" w:cs="Times New Roman"/>
        </w:rPr>
        <w:fldChar w:fldCharType="end"/>
      </w:r>
    </w:p>
    <w:p w14:paraId="2C8DCBF3" w14:textId="77777777" w:rsidR="00511A6C" w:rsidRDefault="00511A6C" w:rsidP="000241E5">
      <w:pPr>
        <w:rPr>
          <w:rFonts w:ascii="Times New Roman" w:hAnsi="Times New Roman" w:cs="Times New Roman"/>
          <w:b/>
          <w:sz w:val="28"/>
          <w:szCs w:val="28"/>
          <w:lang w:val="en-US"/>
        </w:rPr>
      </w:pPr>
    </w:p>
    <w:p w14:paraId="56D5FD1F" w14:textId="77777777" w:rsidR="00511A6C" w:rsidRDefault="00511A6C" w:rsidP="000241E5">
      <w:pPr>
        <w:rPr>
          <w:rFonts w:ascii="Times New Roman" w:hAnsi="Times New Roman" w:cs="Times New Roman"/>
          <w:b/>
          <w:sz w:val="28"/>
          <w:szCs w:val="28"/>
          <w:lang w:val="en-US"/>
        </w:rPr>
      </w:pPr>
    </w:p>
    <w:p w14:paraId="61D0E78D" w14:textId="31BFE349" w:rsidR="000241E5" w:rsidRPr="00511A6C" w:rsidRDefault="007C44AF" w:rsidP="000241E5">
      <w:pPr>
        <w:rPr>
          <w:rFonts w:ascii="Times New Roman" w:hAnsi="Times New Roman" w:cs="Times New Roman"/>
          <w:b/>
          <w:sz w:val="28"/>
          <w:szCs w:val="28"/>
          <w:lang w:val="en-US"/>
        </w:rPr>
      </w:pPr>
      <w:r>
        <w:rPr>
          <w:rFonts w:ascii="Times New Roman" w:hAnsi="Times New Roman" w:cs="Times New Roman"/>
          <w:b/>
          <w:sz w:val="28"/>
          <w:szCs w:val="28"/>
          <w:lang w:val="en-US"/>
        </w:rPr>
        <w:br w:type="column"/>
      </w:r>
      <w:r w:rsidR="000241E5" w:rsidRPr="00511A6C">
        <w:rPr>
          <w:rFonts w:ascii="Times New Roman" w:hAnsi="Times New Roman" w:cs="Times New Roman"/>
          <w:b/>
          <w:sz w:val="28"/>
          <w:szCs w:val="28"/>
          <w:lang w:val="en-US"/>
        </w:rPr>
        <w:lastRenderedPageBreak/>
        <w:t>Figures</w:t>
      </w:r>
    </w:p>
    <w:p w14:paraId="264FFC51" w14:textId="77777777" w:rsidR="00884193" w:rsidRDefault="00884193" w:rsidP="00F415B2">
      <w:pPr>
        <w:widowControl w:val="0"/>
        <w:autoSpaceDE w:val="0"/>
        <w:autoSpaceDN w:val="0"/>
        <w:adjustRightInd w:val="0"/>
        <w:spacing w:after="0" w:line="240" w:lineRule="auto"/>
        <w:ind w:left="482" w:hanging="482"/>
        <w:rPr>
          <w:b/>
          <w:u w:val="single"/>
          <w:lang w:val="en-US"/>
        </w:rPr>
      </w:pPr>
    </w:p>
    <w:p w14:paraId="658F7F13" w14:textId="77777777" w:rsidR="00884193" w:rsidRDefault="00884193" w:rsidP="00F415B2">
      <w:pPr>
        <w:widowControl w:val="0"/>
        <w:autoSpaceDE w:val="0"/>
        <w:autoSpaceDN w:val="0"/>
        <w:adjustRightInd w:val="0"/>
        <w:spacing w:after="0" w:line="240" w:lineRule="auto"/>
        <w:ind w:left="482" w:hanging="482"/>
        <w:rPr>
          <w:b/>
          <w:u w:val="single"/>
          <w:lang w:val="en-US"/>
        </w:rPr>
      </w:pPr>
    </w:p>
    <w:p w14:paraId="07B96E5B" w14:textId="77777777" w:rsidR="00884193" w:rsidRDefault="00884193" w:rsidP="00F415B2">
      <w:pPr>
        <w:widowControl w:val="0"/>
        <w:autoSpaceDE w:val="0"/>
        <w:autoSpaceDN w:val="0"/>
        <w:adjustRightInd w:val="0"/>
        <w:spacing w:after="0" w:line="240" w:lineRule="auto"/>
        <w:ind w:left="482" w:hanging="482"/>
        <w:rPr>
          <w:b/>
          <w:u w:val="single"/>
          <w:lang w:val="en-US"/>
        </w:rPr>
      </w:pPr>
    </w:p>
    <w:p w14:paraId="6FCB5107" w14:textId="77777777" w:rsidR="00884193" w:rsidRDefault="00884193" w:rsidP="00F415B2">
      <w:pPr>
        <w:widowControl w:val="0"/>
        <w:autoSpaceDE w:val="0"/>
        <w:autoSpaceDN w:val="0"/>
        <w:adjustRightInd w:val="0"/>
        <w:spacing w:after="0" w:line="240" w:lineRule="auto"/>
        <w:ind w:left="482" w:hanging="482"/>
        <w:rPr>
          <w:b/>
          <w:u w:val="single"/>
          <w:lang w:val="en-US"/>
        </w:rPr>
      </w:pPr>
    </w:p>
    <w:p w14:paraId="65F06DAE" w14:textId="77777777" w:rsidR="00884193" w:rsidRDefault="00884193" w:rsidP="00F415B2">
      <w:pPr>
        <w:widowControl w:val="0"/>
        <w:autoSpaceDE w:val="0"/>
        <w:autoSpaceDN w:val="0"/>
        <w:adjustRightInd w:val="0"/>
        <w:spacing w:after="0" w:line="240" w:lineRule="auto"/>
        <w:ind w:left="482" w:hanging="482"/>
        <w:rPr>
          <w:b/>
          <w:u w:val="single"/>
          <w:lang w:val="en-US"/>
        </w:rPr>
      </w:pPr>
    </w:p>
    <w:p w14:paraId="53AC9B07" w14:textId="77777777" w:rsidR="00884193" w:rsidRDefault="00884193" w:rsidP="00F415B2">
      <w:pPr>
        <w:widowControl w:val="0"/>
        <w:autoSpaceDE w:val="0"/>
        <w:autoSpaceDN w:val="0"/>
        <w:adjustRightInd w:val="0"/>
        <w:spacing w:after="0" w:line="240" w:lineRule="auto"/>
        <w:ind w:left="482" w:hanging="482"/>
        <w:rPr>
          <w:b/>
          <w:u w:val="single"/>
          <w:lang w:val="en-US"/>
        </w:rPr>
      </w:pPr>
    </w:p>
    <w:p w14:paraId="1FC44E2F" w14:textId="77777777" w:rsidR="00884193" w:rsidRDefault="00884193" w:rsidP="00F415B2">
      <w:pPr>
        <w:widowControl w:val="0"/>
        <w:autoSpaceDE w:val="0"/>
        <w:autoSpaceDN w:val="0"/>
        <w:adjustRightInd w:val="0"/>
        <w:spacing w:after="0" w:line="240" w:lineRule="auto"/>
        <w:ind w:left="482" w:hanging="482"/>
        <w:rPr>
          <w:b/>
          <w:u w:val="single"/>
          <w:lang w:val="en-US"/>
        </w:rPr>
      </w:pPr>
    </w:p>
    <w:p w14:paraId="48F83777" w14:textId="77777777" w:rsidR="00884193" w:rsidRDefault="00884193" w:rsidP="00F415B2">
      <w:pPr>
        <w:widowControl w:val="0"/>
        <w:autoSpaceDE w:val="0"/>
        <w:autoSpaceDN w:val="0"/>
        <w:adjustRightInd w:val="0"/>
        <w:spacing w:after="0" w:line="240" w:lineRule="auto"/>
        <w:ind w:left="482" w:hanging="482"/>
        <w:rPr>
          <w:b/>
          <w:u w:val="single"/>
          <w:lang w:val="en-US"/>
        </w:rPr>
      </w:pPr>
    </w:p>
    <w:p w14:paraId="1760BBD6" w14:textId="77777777" w:rsidR="005D5034" w:rsidRDefault="005D5034" w:rsidP="00FE53F7">
      <w:pPr>
        <w:widowControl w:val="0"/>
        <w:autoSpaceDE w:val="0"/>
        <w:autoSpaceDN w:val="0"/>
        <w:adjustRightInd w:val="0"/>
        <w:spacing w:line="240" w:lineRule="auto"/>
        <w:rPr>
          <w:lang w:val="en-US"/>
        </w:rPr>
      </w:pPr>
    </w:p>
    <w:p w14:paraId="7512B231" w14:textId="77777777" w:rsidR="00B440BC" w:rsidRDefault="00B440BC" w:rsidP="00F415B2">
      <w:pPr>
        <w:widowControl w:val="0"/>
        <w:autoSpaceDE w:val="0"/>
        <w:autoSpaceDN w:val="0"/>
        <w:adjustRightInd w:val="0"/>
        <w:spacing w:line="240" w:lineRule="auto"/>
        <w:ind w:left="480" w:hanging="480"/>
        <w:rPr>
          <w:lang w:val="en-US"/>
        </w:rPr>
      </w:pPr>
    </w:p>
    <w:p w14:paraId="694AFD81" w14:textId="77777777" w:rsidR="00B440BC" w:rsidRDefault="00B440BC" w:rsidP="00F415B2">
      <w:pPr>
        <w:widowControl w:val="0"/>
        <w:autoSpaceDE w:val="0"/>
        <w:autoSpaceDN w:val="0"/>
        <w:adjustRightInd w:val="0"/>
        <w:spacing w:line="240" w:lineRule="auto"/>
        <w:ind w:left="480" w:hanging="480"/>
        <w:rPr>
          <w:lang w:val="en-US"/>
        </w:rPr>
      </w:pPr>
    </w:p>
    <w:p w14:paraId="7CEC39DE" w14:textId="77777777" w:rsidR="00884193" w:rsidRDefault="00884193" w:rsidP="00F415B2">
      <w:pPr>
        <w:widowControl w:val="0"/>
        <w:autoSpaceDE w:val="0"/>
        <w:autoSpaceDN w:val="0"/>
        <w:adjustRightInd w:val="0"/>
        <w:spacing w:line="240" w:lineRule="auto"/>
        <w:ind w:left="480" w:hanging="480"/>
        <w:rPr>
          <w:lang w:val="en-US"/>
        </w:rPr>
      </w:pPr>
    </w:p>
    <w:p w14:paraId="0D74EB18" w14:textId="0DDC87EB" w:rsidR="0036006F" w:rsidRDefault="00D307D7" w:rsidP="0036006F">
      <w:pPr>
        <w:widowControl w:val="0"/>
        <w:autoSpaceDE w:val="0"/>
        <w:autoSpaceDN w:val="0"/>
        <w:adjustRightInd w:val="0"/>
        <w:spacing w:line="240" w:lineRule="auto"/>
        <w:jc w:val="center"/>
        <w:rPr>
          <w:lang w:val="en-US"/>
        </w:rPr>
      </w:pPr>
      <w:r>
        <w:rPr>
          <w:noProof/>
          <w:lang w:eastAsia="de-DE"/>
        </w:rPr>
        <w:drawing>
          <wp:inline distT="0" distB="0" distL="0" distR="0" wp14:anchorId="60570548" wp14:editId="142CFEBB">
            <wp:extent cx="3023616" cy="2375916"/>
            <wp:effectExtent l="0" t="0" r="5715" b="5715"/>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igure 1.tif"/>
                    <pic:cNvPicPr/>
                  </pic:nvPicPr>
                  <pic:blipFill>
                    <a:blip r:embed="rId7" cstate="print">
                      <a:extLst>
                        <a:ext uri="{28A0092B-C50C-407E-A947-70E740481C1C}">
                          <a14:useLocalDpi xmlns:a14="http://schemas.microsoft.com/office/drawing/2010/main" val="0"/>
                        </a:ext>
                      </a:extLst>
                    </a:blip>
                    <a:stretch>
                      <a:fillRect/>
                    </a:stretch>
                  </pic:blipFill>
                  <pic:spPr>
                    <a:xfrm>
                      <a:off x="0" y="0"/>
                      <a:ext cx="3023616" cy="2375916"/>
                    </a:xfrm>
                    <a:prstGeom prst="rect">
                      <a:avLst/>
                    </a:prstGeom>
                  </pic:spPr>
                </pic:pic>
              </a:graphicData>
            </a:graphic>
          </wp:inline>
        </w:drawing>
      </w:r>
    </w:p>
    <w:p w14:paraId="596BAB7E" w14:textId="745EA092" w:rsidR="0036006F" w:rsidRPr="00E539FA" w:rsidRDefault="0036006F" w:rsidP="0036006F">
      <w:pPr>
        <w:widowControl w:val="0"/>
        <w:autoSpaceDE w:val="0"/>
        <w:autoSpaceDN w:val="0"/>
        <w:adjustRightInd w:val="0"/>
        <w:spacing w:after="0" w:line="240" w:lineRule="auto"/>
        <w:ind w:left="482" w:hanging="482"/>
        <w:rPr>
          <w:rFonts w:ascii="Times New Roman" w:hAnsi="Times New Roman" w:cs="Times New Roman"/>
          <w:u w:val="single"/>
          <w:lang w:val="en-US"/>
        </w:rPr>
      </w:pPr>
      <w:r w:rsidRPr="00E539FA">
        <w:rPr>
          <w:rFonts w:ascii="Times New Roman" w:hAnsi="Times New Roman" w:cs="Times New Roman"/>
          <w:b/>
          <w:u w:val="single"/>
          <w:lang w:val="en-US"/>
        </w:rPr>
        <w:t xml:space="preserve">Figure </w:t>
      </w:r>
      <w:r w:rsidR="002C5F14" w:rsidRPr="00E539FA">
        <w:rPr>
          <w:rFonts w:ascii="Times New Roman" w:hAnsi="Times New Roman" w:cs="Times New Roman"/>
          <w:b/>
          <w:u w:val="single"/>
          <w:lang w:val="en-US"/>
        </w:rPr>
        <w:t>1</w:t>
      </w:r>
      <w:r w:rsidRPr="00E539FA">
        <w:rPr>
          <w:rFonts w:ascii="Times New Roman" w:hAnsi="Times New Roman" w:cs="Times New Roman"/>
          <w:b/>
          <w:u w:val="single"/>
          <w:lang w:val="en-US"/>
        </w:rPr>
        <w:t>.</w:t>
      </w:r>
      <w:r w:rsidRPr="00E539FA">
        <w:rPr>
          <w:rFonts w:ascii="Times New Roman" w:hAnsi="Times New Roman" w:cs="Times New Roman"/>
          <w:u w:val="single"/>
          <w:lang w:val="en-US"/>
        </w:rPr>
        <w:t xml:space="preserve"> </w:t>
      </w:r>
      <w:r w:rsidR="002B05A7" w:rsidRPr="00E539FA">
        <w:rPr>
          <w:rFonts w:ascii="Times New Roman" w:hAnsi="Times New Roman" w:cs="Times New Roman"/>
          <w:u w:val="single"/>
          <w:lang w:val="en-US"/>
        </w:rPr>
        <w:t xml:space="preserve">Temporal profile of </w:t>
      </w:r>
      <w:r w:rsidR="00117631" w:rsidRPr="00E539FA">
        <w:rPr>
          <w:rFonts w:ascii="Times New Roman" w:hAnsi="Times New Roman" w:cs="Times New Roman"/>
          <w:u w:val="single"/>
          <w:lang w:val="en-US"/>
        </w:rPr>
        <w:t>circulatory DPP3 (cDPP3)</w:t>
      </w:r>
      <w:r w:rsidRPr="00E539FA">
        <w:rPr>
          <w:rFonts w:ascii="Times New Roman" w:hAnsi="Times New Roman" w:cs="Times New Roman"/>
          <w:u w:val="single"/>
          <w:lang w:val="en-US"/>
        </w:rPr>
        <w:t xml:space="preserve"> levels after </w:t>
      </w:r>
      <w:r w:rsidR="00024EB7" w:rsidRPr="00E539FA">
        <w:rPr>
          <w:rFonts w:ascii="Times New Roman" w:hAnsi="Times New Roman" w:cs="Times New Roman"/>
          <w:u w:val="single"/>
          <w:lang w:val="en-US"/>
        </w:rPr>
        <w:t>a</w:t>
      </w:r>
      <w:r w:rsidRPr="00E539FA">
        <w:rPr>
          <w:rFonts w:ascii="Times New Roman" w:hAnsi="Times New Roman" w:cs="Times New Roman"/>
          <w:u w:val="single"/>
          <w:lang w:val="en-US"/>
        </w:rPr>
        <w:t>SAH.</w:t>
      </w:r>
    </w:p>
    <w:p w14:paraId="129EEE52" w14:textId="3AB3C5F7" w:rsidR="0036006F" w:rsidRPr="00452352" w:rsidRDefault="00A26097" w:rsidP="0036006F">
      <w:pPr>
        <w:widowControl w:val="0"/>
        <w:autoSpaceDE w:val="0"/>
        <w:autoSpaceDN w:val="0"/>
        <w:adjustRightInd w:val="0"/>
        <w:spacing w:line="240" w:lineRule="auto"/>
        <w:jc w:val="both"/>
        <w:rPr>
          <w:rFonts w:ascii="Times New Roman" w:hAnsi="Times New Roman" w:cs="Times New Roman"/>
          <w:color w:val="000000" w:themeColor="text1"/>
          <w:lang w:val="en-US"/>
        </w:rPr>
      </w:pPr>
      <w:r w:rsidRPr="00E539FA">
        <w:rPr>
          <w:rFonts w:ascii="Times New Roman" w:hAnsi="Times New Roman" w:cs="Times New Roman"/>
          <w:lang w:val="en-US"/>
        </w:rPr>
        <w:t xml:space="preserve">Shown are </w:t>
      </w:r>
      <w:r w:rsidR="0029410B" w:rsidRPr="00E539FA">
        <w:rPr>
          <w:rFonts w:ascii="Times New Roman" w:hAnsi="Times New Roman" w:cs="Times New Roman"/>
          <w:lang w:val="en-US"/>
        </w:rPr>
        <w:t xml:space="preserve">median </w:t>
      </w:r>
      <w:r w:rsidR="007C105A" w:rsidRPr="00E539FA">
        <w:rPr>
          <w:rFonts w:ascii="Times New Roman" w:hAnsi="Times New Roman" w:cs="Times New Roman"/>
          <w:lang w:val="en-GB"/>
        </w:rPr>
        <w:t>[</w:t>
      </w:r>
      <w:proofErr w:type="gramStart"/>
      <w:r w:rsidR="007C105A" w:rsidRPr="00E539FA">
        <w:rPr>
          <w:rFonts w:ascii="Times New Roman" w:hAnsi="Times New Roman" w:cs="Times New Roman"/>
          <w:lang w:val="en-GB"/>
        </w:rPr>
        <w:t>1.quartile</w:t>
      </w:r>
      <w:proofErr w:type="gramEnd"/>
      <w:r w:rsidR="007C105A" w:rsidRPr="00E539FA">
        <w:rPr>
          <w:rFonts w:ascii="Times New Roman" w:hAnsi="Times New Roman" w:cs="Times New Roman"/>
          <w:lang w:val="en-GB"/>
        </w:rPr>
        <w:t xml:space="preserve"> </w:t>
      </w:r>
      <w:r w:rsidR="007C105A" w:rsidRPr="00452352">
        <w:rPr>
          <w:rFonts w:ascii="Times New Roman" w:hAnsi="Times New Roman" w:cs="Times New Roman"/>
          <w:color w:val="000000" w:themeColor="text1"/>
          <w:lang w:val="en-GB"/>
        </w:rPr>
        <w:t xml:space="preserve">– 3.quartile] </w:t>
      </w:r>
      <w:r w:rsidR="0029410B" w:rsidRPr="00452352">
        <w:rPr>
          <w:rFonts w:ascii="Times New Roman" w:hAnsi="Times New Roman" w:cs="Times New Roman"/>
          <w:color w:val="000000" w:themeColor="text1"/>
          <w:lang w:val="en-US"/>
        </w:rPr>
        <w:t xml:space="preserve">cDPP3 </w:t>
      </w:r>
      <w:r w:rsidR="0036006F" w:rsidRPr="00452352">
        <w:rPr>
          <w:rFonts w:ascii="Times New Roman" w:hAnsi="Times New Roman" w:cs="Times New Roman"/>
          <w:color w:val="000000" w:themeColor="text1"/>
          <w:lang w:val="en-US"/>
        </w:rPr>
        <w:t xml:space="preserve">levels determined </w:t>
      </w:r>
      <w:r w:rsidR="00117631" w:rsidRPr="00452352">
        <w:rPr>
          <w:rFonts w:ascii="Times New Roman" w:hAnsi="Times New Roman" w:cs="Times New Roman"/>
          <w:color w:val="000000" w:themeColor="text1"/>
          <w:lang w:val="en-US"/>
        </w:rPr>
        <w:t>during the early (</w:t>
      </w:r>
      <w:r w:rsidR="00801BA9" w:rsidRPr="00452352">
        <w:rPr>
          <w:rFonts w:ascii="Times New Roman" w:hAnsi="Times New Roman" w:cs="Times New Roman"/>
          <w:color w:val="000000" w:themeColor="text1"/>
          <w:lang w:val="en-US"/>
        </w:rPr>
        <w:t xml:space="preserve">EP: </w:t>
      </w:r>
      <w:r w:rsidR="00117631" w:rsidRPr="00452352">
        <w:rPr>
          <w:rFonts w:ascii="Times New Roman" w:hAnsi="Times New Roman" w:cs="Times New Roman"/>
          <w:color w:val="000000" w:themeColor="text1"/>
          <w:lang w:val="en-US"/>
        </w:rPr>
        <w:t>d1-4), critical (</w:t>
      </w:r>
      <w:r w:rsidR="00801BA9" w:rsidRPr="00452352">
        <w:rPr>
          <w:rFonts w:ascii="Times New Roman" w:hAnsi="Times New Roman" w:cs="Times New Roman"/>
          <w:color w:val="000000" w:themeColor="text1"/>
          <w:lang w:val="en-US"/>
        </w:rPr>
        <w:t xml:space="preserve">CP: </w:t>
      </w:r>
      <w:r w:rsidR="00117631" w:rsidRPr="00452352">
        <w:rPr>
          <w:rFonts w:ascii="Times New Roman" w:hAnsi="Times New Roman" w:cs="Times New Roman"/>
          <w:color w:val="000000" w:themeColor="text1"/>
          <w:lang w:val="en-US"/>
        </w:rPr>
        <w:t>d5-8, d9-12, d13-15) and late (</w:t>
      </w:r>
      <w:r w:rsidR="00801BA9" w:rsidRPr="00452352">
        <w:rPr>
          <w:rFonts w:ascii="Times New Roman" w:hAnsi="Times New Roman" w:cs="Times New Roman"/>
          <w:color w:val="000000" w:themeColor="text1"/>
          <w:lang w:val="en-US"/>
        </w:rPr>
        <w:t xml:space="preserve">LP: </w:t>
      </w:r>
      <w:r w:rsidR="00117631" w:rsidRPr="00452352">
        <w:rPr>
          <w:rFonts w:ascii="Times New Roman" w:hAnsi="Times New Roman" w:cs="Times New Roman"/>
          <w:color w:val="000000" w:themeColor="text1"/>
          <w:lang w:val="en-US"/>
        </w:rPr>
        <w:t xml:space="preserve">d16-21) phase after </w:t>
      </w:r>
      <w:r w:rsidR="00024EB7" w:rsidRPr="00452352">
        <w:rPr>
          <w:rFonts w:ascii="Times New Roman" w:hAnsi="Times New Roman" w:cs="Times New Roman"/>
          <w:color w:val="000000" w:themeColor="text1"/>
          <w:lang w:val="en-US"/>
        </w:rPr>
        <w:t>a</w:t>
      </w:r>
      <w:r w:rsidR="00117631" w:rsidRPr="00452352">
        <w:rPr>
          <w:rFonts w:ascii="Times New Roman" w:hAnsi="Times New Roman" w:cs="Times New Roman"/>
          <w:color w:val="000000" w:themeColor="text1"/>
          <w:lang w:val="en-US"/>
        </w:rPr>
        <w:t>SAH</w:t>
      </w:r>
      <w:r w:rsidR="0036006F" w:rsidRPr="00452352">
        <w:rPr>
          <w:rFonts w:ascii="Times New Roman" w:hAnsi="Times New Roman" w:cs="Times New Roman"/>
          <w:color w:val="000000" w:themeColor="text1"/>
          <w:lang w:val="en-US"/>
        </w:rPr>
        <w:t>.</w:t>
      </w:r>
      <w:r w:rsidR="00E539FA" w:rsidRPr="00452352">
        <w:rPr>
          <w:rFonts w:ascii="Times New Roman" w:hAnsi="Times New Roman" w:cs="Times New Roman"/>
          <w:b/>
          <w:bCs/>
          <w:color w:val="000000" w:themeColor="text1"/>
          <w:lang w:val="en-US"/>
        </w:rPr>
        <w:t xml:space="preserve"> </w:t>
      </w:r>
      <w:r w:rsidR="00E539FA" w:rsidRPr="00452352">
        <w:rPr>
          <w:rFonts w:ascii="Times New Roman" w:hAnsi="Times New Roman" w:cs="Times New Roman"/>
          <w:bCs/>
          <w:color w:val="000000" w:themeColor="text1"/>
          <w:lang w:val="en-US"/>
        </w:rPr>
        <w:t xml:space="preserve">Using repeated measures ANOVA, </w:t>
      </w:r>
      <w:r w:rsidR="001974AE" w:rsidRPr="00452352">
        <w:rPr>
          <w:rFonts w:ascii="Times New Roman" w:eastAsia="Times New Roman" w:hAnsi="Times New Roman" w:cs="Times New Roman"/>
          <w:bCs/>
          <w:color w:val="000000" w:themeColor="text1"/>
          <w:lang w:val="en-US"/>
        </w:rPr>
        <w:t>t</w:t>
      </w:r>
      <w:r w:rsidR="00E539FA" w:rsidRPr="00452352">
        <w:rPr>
          <w:rFonts w:ascii="Times New Roman" w:eastAsia="Times New Roman" w:hAnsi="Times New Roman" w:cs="Times New Roman"/>
          <w:bCs/>
          <w:color w:val="000000" w:themeColor="text1"/>
          <w:lang w:val="en-US"/>
        </w:rPr>
        <w:t xml:space="preserve">here </w:t>
      </w:r>
      <w:r w:rsidR="00533D29" w:rsidRPr="00452352">
        <w:rPr>
          <w:rFonts w:ascii="Times New Roman" w:eastAsia="Times New Roman" w:hAnsi="Times New Roman" w:cs="Times New Roman"/>
          <w:bCs/>
          <w:color w:val="000000" w:themeColor="text1"/>
          <w:lang w:val="en-US"/>
        </w:rPr>
        <w:t>were no significant differences between the different periods during</w:t>
      </w:r>
      <w:r w:rsidR="00E539FA" w:rsidRPr="00452352">
        <w:rPr>
          <w:rFonts w:ascii="Times New Roman" w:eastAsia="Times New Roman" w:hAnsi="Times New Roman" w:cs="Times New Roman"/>
          <w:bCs/>
          <w:color w:val="000000" w:themeColor="text1"/>
          <w:lang w:val="en-US"/>
        </w:rPr>
        <w:t xml:space="preserve"> the critical phase (CP). </w:t>
      </w:r>
      <w:proofErr w:type="gramStart"/>
      <w:r w:rsidR="00E539FA" w:rsidRPr="00452352">
        <w:rPr>
          <w:rFonts w:ascii="Times New Roman" w:eastAsia="Times New Roman" w:hAnsi="Times New Roman" w:cs="Times New Roman"/>
          <w:bCs/>
          <w:color w:val="000000" w:themeColor="text1"/>
          <w:lang w:val="en-US"/>
        </w:rPr>
        <w:t>F(</w:t>
      </w:r>
      <w:proofErr w:type="gramEnd"/>
      <w:r w:rsidR="00E539FA" w:rsidRPr="00452352">
        <w:rPr>
          <w:rFonts w:ascii="Times New Roman" w:eastAsia="Times New Roman" w:hAnsi="Times New Roman" w:cs="Times New Roman"/>
          <w:bCs/>
          <w:color w:val="000000" w:themeColor="text1"/>
          <w:lang w:val="en-US"/>
        </w:rPr>
        <w:t>1.939, 112.487)=2.077 , p=0.132.</w:t>
      </w:r>
    </w:p>
    <w:p w14:paraId="762988B1" w14:textId="77777777" w:rsidR="00884193" w:rsidRDefault="00884193" w:rsidP="00F415B2">
      <w:pPr>
        <w:widowControl w:val="0"/>
        <w:autoSpaceDE w:val="0"/>
        <w:autoSpaceDN w:val="0"/>
        <w:adjustRightInd w:val="0"/>
        <w:spacing w:line="240" w:lineRule="auto"/>
        <w:ind w:left="480" w:hanging="480"/>
        <w:rPr>
          <w:lang w:val="en-US"/>
        </w:rPr>
      </w:pPr>
    </w:p>
    <w:p w14:paraId="326DE464" w14:textId="77777777" w:rsidR="00884193" w:rsidRDefault="00884193" w:rsidP="00F415B2">
      <w:pPr>
        <w:widowControl w:val="0"/>
        <w:autoSpaceDE w:val="0"/>
        <w:autoSpaceDN w:val="0"/>
        <w:adjustRightInd w:val="0"/>
        <w:spacing w:line="240" w:lineRule="auto"/>
        <w:ind w:left="480" w:hanging="480"/>
        <w:rPr>
          <w:lang w:val="en-US"/>
        </w:rPr>
      </w:pPr>
    </w:p>
    <w:p w14:paraId="3CDF8DFF" w14:textId="77777777" w:rsidR="00884193" w:rsidRDefault="00884193" w:rsidP="00F415B2">
      <w:pPr>
        <w:widowControl w:val="0"/>
        <w:autoSpaceDE w:val="0"/>
        <w:autoSpaceDN w:val="0"/>
        <w:adjustRightInd w:val="0"/>
        <w:spacing w:line="240" w:lineRule="auto"/>
        <w:ind w:left="480" w:hanging="480"/>
        <w:rPr>
          <w:lang w:val="en-US"/>
        </w:rPr>
      </w:pPr>
    </w:p>
    <w:p w14:paraId="7709360F" w14:textId="77777777" w:rsidR="005D5034" w:rsidRDefault="005D5034" w:rsidP="00AA5B0D">
      <w:pPr>
        <w:widowControl w:val="0"/>
        <w:autoSpaceDE w:val="0"/>
        <w:autoSpaceDN w:val="0"/>
        <w:adjustRightInd w:val="0"/>
        <w:spacing w:line="240" w:lineRule="auto"/>
        <w:jc w:val="both"/>
        <w:rPr>
          <w:lang w:val="en-US"/>
        </w:rPr>
      </w:pPr>
    </w:p>
    <w:p w14:paraId="376BCDFE" w14:textId="77777777" w:rsidR="00BD1191" w:rsidRDefault="00BD1191" w:rsidP="00AA5B0D">
      <w:pPr>
        <w:widowControl w:val="0"/>
        <w:autoSpaceDE w:val="0"/>
        <w:autoSpaceDN w:val="0"/>
        <w:adjustRightInd w:val="0"/>
        <w:spacing w:line="240" w:lineRule="auto"/>
        <w:jc w:val="both"/>
        <w:rPr>
          <w:lang w:val="en-US"/>
        </w:rPr>
      </w:pPr>
    </w:p>
    <w:p w14:paraId="3DCA5C85" w14:textId="77777777" w:rsidR="00BD1191" w:rsidRDefault="00BD1191" w:rsidP="00AA5B0D">
      <w:pPr>
        <w:widowControl w:val="0"/>
        <w:autoSpaceDE w:val="0"/>
        <w:autoSpaceDN w:val="0"/>
        <w:adjustRightInd w:val="0"/>
        <w:spacing w:line="240" w:lineRule="auto"/>
        <w:jc w:val="both"/>
        <w:rPr>
          <w:lang w:val="en-US"/>
        </w:rPr>
      </w:pPr>
    </w:p>
    <w:p w14:paraId="174C2C97" w14:textId="77777777" w:rsidR="00BD1191" w:rsidRDefault="00BD1191" w:rsidP="00AA5B0D">
      <w:pPr>
        <w:widowControl w:val="0"/>
        <w:autoSpaceDE w:val="0"/>
        <w:autoSpaceDN w:val="0"/>
        <w:adjustRightInd w:val="0"/>
        <w:spacing w:line="240" w:lineRule="auto"/>
        <w:jc w:val="both"/>
        <w:rPr>
          <w:lang w:val="en-US"/>
        </w:rPr>
      </w:pPr>
    </w:p>
    <w:p w14:paraId="2065C9D5" w14:textId="77777777" w:rsidR="0029410B" w:rsidRDefault="0029410B" w:rsidP="0029410B">
      <w:pPr>
        <w:widowControl w:val="0"/>
        <w:autoSpaceDE w:val="0"/>
        <w:autoSpaceDN w:val="0"/>
        <w:adjustRightInd w:val="0"/>
        <w:spacing w:line="240" w:lineRule="auto"/>
        <w:jc w:val="both"/>
        <w:rPr>
          <w:lang w:val="en-US"/>
        </w:rPr>
      </w:pPr>
    </w:p>
    <w:p w14:paraId="7BFCACFE" w14:textId="1F0B8E3D" w:rsidR="0029410B" w:rsidRDefault="00CF3334" w:rsidP="0029410B">
      <w:pPr>
        <w:widowControl w:val="0"/>
        <w:autoSpaceDE w:val="0"/>
        <w:autoSpaceDN w:val="0"/>
        <w:adjustRightInd w:val="0"/>
        <w:spacing w:line="240" w:lineRule="auto"/>
        <w:jc w:val="both"/>
        <w:rPr>
          <w:lang w:val="en-US"/>
        </w:rPr>
      </w:pPr>
      <w:r>
        <w:rPr>
          <w:noProof/>
          <w:lang w:eastAsia="de-DE"/>
        </w:rPr>
        <w:lastRenderedPageBreak/>
        <w:drawing>
          <wp:inline distT="0" distB="0" distL="0" distR="0" wp14:anchorId="195C8325" wp14:editId="3E89A1FA">
            <wp:extent cx="5760720" cy="3822065"/>
            <wp:effectExtent l="0" t="0" r="0" b="6985"/>
            <wp:docPr id="5" name="Grafik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igure 2.tif"/>
                    <pic:cNvPicPr/>
                  </pic:nvPicPr>
                  <pic:blipFill>
                    <a:blip r:embed="rId8" cstate="print">
                      <a:extLst>
                        <a:ext uri="{28A0092B-C50C-407E-A947-70E740481C1C}">
                          <a14:useLocalDpi xmlns:a14="http://schemas.microsoft.com/office/drawing/2010/main" val="0"/>
                        </a:ext>
                      </a:extLst>
                    </a:blip>
                    <a:stretch>
                      <a:fillRect/>
                    </a:stretch>
                  </pic:blipFill>
                  <pic:spPr>
                    <a:xfrm>
                      <a:off x="0" y="0"/>
                      <a:ext cx="5760720" cy="3822065"/>
                    </a:xfrm>
                    <a:prstGeom prst="rect">
                      <a:avLst/>
                    </a:prstGeom>
                  </pic:spPr>
                </pic:pic>
              </a:graphicData>
            </a:graphic>
          </wp:inline>
        </w:drawing>
      </w:r>
    </w:p>
    <w:p w14:paraId="6345DBE6" w14:textId="3AC0FC3B" w:rsidR="00BD1191" w:rsidRPr="00FB1DAC" w:rsidRDefault="00BD1191" w:rsidP="007E12EF">
      <w:pPr>
        <w:widowControl w:val="0"/>
        <w:autoSpaceDE w:val="0"/>
        <w:autoSpaceDN w:val="0"/>
        <w:adjustRightInd w:val="0"/>
        <w:spacing w:after="0" w:line="240" w:lineRule="auto"/>
        <w:rPr>
          <w:rFonts w:ascii="Times New Roman" w:hAnsi="Times New Roman" w:cs="Times New Roman"/>
          <w:u w:val="single"/>
          <w:lang w:val="en-US"/>
        </w:rPr>
      </w:pPr>
      <w:r w:rsidRPr="00D65CB9">
        <w:rPr>
          <w:rFonts w:ascii="Times New Roman" w:hAnsi="Times New Roman" w:cs="Times New Roman"/>
          <w:b/>
          <w:u w:val="single"/>
          <w:lang w:val="en-US"/>
        </w:rPr>
        <w:t xml:space="preserve">Figure </w:t>
      </w:r>
      <w:r w:rsidR="00580887" w:rsidRPr="00D65CB9">
        <w:rPr>
          <w:rFonts w:ascii="Times New Roman" w:hAnsi="Times New Roman" w:cs="Times New Roman"/>
          <w:b/>
          <w:u w:val="single"/>
          <w:lang w:val="en-US"/>
        </w:rPr>
        <w:t>2</w:t>
      </w:r>
      <w:r w:rsidRPr="00580887">
        <w:rPr>
          <w:rFonts w:ascii="Times New Roman" w:hAnsi="Times New Roman" w:cs="Times New Roman"/>
          <w:b/>
          <w:u w:val="single"/>
          <w:lang w:val="en-US"/>
        </w:rPr>
        <w:t>.</w:t>
      </w:r>
      <w:r w:rsidRPr="0099324A">
        <w:rPr>
          <w:rFonts w:ascii="Times New Roman" w:hAnsi="Times New Roman" w:cs="Times New Roman"/>
          <w:u w:val="single"/>
          <w:lang w:val="en-US"/>
        </w:rPr>
        <w:t xml:space="preserve"> </w:t>
      </w:r>
      <w:r w:rsidR="00E675E8">
        <w:rPr>
          <w:rFonts w:ascii="Times New Roman" w:hAnsi="Times New Roman" w:cs="Times New Roman"/>
          <w:u w:val="single"/>
          <w:lang w:val="en-US"/>
        </w:rPr>
        <w:t>C</w:t>
      </w:r>
      <w:r w:rsidR="00E675E8" w:rsidRPr="00FB1DAC">
        <w:rPr>
          <w:rFonts w:ascii="Times New Roman" w:hAnsi="Times New Roman" w:cs="Times New Roman"/>
          <w:u w:val="single"/>
          <w:lang w:val="en-US"/>
        </w:rPr>
        <w:t xml:space="preserve">omparison </w:t>
      </w:r>
      <w:r w:rsidR="00FE28DA" w:rsidRPr="00FB1DAC">
        <w:rPr>
          <w:rFonts w:ascii="Times New Roman" w:hAnsi="Times New Roman" w:cs="Times New Roman"/>
          <w:u w:val="single"/>
          <w:lang w:val="en-US"/>
        </w:rPr>
        <w:t xml:space="preserve">of cDPP3 levels </w:t>
      </w:r>
      <w:r w:rsidR="007E12EF" w:rsidRPr="00FB1DAC">
        <w:rPr>
          <w:rFonts w:ascii="Times New Roman" w:hAnsi="Times New Roman" w:cs="Times New Roman"/>
          <w:u w:val="single"/>
          <w:lang w:val="en-US"/>
        </w:rPr>
        <w:t xml:space="preserve">in </w:t>
      </w:r>
      <w:r w:rsidR="0029410B">
        <w:rPr>
          <w:rFonts w:ascii="Times New Roman" w:hAnsi="Times New Roman" w:cs="Times New Roman"/>
          <w:u w:val="single"/>
          <w:lang w:val="en-US"/>
        </w:rPr>
        <w:t xml:space="preserve">predefined subgroups based on </w:t>
      </w:r>
      <w:r w:rsidR="007E12EF" w:rsidRPr="00FB1DAC">
        <w:rPr>
          <w:rFonts w:ascii="Times New Roman" w:hAnsi="Times New Roman" w:cs="Times New Roman"/>
          <w:u w:val="single"/>
          <w:lang w:val="en-US"/>
        </w:rPr>
        <w:t>clinical and radiological severity on admission.</w:t>
      </w:r>
    </w:p>
    <w:p w14:paraId="0A120317" w14:textId="22B1AFBA" w:rsidR="00FE28DA" w:rsidRPr="00FB1DAC" w:rsidRDefault="00FE28DA" w:rsidP="00FE28DA">
      <w:pPr>
        <w:widowControl w:val="0"/>
        <w:autoSpaceDE w:val="0"/>
        <w:autoSpaceDN w:val="0"/>
        <w:adjustRightInd w:val="0"/>
        <w:spacing w:line="240" w:lineRule="auto"/>
        <w:jc w:val="both"/>
        <w:rPr>
          <w:rFonts w:ascii="Times New Roman" w:hAnsi="Times New Roman" w:cs="Times New Roman"/>
          <w:lang w:val="en-US"/>
        </w:rPr>
      </w:pPr>
      <w:r w:rsidRPr="00FB1DAC">
        <w:rPr>
          <w:rFonts w:ascii="Times New Roman" w:hAnsi="Times New Roman" w:cs="Times New Roman"/>
          <w:lang w:val="en-US"/>
        </w:rPr>
        <w:t>(</w:t>
      </w:r>
      <w:r w:rsidRPr="00FB1DAC">
        <w:rPr>
          <w:rFonts w:ascii="Times New Roman" w:hAnsi="Times New Roman" w:cs="Times New Roman"/>
          <w:b/>
          <w:lang w:val="en-US"/>
        </w:rPr>
        <w:t>A</w:t>
      </w:r>
      <w:r w:rsidRPr="00FB1DAC">
        <w:rPr>
          <w:rFonts w:ascii="Times New Roman" w:hAnsi="Times New Roman" w:cs="Times New Roman"/>
          <w:lang w:val="en-US"/>
        </w:rPr>
        <w:t xml:space="preserve">) Temporal profile of </w:t>
      </w:r>
      <w:r w:rsidR="007C105A">
        <w:rPr>
          <w:rFonts w:ascii="Times New Roman" w:hAnsi="Times New Roman" w:cs="Times New Roman"/>
          <w:lang w:val="en-US"/>
        </w:rPr>
        <w:t xml:space="preserve">median </w:t>
      </w:r>
      <w:r w:rsidR="007C105A" w:rsidRPr="008E1B74">
        <w:rPr>
          <w:rFonts w:ascii="Times New Roman" w:hAnsi="Times New Roman" w:cs="Times New Roman"/>
          <w:lang w:val="en-GB"/>
        </w:rPr>
        <w:t>[</w:t>
      </w:r>
      <w:proofErr w:type="gramStart"/>
      <w:r w:rsidR="007C105A" w:rsidRPr="008E1B74">
        <w:rPr>
          <w:rFonts w:ascii="Times New Roman" w:hAnsi="Times New Roman" w:cs="Times New Roman"/>
          <w:lang w:val="en-GB"/>
        </w:rPr>
        <w:t>1.quartile</w:t>
      </w:r>
      <w:proofErr w:type="gramEnd"/>
      <w:r w:rsidR="007C105A" w:rsidRPr="008E1B74">
        <w:rPr>
          <w:rFonts w:ascii="Times New Roman" w:hAnsi="Times New Roman" w:cs="Times New Roman"/>
          <w:lang w:val="en-GB"/>
        </w:rPr>
        <w:t xml:space="preserve"> – 3.quartile]</w:t>
      </w:r>
      <w:r w:rsidR="007C105A">
        <w:rPr>
          <w:rFonts w:ascii="Times New Roman" w:hAnsi="Times New Roman" w:cs="Times New Roman"/>
          <w:lang w:val="en-GB"/>
        </w:rPr>
        <w:t xml:space="preserve"> </w:t>
      </w:r>
      <w:r w:rsidRPr="00FB1DAC">
        <w:rPr>
          <w:rFonts w:ascii="Times New Roman" w:hAnsi="Times New Roman" w:cs="Times New Roman"/>
          <w:lang w:val="en-US"/>
        </w:rPr>
        <w:t>cDPP3 levels in patients with a good (open circles) or poor (closed circles) clinical stat</w:t>
      </w:r>
      <w:r w:rsidR="0029410B">
        <w:rPr>
          <w:rFonts w:ascii="Times New Roman" w:hAnsi="Times New Roman" w:cs="Times New Roman"/>
          <w:lang w:val="en-US"/>
        </w:rPr>
        <w:t>e</w:t>
      </w:r>
      <w:r w:rsidRPr="00FB1DAC">
        <w:rPr>
          <w:rFonts w:ascii="Times New Roman" w:hAnsi="Times New Roman" w:cs="Times New Roman"/>
          <w:lang w:val="en-US"/>
        </w:rPr>
        <w:t xml:space="preserve"> on admission according to the Hunt &amp; Hess grading scale (HH). Significant differences between the groups are indicated by arrows. (</w:t>
      </w:r>
      <w:r w:rsidRPr="00FB1DAC">
        <w:rPr>
          <w:rFonts w:ascii="Times New Roman" w:hAnsi="Times New Roman" w:cs="Times New Roman"/>
          <w:b/>
          <w:lang w:val="en-US"/>
        </w:rPr>
        <w:t>B</w:t>
      </w:r>
      <w:r w:rsidRPr="00FB1DAC">
        <w:rPr>
          <w:rFonts w:ascii="Times New Roman" w:hAnsi="Times New Roman" w:cs="Times New Roman"/>
          <w:lang w:val="en-US"/>
        </w:rPr>
        <w:t>) Boxplots illustrating significant differences between the groups in panel A. (</w:t>
      </w:r>
      <w:r w:rsidRPr="00FB1DAC">
        <w:rPr>
          <w:rFonts w:ascii="Times New Roman" w:hAnsi="Times New Roman" w:cs="Times New Roman"/>
          <w:b/>
          <w:lang w:val="en-US"/>
        </w:rPr>
        <w:t>C</w:t>
      </w:r>
      <w:r w:rsidRPr="00FB1DAC">
        <w:rPr>
          <w:rFonts w:ascii="Times New Roman" w:hAnsi="Times New Roman" w:cs="Times New Roman"/>
          <w:lang w:val="en-US"/>
        </w:rPr>
        <w:t xml:space="preserve">) Temporal profile of </w:t>
      </w:r>
      <w:r w:rsidR="007C105A">
        <w:rPr>
          <w:rFonts w:ascii="Times New Roman" w:hAnsi="Times New Roman" w:cs="Times New Roman"/>
          <w:lang w:val="en-US"/>
        </w:rPr>
        <w:t xml:space="preserve">median </w:t>
      </w:r>
      <w:r w:rsidR="007C105A" w:rsidRPr="008E1B74">
        <w:rPr>
          <w:rFonts w:ascii="Times New Roman" w:hAnsi="Times New Roman" w:cs="Times New Roman"/>
          <w:lang w:val="en-GB"/>
        </w:rPr>
        <w:t>[</w:t>
      </w:r>
      <w:proofErr w:type="gramStart"/>
      <w:r w:rsidR="007C105A" w:rsidRPr="008E1B74">
        <w:rPr>
          <w:rFonts w:ascii="Times New Roman" w:hAnsi="Times New Roman" w:cs="Times New Roman"/>
          <w:lang w:val="en-GB"/>
        </w:rPr>
        <w:t>1.quartile</w:t>
      </w:r>
      <w:proofErr w:type="gramEnd"/>
      <w:r w:rsidR="007C105A" w:rsidRPr="008E1B74">
        <w:rPr>
          <w:rFonts w:ascii="Times New Roman" w:hAnsi="Times New Roman" w:cs="Times New Roman"/>
          <w:lang w:val="en-GB"/>
        </w:rPr>
        <w:t xml:space="preserve"> – 3.quartile]</w:t>
      </w:r>
      <w:r w:rsidR="007C105A">
        <w:rPr>
          <w:rFonts w:ascii="Times New Roman" w:hAnsi="Times New Roman" w:cs="Times New Roman"/>
          <w:lang w:val="en-GB"/>
        </w:rPr>
        <w:t xml:space="preserve"> </w:t>
      </w:r>
      <w:r w:rsidRPr="00FB1DAC">
        <w:rPr>
          <w:rFonts w:ascii="Times New Roman" w:hAnsi="Times New Roman" w:cs="Times New Roman"/>
          <w:lang w:val="en-US"/>
        </w:rPr>
        <w:t>cDPP3 levels in patients with a good (open circles) or poor (closed circles) radiological stat</w:t>
      </w:r>
      <w:r w:rsidR="0029410B">
        <w:rPr>
          <w:rFonts w:ascii="Times New Roman" w:hAnsi="Times New Roman" w:cs="Times New Roman"/>
          <w:lang w:val="en-US"/>
        </w:rPr>
        <w:t>e</w:t>
      </w:r>
      <w:r w:rsidRPr="00FB1DAC">
        <w:rPr>
          <w:rFonts w:ascii="Times New Roman" w:hAnsi="Times New Roman" w:cs="Times New Roman"/>
          <w:lang w:val="en-US"/>
        </w:rPr>
        <w:t xml:space="preserve"> on admission according to the modified Fisher scale (</w:t>
      </w:r>
      <w:proofErr w:type="spellStart"/>
      <w:r w:rsidRPr="00FB1DAC">
        <w:rPr>
          <w:rFonts w:ascii="Times New Roman" w:hAnsi="Times New Roman" w:cs="Times New Roman"/>
          <w:lang w:val="en-US"/>
        </w:rPr>
        <w:t>mFS</w:t>
      </w:r>
      <w:proofErr w:type="spellEnd"/>
      <w:r w:rsidRPr="00FB1DAC">
        <w:rPr>
          <w:rFonts w:ascii="Times New Roman" w:hAnsi="Times New Roman" w:cs="Times New Roman"/>
          <w:lang w:val="en-US"/>
        </w:rPr>
        <w:t>). Significant differences between the groups are indicated by arrows. (</w:t>
      </w:r>
      <w:r w:rsidRPr="00FB1DAC">
        <w:rPr>
          <w:rFonts w:ascii="Times New Roman" w:hAnsi="Times New Roman" w:cs="Times New Roman"/>
          <w:b/>
          <w:lang w:val="en-US"/>
        </w:rPr>
        <w:t>D</w:t>
      </w:r>
      <w:r w:rsidRPr="00FB1DAC">
        <w:rPr>
          <w:rFonts w:ascii="Times New Roman" w:hAnsi="Times New Roman" w:cs="Times New Roman"/>
          <w:lang w:val="en-US"/>
        </w:rPr>
        <w:t xml:space="preserve">) Boxplots illustrating significant differences </w:t>
      </w:r>
      <w:r w:rsidR="00AA45B4">
        <w:rPr>
          <w:rFonts w:ascii="Times New Roman" w:hAnsi="Times New Roman" w:cs="Times New Roman"/>
          <w:lang w:val="en-US"/>
        </w:rPr>
        <w:t xml:space="preserve">and trends </w:t>
      </w:r>
      <w:r w:rsidRPr="00FB1DAC">
        <w:rPr>
          <w:rFonts w:ascii="Times New Roman" w:hAnsi="Times New Roman" w:cs="Times New Roman"/>
          <w:lang w:val="en-US"/>
        </w:rPr>
        <w:t>between the groups shown in panel C.</w:t>
      </w:r>
      <w:r w:rsidR="0000652C">
        <w:rPr>
          <w:rFonts w:ascii="Times New Roman" w:hAnsi="Times New Roman" w:cs="Times New Roman"/>
          <w:lang w:val="en-US"/>
        </w:rPr>
        <w:t xml:space="preserve"> EP, early phase; CP, critical phase; LP, late phase.</w:t>
      </w:r>
    </w:p>
    <w:p w14:paraId="700D387C" w14:textId="77777777" w:rsidR="00747B02" w:rsidRDefault="00747B02" w:rsidP="00AA5B0D">
      <w:pPr>
        <w:widowControl w:val="0"/>
        <w:autoSpaceDE w:val="0"/>
        <w:autoSpaceDN w:val="0"/>
        <w:adjustRightInd w:val="0"/>
        <w:spacing w:line="240" w:lineRule="auto"/>
        <w:jc w:val="both"/>
        <w:rPr>
          <w:lang w:val="en-US"/>
        </w:rPr>
      </w:pPr>
    </w:p>
    <w:p w14:paraId="463CD08D" w14:textId="77777777" w:rsidR="00BD1191" w:rsidRDefault="00BD1191" w:rsidP="00AA5B0D">
      <w:pPr>
        <w:widowControl w:val="0"/>
        <w:autoSpaceDE w:val="0"/>
        <w:autoSpaceDN w:val="0"/>
        <w:adjustRightInd w:val="0"/>
        <w:spacing w:line="240" w:lineRule="auto"/>
        <w:jc w:val="both"/>
        <w:rPr>
          <w:lang w:val="en-US"/>
        </w:rPr>
      </w:pPr>
    </w:p>
    <w:p w14:paraId="26199375" w14:textId="77777777" w:rsidR="00BD1191" w:rsidRDefault="00BD1191" w:rsidP="00AA5B0D">
      <w:pPr>
        <w:widowControl w:val="0"/>
        <w:autoSpaceDE w:val="0"/>
        <w:autoSpaceDN w:val="0"/>
        <w:adjustRightInd w:val="0"/>
        <w:spacing w:line="240" w:lineRule="auto"/>
        <w:jc w:val="both"/>
        <w:rPr>
          <w:lang w:val="en-US"/>
        </w:rPr>
      </w:pPr>
    </w:p>
    <w:p w14:paraId="3E3AA800" w14:textId="77777777" w:rsidR="00BD1191" w:rsidRDefault="00BD1191" w:rsidP="00AA5B0D">
      <w:pPr>
        <w:widowControl w:val="0"/>
        <w:autoSpaceDE w:val="0"/>
        <w:autoSpaceDN w:val="0"/>
        <w:adjustRightInd w:val="0"/>
        <w:spacing w:line="240" w:lineRule="auto"/>
        <w:jc w:val="both"/>
        <w:rPr>
          <w:lang w:val="en-US"/>
        </w:rPr>
      </w:pPr>
    </w:p>
    <w:p w14:paraId="6B4BE030" w14:textId="77777777" w:rsidR="00BD1191" w:rsidRDefault="00BD1191" w:rsidP="00AA5B0D">
      <w:pPr>
        <w:widowControl w:val="0"/>
        <w:autoSpaceDE w:val="0"/>
        <w:autoSpaceDN w:val="0"/>
        <w:adjustRightInd w:val="0"/>
        <w:spacing w:line="240" w:lineRule="auto"/>
        <w:jc w:val="both"/>
        <w:rPr>
          <w:lang w:val="en-US"/>
        </w:rPr>
      </w:pPr>
    </w:p>
    <w:p w14:paraId="58E4899F" w14:textId="77777777" w:rsidR="00BD1191" w:rsidRDefault="00BD1191" w:rsidP="00AA5B0D">
      <w:pPr>
        <w:widowControl w:val="0"/>
        <w:autoSpaceDE w:val="0"/>
        <w:autoSpaceDN w:val="0"/>
        <w:adjustRightInd w:val="0"/>
        <w:spacing w:line="240" w:lineRule="auto"/>
        <w:jc w:val="both"/>
        <w:rPr>
          <w:lang w:val="en-US"/>
        </w:rPr>
      </w:pPr>
    </w:p>
    <w:p w14:paraId="73984F41" w14:textId="77777777" w:rsidR="00CB697F" w:rsidRDefault="00CB697F" w:rsidP="00CB697F">
      <w:pPr>
        <w:widowControl w:val="0"/>
        <w:autoSpaceDE w:val="0"/>
        <w:autoSpaceDN w:val="0"/>
        <w:adjustRightInd w:val="0"/>
        <w:spacing w:line="240" w:lineRule="auto"/>
        <w:jc w:val="both"/>
        <w:rPr>
          <w:lang w:val="en-US"/>
        </w:rPr>
      </w:pPr>
    </w:p>
    <w:p w14:paraId="35256427" w14:textId="77777777" w:rsidR="00CB697F" w:rsidRDefault="00CB697F" w:rsidP="00CB697F">
      <w:pPr>
        <w:widowControl w:val="0"/>
        <w:autoSpaceDE w:val="0"/>
        <w:autoSpaceDN w:val="0"/>
        <w:adjustRightInd w:val="0"/>
        <w:spacing w:after="0" w:line="240" w:lineRule="auto"/>
        <w:ind w:left="482" w:hanging="482"/>
        <w:rPr>
          <w:b/>
          <w:u w:val="single"/>
          <w:lang w:val="en-US"/>
        </w:rPr>
      </w:pPr>
      <w:r w:rsidRPr="00CB697F">
        <w:rPr>
          <w:b/>
          <w:noProof/>
          <w:lang w:eastAsia="de-DE"/>
        </w:rPr>
        <w:lastRenderedPageBreak/>
        <w:drawing>
          <wp:inline distT="0" distB="0" distL="0" distR="0" wp14:anchorId="28FD4631" wp14:editId="177A9959">
            <wp:extent cx="5760720" cy="4367530"/>
            <wp:effectExtent l="0" t="0" r="0" b="0"/>
            <wp:docPr id="8" name="Grafi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igure 3.tif"/>
                    <pic:cNvPicPr/>
                  </pic:nvPicPr>
                  <pic:blipFill>
                    <a:blip r:embed="rId9" cstate="print">
                      <a:extLst>
                        <a:ext uri="{28A0092B-C50C-407E-A947-70E740481C1C}">
                          <a14:useLocalDpi xmlns:a14="http://schemas.microsoft.com/office/drawing/2010/main" val="0"/>
                        </a:ext>
                      </a:extLst>
                    </a:blip>
                    <a:stretch>
                      <a:fillRect/>
                    </a:stretch>
                  </pic:blipFill>
                  <pic:spPr>
                    <a:xfrm>
                      <a:off x="0" y="0"/>
                      <a:ext cx="5760720" cy="4367530"/>
                    </a:xfrm>
                    <a:prstGeom prst="rect">
                      <a:avLst/>
                    </a:prstGeom>
                  </pic:spPr>
                </pic:pic>
              </a:graphicData>
            </a:graphic>
          </wp:inline>
        </w:drawing>
      </w:r>
    </w:p>
    <w:p w14:paraId="26BEB857" w14:textId="34EAA68B" w:rsidR="00BD1191" w:rsidRPr="00E819A8" w:rsidRDefault="00BD1191" w:rsidP="007E12EF">
      <w:pPr>
        <w:widowControl w:val="0"/>
        <w:autoSpaceDE w:val="0"/>
        <w:autoSpaceDN w:val="0"/>
        <w:adjustRightInd w:val="0"/>
        <w:spacing w:after="0" w:line="240" w:lineRule="auto"/>
        <w:rPr>
          <w:rFonts w:ascii="Times New Roman" w:hAnsi="Times New Roman" w:cs="Times New Roman"/>
          <w:u w:val="single"/>
          <w:lang w:val="en-US"/>
        </w:rPr>
      </w:pPr>
      <w:r w:rsidRPr="00D65CB9">
        <w:rPr>
          <w:rFonts w:ascii="Times New Roman" w:hAnsi="Times New Roman" w:cs="Times New Roman"/>
          <w:b/>
          <w:u w:val="single"/>
          <w:lang w:val="en-US"/>
        </w:rPr>
        <w:t xml:space="preserve">Figure </w:t>
      </w:r>
      <w:r w:rsidR="00580887" w:rsidRPr="00D65CB9">
        <w:rPr>
          <w:rFonts w:ascii="Times New Roman" w:hAnsi="Times New Roman" w:cs="Times New Roman"/>
          <w:b/>
          <w:u w:val="single"/>
          <w:lang w:val="en-US"/>
        </w:rPr>
        <w:t>3</w:t>
      </w:r>
      <w:r w:rsidRPr="00D65CB9">
        <w:rPr>
          <w:rFonts w:ascii="Times New Roman" w:hAnsi="Times New Roman" w:cs="Times New Roman"/>
          <w:b/>
          <w:u w:val="single"/>
          <w:lang w:val="en-US"/>
        </w:rPr>
        <w:t>.</w:t>
      </w:r>
      <w:r w:rsidRPr="00D65CB9">
        <w:rPr>
          <w:rFonts w:ascii="Times New Roman" w:hAnsi="Times New Roman" w:cs="Times New Roman"/>
          <w:u w:val="single"/>
          <w:lang w:val="en-US"/>
        </w:rPr>
        <w:t xml:space="preserve"> </w:t>
      </w:r>
      <w:r w:rsidR="00E675E8">
        <w:rPr>
          <w:rFonts w:ascii="Times New Roman" w:hAnsi="Times New Roman" w:cs="Times New Roman"/>
          <w:u w:val="single"/>
          <w:lang w:val="en-US"/>
        </w:rPr>
        <w:t>C</w:t>
      </w:r>
      <w:r w:rsidR="00E675E8" w:rsidRPr="00E819A8">
        <w:rPr>
          <w:rFonts w:ascii="Times New Roman" w:hAnsi="Times New Roman" w:cs="Times New Roman"/>
          <w:u w:val="single"/>
          <w:lang w:val="en-US"/>
        </w:rPr>
        <w:t xml:space="preserve">omparison </w:t>
      </w:r>
      <w:r w:rsidR="00FE28DA" w:rsidRPr="00E819A8">
        <w:rPr>
          <w:rFonts w:ascii="Times New Roman" w:hAnsi="Times New Roman" w:cs="Times New Roman"/>
          <w:u w:val="single"/>
          <w:lang w:val="en-US"/>
        </w:rPr>
        <w:t xml:space="preserve">of cDPP3 levels </w:t>
      </w:r>
      <w:r w:rsidR="007E12EF" w:rsidRPr="00E819A8">
        <w:rPr>
          <w:rFonts w:ascii="Times New Roman" w:hAnsi="Times New Roman" w:cs="Times New Roman"/>
          <w:u w:val="single"/>
          <w:lang w:val="en-US"/>
        </w:rPr>
        <w:t xml:space="preserve">in patients </w:t>
      </w:r>
      <w:r w:rsidR="00FE28DA" w:rsidRPr="00E819A8">
        <w:rPr>
          <w:rFonts w:ascii="Times New Roman" w:hAnsi="Times New Roman" w:cs="Times New Roman"/>
          <w:u w:val="single"/>
          <w:lang w:val="en-US"/>
        </w:rPr>
        <w:t xml:space="preserve">with </w:t>
      </w:r>
      <w:r w:rsidR="007E12EF" w:rsidRPr="00E819A8">
        <w:rPr>
          <w:rFonts w:ascii="Times New Roman" w:hAnsi="Times New Roman" w:cs="Times New Roman"/>
          <w:u w:val="single"/>
          <w:lang w:val="en-US"/>
        </w:rPr>
        <w:t xml:space="preserve">or without </w:t>
      </w:r>
      <w:r w:rsidR="00FE28DA" w:rsidRPr="00E819A8">
        <w:rPr>
          <w:rFonts w:ascii="Times New Roman" w:hAnsi="Times New Roman" w:cs="Times New Roman"/>
          <w:u w:val="single"/>
          <w:lang w:val="en-US"/>
        </w:rPr>
        <w:t>DCI and DCI-related infarction</w:t>
      </w:r>
      <w:r w:rsidR="007E12EF" w:rsidRPr="00E819A8">
        <w:rPr>
          <w:rFonts w:ascii="Times New Roman" w:hAnsi="Times New Roman" w:cs="Times New Roman"/>
          <w:u w:val="single"/>
          <w:lang w:val="en-US"/>
        </w:rPr>
        <w:t>s</w:t>
      </w:r>
      <w:r w:rsidRPr="00E819A8">
        <w:rPr>
          <w:rFonts w:ascii="Times New Roman" w:hAnsi="Times New Roman" w:cs="Times New Roman"/>
          <w:u w:val="single"/>
          <w:lang w:val="en-US"/>
        </w:rPr>
        <w:t>.</w:t>
      </w:r>
    </w:p>
    <w:p w14:paraId="7DB2AE1B" w14:textId="57061CF0" w:rsidR="00FE28DA" w:rsidRPr="00E819A8" w:rsidRDefault="00FE28DA" w:rsidP="00FE28DA">
      <w:pPr>
        <w:widowControl w:val="0"/>
        <w:autoSpaceDE w:val="0"/>
        <w:autoSpaceDN w:val="0"/>
        <w:adjustRightInd w:val="0"/>
        <w:spacing w:line="240" w:lineRule="auto"/>
        <w:jc w:val="both"/>
        <w:rPr>
          <w:rFonts w:ascii="Times New Roman" w:hAnsi="Times New Roman" w:cs="Times New Roman"/>
          <w:lang w:val="en-US"/>
        </w:rPr>
      </w:pPr>
      <w:r w:rsidRPr="00E819A8">
        <w:rPr>
          <w:rFonts w:ascii="Times New Roman" w:hAnsi="Times New Roman" w:cs="Times New Roman"/>
          <w:lang w:val="en-US"/>
        </w:rPr>
        <w:t>(</w:t>
      </w:r>
      <w:r w:rsidRPr="00E819A8">
        <w:rPr>
          <w:rFonts w:ascii="Times New Roman" w:hAnsi="Times New Roman" w:cs="Times New Roman"/>
          <w:b/>
          <w:lang w:val="en-US"/>
        </w:rPr>
        <w:t>A</w:t>
      </w:r>
      <w:r w:rsidRPr="00E819A8">
        <w:rPr>
          <w:rFonts w:ascii="Times New Roman" w:hAnsi="Times New Roman" w:cs="Times New Roman"/>
          <w:lang w:val="en-US"/>
        </w:rPr>
        <w:t xml:space="preserve">) Temporal profile of </w:t>
      </w:r>
      <w:r w:rsidR="007C105A">
        <w:rPr>
          <w:rFonts w:ascii="Times New Roman" w:hAnsi="Times New Roman" w:cs="Times New Roman"/>
          <w:lang w:val="en-US"/>
        </w:rPr>
        <w:t xml:space="preserve">median </w:t>
      </w:r>
      <w:r w:rsidR="007C105A" w:rsidRPr="008E1B74">
        <w:rPr>
          <w:rFonts w:ascii="Times New Roman" w:hAnsi="Times New Roman" w:cs="Times New Roman"/>
          <w:lang w:val="en-GB"/>
        </w:rPr>
        <w:t>[</w:t>
      </w:r>
      <w:proofErr w:type="gramStart"/>
      <w:r w:rsidR="007C105A" w:rsidRPr="008E1B74">
        <w:rPr>
          <w:rFonts w:ascii="Times New Roman" w:hAnsi="Times New Roman" w:cs="Times New Roman"/>
          <w:lang w:val="en-GB"/>
        </w:rPr>
        <w:t>1.quartile</w:t>
      </w:r>
      <w:proofErr w:type="gramEnd"/>
      <w:r w:rsidR="007C105A" w:rsidRPr="008E1B74">
        <w:rPr>
          <w:rFonts w:ascii="Times New Roman" w:hAnsi="Times New Roman" w:cs="Times New Roman"/>
          <w:lang w:val="en-GB"/>
        </w:rPr>
        <w:t xml:space="preserve"> – 3.quartile]</w:t>
      </w:r>
      <w:r w:rsidR="007C105A">
        <w:rPr>
          <w:rFonts w:ascii="Times New Roman" w:hAnsi="Times New Roman" w:cs="Times New Roman"/>
          <w:lang w:val="en-GB"/>
        </w:rPr>
        <w:t xml:space="preserve"> </w:t>
      </w:r>
      <w:r w:rsidRPr="00E819A8">
        <w:rPr>
          <w:rFonts w:ascii="Times New Roman" w:hAnsi="Times New Roman" w:cs="Times New Roman"/>
          <w:lang w:val="en-US"/>
        </w:rPr>
        <w:t>cDPP3 levels in patients without (open circles) or with (closed circles) DCI. Significant differences between the groups are indicated by arrows. (</w:t>
      </w:r>
      <w:r w:rsidRPr="00E819A8">
        <w:rPr>
          <w:rFonts w:ascii="Times New Roman" w:hAnsi="Times New Roman" w:cs="Times New Roman"/>
          <w:b/>
          <w:lang w:val="en-US"/>
        </w:rPr>
        <w:t>B</w:t>
      </w:r>
      <w:r w:rsidRPr="00E819A8">
        <w:rPr>
          <w:rFonts w:ascii="Times New Roman" w:hAnsi="Times New Roman" w:cs="Times New Roman"/>
          <w:lang w:val="en-US"/>
        </w:rPr>
        <w:t>) Boxplots illustrating significant differences between the groups in panel A. (</w:t>
      </w:r>
      <w:r w:rsidRPr="00E819A8">
        <w:rPr>
          <w:rFonts w:ascii="Times New Roman" w:hAnsi="Times New Roman" w:cs="Times New Roman"/>
          <w:b/>
          <w:lang w:val="en-US"/>
        </w:rPr>
        <w:t>C</w:t>
      </w:r>
      <w:r w:rsidRPr="00E819A8">
        <w:rPr>
          <w:rFonts w:ascii="Times New Roman" w:hAnsi="Times New Roman" w:cs="Times New Roman"/>
          <w:lang w:val="en-US"/>
        </w:rPr>
        <w:t xml:space="preserve">) Temporal profile of </w:t>
      </w:r>
      <w:r w:rsidR="007C105A">
        <w:rPr>
          <w:rFonts w:ascii="Times New Roman" w:hAnsi="Times New Roman" w:cs="Times New Roman"/>
          <w:lang w:val="en-US"/>
        </w:rPr>
        <w:t xml:space="preserve">median </w:t>
      </w:r>
      <w:r w:rsidR="007C105A" w:rsidRPr="008E1B74">
        <w:rPr>
          <w:rFonts w:ascii="Times New Roman" w:hAnsi="Times New Roman" w:cs="Times New Roman"/>
          <w:lang w:val="en-GB"/>
        </w:rPr>
        <w:t>[</w:t>
      </w:r>
      <w:proofErr w:type="gramStart"/>
      <w:r w:rsidR="007C105A" w:rsidRPr="008E1B74">
        <w:rPr>
          <w:rFonts w:ascii="Times New Roman" w:hAnsi="Times New Roman" w:cs="Times New Roman"/>
          <w:lang w:val="en-GB"/>
        </w:rPr>
        <w:t>1.quartile</w:t>
      </w:r>
      <w:proofErr w:type="gramEnd"/>
      <w:r w:rsidR="007C105A" w:rsidRPr="008E1B74">
        <w:rPr>
          <w:rFonts w:ascii="Times New Roman" w:hAnsi="Times New Roman" w:cs="Times New Roman"/>
          <w:lang w:val="en-GB"/>
        </w:rPr>
        <w:t xml:space="preserve"> – 3.quartile]</w:t>
      </w:r>
      <w:r w:rsidR="007C105A">
        <w:rPr>
          <w:rFonts w:ascii="Times New Roman" w:hAnsi="Times New Roman" w:cs="Times New Roman"/>
          <w:lang w:val="en-GB"/>
        </w:rPr>
        <w:t xml:space="preserve"> </w:t>
      </w:r>
      <w:r w:rsidRPr="00E819A8">
        <w:rPr>
          <w:rFonts w:ascii="Times New Roman" w:hAnsi="Times New Roman" w:cs="Times New Roman"/>
          <w:lang w:val="en-US"/>
        </w:rPr>
        <w:t>cDPP3 levels in patients with DCI only (open circles) or DCI-related infarction (closed circles). Significant differences between the groups are indicated by arrows. (</w:t>
      </w:r>
      <w:r w:rsidRPr="00E819A8">
        <w:rPr>
          <w:rFonts w:ascii="Times New Roman" w:hAnsi="Times New Roman" w:cs="Times New Roman"/>
          <w:b/>
          <w:lang w:val="en-US"/>
        </w:rPr>
        <w:t>D</w:t>
      </w:r>
      <w:r w:rsidRPr="00E819A8">
        <w:rPr>
          <w:rFonts w:ascii="Times New Roman" w:hAnsi="Times New Roman" w:cs="Times New Roman"/>
          <w:lang w:val="en-US"/>
        </w:rPr>
        <w:t>) Boxplots illustrating significant differences between the groups shown in panel C.</w:t>
      </w:r>
      <w:r w:rsidR="0000652C">
        <w:rPr>
          <w:rFonts w:ascii="Times New Roman" w:hAnsi="Times New Roman" w:cs="Times New Roman"/>
          <w:lang w:val="en-US"/>
        </w:rPr>
        <w:t xml:space="preserve"> EP, early phase; CP, critical phase; LP, late phase.</w:t>
      </w:r>
    </w:p>
    <w:p w14:paraId="4ACE2D1B" w14:textId="77777777" w:rsidR="00BD1191" w:rsidRDefault="00BD1191" w:rsidP="00AA5B0D">
      <w:pPr>
        <w:widowControl w:val="0"/>
        <w:autoSpaceDE w:val="0"/>
        <w:autoSpaceDN w:val="0"/>
        <w:adjustRightInd w:val="0"/>
        <w:spacing w:line="240" w:lineRule="auto"/>
        <w:jc w:val="both"/>
        <w:rPr>
          <w:lang w:val="en-US"/>
        </w:rPr>
      </w:pPr>
    </w:p>
    <w:p w14:paraId="25DE269F" w14:textId="77777777" w:rsidR="008E480F" w:rsidRDefault="008E480F" w:rsidP="00AA5B0D">
      <w:pPr>
        <w:widowControl w:val="0"/>
        <w:autoSpaceDE w:val="0"/>
        <w:autoSpaceDN w:val="0"/>
        <w:adjustRightInd w:val="0"/>
        <w:spacing w:line="240" w:lineRule="auto"/>
        <w:jc w:val="both"/>
        <w:rPr>
          <w:lang w:val="en-US"/>
        </w:rPr>
      </w:pPr>
    </w:p>
    <w:p w14:paraId="567C5F80" w14:textId="77777777" w:rsidR="008E480F" w:rsidRDefault="008E480F" w:rsidP="00AA5B0D">
      <w:pPr>
        <w:widowControl w:val="0"/>
        <w:autoSpaceDE w:val="0"/>
        <w:autoSpaceDN w:val="0"/>
        <w:adjustRightInd w:val="0"/>
        <w:spacing w:line="240" w:lineRule="auto"/>
        <w:jc w:val="both"/>
        <w:rPr>
          <w:lang w:val="en-US"/>
        </w:rPr>
      </w:pPr>
    </w:p>
    <w:p w14:paraId="7C68A51C" w14:textId="77777777" w:rsidR="008E480F" w:rsidRDefault="008E480F" w:rsidP="00AA5B0D">
      <w:pPr>
        <w:widowControl w:val="0"/>
        <w:autoSpaceDE w:val="0"/>
        <w:autoSpaceDN w:val="0"/>
        <w:adjustRightInd w:val="0"/>
        <w:spacing w:line="240" w:lineRule="auto"/>
        <w:jc w:val="both"/>
        <w:rPr>
          <w:lang w:val="en-US"/>
        </w:rPr>
      </w:pPr>
    </w:p>
    <w:p w14:paraId="55932DCA" w14:textId="77777777" w:rsidR="008E480F" w:rsidRDefault="008E480F" w:rsidP="00AA5B0D">
      <w:pPr>
        <w:widowControl w:val="0"/>
        <w:autoSpaceDE w:val="0"/>
        <w:autoSpaceDN w:val="0"/>
        <w:adjustRightInd w:val="0"/>
        <w:spacing w:line="240" w:lineRule="auto"/>
        <w:jc w:val="both"/>
        <w:rPr>
          <w:lang w:val="en-US"/>
        </w:rPr>
      </w:pPr>
    </w:p>
    <w:p w14:paraId="0A5079B9" w14:textId="77777777" w:rsidR="008E480F" w:rsidRDefault="008E480F" w:rsidP="00AA5B0D">
      <w:pPr>
        <w:widowControl w:val="0"/>
        <w:autoSpaceDE w:val="0"/>
        <w:autoSpaceDN w:val="0"/>
        <w:adjustRightInd w:val="0"/>
        <w:spacing w:line="240" w:lineRule="auto"/>
        <w:jc w:val="both"/>
        <w:rPr>
          <w:lang w:val="en-US"/>
        </w:rPr>
      </w:pPr>
    </w:p>
    <w:p w14:paraId="4C5A71CB" w14:textId="77777777" w:rsidR="008E480F" w:rsidRDefault="008E480F" w:rsidP="00AA5B0D">
      <w:pPr>
        <w:widowControl w:val="0"/>
        <w:autoSpaceDE w:val="0"/>
        <w:autoSpaceDN w:val="0"/>
        <w:adjustRightInd w:val="0"/>
        <w:spacing w:line="240" w:lineRule="auto"/>
        <w:jc w:val="both"/>
        <w:rPr>
          <w:lang w:val="en-US"/>
        </w:rPr>
      </w:pPr>
    </w:p>
    <w:p w14:paraId="44CC4C71" w14:textId="77777777" w:rsidR="008E480F" w:rsidRDefault="008E480F" w:rsidP="00AA5B0D">
      <w:pPr>
        <w:widowControl w:val="0"/>
        <w:autoSpaceDE w:val="0"/>
        <w:autoSpaceDN w:val="0"/>
        <w:adjustRightInd w:val="0"/>
        <w:spacing w:line="240" w:lineRule="auto"/>
        <w:jc w:val="both"/>
        <w:rPr>
          <w:lang w:val="en-US"/>
        </w:rPr>
      </w:pPr>
    </w:p>
    <w:p w14:paraId="6C9D60C4" w14:textId="77777777" w:rsidR="008E480F" w:rsidRDefault="008E480F" w:rsidP="00AA5B0D">
      <w:pPr>
        <w:widowControl w:val="0"/>
        <w:autoSpaceDE w:val="0"/>
        <w:autoSpaceDN w:val="0"/>
        <w:adjustRightInd w:val="0"/>
        <w:spacing w:line="240" w:lineRule="auto"/>
        <w:jc w:val="both"/>
        <w:rPr>
          <w:lang w:val="en-US"/>
        </w:rPr>
      </w:pPr>
    </w:p>
    <w:p w14:paraId="6C96379C" w14:textId="77777777" w:rsidR="008E480F" w:rsidRDefault="008E480F" w:rsidP="00AA5B0D">
      <w:pPr>
        <w:widowControl w:val="0"/>
        <w:autoSpaceDE w:val="0"/>
        <w:autoSpaceDN w:val="0"/>
        <w:adjustRightInd w:val="0"/>
        <w:spacing w:line="240" w:lineRule="auto"/>
        <w:jc w:val="both"/>
        <w:rPr>
          <w:lang w:val="en-US"/>
        </w:rPr>
      </w:pPr>
    </w:p>
    <w:p w14:paraId="47A0E7AE" w14:textId="77777777" w:rsidR="008C695E" w:rsidRDefault="008C695E" w:rsidP="008C695E">
      <w:pPr>
        <w:widowControl w:val="0"/>
        <w:autoSpaceDE w:val="0"/>
        <w:autoSpaceDN w:val="0"/>
        <w:adjustRightInd w:val="0"/>
        <w:spacing w:line="240" w:lineRule="auto"/>
        <w:ind w:left="480" w:hanging="480"/>
        <w:jc w:val="center"/>
        <w:rPr>
          <w:lang w:val="en-US"/>
        </w:rPr>
      </w:pPr>
      <w:r>
        <w:rPr>
          <w:noProof/>
          <w:lang w:eastAsia="de-DE"/>
        </w:rPr>
        <w:lastRenderedPageBreak/>
        <w:drawing>
          <wp:inline distT="0" distB="0" distL="0" distR="0" wp14:anchorId="1FE54089" wp14:editId="38E98B95">
            <wp:extent cx="5298948" cy="2194560"/>
            <wp:effectExtent l="0" t="0" r="0" b="0"/>
            <wp:docPr id="3"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igure 4 Kopie.tif"/>
                    <pic:cNvPicPr/>
                  </pic:nvPicPr>
                  <pic:blipFill>
                    <a:blip r:embed="rId10" cstate="print">
                      <a:extLst>
                        <a:ext uri="{28A0092B-C50C-407E-A947-70E740481C1C}">
                          <a14:useLocalDpi xmlns:a14="http://schemas.microsoft.com/office/drawing/2010/main" val="0"/>
                        </a:ext>
                      </a:extLst>
                    </a:blip>
                    <a:stretch>
                      <a:fillRect/>
                    </a:stretch>
                  </pic:blipFill>
                  <pic:spPr>
                    <a:xfrm>
                      <a:off x="0" y="0"/>
                      <a:ext cx="5298948" cy="2194560"/>
                    </a:xfrm>
                    <a:prstGeom prst="rect">
                      <a:avLst/>
                    </a:prstGeom>
                  </pic:spPr>
                </pic:pic>
              </a:graphicData>
            </a:graphic>
          </wp:inline>
        </w:drawing>
      </w:r>
    </w:p>
    <w:p w14:paraId="2880F7A0" w14:textId="2903E8A1" w:rsidR="008E480F" w:rsidRPr="00FB1DAC" w:rsidRDefault="008E480F" w:rsidP="008E480F">
      <w:pPr>
        <w:widowControl w:val="0"/>
        <w:autoSpaceDE w:val="0"/>
        <w:autoSpaceDN w:val="0"/>
        <w:adjustRightInd w:val="0"/>
        <w:spacing w:after="0" w:line="240" w:lineRule="auto"/>
        <w:ind w:left="482" w:hanging="482"/>
        <w:rPr>
          <w:rFonts w:ascii="Times New Roman" w:hAnsi="Times New Roman" w:cs="Times New Roman"/>
          <w:u w:val="single"/>
          <w:lang w:val="en-US"/>
        </w:rPr>
      </w:pPr>
      <w:r w:rsidRPr="00D65CB9">
        <w:rPr>
          <w:rFonts w:ascii="Times New Roman" w:hAnsi="Times New Roman" w:cs="Times New Roman"/>
          <w:b/>
          <w:u w:val="single"/>
          <w:lang w:val="en-US"/>
        </w:rPr>
        <w:t xml:space="preserve">Figure </w:t>
      </w:r>
      <w:r w:rsidR="00580887" w:rsidRPr="00D65CB9">
        <w:rPr>
          <w:rFonts w:ascii="Times New Roman" w:hAnsi="Times New Roman" w:cs="Times New Roman"/>
          <w:b/>
          <w:u w:val="single"/>
          <w:lang w:val="en-US"/>
        </w:rPr>
        <w:t>4</w:t>
      </w:r>
      <w:r w:rsidRPr="00D65CB9">
        <w:rPr>
          <w:rFonts w:ascii="Times New Roman" w:hAnsi="Times New Roman" w:cs="Times New Roman"/>
          <w:b/>
          <w:u w:val="single"/>
          <w:lang w:val="en-US"/>
        </w:rPr>
        <w:t>.</w:t>
      </w:r>
      <w:r w:rsidRPr="00D65CB9">
        <w:rPr>
          <w:rFonts w:ascii="Times New Roman" w:hAnsi="Times New Roman" w:cs="Times New Roman"/>
          <w:u w:val="single"/>
          <w:lang w:val="en-US"/>
        </w:rPr>
        <w:t xml:space="preserve"> </w:t>
      </w:r>
      <w:r w:rsidR="00E675E8">
        <w:rPr>
          <w:rFonts w:ascii="Times New Roman" w:hAnsi="Times New Roman" w:cs="Times New Roman"/>
          <w:u w:val="single"/>
          <w:lang w:val="en-US"/>
        </w:rPr>
        <w:t>C</w:t>
      </w:r>
      <w:r w:rsidR="00E675E8" w:rsidRPr="00FB1DAC">
        <w:rPr>
          <w:rFonts w:ascii="Times New Roman" w:hAnsi="Times New Roman" w:cs="Times New Roman"/>
          <w:u w:val="single"/>
          <w:lang w:val="en-US"/>
        </w:rPr>
        <w:t xml:space="preserve">omparison </w:t>
      </w:r>
      <w:r w:rsidRPr="00FB1DAC">
        <w:rPr>
          <w:rFonts w:ascii="Times New Roman" w:hAnsi="Times New Roman" w:cs="Times New Roman"/>
          <w:u w:val="single"/>
          <w:lang w:val="en-US"/>
        </w:rPr>
        <w:t xml:space="preserve">of cDPP3 levels in patients </w:t>
      </w:r>
      <w:r w:rsidR="008C695E">
        <w:rPr>
          <w:rFonts w:ascii="Times New Roman" w:hAnsi="Times New Roman" w:cs="Times New Roman"/>
          <w:u w:val="single"/>
          <w:lang w:val="en-US"/>
        </w:rPr>
        <w:t>stratified according</w:t>
      </w:r>
      <w:r w:rsidRPr="00FB1DAC">
        <w:rPr>
          <w:rFonts w:ascii="Times New Roman" w:hAnsi="Times New Roman" w:cs="Times New Roman"/>
          <w:u w:val="single"/>
          <w:lang w:val="en-US"/>
        </w:rPr>
        <w:t xml:space="preserve"> to clinical outcome.</w:t>
      </w:r>
    </w:p>
    <w:p w14:paraId="76A87F9A" w14:textId="6AC4649A" w:rsidR="008E480F" w:rsidRPr="00FB1DAC" w:rsidRDefault="008E480F" w:rsidP="008E480F">
      <w:pPr>
        <w:widowControl w:val="0"/>
        <w:autoSpaceDE w:val="0"/>
        <w:autoSpaceDN w:val="0"/>
        <w:adjustRightInd w:val="0"/>
        <w:spacing w:line="240" w:lineRule="auto"/>
        <w:jc w:val="both"/>
        <w:rPr>
          <w:rFonts w:ascii="Times New Roman" w:hAnsi="Times New Roman" w:cs="Times New Roman"/>
          <w:lang w:val="en-US"/>
        </w:rPr>
      </w:pPr>
      <w:r w:rsidRPr="00FB1DAC">
        <w:rPr>
          <w:rFonts w:ascii="Times New Roman" w:hAnsi="Times New Roman" w:cs="Times New Roman"/>
          <w:lang w:val="en-US"/>
        </w:rPr>
        <w:t>(</w:t>
      </w:r>
      <w:r w:rsidRPr="00FB1DAC">
        <w:rPr>
          <w:rFonts w:ascii="Times New Roman" w:hAnsi="Times New Roman" w:cs="Times New Roman"/>
          <w:b/>
          <w:lang w:val="en-US"/>
        </w:rPr>
        <w:t>A</w:t>
      </w:r>
      <w:r w:rsidRPr="00FB1DAC">
        <w:rPr>
          <w:rFonts w:ascii="Times New Roman" w:hAnsi="Times New Roman" w:cs="Times New Roman"/>
          <w:lang w:val="en-US"/>
        </w:rPr>
        <w:t xml:space="preserve">) Temporal profile of </w:t>
      </w:r>
      <w:r w:rsidR="007C105A">
        <w:rPr>
          <w:rFonts w:ascii="Times New Roman" w:hAnsi="Times New Roman" w:cs="Times New Roman"/>
          <w:lang w:val="en-US"/>
        </w:rPr>
        <w:t xml:space="preserve">median </w:t>
      </w:r>
      <w:r w:rsidR="007C105A" w:rsidRPr="008E1B74">
        <w:rPr>
          <w:rFonts w:ascii="Times New Roman" w:hAnsi="Times New Roman" w:cs="Times New Roman"/>
          <w:lang w:val="en-GB"/>
        </w:rPr>
        <w:t>[</w:t>
      </w:r>
      <w:proofErr w:type="gramStart"/>
      <w:r w:rsidR="007C105A" w:rsidRPr="008E1B74">
        <w:rPr>
          <w:rFonts w:ascii="Times New Roman" w:hAnsi="Times New Roman" w:cs="Times New Roman"/>
          <w:lang w:val="en-GB"/>
        </w:rPr>
        <w:t>1.quartile</w:t>
      </w:r>
      <w:proofErr w:type="gramEnd"/>
      <w:r w:rsidR="007C105A" w:rsidRPr="008E1B74">
        <w:rPr>
          <w:rFonts w:ascii="Times New Roman" w:hAnsi="Times New Roman" w:cs="Times New Roman"/>
          <w:lang w:val="en-GB"/>
        </w:rPr>
        <w:t xml:space="preserve"> – 3.quartile]</w:t>
      </w:r>
      <w:r w:rsidR="007C105A">
        <w:rPr>
          <w:rFonts w:ascii="Times New Roman" w:hAnsi="Times New Roman" w:cs="Times New Roman"/>
          <w:lang w:val="en-GB"/>
        </w:rPr>
        <w:t xml:space="preserve"> </w:t>
      </w:r>
      <w:r w:rsidRPr="00FB1DAC">
        <w:rPr>
          <w:rFonts w:ascii="Times New Roman" w:hAnsi="Times New Roman" w:cs="Times New Roman"/>
          <w:lang w:val="en-US"/>
        </w:rPr>
        <w:t>cDPP3 levels in patients with a favorable (open circles) or unfavorable (closed circles) clinical outcome after 12 months according to the extended Glasgow outcome scale (GOS-E). Arrows indicate significant differences between the groups. (</w:t>
      </w:r>
      <w:r w:rsidRPr="00FB1DAC">
        <w:rPr>
          <w:rFonts w:ascii="Times New Roman" w:hAnsi="Times New Roman" w:cs="Times New Roman"/>
          <w:b/>
          <w:lang w:val="en-US"/>
        </w:rPr>
        <w:t>B</w:t>
      </w:r>
      <w:r w:rsidRPr="00FB1DAC">
        <w:rPr>
          <w:rFonts w:ascii="Times New Roman" w:hAnsi="Times New Roman" w:cs="Times New Roman"/>
          <w:lang w:val="en-US"/>
        </w:rPr>
        <w:t>) Boxplots illustrating significant differences between the groups in panel A.</w:t>
      </w:r>
      <w:r w:rsidR="0000652C">
        <w:rPr>
          <w:rFonts w:ascii="Times New Roman" w:hAnsi="Times New Roman" w:cs="Times New Roman"/>
          <w:lang w:val="en-US"/>
        </w:rPr>
        <w:t xml:space="preserve"> EP, early phase; CP, critical phase; LP, late phase.</w:t>
      </w:r>
      <w:r w:rsidRPr="00FB1DAC">
        <w:rPr>
          <w:rFonts w:ascii="Times New Roman" w:hAnsi="Times New Roman" w:cs="Times New Roman"/>
          <w:lang w:val="en-US"/>
        </w:rPr>
        <w:t xml:space="preserve"> </w:t>
      </w:r>
    </w:p>
    <w:p w14:paraId="62A542D8" w14:textId="77777777" w:rsidR="00BD1191" w:rsidRDefault="00BD1191" w:rsidP="00AA5B0D">
      <w:pPr>
        <w:widowControl w:val="0"/>
        <w:autoSpaceDE w:val="0"/>
        <w:autoSpaceDN w:val="0"/>
        <w:adjustRightInd w:val="0"/>
        <w:spacing w:line="240" w:lineRule="auto"/>
        <w:jc w:val="both"/>
        <w:rPr>
          <w:lang w:val="en-US"/>
        </w:rPr>
      </w:pPr>
    </w:p>
    <w:p w14:paraId="0E9BF8DA" w14:textId="77777777" w:rsidR="008E480F" w:rsidRDefault="008E480F" w:rsidP="00AA5B0D">
      <w:pPr>
        <w:widowControl w:val="0"/>
        <w:autoSpaceDE w:val="0"/>
        <w:autoSpaceDN w:val="0"/>
        <w:adjustRightInd w:val="0"/>
        <w:spacing w:line="240" w:lineRule="auto"/>
        <w:jc w:val="both"/>
        <w:rPr>
          <w:lang w:val="en-US"/>
        </w:rPr>
      </w:pPr>
    </w:p>
    <w:p w14:paraId="263EB991" w14:textId="77777777" w:rsidR="008C695E" w:rsidRDefault="008C695E" w:rsidP="008C695E">
      <w:pPr>
        <w:widowControl w:val="0"/>
        <w:autoSpaceDE w:val="0"/>
        <w:autoSpaceDN w:val="0"/>
        <w:adjustRightInd w:val="0"/>
        <w:spacing w:after="0" w:line="240" w:lineRule="auto"/>
        <w:ind w:left="482" w:hanging="482"/>
        <w:rPr>
          <w:rFonts w:ascii="Times New Roman" w:hAnsi="Times New Roman" w:cs="Times New Roman"/>
          <w:b/>
          <w:u w:val="single"/>
          <w:lang w:val="en-US"/>
        </w:rPr>
      </w:pPr>
      <w:r w:rsidRPr="00EF46F3">
        <w:rPr>
          <w:rFonts w:ascii="Times New Roman" w:hAnsi="Times New Roman" w:cs="Times New Roman"/>
          <w:b/>
          <w:noProof/>
          <w:lang w:eastAsia="de-DE"/>
        </w:rPr>
        <w:drawing>
          <wp:inline distT="0" distB="0" distL="0" distR="0" wp14:anchorId="70387B47" wp14:editId="41DE3ACB">
            <wp:extent cx="5760000" cy="1879200"/>
            <wp:effectExtent l="0" t="0" r="0" b="6985"/>
            <wp:docPr id="4" name="Grafi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igure 5.tif"/>
                    <pic:cNvPicPr/>
                  </pic:nvPicPr>
                  <pic:blipFill>
                    <a:blip r:embed="rId11" cstate="print">
                      <a:extLst>
                        <a:ext uri="{28A0092B-C50C-407E-A947-70E740481C1C}">
                          <a14:useLocalDpi xmlns:a14="http://schemas.microsoft.com/office/drawing/2010/main" val="0"/>
                        </a:ext>
                      </a:extLst>
                    </a:blip>
                    <a:stretch>
                      <a:fillRect/>
                    </a:stretch>
                  </pic:blipFill>
                  <pic:spPr>
                    <a:xfrm>
                      <a:off x="0" y="0"/>
                      <a:ext cx="5760000" cy="1879200"/>
                    </a:xfrm>
                    <a:prstGeom prst="rect">
                      <a:avLst/>
                    </a:prstGeom>
                  </pic:spPr>
                </pic:pic>
              </a:graphicData>
            </a:graphic>
          </wp:inline>
        </w:drawing>
      </w:r>
    </w:p>
    <w:p w14:paraId="7FDCB045" w14:textId="160042EE" w:rsidR="0095107D" w:rsidRPr="00FB1DAC" w:rsidRDefault="0095107D" w:rsidP="0095107D">
      <w:pPr>
        <w:widowControl w:val="0"/>
        <w:autoSpaceDE w:val="0"/>
        <w:autoSpaceDN w:val="0"/>
        <w:adjustRightInd w:val="0"/>
        <w:spacing w:after="0" w:line="240" w:lineRule="auto"/>
        <w:ind w:left="482" w:hanging="482"/>
        <w:rPr>
          <w:rFonts w:ascii="Times New Roman" w:hAnsi="Times New Roman" w:cs="Times New Roman"/>
          <w:u w:val="single"/>
          <w:lang w:val="en-US"/>
        </w:rPr>
      </w:pPr>
      <w:r w:rsidRPr="00D65CB9">
        <w:rPr>
          <w:rFonts w:ascii="Times New Roman" w:hAnsi="Times New Roman" w:cs="Times New Roman"/>
          <w:b/>
          <w:u w:val="single"/>
          <w:lang w:val="en-US"/>
        </w:rPr>
        <w:t xml:space="preserve">Figure </w:t>
      </w:r>
      <w:r w:rsidR="00580887" w:rsidRPr="00D65CB9">
        <w:rPr>
          <w:rFonts w:ascii="Times New Roman" w:hAnsi="Times New Roman" w:cs="Times New Roman"/>
          <w:b/>
          <w:u w:val="single"/>
          <w:lang w:val="en-US"/>
        </w:rPr>
        <w:t>5</w:t>
      </w:r>
      <w:r w:rsidRPr="00D65CB9">
        <w:rPr>
          <w:rFonts w:ascii="Times New Roman" w:hAnsi="Times New Roman" w:cs="Times New Roman"/>
          <w:b/>
          <w:u w:val="single"/>
          <w:lang w:val="en-US"/>
        </w:rPr>
        <w:t>.</w:t>
      </w:r>
      <w:r w:rsidRPr="00E539FA">
        <w:rPr>
          <w:rFonts w:ascii="Times New Roman" w:hAnsi="Times New Roman" w:cs="Times New Roman"/>
          <w:color w:val="FF0000"/>
          <w:u w:val="single"/>
          <w:lang w:val="en-US"/>
        </w:rPr>
        <w:t xml:space="preserve"> </w:t>
      </w:r>
      <w:r w:rsidR="00FE28DA" w:rsidRPr="00FB1DAC">
        <w:rPr>
          <w:rFonts w:ascii="Times New Roman" w:hAnsi="Times New Roman" w:cs="Times New Roman"/>
          <w:u w:val="single"/>
          <w:lang w:val="en-US"/>
        </w:rPr>
        <w:t>Receiver operating characteristic (ROC) curve analysis for cDPP3 levels on day 5-8</w:t>
      </w:r>
      <w:r w:rsidRPr="00FB1DAC">
        <w:rPr>
          <w:rFonts w:ascii="Times New Roman" w:hAnsi="Times New Roman" w:cs="Times New Roman"/>
          <w:u w:val="single"/>
          <w:lang w:val="en-US"/>
        </w:rPr>
        <w:t>.</w:t>
      </w:r>
    </w:p>
    <w:p w14:paraId="50633AC1" w14:textId="6B68B8C7" w:rsidR="0095107D" w:rsidRPr="00FB1DAC" w:rsidRDefault="007E12EF" w:rsidP="0095107D">
      <w:pPr>
        <w:widowControl w:val="0"/>
        <w:autoSpaceDE w:val="0"/>
        <w:autoSpaceDN w:val="0"/>
        <w:adjustRightInd w:val="0"/>
        <w:spacing w:line="240" w:lineRule="auto"/>
        <w:jc w:val="both"/>
        <w:rPr>
          <w:rFonts w:ascii="Times New Roman" w:hAnsi="Times New Roman" w:cs="Times New Roman"/>
          <w:lang w:val="en-US"/>
        </w:rPr>
      </w:pPr>
      <w:r w:rsidRPr="00FB1DAC">
        <w:rPr>
          <w:rFonts w:ascii="Times New Roman" w:hAnsi="Times New Roman" w:cs="Times New Roman"/>
          <w:lang w:val="en-US"/>
        </w:rPr>
        <w:t xml:space="preserve">Shown are ROC curve analyses for cDPP3 levels on day 5-8 with regard to </w:t>
      </w:r>
      <w:r w:rsidR="0095107D" w:rsidRPr="00FB1DAC">
        <w:rPr>
          <w:rFonts w:ascii="Times New Roman" w:hAnsi="Times New Roman" w:cs="Times New Roman"/>
          <w:lang w:val="en-US"/>
        </w:rPr>
        <w:t>(</w:t>
      </w:r>
      <w:r w:rsidRPr="00FB1DAC">
        <w:rPr>
          <w:rFonts w:ascii="Times New Roman" w:hAnsi="Times New Roman" w:cs="Times New Roman"/>
          <w:b/>
          <w:lang w:val="en-US"/>
        </w:rPr>
        <w:t>A</w:t>
      </w:r>
      <w:r w:rsidR="0095107D" w:rsidRPr="00FB1DAC">
        <w:rPr>
          <w:rFonts w:ascii="Times New Roman" w:hAnsi="Times New Roman" w:cs="Times New Roman"/>
          <w:lang w:val="en-US"/>
        </w:rPr>
        <w:t xml:space="preserve">) </w:t>
      </w:r>
      <w:r w:rsidRPr="00FB1DAC">
        <w:rPr>
          <w:rFonts w:ascii="Times New Roman" w:hAnsi="Times New Roman" w:cs="Times New Roman"/>
          <w:lang w:val="en-US"/>
        </w:rPr>
        <w:t>DCI,</w:t>
      </w:r>
      <w:r w:rsidR="0095107D" w:rsidRPr="00FB1DAC">
        <w:rPr>
          <w:rFonts w:ascii="Times New Roman" w:hAnsi="Times New Roman" w:cs="Times New Roman"/>
          <w:lang w:val="en-US"/>
        </w:rPr>
        <w:t xml:space="preserve"> (</w:t>
      </w:r>
      <w:r w:rsidRPr="00FB1DAC">
        <w:rPr>
          <w:rFonts w:ascii="Times New Roman" w:hAnsi="Times New Roman" w:cs="Times New Roman"/>
          <w:b/>
          <w:lang w:val="en-US"/>
        </w:rPr>
        <w:t>B</w:t>
      </w:r>
      <w:r w:rsidR="0095107D" w:rsidRPr="00FB1DAC">
        <w:rPr>
          <w:rFonts w:ascii="Times New Roman" w:hAnsi="Times New Roman" w:cs="Times New Roman"/>
          <w:lang w:val="en-US"/>
        </w:rPr>
        <w:t xml:space="preserve">) </w:t>
      </w:r>
      <w:r w:rsidRPr="00FB1DAC">
        <w:rPr>
          <w:rFonts w:ascii="Times New Roman" w:hAnsi="Times New Roman" w:cs="Times New Roman"/>
          <w:lang w:val="en-US"/>
        </w:rPr>
        <w:t xml:space="preserve">DCI-related infarctions and </w:t>
      </w:r>
      <w:r w:rsidR="0095107D" w:rsidRPr="00FB1DAC">
        <w:rPr>
          <w:rFonts w:ascii="Times New Roman" w:hAnsi="Times New Roman" w:cs="Times New Roman"/>
          <w:lang w:val="en-US"/>
        </w:rPr>
        <w:t>(</w:t>
      </w:r>
      <w:r w:rsidRPr="00FB1DAC">
        <w:rPr>
          <w:rFonts w:ascii="Times New Roman" w:hAnsi="Times New Roman" w:cs="Times New Roman"/>
          <w:b/>
          <w:lang w:val="en-US"/>
        </w:rPr>
        <w:t>C</w:t>
      </w:r>
      <w:r w:rsidR="0095107D" w:rsidRPr="00FB1DAC">
        <w:rPr>
          <w:rFonts w:ascii="Times New Roman" w:hAnsi="Times New Roman" w:cs="Times New Roman"/>
          <w:lang w:val="en-US"/>
        </w:rPr>
        <w:t xml:space="preserve">) </w:t>
      </w:r>
      <w:r w:rsidRPr="00FB1DAC">
        <w:rPr>
          <w:rFonts w:ascii="Times New Roman" w:hAnsi="Times New Roman" w:cs="Times New Roman"/>
          <w:lang w:val="en-US"/>
        </w:rPr>
        <w:t>unfavorable clinical outcomes after 12 months</w:t>
      </w:r>
      <w:r w:rsidR="000923C7" w:rsidRPr="000923C7">
        <w:rPr>
          <w:rFonts w:ascii="Times New Roman" w:hAnsi="Times New Roman" w:cs="Times New Roman"/>
          <w:lang w:val="en-US"/>
        </w:rPr>
        <w:t xml:space="preserve"> </w:t>
      </w:r>
      <w:r w:rsidR="000923C7" w:rsidRPr="00DA24E7">
        <w:rPr>
          <w:rFonts w:ascii="Times New Roman" w:hAnsi="Times New Roman" w:cs="Times New Roman"/>
          <w:lang w:val="en-US"/>
        </w:rPr>
        <w:t>according to the extended Glasgow outcome scale (GOS-E</w:t>
      </w:r>
      <w:r w:rsidR="000923C7" w:rsidRPr="00310B17">
        <w:rPr>
          <w:rFonts w:ascii="Times New Roman" w:hAnsi="Times New Roman" w:cs="Times New Roman"/>
          <w:vertAlign w:val="subscript"/>
          <w:lang w:val="en-US"/>
        </w:rPr>
        <w:t>1-4</w:t>
      </w:r>
      <w:r w:rsidR="000923C7" w:rsidRPr="00DA24E7">
        <w:rPr>
          <w:rFonts w:ascii="Times New Roman" w:hAnsi="Times New Roman" w:cs="Times New Roman"/>
          <w:lang w:val="en-US"/>
        </w:rPr>
        <w:t>)</w:t>
      </w:r>
      <w:r w:rsidR="0095107D" w:rsidRPr="00FB1DAC">
        <w:rPr>
          <w:rFonts w:ascii="Times New Roman" w:hAnsi="Times New Roman" w:cs="Times New Roman"/>
          <w:lang w:val="en-US"/>
        </w:rPr>
        <w:t>.</w:t>
      </w:r>
      <w:r w:rsidR="000923C7">
        <w:rPr>
          <w:rFonts w:ascii="Times New Roman" w:hAnsi="Times New Roman" w:cs="Times New Roman"/>
          <w:lang w:val="en-US"/>
        </w:rPr>
        <w:t xml:space="preserve"> AUC, area under the curve.</w:t>
      </w:r>
    </w:p>
    <w:p w14:paraId="09D1E957" w14:textId="77777777" w:rsidR="000768CD" w:rsidRDefault="000768CD" w:rsidP="00287EA2">
      <w:pPr>
        <w:widowControl w:val="0"/>
        <w:autoSpaceDE w:val="0"/>
        <w:autoSpaceDN w:val="0"/>
        <w:adjustRightInd w:val="0"/>
        <w:spacing w:line="240" w:lineRule="auto"/>
        <w:ind w:left="480" w:hanging="480"/>
        <w:rPr>
          <w:lang w:val="en-US"/>
        </w:rPr>
      </w:pPr>
    </w:p>
    <w:p w14:paraId="10A66D4F" w14:textId="77777777" w:rsidR="008E480F" w:rsidRDefault="008E480F" w:rsidP="00287EA2">
      <w:pPr>
        <w:widowControl w:val="0"/>
        <w:autoSpaceDE w:val="0"/>
        <w:autoSpaceDN w:val="0"/>
        <w:adjustRightInd w:val="0"/>
        <w:spacing w:line="240" w:lineRule="auto"/>
        <w:ind w:left="480" w:hanging="480"/>
        <w:rPr>
          <w:lang w:val="en-US"/>
        </w:rPr>
      </w:pPr>
    </w:p>
    <w:p w14:paraId="5BBC2652" w14:textId="77777777" w:rsidR="008E480F" w:rsidRDefault="008E480F" w:rsidP="00287EA2">
      <w:pPr>
        <w:widowControl w:val="0"/>
        <w:autoSpaceDE w:val="0"/>
        <w:autoSpaceDN w:val="0"/>
        <w:adjustRightInd w:val="0"/>
        <w:spacing w:line="240" w:lineRule="auto"/>
        <w:ind w:left="480" w:hanging="480"/>
        <w:rPr>
          <w:lang w:val="en-US"/>
        </w:rPr>
      </w:pPr>
    </w:p>
    <w:p w14:paraId="5C170196" w14:textId="77777777" w:rsidR="008E480F" w:rsidRDefault="008E480F" w:rsidP="00287EA2">
      <w:pPr>
        <w:widowControl w:val="0"/>
        <w:autoSpaceDE w:val="0"/>
        <w:autoSpaceDN w:val="0"/>
        <w:adjustRightInd w:val="0"/>
        <w:spacing w:line="240" w:lineRule="auto"/>
        <w:ind w:left="480" w:hanging="480"/>
        <w:rPr>
          <w:lang w:val="en-US"/>
        </w:rPr>
      </w:pPr>
    </w:p>
    <w:p w14:paraId="79A4C39C" w14:textId="77777777" w:rsidR="008E480F" w:rsidRDefault="008E480F" w:rsidP="00287EA2">
      <w:pPr>
        <w:widowControl w:val="0"/>
        <w:autoSpaceDE w:val="0"/>
        <w:autoSpaceDN w:val="0"/>
        <w:adjustRightInd w:val="0"/>
        <w:spacing w:line="240" w:lineRule="auto"/>
        <w:ind w:left="480" w:hanging="480"/>
        <w:rPr>
          <w:lang w:val="en-US"/>
        </w:rPr>
      </w:pPr>
    </w:p>
    <w:p w14:paraId="40F13BFF" w14:textId="77777777" w:rsidR="008E480F" w:rsidRDefault="008E480F" w:rsidP="00287EA2">
      <w:pPr>
        <w:widowControl w:val="0"/>
        <w:autoSpaceDE w:val="0"/>
        <w:autoSpaceDN w:val="0"/>
        <w:adjustRightInd w:val="0"/>
        <w:spacing w:line="240" w:lineRule="auto"/>
        <w:ind w:left="480" w:hanging="480"/>
        <w:rPr>
          <w:lang w:val="en-US"/>
        </w:rPr>
      </w:pPr>
    </w:p>
    <w:p w14:paraId="54F15F4F" w14:textId="3791FFDC" w:rsidR="00292D30" w:rsidRDefault="00F56EED" w:rsidP="00292D30">
      <w:pPr>
        <w:rPr>
          <w:rFonts w:ascii="Times New Roman" w:hAnsi="Times New Roman" w:cs="Times New Roman"/>
          <w:b/>
          <w:sz w:val="28"/>
          <w:szCs w:val="28"/>
          <w:lang w:val="en-US"/>
        </w:rPr>
      </w:pPr>
      <w:r>
        <w:rPr>
          <w:rFonts w:ascii="Times New Roman" w:hAnsi="Times New Roman" w:cs="Times New Roman"/>
          <w:b/>
          <w:sz w:val="28"/>
          <w:szCs w:val="28"/>
          <w:lang w:val="en-US"/>
        </w:rPr>
        <w:br w:type="column"/>
      </w:r>
      <w:r w:rsidR="00292D30" w:rsidRPr="008664D2">
        <w:rPr>
          <w:rFonts w:ascii="Times New Roman" w:hAnsi="Times New Roman" w:cs="Times New Roman"/>
          <w:b/>
          <w:sz w:val="28"/>
          <w:szCs w:val="28"/>
          <w:lang w:val="en-US"/>
        </w:rPr>
        <w:lastRenderedPageBreak/>
        <w:t>Tables</w:t>
      </w:r>
    </w:p>
    <w:p w14:paraId="4AE23616" w14:textId="77777777" w:rsidR="00B440BC" w:rsidRDefault="00B440BC" w:rsidP="00292D30">
      <w:pPr>
        <w:rPr>
          <w:rFonts w:ascii="Times New Roman" w:hAnsi="Times New Roman" w:cs="Times New Roman"/>
          <w:b/>
          <w:sz w:val="28"/>
          <w:szCs w:val="28"/>
          <w:lang w:val="en-US"/>
        </w:rPr>
      </w:pPr>
    </w:p>
    <w:p w14:paraId="6341C268" w14:textId="77777777" w:rsidR="00B73114" w:rsidRPr="002F408C" w:rsidRDefault="00B73114" w:rsidP="00B73114">
      <w:pPr>
        <w:rPr>
          <w:rFonts w:ascii="Times New Roman" w:hAnsi="Times New Roman" w:cs="Times New Roman"/>
          <w:lang w:val="en-US"/>
        </w:rPr>
      </w:pPr>
      <w:r w:rsidRPr="002F408C">
        <w:rPr>
          <w:rFonts w:ascii="Times New Roman" w:hAnsi="Times New Roman" w:cs="Times New Roman"/>
          <w:b/>
          <w:lang w:val="en-US"/>
        </w:rPr>
        <w:t>Table 1.</w:t>
      </w:r>
      <w:r w:rsidRPr="002F408C">
        <w:rPr>
          <w:rFonts w:ascii="Times New Roman" w:hAnsi="Times New Roman" w:cs="Times New Roman"/>
          <w:lang w:val="en-US"/>
        </w:rPr>
        <w:t xml:space="preserve"> </w:t>
      </w:r>
      <w:r w:rsidR="00B13708" w:rsidRPr="002F408C">
        <w:rPr>
          <w:rFonts w:ascii="Times New Roman" w:hAnsi="Times New Roman" w:cs="Times New Roman"/>
          <w:lang w:val="en-US"/>
        </w:rPr>
        <w:t>Patient characteristics</w:t>
      </w:r>
      <w:r w:rsidR="00B440BC" w:rsidRPr="002F408C">
        <w:rPr>
          <w:rFonts w:ascii="Times New Roman" w:hAnsi="Times New Roman" w:cs="Times New Roman"/>
          <w:lang w:val="en-US"/>
        </w:rPr>
        <w:t xml:space="preserve"> and their relation to clinical outcome after 12 months.</w:t>
      </w:r>
    </w:p>
    <w:tbl>
      <w:tblPr>
        <w:tblW w:w="8352" w:type="dxa"/>
        <w:jc w:val="center"/>
        <w:tblCellMar>
          <w:left w:w="70" w:type="dxa"/>
          <w:right w:w="70" w:type="dxa"/>
        </w:tblCellMar>
        <w:tblLook w:val="04A0" w:firstRow="1" w:lastRow="0" w:firstColumn="1" w:lastColumn="0" w:noHBand="0" w:noVBand="1"/>
      </w:tblPr>
      <w:tblGrid>
        <w:gridCol w:w="2381"/>
        <w:gridCol w:w="995"/>
        <w:gridCol w:w="794"/>
        <w:gridCol w:w="1531"/>
        <w:gridCol w:w="1701"/>
        <w:gridCol w:w="950"/>
      </w:tblGrid>
      <w:tr w:rsidR="00E539FA" w:rsidRPr="00AC25E6" w14:paraId="654E103F" w14:textId="77777777" w:rsidTr="00BD714C">
        <w:trPr>
          <w:trHeight w:val="43"/>
          <w:jc w:val="center"/>
        </w:trPr>
        <w:tc>
          <w:tcPr>
            <w:tcW w:w="2381" w:type="dxa"/>
            <w:tcBorders>
              <w:top w:val="single" w:sz="4" w:space="0" w:color="auto"/>
              <w:bottom w:val="single" w:sz="4" w:space="0" w:color="auto"/>
            </w:tcBorders>
            <w:shd w:val="clear" w:color="auto" w:fill="auto"/>
            <w:noWrap/>
            <w:vAlign w:val="center"/>
            <w:hideMark/>
          </w:tcPr>
          <w:p w14:paraId="5F1EA932" w14:textId="77777777" w:rsidR="00E539FA" w:rsidRPr="00F0396A" w:rsidRDefault="00E539FA" w:rsidP="00BD714C">
            <w:pPr>
              <w:spacing w:after="0" w:line="240" w:lineRule="auto"/>
              <w:rPr>
                <w:rFonts w:ascii="Times New Roman" w:eastAsia="Times New Roman" w:hAnsi="Times New Roman" w:cs="Times New Roman"/>
                <w:b/>
                <w:bCs/>
                <w:color w:val="000000"/>
                <w:sz w:val="16"/>
                <w:szCs w:val="16"/>
                <w:lang w:val="en-US" w:eastAsia="de-DE"/>
              </w:rPr>
            </w:pPr>
            <w:r w:rsidRPr="00F0396A">
              <w:rPr>
                <w:rFonts w:ascii="Times New Roman" w:eastAsia="Times New Roman" w:hAnsi="Times New Roman" w:cs="Times New Roman"/>
                <w:b/>
                <w:bCs/>
                <w:color w:val="000000"/>
                <w:sz w:val="16"/>
                <w:szCs w:val="16"/>
                <w:lang w:val="en-US" w:eastAsia="de-DE"/>
              </w:rPr>
              <w:t>Patient characteristic</w:t>
            </w:r>
          </w:p>
        </w:tc>
        <w:tc>
          <w:tcPr>
            <w:tcW w:w="995" w:type="dxa"/>
            <w:tcBorders>
              <w:top w:val="single" w:sz="4" w:space="0" w:color="auto"/>
              <w:bottom w:val="single" w:sz="4" w:space="0" w:color="auto"/>
            </w:tcBorders>
            <w:shd w:val="clear" w:color="auto" w:fill="auto"/>
            <w:noWrap/>
            <w:vAlign w:val="bottom"/>
            <w:hideMark/>
          </w:tcPr>
          <w:p w14:paraId="28A50DB1" w14:textId="77777777" w:rsidR="00E539FA" w:rsidRDefault="00E539FA" w:rsidP="00BD714C">
            <w:pPr>
              <w:spacing w:after="0" w:line="240" w:lineRule="auto"/>
              <w:jc w:val="center"/>
              <w:rPr>
                <w:rFonts w:ascii="Times New Roman" w:eastAsia="Times New Roman" w:hAnsi="Times New Roman" w:cs="Times New Roman"/>
                <w:b/>
                <w:color w:val="000000"/>
                <w:sz w:val="16"/>
                <w:szCs w:val="16"/>
                <w:lang w:val="en-US" w:eastAsia="de-DE"/>
              </w:rPr>
            </w:pPr>
            <w:r w:rsidRPr="00310B17">
              <w:rPr>
                <w:rFonts w:ascii="Times New Roman" w:eastAsia="Times New Roman" w:hAnsi="Times New Roman" w:cs="Times New Roman"/>
                <w:b/>
                <w:color w:val="000000"/>
                <w:sz w:val="16"/>
                <w:szCs w:val="16"/>
                <w:lang w:val="en-US" w:eastAsia="de-DE"/>
              </w:rPr>
              <w:t>n (%)</w:t>
            </w:r>
          </w:p>
          <w:p w14:paraId="5B7EFBAA" w14:textId="77777777" w:rsidR="00BB189C" w:rsidRDefault="00BB189C" w:rsidP="00BD714C">
            <w:pPr>
              <w:spacing w:after="0" w:line="240" w:lineRule="auto"/>
              <w:jc w:val="center"/>
              <w:rPr>
                <w:rFonts w:ascii="Times New Roman" w:eastAsia="Times New Roman" w:hAnsi="Times New Roman" w:cs="Times New Roman"/>
                <w:b/>
                <w:color w:val="000000"/>
                <w:sz w:val="16"/>
                <w:szCs w:val="16"/>
                <w:lang w:val="en-US" w:eastAsia="de-DE"/>
              </w:rPr>
            </w:pPr>
            <w:r>
              <w:rPr>
                <w:rFonts w:ascii="Times New Roman" w:eastAsia="Times New Roman" w:hAnsi="Times New Roman" w:cs="Times New Roman"/>
                <w:b/>
                <w:color w:val="000000"/>
                <w:sz w:val="16"/>
                <w:szCs w:val="16"/>
                <w:lang w:val="en-US" w:eastAsia="de-DE"/>
              </w:rPr>
              <w:t>Median</w:t>
            </w:r>
          </w:p>
          <w:p w14:paraId="364DCB2A" w14:textId="718EB1A4" w:rsidR="00BB189C" w:rsidRPr="00310B17" w:rsidRDefault="00BB189C" w:rsidP="00BD714C">
            <w:pPr>
              <w:spacing w:after="0" w:line="240" w:lineRule="auto"/>
              <w:jc w:val="center"/>
              <w:rPr>
                <w:rFonts w:ascii="Times New Roman" w:eastAsia="Times New Roman" w:hAnsi="Times New Roman" w:cs="Times New Roman"/>
                <w:b/>
                <w:color w:val="000000"/>
                <w:sz w:val="16"/>
                <w:szCs w:val="16"/>
                <w:lang w:val="en-US" w:eastAsia="de-DE"/>
              </w:rPr>
            </w:pPr>
            <w:r>
              <w:rPr>
                <w:rFonts w:ascii="Times New Roman" w:eastAsia="Times New Roman" w:hAnsi="Times New Roman" w:cs="Times New Roman"/>
                <w:b/>
                <w:color w:val="000000"/>
                <w:sz w:val="16"/>
                <w:szCs w:val="16"/>
                <w:lang w:val="en-US" w:eastAsia="de-DE"/>
              </w:rPr>
              <w:t>[1q-3q]</w:t>
            </w:r>
          </w:p>
        </w:tc>
        <w:tc>
          <w:tcPr>
            <w:tcW w:w="794" w:type="dxa"/>
            <w:tcBorders>
              <w:top w:val="single" w:sz="4" w:space="0" w:color="auto"/>
              <w:bottom w:val="single" w:sz="4" w:space="0" w:color="auto"/>
            </w:tcBorders>
          </w:tcPr>
          <w:p w14:paraId="6177E897" w14:textId="77777777" w:rsidR="00E539FA" w:rsidRPr="00310B17" w:rsidRDefault="00E539FA" w:rsidP="00BD714C">
            <w:pPr>
              <w:spacing w:after="0" w:line="240" w:lineRule="auto"/>
              <w:jc w:val="center"/>
              <w:rPr>
                <w:rFonts w:ascii="Times New Roman" w:eastAsia="Times New Roman" w:hAnsi="Times New Roman" w:cs="Times New Roman"/>
                <w:b/>
                <w:color w:val="000000"/>
                <w:sz w:val="16"/>
                <w:szCs w:val="16"/>
                <w:lang w:val="en-US" w:eastAsia="de-DE"/>
              </w:rPr>
            </w:pPr>
            <w:r>
              <w:rPr>
                <w:rFonts w:ascii="Times New Roman" w:eastAsia="Times New Roman" w:hAnsi="Times New Roman" w:cs="Times New Roman"/>
                <w:b/>
                <w:color w:val="000000"/>
                <w:sz w:val="16"/>
                <w:szCs w:val="16"/>
                <w:lang w:val="en-US" w:eastAsia="de-DE"/>
              </w:rPr>
              <w:t>missing data</w:t>
            </w:r>
          </w:p>
        </w:tc>
        <w:tc>
          <w:tcPr>
            <w:tcW w:w="1531" w:type="dxa"/>
            <w:tcBorders>
              <w:top w:val="single" w:sz="4" w:space="0" w:color="auto"/>
              <w:bottom w:val="single" w:sz="4" w:space="0" w:color="auto"/>
            </w:tcBorders>
          </w:tcPr>
          <w:p w14:paraId="37D41900" w14:textId="77777777" w:rsidR="00E539FA" w:rsidRDefault="00E539FA" w:rsidP="00BD714C">
            <w:pPr>
              <w:spacing w:after="0" w:line="240" w:lineRule="auto"/>
              <w:jc w:val="center"/>
              <w:rPr>
                <w:rFonts w:ascii="Times New Roman" w:eastAsia="Times New Roman" w:hAnsi="Times New Roman" w:cs="Times New Roman"/>
                <w:b/>
                <w:sz w:val="16"/>
                <w:szCs w:val="16"/>
                <w:lang w:val="en-US" w:eastAsia="de-DE"/>
              </w:rPr>
            </w:pPr>
            <w:r w:rsidRPr="00310B17">
              <w:rPr>
                <w:rFonts w:ascii="Times New Roman" w:eastAsia="Times New Roman" w:hAnsi="Times New Roman" w:cs="Times New Roman"/>
                <w:b/>
                <w:color w:val="000000"/>
                <w:sz w:val="16"/>
                <w:szCs w:val="16"/>
                <w:lang w:val="en-US" w:eastAsia="de-DE"/>
              </w:rPr>
              <w:t xml:space="preserve">Favorable outcome </w:t>
            </w:r>
            <w:r>
              <w:rPr>
                <w:rFonts w:ascii="Times New Roman" w:eastAsia="Times New Roman" w:hAnsi="Times New Roman" w:cs="Times New Roman"/>
                <w:b/>
                <w:color w:val="000000"/>
                <w:sz w:val="16"/>
                <w:szCs w:val="16"/>
                <w:lang w:val="en-US" w:eastAsia="de-DE"/>
              </w:rPr>
              <w:t>(</w:t>
            </w:r>
            <w:r w:rsidRPr="00310B17">
              <w:rPr>
                <w:rFonts w:ascii="Times New Roman" w:eastAsia="Times New Roman" w:hAnsi="Times New Roman" w:cs="Times New Roman"/>
                <w:b/>
                <w:sz w:val="16"/>
                <w:szCs w:val="16"/>
                <w:lang w:val="en-US" w:eastAsia="de-DE"/>
              </w:rPr>
              <w:t>GOS-E</w:t>
            </w:r>
            <w:r w:rsidRPr="00310B17">
              <w:rPr>
                <w:rFonts w:ascii="Times New Roman" w:eastAsia="Times New Roman" w:hAnsi="Times New Roman" w:cs="Times New Roman"/>
                <w:b/>
                <w:sz w:val="16"/>
                <w:szCs w:val="16"/>
                <w:vertAlign w:val="subscript"/>
                <w:lang w:val="en-US" w:eastAsia="de-DE"/>
              </w:rPr>
              <w:t>5-8</w:t>
            </w:r>
            <w:r>
              <w:rPr>
                <w:rFonts w:ascii="Times New Roman" w:eastAsia="Times New Roman" w:hAnsi="Times New Roman" w:cs="Times New Roman"/>
                <w:b/>
                <w:sz w:val="16"/>
                <w:szCs w:val="16"/>
                <w:lang w:val="en-US" w:eastAsia="de-DE"/>
              </w:rPr>
              <w:t>)</w:t>
            </w:r>
          </w:p>
          <w:p w14:paraId="5ECFE805" w14:textId="77777777" w:rsidR="00BB189C" w:rsidRDefault="00BB189C" w:rsidP="00BB189C">
            <w:pPr>
              <w:spacing w:after="0" w:line="240" w:lineRule="auto"/>
              <w:jc w:val="center"/>
              <w:rPr>
                <w:rFonts w:ascii="Times New Roman" w:eastAsia="Times New Roman" w:hAnsi="Times New Roman" w:cs="Times New Roman"/>
                <w:b/>
                <w:color w:val="000000"/>
                <w:sz w:val="16"/>
                <w:szCs w:val="16"/>
                <w:lang w:val="en-US" w:eastAsia="de-DE"/>
              </w:rPr>
            </w:pPr>
            <w:r>
              <w:rPr>
                <w:rFonts w:ascii="Times New Roman" w:eastAsia="Times New Roman" w:hAnsi="Times New Roman" w:cs="Times New Roman"/>
                <w:b/>
                <w:color w:val="000000"/>
                <w:sz w:val="16"/>
                <w:szCs w:val="16"/>
                <w:lang w:val="en-US" w:eastAsia="de-DE"/>
              </w:rPr>
              <w:t>Median</w:t>
            </w:r>
          </w:p>
          <w:p w14:paraId="5022DCFE" w14:textId="6904EB8B" w:rsidR="00BB189C" w:rsidRPr="00310B17" w:rsidRDefault="00BB189C" w:rsidP="00BB189C">
            <w:pPr>
              <w:spacing w:after="0" w:line="240" w:lineRule="auto"/>
              <w:jc w:val="center"/>
              <w:rPr>
                <w:rFonts w:ascii="Times New Roman" w:eastAsia="Times New Roman" w:hAnsi="Times New Roman" w:cs="Times New Roman"/>
                <w:b/>
                <w:color w:val="000000"/>
                <w:sz w:val="16"/>
                <w:szCs w:val="16"/>
                <w:lang w:val="en-US" w:eastAsia="de-DE"/>
              </w:rPr>
            </w:pPr>
            <w:r>
              <w:rPr>
                <w:rFonts w:ascii="Times New Roman" w:eastAsia="Times New Roman" w:hAnsi="Times New Roman" w:cs="Times New Roman"/>
                <w:b/>
                <w:color w:val="000000"/>
                <w:sz w:val="16"/>
                <w:szCs w:val="16"/>
                <w:lang w:val="en-US" w:eastAsia="de-DE"/>
              </w:rPr>
              <w:t>[1q-3q]</w:t>
            </w:r>
          </w:p>
        </w:tc>
        <w:tc>
          <w:tcPr>
            <w:tcW w:w="1701" w:type="dxa"/>
            <w:tcBorders>
              <w:top w:val="single" w:sz="4" w:space="0" w:color="auto"/>
              <w:bottom w:val="single" w:sz="4" w:space="0" w:color="auto"/>
            </w:tcBorders>
          </w:tcPr>
          <w:p w14:paraId="65E95B58" w14:textId="77777777" w:rsidR="00E539FA" w:rsidRDefault="00E539FA" w:rsidP="00BD714C">
            <w:pPr>
              <w:spacing w:after="0" w:line="240" w:lineRule="auto"/>
              <w:jc w:val="center"/>
              <w:rPr>
                <w:rFonts w:ascii="Times New Roman" w:eastAsia="Times New Roman" w:hAnsi="Times New Roman" w:cs="Times New Roman"/>
                <w:b/>
                <w:sz w:val="16"/>
                <w:szCs w:val="16"/>
                <w:lang w:val="en-US" w:eastAsia="de-DE"/>
              </w:rPr>
            </w:pPr>
            <w:r w:rsidRPr="00310B17">
              <w:rPr>
                <w:rFonts w:ascii="Times New Roman" w:eastAsia="Times New Roman" w:hAnsi="Times New Roman" w:cs="Times New Roman"/>
                <w:b/>
                <w:color w:val="000000"/>
                <w:sz w:val="16"/>
                <w:szCs w:val="16"/>
                <w:lang w:val="en-US" w:eastAsia="de-DE"/>
              </w:rPr>
              <w:t xml:space="preserve">Unfavorable outcome </w:t>
            </w:r>
            <w:r>
              <w:rPr>
                <w:rFonts w:ascii="Times New Roman" w:eastAsia="Times New Roman" w:hAnsi="Times New Roman" w:cs="Times New Roman"/>
                <w:b/>
                <w:color w:val="000000"/>
                <w:sz w:val="16"/>
                <w:szCs w:val="16"/>
                <w:lang w:val="en-US" w:eastAsia="de-DE"/>
              </w:rPr>
              <w:t>(</w:t>
            </w:r>
            <w:r w:rsidRPr="00310B17">
              <w:rPr>
                <w:rFonts w:ascii="Times New Roman" w:eastAsia="Times New Roman" w:hAnsi="Times New Roman" w:cs="Times New Roman"/>
                <w:b/>
                <w:sz w:val="16"/>
                <w:szCs w:val="16"/>
                <w:lang w:val="en-US" w:eastAsia="de-DE"/>
              </w:rPr>
              <w:t>GOS-E</w:t>
            </w:r>
            <w:r w:rsidRPr="00310B17">
              <w:rPr>
                <w:rFonts w:ascii="Times New Roman" w:eastAsia="Times New Roman" w:hAnsi="Times New Roman" w:cs="Times New Roman"/>
                <w:b/>
                <w:sz w:val="16"/>
                <w:szCs w:val="16"/>
                <w:vertAlign w:val="subscript"/>
                <w:lang w:val="en-US" w:eastAsia="de-DE"/>
              </w:rPr>
              <w:t>1-4</w:t>
            </w:r>
            <w:r w:rsidRPr="00310B17">
              <w:rPr>
                <w:rFonts w:ascii="Times New Roman" w:eastAsia="Times New Roman" w:hAnsi="Times New Roman" w:cs="Times New Roman"/>
                <w:b/>
                <w:sz w:val="16"/>
                <w:szCs w:val="16"/>
                <w:lang w:val="en-US" w:eastAsia="de-DE"/>
              </w:rPr>
              <w:t xml:space="preserve">) </w:t>
            </w:r>
          </w:p>
          <w:p w14:paraId="44623EB9" w14:textId="77777777" w:rsidR="00BB189C" w:rsidRDefault="00BB189C" w:rsidP="00BB189C">
            <w:pPr>
              <w:spacing w:after="0" w:line="240" w:lineRule="auto"/>
              <w:jc w:val="center"/>
              <w:rPr>
                <w:rFonts w:ascii="Times New Roman" w:eastAsia="Times New Roman" w:hAnsi="Times New Roman" w:cs="Times New Roman"/>
                <w:b/>
                <w:color w:val="000000"/>
                <w:sz w:val="16"/>
                <w:szCs w:val="16"/>
                <w:lang w:val="en-US" w:eastAsia="de-DE"/>
              </w:rPr>
            </w:pPr>
            <w:r>
              <w:rPr>
                <w:rFonts w:ascii="Times New Roman" w:eastAsia="Times New Roman" w:hAnsi="Times New Roman" w:cs="Times New Roman"/>
                <w:b/>
                <w:color w:val="000000"/>
                <w:sz w:val="16"/>
                <w:szCs w:val="16"/>
                <w:lang w:val="en-US" w:eastAsia="de-DE"/>
              </w:rPr>
              <w:t>Median</w:t>
            </w:r>
          </w:p>
          <w:p w14:paraId="6484EAF1" w14:textId="080D0D70" w:rsidR="00BB189C" w:rsidRPr="00310B17" w:rsidRDefault="00BB189C" w:rsidP="00BB189C">
            <w:pPr>
              <w:spacing w:after="0" w:line="240" w:lineRule="auto"/>
              <w:jc w:val="center"/>
              <w:rPr>
                <w:rFonts w:ascii="Times New Roman" w:eastAsia="Times New Roman" w:hAnsi="Times New Roman" w:cs="Times New Roman"/>
                <w:b/>
                <w:color w:val="000000"/>
                <w:sz w:val="16"/>
                <w:szCs w:val="16"/>
                <w:lang w:val="en-US" w:eastAsia="de-DE"/>
              </w:rPr>
            </w:pPr>
            <w:r>
              <w:rPr>
                <w:rFonts w:ascii="Times New Roman" w:eastAsia="Times New Roman" w:hAnsi="Times New Roman" w:cs="Times New Roman"/>
                <w:b/>
                <w:color w:val="000000"/>
                <w:sz w:val="16"/>
                <w:szCs w:val="16"/>
                <w:lang w:val="en-US" w:eastAsia="de-DE"/>
              </w:rPr>
              <w:t>[1q-3q]</w:t>
            </w:r>
          </w:p>
        </w:tc>
        <w:tc>
          <w:tcPr>
            <w:tcW w:w="950" w:type="dxa"/>
            <w:tcBorders>
              <w:top w:val="single" w:sz="4" w:space="0" w:color="auto"/>
              <w:bottom w:val="single" w:sz="4" w:space="0" w:color="auto"/>
            </w:tcBorders>
          </w:tcPr>
          <w:p w14:paraId="5A360441" w14:textId="77777777" w:rsidR="00E539FA" w:rsidRPr="00310B17" w:rsidRDefault="00E539FA" w:rsidP="00BD714C">
            <w:pPr>
              <w:spacing w:after="0" w:line="240" w:lineRule="auto"/>
              <w:jc w:val="center"/>
              <w:rPr>
                <w:rFonts w:ascii="Times New Roman" w:eastAsia="Times New Roman" w:hAnsi="Times New Roman" w:cs="Times New Roman"/>
                <w:b/>
                <w:color w:val="000000"/>
                <w:sz w:val="16"/>
                <w:szCs w:val="16"/>
                <w:lang w:val="en-US" w:eastAsia="de-DE"/>
              </w:rPr>
            </w:pPr>
            <w:r w:rsidRPr="00310B17">
              <w:rPr>
                <w:rFonts w:ascii="Times New Roman" w:eastAsia="Times New Roman" w:hAnsi="Times New Roman" w:cs="Times New Roman"/>
                <w:b/>
                <w:color w:val="000000"/>
                <w:sz w:val="16"/>
                <w:szCs w:val="16"/>
                <w:lang w:val="en-US" w:eastAsia="de-DE"/>
              </w:rPr>
              <w:t>p-value</w:t>
            </w:r>
          </w:p>
        </w:tc>
      </w:tr>
      <w:tr w:rsidR="00E539FA" w:rsidRPr="00AC25E6" w14:paraId="576EDC3D" w14:textId="77777777" w:rsidTr="00BD714C">
        <w:trPr>
          <w:trHeight w:val="33"/>
          <w:jc w:val="center"/>
        </w:trPr>
        <w:tc>
          <w:tcPr>
            <w:tcW w:w="2381" w:type="dxa"/>
            <w:tcBorders>
              <w:top w:val="single" w:sz="4" w:space="0" w:color="auto"/>
            </w:tcBorders>
            <w:shd w:val="clear" w:color="auto" w:fill="auto"/>
            <w:noWrap/>
            <w:vAlign w:val="center"/>
            <w:hideMark/>
          </w:tcPr>
          <w:p w14:paraId="7ED22A88" w14:textId="77777777" w:rsidR="00E539FA" w:rsidRPr="0070153E" w:rsidRDefault="00E539FA" w:rsidP="00BD714C">
            <w:pPr>
              <w:spacing w:before="40" w:after="40" w:line="240" w:lineRule="auto"/>
              <w:rPr>
                <w:rFonts w:ascii="Times New Roman" w:eastAsia="Times New Roman" w:hAnsi="Times New Roman" w:cs="Times New Roman"/>
                <w:b/>
                <w:bCs/>
                <w:color w:val="000000"/>
                <w:sz w:val="16"/>
                <w:szCs w:val="16"/>
                <w:lang w:val="en-US" w:eastAsia="de-DE"/>
              </w:rPr>
            </w:pPr>
            <w:r w:rsidRPr="0070153E">
              <w:rPr>
                <w:rFonts w:ascii="Times New Roman" w:eastAsia="Times New Roman" w:hAnsi="Times New Roman" w:cs="Times New Roman"/>
                <w:b/>
                <w:bCs/>
                <w:color w:val="000000"/>
                <w:sz w:val="16"/>
                <w:szCs w:val="16"/>
                <w:lang w:val="en-US" w:eastAsia="de-DE"/>
              </w:rPr>
              <w:t>All patients</w:t>
            </w:r>
          </w:p>
        </w:tc>
        <w:tc>
          <w:tcPr>
            <w:tcW w:w="995" w:type="dxa"/>
            <w:tcBorders>
              <w:top w:val="single" w:sz="4" w:space="0" w:color="auto"/>
            </w:tcBorders>
            <w:shd w:val="clear" w:color="auto" w:fill="auto"/>
            <w:noWrap/>
            <w:vAlign w:val="bottom"/>
          </w:tcPr>
          <w:p w14:paraId="5FB6A7F4" w14:textId="77777777" w:rsidR="00E539FA" w:rsidRPr="00AC25E6" w:rsidRDefault="00E539FA" w:rsidP="00BD714C">
            <w:pPr>
              <w:spacing w:before="40" w:after="40" w:line="240" w:lineRule="auto"/>
              <w:jc w:val="center"/>
              <w:rPr>
                <w:rFonts w:ascii="Times New Roman" w:eastAsia="Times New Roman" w:hAnsi="Times New Roman" w:cs="Times New Roman"/>
                <w:color w:val="000000"/>
                <w:sz w:val="16"/>
                <w:szCs w:val="16"/>
                <w:lang w:val="en-US" w:eastAsia="de-DE"/>
              </w:rPr>
            </w:pPr>
            <w:r>
              <w:rPr>
                <w:rFonts w:ascii="Times New Roman" w:eastAsia="Times New Roman" w:hAnsi="Times New Roman" w:cs="Times New Roman"/>
                <w:color w:val="000000"/>
                <w:sz w:val="16"/>
                <w:szCs w:val="16"/>
                <w:lang w:val="en-US" w:eastAsia="de-DE"/>
              </w:rPr>
              <w:t>96 (100%)</w:t>
            </w:r>
          </w:p>
        </w:tc>
        <w:tc>
          <w:tcPr>
            <w:tcW w:w="794" w:type="dxa"/>
            <w:tcBorders>
              <w:top w:val="single" w:sz="4" w:space="0" w:color="auto"/>
            </w:tcBorders>
          </w:tcPr>
          <w:p w14:paraId="7D5621EA" w14:textId="77777777" w:rsidR="00E539FA" w:rsidRDefault="00E539FA" w:rsidP="00BD714C">
            <w:pPr>
              <w:spacing w:before="40" w:after="40" w:line="240" w:lineRule="auto"/>
              <w:jc w:val="center"/>
              <w:rPr>
                <w:rFonts w:ascii="Times New Roman" w:eastAsia="Times New Roman" w:hAnsi="Times New Roman" w:cs="Times New Roman"/>
                <w:color w:val="000000"/>
                <w:sz w:val="16"/>
                <w:szCs w:val="16"/>
                <w:lang w:val="en-US" w:eastAsia="de-DE"/>
              </w:rPr>
            </w:pPr>
            <w:r>
              <w:rPr>
                <w:rFonts w:ascii="Times New Roman" w:eastAsia="Times New Roman" w:hAnsi="Times New Roman" w:cs="Times New Roman"/>
                <w:sz w:val="16"/>
                <w:szCs w:val="16"/>
                <w:lang w:val="en-US" w:eastAsia="de-DE"/>
              </w:rPr>
              <w:t>6 (6%)</w:t>
            </w:r>
          </w:p>
        </w:tc>
        <w:tc>
          <w:tcPr>
            <w:tcW w:w="1531" w:type="dxa"/>
            <w:tcBorders>
              <w:top w:val="single" w:sz="4" w:space="0" w:color="auto"/>
            </w:tcBorders>
          </w:tcPr>
          <w:p w14:paraId="6C600BE3" w14:textId="77777777" w:rsidR="00E539FA" w:rsidRPr="004D79C7" w:rsidRDefault="00E539FA" w:rsidP="00BD714C">
            <w:pPr>
              <w:spacing w:before="40" w:after="40" w:line="240" w:lineRule="auto"/>
              <w:jc w:val="center"/>
              <w:rPr>
                <w:rFonts w:ascii="Times New Roman" w:eastAsia="Times New Roman" w:hAnsi="Times New Roman" w:cs="Times New Roman"/>
                <w:sz w:val="16"/>
                <w:szCs w:val="16"/>
                <w:lang w:val="en-US" w:eastAsia="de-DE"/>
              </w:rPr>
            </w:pPr>
            <w:r>
              <w:rPr>
                <w:rFonts w:ascii="Times New Roman" w:eastAsia="Times New Roman" w:hAnsi="Times New Roman" w:cs="Times New Roman"/>
                <w:color w:val="000000"/>
                <w:sz w:val="16"/>
                <w:szCs w:val="16"/>
                <w:lang w:val="en-US" w:eastAsia="de-DE"/>
              </w:rPr>
              <w:t>65 (68%)</w:t>
            </w:r>
          </w:p>
        </w:tc>
        <w:tc>
          <w:tcPr>
            <w:tcW w:w="1701" w:type="dxa"/>
            <w:tcBorders>
              <w:top w:val="single" w:sz="4" w:space="0" w:color="auto"/>
            </w:tcBorders>
          </w:tcPr>
          <w:p w14:paraId="3BB4E34C" w14:textId="77777777" w:rsidR="00E539FA" w:rsidRPr="004D79C7" w:rsidRDefault="00E539FA" w:rsidP="00BD714C">
            <w:pPr>
              <w:spacing w:before="40" w:after="40" w:line="240" w:lineRule="auto"/>
              <w:jc w:val="center"/>
              <w:rPr>
                <w:rFonts w:ascii="Times New Roman" w:eastAsia="Times New Roman" w:hAnsi="Times New Roman" w:cs="Times New Roman"/>
                <w:sz w:val="16"/>
                <w:szCs w:val="16"/>
                <w:lang w:val="en-US" w:eastAsia="de-DE"/>
              </w:rPr>
            </w:pPr>
            <w:r>
              <w:rPr>
                <w:rFonts w:ascii="Times New Roman" w:eastAsia="Times New Roman" w:hAnsi="Times New Roman" w:cs="Times New Roman"/>
                <w:color w:val="000000"/>
                <w:sz w:val="16"/>
                <w:szCs w:val="16"/>
                <w:lang w:val="en-US" w:eastAsia="de-DE"/>
              </w:rPr>
              <w:t>25 (26%)</w:t>
            </w:r>
          </w:p>
        </w:tc>
        <w:tc>
          <w:tcPr>
            <w:tcW w:w="950" w:type="dxa"/>
            <w:tcBorders>
              <w:top w:val="single" w:sz="4" w:space="0" w:color="auto"/>
            </w:tcBorders>
          </w:tcPr>
          <w:p w14:paraId="2580C0BD" w14:textId="77777777" w:rsidR="00E539FA" w:rsidRPr="003B7AF7" w:rsidRDefault="00E539FA" w:rsidP="00BD714C">
            <w:pPr>
              <w:spacing w:before="40" w:after="40" w:line="240" w:lineRule="auto"/>
              <w:jc w:val="center"/>
              <w:rPr>
                <w:rFonts w:ascii="Times New Roman" w:eastAsia="Times New Roman" w:hAnsi="Times New Roman" w:cs="Times New Roman"/>
                <w:sz w:val="16"/>
                <w:szCs w:val="16"/>
                <w:lang w:val="en-US" w:eastAsia="de-DE"/>
              </w:rPr>
            </w:pPr>
          </w:p>
        </w:tc>
      </w:tr>
      <w:tr w:rsidR="00E539FA" w:rsidRPr="00AC25E6" w14:paraId="60BB7F97" w14:textId="77777777" w:rsidTr="00BD714C">
        <w:trPr>
          <w:trHeight w:val="33"/>
          <w:jc w:val="center"/>
        </w:trPr>
        <w:tc>
          <w:tcPr>
            <w:tcW w:w="2381" w:type="dxa"/>
            <w:shd w:val="clear" w:color="auto" w:fill="F2F2F2" w:themeFill="background1" w:themeFillShade="F2"/>
            <w:noWrap/>
            <w:vAlign w:val="center"/>
          </w:tcPr>
          <w:p w14:paraId="5303F83C" w14:textId="77777777" w:rsidR="00E539FA" w:rsidRDefault="00E539FA" w:rsidP="00BD714C">
            <w:pPr>
              <w:spacing w:after="0" w:line="240" w:lineRule="auto"/>
              <w:rPr>
                <w:rFonts w:ascii="Times New Roman" w:eastAsia="Times New Roman" w:hAnsi="Times New Roman" w:cs="Times New Roman"/>
                <w:bCs/>
                <w:color w:val="000000"/>
                <w:sz w:val="16"/>
                <w:szCs w:val="16"/>
                <w:lang w:val="en-US" w:eastAsia="de-DE"/>
              </w:rPr>
            </w:pPr>
            <w:r>
              <w:rPr>
                <w:rFonts w:ascii="Times New Roman" w:eastAsia="Times New Roman" w:hAnsi="Times New Roman" w:cs="Times New Roman"/>
                <w:b/>
                <w:bCs/>
                <w:color w:val="000000"/>
                <w:sz w:val="16"/>
                <w:szCs w:val="16"/>
                <w:lang w:val="en-US" w:eastAsia="de-DE"/>
              </w:rPr>
              <w:t>Gender</w:t>
            </w:r>
          </w:p>
        </w:tc>
        <w:tc>
          <w:tcPr>
            <w:tcW w:w="995" w:type="dxa"/>
            <w:shd w:val="clear" w:color="auto" w:fill="F2F2F2" w:themeFill="background1" w:themeFillShade="F2"/>
            <w:noWrap/>
            <w:vAlign w:val="bottom"/>
          </w:tcPr>
          <w:p w14:paraId="5A56FB19" w14:textId="77777777" w:rsidR="00E539FA" w:rsidRDefault="00E539FA" w:rsidP="00BD714C">
            <w:pPr>
              <w:spacing w:after="0" w:line="240" w:lineRule="auto"/>
              <w:jc w:val="center"/>
              <w:rPr>
                <w:rFonts w:ascii="Times New Roman" w:eastAsia="Times New Roman" w:hAnsi="Times New Roman" w:cs="Times New Roman"/>
                <w:color w:val="000000"/>
                <w:sz w:val="16"/>
                <w:szCs w:val="16"/>
                <w:lang w:val="en-US" w:eastAsia="de-DE"/>
              </w:rPr>
            </w:pPr>
          </w:p>
        </w:tc>
        <w:tc>
          <w:tcPr>
            <w:tcW w:w="794" w:type="dxa"/>
            <w:shd w:val="clear" w:color="auto" w:fill="F2F2F2" w:themeFill="background1" w:themeFillShade="F2"/>
          </w:tcPr>
          <w:p w14:paraId="55EBDE19" w14:textId="77777777" w:rsidR="00E539FA" w:rsidRDefault="00E539FA" w:rsidP="00BD714C">
            <w:pPr>
              <w:spacing w:after="0" w:line="240" w:lineRule="auto"/>
              <w:jc w:val="center"/>
              <w:rPr>
                <w:rFonts w:ascii="Times New Roman" w:eastAsia="Times New Roman" w:hAnsi="Times New Roman" w:cs="Times New Roman"/>
                <w:sz w:val="16"/>
                <w:szCs w:val="16"/>
                <w:lang w:val="en-US" w:eastAsia="de-DE"/>
              </w:rPr>
            </w:pPr>
          </w:p>
        </w:tc>
        <w:tc>
          <w:tcPr>
            <w:tcW w:w="1531" w:type="dxa"/>
            <w:shd w:val="clear" w:color="auto" w:fill="F2F2F2" w:themeFill="background1" w:themeFillShade="F2"/>
          </w:tcPr>
          <w:p w14:paraId="54B45420" w14:textId="77777777" w:rsidR="00E539FA" w:rsidRDefault="00E539FA" w:rsidP="00BD714C">
            <w:pPr>
              <w:spacing w:after="0" w:line="240" w:lineRule="auto"/>
              <w:jc w:val="center"/>
              <w:rPr>
                <w:rFonts w:ascii="Times New Roman" w:eastAsia="Times New Roman" w:hAnsi="Times New Roman" w:cs="Times New Roman"/>
                <w:color w:val="000000"/>
                <w:sz w:val="16"/>
                <w:szCs w:val="16"/>
                <w:lang w:val="en-US" w:eastAsia="de-DE"/>
              </w:rPr>
            </w:pPr>
          </w:p>
        </w:tc>
        <w:tc>
          <w:tcPr>
            <w:tcW w:w="1701" w:type="dxa"/>
            <w:shd w:val="clear" w:color="auto" w:fill="F2F2F2" w:themeFill="background1" w:themeFillShade="F2"/>
          </w:tcPr>
          <w:p w14:paraId="250C30CF" w14:textId="77777777" w:rsidR="00E539FA" w:rsidRDefault="00E539FA" w:rsidP="00BD714C">
            <w:pPr>
              <w:spacing w:after="0" w:line="240" w:lineRule="auto"/>
              <w:jc w:val="center"/>
              <w:rPr>
                <w:rFonts w:ascii="Times New Roman" w:eastAsia="Times New Roman" w:hAnsi="Times New Roman" w:cs="Times New Roman"/>
                <w:color w:val="000000"/>
                <w:sz w:val="16"/>
                <w:szCs w:val="16"/>
                <w:lang w:val="en-US" w:eastAsia="de-DE"/>
              </w:rPr>
            </w:pPr>
          </w:p>
        </w:tc>
        <w:tc>
          <w:tcPr>
            <w:tcW w:w="950" w:type="dxa"/>
            <w:shd w:val="clear" w:color="auto" w:fill="F2F2F2" w:themeFill="background1" w:themeFillShade="F2"/>
          </w:tcPr>
          <w:p w14:paraId="5FB93F3A" w14:textId="77777777" w:rsidR="00E539FA" w:rsidRPr="003B7AF7" w:rsidRDefault="00E539FA" w:rsidP="00BD714C">
            <w:pPr>
              <w:spacing w:after="0" w:line="240" w:lineRule="auto"/>
              <w:jc w:val="center"/>
              <w:rPr>
                <w:rFonts w:ascii="Times New Roman" w:eastAsia="Times New Roman" w:hAnsi="Times New Roman" w:cs="Times New Roman"/>
                <w:sz w:val="16"/>
                <w:szCs w:val="16"/>
                <w:lang w:val="en-US" w:eastAsia="de-DE"/>
              </w:rPr>
            </w:pPr>
            <w:r>
              <w:rPr>
                <w:rFonts w:ascii="Times New Roman" w:eastAsia="Times New Roman" w:hAnsi="Times New Roman" w:cs="Times New Roman"/>
                <w:sz w:val="16"/>
                <w:szCs w:val="16"/>
                <w:lang w:val="en-US" w:eastAsia="de-DE"/>
              </w:rPr>
              <w:t>0.456</w:t>
            </w:r>
          </w:p>
        </w:tc>
      </w:tr>
      <w:tr w:rsidR="00E539FA" w:rsidRPr="00AC25E6" w14:paraId="182E8260" w14:textId="77777777" w:rsidTr="00BD714C">
        <w:trPr>
          <w:trHeight w:val="33"/>
          <w:jc w:val="center"/>
        </w:trPr>
        <w:tc>
          <w:tcPr>
            <w:tcW w:w="2381" w:type="dxa"/>
            <w:shd w:val="clear" w:color="auto" w:fill="auto"/>
            <w:noWrap/>
            <w:vAlign w:val="center"/>
          </w:tcPr>
          <w:p w14:paraId="141AB6CC" w14:textId="77777777" w:rsidR="00E539FA" w:rsidRDefault="00E539FA" w:rsidP="00BD714C">
            <w:pPr>
              <w:spacing w:after="0" w:line="240" w:lineRule="auto"/>
              <w:rPr>
                <w:rFonts w:ascii="Times New Roman" w:eastAsia="Times New Roman" w:hAnsi="Times New Roman" w:cs="Times New Roman"/>
                <w:b/>
                <w:bCs/>
                <w:color w:val="000000"/>
                <w:sz w:val="16"/>
                <w:szCs w:val="16"/>
                <w:lang w:val="en-US" w:eastAsia="de-DE"/>
              </w:rPr>
            </w:pPr>
            <w:r>
              <w:rPr>
                <w:rFonts w:ascii="Times New Roman" w:eastAsia="Times New Roman" w:hAnsi="Times New Roman" w:cs="Times New Roman"/>
                <w:bCs/>
                <w:color w:val="000000"/>
                <w:sz w:val="16"/>
                <w:szCs w:val="16"/>
                <w:lang w:val="en-US" w:eastAsia="de-DE"/>
              </w:rPr>
              <w:tab/>
              <w:t>F</w:t>
            </w:r>
            <w:r w:rsidRPr="000241E5">
              <w:rPr>
                <w:rFonts w:ascii="Times New Roman" w:eastAsia="Times New Roman" w:hAnsi="Times New Roman" w:cs="Times New Roman"/>
                <w:bCs/>
                <w:color w:val="000000"/>
                <w:sz w:val="16"/>
                <w:szCs w:val="16"/>
                <w:lang w:val="en-US" w:eastAsia="de-DE"/>
              </w:rPr>
              <w:t>emale</w:t>
            </w:r>
          </w:p>
        </w:tc>
        <w:tc>
          <w:tcPr>
            <w:tcW w:w="995" w:type="dxa"/>
            <w:shd w:val="clear" w:color="auto" w:fill="auto"/>
            <w:noWrap/>
            <w:vAlign w:val="bottom"/>
          </w:tcPr>
          <w:p w14:paraId="5FE37C03" w14:textId="77777777" w:rsidR="00E539FA" w:rsidRDefault="00E539FA" w:rsidP="00BD714C">
            <w:pPr>
              <w:spacing w:after="0" w:line="240" w:lineRule="auto"/>
              <w:jc w:val="center"/>
              <w:rPr>
                <w:rFonts w:ascii="Times New Roman" w:eastAsia="Times New Roman" w:hAnsi="Times New Roman" w:cs="Times New Roman"/>
                <w:color w:val="000000"/>
                <w:sz w:val="16"/>
                <w:szCs w:val="16"/>
                <w:lang w:val="en-US" w:eastAsia="de-DE"/>
              </w:rPr>
            </w:pPr>
            <w:r>
              <w:rPr>
                <w:rFonts w:ascii="Times New Roman" w:eastAsia="Times New Roman" w:hAnsi="Times New Roman" w:cs="Times New Roman"/>
                <w:color w:val="000000"/>
                <w:sz w:val="16"/>
                <w:szCs w:val="16"/>
                <w:lang w:val="en-US" w:eastAsia="de-DE"/>
              </w:rPr>
              <w:t>71 (74%)</w:t>
            </w:r>
          </w:p>
        </w:tc>
        <w:tc>
          <w:tcPr>
            <w:tcW w:w="794" w:type="dxa"/>
          </w:tcPr>
          <w:p w14:paraId="35195901" w14:textId="77777777" w:rsidR="00E539FA" w:rsidRDefault="00E539FA" w:rsidP="00BD714C">
            <w:pPr>
              <w:spacing w:after="0" w:line="240" w:lineRule="auto"/>
              <w:jc w:val="center"/>
              <w:rPr>
                <w:rFonts w:ascii="Times New Roman" w:eastAsia="Times New Roman" w:hAnsi="Times New Roman" w:cs="Times New Roman"/>
                <w:color w:val="000000"/>
                <w:sz w:val="16"/>
                <w:szCs w:val="16"/>
                <w:lang w:val="en-US" w:eastAsia="de-DE"/>
              </w:rPr>
            </w:pPr>
            <w:r>
              <w:rPr>
                <w:rFonts w:ascii="Times New Roman" w:eastAsia="Times New Roman" w:hAnsi="Times New Roman" w:cs="Times New Roman"/>
                <w:sz w:val="16"/>
                <w:szCs w:val="16"/>
                <w:lang w:val="en-US" w:eastAsia="de-DE"/>
              </w:rPr>
              <w:t>3 (50%)</w:t>
            </w:r>
          </w:p>
        </w:tc>
        <w:tc>
          <w:tcPr>
            <w:tcW w:w="1531" w:type="dxa"/>
          </w:tcPr>
          <w:p w14:paraId="28785401" w14:textId="77777777" w:rsidR="00E539FA" w:rsidRPr="003B7AF7" w:rsidRDefault="00E539FA" w:rsidP="00BD714C">
            <w:pPr>
              <w:spacing w:after="0" w:line="240" w:lineRule="auto"/>
              <w:jc w:val="center"/>
              <w:rPr>
                <w:rFonts w:ascii="Times New Roman" w:eastAsia="Times New Roman" w:hAnsi="Times New Roman" w:cs="Times New Roman"/>
                <w:sz w:val="16"/>
                <w:szCs w:val="16"/>
                <w:lang w:val="en-US" w:eastAsia="de-DE"/>
              </w:rPr>
            </w:pPr>
            <w:r>
              <w:rPr>
                <w:rFonts w:ascii="Times New Roman" w:eastAsia="Times New Roman" w:hAnsi="Times New Roman" w:cs="Times New Roman"/>
                <w:color w:val="000000"/>
                <w:sz w:val="16"/>
                <w:szCs w:val="16"/>
                <w:lang w:val="en-US" w:eastAsia="de-DE"/>
              </w:rPr>
              <w:t>50 (77%)</w:t>
            </w:r>
          </w:p>
        </w:tc>
        <w:tc>
          <w:tcPr>
            <w:tcW w:w="1701" w:type="dxa"/>
          </w:tcPr>
          <w:p w14:paraId="2B3B7FA2" w14:textId="77777777" w:rsidR="00E539FA" w:rsidRPr="003B7AF7" w:rsidRDefault="00E539FA" w:rsidP="00BD714C">
            <w:pPr>
              <w:spacing w:after="0" w:line="240" w:lineRule="auto"/>
              <w:jc w:val="center"/>
              <w:rPr>
                <w:rFonts w:ascii="Times New Roman" w:eastAsia="Times New Roman" w:hAnsi="Times New Roman" w:cs="Times New Roman"/>
                <w:sz w:val="16"/>
                <w:szCs w:val="16"/>
                <w:lang w:val="en-US" w:eastAsia="de-DE"/>
              </w:rPr>
            </w:pPr>
            <w:r>
              <w:rPr>
                <w:rFonts w:ascii="Times New Roman" w:eastAsia="Times New Roman" w:hAnsi="Times New Roman" w:cs="Times New Roman"/>
                <w:color w:val="000000"/>
                <w:sz w:val="16"/>
                <w:szCs w:val="16"/>
                <w:lang w:val="en-US" w:eastAsia="de-DE"/>
              </w:rPr>
              <w:t>18 (72%)</w:t>
            </w:r>
          </w:p>
        </w:tc>
        <w:tc>
          <w:tcPr>
            <w:tcW w:w="950" w:type="dxa"/>
          </w:tcPr>
          <w:p w14:paraId="249C3874" w14:textId="77777777" w:rsidR="00E539FA" w:rsidRPr="003B7AF7" w:rsidRDefault="00E539FA" w:rsidP="00BD714C">
            <w:pPr>
              <w:spacing w:after="0" w:line="240" w:lineRule="auto"/>
              <w:jc w:val="center"/>
              <w:rPr>
                <w:rFonts w:ascii="Times New Roman" w:eastAsia="Times New Roman" w:hAnsi="Times New Roman" w:cs="Times New Roman"/>
                <w:sz w:val="16"/>
                <w:szCs w:val="16"/>
                <w:lang w:val="en-US" w:eastAsia="de-DE"/>
              </w:rPr>
            </w:pPr>
          </w:p>
        </w:tc>
      </w:tr>
      <w:tr w:rsidR="00E539FA" w:rsidRPr="00AC25E6" w14:paraId="7E890910" w14:textId="77777777" w:rsidTr="00BD714C">
        <w:trPr>
          <w:trHeight w:val="33"/>
          <w:jc w:val="center"/>
        </w:trPr>
        <w:tc>
          <w:tcPr>
            <w:tcW w:w="2381" w:type="dxa"/>
            <w:shd w:val="clear" w:color="auto" w:fill="auto"/>
            <w:noWrap/>
            <w:vAlign w:val="center"/>
          </w:tcPr>
          <w:p w14:paraId="4B4C543F" w14:textId="77777777" w:rsidR="00E539FA" w:rsidRDefault="00E539FA" w:rsidP="00BD714C">
            <w:pPr>
              <w:spacing w:after="0" w:line="240" w:lineRule="auto"/>
              <w:rPr>
                <w:rFonts w:ascii="Times New Roman" w:eastAsia="Times New Roman" w:hAnsi="Times New Roman" w:cs="Times New Roman"/>
                <w:b/>
                <w:bCs/>
                <w:color w:val="000000"/>
                <w:sz w:val="16"/>
                <w:szCs w:val="16"/>
                <w:lang w:val="en-US" w:eastAsia="de-DE"/>
              </w:rPr>
            </w:pPr>
            <w:r>
              <w:rPr>
                <w:rFonts w:ascii="Times New Roman" w:eastAsia="Times New Roman" w:hAnsi="Times New Roman" w:cs="Times New Roman"/>
                <w:bCs/>
                <w:color w:val="000000"/>
                <w:sz w:val="16"/>
                <w:szCs w:val="16"/>
                <w:lang w:val="en-US" w:eastAsia="de-DE"/>
              </w:rPr>
              <w:tab/>
              <w:t>M</w:t>
            </w:r>
            <w:r w:rsidRPr="000241E5">
              <w:rPr>
                <w:rFonts w:ascii="Times New Roman" w:eastAsia="Times New Roman" w:hAnsi="Times New Roman" w:cs="Times New Roman"/>
                <w:bCs/>
                <w:color w:val="000000"/>
                <w:sz w:val="16"/>
                <w:szCs w:val="16"/>
                <w:lang w:val="en-US" w:eastAsia="de-DE"/>
              </w:rPr>
              <w:t>ale</w:t>
            </w:r>
          </w:p>
        </w:tc>
        <w:tc>
          <w:tcPr>
            <w:tcW w:w="995" w:type="dxa"/>
            <w:shd w:val="clear" w:color="auto" w:fill="auto"/>
            <w:noWrap/>
            <w:vAlign w:val="bottom"/>
          </w:tcPr>
          <w:p w14:paraId="4A48D7A4" w14:textId="77777777" w:rsidR="00E539FA" w:rsidRDefault="00E539FA" w:rsidP="00BD714C">
            <w:pPr>
              <w:spacing w:after="0" w:line="240" w:lineRule="auto"/>
              <w:jc w:val="center"/>
              <w:rPr>
                <w:rFonts w:ascii="Times New Roman" w:eastAsia="Times New Roman" w:hAnsi="Times New Roman" w:cs="Times New Roman"/>
                <w:color w:val="000000"/>
                <w:sz w:val="16"/>
                <w:szCs w:val="16"/>
                <w:lang w:val="en-US" w:eastAsia="de-DE"/>
              </w:rPr>
            </w:pPr>
            <w:r>
              <w:rPr>
                <w:rFonts w:ascii="Times New Roman" w:eastAsia="Times New Roman" w:hAnsi="Times New Roman" w:cs="Times New Roman"/>
                <w:color w:val="000000"/>
                <w:sz w:val="16"/>
                <w:szCs w:val="16"/>
                <w:lang w:val="en-US" w:eastAsia="de-DE"/>
              </w:rPr>
              <w:t>25 (26%)</w:t>
            </w:r>
          </w:p>
        </w:tc>
        <w:tc>
          <w:tcPr>
            <w:tcW w:w="794" w:type="dxa"/>
          </w:tcPr>
          <w:p w14:paraId="678597DA" w14:textId="77777777" w:rsidR="00E539FA" w:rsidRDefault="00E539FA" w:rsidP="00BD714C">
            <w:pPr>
              <w:spacing w:after="0" w:line="240" w:lineRule="auto"/>
              <w:jc w:val="center"/>
              <w:rPr>
                <w:rFonts w:ascii="Times New Roman" w:eastAsia="Times New Roman" w:hAnsi="Times New Roman" w:cs="Times New Roman"/>
                <w:color w:val="000000"/>
                <w:sz w:val="16"/>
                <w:szCs w:val="16"/>
                <w:lang w:val="en-US" w:eastAsia="de-DE"/>
              </w:rPr>
            </w:pPr>
            <w:r>
              <w:rPr>
                <w:rFonts w:ascii="Times New Roman" w:eastAsia="Times New Roman" w:hAnsi="Times New Roman" w:cs="Times New Roman"/>
                <w:sz w:val="16"/>
                <w:szCs w:val="16"/>
                <w:lang w:val="en-US" w:eastAsia="de-DE"/>
              </w:rPr>
              <w:t>3 (50%)</w:t>
            </w:r>
          </w:p>
        </w:tc>
        <w:tc>
          <w:tcPr>
            <w:tcW w:w="1531" w:type="dxa"/>
          </w:tcPr>
          <w:p w14:paraId="0B1F67E8" w14:textId="77777777" w:rsidR="00E539FA" w:rsidRPr="003B7AF7" w:rsidRDefault="00E539FA" w:rsidP="00BD714C">
            <w:pPr>
              <w:spacing w:after="0" w:line="240" w:lineRule="auto"/>
              <w:jc w:val="center"/>
              <w:rPr>
                <w:rFonts w:ascii="Times New Roman" w:eastAsia="Times New Roman" w:hAnsi="Times New Roman" w:cs="Times New Roman"/>
                <w:sz w:val="16"/>
                <w:szCs w:val="16"/>
                <w:lang w:val="en-US" w:eastAsia="de-DE"/>
              </w:rPr>
            </w:pPr>
            <w:r>
              <w:rPr>
                <w:rFonts w:ascii="Times New Roman" w:eastAsia="Times New Roman" w:hAnsi="Times New Roman" w:cs="Times New Roman"/>
                <w:color w:val="000000"/>
                <w:sz w:val="16"/>
                <w:szCs w:val="16"/>
                <w:lang w:val="en-US" w:eastAsia="de-DE"/>
              </w:rPr>
              <w:t>15 (23%)</w:t>
            </w:r>
          </w:p>
        </w:tc>
        <w:tc>
          <w:tcPr>
            <w:tcW w:w="1701" w:type="dxa"/>
          </w:tcPr>
          <w:p w14:paraId="4EE1DD5D" w14:textId="77777777" w:rsidR="00E539FA" w:rsidRPr="003B7AF7" w:rsidRDefault="00E539FA" w:rsidP="00BD714C">
            <w:pPr>
              <w:spacing w:after="0" w:line="240" w:lineRule="auto"/>
              <w:jc w:val="center"/>
              <w:rPr>
                <w:rFonts w:ascii="Times New Roman" w:eastAsia="Times New Roman" w:hAnsi="Times New Roman" w:cs="Times New Roman"/>
                <w:sz w:val="16"/>
                <w:szCs w:val="16"/>
                <w:lang w:val="en-US" w:eastAsia="de-DE"/>
              </w:rPr>
            </w:pPr>
            <w:r>
              <w:rPr>
                <w:rFonts w:ascii="Times New Roman" w:eastAsia="Times New Roman" w:hAnsi="Times New Roman" w:cs="Times New Roman"/>
                <w:color w:val="000000"/>
                <w:sz w:val="16"/>
                <w:szCs w:val="16"/>
                <w:lang w:val="en-US" w:eastAsia="de-DE"/>
              </w:rPr>
              <w:t>7 (28%)</w:t>
            </w:r>
          </w:p>
        </w:tc>
        <w:tc>
          <w:tcPr>
            <w:tcW w:w="950" w:type="dxa"/>
          </w:tcPr>
          <w:p w14:paraId="49F60776" w14:textId="77777777" w:rsidR="00E539FA" w:rsidRPr="003B7AF7" w:rsidRDefault="00E539FA" w:rsidP="00BD714C">
            <w:pPr>
              <w:spacing w:after="0" w:line="240" w:lineRule="auto"/>
              <w:jc w:val="center"/>
              <w:rPr>
                <w:rFonts w:ascii="Times New Roman" w:eastAsia="Times New Roman" w:hAnsi="Times New Roman" w:cs="Times New Roman"/>
                <w:sz w:val="16"/>
                <w:szCs w:val="16"/>
                <w:lang w:val="en-US" w:eastAsia="de-DE"/>
              </w:rPr>
            </w:pPr>
          </w:p>
        </w:tc>
      </w:tr>
      <w:tr w:rsidR="00E539FA" w:rsidRPr="00AC25E6" w14:paraId="43AA5B94" w14:textId="77777777" w:rsidTr="00BD714C">
        <w:trPr>
          <w:trHeight w:val="33"/>
          <w:jc w:val="center"/>
        </w:trPr>
        <w:tc>
          <w:tcPr>
            <w:tcW w:w="2381" w:type="dxa"/>
            <w:shd w:val="clear" w:color="auto" w:fill="F2F2F2" w:themeFill="background1" w:themeFillShade="F2"/>
            <w:noWrap/>
            <w:vAlign w:val="center"/>
          </w:tcPr>
          <w:p w14:paraId="6A2DAACA" w14:textId="77777777" w:rsidR="00E539FA" w:rsidRPr="001A3A16" w:rsidRDefault="00E539FA" w:rsidP="00BD714C">
            <w:pPr>
              <w:spacing w:after="0" w:line="240" w:lineRule="auto"/>
              <w:rPr>
                <w:rFonts w:ascii="Times New Roman" w:eastAsia="Times New Roman" w:hAnsi="Times New Roman" w:cs="Times New Roman"/>
                <w:b/>
                <w:bCs/>
                <w:color w:val="000000"/>
                <w:sz w:val="16"/>
                <w:szCs w:val="16"/>
                <w:lang w:val="en-US" w:eastAsia="de-DE"/>
              </w:rPr>
            </w:pPr>
            <w:r w:rsidRPr="001A3A16">
              <w:rPr>
                <w:rFonts w:ascii="Times New Roman" w:eastAsia="Times New Roman" w:hAnsi="Times New Roman" w:cs="Times New Roman"/>
                <w:b/>
                <w:bCs/>
                <w:color w:val="000000"/>
                <w:sz w:val="16"/>
                <w:szCs w:val="16"/>
                <w:lang w:val="en-US" w:eastAsia="de-DE"/>
              </w:rPr>
              <w:t>Age</w:t>
            </w:r>
          </w:p>
        </w:tc>
        <w:tc>
          <w:tcPr>
            <w:tcW w:w="995" w:type="dxa"/>
            <w:shd w:val="clear" w:color="auto" w:fill="F2F2F2" w:themeFill="background1" w:themeFillShade="F2"/>
            <w:noWrap/>
            <w:vAlign w:val="bottom"/>
          </w:tcPr>
          <w:p w14:paraId="74FDEA83" w14:textId="77777777" w:rsidR="00E539FA" w:rsidRDefault="00E539FA" w:rsidP="00BD714C">
            <w:pPr>
              <w:spacing w:after="0" w:line="240" w:lineRule="auto"/>
              <w:jc w:val="center"/>
              <w:rPr>
                <w:rFonts w:ascii="Times New Roman" w:eastAsia="Times New Roman" w:hAnsi="Times New Roman" w:cs="Times New Roman"/>
                <w:color w:val="000000"/>
                <w:sz w:val="16"/>
                <w:szCs w:val="16"/>
                <w:lang w:val="en-US" w:eastAsia="de-DE"/>
              </w:rPr>
            </w:pPr>
          </w:p>
        </w:tc>
        <w:tc>
          <w:tcPr>
            <w:tcW w:w="794" w:type="dxa"/>
            <w:shd w:val="clear" w:color="auto" w:fill="F2F2F2" w:themeFill="background1" w:themeFillShade="F2"/>
          </w:tcPr>
          <w:p w14:paraId="4C1A8958" w14:textId="77777777" w:rsidR="00E539FA" w:rsidRDefault="00E539FA" w:rsidP="00BD714C">
            <w:pPr>
              <w:spacing w:after="0" w:line="240" w:lineRule="auto"/>
              <w:jc w:val="center"/>
              <w:rPr>
                <w:rFonts w:ascii="Times New Roman" w:eastAsia="Times New Roman" w:hAnsi="Times New Roman" w:cs="Times New Roman"/>
                <w:color w:val="000000"/>
                <w:sz w:val="16"/>
                <w:szCs w:val="16"/>
                <w:lang w:val="en-US" w:eastAsia="de-DE"/>
              </w:rPr>
            </w:pPr>
          </w:p>
        </w:tc>
        <w:tc>
          <w:tcPr>
            <w:tcW w:w="1531" w:type="dxa"/>
            <w:shd w:val="clear" w:color="auto" w:fill="F2F2F2" w:themeFill="background1" w:themeFillShade="F2"/>
          </w:tcPr>
          <w:p w14:paraId="3113C239" w14:textId="77777777" w:rsidR="00E539FA" w:rsidRDefault="00E539FA" w:rsidP="00BD714C">
            <w:pPr>
              <w:spacing w:after="0" w:line="240" w:lineRule="auto"/>
              <w:jc w:val="center"/>
              <w:rPr>
                <w:rFonts w:ascii="Times New Roman" w:eastAsia="Times New Roman" w:hAnsi="Times New Roman" w:cs="Times New Roman"/>
                <w:color w:val="000000"/>
                <w:sz w:val="16"/>
                <w:szCs w:val="16"/>
                <w:lang w:val="en-US" w:eastAsia="de-DE"/>
              </w:rPr>
            </w:pPr>
          </w:p>
        </w:tc>
        <w:tc>
          <w:tcPr>
            <w:tcW w:w="1701" w:type="dxa"/>
            <w:shd w:val="clear" w:color="auto" w:fill="F2F2F2" w:themeFill="background1" w:themeFillShade="F2"/>
          </w:tcPr>
          <w:p w14:paraId="5E0EC299" w14:textId="77777777" w:rsidR="00E539FA" w:rsidRDefault="00E539FA" w:rsidP="00BD714C">
            <w:pPr>
              <w:spacing w:after="0" w:line="240" w:lineRule="auto"/>
              <w:jc w:val="center"/>
              <w:rPr>
                <w:rFonts w:ascii="Times New Roman" w:eastAsia="Times New Roman" w:hAnsi="Times New Roman" w:cs="Times New Roman"/>
                <w:color w:val="000000"/>
                <w:sz w:val="16"/>
                <w:szCs w:val="16"/>
                <w:lang w:val="en-US" w:eastAsia="de-DE"/>
              </w:rPr>
            </w:pPr>
          </w:p>
        </w:tc>
        <w:tc>
          <w:tcPr>
            <w:tcW w:w="950" w:type="dxa"/>
            <w:shd w:val="clear" w:color="auto" w:fill="F2F2F2" w:themeFill="background1" w:themeFillShade="F2"/>
          </w:tcPr>
          <w:p w14:paraId="774C42C4" w14:textId="77777777" w:rsidR="00E539FA" w:rsidRPr="003B7AF7" w:rsidRDefault="00E539FA" w:rsidP="00BD714C">
            <w:pPr>
              <w:spacing w:after="0" w:line="240" w:lineRule="auto"/>
              <w:jc w:val="center"/>
              <w:rPr>
                <w:rFonts w:ascii="Times New Roman" w:eastAsia="Times New Roman" w:hAnsi="Times New Roman" w:cs="Times New Roman"/>
                <w:sz w:val="16"/>
                <w:szCs w:val="16"/>
                <w:lang w:val="en-US" w:eastAsia="de-DE"/>
              </w:rPr>
            </w:pPr>
            <w:r w:rsidRPr="00CE1FC1">
              <w:rPr>
                <w:rFonts w:ascii="Times New Roman" w:eastAsia="Times New Roman" w:hAnsi="Times New Roman" w:cs="Times New Roman"/>
                <w:color w:val="000000" w:themeColor="text1"/>
                <w:sz w:val="16"/>
                <w:szCs w:val="16"/>
                <w:lang w:val="en-US" w:eastAsia="de-DE"/>
              </w:rPr>
              <w:t>0.513</w:t>
            </w:r>
          </w:p>
        </w:tc>
      </w:tr>
      <w:tr w:rsidR="00E539FA" w:rsidRPr="00AC25E6" w14:paraId="65D530A5" w14:textId="77777777" w:rsidTr="00BD714C">
        <w:trPr>
          <w:trHeight w:val="33"/>
          <w:jc w:val="center"/>
        </w:trPr>
        <w:tc>
          <w:tcPr>
            <w:tcW w:w="2381" w:type="dxa"/>
            <w:shd w:val="clear" w:color="auto" w:fill="auto"/>
            <w:noWrap/>
            <w:vAlign w:val="center"/>
          </w:tcPr>
          <w:p w14:paraId="798818B3" w14:textId="77777777" w:rsidR="00E539FA" w:rsidRDefault="00E539FA" w:rsidP="00BD714C">
            <w:pPr>
              <w:spacing w:after="0" w:line="240" w:lineRule="auto"/>
              <w:rPr>
                <w:rFonts w:ascii="Times New Roman" w:eastAsia="Times New Roman" w:hAnsi="Times New Roman" w:cs="Times New Roman"/>
                <w:bCs/>
                <w:color w:val="000000"/>
                <w:sz w:val="16"/>
                <w:szCs w:val="16"/>
                <w:lang w:val="en-US" w:eastAsia="de-DE"/>
              </w:rPr>
            </w:pPr>
            <w:r>
              <w:rPr>
                <w:rFonts w:ascii="Times New Roman" w:eastAsia="Times New Roman" w:hAnsi="Times New Roman" w:cs="Times New Roman"/>
                <w:bCs/>
                <w:color w:val="000000"/>
                <w:sz w:val="16"/>
                <w:szCs w:val="16"/>
                <w:lang w:val="en-US" w:eastAsia="de-DE"/>
              </w:rPr>
              <w:tab/>
              <w:t>≤52 years</w:t>
            </w:r>
          </w:p>
        </w:tc>
        <w:tc>
          <w:tcPr>
            <w:tcW w:w="995" w:type="dxa"/>
            <w:shd w:val="clear" w:color="auto" w:fill="auto"/>
            <w:noWrap/>
            <w:vAlign w:val="bottom"/>
          </w:tcPr>
          <w:p w14:paraId="7528865B" w14:textId="77777777" w:rsidR="00E539FA" w:rsidRDefault="00E539FA" w:rsidP="00BD714C">
            <w:pPr>
              <w:spacing w:after="0" w:line="240" w:lineRule="auto"/>
              <w:jc w:val="center"/>
              <w:rPr>
                <w:rFonts w:ascii="Times New Roman" w:eastAsia="Times New Roman" w:hAnsi="Times New Roman" w:cs="Times New Roman"/>
                <w:color w:val="000000"/>
                <w:sz w:val="16"/>
                <w:szCs w:val="16"/>
                <w:lang w:val="en-US" w:eastAsia="de-DE"/>
              </w:rPr>
            </w:pPr>
            <w:r>
              <w:rPr>
                <w:rFonts w:ascii="Times New Roman" w:eastAsia="Times New Roman" w:hAnsi="Times New Roman" w:cs="Times New Roman"/>
                <w:color w:val="000000"/>
                <w:sz w:val="16"/>
                <w:szCs w:val="16"/>
                <w:lang w:val="en-US" w:eastAsia="de-DE"/>
              </w:rPr>
              <w:t>48 (50%)</w:t>
            </w:r>
          </w:p>
        </w:tc>
        <w:tc>
          <w:tcPr>
            <w:tcW w:w="794" w:type="dxa"/>
          </w:tcPr>
          <w:p w14:paraId="2EB750AA" w14:textId="77777777" w:rsidR="00E539FA" w:rsidRDefault="00E539FA" w:rsidP="00BD714C">
            <w:pPr>
              <w:spacing w:after="0" w:line="240" w:lineRule="auto"/>
              <w:jc w:val="center"/>
              <w:rPr>
                <w:rFonts w:ascii="Times New Roman" w:eastAsia="Times New Roman" w:hAnsi="Times New Roman" w:cs="Times New Roman"/>
                <w:color w:val="000000"/>
                <w:sz w:val="16"/>
                <w:szCs w:val="16"/>
                <w:lang w:val="en-US" w:eastAsia="de-DE"/>
              </w:rPr>
            </w:pPr>
            <w:r>
              <w:rPr>
                <w:rFonts w:ascii="Times New Roman" w:eastAsia="Times New Roman" w:hAnsi="Times New Roman" w:cs="Times New Roman"/>
                <w:sz w:val="16"/>
                <w:szCs w:val="16"/>
                <w:lang w:val="en-US" w:eastAsia="de-DE"/>
              </w:rPr>
              <w:t>2 (33%)</w:t>
            </w:r>
          </w:p>
        </w:tc>
        <w:tc>
          <w:tcPr>
            <w:tcW w:w="1531" w:type="dxa"/>
          </w:tcPr>
          <w:p w14:paraId="499E4A1F" w14:textId="77777777" w:rsidR="00E539FA" w:rsidRDefault="00E539FA" w:rsidP="00BD714C">
            <w:pPr>
              <w:spacing w:after="0" w:line="240" w:lineRule="auto"/>
              <w:jc w:val="center"/>
              <w:rPr>
                <w:rFonts w:ascii="Times New Roman" w:eastAsia="Times New Roman" w:hAnsi="Times New Roman" w:cs="Times New Roman"/>
                <w:color w:val="000000"/>
                <w:sz w:val="16"/>
                <w:szCs w:val="16"/>
                <w:lang w:val="en-US" w:eastAsia="de-DE"/>
              </w:rPr>
            </w:pPr>
            <w:r>
              <w:rPr>
                <w:rFonts w:ascii="Times New Roman" w:eastAsia="Times New Roman" w:hAnsi="Times New Roman" w:cs="Times New Roman"/>
                <w:color w:val="000000"/>
                <w:sz w:val="16"/>
                <w:szCs w:val="16"/>
                <w:lang w:val="en-US" w:eastAsia="de-DE"/>
              </w:rPr>
              <w:t>34 (52%)</w:t>
            </w:r>
          </w:p>
        </w:tc>
        <w:tc>
          <w:tcPr>
            <w:tcW w:w="1701" w:type="dxa"/>
          </w:tcPr>
          <w:p w14:paraId="588E6239" w14:textId="77777777" w:rsidR="00E539FA" w:rsidRDefault="00E539FA" w:rsidP="00BD714C">
            <w:pPr>
              <w:spacing w:after="0" w:line="240" w:lineRule="auto"/>
              <w:jc w:val="center"/>
              <w:rPr>
                <w:rFonts w:ascii="Times New Roman" w:eastAsia="Times New Roman" w:hAnsi="Times New Roman" w:cs="Times New Roman"/>
                <w:color w:val="000000"/>
                <w:sz w:val="16"/>
                <w:szCs w:val="16"/>
                <w:lang w:val="en-US" w:eastAsia="de-DE"/>
              </w:rPr>
            </w:pPr>
            <w:r>
              <w:rPr>
                <w:rFonts w:ascii="Times New Roman" w:eastAsia="Times New Roman" w:hAnsi="Times New Roman" w:cs="Times New Roman"/>
                <w:color w:val="000000"/>
                <w:sz w:val="16"/>
                <w:szCs w:val="16"/>
                <w:lang w:val="en-US" w:eastAsia="de-DE"/>
              </w:rPr>
              <w:t>12 (48%)</w:t>
            </w:r>
          </w:p>
        </w:tc>
        <w:tc>
          <w:tcPr>
            <w:tcW w:w="950" w:type="dxa"/>
          </w:tcPr>
          <w:p w14:paraId="695B122D" w14:textId="77777777" w:rsidR="00E539FA" w:rsidRPr="003B7AF7" w:rsidRDefault="00E539FA" w:rsidP="00BD714C">
            <w:pPr>
              <w:spacing w:after="0" w:line="240" w:lineRule="auto"/>
              <w:jc w:val="center"/>
              <w:rPr>
                <w:rFonts w:ascii="Times New Roman" w:eastAsia="Times New Roman" w:hAnsi="Times New Roman" w:cs="Times New Roman"/>
                <w:sz w:val="16"/>
                <w:szCs w:val="16"/>
                <w:lang w:val="en-US" w:eastAsia="de-DE"/>
              </w:rPr>
            </w:pPr>
          </w:p>
        </w:tc>
      </w:tr>
      <w:tr w:rsidR="00E539FA" w:rsidRPr="00AC25E6" w14:paraId="58CA2980" w14:textId="77777777" w:rsidTr="00BD714C">
        <w:trPr>
          <w:trHeight w:val="33"/>
          <w:jc w:val="center"/>
        </w:trPr>
        <w:tc>
          <w:tcPr>
            <w:tcW w:w="2381" w:type="dxa"/>
            <w:shd w:val="clear" w:color="auto" w:fill="auto"/>
            <w:noWrap/>
            <w:vAlign w:val="center"/>
          </w:tcPr>
          <w:p w14:paraId="3EB82426" w14:textId="77777777" w:rsidR="00E539FA" w:rsidRDefault="00E539FA" w:rsidP="00BD714C">
            <w:pPr>
              <w:spacing w:after="0" w:line="240" w:lineRule="auto"/>
              <w:rPr>
                <w:rFonts w:ascii="Times New Roman" w:eastAsia="Times New Roman" w:hAnsi="Times New Roman" w:cs="Times New Roman"/>
                <w:bCs/>
                <w:color w:val="000000"/>
                <w:sz w:val="16"/>
                <w:szCs w:val="16"/>
                <w:lang w:val="en-US" w:eastAsia="de-DE"/>
              </w:rPr>
            </w:pPr>
            <w:r>
              <w:rPr>
                <w:rFonts w:ascii="Times New Roman" w:eastAsia="Times New Roman" w:hAnsi="Times New Roman" w:cs="Times New Roman"/>
                <w:bCs/>
                <w:color w:val="000000"/>
                <w:sz w:val="16"/>
                <w:szCs w:val="16"/>
                <w:lang w:val="en-US" w:eastAsia="de-DE"/>
              </w:rPr>
              <w:tab/>
              <w:t>&gt;52 years</w:t>
            </w:r>
          </w:p>
        </w:tc>
        <w:tc>
          <w:tcPr>
            <w:tcW w:w="995" w:type="dxa"/>
            <w:shd w:val="clear" w:color="auto" w:fill="auto"/>
            <w:noWrap/>
            <w:vAlign w:val="bottom"/>
          </w:tcPr>
          <w:p w14:paraId="394FA976" w14:textId="77777777" w:rsidR="00E539FA" w:rsidRDefault="00E539FA" w:rsidP="00BD714C">
            <w:pPr>
              <w:spacing w:after="0" w:line="240" w:lineRule="auto"/>
              <w:jc w:val="center"/>
              <w:rPr>
                <w:rFonts w:ascii="Times New Roman" w:eastAsia="Times New Roman" w:hAnsi="Times New Roman" w:cs="Times New Roman"/>
                <w:color w:val="000000"/>
                <w:sz w:val="16"/>
                <w:szCs w:val="16"/>
                <w:lang w:val="en-US" w:eastAsia="de-DE"/>
              </w:rPr>
            </w:pPr>
            <w:r>
              <w:rPr>
                <w:rFonts w:ascii="Times New Roman" w:eastAsia="Times New Roman" w:hAnsi="Times New Roman" w:cs="Times New Roman"/>
                <w:color w:val="000000"/>
                <w:sz w:val="16"/>
                <w:szCs w:val="16"/>
                <w:lang w:val="en-US" w:eastAsia="de-DE"/>
              </w:rPr>
              <w:t>48 (50%)</w:t>
            </w:r>
          </w:p>
        </w:tc>
        <w:tc>
          <w:tcPr>
            <w:tcW w:w="794" w:type="dxa"/>
          </w:tcPr>
          <w:p w14:paraId="4024DDAC" w14:textId="77777777" w:rsidR="00E539FA" w:rsidRDefault="00E539FA" w:rsidP="00BD714C">
            <w:pPr>
              <w:spacing w:after="0" w:line="240" w:lineRule="auto"/>
              <w:jc w:val="center"/>
              <w:rPr>
                <w:rFonts w:ascii="Times New Roman" w:eastAsia="Times New Roman" w:hAnsi="Times New Roman" w:cs="Times New Roman"/>
                <w:color w:val="000000"/>
                <w:sz w:val="16"/>
                <w:szCs w:val="16"/>
                <w:lang w:val="en-US" w:eastAsia="de-DE"/>
              </w:rPr>
            </w:pPr>
            <w:r>
              <w:rPr>
                <w:rFonts w:ascii="Times New Roman" w:eastAsia="Times New Roman" w:hAnsi="Times New Roman" w:cs="Times New Roman"/>
                <w:sz w:val="16"/>
                <w:szCs w:val="16"/>
                <w:lang w:val="en-US" w:eastAsia="de-DE"/>
              </w:rPr>
              <w:t>4 (67%)</w:t>
            </w:r>
          </w:p>
        </w:tc>
        <w:tc>
          <w:tcPr>
            <w:tcW w:w="1531" w:type="dxa"/>
          </w:tcPr>
          <w:p w14:paraId="6158E61A" w14:textId="77777777" w:rsidR="00E539FA" w:rsidRDefault="00E539FA" w:rsidP="00BD714C">
            <w:pPr>
              <w:spacing w:after="0" w:line="240" w:lineRule="auto"/>
              <w:jc w:val="center"/>
              <w:rPr>
                <w:rFonts w:ascii="Times New Roman" w:eastAsia="Times New Roman" w:hAnsi="Times New Roman" w:cs="Times New Roman"/>
                <w:color w:val="000000"/>
                <w:sz w:val="16"/>
                <w:szCs w:val="16"/>
                <w:lang w:val="en-US" w:eastAsia="de-DE"/>
              </w:rPr>
            </w:pPr>
            <w:r>
              <w:rPr>
                <w:rFonts w:ascii="Times New Roman" w:eastAsia="Times New Roman" w:hAnsi="Times New Roman" w:cs="Times New Roman"/>
                <w:color w:val="000000"/>
                <w:sz w:val="16"/>
                <w:szCs w:val="16"/>
                <w:lang w:val="en-US" w:eastAsia="de-DE"/>
              </w:rPr>
              <w:t>31 (48%)</w:t>
            </w:r>
          </w:p>
        </w:tc>
        <w:tc>
          <w:tcPr>
            <w:tcW w:w="1701" w:type="dxa"/>
          </w:tcPr>
          <w:p w14:paraId="2A804C63" w14:textId="77777777" w:rsidR="00E539FA" w:rsidRDefault="00E539FA" w:rsidP="00BD714C">
            <w:pPr>
              <w:spacing w:after="0" w:line="240" w:lineRule="auto"/>
              <w:jc w:val="center"/>
              <w:rPr>
                <w:rFonts w:ascii="Times New Roman" w:eastAsia="Times New Roman" w:hAnsi="Times New Roman" w:cs="Times New Roman"/>
                <w:color w:val="000000"/>
                <w:sz w:val="16"/>
                <w:szCs w:val="16"/>
                <w:lang w:val="en-US" w:eastAsia="de-DE"/>
              </w:rPr>
            </w:pPr>
            <w:r>
              <w:rPr>
                <w:rFonts w:ascii="Times New Roman" w:eastAsia="Times New Roman" w:hAnsi="Times New Roman" w:cs="Times New Roman"/>
                <w:color w:val="000000"/>
                <w:sz w:val="16"/>
                <w:szCs w:val="16"/>
                <w:lang w:val="en-US" w:eastAsia="de-DE"/>
              </w:rPr>
              <w:t>13 (52%)</w:t>
            </w:r>
          </w:p>
        </w:tc>
        <w:tc>
          <w:tcPr>
            <w:tcW w:w="950" w:type="dxa"/>
          </w:tcPr>
          <w:p w14:paraId="16FF3CBF" w14:textId="77777777" w:rsidR="00E539FA" w:rsidRPr="003B7AF7" w:rsidRDefault="00E539FA" w:rsidP="00BD714C">
            <w:pPr>
              <w:spacing w:after="0" w:line="240" w:lineRule="auto"/>
              <w:jc w:val="center"/>
              <w:rPr>
                <w:rFonts w:ascii="Times New Roman" w:eastAsia="Times New Roman" w:hAnsi="Times New Roman" w:cs="Times New Roman"/>
                <w:sz w:val="16"/>
                <w:szCs w:val="16"/>
                <w:lang w:val="en-US" w:eastAsia="de-DE"/>
              </w:rPr>
            </w:pPr>
          </w:p>
        </w:tc>
      </w:tr>
      <w:tr w:rsidR="00452352" w:rsidRPr="00452352" w14:paraId="783CD39D" w14:textId="77777777" w:rsidTr="00BD714C">
        <w:trPr>
          <w:trHeight w:val="33"/>
          <w:jc w:val="center"/>
        </w:trPr>
        <w:tc>
          <w:tcPr>
            <w:tcW w:w="2381" w:type="dxa"/>
            <w:shd w:val="clear" w:color="auto" w:fill="F2F2F2" w:themeFill="background1" w:themeFillShade="F2"/>
            <w:noWrap/>
            <w:vAlign w:val="center"/>
          </w:tcPr>
          <w:p w14:paraId="5EA70397" w14:textId="77777777" w:rsidR="00E539FA" w:rsidRPr="00452352" w:rsidRDefault="00E539FA" w:rsidP="00BD714C">
            <w:pPr>
              <w:spacing w:after="0" w:line="240" w:lineRule="auto"/>
              <w:rPr>
                <w:rFonts w:ascii="Times New Roman" w:eastAsia="Times New Roman" w:hAnsi="Times New Roman" w:cs="Times New Roman"/>
                <w:b/>
                <w:color w:val="000000" w:themeColor="text1"/>
                <w:sz w:val="16"/>
                <w:szCs w:val="16"/>
                <w:lang w:val="en-US" w:eastAsia="de-DE"/>
              </w:rPr>
            </w:pPr>
            <w:r w:rsidRPr="00452352">
              <w:rPr>
                <w:rFonts w:ascii="Times New Roman" w:hAnsi="Times New Roman" w:cs="Times New Roman"/>
                <w:b/>
                <w:color w:val="000000" w:themeColor="text1"/>
                <w:sz w:val="16"/>
                <w:szCs w:val="16"/>
                <w:lang w:val="en-US"/>
              </w:rPr>
              <w:t>Arterial hypertension</w:t>
            </w:r>
          </w:p>
        </w:tc>
        <w:tc>
          <w:tcPr>
            <w:tcW w:w="995" w:type="dxa"/>
            <w:shd w:val="clear" w:color="auto" w:fill="F2F2F2" w:themeFill="background1" w:themeFillShade="F2"/>
            <w:noWrap/>
            <w:vAlign w:val="center"/>
          </w:tcPr>
          <w:p w14:paraId="4841ADDE" w14:textId="77777777" w:rsidR="00E539FA" w:rsidRPr="00452352" w:rsidRDefault="00E539FA" w:rsidP="00BD714C">
            <w:pPr>
              <w:spacing w:after="0" w:line="240" w:lineRule="auto"/>
              <w:jc w:val="center"/>
              <w:rPr>
                <w:rFonts w:ascii="Times New Roman" w:eastAsia="Times New Roman" w:hAnsi="Times New Roman" w:cs="Times New Roman"/>
                <w:color w:val="000000" w:themeColor="text1"/>
                <w:sz w:val="16"/>
                <w:szCs w:val="16"/>
                <w:lang w:val="en-US" w:eastAsia="de-DE"/>
              </w:rPr>
            </w:pPr>
          </w:p>
        </w:tc>
        <w:tc>
          <w:tcPr>
            <w:tcW w:w="794" w:type="dxa"/>
            <w:shd w:val="clear" w:color="auto" w:fill="F2F2F2" w:themeFill="background1" w:themeFillShade="F2"/>
          </w:tcPr>
          <w:p w14:paraId="1AB7FAB6" w14:textId="77777777" w:rsidR="00E539FA" w:rsidRPr="00452352" w:rsidRDefault="00E539FA" w:rsidP="00BD714C">
            <w:pPr>
              <w:spacing w:after="0" w:line="240" w:lineRule="auto"/>
              <w:jc w:val="center"/>
              <w:rPr>
                <w:rFonts w:ascii="Times New Roman" w:eastAsia="Times New Roman" w:hAnsi="Times New Roman" w:cs="Times New Roman"/>
                <w:color w:val="000000" w:themeColor="text1"/>
                <w:sz w:val="16"/>
                <w:szCs w:val="16"/>
                <w:lang w:val="en-US" w:eastAsia="de-DE"/>
              </w:rPr>
            </w:pPr>
          </w:p>
        </w:tc>
        <w:tc>
          <w:tcPr>
            <w:tcW w:w="1531" w:type="dxa"/>
            <w:shd w:val="clear" w:color="auto" w:fill="F2F2F2" w:themeFill="background1" w:themeFillShade="F2"/>
          </w:tcPr>
          <w:p w14:paraId="1F19E286" w14:textId="77777777" w:rsidR="00E539FA" w:rsidRPr="00452352" w:rsidRDefault="00E539FA" w:rsidP="00BD714C">
            <w:pPr>
              <w:spacing w:after="0" w:line="240" w:lineRule="auto"/>
              <w:jc w:val="center"/>
              <w:rPr>
                <w:rFonts w:ascii="Times New Roman" w:eastAsia="Times New Roman" w:hAnsi="Times New Roman" w:cs="Times New Roman"/>
                <w:color w:val="000000" w:themeColor="text1"/>
                <w:sz w:val="16"/>
                <w:szCs w:val="16"/>
                <w:lang w:val="en-US" w:eastAsia="de-DE"/>
              </w:rPr>
            </w:pPr>
          </w:p>
        </w:tc>
        <w:tc>
          <w:tcPr>
            <w:tcW w:w="1701" w:type="dxa"/>
            <w:shd w:val="clear" w:color="auto" w:fill="F2F2F2" w:themeFill="background1" w:themeFillShade="F2"/>
          </w:tcPr>
          <w:p w14:paraId="3F13F051" w14:textId="77777777" w:rsidR="00E539FA" w:rsidRPr="00452352" w:rsidRDefault="00E539FA" w:rsidP="00BD714C">
            <w:pPr>
              <w:spacing w:after="0" w:line="240" w:lineRule="auto"/>
              <w:jc w:val="center"/>
              <w:rPr>
                <w:rFonts w:ascii="Times New Roman" w:eastAsia="Times New Roman" w:hAnsi="Times New Roman" w:cs="Times New Roman"/>
                <w:color w:val="000000" w:themeColor="text1"/>
                <w:sz w:val="16"/>
                <w:szCs w:val="16"/>
                <w:lang w:val="en-US" w:eastAsia="de-DE"/>
              </w:rPr>
            </w:pPr>
          </w:p>
        </w:tc>
        <w:tc>
          <w:tcPr>
            <w:tcW w:w="950" w:type="dxa"/>
            <w:shd w:val="clear" w:color="auto" w:fill="F2F2F2" w:themeFill="background1" w:themeFillShade="F2"/>
          </w:tcPr>
          <w:p w14:paraId="7AF731C2" w14:textId="448EDEA6" w:rsidR="00E539FA" w:rsidRPr="00452352" w:rsidRDefault="00E539FA" w:rsidP="00BD714C">
            <w:pPr>
              <w:spacing w:after="0" w:line="240" w:lineRule="auto"/>
              <w:jc w:val="center"/>
              <w:rPr>
                <w:rFonts w:ascii="Times New Roman" w:eastAsia="Times New Roman" w:hAnsi="Times New Roman" w:cs="Times New Roman"/>
                <w:color w:val="000000" w:themeColor="text1"/>
                <w:sz w:val="16"/>
                <w:szCs w:val="16"/>
                <w:lang w:val="en-US" w:eastAsia="de-DE"/>
              </w:rPr>
            </w:pPr>
            <w:r w:rsidRPr="00452352">
              <w:rPr>
                <w:rFonts w:ascii="Times New Roman" w:hAnsi="Times New Roman" w:cs="Times New Roman"/>
                <w:color w:val="000000" w:themeColor="text1"/>
                <w:sz w:val="16"/>
                <w:szCs w:val="16"/>
                <w:lang w:val="en-US"/>
              </w:rPr>
              <w:t>0.</w:t>
            </w:r>
            <w:r w:rsidR="00205D44" w:rsidRPr="00452352">
              <w:rPr>
                <w:rFonts w:ascii="Times New Roman" w:hAnsi="Times New Roman" w:cs="Times New Roman"/>
                <w:color w:val="000000" w:themeColor="text1"/>
                <w:sz w:val="16"/>
                <w:szCs w:val="16"/>
                <w:lang w:val="en-US"/>
              </w:rPr>
              <w:t>215</w:t>
            </w:r>
          </w:p>
        </w:tc>
      </w:tr>
      <w:tr w:rsidR="00452352" w:rsidRPr="00452352" w14:paraId="3EA93B47" w14:textId="77777777" w:rsidTr="00BD714C">
        <w:trPr>
          <w:trHeight w:val="33"/>
          <w:jc w:val="center"/>
        </w:trPr>
        <w:tc>
          <w:tcPr>
            <w:tcW w:w="2381" w:type="dxa"/>
            <w:shd w:val="clear" w:color="auto" w:fill="auto"/>
            <w:noWrap/>
            <w:vAlign w:val="center"/>
          </w:tcPr>
          <w:p w14:paraId="508F1CDA" w14:textId="77777777" w:rsidR="00E539FA" w:rsidRPr="00452352" w:rsidRDefault="00E539FA" w:rsidP="00BD714C">
            <w:pPr>
              <w:spacing w:after="0" w:line="240" w:lineRule="auto"/>
              <w:rPr>
                <w:rFonts w:ascii="Times New Roman" w:eastAsia="Times New Roman" w:hAnsi="Times New Roman" w:cs="Times New Roman"/>
                <w:color w:val="000000" w:themeColor="text1"/>
                <w:sz w:val="16"/>
                <w:szCs w:val="16"/>
                <w:lang w:val="en-US" w:eastAsia="de-DE"/>
              </w:rPr>
            </w:pPr>
            <w:r w:rsidRPr="00452352">
              <w:rPr>
                <w:rFonts w:ascii="Times New Roman" w:eastAsia="Times New Roman" w:hAnsi="Times New Roman" w:cs="Times New Roman"/>
                <w:color w:val="000000" w:themeColor="text1"/>
                <w:sz w:val="16"/>
                <w:szCs w:val="16"/>
                <w:lang w:val="en-US" w:eastAsia="de-DE"/>
              </w:rPr>
              <w:tab/>
              <w:t>No</w:t>
            </w:r>
          </w:p>
        </w:tc>
        <w:tc>
          <w:tcPr>
            <w:tcW w:w="995" w:type="dxa"/>
            <w:shd w:val="clear" w:color="auto" w:fill="auto"/>
            <w:noWrap/>
            <w:vAlign w:val="bottom"/>
          </w:tcPr>
          <w:p w14:paraId="1D52C9EA" w14:textId="77777777" w:rsidR="00E539FA" w:rsidRPr="00452352" w:rsidRDefault="00E539FA" w:rsidP="00BD714C">
            <w:pPr>
              <w:spacing w:after="0" w:line="240" w:lineRule="auto"/>
              <w:jc w:val="center"/>
              <w:rPr>
                <w:rFonts w:ascii="Times New Roman" w:eastAsia="Times New Roman" w:hAnsi="Times New Roman" w:cs="Times New Roman"/>
                <w:color w:val="000000" w:themeColor="text1"/>
                <w:sz w:val="16"/>
                <w:szCs w:val="16"/>
                <w:lang w:val="en-US" w:eastAsia="de-DE"/>
              </w:rPr>
            </w:pPr>
            <w:r w:rsidRPr="00452352">
              <w:rPr>
                <w:rFonts w:ascii="Times New Roman" w:hAnsi="Times New Roman" w:cs="Times New Roman"/>
                <w:color w:val="000000" w:themeColor="text1"/>
                <w:sz w:val="16"/>
                <w:szCs w:val="16"/>
                <w:lang w:val="en-US"/>
              </w:rPr>
              <w:t>61(63.5%)</w:t>
            </w:r>
          </w:p>
        </w:tc>
        <w:tc>
          <w:tcPr>
            <w:tcW w:w="794" w:type="dxa"/>
          </w:tcPr>
          <w:p w14:paraId="0C18CD02" w14:textId="2E167714" w:rsidR="00E539FA" w:rsidRPr="00452352" w:rsidRDefault="00205D44" w:rsidP="00BD714C">
            <w:pPr>
              <w:spacing w:after="0" w:line="240" w:lineRule="auto"/>
              <w:jc w:val="center"/>
              <w:rPr>
                <w:rFonts w:ascii="Times New Roman" w:eastAsia="Times New Roman" w:hAnsi="Times New Roman" w:cs="Times New Roman"/>
                <w:color w:val="000000" w:themeColor="text1"/>
                <w:sz w:val="16"/>
                <w:szCs w:val="16"/>
                <w:lang w:val="en-US" w:eastAsia="de-DE"/>
              </w:rPr>
            </w:pPr>
            <w:r w:rsidRPr="00452352">
              <w:rPr>
                <w:rFonts w:ascii="Times New Roman" w:hAnsi="Times New Roman" w:cs="Times New Roman"/>
                <w:color w:val="000000" w:themeColor="text1"/>
                <w:sz w:val="16"/>
                <w:szCs w:val="16"/>
                <w:lang w:val="en-US"/>
              </w:rPr>
              <w:t>5</w:t>
            </w:r>
            <w:r w:rsidR="00E539FA" w:rsidRPr="00452352">
              <w:rPr>
                <w:rFonts w:ascii="Times New Roman" w:hAnsi="Times New Roman" w:cs="Times New Roman"/>
                <w:color w:val="000000" w:themeColor="text1"/>
                <w:sz w:val="16"/>
                <w:szCs w:val="16"/>
                <w:lang w:val="en-US"/>
              </w:rPr>
              <w:t xml:space="preserve"> (</w:t>
            </w:r>
            <w:r w:rsidRPr="00452352">
              <w:rPr>
                <w:rFonts w:ascii="Times New Roman" w:hAnsi="Times New Roman" w:cs="Times New Roman"/>
                <w:color w:val="000000" w:themeColor="text1"/>
                <w:sz w:val="16"/>
                <w:szCs w:val="16"/>
                <w:lang w:val="en-US"/>
              </w:rPr>
              <w:t>83.3</w:t>
            </w:r>
            <w:r w:rsidR="00E539FA" w:rsidRPr="00452352">
              <w:rPr>
                <w:rFonts w:ascii="Times New Roman" w:hAnsi="Times New Roman" w:cs="Times New Roman"/>
                <w:color w:val="000000" w:themeColor="text1"/>
                <w:sz w:val="16"/>
                <w:szCs w:val="16"/>
                <w:lang w:val="en-US"/>
              </w:rPr>
              <w:t>%)</w:t>
            </w:r>
          </w:p>
        </w:tc>
        <w:tc>
          <w:tcPr>
            <w:tcW w:w="1531" w:type="dxa"/>
            <w:vAlign w:val="bottom"/>
          </w:tcPr>
          <w:p w14:paraId="2E7D85A4" w14:textId="77777777" w:rsidR="00E539FA" w:rsidRPr="00452352" w:rsidRDefault="00E539FA" w:rsidP="00BD714C">
            <w:pPr>
              <w:spacing w:after="0" w:line="240" w:lineRule="auto"/>
              <w:jc w:val="center"/>
              <w:rPr>
                <w:rFonts w:ascii="Times New Roman" w:eastAsia="Times New Roman" w:hAnsi="Times New Roman" w:cs="Times New Roman"/>
                <w:color w:val="000000" w:themeColor="text1"/>
                <w:sz w:val="16"/>
                <w:szCs w:val="16"/>
                <w:lang w:val="en-US" w:eastAsia="de-DE"/>
              </w:rPr>
            </w:pPr>
            <w:r w:rsidRPr="00452352">
              <w:rPr>
                <w:rFonts w:ascii="Times New Roman" w:hAnsi="Times New Roman" w:cs="Times New Roman"/>
                <w:color w:val="000000" w:themeColor="text1"/>
                <w:sz w:val="16"/>
                <w:szCs w:val="16"/>
                <w:lang w:val="en-US"/>
              </w:rPr>
              <w:t>43 (66.2%)</w:t>
            </w:r>
          </w:p>
        </w:tc>
        <w:tc>
          <w:tcPr>
            <w:tcW w:w="1701" w:type="dxa"/>
            <w:vAlign w:val="bottom"/>
          </w:tcPr>
          <w:p w14:paraId="207CBC19" w14:textId="6B7146D9" w:rsidR="00E539FA" w:rsidRPr="00452352" w:rsidRDefault="00205D44" w:rsidP="00BD714C">
            <w:pPr>
              <w:spacing w:after="0" w:line="240" w:lineRule="auto"/>
              <w:jc w:val="center"/>
              <w:rPr>
                <w:rFonts w:ascii="Times New Roman" w:eastAsia="Times New Roman" w:hAnsi="Times New Roman" w:cs="Times New Roman"/>
                <w:color w:val="000000" w:themeColor="text1"/>
                <w:sz w:val="16"/>
                <w:szCs w:val="16"/>
                <w:lang w:val="en-US" w:eastAsia="de-DE"/>
              </w:rPr>
            </w:pPr>
            <w:r w:rsidRPr="00452352">
              <w:rPr>
                <w:rFonts w:ascii="Times New Roman" w:hAnsi="Times New Roman" w:cs="Times New Roman"/>
                <w:color w:val="000000" w:themeColor="text1"/>
                <w:sz w:val="16"/>
                <w:szCs w:val="16"/>
                <w:lang w:val="en-US"/>
              </w:rPr>
              <w:t>13</w:t>
            </w:r>
            <w:r w:rsidR="00E539FA" w:rsidRPr="00452352">
              <w:rPr>
                <w:rFonts w:ascii="Times New Roman" w:hAnsi="Times New Roman" w:cs="Times New Roman"/>
                <w:color w:val="000000" w:themeColor="text1"/>
                <w:sz w:val="16"/>
                <w:szCs w:val="16"/>
                <w:lang w:val="en-US"/>
              </w:rPr>
              <w:t xml:space="preserve"> (</w:t>
            </w:r>
            <w:r w:rsidRPr="00452352">
              <w:rPr>
                <w:rFonts w:ascii="Times New Roman" w:hAnsi="Times New Roman" w:cs="Times New Roman"/>
                <w:color w:val="000000" w:themeColor="text1"/>
                <w:sz w:val="16"/>
                <w:szCs w:val="16"/>
                <w:lang w:val="en-US"/>
              </w:rPr>
              <w:t>52</w:t>
            </w:r>
            <w:r w:rsidR="00E539FA" w:rsidRPr="00452352">
              <w:rPr>
                <w:rFonts w:ascii="Times New Roman" w:hAnsi="Times New Roman" w:cs="Times New Roman"/>
                <w:color w:val="000000" w:themeColor="text1"/>
                <w:sz w:val="16"/>
                <w:szCs w:val="16"/>
                <w:lang w:val="en-US"/>
              </w:rPr>
              <w:t>%)</w:t>
            </w:r>
          </w:p>
        </w:tc>
        <w:tc>
          <w:tcPr>
            <w:tcW w:w="950" w:type="dxa"/>
          </w:tcPr>
          <w:p w14:paraId="6C48C48D" w14:textId="77777777" w:rsidR="00E539FA" w:rsidRPr="00452352" w:rsidRDefault="00E539FA" w:rsidP="00BD714C">
            <w:pPr>
              <w:spacing w:after="0" w:line="240" w:lineRule="auto"/>
              <w:jc w:val="center"/>
              <w:rPr>
                <w:rFonts w:ascii="Times New Roman" w:eastAsia="Times New Roman" w:hAnsi="Times New Roman" w:cs="Times New Roman"/>
                <w:color w:val="000000" w:themeColor="text1"/>
                <w:sz w:val="16"/>
                <w:szCs w:val="16"/>
                <w:lang w:val="en-US" w:eastAsia="de-DE"/>
              </w:rPr>
            </w:pPr>
          </w:p>
        </w:tc>
      </w:tr>
      <w:tr w:rsidR="00452352" w:rsidRPr="00452352" w14:paraId="19BD433C" w14:textId="77777777" w:rsidTr="00BD714C">
        <w:trPr>
          <w:trHeight w:val="33"/>
          <w:jc w:val="center"/>
        </w:trPr>
        <w:tc>
          <w:tcPr>
            <w:tcW w:w="2381" w:type="dxa"/>
            <w:shd w:val="clear" w:color="auto" w:fill="auto"/>
            <w:noWrap/>
            <w:vAlign w:val="center"/>
          </w:tcPr>
          <w:p w14:paraId="7D53D58D" w14:textId="77777777" w:rsidR="00E539FA" w:rsidRPr="00452352" w:rsidRDefault="00E539FA" w:rsidP="00BD714C">
            <w:pPr>
              <w:spacing w:after="0" w:line="240" w:lineRule="auto"/>
              <w:rPr>
                <w:rFonts w:ascii="Times New Roman" w:eastAsia="Times New Roman" w:hAnsi="Times New Roman" w:cs="Times New Roman"/>
                <w:color w:val="000000" w:themeColor="text1"/>
                <w:sz w:val="16"/>
                <w:szCs w:val="16"/>
                <w:lang w:val="en-US" w:eastAsia="de-DE"/>
              </w:rPr>
            </w:pPr>
            <w:r w:rsidRPr="00452352">
              <w:rPr>
                <w:rFonts w:ascii="Times New Roman" w:eastAsia="Times New Roman" w:hAnsi="Times New Roman" w:cs="Times New Roman"/>
                <w:color w:val="000000" w:themeColor="text1"/>
                <w:sz w:val="16"/>
                <w:szCs w:val="16"/>
                <w:lang w:val="en-US" w:eastAsia="de-DE"/>
              </w:rPr>
              <w:tab/>
              <w:t>Yes</w:t>
            </w:r>
          </w:p>
        </w:tc>
        <w:tc>
          <w:tcPr>
            <w:tcW w:w="995" w:type="dxa"/>
            <w:shd w:val="clear" w:color="auto" w:fill="auto"/>
            <w:noWrap/>
            <w:vAlign w:val="bottom"/>
          </w:tcPr>
          <w:p w14:paraId="14347C5C" w14:textId="77777777" w:rsidR="00E539FA" w:rsidRPr="00452352" w:rsidRDefault="00E539FA" w:rsidP="00BD714C">
            <w:pPr>
              <w:spacing w:after="0" w:line="240" w:lineRule="auto"/>
              <w:jc w:val="center"/>
              <w:rPr>
                <w:rFonts w:ascii="Times New Roman" w:eastAsia="Times New Roman" w:hAnsi="Times New Roman" w:cs="Times New Roman"/>
                <w:color w:val="000000" w:themeColor="text1"/>
                <w:sz w:val="16"/>
                <w:szCs w:val="16"/>
                <w:lang w:val="en-US" w:eastAsia="de-DE"/>
              </w:rPr>
            </w:pPr>
            <w:r w:rsidRPr="00452352">
              <w:rPr>
                <w:rFonts w:ascii="Times New Roman" w:hAnsi="Times New Roman" w:cs="Times New Roman"/>
                <w:color w:val="000000" w:themeColor="text1"/>
                <w:sz w:val="16"/>
                <w:szCs w:val="16"/>
                <w:lang w:val="en-US"/>
              </w:rPr>
              <w:t>35 (36.5%)</w:t>
            </w:r>
          </w:p>
        </w:tc>
        <w:tc>
          <w:tcPr>
            <w:tcW w:w="794" w:type="dxa"/>
          </w:tcPr>
          <w:p w14:paraId="3C938BE5" w14:textId="6FE762B3" w:rsidR="00E539FA" w:rsidRPr="00452352" w:rsidRDefault="00205D44" w:rsidP="00BD714C">
            <w:pPr>
              <w:spacing w:after="0" w:line="240" w:lineRule="auto"/>
              <w:jc w:val="center"/>
              <w:rPr>
                <w:rFonts w:ascii="Times New Roman" w:eastAsia="Times New Roman" w:hAnsi="Times New Roman" w:cs="Times New Roman"/>
                <w:color w:val="000000" w:themeColor="text1"/>
                <w:sz w:val="16"/>
                <w:szCs w:val="16"/>
                <w:lang w:val="en-US" w:eastAsia="de-DE"/>
              </w:rPr>
            </w:pPr>
            <w:r w:rsidRPr="00452352">
              <w:rPr>
                <w:rFonts w:ascii="Times New Roman" w:hAnsi="Times New Roman" w:cs="Times New Roman"/>
                <w:color w:val="000000" w:themeColor="text1"/>
                <w:sz w:val="16"/>
                <w:szCs w:val="16"/>
                <w:lang w:val="en-US"/>
              </w:rPr>
              <w:t>1</w:t>
            </w:r>
            <w:r w:rsidR="00E539FA" w:rsidRPr="00452352">
              <w:rPr>
                <w:rFonts w:ascii="Times New Roman" w:hAnsi="Times New Roman" w:cs="Times New Roman"/>
                <w:color w:val="000000" w:themeColor="text1"/>
                <w:sz w:val="16"/>
                <w:szCs w:val="16"/>
                <w:lang w:val="en-US"/>
              </w:rPr>
              <w:t xml:space="preserve"> (</w:t>
            </w:r>
            <w:r w:rsidRPr="00452352">
              <w:rPr>
                <w:rFonts w:ascii="Times New Roman" w:hAnsi="Times New Roman" w:cs="Times New Roman"/>
                <w:color w:val="000000" w:themeColor="text1"/>
                <w:sz w:val="16"/>
                <w:szCs w:val="16"/>
                <w:lang w:val="en-US"/>
              </w:rPr>
              <w:t>16.7</w:t>
            </w:r>
            <w:r w:rsidR="00E539FA" w:rsidRPr="00452352">
              <w:rPr>
                <w:rFonts w:ascii="Times New Roman" w:hAnsi="Times New Roman" w:cs="Times New Roman"/>
                <w:color w:val="000000" w:themeColor="text1"/>
                <w:sz w:val="16"/>
                <w:szCs w:val="16"/>
                <w:lang w:val="en-US"/>
              </w:rPr>
              <w:t>%)</w:t>
            </w:r>
          </w:p>
        </w:tc>
        <w:tc>
          <w:tcPr>
            <w:tcW w:w="1531" w:type="dxa"/>
            <w:vAlign w:val="bottom"/>
          </w:tcPr>
          <w:p w14:paraId="036AAC0F" w14:textId="59CAB9C5" w:rsidR="00E539FA" w:rsidRPr="00452352" w:rsidRDefault="00E539FA" w:rsidP="00BD714C">
            <w:pPr>
              <w:spacing w:after="0" w:line="240" w:lineRule="auto"/>
              <w:jc w:val="center"/>
              <w:rPr>
                <w:rFonts w:ascii="Times New Roman" w:eastAsia="Times New Roman" w:hAnsi="Times New Roman" w:cs="Times New Roman"/>
                <w:color w:val="000000" w:themeColor="text1"/>
                <w:sz w:val="16"/>
                <w:szCs w:val="16"/>
                <w:lang w:val="en-US" w:eastAsia="de-DE"/>
              </w:rPr>
            </w:pPr>
            <w:r w:rsidRPr="00452352">
              <w:rPr>
                <w:rFonts w:ascii="Times New Roman" w:hAnsi="Times New Roman" w:cs="Times New Roman"/>
                <w:color w:val="000000" w:themeColor="text1"/>
                <w:sz w:val="16"/>
                <w:szCs w:val="16"/>
                <w:lang w:val="en-US"/>
              </w:rPr>
              <w:t>22</w:t>
            </w:r>
            <w:r w:rsidR="00205D44" w:rsidRPr="00452352">
              <w:rPr>
                <w:rFonts w:ascii="Times New Roman" w:hAnsi="Times New Roman" w:cs="Times New Roman"/>
                <w:color w:val="000000" w:themeColor="text1"/>
                <w:sz w:val="16"/>
                <w:szCs w:val="16"/>
                <w:lang w:val="en-US"/>
              </w:rPr>
              <w:t xml:space="preserve"> </w:t>
            </w:r>
            <w:r w:rsidRPr="00452352">
              <w:rPr>
                <w:rFonts w:ascii="Times New Roman" w:hAnsi="Times New Roman" w:cs="Times New Roman"/>
                <w:color w:val="000000" w:themeColor="text1"/>
                <w:sz w:val="16"/>
                <w:szCs w:val="16"/>
                <w:lang w:val="en-US"/>
              </w:rPr>
              <w:t>(33.8%)</w:t>
            </w:r>
          </w:p>
        </w:tc>
        <w:tc>
          <w:tcPr>
            <w:tcW w:w="1701" w:type="dxa"/>
            <w:vAlign w:val="bottom"/>
          </w:tcPr>
          <w:p w14:paraId="2E576316" w14:textId="0AAC9941" w:rsidR="00E539FA" w:rsidRPr="00452352" w:rsidRDefault="00E539FA" w:rsidP="00BD714C">
            <w:pPr>
              <w:spacing w:after="0" w:line="240" w:lineRule="auto"/>
              <w:jc w:val="center"/>
              <w:rPr>
                <w:rFonts w:ascii="Times New Roman" w:eastAsia="Times New Roman" w:hAnsi="Times New Roman" w:cs="Times New Roman"/>
                <w:color w:val="000000" w:themeColor="text1"/>
                <w:sz w:val="16"/>
                <w:szCs w:val="16"/>
                <w:lang w:val="en-US" w:eastAsia="de-DE"/>
              </w:rPr>
            </w:pPr>
            <w:r w:rsidRPr="00452352">
              <w:rPr>
                <w:rFonts w:ascii="Times New Roman" w:hAnsi="Times New Roman" w:cs="Times New Roman"/>
                <w:color w:val="000000" w:themeColor="text1"/>
                <w:sz w:val="16"/>
                <w:szCs w:val="16"/>
                <w:lang w:val="en-US"/>
              </w:rPr>
              <w:t>1</w:t>
            </w:r>
            <w:r w:rsidR="00205D44" w:rsidRPr="00452352">
              <w:rPr>
                <w:rFonts w:ascii="Times New Roman" w:hAnsi="Times New Roman" w:cs="Times New Roman"/>
                <w:color w:val="000000" w:themeColor="text1"/>
                <w:sz w:val="16"/>
                <w:szCs w:val="16"/>
                <w:lang w:val="en-US"/>
              </w:rPr>
              <w:t xml:space="preserve">2 </w:t>
            </w:r>
            <w:r w:rsidRPr="00452352">
              <w:rPr>
                <w:rFonts w:ascii="Times New Roman" w:hAnsi="Times New Roman" w:cs="Times New Roman"/>
                <w:color w:val="000000" w:themeColor="text1"/>
                <w:sz w:val="16"/>
                <w:szCs w:val="16"/>
                <w:lang w:val="en-US"/>
              </w:rPr>
              <w:t>(</w:t>
            </w:r>
            <w:r w:rsidR="00205D44" w:rsidRPr="00452352">
              <w:rPr>
                <w:rFonts w:ascii="Times New Roman" w:hAnsi="Times New Roman" w:cs="Times New Roman"/>
                <w:color w:val="000000" w:themeColor="text1"/>
                <w:sz w:val="16"/>
                <w:szCs w:val="16"/>
                <w:lang w:val="en-US"/>
              </w:rPr>
              <w:t>48</w:t>
            </w:r>
            <w:r w:rsidRPr="00452352">
              <w:rPr>
                <w:rFonts w:ascii="Times New Roman" w:hAnsi="Times New Roman" w:cs="Times New Roman"/>
                <w:color w:val="000000" w:themeColor="text1"/>
                <w:sz w:val="16"/>
                <w:szCs w:val="16"/>
                <w:lang w:val="en-US"/>
              </w:rPr>
              <w:t>%)</w:t>
            </w:r>
          </w:p>
        </w:tc>
        <w:tc>
          <w:tcPr>
            <w:tcW w:w="950" w:type="dxa"/>
          </w:tcPr>
          <w:p w14:paraId="69812033" w14:textId="77777777" w:rsidR="00E539FA" w:rsidRPr="00452352" w:rsidRDefault="00E539FA" w:rsidP="00BD714C">
            <w:pPr>
              <w:spacing w:after="0" w:line="240" w:lineRule="auto"/>
              <w:jc w:val="center"/>
              <w:rPr>
                <w:rFonts w:ascii="Times New Roman" w:eastAsia="Times New Roman" w:hAnsi="Times New Roman" w:cs="Times New Roman"/>
                <w:color w:val="000000" w:themeColor="text1"/>
                <w:sz w:val="16"/>
                <w:szCs w:val="16"/>
                <w:lang w:val="en-US" w:eastAsia="de-DE"/>
              </w:rPr>
            </w:pPr>
          </w:p>
        </w:tc>
      </w:tr>
      <w:tr w:rsidR="00E539FA" w:rsidRPr="00AC25E6" w14:paraId="51F30348" w14:textId="77777777" w:rsidTr="00BD714C">
        <w:trPr>
          <w:trHeight w:val="33"/>
          <w:jc w:val="center"/>
        </w:trPr>
        <w:tc>
          <w:tcPr>
            <w:tcW w:w="2381" w:type="dxa"/>
            <w:shd w:val="clear" w:color="auto" w:fill="F2F2F2" w:themeFill="background1" w:themeFillShade="F2"/>
            <w:noWrap/>
            <w:vAlign w:val="center"/>
          </w:tcPr>
          <w:p w14:paraId="0CC90E32" w14:textId="77777777" w:rsidR="00E539FA" w:rsidRPr="00825F42" w:rsidRDefault="00E539FA" w:rsidP="00BD714C">
            <w:pPr>
              <w:spacing w:after="0" w:line="240" w:lineRule="auto"/>
              <w:rPr>
                <w:rFonts w:ascii="Times New Roman" w:eastAsia="Times New Roman" w:hAnsi="Times New Roman" w:cs="Times New Roman"/>
                <w:bCs/>
                <w:color w:val="000000"/>
                <w:sz w:val="16"/>
                <w:szCs w:val="16"/>
                <w:lang w:val="en-US" w:eastAsia="de-DE"/>
              </w:rPr>
            </w:pPr>
            <w:r>
              <w:rPr>
                <w:rFonts w:ascii="Times New Roman" w:eastAsia="Times New Roman" w:hAnsi="Times New Roman" w:cs="Times New Roman"/>
                <w:b/>
                <w:bCs/>
                <w:color w:val="000000"/>
                <w:sz w:val="16"/>
                <w:szCs w:val="16"/>
                <w:lang w:val="en-US" w:eastAsia="de-DE"/>
              </w:rPr>
              <w:t>Smoker</w:t>
            </w:r>
          </w:p>
        </w:tc>
        <w:tc>
          <w:tcPr>
            <w:tcW w:w="995" w:type="dxa"/>
            <w:shd w:val="clear" w:color="auto" w:fill="F2F2F2" w:themeFill="background1" w:themeFillShade="F2"/>
            <w:noWrap/>
            <w:vAlign w:val="center"/>
          </w:tcPr>
          <w:p w14:paraId="18324CE3" w14:textId="77777777" w:rsidR="00E539FA" w:rsidRDefault="00E539FA" w:rsidP="00BD714C">
            <w:pPr>
              <w:spacing w:after="0" w:line="240" w:lineRule="auto"/>
              <w:jc w:val="center"/>
              <w:rPr>
                <w:rFonts w:ascii="Times New Roman" w:eastAsia="Times New Roman" w:hAnsi="Times New Roman" w:cs="Times New Roman"/>
                <w:color w:val="000000"/>
                <w:sz w:val="16"/>
                <w:szCs w:val="16"/>
                <w:lang w:val="en-US" w:eastAsia="de-DE"/>
              </w:rPr>
            </w:pPr>
          </w:p>
        </w:tc>
        <w:tc>
          <w:tcPr>
            <w:tcW w:w="794" w:type="dxa"/>
            <w:shd w:val="clear" w:color="auto" w:fill="F2F2F2" w:themeFill="background1" w:themeFillShade="F2"/>
          </w:tcPr>
          <w:p w14:paraId="5CBC6732" w14:textId="77777777" w:rsidR="00E539FA" w:rsidRPr="003B7AF7" w:rsidRDefault="00E539FA" w:rsidP="00BD714C">
            <w:pPr>
              <w:spacing w:after="0" w:line="240" w:lineRule="auto"/>
              <w:jc w:val="center"/>
              <w:rPr>
                <w:rFonts w:ascii="Times New Roman" w:eastAsia="Times New Roman" w:hAnsi="Times New Roman" w:cs="Times New Roman"/>
                <w:sz w:val="16"/>
                <w:szCs w:val="16"/>
                <w:lang w:val="en-US" w:eastAsia="de-DE"/>
              </w:rPr>
            </w:pPr>
          </w:p>
        </w:tc>
        <w:tc>
          <w:tcPr>
            <w:tcW w:w="1531" w:type="dxa"/>
            <w:shd w:val="clear" w:color="auto" w:fill="F2F2F2" w:themeFill="background1" w:themeFillShade="F2"/>
          </w:tcPr>
          <w:p w14:paraId="42CFD4FC" w14:textId="77777777" w:rsidR="00E539FA" w:rsidRPr="003B7AF7" w:rsidRDefault="00E539FA" w:rsidP="00BD714C">
            <w:pPr>
              <w:spacing w:after="0" w:line="240" w:lineRule="auto"/>
              <w:jc w:val="center"/>
              <w:rPr>
                <w:rFonts w:ascii="Times New Roman" w:eastAsia="Times New Roman" w:hAnsi="Times New Roman" w:cs="Times New Roman"/>
                <w:sz w:val="16"/>
                <w:szCs w:val="16"/>
                <w:lang w:val="en-US" w:eastAsia="de-DE"/>
              </w:rPr>
            </w:pPr>
          </w:p>
        </w:tc>
        <w:tc>
          <w:tcPr>
            <w:tcW w:w="1701" w:type="dxa"/>
            <w:shd w:val="clear" w:color="auto" w:fill="F2F2F2" w:themeFill="background1" w:themeFillShade="F2"/>
          </w:tcPr>
          <w:p w14:paraId="3A2AAFFF" w14:textId="77777777" w:rsidR="00E539FA" w:rsidRPr="003B7AF7" w:rsidRDefault="00E539FA" w:rsidP="00BD714C">
            <w:pPr>
              <w:spacing w:after="0" w:line="240" w:lineRule="auto"/>
              <w:jc w:val="center"/>
              <w:rPr>
                <w:rFonts w:ascii="Times New Roman" w:eastAsia="Times New Roman" w:hAnsi="Times New Roman" w:cs="Times New Roman"/>
                <w:sz w:val="16"/>
                <w:szCs w:val="16"/>
                <w:lang w:val="en-US" w:eastAsia="de-DE"/>
              </w:rPr>
            </w:pPr>
          </w:p>
        </w:tc>
        <w:tc>
          <w:tcPr>
            <w:tcW w:w="950" w:type="dxa"/>
            <w:shd w:val="clear" w:color="auto" w:fill="F2F2F2" w:themeFill="background1" w:themeFillShade="F2"/>
          </w:tcPr>
          <w:p w14:paraId="12AEAB6C" w14:textId="77777777" w:rsidR="00E539FA" w:rsidRDefault="00E539FA" w:rsidP="00BD714C">
            <w:pPr>
              <w:spacing w:after="0" w:line="240" w:lineRule="auto"/>
              <w:jc w:val="center"/>
              <w:rPr>
                <w:rFonts w:ascii="Times New Roman" w:eastAsia="Times New Roman" w:hAnsi="Times New Roman" w:cs="Times New Roman"/>
                <w:sz w:val="16"/>
                <w:szCs w:val="16"/>
                <w:lang w:val="en-US" w:eastAsia="de-DE"/>
              </w:rPr>
            </w:pPr>
            <w:r>
              <w:rPr>
                <w:rFonts w:ascii="Times New Roman" w:eastAsia="Times New Roman" w:hAnsi="Times New Roman" w:cs="Times New Roman"/>
                <w:sz w:val="16"/>
                <w:szCs w:val="16"/>
                <w:lang w:val="en-US" w:eastAsia="de-DE"/>
              </w:rPr>
              <w:t>0.304</w:t>
            </w:r>
          </w:p>
        </w:tc>
      </w:tr>
      <w:tr w:rsidR="00E539FA" w:rsidRPr="00AC25E6" w14:paraId="3886F36C" w14:textId="77777777" w:rsidTr="00BD714C">
        <w:trPr>
          <w:trHeight w:val="33"/>
          <w:jc w:val="center"/>
        </w:trPr>
        <w:tc>
          <w:tcPr>
            <w:tcW w:w="2381" w:type="dxa"/>
            <w:shd w:val="clear" w:color="auto" w:fill="auto"/>
            <w:noWrap/>
            <w:vAlign w:val="center"/>
          </w:tcPr>
          <w:p w14:paraId="72D1D212" w14:textId="77777777" w:rsidR="00E539FA" w:rsidRPr="0030152D" w:rsidRDefault="00E539FA" w:rsidP="00BD714C">
            <w:pPr>
              <w:spacing w:after="0" w:line="240" w:lineRule="auto"/>
              <w:rPr>
                <w:rFonts w:ascii="Times New Roman" w:eastAsia="Times New Roman" w:hAnsi="Times New Roman" w:cs="Times New Roman"/>
                <w:bCs/>
                <w:color w:val="000000"/>
                <w:sz w:val="16"/>
                <w:szCs w:val="16"/>
                <w:lang w:val="en-US" w:eastAsia="de-DE"/>
              </w:rPr>
            </w:pPr>
            <w:r>
              <w:rPr>
                <w:rFonts w:ascii="Times New Roman" w:eastAsia="Times New Roman" w:hAnsi="Times New Roman" w:cs="Times New Roman"/>
                <w:bCs/>
                <w:color w:val="000000"/>
                <w:sz w:val="16"/>
                <w:szCs w:val="16"/>
                <w:lang w:val="en-US" w:eastAsia="de-DE"/>
              </w:rPr>
              <w:tab/>
              <w:t>No</w:t>
            </w:r>
          </w:p>
        </w:tc>
        <w:tc>
          <w:tcPr>
            <w:tcW w:w="995" w:type="dxa"/>
            <w:shd w:val="clear" w:color="auto" w:fill="auto"/>
            <w:noWrap/>
            <w:vAlign w:val="bottom"/>
          </w:tcPr>
          <w:p w14:paraId="7674F279" w14:textId="77777777" w:rsidR="00E539FA" w:rsidRDefault="00E539FA" w:rsidP="00BD714C">
            <w:pPr>
              <w:spacing w:after="0" w:line="240" w:lineRule="auto"/>
              <w:jc w:val="center"/>
              <w:rPr>
                <w:rFonts w:ascii="Times New Roman" w:eastAsia="Times New Roman" w:hAnsi="Times New Roman" w:cs="Times New Roman"/>
                <w:color w:val="000000"/>
                <w:sz w:val="16"/>
                <w:szCs w:val="16"/>
                <w:lang w:val="en-US" w:eastAsia="de-DE"/>
              </w:rPr>
            </w:pPr>
            <w:r>
              <w:rPr>
                <w:rFonts w:ascii="Times New Roman" w:eastAsia="Times New Roman" w:hAnsi="Times New Roman" w:cs="Times New Roman"/>
                <w:color w:val="000000"/>
                <w:sz w:val="16"/>
                <w:szCs w:val="16"/>
                <w:lang w:val="en-US" w:eastAsia="de-DE"/>
              </w:rPr>
              <w:t>73 (76%)</w:t>
            </w:r>
          </w:p>
        </w:tc>
        <w:tc>
          <w:tcPr>
            <w:tcW w:w="794" w:type="dxa"/>
          </w:tcPr>
          <w:p w14:paraId="7F87088F" w14:textId="77777777" w:rsidR="00E539FA" w:rsidRDefault="00E539FA" w:rsidP="00BD714C">
            <w:pPr>
              <w:spacing w:after="0" w:line="240" w:lineRule="auto"/>
              <w:jc w:val="center"/>
              <w:rPr>
                <w:rFonts w:ascii="Times New Roman" w:eastAsia="Times New Roman" w:hAnsi="Times New Roman" w:cs="Times New Roman"/>
                <w:color w:val="000000"/>
                <w:sz w:val="16"/>
                <w:szCs w:val="16"/>
                <w:lang w:val="en-US" w:eastAsia="de-DE"/>
              </w:rPr>
            </w:pPr>
            <w:r>
              <w:rPr>
                <w:rFonts w:ascii="Times New Roman" w:eastAsia="Times New Roman" w:hAnsi="Times New Roman" w:cs="Times New Roman"/>
                <w:sz w:val="16"/>
                <w:szCs w:val="16"/>
                <w:lang w:val="en-US" w:eastAsia="de-DE"/>
              </w:rPr>
              <w:t>3 (50%)</w:t>
            </w:r>
          </w:p>
        </w:tc>
        <w:tc>
          <w:tcPr>
            <w:tcW w:w="1531" w:type="dxa"/>
            <w:vAlign w:val="bottom"/>
          </w:tcPr>
          <w:p w14:paraId="7A6058D9" w14:textId="77777777" w:rsidR="00E539FA" w:rsidRDefault="00E539FA" w:rsidP="00BD714C">
            <w:pPr>
              <w:spacing w:after="0" w:line="240" w:lineRule="auto"/>
              <w:jc w:val="center"/>
              <w:rPr>
                <w:rFonts w:ascii="Times New Roman" w:eastAsia="Times New Roman" w:hAnsi="Times New Roman" w:cs="Times New Roman"/>
                <w:color w:val="000000"/>
                <w:sz w:val="16"/>
                <w:szCs w:val="16"/>
                <w:lang w:val="en-US" w:eastAsia="de-DE"/>
              </w:rPr>
            </w:pPr>
            <w:r>
              <w:rPr>
                <w:rFonts w:ascii="Times New Roman" w:eastAsia="Times New Roman" w:hAnsi="Times New Roman" w:cs="Times New Roman"/>
                <w:color w:val="000000"/>
                <w:sz w:val="16"/>
                <w:szCs w:val="16"/>
                <w:lang w:val="en-US" w:eastAsia="de-DE"/>
              </w:rPr>
              <w:t>52 (80%)</w:t>
            </w:r>
          </w:p>
        </w:tc>
        <w:tc>
          <w:tcPr>
            <w:tcW w:w="1701" w:type="dxa"/>
            <w:vAlign w:val="bottom"/>
          </w:tcPr>
          <w:p w14:paraId="5D3D6342" w14:textId="77777777" w:rsidR="00E539FA" w:rsidRDefault="00E539FA" w:rsidP="00BD714C">
            <w:pPr>
              <w:spacing w:after="0" w:line="240" w:lineRule="auto"/>
              <w:jc w:val="center"/>
              <w:rPr>
                <w:rFonts w:ascii="Times New Roman" w:eastAsia="Times New Roman" w:hAnsi="Times New Roman" w:cs="Times New Roman"/>
                <w:color w:val="000000"/>
                <w:sz w:val="16"/>
                <w:szCs w:val="16"/>
                <w:lang w:val="en-US" w:eastAsia="de-DE"/>
              </w:rPr>
            </w:pPr>
            <w:r>
              <w:rPr>
                <w:rFonts w:ascii="Times New Roman" w:eastAsia="Times New Roman" w:hAnsi="Times New Roman" w:cs="Times New Roman"/>
                <w:color w:val="000000"/>
                <w:sz w:val="16"/>
                <w:szCs w:val="16"/>
                <w:lang w:val="en-US" w:eastAsia="de-DE"/>
              </w:rPr>
              <w:t>18 (72%)</w:t>
            </w:r>
          </w:p>
        </w:tc>
        <w:tc>
          <w:tcPr>
            <w:tcW w:w="950" w:type="dxa"/>
          </w:tcPr>
          <w:p w14:paraId="1715C082" w14:textId="77777777" w:rsidR="00E539FA" w:rsidRPr="003B7AF7" w:rsidRDefault="00E539FA" w:rsidP="00BD714C">
            <w:pPr>
              <w:spacing w:after="0" w:line="240" w:lineRule="auto"/>
              <w:jc w:val="center"/>
              <w:rPr>
                <w:rFonts w:ascii="Times New Roman" w:eastAsia="Times New Roman" w:hAnsi="Times New Roman" w:cs="Times New Roman"/>
                <w:b/>
                <w:sz w:val="16"/>
                <w:szCs w:val="16"/>
                <w:lang w:val="en-US" w:eastAsia="de-DE"/>
              </w:rPr>
            </w:pPr>
          </w:p>
        </w:tc>
      </w:tr>
      <w:tr w:rsidR="00E539FA" w:rsidRPr="00AC25E6" w14:paraId="4786DC54" w14:textId="77777777" w:rsidTr="00BD714C">
        <w:trPr>
          <w:trHeight w:val="33"/>
          <w:jc w:val="center"/>
        </w:trPr>
        <w:tc>
          <w:tcPr>
            <w:tcW w:w="2381" w:type="dxa"/>
            <w:shd w:val="clear" w:color="auto" w:fill="auto"/>
            <w:noWrap/>
            <w:vAlign w:val="center"/>
          </w:tcPr>
          <w:p w14:paraId="2C3558EB" w14:textId="77777777" w:rsidR="00E539FA" w:rsidRPr="0030152D" w:rsidRDefault="00E539FA" w:rsidP="00BD714C">
            <w:pPr>
              <w:spacing w:after="0" w:line="240" w:lineRule="auto"/>
              <w:rPr>
                <w:rFonts w:ascii="Times New Roman" w:eastAsia="Times New Roman" w:hAnsi="Times New Roman" w:cs="Times New Roman"/>
                <w:bCs/>
                <w:color w:val="000000"/>
                <w:sz w:val="16"/>
                <w:szCs w:val="16"/>
                <w:lang w:val="en-US" w:eastAsia="de-DE"/>
              </w:rPr>
            </w:pPr>
            <w:r>
              <w:rPr>
                <w:rFonts w:ascii="Times New Roman" w:eastAsia="Times New Roman" w:hAnsi="Times New Roman" w:cs="Times New Roman"/>
                <w:bCs/>
                <w:color w:val="000000"/>
                <w:sz w:val="16"/>
                <w:szCs w:val="16"/>
                <w:lang w:val="en-US" w:eastAsia="de-DE"/>
              </w:rPr>
              <w:tab/>
              <w:t>Yes</w:t>
            </w:r>
          </w:p>
        </w:tc>
        <w:tc>
          <w:tcPr>
            <w:tcW w:w="995" w:type="dxa"/>
            <w:shd w:val="clear" w:color="auto" w:fill="auto"/>
            <w:noWrap/>
            <w:vAlign w:val="bottom"/>
          </w:tcPr>
          <w:p w14:paraId="15A0EB51" w14:textId="77777777" w:rsidR="00E539FA" w:rsidRDefault="00E539FA" w:rsidP="00BD714C">
            <w:pPr>
              <w:spacing w:after="0" w:line="240" w:lineRule="auto"/>
              <w:jc w:val="center"/>
              <w:rPr>
                <w:rFonts w:ascii="Times New Roman" w:eastAsia="Times New Roman" w:hAnsi="Times New Roman" w:cs="Times New Roman"/>
                <w:color w:val="000000"/>
                <w:sz w:val="16"/>
                <w:szCs w:val="16"/>
                <w:lang w:val="en-US" w:eastAsia="de-DE"/>
              </w:rPr>
            </w:pPr>
            <w:r>
              <w:rPr>
                <w:rFonts w:ascii="Times New Roman" w:eastAsia="Times New Roman" w:hAnsi="Times New Roman" w:cs="Times New Roman"/>
                <w:color w:val="000000"/>
                <w:sz w:val="16"/>
                <w:szCs w:val="16"/>
                <w:lang w:val="en-US" w:eastAsia="de-DE"/>
              </w:rPr>
              <w:t>22 (23%)</w:t>
            </w:r>
          </w:p>
        </w:tc>
        <w:tc>
          <w:tcPr>
            <w:tcW w:w="794" w:type="dxa"/>
          </w:tcPr>
          <w:p w14:paraId="597041E4" w14:textId="77777777" w:rsidR="00E539FA" w:rsidRDefault="00E539FA" w:rsidP="00BD714C">
            <w:pPr>
              <w:spacing w:after="0" w:line="240" w:lineRule="auto"/>
              <w:jc w:val="center"/>
              <w:rPr>
                <w:rFonts w:ascii="Times New Roman" w:eastAsia="Times New Roman" w:hAnsi="Times New Roman" w:cs="Times New Roman"/>
                <w:color w:val="000000"/>
                <w:sz w:val="16"/>
                <w:szCs w:val="16"/>
                <w:lang w:val="en-US" w:eastAsia="de-DE"/>
              </w:rPr>
            </w:pPr>
            <w:r>
              <w:rPr>
                <w:rFonts w:ascii="Times New Roman" w:eastAsia="Times New Roman" w:hAnsi="Times New Roman" w:cs="Times New Roman"/>
                <w:sz w:val="16"/>
                <w:szCs w:val="16"/>
                <w:lang w:val="en-US" w:eastAsia="de-DE"/>
              </w:rPr>
              <w:t>2 (33%)</w:t>
            </w:r>
          </w:p>
        </w:tc>
        <w:tc>
          <w:tcPr>
            <w:tcW w:w="1531" w:type="dxa"/>
            <w:vAlign w:val="bottom"/>
          </w:tcPr>
          <w:p w14:paraId="429C9BE6" w14:textId="77777777" w:rsidR="00E539FA" w:rsidRDefault="00E539FA" w:rsidP="00BD714C">
            <w:pPr>
              <w:spacing w:after="0" w:line="240" w:lineRule="auto"/>
              <w:jc w:val="center"/>
              <w:rPr>
                <w:rFonts w:ascii="Times New Roman" w:eastAsia="Times New Roman" w:hAnsi="Times New Roman" w:cs="Times New Roman"/>
                <w:color w:val="000000"/>
                <w:sz w:val="16"/>
                <w:szCs w:val="16"/>
                <w:lang w:val="en-US" w:eastAsia="de-DE"/>
              </w:rPr>
            </w:pPr>
            <w:r>
              <w:rPr>
                <w:rFonts w:ascii="Times New Roman" w:eastAsia="Times New Roman" w:hAnsi="Times New Roman" w:cs="Times New Roman"/>
                <w:color w:val="000000"/>
                <w:sz w:val="16"/>
                <w:szCs w:val="16"/>
                <w:lang w:val="en-US" w:eastAsia="de-DE"/>
              </w:rPr>
              <w:t>13 (20%)</w:t>
            </w:r>
          </w:p>
        </w:tc>
        <w:tc>
          <w:tcPr>
            <w:tcW w:w="1701" w:type="dxa"/>
            <w:vAlign w:val="bottom"/>
          </w:tcPr>
          <w:p w14:paraId="0D1598C1" w14:textId="77777777" w:rsidR="00E539FA" w:rsidRDefault="00E539FA" w:rsidP="00BD714C">
            <w:pPr>
              <w:spacing w:after="0" w:line="240" w:lineRule="auto"/>
              <w:jc w:val="center"/>
              <w:rPr>
                <w:rFonts w:ascii="Times New Roman" w:eastAsia="Times New Roman" w:hAnsi="Times New Roman" w:cs="Times New Roman"/>
                <w:color w:val="000000"/>
                <w:sz w:val="16"/>
                <w:szCs w:val="16"/>
                <w:lang w:val="en-US" w:eastAsia="de-DE"/>
              </w:rPr>
            </w:pPr>
            <w:r>
              <w:rPr>
                <w:rFonts w:ascii="Times New Roman" w:eastAsia="Times New Roman" w:hAnsi="Times New Roman" w:cs="Times New Roman"/>
                <w:color w:val="000000"/>
                <w:sz w:val="16"/>
                <w:szCs w:val="16"/>
                <w:lang w:val="en-US" w:eastAsia="de-DE"/>
              </w:rPr>
              <w:t>7 (28%)</w:t>
            </w:r>
          </w:p>
        </w:tc>
        <w:tc>
          <w:tcPr>
            <w:tcW w:w="950" w:type="dxa"/>
          </w:tcPr>
          <w:p w14:paraId="1091E18F" w14:textId="77777777" w:rsidR="00E539FA" w:rsidRPr="003B7AF7" w:rsidRDefault="00E539FA" w:rsidP="00BD714C">
            <w:pPr>
              <w:spacing w:after="0" w:line="240" w:lineRule="auto"/>
              <w:jc w:val="center"/>
              <w:rPr>
                <w:rFonts w:ascii="Times New Roman" w:eastAsia="Times New Roman" w:hAnsi="Times New Roman" w:cs="Times New Roman"/>
                <w:b/>
                <w:sz w:val="16"/>
                <w:szCs w:val="16"/>
                <w:lang w:val="en-US" w:eastAsia="de-DE"/>
              </w:rPr>
            </w:pPr>
          </w:p>
        </w:tc>
      </w:tr>
      <w:tr w:rsidR="00E539FA" w:rsidRPr="00AC25E6" w14:paraId="4C6D2580" w14:textId="77777777" w:rsidTr="00BD714C">
        <w:trPr>
          <w:trHeight w:val="33"/>
          <w:jc w:val="center"/>
        </w:trPr>
        <w:tc>
          <w:tcPr>
            <w:tcW w:w="2381" w:type="dxa"/>
            <w:shd w:val="clear" w:color="auto" w:fill="auto"/>
            <w:noWrap/>
            <w:vAlign w:val="center"/>
          </w:tcPr>
          <w:p w14:paraId="1BBF50E5" w14:textId="77777777" w:rsidR="00E539FA" w:rsidRDefault="00E539FA" w:rsidP="00BD714C">
            <w:pPr>
              <w:spacing w:after="0" w:line="240" w:lineRule="auto"/>
              <w:rPr>
                <w:rFonts w:ascii="Times New Roman" w:eastAsia="Times New Roman" w:hAnsi="Times New Roman" w:cs="Times New Roman"/>
                <w:bCs/>
                <w:color w:val="000000"/>
                <w:sz w:val="16"/>
                <w:szCs w:val="16"/>
                <w:lang w:val="en-US" w:eastAsia="de-DE"/>
              </w:rPr>
            </w:pPr>
            <w:r>
              <w:rPr>
                <w:rFonts w:ascii="Times New Roman" w:eastAsia="Times New Roman" w:hAnsi="Times New Roman" w:cs="Times New Roman"/>
                <w:bCs/>
                <w:color w:val="000000"/>
                <w:sz w:val="16"/>
                <w:szCs w:val="16"/>
                <w:lang w:val="en-US" w:eastAsia="de-DE"/>
              </w:rPr>
              <w:tab/>
              <w:t>n/a</w:t>
            </w:r>
          </w:p>
        </w:tc>
        <w:tc>
          <w:tcPr>
            <w:tcW w:w="995" w:type="dxa"/>
            <w:shd w:val="clear" w:color="auto" w:fill="auto"/>
            <w:noWrap/>
            <w:vAlign w:val="bottom"/>
          </w:tcPr>
          <w:p w14:paraId="158F1485" w14:textId="77777777" w:rsidR="00E539FA" w:rsidRDefault="00E539FA" w:rsidP="00BD714C">
            <w:pPr>
              <w:spacing w:after="0" w:line="240" w:lineRule="auto"/>
              <w:jc w:val="center"/>
              <w:rPr>
                <w:rFonts w:ascii="Times New Roman" w:eastAsia="Times New Roman" w:hAnsi="Times New Roman" w:cs="Times New Roman"/>
                <w:color w:val="000000"/>
                <w:sz w:val="16"/>
                <w:szCs w:val="16"/>
                <w:lang w:val="en-US" w:eastAsia="de-DE"/>
              </w:rPr>
            </w:pPr>
            <w:r>
              <w:rPr>
                <w:rFonts w:ascii="Times New Roman" w:eastAsia="Times New Roman" w:hAnsi="Times New Roman" w:cs="Times New Roman"/>
                <w:color w:val="000000"/>
                <w:sz w:val="16"/>
                <w:szCs w:val="16"/>
                <w:lang w:val="en-US" w:eastAsia="de-DE"/>
              </w:rPr>
              <w:t>1 (1%)</w:t>
            </w:r>
          </w:p>
        </w:tc>
        <w:tc>
          <w:tcPr>
            <w:tcW w:w="794" w:type="dxa"/>
          </w:tcPr>
          <w:p w14:paraId="2D12F60E" w14:textId="77777777" w:rsidR="00E539FA" w:rsidRDefault="00E539FA" w:rsidP="00BD714C">
            <w:pPr>
              <w:spacing w:after="0" w:line="240" w:lineRule="auto"/>
              <w:jc w:val="center"/>
              <w:rPr>
                <w:rFonts w:ascii="Times New Roman" w:eastAsia="Times New Roman" w:hAnsi="Times New Roman" w:cs="Times New Roman"/>
                <w:color w:val="000000"/>
                <w:sz w:val="16"/>
                <w:szCs w:val="16"/>
                <w:lang w:val="en-US" w:eastAsia="de-DE"/>
              </w:rPr>
            </w:pPr>
            <w:r>
              <w:rPr>
                <w:rFonts w:ascii="Times New Roman" w:eastAsia="Times New Roman" w:hAnsi="Times New Roman" w:cs="Times New Roman"/>
                <w:sz w:val="16"/>
                <w:szCs w:val="16"/>
                <w:lang w:val="en-US" w:eastAsia="de-DE"/>
              </w:rPr>
              <w:t>1 (17%)</w:t>
            </w:r>
          </w:p>
        </w:tc>
        <w:tc>
          <w:tcPr>
            <w:tcW w:w="1531" w:type="dxa"/>
            <w:vAlign w:val="bottom"/>
          </w:tcPr>
          <w:p w14:paraId="4B76325B" w14:textId="77777777" w:rsidR="00E539FA" w:rsidRDefault="00E539FA" w:rsidP="00BD714C">
            <w:pPr>
              <w:spacing w:after="0" w:line="240" w:lineRule="auto"/>
              <w:jc w:val="center"/>
              <w:rPr>
                <w:rFonts w:ascii="Times New Roman" w:eastAsia="Times New Roman" w:hAnsi="Times New Roman" w:cs="Times New Roman"/>
                <w:color w:val="000000"/>
                <w:sz w:val="16"/>
                <w:szCs w:val="16"/>
                <w:lang w:val="en-US" w:eastAsia="de-DE"/>
              </w:rPr>
            </w:pPr>
            <w:r>
              <w:rPr>
                <w:rFonts w:ascii="Times New Roman" w:eastAsia="Times New Roman" w:hAnsi="Times New Roman" w:cs="Times New Roman"/>
                <w:color w:val="000000"/>
                <w:sz w:val="16"/>
                <w:szCs w:val="16"/>
                <w:lang w:val="en-US" w:eastAsia="de-DE"/>
              </w:rPr>
              <w:t>0 (0%)</w:t>
            </w:r>
          </w:p>
        </w:tc>
        <w:tc>
          <w:tcPr>
            <w:tcW w:w="1701" w:type="dxa"/>
            <w:vAlign w:val="bottom"/>
          </w:tcPr>
          <w:p w14:paraId="10769A8A" w14:textId="77777777" w:rsidR="00E539FA" w:rsidRDefault="00E539FA" w:rsidP="00BD714C">
            <w:pPr>
              <w:spacing w:after="0" w:line="240" w:lineRule="auto"/>
              <w:jc w:val="center"/>
              <w:rPr>
                <w:rFonts w:ascii="Times New Roman" w:eastAsia="Times New Roman" w:hAnsi="Times New Roman" w:cs="Times New Roman"/>
                <w:color w:val="000000"/>
                <w:sz w:val="16"/>
                <w:szCs w:val="16"/>
                <w:lang w:val="en-US" w:eastAsia="de-DE"/>
              </w:rPr>
            </w:pPr>
            <w:r>
              <w:rPr>
                <w:rFonts w:ascii="Times New Roman" w:eastAsia="Times New Roman" w:hAnsi="Times New Roman" w:cs="Times New Roman"/>
                <w:color w:val="000000"/>
                <w:sz w:val="16"/>
                <w:szCs w:val="16"/>
                <w:lang w:val="en-US" w:eastAsia="de-DE"/>
              </w:rPr>
              <w:t>0 (0%)</w:t>
            </w:r>
          </w:p>
        </w:tc>
        <w:tc>
          <w:tcPr>
            <w:tcW w:w="950" w:type="dxa"/>
          </w:tcPr>
          <w:p w14:paraId="31134C91" w14:textId="77777777" w:rsidR="00E539FA" w:rsidRPr="003B7AF7" w:rsidRDefault="00E539FA" w:rsidP="00BD714C">
            <w:pPr>
              <w:spacing w:after="0" w:line="240" w:lineRule="auto"/>
              <w:jc w:val="center"/>
              <w:rPr>
                <w:rFonts w:ascii="Times New Roman" w:eastAsia="Times New Roman" w:hAnsi="Times New Roman" w:cs="Times New Roman"/>
                <w:b/>
                <w:sz w:val="16"/>
                <w:szCs w:val="16"/>
                <w:lang w:val="en-US" w:eastAsia="de-DE"/>
              </w:rPr>
            </w:pPr>
          </w:p>
        </w:tc>
      </w:tr>
      <w:tr w:rsidR="00E539FA" w:rsidRPr="00AC25E6" w14:paraId="1CDD988A" w14:textId="77777777" w:rsidTr="00BD714C">
        <w:trPr>
          <w:trHeight w:val="33"/>
          <w:jc w:val="center"/>
        </w:trPr>
        <w:tc>
          <w:tcPr>
            <w:tcW w:w="2381" w:type="dxa"/>
            <w:shd w:val="clear" w:color="auto" w:fill="F2F2F2" w:themeFill="background1" w:themeFillShade="F2"/>
            <w:noWrap/>
            <w:vAlign w:val="center"/>
          </w:tcPr>
          <w:p w14:paraId="12447CA4" w14:textId="77777777" w:rsidR="00E539FA" w:rsidRPr="00825F42" w:rsidRDefault="00E539FA" w:rsidP="00BD714C">
            <w:pPr>
              <w:spacing w:after="0" w:line="240" w:lineRule="auto"/>
              <w:rPr>
                <w:rFonts w:ascii="Times New Roman" w:eastAsia="Times New Roman" w:hAnsi="Times New Roman" w:cs="Times New Roman"/>
                <w:bCs/>
                <w:color w:val="000000"/>
                <w:sz w:val="16"/>
                <w:szCs w:val="16"/>
                <w:lang w:val="en-US" w:eastAsia="de-DE"/>
              </w:rPr>
            </w:pPr>
            <w:r>
              <w:rPr>
                <w:rFonts w:ascii="Times New Roman" w:eastAsia="Times New Roman" w:hAnsi="Times New Roman" w:cs="Times New Roman"/>
                <w:b/>
                <w:bCs/>
                <w:color w:val="000000"/>
                <w:sz w:val="16"/>
                <w:szCs w:val="16"/>
                <w:lang w:val="en-US" w:eastAsia="de-DE"/>
              </w:rPr>
              <w:t>Diabetes</w:t>
            </w:r>
          </w:p>
        </w:tc>
        <w:tc>
          <w:tcPr>
            <w:tcW w:w="995" w:type="dxa"/>
            <w:shd w:val="clear" w:color="auto" w:fill="F2F2F2" w:themeFill="background1" w:themeFillShade="F2"/>
            <w:noWrap/>
            <w:vAlign w:val="center"/>
          </w:tcPr>
          <w:p w14:paraId="686E4A96" w14:textId="77777777" w:rsidR="00E539FA" w:rsidRDefault="00E539FA" w:rsidP="00BD714C">
            <w:pPr>
              <w:spacing w:after="0" w:line="240" w:lineRule="auto"/>
              <w:jc w:val="center"/>
              <w:rPr>
                <w:rFonts w:ascii="Times New Roman" w:eastAsia="Times New Roman" w:hAnsi="Times New Roman" w:cs="Times New Roman"/>
                <w:color w:val="000000"/>
                <w:sz w:val="16"/>
                <w:szCs w:val="16"/>
                <w:lang w:val="en-US" w:eastAsia="de-DE"/>
              </w:rPr>
            </w:pPr>
          </w:p>
        </w:tc>
        <w:tc>
          <w:tcPr>
            <w:tcW w:w="794" w:type="dxa"/>
            <w:shd w:val="clear" w:color="auto" w:fill="F2F2F2" w:themeFill="background1" w:themeFillShade="F2"/>
          </w:tcPr>
          <w:p w14:paraId="6A30405F" w14:textId="77777777" w:rsidR="00E539FA" w:rsidRPr="003B7AF7" w:rsidRDefault="00E539FA" w:rsidP="00BD714C">
            <w:pPr>
              <w:spacing w:after="0" w:line="240" w:lineRule="auto"/>
              <w:jc w:val="center"/>
              <w:rPr>
                <w:rFonts w:ascii="Times New Roman" w:eastAsia="Times New Roman" w:hAnsi="Times New Roman" w:cs="Times New Roman"/>
                <w:sz w:val="16"/>
                <w:szCs w:val="16"/>
                <w:lang w:val="en-US" w:eastAsia="de-DE"/>
              </w:rPr>
            </w:pPr>
          </w:p>
        </w:tc>
        <w:tc>
          <w:tcPr>
            <w:tcW w:w="1531" w:type="dxa"/>
            <w:shd w:val="clear" w:color="auto" w:fill="F2F2F2" w:themeFill="background1" w:themeFillShade="F2"/>
          </w:tcPr>
          <w:p w14:paraId="58225B38" w14:textId="77777777" w:rsidR="00E539FA" w:rsidRPr="003B7AF7" w:rsidRDefault="00E539FA" w:rsidP="00BD714C">
            <w:pPr>
              <w:spacing w:after="0" w:line="240" w:lineRule="auto"/>
              <w:jc w:val="center"/>
              <w:rPr>
                <w:rFonts w:ascii="Times New Roman" w:eastAsia="Times New Roman" w:hAnsi="Times New Roman" w:cs="Times New Roman"/>
                <w:sz w:val="16"/>
                <w:szCs w:val="16"/>
                <w:lang w:val="en-US" w:eastAsia="de-DE"/>
              </w:rPr>
            </w:pPr>
          </w:p>
        </w:tc>
        <w:tc>
          <w:tcPr>
            <w:tcW w:w="1701" w:type="dxa"/>
            <w:shd w:val="clear" w:color="auto" w:fill="F2F2F2" w:themeFill="background1" w:themeFillShade="F2"/>
          </w:tcPr>
          <w:p w14:paraId="391263F6" w14:textId="77777777" w:rsidR="00E539FA" w:rsidRPr="003B7AF7" w:rsidRDefault="00E539FA" w:rsidP="00BD714C">
            <w:pPr>
              <w:spacing w:after="0" w:line="240" w:lineRule="auto"/>
              <w:jc w:val="center"/>
              <w:rPr>
                <w:rFonts w:ascii="Times New Roman" w:eastAsia="Times New Roman" w:hAnsi="Times New Roman" w:cs="Times New Roman"/>
                <w:sz w:val="16"/>
                <w:szCs w:val="16"/>
                <w:lang w:val="en-US" w:eastAsia="de-DE"/>
              </w:rPr>
            </w:pPr>
          </w:p>
        </w:tc>
        <w:tc>
          <w:tcPr>
            <w:tcW w:w="950" w:type="dxa"/>
            <w:shd w:val="clear" w:color="auto" w:fill="F2F2F2" w:themeFill="background1" w:themeFillShade="F2"/>
          </w:tcPr>
          <w:p w14:paraId="1191AE6F" w14:textId="77777777" w:rsidR="00E539FA" w:rsidRDefault="00E539FA" w:rsidP="00BD714C">
            <w:pPr>
              <w:spacing w:after="0" w:line="240" w:lineRule="auto"/>
              <w:jc w:val="center"/>
              <w:rPr>
                <w:rFonts w:ascii="Times New Roman" w:eastAsia="Times New Roman" w:hAnsi="Times New Roman" w:cs="Times New Roman"/>
                <w:sz w:val="16"/>
                <w:szCs w:val="16"/>
                <w:lang w:val="en-US" w:eastAsia="de-DE"/>
              </w:rPr>
            </w:pPr>
            <w:r>
              <w:rPr>
                <w:rFonts w:ascii="Times New Roman" w:eastAsia="Times New Roman" w:hAnsi="Times New Roman" w:cs="Times New Roman"/>
                <w:sz w:val="16"/>
                <w:szCs w:val="16"/>
                <w:lang w:val="en-US" w:eastAsia="de-DE"/>
              </w:rPr>
              <w:t>0.083</w:t>
            </w:r>
          </w:p>
        </w:tc>
      </w:tr>
      <w:tr w:rsidR="00E539FA" w:rsidRPr="00AC25E6" w14:paraId="343D0CD1" w14:textId="77777777" w:rsidTr="00BD714C">
        <w:trPr>
          <w:trHeight w:val="33"/>
          <w:jc w:val="center"/>
        </w:trPr>
        <w:tc>
          <w:tcPr>
            <w:tcW w:w="2381" w:type="dxa"/>
            <w:shd w:val="clear" w:color="auto" w:fill="auto"/>
            <w:noWrap/>
            <w:vAlign w:val="center"/>
          </w:tcPr>
          <w:p w14:paraId="7C31B328" w14:textId="77777777" w:rsidR="00E539FA" w:rsidRPr="0030152D" w:rsidRDefault="00E539FA" w:rsidP="00BD714C">
            <w:pPr>
              <w:spacing w:after="0" w:line="240" w:lineRule="auto"/>
              <w:rPr>
                <w:rFonts w:ascii="Times New Roman" w:eastAsia="Times New Roman" w:hAnsi="Times New Roman" w:cs="Times New Roman"/>
                <w:bCs/>
                <w:color w:val="000000"/>
                <w:sz w:val="16"/>
                <w:szCs w:val="16"/>
                <w:lang w:val="en-US" w:eastAsia="de-DE"/>
              </w:rPr>
            </w:pPr>
            <w:r>
              <w:rPr>
                <w:rFonts w:ascii="Times New Roman" w:eastAsia="Times New Roman" w:hAnsi="Times New Roman" w:cs="Times New Roman"/>
                <w:bCs/>
                <w:color w:val="000000"/>
                <w:sz w:val="16"/>
                <w:szCs w:val="16"/>
                <w:lang w:val="en-US" w:eastAsia="de-DE"/>
              </w:rPr>
              <w:tab/>
              <w:t>No</w:t>
            </w:r>
          </w:p>
        </w:tc>
        <w:tc>
          <w:tcPr>
            <w:tcW w:w="995" w:type="dxa"/>
            <w:shd w:val="clear" w:color="auto" w:fill="auto"/>
            <w:noWrap/>
            <w:vAlign w:val="bottom"/>
          </w:tcPr>
          <w:p w14:paraId="19B2FB3F" w14:textId="77777777" w:rsidR="00E539FA" w:rsidRDefault="00E539FA" w:rsidP="00BD714C">
            <w:pPr>
              <w:spacing w:after="0" w:line="240" w:lineRule="auto"/>
              <w:jc w:val="center"/>
              <w:rPr>
                <w:rFonts w:ascii="Times New Roman" w:eastAsia="Times New Roman" w:hAnsi="Times New Roman" w:cs="Times New Roman"/>
                <w:color w:val="000000"/>
                <w:sz w:val="16"/>
                <w:szCs w:val="16"/>
                <w:lang w:val="en-US" w:eastAsia="de-DE"/>
              </w:rPr>
            </w:pPr>
            <w:r>
              <w:rPr>
                <w:rFonts w:ascii="Times New Roman" w:eastAsia="Times New Roman" w:hAnsi="Times New Roman" w:cs="Times New Roman"/>
                <w:color w:val="000000"/>
                <w:sz w:val="16"/>
                <w:szCs w:val="16"/>
                <w:lang w:val="en-US" w:eastAsia="de-DE"/>
              </w:rPr>
              <w:t>90 (94%)</w:t>
            </w:r>
          </w:p>
        </w:tc>
        <w:tc>
          <w:tcPr>
            <w:tcW w:w="794" w:type="dxa"/>
          </w:tcPr>
          <w:p w14:paraId="025D6127" w14:textId="77777777" w:rsidR="00E539FA" w:rsidRDefault="00E539FA" w:rsidP="00BD714C">
            <w:pPr>
              <w:spacing w:after="0" w:line="240" w:lineRule="auto"/>
              <w:jc w:val="center"/>
              <w:rPr>
                <w:rFonts w:ascii="Times New Roman" w:eastAsia="Times New Roman" w:hAnsi="Times New Roman" w:cs="Times New Roman"/>
                <w:color w:val="000000"/>
                <w:sz w:val="16"/>
                <w:szCs w:val="16"/>
                <w:lang w:val="en-US" w:eastAsia="de-DE"/>
              </w:rPr>
            </w:pPr>
            <w:r>
              <w:rPr>
                <w:rFonts w:ascii="Times New Roman" w:eastAsia="Times New Roman" w:hAnsi="Times New Roman" w:cs="Times New Roman"/>
                <w:sz w:val="16"/>
                <w:szCs w:val="16"/>
                <w:lang w:val="en-US" w:eastAsia="de-DE"/>
              </w:rPr>
              <w:t>5 (83%)</w:t>
            </w:r>
          </w:p>
        </w:tc>
        <w:tc>
          <w:tcPr>
            <w:tcW w:w="1531" w:type="dxa"/>
            <w:vAlign w:val="bottom"/>
          </w:tcPr>
          <w:p w14:paraId="5364D0A9" w14:textId="77777777" w:rsidR="00E539FA" w:rsidRDefault="00E539FA" w:rsidP="00BD714C">
            <w:pPr>
              <w:spacing w:after="0" w:line="240" w:lineRule="auto"/>
              <w:jc w:val="center"/>
              <w:rPr>
                <w:rFonts w:ascii="Times New Roman" w:eastAsia="Times New Roman" w:hAnsi="Times New Roman" w:cs="Times New Roman"/>
                <w:color w:val="000000"/>
                <w:sz w:val="16"/>
                <w:szCs w:val="16"/>
                <w:lang w:val="en-US" w:eastAsia="de-DE"/>
              </w:rPr>
            </w:pPr>
            <w:r>
              <w:rPr>
                <w:rFonts w:ascii="Times New Roman" w:eastAsia="Times New Roman" w:hAnsi="Times New Roman" w:cs="Times New Roman"/>
                <w:color w:val="000000"/>
                <w:sz w:val="16"/>
                <w:szCs w:val="16"/>
                <w:lang w:val="en-US" w:eastAsia="de-DE"/>
              </w:rPr>
              <w:t>63 (97%)</w:t>
            </w:r>
          </w:p>
        </w:tc>
        <w:tc>
          <w:tcPr>
            <w:tcW w:w="1701" w:type="dxa"/>
            <w:vAlign w:val="bottom"/>
          </w:tcPr>
          <w:p w14:paraId="5DA5C5C7" w14:textId="77777777" w:rsidR="00E539FA" w:rsidRDefault="00E539FA" w:rsidP="00BD714C">
            <w:pPr>
              <w:spacing w:after="0" w:line="240" w:lineRule="auto"/>
              <w:jc w:val="center"/>
              <w:rPr>
                <w:rFonts w:ascii="Times New Roman" w:eastAsia="Times New Roman" w:hAnsi="Times New Roman" w:cs="Times New Roman"/>
                <w:color w:val="000000"/>
                <w:sz w:val="16"/>
                <w:szCs w:val="16"/>
                <w:lang w:val="en-US" w:eastAsia="de-DE"/>
              </w:rPr>
            </w:pPr>
            <w:r>
              <w:rPr>
                <w:rFonts w:ascii="Times New Roman" w:eastAsia="Times New Roman" w:hAnsi="Times New Roman" w:cs="Times New Roman"/>
                <w:color w:val="000000"/>
                <w:sz w:val="16"/>
                <w:szCs w:val="16"/>
                <w:lang w:val="en-US" w:eastAsia="de-DE"/>
              </w:rPr>
              <w:t>22 (88%)</w:t>
            </w:r>
          </w:p>
        </w:tc>
        <w:tc>
          <w:tcPr>
            <w:tcW w:w="950" w:type="dxa"/>
          </w:tcPr>
          <w:p w14:paraId="3BA140BB" w14:textId="77777777" w:rsidR="00E539FA" w:rsidRPr="003B7AF7" w:rsidRDefault="00E539FA" w:rsidP="00BD714C">
            <w:pPr>
              <w:spacing w:after="0" w:line="240" w:lineRule="auto"/>
              <w:jc w:val="center"/>
              <w:rPr>
                <w:rFonts w:ascii="Times New Roman" w:eastAsia="Times New Roman" w:hAnsi="Times New Roman" w:cs="Times New Roman"/>
                <w:b/>
                <w:sz w:val="16"/>
                <w:szCs w:val="16"/>
                <w:lang w:val="en-US" w:eastAsia="de-DE"/>
              </w:rPr>
            </w:pPr>
          </w:p>
        </w:tc>
      </w:tr>
      <w:tr w:rsidR="00E539FA" w:rsidRPr="00AC25E6" w14:paraId="6A43FD1A" w14:textId="77777777" w:rsidTr="00BD714C">
        <w:trPr>
          <w:trHeight w:val="33"/>
          <w:jc w:val="center"/>
        </w:trPr>
        <w:tc>
          <w:tcPr>
            <w:tcW w:w="2381" w:type="dxa"/>
            <w:shd w:val="clear" w:color="auto" w:fill="auto"/>
            <w:noWrap/>
            <w:vAlign w:val="center"/>
          </w:tcPr>
          <w:p w14:paraId="25218153" w14:textId="77777777" w:rsidR="00E539FA" w:rsidRPr="0030152D" w:rsidRDefault="00E539FA" w:rsidP="00BD714C">
            <w:pPr>
              <w:spacing w:after="0" w:line="240" w:lineRule="auto"/>
              <w:rPr>
                <w:rFonts w:ascii="Times New Roman" w:eastAsia="Times New Roman" w:hAnsi="Times New Roman" w:cs="Times New Roman"/>
                <w:bCs/>
                <w:color w:val="000000"/>
                <w:sz w:val="16"/>
                <w:szCs w:val="16"/>
                <w:lang w:val="en-US" w:eastAsia="de-DE"/>
              </w:rPr>
            </w:pPr>
            <w:r>
              <w:rPr>
                <w:rFonts w:ascii="Times New Roman" w:eastAsia="Times New Roman" w:hAnsi="Times New Roman" w:cs="Times New Roman"/>
                <w:bCs/>
                <w:color w:val="000000"/>
                <w:sz w:val="16"/>
                <w:szCs w:val="16"/>
                <w:lang w:val="en-US" w:eastAsia="de-DE"/>
              </w:rPr>
              <w:tab/>
              <w:t>Yes</w:t>
            </w:r>
          </w:p>
        </w:tc>
        <w:tc>
          <w:tcPr>
            <w:tcW w:w="995" w:type="dxa"/>
            <w:shd w:val="clear" w:color="auto" w:fill="auto"/>
            <w:noWrap/>
            <w:vAlign w:val="bottom"/>
          </w:tcPr>
          <w:p w14:paraId="116B0700" w14:textId="77777777" w:rsidR="00E539FA" w:rsidRDefault="00E539FA" w:rsidP="00BD714C">
            <w:pPr>
              <w:spacing w:after="0" w:line="240" w:lineRule="auto"/>
              <w:jc w:val="center"/>
              <w:rPr>
                <w:rFonts w:ascii="Times New Roman" w:eastAsia="Times New Roman" w:hAnsi="Times New Roman" w:cs="Times New Roman"/>
                <w:color w:val="000000"/>
                <w:sz w:val="16"/>
                <w:szCs w:val="16"/>
                <w:lang w:val="en-US" w:eastAsia="de-DE"/>
              </w:rPr>
            </w:pPr>
            <w:r>
              <w:rPr>
                <w:rFonts w:ascii="Times New Roman" w:eastAsia="Times New Roman" w:hAnsi="Times New Roman" w:cs="Times New Roman"/>
                <w:color w:val="000000"/>
                <w:sz w:val="16"/>
                <w:szCs w:val="16"/>
                <w:lang w:val="en-US" w:eastAsia="de-DE"/>
              </w:rPr>
              <w:t>6 (6%)</w:t>
            </w:r>
          </w:p>
        </w:tc>
        <w:tc>
          <w:tcPr>
            <w:tcW w:w="794" w:type="dxa"/>
          </w:tcPr>
          <w:p w14:paraId="51F8472B" w14:textId="77777777" w:rsidR="00E539FA" w:rsidRDefault="00E539FA" w:rsidP="00BD714C">
            <w:pPr>
              <w:spacing w:after="0" w:line="240" w:lineRule="auto"/>
              <w:jc w:val="center"/>
              <w:rPr>
                <w:rFonts w:ascii="Times New Roman" w:eastAsia="Times New Roman" w:hAnsi="Times New Roman" w:cs="Times New Roman"/>
                <w:color w:val="000000"/>
                <w:sz w:val="16"/>
                <w:szCs w:val="16"/>
                <w:lang w:val="en-US" w:eastAsia="de-DE"/>
              </w:rPr>
            </w:pPr>
            <w:r>
              <w:rPr>
                <w:rFonts w:ascii="Times New Roman" w:eastAsia="Times New Roman" w:hAnsi="Times New Roman" w:cs="Times New Roman"/>
                <w:sz w:val="16"/>
                <w:szCs w:val="16"/>
                <w:lang w:val="en-US" w:eastAsia="de-DE"/>
              </w:rPr>
              <w:t>1 (17%)</w:t>
            </w:r>
          </w:p>
        </w:tc>
        <w:tc>
          <w:tcPr>
            <w:tcW w:w="1531" w:type="dxa"/>
            <w:vAlign w:val="bottom"/>
          </w:tcPr>
          <w:p w14:paraId="3CCF10FE" w14:textId="77777777" w:rsidR="00E539FA" w:rsidRDefault="00E539FA" w:rsidP="00BD714C">
            <w:pPr>
              <w:spacing w:after="0" w:line="240" w:lineRule="auto"/>
              <w:jc w:val="center"/>
              <w:rPr>
                <w:rFonts w:ascii="Times New Roman" w:eastAsia="Times New Roman" w:hAnsi="Times New Roman" w:cs="Times New Roman"/>
                <w:color w:val="000000"/>
                <w:sz w:val="16"/>
                <w:szCs w:val="16"/>
                <w:lang w:val="en-US" w:eastAsia="de-DE"/>
              </w:rPr>
            </w:pPr>
            <w:r>
              <w:rPr>
                <w:rFonts w:ascii="Times New Roman" w:eastAsia="Times New Roman" w:hAnsi="Times New Roman" w:cs="Times New Roman"/>
                <w:color w:val="000000"/>
                <w:sz w:val="16"/>
                <w:szCs w:val="16"/>
                <w:lang w:val="en-US" w:eastAsia="de-DE"/>
              </w:rPr>
              <w:t>2 (3%)</w:t>
            </w:r>
          </w:p>
        </w:tc>
        <w:tc>
          <w:tcPr>
            <w:tcW w:w="1701" w:type="dxa"/>
            <w:vAlign w:val="bottom"/>
          </w:tcPr>
          <w:p w14:paraId="6ECBA7FA" w14:textId="77777777" w:rsidR="00E539FA" w:rsidRDefault="00E539FA" w:rsidP="00BD714C">
            <w:pPr>
              <w:spacing w:after="0" w:line="240" w:lineRule="auto"/>
              <w:jc w:val="center"/>
              <w:rPr>
                <w:rFonts w:ascii="Times New Roman" w:eastAsia="Times New Roman" w:hAnsi="Times New Roman" w:cs="Times New Roman"/>
                <w:color w:val="000000"/>
                <w:sz w:val="16"/>
                <w:szCs w:val="16"/>
                <w:lang w:val="en-US" w:eastAsia="de-DE"/>
              </w:rPr>
            </w:pPr>
            <w:r>
              <w:rPr>
                <w:rFonts w:ascii="Times New Roman" w:eastAsia="Times New Roman" w:hAnsi="Times New Roman" w:cs="Times New Roman"/>
                <w:color w:val="000000"/>
                <w:sz w:val="16"/>
                <w:szCs w:val="16"/>
                <w:lang w:val="en-US" w:eastAsia="de-DE"/>
              </w:rPr>
              <w:t>3 (12%)</w:t>
            </w:r>
          </w:p>
        </w:tc>
        <w:tc>
          <w:tcPr>
            <w:tcW w:w="950" w:type="dxa"/>
          </w:tcPr>
          <w:p w14:paraId="15F81B82" w14:textId="77777777" w:rsidR="00E539FA" w:rsidRPr="003B7AF7" w:rsidRDefault="00E539FA" w:rsidP="00BD714C">
            <w:pPr>
              <w:spacing w:after="0" w:line="240" w:lineRule="auto"/>
              <w:jc w:val="center"/>
              <w:rPr>
                <w:rFonts w:ascii="Times New Roman" w:eastAsia="Times New Roman" w:hAnsi="Times New Roman" w:cs="Times New Roman"/>
                <w:b/>
                <w:sz w:val="16"/>
                <w:szCs w:val="16"/>
                <w:lang w:val="en-US" w:eastAsia="de-DE"/>
              </w:rPr>
            </w:pPr>
          </w:p>
        </w:tc>
      </w:tr>
      <w:tr w:rsidR="00E539FA" w:rsidRPr="00AC25E6" w14:paraId="509A6B8C" w14:textId="77777777" w:rsidTr="00BD714C">
        <w:trPr>
          <w:trHeight w:val="33"/>
          <w:jc w:val="center"/>
        </w:trPr>
        <w:tc>
          <w:tcPr>
            <w:tcW w:w="2381" w:type="dxa"/>
            <w:shd w:val="clear" w:color="auto" w:fill="F2F2F2" w:themeFill="background1" w:themeFillShade="F2"/>
            <w:noWrap/>
            <w:vAlign w:val="center"/>
          </w:tcPr>
          <w:p w14:paraId="4D51B519" w14:textId="77777777" w:rsidR="00E539FA" w:rsidRPr="00AC25E6" w:rsidRDefault="00E539FA" w:rsidP="00BD714C">
            <w:pPr>
              <w:spacing w:after="0" w:line="240" w:lineRule="auto"/>
              <w:rPr>
                <w:rFonts w:ascii="Times New Roman" w:eastAsia="Times New Roman" w:hAnsi="Times New Roman" w:cs="Times New Roman"/>
                <w:b/>
                <w:bCs/>
                <w:color w:val="000000"/>
                <w:sz w:val="16"/>
                <w:szCs w:val="16"/>
                <w:lang w:val="en-US" w:eastAsia="de-DE"/>
              </w:rPr>
            </w:pPr>
            <w:r>
              <w:rPr>
                <w:rFonts w:ascii="Times New Roman" w:eastAsia="Times New Roman" w:hAnsi="Times New Roman" w:cs="Times New Roman"/>
                <w:b/>
                <w:bCs/>
                <w:color w:val="000000"/>
                <w:sz w:val="16"/>
                <w:szCs w:val="16"/>
                <w:lang w:val="en-US" w:eastAsia="de-DE"/>
              </w:rPr>
              <w:t>Aneurysm location</w:t>
            </w:r>
          </w:p>
        </w:tc>
        <w:tc>
          <w:tcPr>
            <w:tcW w:w="995" w:type="dxa"/>
            <w:shd w:val="clear" w:color="auto" w:fill="F2F2F2" w:themeFill="background1" w:themeFillShade="F2"/>
            <w:noWrap/>
            <w:vAlign w:val="bottom"/>
          </w:tcPr>
          <w:p w14:paraId="529D5413" w14:textId="77777777" w:rsidR="00E539FA" w:rsidRPr="00AC25E6" w:rsidRDefault="00E539FA" w:rsidP="00BD714C">
            <w:pPr>
              <w:spacing w:after="0" w:line="240" w:lineRule="auto"/>
              <w:jc w:val="center"/>
              <w:rPr>
                <w:rFonts w:ascii="Times New Roman" w:eastAsia="Times New Roman" w:hAnsi="Times New Roman" w:cs="Times New Roman"/>
                <w:color w:val="000000"/>
                <w:sz w:val="16"/>
                <w:szCs w:val="16"/>
                <w:lang w:val="en-US" w:eastAsia="de-DE"/>
              </w:rPr>
            </w:pPr>
          </w:p>
        </w:tc>
        <w:tc>
          <w:tcPr>
            <w:tcW w:w="794" w:type="dxa"/>
            <w:shd w:val="clear" w:color="auto" w:fill="F2F2F2" w:themeFill="background1" w:themeFillShade="F2"/>
          </w:tcPr>
          <w:p w14:paraId="78AF4E7E" w14:textId="77777777" w:rsidR="00E539FA" w:rsidRPr="003B7AF7" w:rsidRDefault="00E539FA" w:rsidP="00BD714C">
            <w:pPr>
              <w:spacing w:after="0" w:line="240" w:lineRule="auto"/>
              <w:jc w:val="center"/>
              <w:rPr>
                <w:rFonts w:ascii="Times New Roman" w:eastAsia="Times New Roman" w:hAnsi="Times New Roman" w:cs="Times New Roman"/>
                <w:sz w:val="16"/>
                <w:szCs w:val="16"/>
                <w:lang w:val="en-US" w:eastAsia="de-DE"/>
              </w:rPr>
            </w:pPr>
          </w:p>
        </w:tc>
        <w:tc>
          <w:tcPr>
            <w:tcW w:w="1531" w:type="dxa"/>
            <w:shd w:val="clear" w:color="auto" w:fill="F2F2F2" w:themeFill="background1" w:themeFillShade="F2"/>
          </w:tcPr>
          <w:p w14:paraId="78631FB2" w14:textId="77777777" w:rsidR="00E539FA" w:rsidRPr="003B7AF7" w:rsidRDefault="00E539FA" w:rsidP="00BD714C">
            <w:pPr>
              <w:spacing w:after="0" w:line="240" w:lineRule="auto"/>
              <w:jc w:val="center"/>
              <w:rPr>
                <w:rFonts w:ascii="Times New Roman" w:eastAsia="Times New Roman" w:hAnsi="Times New Roman" w:cs="Times New Roman"/>
                <w:sz w:val="16"/>
                <w:szCs w:val="16"/>
                <w:lang w:val="en-US" w:eastAsia="de-DE"/>
              </w:rPr>
            </w:pPr>
          </w:p>
        </w:tc>
        <w:tc>
          <w:tcPr>
            <w:tcW w:w="1701" w:type="dxa"/>
            <w:shd w:val="clear" w:color="auto" w:fill="F2F2F2" w:themeFill="background1" w:themeFillShade="F2"/>
          </w:tcPr>
          <w:p w14:paraId="0DC3ED79" w14:textId="77777777" w:rsidR="00E539FA" w:rsidRPr="003B7AF7" w:rsidRDefault="00E539FA" w:rsidP="00BD714C">
            <w:pPr>
              <w:spacing w:after="0" w:line="240" w:lineRule="auto"/>
              <w:jc w:val="center"/>
              <w:rPr>
                <w:rFonts w:ascii="Times New Roman" w:eastAsia="Times New Roman" w:hAnsi="Times New Roman" w:cs="Times New Roman"/>
                <w:sz w:val="16"/>
                <w:szCs w:val="16"/>
                <w:lang w:val="en-US" w:eastAsia="de-DE"/>
              </w:rPr>
            </w:pPr>
          </w:p>
        </w:tc>
        <w:tc>
          <w:tcPr>
            <w:tcW w:w="950" w:type="dxa"/>
            <w:shd w:val="clear" w:color="auto" w:fill="F2F2F2" w:themeFill="background1" w:themeFillShade="F2"/>
          </w:tcPr>
          <w:p w14:paraId="3079ED89" w14:textId="77777777" w:rsidR="00E539FA" w:rsidRDefault="00E539FA" w:rsidP="00BD714C">
            <w:pPr>
              <w:spacing w:after="0" w:line="240" w:lineRule="auto"/>
              <w:jc w:val="center"/>
              <w:rPr>
                <w:rFonts w:ascii="Times New Roman" w:eastAsia="Times New Roman" w:hAnsi="Times New Roman" w:cs="Times New Roman"/>
                <w:sz w:val="16"/>
                <w:szCs w:val="16"/>
                <w:lang w:val="en-US" w:eastAsia="de-DE"/>
              </w:rPr>
            </w:pPr>
            <w:r>
              <w:rPr>
                <w:rFonts w:ascii="Times New Roman" w:eastAsia="Times New Roman" w:hAnsi="Times New Roman" w:cs="Times New Roman"/>
                <w:sz w:val="16"/>
                <w:szCs w:val="16"/>
                <w:lang w:val="en-US" w:eastAsia="de-DE"/>
              </w:rPr>
              <w:t>0.328</w:t>
            </w:r>
          </w:p>
        </w:tc>
      </w:tr>
      <w:tr w:rsidR="00E539FA" w:rsidRPr="00AC25E6" w14:paraId="7D239AA8" w14:textId="77777777" w:rsidTr="00BD714C">
        <w:trPr>
          <w:trHeight w:val="33"/>
          <w:jc w:val="center"/>
        </w:trPr>
        <w:tc>
          <w:tcPr>
            <w:tcW w:w="2381" w:type="dxa"/>
            <w:shd w:val="clear" w:color="auto" w:fill="auto"/>
            <w:noWrap/>
            <w:vAlign w:val="center"/>
          </w:tcPr>
          <w:p w14:paraId="4F1CBE56" w14:textId="77777777" w:rsidR="00E539FA" w:rsidRDefault="00E539FA" w:rsidP="00BD714C">
            <w:pPr>
              <w:spacing w:after="0" w:line="240" w:lineRule="auto"/>
              <w:rPr>
                <w:rFonts w:ascii="Times New Roman" w:eastAsia="Times New Roman" w:hAnsi="Times New Roman" w:cs="Times New Roman"/>
                <w:b/>
                <w:bCs/>
                <w:color w:val="000000"/>
                <w:sz w:val="16"/>
                <w:szCs w:val="16"/>
                <w:lang w:val="en-US" w:eastAsia="de-DE"/>
              </w:rPr>
            </w:pPr>
            <w:r>
              <w:rPr>
                <w:rFonts w:ascii="Times New Roman" w:eastAsia="Times New Roman" w:hAnsi="Times New Roman" w:cs="Times New Roman"/>
                <w:color w:val="000000"/>
                <w:sz w:val="16"/>
                <w:szCs w:val="16"/>
                <w:lang w:val="en-US" w:eastAsia="de-DE"/>
              </w:rPr>
              <w:tab/>
            </w:r>
            <w:r w:rsidRPr="00AC25E6">
              <w:rPr>
                <w:rFonts w:ascii="Times New Roman" w:eastAsia="Times New Roman" w:hAnsi="Times New Roman" w:cs="Times New Roman"/>
                <w:color w:val="000000"/>
                <w:sz w:val="16"/>
                <w:szCs w:val="16"/>
                <w:lang w:val="en-US" w:eastAsia="de-DE"/>
              </w:rPr>
              <w:t xml:space="preserve">Anterior circulation </w:t>
            </w:r>
          </w:p>
        </w:tc>
        <w:tc>
          <w:tcPr>
            <w:tcW w:w="995" w:type="dxa"/>
            <w:shd w:val="clear" w:color="auto" w:fill="auto"/>
            <w:noWrap/>
            <w:vAlign w:val="bottom"/>
          </w:tcPr>
          <w:p w14:paraId="1CBED956" w14:textId="77777777" w:rsidR="00E539FA" w:rsidRDefault="00E539FA" w:rsidP="00BD714C">
            <w:pPr>
              <w:spacing w:after="0" w:line="240" w:lineRule="auto"/>
              <w:jc w:val="center"/>
              <w:rPr>
                <w:rFonts w:ascii="Times New Roman" w:eastAsia="Times New Roman" w:hAnsi="Times New Roman" w:cs="Times New Roman"/>
                <w:color w:val="000000"/>
                <w:sz w:val="16"/>
                <w:szCs w:val="16"/>
                <w:lang w:val="en-US" w:eastAsia="de-DE"/>
              </w:rPr>
            </w:pPr>
            <w:r>
              <w:rPr>
                <w:rFonts w:ascii="Times New Roman" w:eastAsia="Times New Roman" w:hAnsi="Times New Roman" w:cs="Times New Roman"/>
                <w:color w:val="000000"/>
                <w:sz w:val="16"/>
                <w:szCs w:val="16"/>
                <w:lang w:val="en-US" w:eastAsia="de-DE"/>
              </w:rPr>
              <w:t>68 (71%)</w:t>
            </w:r>
          </w:p>
        </w:tc>
        <w:tc>
          <w:tcPr>
            <w:tcW w:w="794" w:type="dxa"/>
          </w:tcPr>
          <w:p w14:paraId="60A487E4" w14:textId="77777777" w:rsidR="00E539FA" w:rsidRDefault="00E539FA" w:rsidP="00BD714C">
            <w:pPr>
              <w:spacing w:after="0" w:line="240" w:lineRule="auto"/>
              <w:jc w:val="center"/>
              <w:rPr>
                <w:rFonts w:ascii="Times New Roman" w:eastAsia="Times New Roman" w:hAnsi="Times New Roman" w:cs="Times New Roman"/>
                <w:color w:val="000000"/>
                <w:sz w:val="16"/>
                <w:szCs w:val="16"/>
                <w:lang w:val="en-US" w:eastAsia="de-DE"/>
              </w:rPr>
            </w:pPr>
            <w:r>
              <w:rPr>
                <w:rFonts w:ascii="Times New Roman" w:eastAsia="Times New Roman" w:hAnsi="Times New Roman" w:cs="Times New Roman"/>
                <w:sz w:val="16"/>
                <w:szCs w:val="16"/>
                <w:lang w:val="en-US" w:eastAsia="de-DE"/>
              </w:rPr>
              <w:t>3 (50%)</w:t>
            </w:r>
          </w:p>
        </w:tc>
        <w:tc>
          <w:tcPr>
            <w:tcW w:w="1531" w:type="dxa"/>
            <w:vAlign w:val="bottom"/>
          </w:tcPr>
          <w:p w14:paraId="22FE12E4" w14:textId="77777777" w:rsidR="00E539FA" w:rsidRDefault="00E539FA" w:rsidP="00BD714C">
            <w:pPr>
              <w:spacing w:after="0" w:line="240" w:lineRule="auto"/>
              <w:jc w:val="center"/>
              <w:rPr>
                <w:rFonts w:ascii="Times New Roman" w:eastAsia="Times New Roman" w:hAnsi="Times New Roman" w:cs="Times New Roman"/>
                <w:color w:val="000000"/>
                <w:sz w:val="16"/>
                <w:szCs w:val="16"/>
                <w:lang w:val="en-US" w:eastAsia="de-DE"/>
              </w:rPr>
            </w:pPr>
            <w:r>
              <w:rPr>
                <w:rFonts w:ascii="Times New Roman" w:eastAsia="Times New Roman" w:hAnsi="Times New Roman" w:cs="Times New Roman"/>
                <w:color w:val="000000"/>
                <w:sz w:val="16"/>
                <w:szCs w:val="16"/>
                <w:lang w:val="en-US" w:eastAsia="de-DE"/>
              </w:rPr>
              <w:t>44 (68%)</w:t>
            </w:r>
          </w:p>
        </w:tc>
        <w:tc>
          <w:tcPr>
            <w:tcW w:w="1701" w:type="dxa"/>
            <w:vAlign w:val="bottom"/>
          </w:tcPr>
          <w:p w14:paraId="08277F3C" w14:textId="77777777" w:rsidR="00E539FA" w:rsidRDefault="00E539FA" w:rsidP="00BD714C">
            <w:pPr>
              <w:spacing w:after="0" w:line="240" w:lineRule="auto"/>
              <w:jc w:val="center"/>
              <w:rPr>
                <w:rFonts w:ascii="Times New Roman" w:eastAsia="Times New Roman" w:hAnsi="Times New Roman" w:cs="Times New Roman"/>
                <w:color w:val="000000"/>
                <w:sz w:val="16"/>
                <w:szCs w:val="16"/>
                <w:lang w:val="en-US" w:eastAsia="de-DE"/>
              </w:rPr>
            </w:pPr>
            <w:r>
              <w:rPr>
                <w:rFonts w:ascii="Times New Roman" w:eastAsia="Times New Roman" w:hAnsi="Times New Roman" w:cs="Times New Roman"/>
                <w:color w:val="000000"/>
                <w:sz w:val="16"/>
                <w:szCs w:val="16"/>
                <w:lang w:val="en-US" w:eastAsia="de-DE"/>
              </w:rPr>
              <w:t>21 (84%)</w:t>
            </w:r>
          </w:p>
        </w:tc>
        <w:tc>
          <w:tcPr>
            <w:tcW w:w="950" w:type="dxa"/>
          </w:tcPr>
          <w:p w14:paraId="6E48E26E" w14:textId="77777777" w:rsidR="00E539FA" w:rsidRPr="003B7AF7" w:rsidRDefault="00E539FA" w:rsidP="00BD714C">
            <w:pPr>
              <w:spacing w:after="0" w:line="240" w:lineRule="auto"/>
              <w:jc w:val="center"/>
              <w:rPr>
                <w:rFonts w:ascii="Times New Roman" w:eastAsia="Times New Roman" w:hAnsi="Times New Roman" w:cs="Times New Roman"/>
                <w:sz w:val="16"/>
                <w:szCs w:val="16"/>
                <w:lang w:val="en-US" w:eastAsia="de-DE"/>
              </w:rPr>
            </w:pPr>
          </w:p>
        </w:tc>
      </w:tr>
      <w:tr w:rsidR="00E539FA" w:rsidRPr="00AC25E6" w14:paraId="4359FF4C" w14:textId="77777777" w:rsidTr="00BD714C">
        <w:trPr>
          <w:trHeight w:val="63"/>
          <w:jc w:val="center"/>
        </w:trPr>
        <w:tc>
          <w:tcPr>
            <w:tcW w:w="2381" w:type="dxa"/>
            <w:shd w:val="clear" w:color="auto" w:fill="auto"/>
            <w:noWrap/>
            <w:vAlign w:val="center"/>
            <w:hideMark/>
          </w:tcPr>
          <w:p w14:paraId="59F1133E" w14:textId="77777777" w:rsidR="00E539FA" w:rsidRPr="00AC25E6" w:rsidRDefault="00E539FA" w:rsidP="00BD714C">
            <w:pPr>
              <w:spacing w:after="0" w:line="240" w:lineRule="auto"/>
              <w:rPr>
                <w:rFonts w:ascii="Times New Roman" w:eastAsia="Times New Roman" w:hAnsi="Times New Roman" w:cs="Times New Roman"/>
                <w:b/>
                <w:bCs/>
                <w:color w:val="000000"/>
                <w:sz w:val="16"/>
                <w:szCs w:val="16"/>
                <w:lang w:val="en-US" w:eastAsia="de-DE"/>
              </w:rPr>
            </w:pPr>
            <w:r>
              <w:rPr>
                <w:rFonts w:ascii="Times New Roman" w:eastAsia="Times New Roman" w:hAnsi="Times New Roman" w:cs="Times New Roman"/>
                <w:color w:val="000000"/>
                <w:sz w:val="16"/>
                <w:szCs w:val="16"/>
                <w:lang w:val="en-US" w:eastAsia="de-DE"/>
              </w:rPr>
              <w:tab/>
            </w:r>
            <w:r w:rsidRPr="00AC25E6">
              <w:rPr>
                <w:rFonts w:ascii="Times New Roman" w:eastAsia="Times New Roman" w:hAnsi="Times New Roman" w:cs="Times New Roman"/>
                <w:color w:val="000000"/>
                <w:sz w:val="16"/>
                <w:szCs w:val="16"/>
                <w:lang w:val="en-US" w:eastAsia="de-DE"/>
              </w:rPr>
              <w:t xml:space="preserve">Posterior circulation </w:t>
            </w:r>
          </w:p>
        </w:tc>
        <w:tc>
          <w:tcPr>
            <w:tcW w:w="995" w:type="dxa"/>
            <w:shd w:val="clear" w:color="auto" w:fill="auto"/>
            <w:noWrap/>
            <w:vAlign w:val="bottom"/>
          </w:tcPr>
          <w:p w14:paraId="107C273D" w14:textId="77777777" w:rsidR="00E539FA" w:rsidRDefault="00E539FA" w:rsidP="00BD714C">
            <w:pPr>
              <w:spacing w:after="0" w:line="240" w:lineRule="auto"/>
              <w:jc w:val="center"/>
              <w:rPr>
                <w:rFonts w:ascii="Times New Roman" w:eastAsia="Times New Roman" w:hAnsi="Times New Roman" w:cs="Times New Roman"/>
                <w:color w:val="000000"/>
                <w:sz w:val="16"/>
                <w:szCs w:val="16"/>
                <w:lang w:val="en-US" w:eastAsia="de-DE"/>
              </w:rPr>
            </w:pPr>
            <w:r>
              <w:rPr>
                <w:rFonts w:ascii="Times New Roman" w:eastAsia="Times New Roman" w:hAnsi="Times New Roman" w:cs="Times New Roman"/>
                <w:color w:val="000000"/>
                <w:sz w:val="16"/>
                <w:szCs w:val="16"/>
                <w:lang w:val="en-US" w:eastAsia="de-DE"/>
              </w:rPr>
              <w:t>27 (28%)</w:t>
            </w:r>
          </w:p>
        </w:tc>
        <w:tc>
          <w:tcPr>
            <w:tcW w:w="794" w:type="dxa"/>
          </w:tcPr>
          <w:p w14:paraId="05FA105A" w14:textId="77777777" w:rsidR="00E539FA" w:rsidRDefault="00E539FA" w:rsidP="00BD714C">
            <w:pPr>
              <w:spacing w:after="0" w:line="240" w:lineRule="auto"/>
              <w:jc w:val="center"/>
              <w:rPr>
                <w:rFonts w:ascii="Times New Roman" w:eastAsia="Times New Roman" w:hAnsi="Times New Roman" w:cs="Times New Roman"/>
                <w:color w:val="000000"/>
                <w:sz w:val="16"/>
                <w:szCs w:val="16"/>
                <w:lang w:val="en-US" w:eastAsia="de-DE"/>
              </w:rPr>
            </w:pPr>
            <w:r>
              <w:rPr>
                <w:rFonts w:ascii="Times New Roman" w:eastAsia="Times New Roman" w:hAnsi="Times New Roman" w:cs="Times New Roman"/>
                <w:sz w:val="16"/>
                <w:szCs w:val="16"/>
                <w:lang w:val="en-US" w:eastAsia="de-DE"/>
              </w:rPr>
              <w:t>3 (50%)</w:t>
            </w:r>
          </w:p>
        </w:tc>
        <w:tc>
          <w:tcPr>
            <w:tcW w:w="1531" w:type="dxa"/>
            <w:vAlign w:val="bottom"/>
          </w:tcPr>
          <w:p w14:paraId="65520138" w14:textId="77777777" w:rsidR="00E539FA" w:rsidRDefault="00E539FA" w:rsidP="00BD714C">
            <w:pPr>
              <w:spacing w:after="0" w:line="240" w:lineRule="auto"/>
              <w:jc w:val="center"/>
              <w:rPr>
                <w:rFonts w:ascii="Times New Roman" w:eastAsia="Times New Roman" w:hAnsi="Times New Roman" w:cs="Times New Roman"/>
                <w:color w:val="000000"/>
                <w:sz w:val="16"/>
                <w:szCs w:val="16"/>
                <w:lang w:val="en-US" w:eastAsia="de-DE"/>
              </w:rPr>
            </w:pPr>
            <w:r>
              <w:rPr>
                <w:rFonts w:ascii="Times New Roman" w:eastAsia="Times New Roman" w:hAnsi="Times New Roman" w:cs="Times New Roman"/>
                <w:color w:val="000000"/>
                <w:sz w:val="16"/>
                <w:szCs w:val="16"/>
                <w:lang w:val="en-US" w:eastAsia="de-DE"/>
              </w:rPr>
              <w:t>21 (32%)</w:t>
            </w:r>
          </w:p>
        </w:tc>
        <w:tc>
          <w:tcPr>
            <w:tcW w:w="1701" w:type="dxa"/>
            <w:vAlign w:val="bottom"/>
          </w:tcPr>
          <w:p w14:paraId="1605A7D9" w14:textId="77777777" w:rsidR="00E539FA" w:rsidRDefault="00E539FA" w:rsidP="00BD714C">
            <w:pPr>
              <w:spacing w:after="0" w:line="240" w:lineRule="auto"/>
              <w:jc w:val="center"/>
              <w:rPr>
                <w:rFonts w:ascii="Times New Roman" w:eastAsia="Times New Roman" w:hAnsi="Times New Roman" w:cs="Times New Roman"/>
                <w:color w:val="000000"/>
                <w:sz w:val="16"/>
                <w:szCs w:val="16"/>
                <w:lang w:val="en-US" w:eastAsia="de-DE"/>
              </w:rPr>
            </w:pPr>
            <w:r>
              <w:rPr>
                <w:rFonts w:ascii="Times New Roman" w:eastAsia="Times New Roman" w:hAnsi="Times New Roman" w:cs="Times New Roman"/>
                <w:color w:val="000000"/>
                <w:sz w:val="16"/>
                <w:szCs w:val="16"/>
                <w:lang w:val="en-US" w:eastAsia="de-DE"/>
              </w:rPr>
              <w:t>3 (12%)</w:t>
            </w:r>
          </w:p>
        </w:tc>
        <w:tc>
          <w:tcPr>
            <w:tcW w:w="950" w:type="dxa"/>
          </w:tcPr>
          <w:p w14:paraId="7204F5E3" w14:textId="77777777" w:rsidR="00E539FA" w:rsidRPr="003B7AF7" w:rsidRDefault="00E539FA" w:rsidP="00BD714C">
            <w:pPr>
              <w:spacing w:after="0" w:line="240" w:lineRule="auto"/>
              <w:jc w:val="center"/>
              <w:rPr>
                <w:rFonts w:ascii="Times New Roman" w:eastAsia="Times New Roman" w:hAnsi="Times New Roman" w:cs="Times New Roman"/>
                <w:sz w:val="16"/>
                <w:szCs w:val="16"/>
                <w:lang w:val="en-US" w:eastAsia="de-DE"/>
              </w:rPr>
            </w:pPr>
          </w:p>
        </w:tc>
      </w:tr>
      <w:tr w:rsidR="00E539FA" w:rsidRPr="00AC25E6" w14:paraId="545601F2" w14:textId="77777777" w:rsidTr="00BD714C">
        <w:trPr>
          <w:trHeight w:val="63"/>
          <w:jc w:val="center"/>
        </w:trPr>
        <w:tc>
          <w:tcPr>
            <w:tcW w:w="2381" w:type="dxa"/>
            <w:shd w:val="clear" w:color="auto" w:fill="auto"/>
            <w:noWrap/>
            <w:vAlign w:val="center"/>
          </w:tcPr>
          <w:p w14:paraId="6EA3EDEF" w14:textId="77777777" w:rsidR="00E539FA" w:rsidRPr="00AC25E6" w:rsidRDefault="00E539FA" w:rsidP="00BD714C">
            <w:pPr>
              <w:spacing w:after="0" w:line="240" w:lineRule="auto"/>
              <w:rPr>
                <w:rFonts w:ascii="Times New Roman" w:eastAsia="Times New Roman" w:hAnsi="Times New Roman" w:cs="Times New Roman"/>
                <w:color w:val="000000"/>
                <w:sz w:val="16"/>
                <w:szCs w:val="16"/>
                <w:lang w:val="en-US" w:eastAsia="de-DE"/>
              </w:rPr>
            </w:pPr>
            <w:r>
              <w:rPr>
                <w:rFonts w:ascii="Times New Roman" w:eastAsia="Times New Roman" w:hAnsi="Times New Roman" w:cs="Times New Roman"/>
                <w:color w:val="000000"/>
                <w:sz w:val="16"/>
                <w:szCs w:val="16"/>
                <w:lang w:val="en-US" w:eastAsia="de-DE"/>
              </w:rPr>
              <w:tab/>
              <w:t>Both</w:t>
            </w:r>
          </w:p>
        </w:tc>
        <w:tc>
          <w:tcPr>
            <w:tcW w:w="995" w:type="dxa"/>
            <w:shd w:val="clear" w:color="auto" w:fill="auto"/>
            <w:noWrap/>
            <w:vAlign w:val="bottom"/>
          </w:tcPr>
          <w:p w14:paraId="21EBD62C" w14:textId="77777777" w:rsidR="00E539FA" w:rsidRDefault="00E539FA" w:rsidP="00BD714C">
            <w:pPr>
              <w:spacing w:after="0" w:line="240" w:lineRule="auto"/>
              <w:jc w:val="center"/>
              <w:rPr>
                <w:rFonts w:ascii="Times New Roman" w:eastAsia="Times New Roman" w:hAnsi="Times New Roman" w:cs="Times New Roman"/>
                <w:color w:val="000000"/>
                <w:sz w:val="16"/>
                <w:szCs w:val="16"/>
                <w:lang w:val="en-US" w:eastAsia="de-DE"/>
              </w:rPr>
            </w:pPr>
            <w:r>
              <w:rPr>
                <w:rFonts w:ascii="Times New Roman" w:eastAsia="Times New Roman" w:hAnsi="Times New Roman" w:cs="Times New Roman"/>
                <w:color w:val="000000"/>
                <w:sz w:val="16"/>
                <w:szCs w:val="16"/>
                <w:lang w:val="en-US" w:eastAsia="de-DE"/>
              </w:rPr>
              <w:t>1 (1%)</w:t>
            </w:r>
          </w:p>
        </w:tc>
        <w:tc>
          <w:tcPr>
            <w:tcW w:w="794" w:type="dxa"/>
          </w:tcPr>
          <w:p w14:paraId="6F8422A2" w14:textId="77777777" w:rsidR="00E539FA" w:rsidRDefault="00E539FA" w:rsidP="00BD714C">
            <w:pPr>
              <w:spacing w:after="0" w:line="240" w:lineRule="auto"/>
              <w:jc w:val="center"/>
              <w:rPr>
                <w:rFonts w:ascii="Times New Roman" w:eastAsia="Times New Roman" w:hAnsi="Times New Roman" w:cs="Times New Roman"/>
                <w:color w:val="000000"/>
                <w:sz w:val="16"/>
                <w:szCs w:val="16"/>
                <w:lang w:val="en-US" w:eastAsia="de-DE"/>
              </w:rPr>
            </w:pPr>
            <w:r>
              <w:rPr>
                <w:rFonts w:ascii="Times New Roman" w:eastAsia="Times New Roman" w:hAnsi="Times New Roman" w:cs="Times New Roman"/>
                <w:sz w:val="16"/>
                <w:szCs w:val="16"/>
                <w:lang w:val="en-US" w:eastAsia="de-DE"/>
              </w:rPr>
              <w:t>0 (0%)</w:t>
            </w:r>
          </w:p>
        </w:tc>
        <w:tc>
          <w:tcPr>
            <w:tcW w:w="1531" w:type="dxa"/>
            <w:vAlign w:val="bottom"/>
          </w:tcPr>
          <w:p w14:paraId="3B319A16" w14:textId="77777777" w:rsidR="00E539FA" w:rsidRDefault="00E539FA" w:rsidP="00BD714C">
            <w:pPr>
              <w:spacing w:after="0" w:line="240" w:lineRule="auto"/>
              <w:jc w:val="center"/>
              <w:rPr>
                <w:rFonts w:ascii="Times New Roman" w:eastAsia="Times New Roman" w:hAnsi="Times New Roman" w:cs="Times New Roman"/>
                <w:color w:val="000000"/>
                <w:sz w:val="16"/>
                <w:szCs w:val="16"/>
                <w:lang w:val="en-US" w:eastAsia="de-DE"/>
              </w:rPr>
            </w:pPr>
            <w:r>
              <w:rPr>
                <w:rFonts w:ascii="Times New Roman" w:eastAsia="Times New Roman" w:hAnsi="Times New Roman" w:cs="Times New Roman"/>
                <w:color w:val="000000"/>
                <w:sz w:val="16"/>
                <w:szCs w:val="16"/>
                <w:lang w:val="en-US" w:eastAsia="de-DE"/>
              </w:rPr>
              <w:t>0 (0%)</w:t>
            </w:r>
          </w:p>
        </w:tc>
        <w:tc>
          <w:tcPr>
            <w:tcW w:w="1701" w:type="dxa"/>
            <w:vAlign w:val="bottom"/>
          </w:tcPr>
          <w:p w14:paraId="78F113EF" w14:textId="77777777" w:rsidR="00E539FA" w:rsidRDefault="00E539FA" w:rsidP="00BD714C">
            <w:pPr>
              <w:spacing w:after="0" w:line="240" w:lineRule="auto"/>
              <w:jc w:val="center"/>
              <w:rPr>
                <w:rFonts w:ascii="Times New Roman" w:eastAsia="Times New Roman" w:hAnsi="Times New Roman" w:cs="Times New Roman"/>
                <w:color w:val="000000"/>
                <w:sz w:val="16"/>
                <w:szCs w:val="16"/>
                <w:lang w:val="en-US" w:eastAsia="de-DE"/>
              </w:rPr>
            </w:pPr>
            <w:r>
              <w:rPr>
                <w:rFonts w:ascii="Times New Roman" w:eastAsia="Times New Roman" w:hAnsi="Times New Roman" w:cs="Times New Roman"/>
                <w:color w:val="000000"/>
                <w:sz w:val="16"/>
                <w:szCs w:val="16"/>
                <w:lang w:val="en-US" w:eastAsia="de-DE"/>
              </w:rPr>
              <w:t>1 (4%)</w:t>
            </w:r>
          </w:p>
        </w:tc>
        <w:tc>
          <w:tcPr>
            <w:tcW w:w="950" w:type="dxa"/>
          </w:tcPr>
          <w:p w14:paraId="53969EC6" w14:textId="77777777" w:rsidR="00E539FA" w:rsidRPr="003B7AF7" w:rsidRDefault="00E539FA" w:rsidP="00BD714C">
            <w:pPr>
              <w:spacing w:after="0" w:line="240" w:lineRule="auto"/>
              <w:jc w:val="center"/>
              <w:rPr>
                <w:rFonts w:ascii="Times New Roman" w:eastAsia="Times New Roman" w:hAnsi="Times New Roman" w:cs="Times New Roman"/>
                <w:sz w:val="16"/>
                <w:szCs w:val="16"/>
                <w:lang w:val="en-US" w:eastAsia="de-DE"/>
              </w:rPr>
            </w:pPr>
          </w:p>
        </w:tc>
      </w:tr>
      <w:tr w:rsidR="00E539FA" w:rsidRPr="00AC25E6" w14:paraId="536F42D6" w14:textId="77777777" w:rsidTr="00BD714C">
        <w:trPr>
          <w:trHeight w:val="63"/>
          <w:jc w:val="center"/>
        </w:trPr>
        <w:tc>
          <w:tcPr>
            <w:tcW w:w="2381" w:type="dxa"/>
            <w:shd w:val="clear" w:color="auto" w:fill="F2F2F2" w:themeFill="background1" w:themeFillShade="F2"/>
            <w:noWrap/>
            <w:vAlign w:val="center"/>
          </w:tcPr>
          <w:p w14:paraId="02958FF6" w14:textId="77777777" w:rsidR="00E539FA" w:rsidRPr="000241E5" w:rsidRDefault="00E539FA" w:rsidP="00BD714C">
            <w:pPr>
              <w:spacing w:after="0" w:line="240" w:lineRule="auto"/>
              <w:rPr>
                <w:rFonts w:ascii="Times New Roman" w:eastAsia="Times New Roman" w:hAnsi="Times New Roman" w:cs="Times New Roman"/>
                <w:bCs/>
                <w:color w:val="000000"/>
                <w:sz w:val="16"/>
                <w:szCs w:val="16"/>
                <w:lang w:val="en-US" w:eastAsia="de-DE"/>
              </w:rPr>
            </w:pPr>
            <w:r>
              <w:rPr>
                <w:rFonts w:ascii="Times New Roman" w:eastAsia="Times New Roman" w:hAnsi="Times New Roman" w:cs="Times New Roman"/>
                <w:b/>
                <w:color w:val="000000"/>
                <w:sz w:val="16"/>
                <w:szCs w:val="16"/>
                <w:lang w:val="en-US" w:eastAsia="de-DE"/>
              </w:rPr>
              <w:t>Treatment modality</w:t>
            </w:r>
          </w:p>
        </w:tc>
        <w:tc>
          <w:tcPr>
            <w:tcW w:w="995" w:type="dxa"/>
            <w:shd w:val="clear" w:color="auto" w:fill="F2F2F2" w:themeFill="background1" w:themeFillShade="F2"/>
            <w:noWrap/>
            <w:vAlign w:val="bottom"/>
          </w:tcPr>
          <w:p w14:paraId="3EC08B30" w14:textId="77777777" w:rsidR="00E539FA" w:rsidRDefault="00E539FA" w:rsidP="00BD714C">
            <w:pPr>
              <w:spacing w:after="0" w:line="240" w:lineRule="auto"/>
              <w:jc w:val="center"/>
              <w:rPr>
                <w:rFonts w:ascii="Times New Roman" w:eastAsia="Times New Roman" w:hAnsi="Times New Roman" w:cs="Times New Roman"/>
                <w:color w:val="000000"/>
                <w:sz w:val="16"/>
                <w:szCs w:val="16"/>
                <w:lang w:val="en-US" w:eastAsia="de-DE"/>
              </w:rPr>
            </w:pPr>
          </w:p>
        </w:tc>
        <w:tc>
          <w:tcPr>
            <w:tcW w:w="794" w:type="dxa"/>
            <w:shd w:val="clear" w:color="auto" w:fill="F2F2F2" w:themeFill="background1" w:themeFillShade="F2"/>
          </w:tcPr>
          <w:p w14:paraId="7BA87A77" w14:textId="77777777" w:rsidR="00E539FA" w:rsidRPr="003B7AF7" w:rsidRDefault="00E539FA" w:rsidP="00BD714C">
            <w:pPr>
              <w:spacing w:after="0" w:line="240" w:lineRule="auto"/>
              <w:jc w:val="center"/>
              <w:rPr>
                <w:rFonts w:ascii="Times New Roman" w:eastAsia="Times New Roman" w:hAnsi="Times New Roman" w:cs="Times New Roman"/>
                <w:sz w:val="16"/>
                <w:szCs w:val="16"/>
                <w:lang w:val="en-US" w:eastAsia="de-DE"/>
              </w:rPr>
            </w:pPr>
          </w:p>
        </w:tc>
        <w:tc>
          <w:tcPr>
            <w:tcW w:w="1531" w:type="dxa"/>
            <w:shd w:val="clear" w:color="auto" w:fill="F2F2F2" w:themeFill="background1" w:themeFillShade="F2"/>
          </w:tcPr>
          <w:p w14:paraId="096F29C2" w14:textId="77777777" w:rsidR="00E539FA" w:rsidRPr="003B7AF7" w:rsidRDefault="00E539FA" w:rsidP="00BD714C">
            <w:pPr>
              <w:spacing w:after="0" w:line="240" w:lineRule="auto"/>
              <w:jc w:val="center"/>
              <w:rPr>
                <w:rFonts w:ascii="Times New Roman" w:eastAsia="Times New Roman" w:hAnsi="Times New Roman" w:cs="Times New Roman"/>
                <w:sz w:val="16"/>
                <w:szCs w:val="16"/>
                <w:lang w:val="en-US" w:eastAsia="de-DE"/>
              </w:rPr>
            </w:pPr>
          </w:p>
        </w:tc>
        <w:tc>
          <w:tcPr>
            <w:tcW w:w="1701" w:type="dxa"/>
            <w:shd w:val="clear" w:color="auto" w:fill="F2F2F2" w:themeFill="background1" w:themeFillShade="F2"/>
          </w:tcPr>
          <w:p w14:paraId="08A1BB24" w14:textId="77777777" w:rsidR="00E539FA" w:rsidRPr="003B7AF7" w:rsidRDefault="00E539FA" w:rsidP="00BD714C">
            <w:pPr>
              <w:spacing w:after="0" w:line="240" w:lineRule="auto"/>
              <w:jc w:val="center"/>
              <w:rPr>
                <w:rFonts w:ascii="Times New Roman" w:eastAsia="Times New Roman" w:hAnsi="Times New Roman" w:cs="Times New Roman"/>
                <w:sz w:val="16"/>
                <w:szCs w:val="16"/>
                <w:lang w:val="en-US" w:eastAsia="de-DE"/>
              </w:rPr>
            </w:pPr>
          </w:p>
        </w:tc>
        <w:tc>
          <w:tcPr>
            <w:tcW w:w="950" w:type="dxa"/>
            <w:shd w:val="clear" w:color="auto" w:fill="F2F2F2" w:themeFill="background1" w:themeFillShade="F2"/>
          </w:tcPr>
          <w:p w14:paraId="3F950861" w14:textId="77777777" w:rsidR="00E539FA" w:rsidRDefault="00E539FA" w:rsidP="00BD714C">
            <w:pPr>
              <w:spacing w:after="0" w:line="240" w:lineRule="auto"/>
              <w:jc w:val="center"/>
              <w:rPr>
                <w:rFonts w:ascii="Times New Roman" w:eastAsia="Times New Roman" w:hAnsi="Times New Roman" w:cs="Times New Roman"/>
                <w:sz w:val="16"/>
                <w:szCs w:val="16"/>
                <w:lang w:val="en-US" w:eastAsia="de-DE"/>
              </w:rPr>
            </w:pPr>
            <w:r>
              <w:rPr>
                <w:rFonts w:ascii="Times New Roman" w:eastAsia="Times New Roman" w:hAnsi="Times New Roman" w:cs="Times New Roman"/>
                <w:sz w:val="16"/>
                <w:szCs w:val="16"/>
                <w:lang w:val="en-US" w:eastAsia="de-DE"/>
              </w:rPr>
              <w:t>0.078</w:t>
            </w:r>
          </w:p>
        </w:tc>
      </w:tr>
      <w:tr w:rsidR="00E539FA" w:rsidRPr="00AC25E6" w14:paraId="0E23EBC0" w14:textId="77777777" w:rsidTr="00BD714C">
        <w:trPr>
          <w:trHeight w:val="63"/>
          <w:jc w:val="center"/>
        </w:trPr>
        <w:tc>
          <w:tcPr>
            <w:tcW w:w="2381" w:type="dxa"/>
            <w:shd w:val="clear" w:color="auto" w:fill="auto"/>
            <w:noWrap/>
            <w:vAlign w:val="center"/>
          </w:tcPr>
          <w:p w14:paraId="6E63DE29" w14:textId="77777777" w:rsidR="00E539FA" w:rsidRPr="00825F42" w:rsidRDefault="00E539FA" w:rsidP="00BD714C">
            <w:pPr>
              <w:spacing w:after="0" w:line="240" w:lineRule="auto"/>
              <w:rPr>
                <w:rFonts w:ascii="Times New Roman" w:eastAsia="Times New Roman" w:hAnsi="Times New Roman" w:cs="Times New Roman"/>
                <w:bCs/>
                <w:color w:val="000000"/>
                <w:sz w:val="16"/>
                <w:szCs w:val="16"/>
                <w:lang w:val="en-US" w:eastAsia="de-DE"/>
              </w:rPr>
            </w:pPr>
            <w:r>
              <w:rPr>
                <w:rFonts w:ascii="Times New Roman" w:eastAsia="Times New Roman" w:hAnsi="Times New Roman" w:cs="Times New Roman"/>
                <w:color w:val="000000"/>
                <w:sz w:val="16"/>
                <w:szCs w:val="16"/>
                <w:lang w:val="en-US" w:eastAsia="de-DE"/>
              </w:rPr>
              <w:tab/>
            </w:r>
            <w:r w:rsidRPr="00825F42">
              <w:rPr>
                <w:rFonts w:ascii="Times New Roman" w:eastAsia="Times New Roman" w:hAnsi="Times New Roman" w:cs="Times New Roman"/>
                <w:color w:val="000000"/>
                <w:sz w:val="16"/>
                <w:szCs w:val="16"/>
                <w:lang w:val="en-US" w:eastAsia="de-DE"/>
              </w:rPr>
              <w:t>Clipping</w:t>
            </w:r>
          </w:p>
        </w:tc>
        <w:tc>
          <w:tcPr>
            <w:tcW w:w="995" w:type="dxa"/>
            <w:shd w:val="clear" w:color="auto" w:fill="auto"/>
            <w:noWrap/>
            <w:vAlign w:val="bottom"/>
          </w:tcPr>
          <w:p w14:paraId="084EC39C" w14:textId="77777777" w:rsidR="00E539FA" w:rsidRDefault="00E539FA" w:rsidP="00BD714C">
            <w:pPr>
              <w:spacing w:after="0" w:line="240" w:lineRule="auto"/>
              <w:jc w:val="center"/>
              <w:rPr>
                <w:rFonts w:ascii="Times New Roman" w:eastAsia="Times New Roman" w:hAnsi="Times New Roman" w:cs="Times New Roman"/>
                <w:color w:val="000000"/>
                <w:sz w:val="16"/>
                <w:szCs w:val="16"/>
                <w:lang w:val="en-US" w:eastAsia="de-DE"/>
              </w:rPr>
            </w:pPr>
            <w:r>
              <w:rPr>
                <w:rFonts w:ascii="Times New Roman" w:eastAsia="Times New Roman" w:hAnsi="Times New Roman" w:cs="Times New Roman"/>
                <w:color w:val="000000"/>
                <w:sz w:val="16"/>
                <w:szCs w:val="16"/>
                <w:lang w:val="en-US" w:eastAsia="de-DE"/>
              </w:rPr>
              <w:t>39 (41%)</w:t>
            </w:r>
          </w:p>
        </w:tc>
        <w:tc>
          <w:tcPr>
            <w:tcW w:w="794" w:type="dxa"/>
          </w:tcPr>
          <w:p w14:paraId="50B2DCC3" w14:textId="77777777" w:rsidR="00E539FA" w:rsidRDefault="00E539FA" w:rsidP="00BD714C">
            <w:pPr>
              <w:spacing w:after="0" w:line="240" w:lineRule="auto"/>
              <w:jc w:val="center"/>
              <w:rPr>
                <w:rFonts w:ascii="Times New Roman" w:eastAsia="Times New Roman" w:hAnsi="Times New Roman" w:cs="Times New Roman"/>
                <w:color w:val="000000"/>
                <w:sz w:val="16"/>
                <w:szCs w:val="16"/>
                <w:lang w:val="en-US" w:eastAsia="de-DE"/>
              </w:rPr>
            </w:pPr>
            <w:r>
              <w:rPr>
                <w:rFonts w:ascii="Times New Roman" w:eastAsia="Times New Roman" w:hAnsi="Times New Roman" w:cs="Times New Roman"/>
                <w:sz w:val="16"/>
                <w:szCs w:val="16"/>
                <w:lang w:val="en-US" w:eastAsia="de-DE"/>
              </w:rPr>
              <w:t>2 (33%)</w:t>
            </w:r>
          </w:p>
        </w:tc>
        <w:tc>
          <w:tcPr>
            <w:tcW w:w="1531" w:type="dxa"/>
            <w:vAlign w:val="bottom"/>
          </w:tcPr>
          <w:p w14:paraId="78CBFB4E" w14:textId="77777777" w:rsidR="00E539FA" w:rsidRDefault="00E539FA" w:rsidP="00BD714C">
            <w:pPr>
              <w:spacing w:after="0" w:line="240" w:lineRule="auto"/>
              <w:jc w:val="center"/>
              <w:rPr>
                <w:rFonts w:ascii="Times New Roman" w:eastAsia="Times New Roman" w:hAnsi="Times New Roman" w:cs="Times New Roman"/>
                <w:color w:val="000000"/>
                <w:sz w:val="16"/>
                <w:szCs w:val="16"/>
                <w:lang w:val="en-US" w:eastAsia="de-DE"/>
              </w:rPr>
            </w:pPr>
            <w:r>
              <w:rPr>
                <w:rFonts w:ascii="Times New Roman" w:eastAsia="Times New Roman" w:hAnsi="Times New Roman" w:cs="Times New Roman"/>
                <w:color w:val="000000"/>
                <w:sz w:val="16"/>
                <w:szCs w:val="16"/>
                <w:lang w:val="en-US" w:eastAsia="de-DE"/>
              </w:rPr>
              <w:t>22 (34%)</w:t>
            </w:r>
          </w:p>
        </w:tc>
        <w:tc>
          <w:tcPr>
            <w:tcW w:w="1701" w:type="dxa"/>
            <w:vAlign w:val="bottom"/>
          </w:tcPr>
          <w:p w14:paraId="4474D0B4" w14:textId="77777777" w:rsidR="00E539FA" w:rsidRDefault="00E539FA" w:rsidP="00BD714C">
            <w:pPr>
              <w:spacing w:after="0" w:line="240" w:lineRule="auto"/>
              <w:jc w:val="center"/>
              <w:rPr>
                <w:rFonts w:ascii="Times New Roman" w:eastAsia="Times New Roman" w:hAnsi="Times New Roman" w:cs="Times New Roman"/>
                <w:color w:val="000000"/>
                <w:sz w:val="16"/>
                <w:szCs w:val="16"/>
                <w:lang w:val="en-US" w:eastAsia="de-DE"/>
              </w:rPr>
            </w:pPr>
            <w:r>
              <w:rPr>
                <w:rFonts w:ascii="Times New Roman" w:eastAsia="Times New Roman" w:hAnsi="Times New Roman" w:cs="Times New Roman"/>
                <w:color w:val="000000"/>
                <w:sz w:val="16"/>
                <w:szCs w:val="16"/>
                <w:lang w:val="en-US" w:eastAsia="de-DE"/>
              </w:rPr>
              <w:t>15 (60%)</w:t>
            </w:r>
          </w:p>
        </w:tc>
        <w:tc>
          <w:tcPr>
            <w:tcW w:w="950" w:type="dxa"/>
          </w:tcPr>
          <w:p w14:paraId="50775C7C" w14:textId="77777777" w:rsidR="00E539FA" w:rsidRPr="003B7AF7" w:rsidRDefault="00E539FA" w:rsidP="00BD714C">
            <w:pPr>
              <w:spacing w:after="0" w:line="240" w:lineRule="auto"/>
              <w:jc w:val="center"/>
              <w:rPr>
                <w:rFonts w:ascii="Times New Roman" w:eastAsia="Times New Roman" w:hAnsi="Times New Roman" w:cs="Times New Roman"/>
                <w:sz w:val="16"/>
                <w:szCs w:val="16"/>
                <w:lang w:val="en-US" w:eastAsia="de-DE"/>
              </w:rPr>
            </w:pPr>
          </w:p>
        </w:tc>
      </w:tr>
      <w:tr w:rsidR="00E539FA" w:rsidRPr="00AC25E6" w14:paraId="58B441BA" w14:textId="77777777" w:rsidTr="00BD714C">
        <w:trPr>
          <w:trHeight w:val="63"/>
          <w:jc w:val="center"/>
        </w:trPr>
        <w:tc>
          <w:tcPr>
            <w:tcW w:w="2381" w:type="dxa"/>
            <w:shd w:val="clear" w:color="auto" w:fill="auto"/>
            <w:noWrap/>
            <w:vAlign w:val="center"/>
            <w:hideMark/>
          </w:tcPr>
          <w:p w14:paraId="1317CB0B" w14:textId="77777777" w:rsidR="00E539FA" w:rsidRPr="00825F42" w:rsidRDefault="00E539FA" w:rsidP="00BD714C">
            <w:pPr>
              <w:spacing w:after="0" w:line="240" w:lineRule="auto"/>
              <w:rPr>
                <w:rFonts w:ascii="Times New Roman" w:eastAsia="Times New Roman" w:hAnsi="Times New Roman" w:cs="Times New Roman"/>
                <w:bCs/>
                <w:color w:val="000000"/>
                <w:sz w:val="16"/>
                <w:szCs w:val="16"/>
                <w:lang w:val="en-US" w:eastAsia="de-DE"/>
              </w:rPr>
            </w:pPr>
            <w:r>
              <w:rPr>
                <w:rFonts w:ascii="Times New Roman" w:eastAsia="Times New Roman" w:hAnsi="Times New Roman" w:cs="Times New Roman"/>
                <w:color w:val="000000"/>
                <w:sz w:val="16"/>
                <w:szCs w:val="16"/>
                <w:lang w:val="en-US" w:eastAsia="de-DE"/>
              </w:rPr>
              <w:tab/>
            </w:r>
            <w:r w:rsidRPr="00825F42">
              <w:rPr>
                <w:rFonts w:ascii="Times New Roman" w:eastAsia="Times New Roman" w:hAnsi="Times New Roman" w:cs="Times New Roman"/>
                <w:color w:val="000000"/>
                <w:sz w:val="16"/>
                <w:szCs w:val="16"/>
                <w:lang w:val="en-US" w:eastAsia="de-DE"/>
              </w:rPr>
              <w:t>Coiling</w:t>
            </w:r>
          </w:p>
        </w:tc>
        <w:tc>
          <w:tcPr>
            <w:tcW w:w="995" w:type="dxa"/>
            <w:shd w:val="clear" w:color="auto" w:fill="auto"/>
            <w:noWrap/>
            <w:vAlign w:val="bottom"/>
          </w:tcPr>
          <w:p w14:paraId="12D51182" w14:textId="77777777" w:rsidR="00E539FA" w:rsidRDefault="00E539FA" w:rsidP="00BD714C">
            <w:pPr>
              <w:spacing w:after="0" w:line="240" w:lineRule="auto"/>
              <w:jc w:val="center"/>
              <w:rPr>
                <w:rFonts w:ascii="Times New Roman" w:eastAsia="Times New Roman" w:hAnsi="Times New Roman" w:cs="Times New Roman"/>
                <w:color w:val="000000"/>
                <w:sz w:val="16"/>
                <w:szCs w:val="16"/>
                <w:lang w:val="en-US" w:eastAsia="de-DE"/>
              </w:rPr>
            </w:pPr>
            <w:r>
              <w:rPr>
                <w:rFonts w:ascii="Times New Roman" w:eastAsia="Times New Roman" w:hAnsi="Times New Roman" w:cs="Times New Roman"/>
                <w:color w:val="000000"/>
                <w:sz w:val="16"/>
                <w:szCs w:val="16"/>
                <w:lang w:val="en-US" w:eastAsia="de-DE"/>
              </w:rPr>
              <w:t>55 (57%)</w:t>
            </w:r>
          </w:p>
        </w:tc>
        <w:tc>
          <w:tcPr>
            <w:tcW w:w="794" w:type="dxa"/>
          </w:tcPr>
          <w:p w14:paraId="130D57A9" w14:textId="77777777" w:rsidR="00E539FA" w:rsidRDefault="00E539FA" w:rsidP="00BD714C">
            <w:pPr>
              <w:spacing w:after="0" w:line="240" w:lineRule="auto"/>
              <w:jc w:val="center"/>
              <w:rPr>
                <w:rFonts w:ascii="Times New Roman" w:eastAsia="Times New Roman" w:hAnsi="Times New Roman" w:cs="Times New Roman"/>
                <w:color w:val="000000"/>
                <w:sz w:val="16"/>
                <w:szCs w:val="16"/>
                <w:lang w:val="en-US" w:eastAsia="de-DE"/>
              </w:rPr>
            </w:pPr>
            <w:r>
              <w:rPr>
                <w:rFonts w:ascii="Times New Roman" w:eastAsia="Times New Roman" w:hAnsi="Times New Roman" w:cs="Times New Roman"/>
                <w:sz w:val="16"/>
                <w:szCs w:val="16"/>
                <w:lang w:val="en-US" w:eastAsia="de-DE"/>
              </w:rPr>
              <w:t>4 (67%)</w:t>
            </w:r>
          </w:p>
        </w:tc>
        <w:tc>
          <w:tcPr>
            <w:tcW w:w="1531" w:type="dxa"/>
            <w:vAlign w:val="bottom"/>
          </w:tcPr>
          <w:p w14:paraId="01E8A10D" w14:textId="77777777" w:rsidR="00E539FA" w:rsidRDefault="00E539FA" w:rsidP="00BD714C">
            <w:pPr>
              <w:spacing w:after="0" w:line="240" w:lineRule="auto"/>
              <w:jc w:val="center"/>
              <w:rPr>
                <w:rFonts w:ascii="Times New Roman" w:eastAsia="Times New Roman" w:hAnsi="Times New Roman" w:cs="Times New Roman"/>
                <w:color w:val="000000"/>
                <w:sz w:val="16"/>
                <w:szCs w:val="16"/>
                <w:lang w:val="en-US" w:eastAsia="de-DE"/>
              </w:rPr>
            </w:pPr>
            <w:r>
              <w:rPr>
                <w:rFonts w:ascii="Times New Roman" w:eastAsia="Times New Roman" w:hAnsi="Times New Roman" w:cs="Times New Roman"/>
                <w:color w:val="000000"/>
                <w:sz w:val="16"/>
                <w:szCs w:val="16"/>
                <w:lang w:val="en-US" w:eastAsia="de-DE"/>
              </w:rPr>
              <w:t>41 (63%)</w:t>
            </w:r>
          </w:p>
        </w:tc>
        <w:tc>
          <w:tcPr>
            <w:tcW w:w="1701" w:type="dxa"/>
            <w:vAlign w:val="bottom"/>
          </w:tcPr>
          <w:p w14:paraId="54771B1B" w14:textId="77777777" w:rsidR="00E539FA" w:rsidRDefault="00E539FA" w:rsidP="00BD714C">
            <w:pPr>
              <w:spacing w:after="0" w:line="240" w:lineRule="auto"/>
              <w:jc w:val="center"/>
              <w:rPr>
                <w:rFonts w:ascii="Times New Roman" w:eastAsia="Times New Roman" w:hAnsi="Times New Roman" w:cs="Times New Roman"/>
                <w:color w:val="000000"/>
                <w:sz w:val="16"/>
                <w:szCs w:val="16"/>
                <w:lang w:val="en-US" w:eastAsia="de-DE"/>
              </w:rPr>
            </w:pPr>
            <w:r>
              <w:rPr>
                <w:rFonts w:ascii="Times New Roman" w:eastAsia="Times New Roman" w:hAnsi="Times New Roman" w:cs="Times New Roman"/>
                <w:color w:val="000000"/>
                <w:sz w:val="16"/>
                <w:szCs w:val="16"/>
                <w:lang w:val="en-US" w:eastAsia="de-DE"/>
              </w:rPr>
              <w:t>10 (40%)</w:t>
            </w:r>
          </w:p>
        </w:tc>
        <w:tc>
          <w:tcPr>
            <w:tcW w:w="950" w:type="dxa"/>
          </w:tcPr>
          <w:p w14:paraId="7857BB2A" w14:textId="77777777" w:rsidR="00E539FA" w:rsidRPr="003B7AF7" w:rsidRDefault="00E539FA" w:rsidP="00BD714C">
            <w:pPr>
              <w:spacing w:after="0" w:line="240" w:lineRule="auto"/>
              <w:jc w:val="center"/>
              <w:rPr>
                <w:rFonts w:ascii="Times New Roman" w:eastAsia="Times New Roman" w:hAnsi="Times New Roman" w:cs="Times New Roman"/>
                <w:sz w:val="16"/>
                <w:szCs w:val="16"/>
                <w:lang w:val="en-US" w:eastAsia="de-DE"/>
              </w:rPr>
            </w:pPr>
          </w:p>
        </w:tc>
      </w:tr>
      <w:tr w:rsidR="00E539FA" w:rsidRPr="00AC25E6" w14:paraId="50B3E8C7" w14:textId="77777777" w:rsidTr="00BD714C">
        <w:trPr>
          <w:trHeight w:val="63"/>
          <w:jc w:val="center"/>
        </w:trPr>
        <w:tc>
          <w:tcPr>
            <w:tcW w:w="2381" w:type="dxa"/>
            <w:shd w:val="clear" w:color="auto" w:fill="auto"/>
            <w:noWrap/>
            <w:vAlign w:val="center"/>
          </w:tcPr>
          <w:p w14:paraId="164A65FF" w14:textId="77777777" w:rsidR="00E539FA" w:rsidRPr="00825F42" w:rsidRDefault="00E539FA" w:rsidP="00BD714C">
            <w:pPr>
              <w:spacing w:after="0" w:line="240" w:lineRule="auto"/>
              <w:rPr>
                <w:rFonts w:ascii="Times New Roman" w:eastAsia="Times New Roman" w:hAnsi="Times New Roman" w:cs="Times New Roman"/>
                <w:color w:val="000000"/>
                <w:sz w:val="16"/>
                <w:szCs w:val="16"/>
                <w:lang w:val="en-US" w:eastAsia="de-DE"/>
              </w:rPr>
            </w:pPr>
            <w:r>
              <w:rPr>
                <w:rFonts w:ascii="Times New Roman" w:eastAsia="Times New Roman" w:hAnsi="Times New Roman" w:cs="Times New Roman"/>
                <w:color w:val="000000"/>
                <w:sz w:val="16"/>
                <w:szCs w:val="16"/>
                <w:lang w:val="en-US" w:eastAsia="de-DE"/>
              </w:rPr>
              <w:tab/>
              <w:t>Both</w:t>
            </w:r>
          </w:p>
        </w:tc>
        <w:tc>
          <w:tcPr>
            <w:tcW w:w="995" w:type="dxa"/>
            <w:shd w:val="clear" w:color="auto" w:fill="auto"/>
            <w:noWrap/>
            <w:vAlign w:val="bottom"/>
          </w:tcPr>
          <w:p w14:paraId="3F37B0EB" w14:textId="77777777" w:rsidR="00E539FA" w:rsidRDefault="00E539FA" w:rsidP="00BD714C">
            <w:pPr>
              <w:spacing w:after="0" w:line="240" w:lineRule="auto"/>
              <w:jc w:val="center"/>
              <w:rPr>
                <w:rFonts w:ascii="Times New Roman" w:eastAsia="Times New Roman" w:hAnsi="Times New Roman" w:cs="Times New Roman"/>
                <w:color w:val="000000"/>
                <w:sz w:val="16"/>
                <w:szCs w:val="16"/>
                <w:lang w:val="en-US" w:eastAsia="de-DE"/>
              </w:rPr>
            </w:pPr>
            <w:r>
              <w:rPr>
                <w:rFonts w:ascii="Times New Roman" w:eastAsia="Times New Roman" w:hAnsi="Times New Roman" w:cs="Times New Roman"/>
                <w:color w:val="000000"/>
                <w:sz w:val="16"/>
                <w:szCs w:val="16"/>
                <w:lang w:val="en-US" w:eastAsia="de-DE"/>
              </w:rPr>
              <w:t>2 (2%)</w:t>
            </w:r>
          </w:p>
        </w:tc>
        <w:tc>
          <w:tcPr>
            <w:tcW w:w="794" w:type="dxa"/>
          </w:tcPr>
          <w:p w14:paraId="568AF392" w14:textId="77777777" w:rsidR="00E539FA" w:rsidRDefault="00E539FA" w:rsidP="00BD714C">
            <w:pPr>
              <w:spacing w:after="0" w:line="240" w:lineRule="auto"/>
              <w:jc w:val="center"/>
              <w:rPr>
                <w:rFonts w:ascii="Times New Roman" w:eastAsia="Times New Roman" w:hAnsi="Times New Roman" w:cs="Times New Roman"/>
                <w:color w:val="000000"/>
                <w:sz w:val="16"/>
                <w:szCs w:val="16"/>
                <w:lang w:val="en-US" w:eastAsia="de-DE"/>
              </w:rPr>
            </w:pPr>
            <w:r>
              <w:rPr>
                <w:rFonts w:ascii="Times New Roman" w:eastAsia="Times New Roman" w:hAnsi="Times New Roman" w:cs="Times New Roman"/>
                <w:sz w:val="16"/>
                <w:szCs w:val="16"/>
                <w:lang w:val="en-US" w:eastAsia="de-DE"/>
              </w:rPr>
              <w:t>0 (0%)</w:t>
            </w:r>
          </w:p>
        </w:tc>
        <w:tc>
          <w:tcPr>
            <w:tcW w:w="1531" w:type="dxa"/>
            <w:vAlign w:val="bottom"/>
          </w:tcPr>
          <w:p w14:paraId="2BAF1DD4" w14:textId="77777777" w:rsidR="00E539FA" w:rsidRDefault="00E539FA" w:rsidP="00BD714C">
            <w:pPr>
              <w:spacing w:after="0" w:line="240" w:lineRule="auto"/>
              <w:jc w:val="center"/>
              <w:rPr>
                <w:rFonts w:ascii="Times New Roman" w:eastAsia="Times New Roman" w:hAnsi="Times New Roman" w:cs="Times New Roman"/>
                <w:color w:val="000000"/>
                <w:sz w:val="16"/>
                <w:szCs w:val="16"/>
                <w:lang w:val="en-US" w:eastAsia="de-DE"/>
              </w:rPr>
            </w:pPr>
            <w:r>
              <w:rPr>
                <w:rFonts w:ascii="Times New Roman" w:eastAsia="Times New Roman" w:hAnsi="Times New Roman" w:cs="Times New Roman"/>
                <w:color w:val="000000"/>
                <w:sz w:val="16"/>
                <w:szCs w:val="16"/>
                <w:lang w:val="en-US" w:eastAsia="de-DE"/>
              </w:rPr>
              <w:t>2 (3%)</w:t>
            </w:r>
          </w:p>
        </w:tc>
        <w:tc>
          <w:tcPr>
            <w:tcW w:w="1701" w:type="dxa"/>
            <w:vAlign w:val="bottom"/>
          </w:tcPr>
          <w:p w14:paraId="7818162B" w14:textId="77777777" w:rsidR="00E539FA" w:rsidRDefault="00E539FA" w:rsidP="00BD714C">
            <w:pPr>
              <w:spacing w:after="0" w:line="240" w:lineRule="auto"/>
              <w:jc w:val="center"/>
              <w:rPr>
                <w:rFonts w:ascii="Times New Roman" w:eastAsia="Times New Roman" w:hAnsi="Times New Roman" w:cs="Times New Roman"/>
                <w:color w:val="000000"/>
                <w:sz w:val="16"/>
                <w:szCs w:val="16"/>
                <w:lang w:val="en-US" w:eastAsia="de-DE"/>
              </w:rPr>
            </w:pPr>
            <w:r>
              <w:rPr>
                <w:rFonts w:ascii="Times New Roman" w:eastAsia="Times New Roman" w:hAnsi="Times New Roman" w:cs="Times New Roman"/>
                <w:color w:val="000000"/>
                <w:sz w:val="16"/>
                <w:szCs w:val="16"/>
                <w:lang w:val="en-US" w:eastAsia="de-DE"/>
              </w:rPr>
              <w:t>0 (0%)</w:t>
            </w:r>
          </w:p>
        </w:tc>
        <w:tc>
          <w:tcPr>
            <w:tcW w:w="950" w:type="dxa"/>
          </w:tcPr>
          <w:p w14:paraId="4F176CC0" w14:textId="77777777" w:rsidR="00E539FA" w:rsidRPr="003B7AF7" w:rsidRDefault="00E539FA" w:rsidP="00BD714C">
            <w:pPr>
              <w:spacing w:after="0" w:line="240" w:lineRule="auto"/>
              <w:jc w:val="center"/>
              <w:rPr>
                <w:rFonts w:ascii="Times New Roman" w:eastAsia="Times New Roman" w:hAnsi="Times New Roman" w:cs="Times New Roman"/>
                <w:sz w:val="16"/>
                <w:szCs w:val="16"/>
                <w:lang w:val="en-US" w:eastAsia="de-DE"/>
              </w:rPr>
            </w:pPr>
          </w:p>
        </w:tc>
      </w:tr>
      <w:tr w:rsidR="00E539FA" w:rsidRPr="00AC25E6" w14:paraId="0EBBAC43" w14:textId="77777777" w:rsidTr="00BD714C">
        <w:trPr>
          <w:trHeight w:val="63"/>
          <w:jc w:val="center"/>
        </w:trPr>
        <w:tc>
          <w:tcPr>
            <w:tcW w:w="2381" w:type="dxa"/>
            <w:shd w:val="clear" w:color="auto" w:fill="F2F2F2" w:themeFill="background1" w:themeFillShade="F2"/>
            <w:noWrap/>
            <w:vAlign w:val="center"/>
          </w:tcPr>
          <w:p w14:paraId="20F5EAC5" w14:textId="77777777" w:rsidR="00E539FA" w:rsidRPr="00AC25E6" w:rsidRDefault="00E539FA" w:rsidP="00BD714C">
            <w:pPr>
              <w:spacing w:after="0" w:line="240" w:lineRule="auto"/>
              <w:rPr>
                <w:rFonts w:ascii="Times New Roman" w:eastAsia="Times New Roman" w:hAnsi="Times New Roman" w:cs="Times New Roman"/>
                <w:b/>
                <w:bCs/>
                <w:color w:val="000000"/>
                <w:sz w:val="16"/>
                <w:szCs w:val="16"/>
                <w:lang w:val="en-US" w:eastAsia="de-DE"/>
              </w:rPr>
            </w:pPr>
            <w:r w:rsidRPr="00AC25E6">
              <w:rPr>
                <w:rFonts w:ascii="Times New Roman" w:eastAsia="Times New Roman" w:hAnsi="Times New Roman" w:cs="Times New Roman"/>
                <w:b/>
                <w:bCs/>
                <w:color w:val="000000"/>
                <w:sz w:val="16"/>
                <w:szCs w:val="16"/>
                <w:lang w:val="en-US" w:eastAsia="de-DE"/>
              </w:rPr>
              <w:t>Hunt and</w:t>
            </w:r>
            <w:r>
              <w:rPr>
                <w:rFonts w:ascii="Times New Roman" w:eastAsia="Times New Roman" w:hAnsi="Times New Roman" w:cs="Times New Roman"/>
                <w:b/>
                <w:bCs/>
                <w:color w:val="000000"/>
                <w:sz w:val="16"/>
                <w:szCs w:val="16"/>
                <w:lang w:val="en-US" w:eastAsia="de-DE"/>
              </w:rPr>
              <w:t xml:space="preserve"> Hess grade</w:t>
            </w:r>
          </w:p>
        </w:tc>
        <w:tc>
          <w:tcPr>
            <w:tcW w:w="995" w:type="dxa"/>
            <w:shd w:val="clear" w:color="auto" w:fill="F2F2F2" w:themeFill="background1" w:themeFillShade="F2"/>
            <w:noWrap/>
            <w:vAlign w:val="bottom"/>
          </w:tcPr>
          <w:p w14:paraId="153C3E31" w14:textId="77777777" w:rsidR="00E539FA" w:rsidRDefault="00E539FA" w:rsidP="00BD714C">
            <w:pPr>
              <w:spacing w:after="0" w:line="240" w:lineRule="auto"/>
              <w:jc w:val="center"/>
              <w:rPr>
                <w:rFonts w:ascii="Times New Roman" w:eastAsia="Times New Roman" w:hAnsi="Times New Roman" w:cs="Times New Roman"/>
                <w:color w:val="000000"/>
                <w:sz w:val="16"/>
                <w:szCs w:val="16"/>
                <w:lang w:val="en-US" w:eastAsia="de-DE"/>
              </w:rPr>
            </w:pPr>
          </w:p>
        </w:tc>
        <w:tc>
          <w:tcPr>
            <w:tcW w:w="794" w:type="dxa"/>
            <w:shd w:val="clear" w:color="auto" w:fill="F2F2F2" w:themeFill="background1" w:themeFillShade="F2"/>
          </w:tcPr>
          <w:p w14:paraId="432AA13D" w14:textId="77777777" w:rsidR="00E539FA" w:rsidRPr="003B7AF7" w:rsidRDefault="00E539FA" w:rsidP="00BD714C">
            <w:pPr>
              <w:spacing w:after="0" w:line="240" w:lineRule="auto"/>
              <w:jc w:val="center"/>
              <w:rPr>
                <w:rFonts w:ascii="Times New Roman" w:eastAsia="Times New Roman" w:hAnsi="Times New Roman" w:cs="Times New Roman"/>
                <w:sz w:val="16"/>
                <w:szCs w:val="16"/>
                <w:lang w:val="en-US" w:eastAsia="de-DE"/>
              </w:rPr>
            </w:pPr>
          </w:p>
        </w:tc>
        <w:tc>
          <w:tcPr>
            <w:tcW w:w="1531" w:type="dxa"/>
            <w:shd w:val="clear" w:color="auto" w:fill="F2F2F2" w:themeFill="background1" w:themeFillShade="F2"/>
          </w:tcPr>
          <w:p w14:paraId="557866EB" w14:textId="77777777" w:rsidR="00E539FA" w:rsidRPr="003B7AF7" w:rsidRDefault="00E539FA" w:rsidP="00BD714C">
            <w:pPr>
              <w:spacing w:after="0" w:line="240" w:lineRule="auto"/>
              <w:jc w:val="center"/>
              <w:rPr>
                <w:rFonts w:ascii="Times New Roman" w:eastAsia="Times New Roman" w:hAnsi="Times New Roman" w:cs="Times New Roman"/>
                <w:sz w:val="16"/>
                <w:szCs w:val="16"/>
                <w:lang w:val="en-US" w:eastAsia="de-DE"/>
              </w:rPr>
            </w:pPr>
          </w:p>
        </w:tc>
        <w:tc>
          <w:tcPr>
            <w:tcW w:w="1701" w:type="dxa"/>
            <w:shd w:val="clear" w:color="auto" w:fill="F2F2F2" w:themeFill="background1" w:themeFillShade="F2"/>
          </w:tcPr>
          <w:p w14:paraId="07112356" w14:textId="77777777" w:rsidR="00E539FA" w:rsidRPr="003B7AF7" w:rsidRDefault="00E539FA" w:rsidP="00BD714C">
            <w:pPr>
              <w:spacing w:after="0" w:line="240" w:lineRule="auto"/>
              <w:jc w:val="center"/>
              <w:rPr>
                <w:rFonts w:ascii="Times New Roman" w:eastAsia="Times New Roman" w:hAnsi="Times New Roman" w:cs="Times New Roman"/>
                <w:sz w:val="16"/>
                <w:szCs w:val="16"/>
                <w:lang w:val="en-US" w:eastAsia="de-DE"/>
              </w:rPr>
            </w:pPr>
          </w:p>
        </w:tc>
        <w:tc>
          <w:tcPr>
            <w:tcW w:w="950" w:type="dxa"/>
            <w:shd w:val="clear" w:color="auto" w:fill="F2F2F2" w:themeFill="background1" w:themeFillShade="F2"/>
          </w:tcPr>
          <w:p w14:paraId="3785452D" w14:textId="77777777" w:rsidR="00E539FA" w:rsidRPr="00291A14" w:rsidRDefault="00E539FA" w:rsidP="00BD714C">
            <w:pPr>
              <w:spacing w:after="0" w:line="240" w:lineRule="auto"/>
              <w:jc w:val="center"/>
              <w:rPr>
                <w:rFonts w:ascii="Times New Roman" w:eastAsia="Times New Roman" w:hAnsi="Times New Roman" w:cs="Times New Roman"/>
                <w:b/>
                <w:sz w:val="16"/>
                <w:szCs w:val="16"/>
                <w:lang w:val="en-US" w:eastAsia="de-DE"/>
              </w:rPr>
            </w:pPr>
            <w:r w:rsidRPr="00291A14">
              <w:rPr>
                <w:rFonts w:ascii="Times New Roman" w:eastAsia="Times New Roman" w:hAnsi="Times New Roman" w:cs="Times New Roman"/>
                <w:b/>
                <w:sz w:val="16"/>
                <w:szCs w:val="16"/>
                <w:lang w:val="en-US" w:eastAsia="de-DE"/>
              </w:rPr>
              <w:t>0.003</w:t>
            </w:r>
          </w:p>
        </w:tc>
      </w:tr>
      <w:tr w:rsidR="00E539FA" w:rsidRPr="00AC25E6" w14:paraId="46107010" w14:textId="77777777" w:rsidTr="00BD714C">
        <w:trPr>
          <w:trHeight w:val="63"/>
          <w:jc w:val="center"/>
        </w:trPr>
        <w:tc>
          <w:tcPr>
            <w:tcW w:w="2381" w:type="dxa"/>
            <w:shd w:val="clear" w:color="auto" w:fill="auto"/>
            <w:noWrap/>
            <w:vAlign w:val="center"/>
            <w:hideMark/>
          </w:tcPr>
          <w:p w14:paraId="50CC42CE" w14:textId="77777777" w:rsidR="00E539FA" w:rsidRPr="00AC25E6" w:rsidRDefault="00E539FA" w:rsidP="00BD714C">
            <w:pPr>
              <w:spacing w:after="0" w:line="240" w:lineRule="auto"/>
              <w:rPr>
                <w:rFonts w:ascii="Times New Roman" w:eastAsia="Times New Roman" w:hAnsi="Times New Roman" w:cs="Times New Roman"/>
                <w:color w:val="000000"/>
                <w:sz w:val="16"/>
                <w:szCs w:val="16"/>
                <w:lang w:val="en-US" w:eastAsia="de-DE"/>
              </w:rPr>
            </w:pPr>
            <w:r>
              <w:rPr>
                <w:rFonts w:ascii="Times New Roman" w:eastAsia="Times New Roman" w:hAnsi="Times New Roman" w:cs="Times New Roman"/>
                <w:color w:val="000000"/>
                <w:sz w:val="16"/>
                <w:szCs w:val="16"/>
                <w:lang w:val="en-US" w:eastAsia="de-DE"/>
              </w:rPr>
              <w:tab/>
              <w:t>Good g</w:t>
            </w:r>
            <w:r w:rsidRPr="00AC25E6">
              <w:rPr>
                <w:rFonts w:ascii="Times New Roman" w:eastAsia="Times New Roman" w:hAnsi="Times New Roman" w:cs="Times New Roman"/>
                <w:color w:val="000000"/>
                <w:sz w:val="16"/>
                <w:szCs w:val="16"/>
                <w:lang w:val="en-US" w:eastAsia="de-DE"/>
              </w:rPr>
              <w:t xml:space="preserve">rade </w:t>
            </w:r>
            <w:r>
              <w:rPr>
                <w:rFonts w:ascii="Times New Roman" w:eastAsia="Times New Roman" w:hAnsi="Times New Roman" w:cs="Times New Roman"/>
                <w:color w:val="000000"/>
                <w:sz w:val="16"/>
                <w:szCs w:val="16"/>
                <w:lang w:val="en-US" w:eastAsia="de-DE"/>
              </w:rPr>
              <w:t>(HH</w:t>
            </w:r>
            <w:r w:rsidRPr="00291D5D">
              <w:rPr>
                <w:rFonts w:ascii="Times New Roman" w:eastAsia="Times New Roman" w:hAnsi="Times New Roman" w:cs="Times New Roman"/>
                <w:color w:val="000000"/>
                <w:sz w:val="16"/>
                <w:szCs w:val="16"/>
                <w:vertAlign w:val="subscript"/>
                <w:lang w:val="en-US" w:eastAsia="de-DE"/>
              </w:rPr>
              <w:t>1-</w:t>
            </w:r>
            <w:r>
              <w:rPr>
                <w:rFonts w:ascii="Times New Roman" w:eastAsia="Times New Roman" w:hAnsi="Times New Roman" w:cs="Times New Roman"/>
                <w:color w:val="000000"/>
                <w:sz w:val="16"/>
                <w:szCs w:val="16"/>
                <w:vertAlign w:val="subscript"/>
                <w:lang w:val="en-US" w:eastAsia="de-DE"/>
              </w:rPr>
              <w:t>3</w:t>
            </w:r>
            <w:r>
              <w:rPr>
                <w:rFonts w:ascii="Times New Roman" w:eastAsia="Times New Roman" w:hAnsi="Times New Roman" w:cs="Times New Roman"/>
                <w:color w:val="000000"/>
                <w:sz w:val="16"/>
                <w:szCs w:val="16"/>
                <w:lang w:val="en-US" w:eastAsia="de-DE"/>
              </w:rPr>
              <w:t>)</w:t>
            </w:r>
          </w:p>
        </w:tc>
        <w:tc>
          <w:tcPr>
            <w:tcW w:w="995" w:type="dxa"/>
            <w:shd w:val="clear" w:color="auto" w:fill="auto"/>
            <w:noWrap/>
            <w:vAlign w:val="bottom"/>
          </w:tcPr>
          <w:p w14:paraId="472BC914" w14:textId="77777777" w:rsidR="00E539FA" w:rsidRDefault="00E539FA" w:rsidP="00BD714C">
            <w:pPr>
              <w:spacing w:after="0" w:line="240" w:lineRule="auto"/>
              <w:jc w:val="center"/>
              <w:rPr>
                <w:rFonts w:ascii="Times New Roman" w:eastAsia="Times New Roman" w:hAnsi="Times New Roman" w:cs="Times New Roman"/>
                <w:color w:val="000000"/>
                <w:sz w:val="16"/>
                <w:szCs w:val="16"/>
                <w:lang w:val="en-US" w:eastAsia="de-DE"/>
              </w:rPr>
            </w:pPr>
            <w:r>
              <w:rPr>
                <w:rFonts w:ascii="Times New Roman" w:eastAsia="Times New Roman" w:hAnsi="Times New Roman" w:cs="Times New Roman"/>
                <w:color w:val="000000"/>
                <w:sz w:val="16"/>
                <w:szCs w:val="16"/>
                <w:lang w:val="en-US" w:eastAsia="de-DE"/>
              </w:rPr>
              <w:t>75 (78%)</w:t>
            </w:r>
          </w:p>
        </w:tc>
        <w:tc>
          <w:tcPr>
            <w:tcW w:w="794" w:type="dxa"/>
          </w:tcPr>
          <w:p w14:paraId="75CDE1D9" w14:textId="77777777" w:rsidR="00E539FA" w:rsidRDefault="00E539FA" w:rsidP="00BD714C">
            <w:pPr>
              <w:spacing w:after="0" w:line="240" w:lineRule="auto"/>
              <w:jc w:val="center"/>
              <w:rPr>
                <w:rFonts w:ascii="Times New Roman" w:eastAsia="Times New Roman" w:hAnsi="Times New Roman" w:cs="Times New Roman"/>
                <w:color w:val="000000"/>
                <w:sz w:val="16"/>
                <w:szCs w:val="16"/>
                <w:lang w:val="en-US" w:eastAsia="de-DE"/>
              </w:rPr>
            </w:pPr>
            <w:r>
              <w:rPr>
                <w:rFonts w:ascii="Times New Roman" w:eastAsia="Times New Roman" w:hAnsi="Times New Roman" w:cs="Times New Roman"/>
                <w:sz w:val="16"/>
                <w:szCs w:val="16"/>
                <w:lang w:val="en-US" w:eastAsia="de-DE"/>
              </w:rPr>
              <w:t>6 (100%)</w:t>
            </w:r>
          </w:p>
        </w:tc>
        <w:tc>
          <w:tcPr>
            <w:tcW w:w="1531" w:type="dxa"/>
            <w:vAlign w:val="bottom"/>
          </w:tcPr>
          <w:p w14:paraId="765E3D03" w14:textId="77777777" w:rsidR="00E539FA" w:rsidRDefault="00E539FA" w:rsidP="00BD714C">
            <w:pPr>
              <w:spacing w:after="0" w:line="240" w:lineRule="auto"/>
              <w:jc w:val="center"/>
              <w:rPr>
                <w:rFonts w:ascii="Times New Roman" w:eastAsia="Times New Roman" w:hAnsi="Times New Roman" w:cs="Times New Roman"/>
                <w:color w:val="000000"/>
                <w:sz w:val="16"/>
                <w:szCs w:val="16"/>
                <w:lang w:val="en-US" w:eastAsia="de-DE"/>
              </w:rPr>
            </w:pPr>
            <w:r>
              <w:rPr>
                <w:rFonts w:ascii="Times New Roman" w:eastAsia="Times New Roman" w:hAnsi="Times New Roman" w:cs="Times New Roman"/>
                <w:color w:val="000000"/>
                <w:sz w:val="16"/>
                <w:szCs w:val="16"/>
                <w:lang w:val="en-US" w:eastAsia="de-DE"/>
              </w:rPr>
              <w:t>57 (88%)</w:t>
            </w:r>
          </w:p>
        </w:tc>
        <w:tc>
          <w:tcPr>
            <w:tcW w:w="1701" w:type="dxa"/>
            <w:vAlign w:val="bottom"/>
          </w:tcPr>
          <w:p w14:paraId="18578D9C" w14:textId="77777777" w:rsidR="00E539FA" w:rsidRDefault="00E539FA" w:rsidP="00BD714C">
            <w:pPr>
              <w:spacing w:after="0" w:line="240" w:lineRule="auto"/>
              <w:jc w:val="center"/>
              <w:rPr>
                <w:rFonts w:ascii="Times New Roman" w:eastAsia="Times New Roman" w:hAnsi="Times New Roman" w:cs="Times New Roman"/>
                <w:color w:val="000000"/>
                <w:sz w:val="16"/>
                <w:szCs w:val="16"/>
                <w:lang w:val="en-US" w:eastAsia="de-DE"/>
              </w:rPr>
            </w:pPr>
            <w:r>
              <w:rPr>
                <w:rFonts w:ascii="Times New Roman" w:eastAsia="Times New Roman" w:hAnsi="Times New Roman" w:cs="Times New Roman"/>
                <w:color w:val="000000"/>
                <w:sz w:val="16"/>
                <w:szCs w:val="16"/>
                <w:lang w:val="en-US" w:eastAsia="de-DE"/>
              </w:rPr>
              <w:t>12 (48%)</w:t>
            </w:r>
          </w:p>
        </w:tc>
        <w:tc>
          <w:tcPr>
            <w:tcW w:w="950" w:type="dxa"/>
          </w:tcPr>
          <w:p w14:paraId="71E05457" w14:textId="77777777" w:rsidR="00E539FA" w:rsidRPr="003B7AF7" w:rsidRDefault="00E539FA" w:rsidP="00BD714C">
            <w:pPr>
              <w:spacing w:after="0" w:line="240" w:lineRule="auto"/>
              <w:jc w:val="center"/>
              <w:rPr>
                <w:rFonts w:ascii="Times New Roman" w:eastAsia="Times New Roman" w:hAnsi="Times New Roman" w:cs="Times New Roman"/>
                <w:sz w:val="16"/>
                <w:szCs w:val="16"/>
                <w:lang w:val="en-US" w:eastAsia="de-DE"/>
              </w:rPr>
            </w:pPr>
          </w:p>
        </w:tc>
      </w:tr>
      <w:tr w:rsidR="00E539FA" w:rsidRPr="00641DEF" w14:paraId="3C3788E5" w14:textId="77777777" w:rsidTr="00BD714C">
        <w:trPr>
          <w:trHeight w:val="63"/>
          <w:jc w:val="center"/>
        </w:trPr>
        <w:tc>
          <w:tcPr>
            <w:tcW w:w="2381" w:type="dxa"/>
            <w:shd w:val="clear" w:color="auto" w:fill="auto"/>
            <w:noWrap/>
            <w:vAlign w:val="center"/>
          </w:tcPr>
          <w:p w14:paraId="7FA7E35C" w14:textId="77777777" w:rsidR="00E539FA" w:rsidRPr="00AC25E6" w:rsidRDefault="00E539FA" w:rsidP="00BD714C">
            <w:pPr>
              <w:spacing w:after="0" w:line="240" w:lineRule="auto"/>
              <w:rPr>
                <w:rFonts w:ascii="Times New Roman" w:eastAsia="Times New Roman" w:hAnsi="Times New Roman" w:cs="Times New Roman"/>
                <w:b/>
                <w:bCs/>
                <w:color w:val="000000"/>
                <w:sz w:val="16"/>
                <w:szCs w:val="16"/>
                <w:lang w:val="en-US" w:eastAsia="de-DE"/>
              </w:rPr>
            </w:pPr>
            <w:r>
              <w:rPr>
                <w:rFonts w:ascii="Times New Roman" w:eastAsia="Times New Roman" w:hAnsi="Times New Roman" w:cs="Times New Roman"/>
                <w:color w:val="000000"/>
                <w:sz w:val="16"/>
                <w:szCs w:val="16"/>
                <w:lang w:val="en-US" w:eastAsia="de-DE"/>
              </w:rPr>
              <w:tab/>
              <w:t>Poor grade (HH</w:t>
            </w:r>
            <w:r>
              <w:rPr>
                <w:rFonts w:ascii="Times New Roman" w:eastAsia="Times New Roman" w:hAnsi="Times New Roman" w:cs="Times New Roman"/>
                <w:color w:val="000000"/>
                <w:sz w:val="16"/>
                <w:szCs w:val="16"/>
                <w:vertAlign w:val="subscript"/>
                <w:lang w:val="en-US" w:eastAsia="de-DE"/>
              </w:rPr>
              <w:t>4</w:t>
            </w:r>
            <w:r w:rsidRPr="00291D5D">
              <w:rPr>
                <w:rFonts w:ascii="Times New Roman" w:eastAsia="Times New Roman" w:hAnsi="Times New Roman" w:cs="Times New Roman"/>
                <w:color w:val="000000"/>
                <w:sz w:val="16"/>
                <w:szCs w:val="16"/>
                <w:vertAlign w:val="subscript"/>
                <w:lang w:val="en-US" w:eastAsia="de-DE"/>
              </w:rPr>
              <w:t>-5</w:t>
            </w:r>
            <w:r>
              <w:rPr>
                <w:rFonts w:ascii="Times New Roman" w:eastAsia="Times New Roman" w:hAnsi="Times New Roman" w:cs="Times New Roman"/>
                <w:color w:val="000000"/>
                <w:sz w:val="16"/>
                <w:szCs w:val="16"/>
                <w:lang w:val="en-US" w:eastAsia="de-DE"/>
              </w:rPr>
              <w:t>)</w:t>
            </w:r>
          </w:p>
        </w:tc>
        <w:tc>
          <w:tcPr>
            <w:tcW w:w="995" w:type="dxa"/>
            <w:shd w:val="clear" w:color="auto" w:fill="auto"/>
            <w:noWrap/>
            <w:vAlign w:val="bottom"/>
          </w:tcPr>
          <w:p w14:paraId="66CA408C" w14:textId="77777777" w:rsidR="00E539FA" w:rsidRDefault="00E539FA" w:rsidP="00BD714C">
            <w:pPr>
              <w:spacing w:after="0" w:line="240" w:lineRule="auto"/>
              <w:jc w:val="center"/>
              <w:rPr>
                <w:rFonts w:ascii="Times New Roman" w:eastAsia="Times New Roman" w:hAnsi="Times New Roman" w:cs="Times New Roman"/>
                <w:color w:val="000000"/>
                <w:sz w:val="16"/>
                <w:szCs w:val="16"/>
                <w:lang w:val="en-US" w:eastAsia="de-DE"/>
              </w:rPr>
            </w:pPr>
            <w:r>
              <w:rPr>
                <w:rFonts w:ascii="Times New Roman" w:eastAsia="Times New Roman" w:hAnsi="Times New Roman" w:cs="Times New Roman"/>
                <w:color w:val="000000"/>
                <w:sz w:val="16"/>
                <w:szCs w:val="16"/>
                <w:lang w:val="en-US" w:eastAsia="de-DE"/>
              </w:rPr>
              <w:t>21 (22%)</w:t>
            </w:r>
          </w:p>
        </w:tc>
        <w:tc>
          <w:tcPr>
            <w:tcW w:w="794" w:type="dxa"/>
          </w:tcPr>
          <w:p w14:paraId="781B2C13" w14:textId="77777777" w:rsidR="00E539FA" w:rsidRDefault="00E539FA" w:rsidP="00BD714C">
            <w:pPr>
              <w:spacing w:after="0" w:line="240" w:lineRule="auto"/>
              <w:jc w:val="center"/>
              <w:rPr>
                <w:rFonts w:ascii="Times New Roman" w:eastAsia="Times New Roman" w:hAnsi="Times New Roman" w:cs="Times New Roman"/>
                <w:color w:val="000000"/>
                <w:sz w:val="16"/>
                <w:szCs w:val="16"/>
                <w:lang w:val="en-US" w:eastAsia="de-DE"/>
              </w:rPr>
            </w:pPr>
            <w:r>
              <w:rPr>
                <w:rFonts w:ascii="Times New Roman" w:eastAsia="Times New Roman" w:hAnsi="Times New Roman" w:cs="Times New Roman"/>
                <w:sz w:val="16"/>
                <w:szCs w:val="16"/>
                <w:lang w:val="en-US" w:eastAsia="de-DE"/>
              </w:rPr>
              <w:t>0 (0%)</w:t>
            </w:r>
          </w:p>
        </w:tc>
        <w:tc>
          <w:tcPr>
            <w:tcW w:w="1531" w:type="dxa"/>
            <w:vAlign w:val="bottom"/>
          </w:tcPr>
          <w:p w14:paraId="4576C059" w14:textId="77777777" w:rsidR="00E539FA" w:rsidRDefault="00E539FA" w:rsidP="00BD714C">
            <w:pPr>
              <w:spacing w:after="0" w:line="240" w:lineRule="auto"/>
              <w:jc w:val="center"/>
              <w:rPr>
                <w:rFonts w:ascii="Times New Roman" w:eastAsia="Times New Roman" w:hAnsi="Times New Roman" w:cs="Times New Roman"/>
                <w:color w:val="000000"/>
                <w:sz w:val="16"/>
                <w:szCs w:val="16"/>
                <w:lang w:val="en-US" w:eastAsia="de-DE"/>
              </w:rPr>
            </w:pPr>
            <w:r>
              <w:rPr>
                <w:rFonts w:ascii="Times New Roman" w:eastAsia="Times New Roman" w:hAnsi="Times New Roman" w:cs="Times New Roman"/>
                <w:color w:val="000000"/>
                <w:sz w:val="16"/>
                <w:szCs w:val="16"/>
                <w:lang w:val="en-US" w:eastAsia="de-DE"/>
              </w:rPr>
              <w:t>8 (12%)</w:t>
            </w:r>
          </w:p>
        </w:tc>
        <w:tc>
          <w:tcPr>
            <w:tcW w:w="1701" w:type="dxa"/>
            <w:vAlign w:val="bottom"/>
          </w:tcPr>
          <w:p w14:paraId="77BE0273" w14:textId="77777777" w:rsidR="00E539FA" w:rsidRDefault="00E539FA" w:rsidP="00BD714C">
            <w:pPr>
              <w:spacing w:after="0" w:line="240" w:lineRule="auto"/>
              <w:jc w:val="center"/>
              <w:rPr>
                <w:rFonts w:ascii="Times New Roman" w:eastAsia="Times New Roman" w:hAnsi="Times New Roman" w:cs="Times New Roman"/>
                <w:color w:val="000000"/>
                <w:sz w:val="16"/>
                <w:szCs w:val="16"/>
                <w:lang w:val="en-US" w:eastAsia="de-DE"/>
              </w:rPr>
            </w:pPr>
            <w:r>
              <w:rPr>
                <w:rFonts w:ascii="Times New Roman" w:eastAsia="Times New Roman" w:hAnsi="Times New Roman" w:cs="Times New Roman"/>
                <w:color w:val="000000"/>
                <w:sz w:val="16"/>
                <w:szCs w:val="16"/>
                <w:lang w:val="en-US" w:eastAsia="de-DE"/>
              </w:rPr>
              <w:t>13 (52%)</w:t>
            </w:r>
          </w:p>
        </w:tc>
        <w:tc>
          <w:tcPr>
            <w:tcW w:w="950" w:type="dxa"/>
          </w:tcPr>
          <w:p w14:paraId="4F70FA1A" w14:textId="77777777" w:rsidR="00E539FA" w:rsidRPr="003B7AF7" w:rsidRDefault="00E539FA" w:rsidP="00BD714C">
            <w:pPr>
              <w:spacing w:after="0" w:line="240" w:lineRule="auto"/>
              <w:jc w:val="center"/>
              <w:rPr>
                <w:rFonts w:ascii="Times New Roman" w:eastAsia="Times New Roman" w:hAnsi="Times New Roman" w:cs="Times New Roman"/>
                <w:sz w:val="16"/>
                <w:szCs w:val="16"/>
                <w:lang w:val="en-US" w:eastAsia="de-DE"/>
              </w:rPr>
            </w:pPr>
          </w:p>
        </w:tc>
      </w:tr>
      <w:tr w:rsidR="00E539FA" w:rsidRPr="00641DEF" w14:paraId="6EF8F801" w14:textId="77777777" w:rsidTr="00BD714C">
        <w:trPr>
          <w:trHeight w:val="63"/>
          <w:jc w:val="center"/>
        </w:trPr>
        <w:tc>
          <w:tcPr>
            <w:tcW w:w="2381" w:type="dxa"/>
            <w:shd w:val="clear" w:color="auto" w:fill="F2F2F2" w:themeFill="background1" w:themeFillShade="F2"/>
            <w:noWrap/>
            <w:vAlign w:val="center"/>
          </w:tcPr>
          <w:p w14:paraId="398B7DAD" w14:textId="77777777" w:rsidR="00E539FA" w:rsidRPr="00AC25E6" w:rsidRDefault="00E539FA" w:rsidP="00BD714C">
            <w:pPr>
              <w:spacing w:after="0" w:line="240" w:lineRule="auto"/>
              <w:rPr>
                <w:rFonts w:ascii="Times New Roman" w:eastAsia="Times New Roman" w:hAnsi="Times New Roman" w:cs="Times New Roman"/>
                <w:b/>
                <w:bCs/>
                <w:color w:val="000000"/>
                <w:sz w:val="16"/>
                <w:szCs w:val="16"/>
                <w:lang w:val="en-US" w:eastAsia="de-DE"/>
              </w:rPr>
            </w:pPr>
            <w:r w:rsidRPr="00AC25E6">
              <w:rPr>
                <w:rFonts w:ascii="Times New Roman" w:eastAsia="Times New Roman" w:hAnsi="Times New Roman" w:cs="Times New Roman"/>
                <w:b/>
                <w:bCs/>
                <w:color w:val="000000"/>
                <w:sz w:val="16"/>
                <w:szCs w:val="16"/>
                <w:lang w:val="en-US" w:eastAsia="de-DE"/>
              </w:rPr>
              <w:t xml:space="preserve">Modified fisher </w:t>
            </w:r>
            <w:r>
              <w:rPr>
                <w:rFonts w:ascii="Times New Roman" w:eastAsia="Times New Roman" w:hAnsi="Times New Roman" w:cs="Times New Roman"/>
                <w:b/>
                <w:bCs/>
                <w:color w:val="000000"/>
                <w:sz w:val="16"/>
                <w:szCs w:val="16"/>
                <w:lang w:val="en-US" w:eastAsia="de-DE"/>
              </w:rPr>
              <w:t>scale</w:t>
            </w:r>
          </w:p>
        </w:tc>
        <w:tc>
          <w:tcPr>
            <w:tcW w:w="995" w:type="dxa"/>
            <w:shd w:val="clear" w:color="auto" w:fill="F2F2F2" w:themeFill="background1" w:themeFillShade="F2"/>
            <w:noWrap/>
            <w:vAlign w:val="bottom"/>
          </w:tcPr>
          <w:p w14:paraId="37613070" w14:textId="77777777" w:rsidR="00E539FA" w:rsidRDefault="00E539FA" w:rsidP="00BD714C">
            <w:pPr>
              <w:spacing w:after="0" w:line="240" w:lineRule="auto"/>
              <w:jc w:val="center"/>
              <w:rPr>
                <w:rFonts w:ascii="Times New Roman" w:eastAsia="Times New Roman" w:hAnsi="Times New Roman" w:cs="Times New Roman"/>
                <w:color w:val="000000"/>
                <w:sz w:val="16"/>
                <w:szCs w:val="16"/>
                <w:lang w:val="en-US" w:eastAsia="de-DE"/>
              </w:rPr>
            </w:pPr>
          </w:p>
        </w:tc>
        <w:tc>
          <w:tcPr>
            <w:tcW w:w="794" w:type="dxa"/>
            <w:shd w:val="clear" w:color="auto" w:fill="F2F2F2" w:themeFill="background1" w:themeFillShade="F2"/>
          </w:tcPr>
          <w:p w14:paraId="268C0351" w14:textId="77777777" w:rsidR="00E539FA" w:rsidRPr="003B7AF7" w:rsidRDefault="00E539FA" w:rsidP="00BD714C">
            <w:pPr>
              <w:spacing w:after="0" w:line="240" w:lineRule="auto"/>
              <w:jc w:val="center"/>
              <w:rPr>
                <w:rFonts w:ascii="Times New Roman" w:eastAsia="Times New Roman" w:hAnsi="Times New Roman" w:cs="Times New Roman"/>
                <w:sz w:val="16"/>
                <w:szCs w:val="16"/>
                <w:lang w:val="en-US" w:eastAsia="de-DE"/>
              </w:rPr>
            </w:pPr>
          </w:p>
        </w:tc>
        <w:tc>
          <w:tcPr>
            <w:tcW w:w="1531" w:type="dxa"/>
            <w:shd w:val="clear" w:color="auto" w:fill="F2F2F2" w:themeFill="background1" w:themeFillShade="F2"/>
          </w:tcPr>
          <w:p w14:paraId="646810F7" w14:textId="77777777" w:rsidR="00E539FA" w:rsidRPr="003B7AF7" w:rsidRDefault="00E539FA" w:rsidP="00BD714C">
            <w:pPr>
              <w:spacing w:after="0" w:line="240" w:lineRule="auto"/>
              <w:jc w:val="center"/>
              <w:rPr>
                <w:rFonts w:ascii="Times New Roman" w:eastAsia="Times New Roman" w:hAnsi="Times New Roman" w:cs="Times New Roman"/>
                <w:sz w:val="16"/>
                <w:szCs w:val="16"/>
                <w:lang w:val="en-US" w:eastAsia="de-DE"/>
              </w:rPr>
            </w:pPr>
          </w:p>
        </w:tc>
        <w:tc>
          <w:tcPr>
            <w:tcW w:w="1701" w:type="dxa"/>
            <w:shd w:val="clear" w:color="auto" w:fill="F2F2F2" w:themeFill="background1" w:themeFillShade="F2"/>
          </w:tcPr>
          <w:p w14:paraId="075FCC12" w14:textId="77777777" w:rsidR="00E539FA" w:rsidRPr="003B7AF7" w:rsidRDefault="00E539FA" w:rsidP="00BD714C">
            <w:pPr>
              <w:spacing w:after="0" w:line="240" w:lineRule="auto"/>
              <w:jc w:val="center"/>
              <w:rPr>
                <w:rFonts w:ascii="Times New Roman" w:eastAsia="Times New Roman" w:hAnsi="Times New Roman" w:cs="Times New Roman"/>
                <w:sz w:val="16"/>
                <w:szCs w:val="16"/>
                <w:lang w:val="en-US" w:eastAsia="de-DE"/>
              </w:rPr>
            </w:pPr>
          </w:p>
        </w:tc>
        <w:tc>
          <w:tcPr>
            <w:tcW w:w="950" w:type="dxa"/>
            <w:shd w:val="clear" w:color="auto" w:fill="F2F2F2" w:themeFill="background1" w:themeFillShade="F2"/>
          </w:tcPr>
          <w:p w14:paraId="01247714" w14:textId="77777777" w:rsidR="00E539FA" w:rsidRPr="00291A14" w:rsidRDefault="00E539FA" w:rsidP="00BD714C">
            <w:pPr>
              <w:spacing w:after="0" w:line="240" w:lineRule="auto"/>
              <w:jc w:val="center"/>
              <w:rPr>
                <w:rFonts w:ascii="Times New Roman" w:eastAsia="Times New Roman" w:hAnsi="Times New Roman" w:cs="Times New Roman"/>
                <w:b/>
                <w:sz w:val="16"/>
                <w:szCs w:val="16"/>
                <w:lang w:val="en-US" w:eastAsia="de-DE"/>
              </w:rPr>
            </w:pPr>
            <w:r w:rsidRPr="00291A14">
              <w:rPr>
                <w:rFonts w:ascii="Times New Roman" w:eastAsia="Times New Roman" w:hAnsi="Times New Roman" w:cs="Times New Roman"/>
                <w:b/>
                <w:sz w:val="16"/>
                <w:szCs w:val="16"/>
                <w:lang w:val="en-US" w:eastAsia="de-DE"/>
              </w:rPr>
              <w:t>&lt;0.001</w:t>
            </w:r>
          </w:p>
        </w:tc>
      </w:tr>
      <w:tr w:rsidR="00E539FA" w:rsidRPr="00641DEF" w14:paraId="14075D08" w14:textId="77777777" w:rsidTr="00BD714C">
        <w:trPr>
          <w:trHeight w:val="63"/>
          <w:jc w:val="center"/>
        </w:trPr>
        <w:tc>
          <w:tcPr>
            <w:tcW w:w="2381" w:type="dxa"/>
            <w:shd w:val="clear" w:color="auto" w:fill="auto"/>
            <w:noWrap/>
            <w:vAlign w:val="center"/>
          </w:tcPr>
          <w:p w14:paraId="604F31FA" w14:textId="77777777" w:rsidR="00E539FA" w:rsidRPr="00D51287" w:rsidRDefault="00E539FA" w:rsidP="00BD714C">
            <w:pPr>
              <w:spacing w:after="0" w:line="240" w:lineRule="auto"/>
              <w:rPr>
                <w:rFonts w:ascii="Times New Roman" w:eastAsia="Times New Roman" w:hAnsi="Times New Roman" w:cs="Times New Roman"/>
                <w:b/>
                <w:color w:val="000000"/>
                <w:sz w:val="16"/>
                <w:szCs w:val="16"/>
                <w:lang w:val="en-US" w:eastAsia="de-DE"/>
              </w:rPr>
            </w:pPr>
            <w:r>
              <w:rPr>
                <w:rFonts w:ascii="Times New Roman" w:eastAsia="Times New Roman" w:hAnsi="Times New Roman" w:cs="Times New Roman"/>
                <w:color w:val="000000"/>
                <w:sz w:val="16"/>
                <w:szCs w:val="16"/>
                <w:lang w:val="en-US" w:eastAsia="de-DE"/>
              </w:rPr>
              <w:tab/>
              <w:t>Good grade (mFS</w:t>
            </w:r>
            <w:r>
              <w:rPr>
                <w:rFonts w:ascii="Times New Roman" w:eastAsia="Times New Roman" w:hAnsi="Times New Roman" w:cs="Times New Roman"/>
                <w:color w:val="000000"/>
                <w:sz w:val="16"/>
                <w:szCs w:val="16"/>
                <w:vertAlign w:val="subscript"/>
                <w:lang w:val="en-US" w:eastAsia="de-DE"/>
              </w:rPr>
              <w:t>1-2</w:t>
            </w:r>
            <w:r>
              <w:rPr>
                <w:rFonts w:ascii="Times New Roman" w:eastAsia="Times New Roman" w:hAnsi="Times New Roman" w:cs="Times New Roman"/>
                <w:color w:val="000000"/>
                <w:sz w:val="16"/>
                <w:szCs w:val="16"/>
                <w:lang w:val="en-US" w:eastAsia="de-DE"/>
              </w:rPr>
              <w:t>)</w:t>
            </w:r>
          </w:p>
        </w:tc>
        <w:tc>
          <w:tcPr>
            <w:tcW w:w="995" w:type="dxa"/>
            <w:shd w:val="clear" w:color="auto" w:fill="auto"/>
            <w:noWrap/>
            <w:vAlign w:val="bottom"/>
          </w:tcPr>
          <w:p w14:paraId="593D33B0" w14:textId="77777777" w:rsidR="00E539FA" w:rsidRDefault="00E539FA" w:rsidP="00BD714C">
            <w:pPr>
              <w:spacing w:after="0" w:line="240" w:lineRule="auto"/>
              <w:jc w:val="center"/>
              <w:rPr>
                <w:rFonts w:ascii="Times New Roman" w:eastAsia="Times New Roman" w:hAnsi="Times New Roman" w:cs="Times New Roman"/>
                <w:color w:val="000000"/>
                <w:sz w:val="16"/>
                <w:szCs w:val="16"/>
                <w:lang w:val="en-US" w:eastAsia="de-DE"/>
              </w:rPr>
            </w:pPr>
            <w:r>
              <w:rPr>
                <w:rFonts w:ascii="Times New Roman" w:eastAsia="Times New Roman" w:hAnsi="Times New Roman" w:cs="Times New Roman"/>
                <w:color w:val="000000"/>
                <w:sz w:val="16"/>
                <w:szCs w:val="16"/>
                <w:lang w:val="en-US" w:eastAsia="de-DE"/>
              </w:rPr>
              <w:t>41 (43%)</w:t>
            </w:r>
          </w:p>
        </w:tc>
        <w:tc>
          <w:tcPr>
            <w:tcW w:w="794" w:type="dxa"/>
          </w:tcPr>
          <w:p w14:paraId="1BF4C80C" w14:textId="77777777" w:rsidR="00E539FA" w:rsidRDefault="00E539FA" w:rsidP="00BD714C">
            <w:pPr>
              <w:spacing w:after="0" w:line="240" w:lineRule="auto"/>
              <w:jc w:val="center"/>
              <w:rPr>
                <w:rFonts w:ascii="Times New Roman" w:eastAsia="Times New Roman" w:hAnsi="Times New Roman" w:cs="Times New Roman"/>
                <w:color w:val="000000"/>
                <w:sz w:val="16"/>
                <w:szCs w:val="16"/>
                <w:lang w:val="en-US" w:eastAsia="de-DE"/>
              </w:rPr>
            </w:pPr>
            <w:r>
              <w:rPr>
                <w:rFonts w:ascii="Times New Roman" w:eastAsia="Times New Roman" w:hAnsi="Times New Roman" w:cs="Times New Roman"/>
                <w:sz w:val="16"/>
                <w:szCs w:val="16"/>
                <w:lang w:val="en-US" w:eastAsia="de-DE"/>
              </w:rPr>
              <w:t>1 (17%)</w:t>
            </w:r>
          </w:p>
        </w:tc>
        <w:tc>
          <w:tcPr>
            <w:tcW w:w="1531" w:type="dxa"/>
            <w:vAlign w:val="bottom"/>
          </w:tcPr>
          <w:p w14:paraId="18AB376C" w14:textId="77777777" w:rsidR="00E539FA" w:rsidRDefault="00E539FA" w:rsidP="00BD714C">
            <w:pPr>
              <w:spacing w:after="0" w:line="240" w:lineRule="auto"/>
              <w:jc w:val="center"/>
              <w:rPr>
                <w:rFonts w:ascii="Times New Roman" w:eastAsia="Times New Roman" w:hAnsi="Times New Roman" w:cs="Times New Roman"/>
                <w:color w:val="000000"/>
                <w:sz w:val="16"/>
                <w:szCs w:val="16"/>
                <w:lang w:val="en-US" w:eastAsia="de-DE"/>
              </w:rPr>
            </w:pPr>
            <w:r>
              <w:rPr>
                <w:rFonts w:ascii="Times New Roman" w:eastAsia="Times New Roman" w:hAnsi="Times New Roman" w:cs="Times New Roman"/>
                <w:color w:val="000000"/>
                <w:sz w:val="16"/>
                <w:szCs w:val="16"/>
                <w:lang w:val="en-US" w:eastAsia="de-DE"/>
              </w:rPr>
              <w:t>37 (57%)</w:t>
            </w:r>
          </w:p>
        </w:tc>
        <w:tc>
          <w:tcPr>
            <w:tcW w:w="1701" w:type="dxa"/>
            <w:vAlign w:val="bottom"/>
          </w:tcPr>
          <w:p w14:paraId="7B79F383" w14:textId="77777777" w:rsidR="00E539FA" w:rsidRDefault="00E539FA" w:rsidP="00BD714C">
            <w:pPr>
              <w:spacing w:after="0" w:line="240" w:lineRule="auto"/>
              <w:jc w:val="center"/>
              <w:rPr>
                <w:rFonts w:ascii="Times New Roman" w:eastAsia="Times New Roman" w:hAnsi="Times New Roman" w:cs="Times New Roman"/>
                <w:color w:val="000000"/>
                <w:sz w:val="16"/>
                <w:szCs w:val="16"/>
                <w:lang w:val="en-US" w:eastAsia="de-DE"/>
              </w:rPr>
            </w:pPr>
            <w:r>
              <w:rPr>
                <w:rFonts w:ascii="Times New Roman" w:eastAsia="Times New Roman" w:hAnsi="Times New Roman" w:cs="Times New Roman"/>
                <w:color w:val="000000"/>
                <w:sz w:val="16"/>
                <w:szCs w:val="16"/>
                <w:lang w:val="en-US" w:eastAsia="de-DE"/>
              </w:rPr>
              <w:t>3 (12%)</w:t>
            </w:r>
          </w:p>
        </w:tc>
        <w:tc>
          <w:tcPr>
            <w:tcW w:w="950" w:type="dxa"/>
          </w:tcPr>
          <w:p w14:paraId="107FDB29" w14:textId="77777777" w:rsidR="00E539FA" w:rsidRPr="003B7AF7" w:rsidRDefault="00E539FA" w:rsidP="00BD714C">
            <w:pPr>
              <w:spacing w:after="0" w:line="240" w:lineRule="auto"/>
              <w:jc w:val="center"/>
              <w:rPr>
                <w:rFonts w:ascii="Times New Roman" w:eastAsia="Times New Roman" w:hAnsi="Times New Roman" w:cs="Times New Roman"/>
                <w:sz w:val="16"/>
                <w:szCs w:val="16"/>
                <w:lang w:val="en-US" w:eastAsia="de-DE"/>
              </w:rPr>
            </w:pPr>
          </w:p>
        </w:tc>
      </w:tr>
      <w:tr w:rsidR="00E539FA" w:rsidRPr="00641DEF" w14:paraId="3E1F992E" w14:textId="77777777" w:rsidTr="00BD714C">
        <w:trPr>
          <w:trHeight w:val="63"/>
          <w:jc w:val="center"/>
        </w:trPr>
        <w:tc>
          <w:tcPr>
            <w:tcW w:w="2381" w:type="dxa"/>
            <w:shd w:val="clear" w:color="auto" w:fill="auto"/>
            <w:noWrap/>
            <w:vAlign w:val="center"/>
          </w:tcPr>
          <w:p w14:paraId="7988CB07" w14:textId="77777777" w:rsidR="00E539FA" w:rsidRPr="00825F42" w:rsidRDefault="00E539FA" w:rsidP="00BD714C">
            <w:pPr>
              <w:spacing w:after="0" w:line="240" w:lineRule="auto"/>
              <w:rPr>
                <w:rFonts w:ascii="Times New Roman" w:eastAsia="Times New Roman" w:hAnsi="Times New Roman" w:cs="Times New Roman"/>
                <w:b/>
                <w:color w:val="000000"/>
                <w:sz w:val="16"/>
                <w:szCs w:val="16"/>
                <w:lang w:eastAsia="de-DE"/>
              </w:rPr>
            </w:pPr>
            <w:r>
              <w:rPr>
                <w:rFonts w:ascii="Times New Roman" w:eastAsia="Times New Roman" w:hAnsi="Times New Roman" w:cs="Times New Roman"/>
                <w:color w:val="000000"/>
                <w:sz w:val="16"/>
                <w:szCs w:val="16"/>
                <w:lang w:eastAsia="de-DE"/>
              </w:rPr>
              <w:tab/>
              <w:t>Poor grade</w:t>
            </w:r>
            <w:r w:rsidRPr="00291D5D">
              <w:rPr>
                <w:rFonts w:ascii="Times New Roman" w:eastAsia="Times New Roman" w:hAnsi="Times New Roman" w:cs="Times New Roman"/>
                <w:color w:val="000000"/>
                <w:sz w:val="16"/>
                <w:szCs w:val="16"/>
                <w:lang w:eastAsia="de-DE"/>
              </w:rPr>
              <w:t xml:space="preserve"> (mF</w:t>
            </w:r>
            <w:r>
              <w:rPr>
                <w:rFonts w:ascii="Times New Roman" w:eastAsia="Times New Roman" w:hAnsi="Times New Roman" w:cs="Times New Roman"/>
                <w:color w:val="000000"/>
                <w:sz w:val="16"/>
                <w:szCs w:val="16"/>
                <w:lang w:eastAsia="de-DE"/>
              </w:rPr>
              <w:t>S</w:t>
            </w:r>
            <w:r>
              <w:rPr>
                <w:rFonts w:ascii="Times New Roman" w:eastAsia="Times New Roman" w:hAnsi="Times New Roman" w:cs="Times New Roman"/>
                <w:color w:val="000000"/>
                <w:sz w:val="16"/>
                <w:szCs w:val="16"/>
                <w:vertAlign w:val="subscript"/>
                <w:lang w:eastAsia="de-DE"/>
              </w:rPr>
              <w:t>3-4</w:t>
            </w:r>
            <w:r w:rsidRPr="00291D5D">
              <w:rPr>
                <w:rFonts w:ascii="Times New Roman" w:eastAsia="Times New Roman" w:hAnsi="Times New Roman" w:cs="Times New Roman"/>
                <w:color w:val="000000"/>
                <w:sz w:val="16"/>
                <w:szCs w:val="16"/>
                <w:lang w:eastAsia="de-DE"/>
              </w:rPr>
              <w:t>)</w:t>
            </w:r>
          </w:p>
        </w:tc>
        <w:tc>
          <w:tcPr>
            <w:tcW w:w="995" w:type="dxa"/>
            <w:shd w:val="clear" w:color="auto" w:fill="auto"/>
            <w:noWrap/>
            <w:vAlign w:val="bottom"/>
          </w:tcPr>
          <w:p w14:paraId="0FE1C48E" w14:textId="77777777" w:rsidR="00E539FA" w:rsidRDefault="00E539FA" w:rsidP="00BD714C">
            <w:pPr>
              <w:spacing w:after="0" w:line="240" w:lineRule="auto"/>
              <w:jc w:val="center"/>
              <w:rPr>
                <w:rFonts w:ascii="Times New Roman" w:eastAsia="Times New Roman" w:hAnsi="Times New Roman" w:cs="Times New Roman"/>
                <w:color w:val="000000"/>
                <w:sz w:val="16"/>
                <w:szCs w:val="16"/>
                <w:lang w:val="en-US" w:eastAsia="de-DE"/>
              </w:rPr>
            </w:pPr>
            <w:r>
              <w:rPr>
                <w:rFonts w:ascii="Times New Roman" w:eastAsia="Times New Roman" w:hAnsi="Times New Roman" w:cs="Times New Roman"/>
                <w:color w:val="000000"/>
                <w:sz w:val="16"/>
                <w:szCs w:val="16"/>
                <w:lang w:val="en-US" w:eastAsia="de-DE"/>
              </w:rPr>
              <w:t>55 (57%)</w:t>
            </w:r>
          </w:p>
        </w:tc>
        <w:tc>
          <w:tcPr>
            <w:tcW w:w="794" w:type="dxa"/>
          </w:tcPr>
          <w:p w14:paraId="633E3C8C" w14:textId="77777777" w:rsidR="00E539FA" w:rsidRDefault="00E539FA" w:rsidP="00BD714C">
            <w:pPr>
              <w:spacing w:after="0" w:line="240" w:lineRule="auto"/>
              <w:jc w:val="center"/>
              <w:rPr>
                <w:rFonts w:ascii="Times New Roman" w:eastAsia="Times New Roman" w:hAnsi="Times New Roman" w:cs="Times New Roman"/>
                <w:color w:val="000000"/>
                <w:sz w:val="16"/>
                <w:szCs w:val="16"/>
                <w:lang w:val="en-US" w:eastAsia="de-DE"/>
              </w:rPr>
            </w:pPr>
            <w:r>
              <w:rPr>
                <w:rFonts w:ascii="Times New Roman" w:eastAsia="Times New Roman" w:hAnsi="Times New Roman" w:cs="Times New Roman"/>
                <w:sz w:val="16"/>
                <w:szCs w:val="16"/>
                <w:lang w:val="en-US" w:eastAsia="de-DE"/>
              </w:rPr>
              <w:t>5 (83%)</w:t>
            </w:r>
          </w:p>
        </w:tc>
        <w:tc>
          <w:tcPr>
            <w:tcW w:w="1531" w:type="dxa"/>
            <w:vAlign w:val="bottom"/>
          </w:tcPr>
          <w:p w14:paraId="65A5B334" w14:textId="77777777" w:rsidR="00E539FA" w:rsidRDefault="00E539FA" w:rsidP="00BD714C">
            <w:pPr>
              <w:spacing w:after="0" w:line="240" w:lineRule="auto"/>
              <w:jc w:val="center"/>
              <w:rPr>
                <w:rFonts w:ascii="Times New Roman" w:eastAsia="Times New Roman" w:hAnsi="Times New Roman" w:cs="Times New Roman"/>
                <w:color w:val="000000"/>
                <w:sz w:val="16"/>
                <w:szCs w:val="16"/>
                <w:lang w:val="en-US" w:eastAsia="de-DE"/>
              </w:rPr>
            </w:pPr>
            <w:r>
              <w:rPr>
                <w:rFonts w:ascii="Times New Roman" w:eastAsia="Times New Roman" w:hAnsi="Times New Roman" w:cs="Times New Roman"/>
                <w:color w:val="000000"/>
                <w:sz w:val="16"/>
                <w:szCs w:val="16"/>
                <w:lang w:val="en-US" w:eastAsia="de-DE"/>
              </w:rPr>
              <w:t>28 (43%)</w:t>
            </w:r>
          </w:p>
        </w:tc>
        <w:tc>
          <w:tcPr>
            <w:tcW w:w="1701" w:type="dxa"/>
            <w:vAlign w:val="bottom"/>
          </w:tcPr>
          <w:p w14:paraId="20D8C4C2" w14:textId="77777777" w:rsidR="00E539FA" w:rsidRDefault="00E539FA" w:rsidP="00BD714C">
            <w:pPr>
              <w:spacing w:after="0" w:line="240" w:lineRule="auto"/>
              <w:jc w:val="center"/>
              <w:rPr>
                <w:rFonts w:ascii="Times New Roman" w:eastAsia="Times New Roman" w:hAnsi="Times New Roman" w:cs="Times New Roman"/>
                <w:color w:val="000000"/>
                <w:sz w:val="16"/>
                <w:szCs w:val="16"/>
                <w:lang w:val="en-US" w:eastAsia="de-DE"/>
              </w:rPr>
            </w:pPr>
            <w:r>
              <w:rPr>
                <w:rFonts w:ascii="Times New Roman" w:eastAsia="Times New Roman" w:hAnsi="Times New Roman" w:cs="Times New Roman"/>
                <w:color w:val="000000"/>
                <w:sz w:val="16"/>
                <w:szCs w:val="16"/>
                <w:lang w:val="en-US" w:eastAsia="de-DE"/>
              </w:rPr>
              <w:t>22 (88%)</w:t>
            </w:r>
          </w:p>
        </w:tc>
        <w:tc>
          <w:tcPr>
            <w:tcW w:w="950" w:type="dxa"/>
          </w:tcPr>
          <w:p w14:paraId="37010B69" w14:textId="77777777" w:rsidR="00E539FA" w:rsidRPr="003B7AF7" w:rsidRDefault="00E539FA" w:rsidP="00BD714C">
            <w:pPr>
              <w:spacing w:after="0" w:line="240" w:lineRule="auto"/>
              <w:jc w:val="center"/>
              <w:rPr>
                <w:rFonts w:ascii="Times New Roman" w:eastAsia="Times New Roman" w:hAnsi="Times New Roman" w:cs="Times New Roman"/>
                <w:sz w:val="16"/>
                <w:szCs w:val="16"/>
                <w:lang w:val="en-US" w:eastAsia="de-DE"/>
              </w:rPr>
            </w:pPr>
          </w:p>
        </w:tc>
      </w:tr>
      <w:tr w:rsidR="00E539FA" w:rsidRPr="00AC25E6" w14:paraId="76EEFDC5" w14:textId="77777777" w:rsidTr="00BD714C">
        <w:trPr>
          <w:trHeight w:val="63"/>
          <w:jc w:val="center"/>
        </w:trPr>
        <w:tc>
          <w:tcPr>
            <w:tcW w:w="2381" w:type="dxa"/>
            <w:shd w:val="clear" w:color="auto" w:fill="F2F2F2" w:themeFill="background1" w:themeFillShade="F2"/>
            <w:noWrap/>
            <w:vAlign w:val="center"/>
          </w:tcPr>
          <w:p w14:paraId="5D4451FA" w14:textId="77777777" w:rsidR="00E539FA" w:rsidRPr="00825F42" w:rsidRDefault="00E539FA" w:rsidP="00BD714C">
            <w:pPr>
              <w:spacing w:after="0" w:line="240" w:lineRule="auto"/>
              <w:rPr>
                <w:rFonts w:ascii="Times New Roman" w:eastAsia="Times New Roman" w:hAnsi="Times New Roman" w:cs="Times New Roman"/>
                <w:color w:val="000000"/>
                <w:sz w:val="16"/>
                <w:szCs w:val="16"/>
                <w:lang w:eastAsia="de-DE"/>
              </w:rPr>
            </w:pPr>
            <w:r>
              <w:rPr>
                <w:rFonts w:ascii="Times New Roman" w:eastAsia="Times New Roman" w:hAnsi="Times New Roman" w:cs="Times New Roman"/>
                <w:b/>
                <w:bCs/>
                <w:color w:val="000000"/>
                <w:sz w:val="16"/>
                <w:szCs w:val="16"/>
                <w:lang w:val="en-US" w:eastAsia="de-DE"/>
              </w:rPr>
              <w:t>D</w:t>
            </w:r>
            <w:r w:rsidRPr="00AC25E6">
              <w:rPr>
                <w:rFonts w:ascii="Times New Roman" w:eastAsia="Times New Roman" w:hAnsi="Times New Roman" w:cs="Times New Roman"/>
                <w:b/>
                <w:bCs/>
                <w:color w:val="000000"/>
                <w:sz w:val="16"/>
                <w:szCs w:val="16"/>
                <w:lang w:val="en-US" w:eastAsia="de-DE"/>
              </w:rPr>
              <w:t>CI</w:t>
            </w:r>
          </w:p>
        </w:tc>
        <w:tc>
          <w:tcPr>
            <w:tcW w:w="995" w:type="dxa"/>
            <w:shd w:val="clear" w:color="auto" w:fill="F2F2F2" w:themeFill="background1" w:themeFillShade="F2"/>
            <w:noWrap/>
            <w:vAlign w:val="bottom"/>
          </w:tcPr>
          <w:p w14:paraId="2109BC9D" w14:textId="77777777" w:rsidR="00E539FA" w:rsidRPr="00AC25E6" w:rsidRDefault="00E539FA" w:rsidP="00BD714C">
            <w:pPr>
              <w:spacing w:after="0" w:line="240" w:lineRule="auto"/>
              <w:jc w:val="center"/>
              <w:rPr>
                <w:rFonts w:ascii="Times New Roman" w:eastAsia="Times New Roman" w:hAnsi="Times New Roman" w:cs="Times New Roman"/>
                <w:color w:val="000000"/>
                <w:sz w:val="16"/>
                <w:szCs w:val="16"/>
                <w:lang w:val="en-US" w:eastAsia="de-DE"/>
              </w:rPr>
            </w:pPr>
          </w:p>
        </w:tc>
        <w:tc>
          <w:tcPr>
            <w:tcW w:w="794" w:type="dxa"/>
            <w:shd w:val="clear" w:color="auto" w:fill="F2F2F2" w:themeFill="background1" w:themeFillShade="F2"/>
          </w:tcPr>
          <w:p w14:paraId="0D958FE1" w14:textId="77777777" w:rsidR="00E539FA" w:rsidRPr="003B7AF7" w:rsidRDefault="00E539FA" w:rsidP="00BD714C">
            <w:pPr>
              <w:spacing w:after="0" w:line="240" w:lineRule="auto"/>
              <w:jc w:val="center"/>
              <w:rPr>
                <w:rFonts w:ascii="Times New Roman" w:eastAsia="Times New Roman" w:hAnsi="Times New Roman" w:cs="Times New Roman"/>
                <w:sz w:val="16"/>
                <w:szCs w:val="16"/>
                <w:lang w:val="en-US" w:eastAsia="de-DE"/>
              </w:rPr>
            </w:pPr>
          </w:p>
        </w:tc>
        <w:tc>
          <w:tcPr>
            <w:tcW w:w="1531" w:type="dxa"/>
            <w:shd w:val="clear" w:color="auto" w:fill="F2F2F2" w:themeFill="background1" w:themeFillShade="F2"/>
          </w:tcPr>
          <w:p w14:paraId="3DBD7119" w14:textId="77777777" w:rsidR="00E539FA" w:rsidRPr="003B7AF7" w:rsidRDefault="00E539FA" w:rsidP="00BD714C">
            <w:pPr>
              <w:spacing w:after="0" w:line="240" w:lineRule="auto"/>
              <w:jc w:val="center"/>
              <w:rPr>
                <w:rFonts w:ascii="Times New Roman" w:eastAsia="Times New Roman" w:hAnsi="Times New Roman" w:cs="Times New Roman"/>
                <w:sz w:val="16"/>
                <w:szCs w:val="16"/>
                <w:lang w:val="en-US" w:eastAsia="de-DE"/>
              </w:rPr>
            </w:pPr>
          </w:p>
        </w:tc>
        <w:tc>
          <w:tcPr>
            <w:tcW w:w="1701" w:type="dxa"/>
            <w:shd w:val="clear" w:color="auto" w:fill="F2F2F2" w:themeFill="background1" w:themeFillShade="F2"/>
          </w:tcPr>
          <w:p w14:paraId="27A89510" w14:textId="77777777" w:rsidR="00E539FA" w:rsidRPr="003B7AF7" w:rsidRDefault="00E539FA" w:rsidP="00BD714C">
            <w:pPr>
              <w:spacing w:after="0" w:line="240" w:lineRule="auto"/>
              <w:jc w:val="center"/>
              <w:rPr>
                <w:rFonts w:ascii="Times New Roman" w:eastAsia="Times New Roman" w:hAnsi="Times New Roman" w:cs="Times New Roman"/>
                <w:sz w:val="16"/>
                <w:szCs w:val="16"/>
                <w:lang w:val="en-US" w:eastAsia="de-DE"/>
              </w:rPr>
            </w:pPr>
          </w:p>
        </w:tc>
        <w:tc>
          <w:tcPr>
            <w:tcW w:w="950" w:type="dxa"/>
            <w:shd w:val="clear" w:color="auto" w:fill="F2F2F2" w:themeFill="background1" w:themeFillShade="F2"/>
          </w:tcPr>
          <w:p w14:paraId="096B5D82" w14:textId="77777777" w:rsidR="00E539FA" w:rsidRPr="00291A14" w:rsidRDefault="00E539FA" w:rsidP="00BD714C">
            <w:pPr>
              <w:spacing w:after="0" w:line="240" w:lineRule="auto"/>
              <w:jc w:val="center"/>
              <w:rPr>
                <w:rFonts w:ascii="Times New Roman" w:eastAsia="Times New Roman" w:hAnsi="Times New Roman" w:cs="Times New Roman"/>
                <w:b/>
                <w:sz w:val="16"/>
                <w:szCs w:val="16"/>
                <w:lang w:val="en-US" w:eastAsia="de-DE"/>
              </w:rPr>
            </w:pPr>
            <w:r w:rsidRPr="00291A14">
              <w:rPr>
                <w:rFonts w:ascii="Times New Roman" w:eastAsia="Times New Roman" w:hAnsi="Times New Roman" w:cs="Times New Roman"/>
                <w:b/>
                <w:sz w:val="16"/>
                <w:szCs w:val="16"/>
                <w:lang w:val="en-US" w:eastAsia="de-DE"/>
              </w:rPr>
              <w:t>0.002</w:t>
            </w:r>
          </w:p>
        </w:tc>
      </w:tr>
      <w:tr w:rsidR="00E539FA" w:rsidRPr="00AC25E6" w14:paraId="7E9D6EBD" w14:textId="77777777" w:rsidTr="00BD714C">
        <w:trPr>
          <w:trHeight w:val="63"/>
          <w:jc w:val="center"/>
        </w:trPr>
        <w:tc>
          <w:tcPr>
            <w:tcW w:w="2381" w:type="dxa"/>
            <w:shd w:val="clear" w:color="auto" w:fill="auto"/>
            <w:noWrap/>
            <w:vAlign w:val="center"/>
          </w:tcPr>
          <w:p w14:paraId="498A5B96" w14:textId="77777777" w:rsidR="00E539FA" w:rsidRPr="00AC25E6" w:rsidRDefault="00E539FA" w:rsidP="00BD714C">
            <w:pPr>
              <w:spacing w:after="0" w:line="240" w:lineRule="auto"/>
              <w:rPr>
                <w:rFonts w:ascii="Times New Roman" w:eastAsia="Times New Roman" w:hAnsi="Times New Roman" w:cs="Times New Roman"/>
                <w:color w:val="000000"/>
                <w:sz w:val="16"/>
                <w:szCs w:val="16"/>
                <w:lang w:val="en-US" w:eastAsia="de-DE"/>
              </w:rPr>
            </w:pPr>
            <w:r>
              <w:rPr>
                <w:rFonts w:ascii="Times New Roman" w:eastAsia="Times New Roman" w:hAnsi="Times New Roman" w:cs="Times New Roman"/>
                <w:color w:val="000000"/>
                <w:sz w:val="16"/>
                <w:szCs w:val="16"/>
                <w:lang w:val="en-US" w:eastAsia="de-DE"/>
              </w:rPr>
              <w:tab/>
              <w:t>no DCI</w:t>
            </w:r>
          </w:p>
        </w:tc>
        <w:tc>
          <w:tcPr>
            <w:tcW w:w="995" w:type="dxa"/>
            <w:shd w:val="clear" w:color="auto" w:fill="auto"/>
            <w:noWrap/>
            <w:vAlign w:val="bottom"/>
          </w:tcPr>
          <w:p w14:paraId="5BE86E6B" w14:textId="77777777" w:rsidR="00E539FA" w:rsidRDefault="00E539FA" w:rsidP="00BD714C">
            <w:pPr>
              <w:spacing w:after="0" w:line="240" w:lineRule="auto"/>
              <w:jc w:val="center"/>
              <w:rPr>
                <w:rFonts w:ascii="Times New Roman" w:eastAsia="Times New Roman" w:hAnsi="Times New Roman" w:cs="Times New Roman"/>
                <w:color w:val="000000"/>
                <w:sz w:val="16"/>
                <w:szCs w:val="16"/>
                <w:lang w:val="en-US" w:eastAsia="de-DE"/>
              </w:rPr>
            </w:pPr>
            <w:r>
              <w:rPr>
                <w:rFonts w:ascii="Times New Roman" w:eastAsia="Times New Roman" w:hAnsi="Times New Roman" w:cs="Times New Roman"/>
                <w:color w:val="000000"/>
                <w:sz w:val="16"/>
                <w:szCs w:val="16"/>
                <w:lang w:val="en-US" w:eastAsia="de-DE"/>
              </w:rPr>
              <w:t>48 (50%)</w:t>
            </w:r>
          </w:p>
        </w:tc>
        <w:tc>
          <w:tcPr>
            <w:tcW w:w="794" w:type="dxa"/>
          </w:tcPr>
          <w:p w14:paraId="7EE0F268" w14:textId="77777777" w:rsidR="00E539FA" w:rsidRDefault="00E539FA" w:rsidP="00BD714C">
            <w:pPr>
              <w:spacing w:after="0" w:line="240" w:lineRule="auto"/>
              <w:jc w:val="center"/>
              <w:rPr>
                <w:rFonts w:ascii="Times New Roman" w:eastAsia="Times New Roman" w:hAnsi="Times New Roman" w:cs="Times New Roman"/>
                <w:color w:val="000000"/>
                <w:sz w:val="16"/>
                <w:szCs w:val="16"/>
                <w:lang w:val="en-US" w:eastAsia="de-DE"/>
              </w:rPr>
            </w:pPr>
            <w:r>
              <w:rPr>
                <w:rFonts w:ascii="Times New Roman" w:eastAsia="Times New Roman" w:hAnsi="Times New Roman" w:cs="Times New Roman"/>
                <w:sz w:val="16"/>
                <w:szCs w:val="16"/>
                <w:lang w:val="en-US" w:eastAsia="de-DE"/>
              </w:rPr>
              <w:t>2 (33%)</w:t>
            </w:r>
          </w:p>
        </w:tc>
        <w:tc>
          <w:tcPr>
            <w:tcW w:w="1531" w:type="dxa"/>
            <w:vAlign w:val="bottom"/>
          </w:tcPr>
          <w:p w14:paraId="16C0836F" w14:textId="77777777" w:rsidR="00E539FA" w:rsidRDefault="00E539FA" w:rsidP="00BD714C">
            <w:pPr>
              <w:spacing w:after="0" w:line="240" w:lineRule="auto"/>
              <w:jc w:val="center"/>
              <w:rPr>
                <w:rFonts w:ascii="Times New Roman" w:eastAsia="Times New Roman" w:hAnsi="Times New Roman" w:cs="Times New Roman"/>
                <w:color w:val="000000"/>
                <w:sz w:val="16"/>
                <w:szCs w:val="16"/>
                <w:lang w:val="en-US" w:eastAsia="de-DE"/>
              </w:rPr>
            </w:pPr>
            <w:r>
              <w:rPr>
                <w:rFonts w:ascii="Times New Roman" w:eastAsia="Times New Roman" w:hAnsi="Times New Roman" w:cs="Times New Roman"/>
                <w:color w:val="000000"/>
                <w:sz w:val="16"/>
                <w:szCs w:val="16"/>
                <w:lang w:val="en-US" w:eastAsia="de-DE"/>
              </w:rPr>
              <w:t>40 (61%)</w:t>
            </w:r>
          </w:p>
        </w:tc>
        <w:tc>
          <w:tcPr>
            <w:tcW w:w="1701" w:type="dxa"/>
            <w:vAlign w:val="bottom"/>
          </w:tcPr>
          <w:p w14:paraId="727EF258" w14:textId="77777777" w:rsidR="00E539FA" w:rsidRDefault="00E539FA" w:rsidP="00BD714C">
            <w:pPr>
              <w:spacing w:after="0" w:line="240" w:lineRule="auto"/>
              <w:jc w:val="center"/>
              <w:rPr>
                <w:rFonts w:ascii="Times New Roman" w:eastAsia="Times New Roman" w:hAnsi="Times New Roman" w:cs="Times New Roman"/>
                <w:color w:val="000000"/>
                <w:sz w:val="16"/>
                <w:szCs w:val="16"/>
                <w:lang w:val="en-US" w:eastAsia="de-DE"/>
              </w:rPr>
            </w:pPr>
            <w:r>
              <w:rPr>
                <w:rFonts w:ascii="Times New Roman" w:eastAsia="Times New Roman" w:hAnsi="Times New Roman" w:cs="Times New Roman"/>
                <w:color w:val="000000"/>
                <w:sz w:val="16"/>
                <w:szCs w:val="16"/>
                <w:lang w:val="en-US" w:eastAsia="de-DE"/>
              </w:rPr>
              <w:t>6 (24%)</w:t>
            </w:r>
          </w:p>
        </w:tc>
        <w:tc>
          <w:tcPr>
            <w:tcW w:w="950" w:type="dxa"/>
          </w:tcPr>
          <w:p w14:paraId="0B23FC94" w14:textId="77777777" w:rsidR="00E539FA" w:rsidRDefault="00E539FA" w:rsidP="00BD714C">
            <w:pPr>
              <w:spacing w:after="0" w:line="240" w:lineRule="auto"/>
              <w:jc w:val="center"/>
              <w:rPr>
                <w:rFonts w:ascii="Times New Roman" w:eastAsia="Times New Roman" w:hAnsi="Times New Roman" w:cs="Times New Roman"/>
                <w:sz w:val="16"/>
                <w:szCs w:val="16"/>
                <w:lang w:val="en-US" w:eastAsia="de-DE"/>
              </w:rPr>
            </w:pPr>
          </w:p>
        </w:tc>
      </w:tr>
      <w:tr w:rsidR="00E539FA" w:rsidRPr="00AC25E6" w14:paraId="54EEF159" w14:textId="77777777" w:rsidTr="00BD714C">
        <w:trPr>
          <w:trHeight w:val="63"/>
          <w:jc w:val="center"/>
        </w:trPr>
        <w:tc>
          <w:tcPr>
            <w:tcW w:w="2381" w:type="dxa"/>
            <w:shd w:val="clear" w:color="auto" w:fill="auto"/>
            <w:noWrap/>
            <w:vAlign w:val="center"/>
            <w:hideMark/>
          </w:tcPr>
          <w:p w14:paraId="78AE329B" w14:textId="77777777" w:rsidR="00E539FA" w:rsidRPr="00825F42" w:rsidRDefault="00E539FA" w:rsidP="00BD714C">
            <w:pPr>
              <w:spacing w:after="0" w:line="240" w:lineRule="auto"/>
              <w:rPr>
                <w:rFonts w:ascii="Times New Roman" w:eastAsia="Times New Roman" w:hAnsi="Times New Roman" w:cs="Times New Roman"/>
                <w:color w:val="000000"/>
                <w:sz w:val="16"/>
                <w:szCs w:val="16"/>
                <w:lang w:val="en-US" w:eastAsia="de-DE"/>
              </w:rPr>
            </w:pPr>
            <w:r>
              <w:rPr>
                <w:rFonts w:ascii="Times New Roman" w:eastAsia="Times New Roman" w:hAnsi="Times New Roman" w:cs="Times New Roman"/>
                <w:color w:val="000000"/>
                <w:sz w:val="16"/>
                <w:szCs w:val="16"/>
                <w:lang w:val="en-US" w:eastAsia="de-DE"/>
              </w:rPr>
              <w:tab/>
              <w:t>DCI</w:t>
            </w:r>
          </w:p>
        </w:tc>
        <w:tc>
          <w:tcPr>
            <w:tcW w:w="995" w:type="dxa"/>
            <w:shd w:val="clear" w:color="auto" w:fill="auto"/>
            <w:noWrap/>
            <w:vAlign w:val="bottom"/>
          </w:tcPr>
          <w:p w14:paraId="4DD85E84" w14:textId="77777777" w:rsidR="00E539FA" w:rsidRDefault="00E539FA" w:rsidP="00BD714C">
            <w:pPr>
              <w:spacing w:after="0" w:line="240" w:lineRule="auto"/>
              <w:jc w:val="center"/>
              <w:rPr>
                <w:rFonts w:ascii="Times New Roman" w:eastAsia="Times New Roman" w:hAnsi="Times New Roman" w:cs="Times New Roman"/>
                <w:color w:val="000000"/>
                <w:sz w:val="16"/>
                <w:szCs w:val="16"/>
                <w:lang w:val="en-US" w:eastAsia="de-DE"/>
              </w:rPr>
            </w:pPr>
            <w:r>
              <w:rPr>
                <w:rFonts w:ascii="Times New Roman" w:eastAsia="Times New Roman" w:hAnsi="Times New Roman" w:cs="Times New Roman"/>
                <w:color w:val="000000"/>
                <w:sz w:val="16"/>
                <w:szCs w:val="16"/>
                <w:lang w:val="en-US" w:eastAsia="de-DE"/>
              </w:rPr>
              <w:t>48 (50%)</w:t>
            </w:r>
          </w:p>
        </w:tc>
        <w:tc>
          <w:tcPr>
            <w:tcW w:w="794" w:type="dxa"/>
          </w:tcPr>
          <w:p w14:paraId="00AED1B0" w14:textId="77777777" w:rsidR="00E539FA" w:rsidRDefault="00E539FA" w:rsidP="00BD714C">
            <w:pPr>
              <w:spacing w:after="0" w:line="240" w:lineRule="auto"/>
              <w:jc w:val="center"/>
              <w:rPr>
                <w:rFonts w:ascii="Times New Roman" w:eastAsia="Times New Roman" w:hAnsi="Times New Roman" w:cs="Times New Roman"/>
                <w:color w:val="000000"/>
                <w:sz w:val="16"/>
                <w:szCs w:val="16"/>
                <w:lang w:val="en-US" w:eastAsia="de-DE"/>
              </w:rPr>
            </w:pPr>
            <w:r>
              <w:rPr>
                <w:rFonts w:ascii="Times New Roman" w:eastAsia="Times New Roman" w:hAnsi="Times New Roman" w:cs="Times New Roman"/>
                <w:sz w:val="16"/>
                <w:szCs w:val="16"/>
                <w:lang w:val="en-US" w:eastAsia="de-DE"/>
              </w:rPr>
              <w:t>4 (67%)</w:t>
            </w:r>
          </w:p>
        </w:tc>
        <w:tc>
          <w:tcPr>
            <w:tcW w:w="1531" w:type="dxa"/>
            <w:vAlign w:val="bottom"/>
          </w:tcPr>
          <w:p w14:paraId="4DAEF759" w14:textId="77777777" w:rsidR="00E539FA" w:rsidRDefault="00E539FA" w:rsidP="00BD714C">
            <w:pPr>
              <w:spacing w:after="0" w:line="240" w:lineRule="auto"/>
              <w:jc w:val="center"/>
              <w:rPr>
                <w:rFonts w:ascii="Times New Roman" w:eastAsia="Times New Roman" w:hAnsi="Times New Roman" w:cs="Times New Roman"/>
                <w:color w:val="000000"/>
                <w:sz w:val="16"/>
                <w:szCs w:val="16"/>
                <w:lang w:val="en-US" w:eastAsia="de-DE"/>
              </w:rPr>
            </w:pPr>
            <w:r>
              <w:rPr>
                <w:rFonts w:ascii="Times New Roman" w:eastAsia="Times New Roman" w:hAnsi="Times New Roman" w:cs="Times New Roman"/>
                <w:color w:val="000000"/>
                <w:sz w:val="16"/>
                <w:szCs w:val="16"/>
                <w:lang w:val="en-US" w:eastAsia="de-DE"/>
              </w:rPr>
              <w:t>25 (38%)</w:t>
            </w:r>
          </w:p>
        </w:tc>
        <w:tc>
          <w:tcPr>
            <w:tcW w:w="1701" w:type="dxa"/>
            <w:vAlign w:val="bottom"/>
          </w:tcPr>
          <w:p w14:paraId="4C53E3D4" w14:textId="77777777" w:rsidR="00E539FA" w:rsidRDefault="00E539FA" w:rsidP="00BD714C">
            <w:pPr>
              <w:spacing w:after="0" w:line="240" w:lineRule="auto"/>
              <w:jc w:val="center"/>
              <w:rPr>
                <w:rFonts w:ascii="Times New Roman" w:eastAsia="Times New Roman" w:hAnsi="Times New Roman" w:cs="Times New Roman"/>
                <w:color w:val="000000"/>
                <w:sz w:val="16"/>
                <w:szCs w:val="16"/>
                <w:lang w:val="en-US" w:eastAsia="de-DE"/>
              </w:rPr>
            </w:pPr>
            <w:r>
              <w:rPr>
                <w:rFonts w:ascii="Times New Roman" w:eastAsia="Times New Roman" w:hAnsi="Times New Roman" w:cs="Times New Roman"/>
                <w:color w:val="000000"/>
                <w:sz w:val="16"/>
                <w:szCs w:val="16"/>
                <w:lang w:val="en-US" w:eastAsia="de-DE"/>
              </w:rPr>
              <w:t>19 (76%)</w:t>
            </w:r>
          </w:p>
        </w:tc>
        <w:tc>
          <w:tcPr>
            <w:tcW w:w="950" w:type="dxa"/>
          </w:tcPr>
          <w:p w14:paraId="495820CB" w14:textId="77777777" w:rsidR="00E539FA" w:rsidRDefault="00E539FA" w:rsidP="00BD714C">
            <w:pPr>
              <w:spacing w:after="0" w:line="240" w:lineRule="auto"/>
              <w:jc w:val="center"/>
              <w:rPr>
                <w:rFonts w:ascii="Times New Roman" w:eastAsia="Times New Roman" w:hAnsi="Times New Roman" w:cs="Times New Roman"/>
                <w:sz w:val="16"/>
                <w:szCs w:val="16"/>
                <w:lang w:val="en-US" w:eastAsia="de-DE"/>
              </w:rPr>
            </w:pPr>
          </w:p>
        </w:tc>
      </w:tr>
      <w:tr w:rsidR="006823AF" w:rsidRPr="00AC25E6" w14:paraId="75DBA676" w14:textId="77777777" w:rsidTr="00BD714C">
        <w:trPr>
          <w:trHeight w:val="63"/>
          <w:jc w:val="center"/>
        </w:trPr>
        <w:tc>
          <w:tcPr>
            <w:tcW w:w="2381" w:type="dxa"/>
            <w:shd w:val="clear" w:color="auto" w:fill="F2F2F2" w:themeFill="background1" w:themeFillShade="F2"/>
            <w:noWrap/>
            <w:vAlign w:val="center"/>
          </w:tcPr>
          <w:p w14:paraId="57E1FBEF" w14:textId="77777777" w:rsidR="006823AF" w:rsidRPr="00582B12" w:rsidRDefault="006823AF" w:rsidP="00BD714C">
            <w:pPr>
              <w:spacing w:after="0" w:line="240" w:lineRule="auto"/>
              <w:rPr>
                <w:rFonts w:ascii="Times New Roman" w:eastAsia="Times New Roman" w:hAnsi="Times New Roman" w:cs="Times New Roman"/>
                <w:b/>
                <w:color w:val="000000"/>
                <w:sz w:val="16"/>
                <w:szCs w:val="16"/>
                <w:lang w:val="en-US" w:eastAsia="de-DE"/>
              </w:rPr>
            </w:pPr>
            <w:r w:rsidRPr="00582B12">
              <w:rPr>
                <w:rFonts w:ascii="Times New Roman" w:eastAsia="Times New Roman" w:hAnsi="Times New Roman" w:cs="Times New Roman"/>
                <w:b/>
                <w:color w:val="000000"/>
                <w:sz w:val="16"/>
                <w:szCs w:val="16"/>
                <w:lang w:val="en-US" w:eastAsia="de-DE"/>
              </w:rPr>
              <w:t>DCI-related infarction</w:t>
            </w:r>
          </w:p>
        </w:tc>
        <w:tc>
          <w:tcPr>
            <w:tcW w:w="995" w:type="dxa"/>
            <w:shd w:val="clear" w:color="auto" w:fill="F2F2F2" w:themeFill="background1" w:themeFillShade="F2"/>
            <w:noWrap/>
            <w:vAlign w:val="bottom"/>
          </w:tcPr>
          <w:p w14:paraId="138ADF36" w14:textId="77777777" w:rsidR="006823AF" w:rsidRDefault="006823AF" w:rsidP="00BD714C">
            <w:pPr>
              <w:spacing w:after="0" w:line="240" w:lineRule="auto"/>
              <w:jc w:val="center"/>
              <w:rPr>
                <w:rFonts w:ascii="Times New Roman" w:eastAsia="Times New Roman" w:hAnsi="Times New Roman" w:cs="Times New Roman"/>
                <w:color w:val="000000"/>
                <w:sz w:val="16"/>
                <w:szCs w:val="16"/>
                <w:lang w:val="en-US" w:eastAsia="de-DE"/>
              </w:rPr>
            </w:pPr>
          </w:p>
        </w:tc>
        <w:tc>
          <w:tcPr>
            <w:tcW w:w="794" w:type="dxa"/>
            <w:shd w:val="clear" w:color="auto" w:fill="F2F2F2" w:themeFill="background1" w:themeFillShade="F2"/>
          </w:tcPr>
          <w:p w14:paraId="51A1D6DC" w14:textId="77777777" w:rsidR="006823AF" w:rsidRDefault="006823AF" w:rsidP="00BD714C">
            <w:pPr>
              <w:spacing w:after="0" w:line="240" w:lineRule="auto"/>
              <w:jc w:val="center"/>
              <w:rPr>
                <w:rFonts w:ascii="Times New Roman" w:eastAsia="Times New Roman" w:hAnsi="Times New Roman" w:cs="Times New Roman"/>
                <w:color w:val="000000"/>
                <w:sz w:val="16"/>
                <w:szCs w:val="16"/>
                <w:lang w:val="en-US" w:eastAsia="de-DE"/>
              </w:rPr>
            </w:pPr>
          </w:p>
        </w:tc>
        <w:tc>
          <w:tcPr>
            <w:tcW w:w="1531" w:type="dxa"/>
            <w:shd w:val="clear" w:color="auto" w:fill="F2F2F2" w:themeFill="background1" w:themeFillShade="F2"/>
            <w:vAlign w:val="bottom"/>
          </w:tcPr>
          <w:p w14:paraId="48BC9142" w14:textId="77777777" w:rsidR="006823AF" w:rsidRDefault="006823AF" w:rsidP="00BD714C">
            <w:pPr>
              <w:spacing w:after="0" w:line="240" w:lineRule="auto"/>
              <w:jc w:val="center"/>
              <w:rPr>
                <w:rFonts w:ascii="Times New Roman" w:eastAsia="Times New Roman" w:hAnsi="Times New Roman" w:cs="Times New Roman"/>
                <w:color w:val="000000"/>
                <w:sz w:val="16"/>
                <w:szCs w:val="16"/>
                <w:lang w:val="en-US" w:eastAsia="de-DE"/>
              </w:rPr>
            </w:pPr>
          </w:p>
        </w:tc>
        <w:tc>
          <w:tcPr>
            <w:tcW w:w="1701" w:type="dxa"/>
            <w:shd w:val="clear" w:color="auto" w:fill="F2F2F2" w:themeFill="background1" w:themeFillShade="F2"/>
            <w:vAlign w:val="bottom"/>
          </w:tcPr>
          <w:p w14:paraId="051D7AEE" w14:textId="77777777" w:rsidR="006823AF" w:rsidRDefault="006823AF" w:rsidP="00BD714C">
            <w:pPr>
              <w:spacing w:after="0" w:line="240" w:lineRule="auto"/>
              <w:jc w:val="center"/>
              <w:rPr>
                <w:rFonts w:ascii="Times New Roman" w:eastAsia="Times New Roman" w:hAnsi="Times New Roman" w:cs="Times New Roman"/>
                <w:color w:val="000000"/>
                <w:sz w:val="16"/>
                <w:szCs w:val="16"/>
                <w:lang w:val="en-US" w:eastAsia="de-DE"/>
              </w:rPr>
            </w:pPr>
          </w:p>
        </w:tc>
        <w:tc>
          <w:tcPr>
            <w:tcW w:w="950" w:type="dxa"/>
            <w:shd w:val="clear" w:color="auto" w:fill="F2F2F2" w:themeFill="background1" w:themeFillShade="F2"/>
          </w:tcPr>
          <w:p w14:paraId="5701A9CB" w14:textId="77777777" w:rsidR="006823AF" w:rsidRDefault="006823AF" w:rsidP="00BD714C">
            <w:pPr>
              <w:spacing w:after="0" w:line="240" w:lineRule="auto"/>
              <w:jc w:val="center"/>
              <w:rPr>
                <w:rFonts w:ascii="Times New Roman" w:eastAsia="Times New Roman" w:hAnsi="Times New Roman" w:cs="Times New Roman"/>
                <w:sz w:val="16"/>
                <w:szCs w:val="16"/>
                <w:lang w:val="en-US" w:eastAsia="de-DE"/>
              </w:rPr>
            </w:pPr>
            <w:r>
              <w:rPr>
                <w:rFonts w:ascii="Times New Roman" w:eastAsia="Times New Roman" w:hAnsi="Times New Roman" w:cs="Times New Roman"/>
                <w:sz w:val="16"/>
                <w:szCs w:val="16"/>
                <w:lang w:val="en-US" w:eastAsia="de-DE"/>
              </w:rPr>
              <w:t>0.162</w:t>
            </w:r>
          </w:p>
        </w:tc>
      </w:tr>
      <w:tr w:rsidR="006823AF" w:rsidRPr="00AC25E6" w14:paraId="47A191D9" w14:textId="77777777" w:rsidTr="00BD714C">
        <w:trPr>
          <w:trHeight w:val="63"/>
          <w:jc w:val="center"/>
        </w:trPr>
        <w:tc>
          <w:tcPr>
            <w:tcW w:w="2381" w:type="dxa"/>
            <w:shd w:val="clear" w:color="auto" w:fill="auto"/>
            <w:noWrap/>
            <w:vAlign w:val="center"/>
          </w:tcPr>
          <w:p w14:paraId="068DF548" w14:textId="77777777" w:rsidR="006823AF" w:rsidRPr="00F332B2" w:rsidRDefault="006823AF" w:rsidP="00BD714C">
            <w:pPr>
              <w:spacing w:after="0" w:line="240" w:lineRule="auto"/>
              <w:rPr>
                <w:rFonts w:ascii="Times New Roman" w:eastAsia="Times New Roman" w:hAnsi="Times New Roman" w:cs="Times New Roman"/>
                <w:color w:val="000000"/>
                <w:sz w:val="16"/>
                <w:szCs w:val="16"/>
                <w:lang w:val="en-US" w:eastAsia="de-DE"/>
              </w:rPr>
            </w:pPr>
            <w:r w:rsidRPr="00F332B2">
              <w:rPr>
                <w:rFonts w:ascii="Times New Roman" w:eastAsia="Times New Roman" w:hAnsi="Times New Roman" w:cs="Times New Roman"/>
                <w:color w:val="000000"/>
                <w:sz w:val="16"/>
                <w:szCs w:val="16"/>
                <w:lang w:val="en-US" w:eastAsia="de-DE"/>
              </w:rPr>
              <w:tab/>
              <w:t>DCI only</w:t>
            </w:r>
          </w:p>
        </w:tc>
        <w:tc>
          <w:tcPr>
            <w:tcW w:w="995" w:type="dxa"/>
            <w:shd w:val="clear" w:color="auto" w:fill="auto"/>
            <w:noWrap/>
            <w:vAlign w:val="bottom"/>
          </w:tcPr>
          <w:p w14:paraId="0F077ABD" w14:textId="77777777" w:rsidR="006823AF" w:rsidRDefault="006823AF" w:rsidP="00BD714C">
            <w:pPr>
              <w:spacing w:after="0" w:line="240" w:lineRule="auto"/>
              <w:jc w:val="center"/>
              <w:rPr>
                <w:rFonts w:ascii="Times New Roman" w:eastAsia="Times New Roman" w:hAnsi="Times New Roman" w:cs="Times New Roman"/>
                <w:color w:val="000000"/>
                <w:sz w:val="16"/>
                <w:szCs w:val="16"/>
                <w:lang w:val="en-US" w:eastAsia="de-DE"/>
              </w:rPr>
            </w:pPr>
            <w:r>
              <w:rPr>
                <w:rFonts w:ascii="Times New Roman" w:eastAsia="Times New Roman" w:hAnsi="Times New Roman" w:cs="Times New Roman"/>
                <w:color w:val="000000"/>
                <w:sz w:val="16"/>
                <w:szCs w:val="16"/>
                <w:lang w:val="en-US" w:eastAsia="de-DE"/>
              </w:rPr>
              <w:t>38 (79%)</w:t>
            </w:r>
          </w:p>
        </w:tc>
        <w:tc>
          <w:tcPr>
            <w:tcW w:w="794" w:type="dxa"/>
          </w:tcPr>
          <w:p w14:paraId="2CFC6540" w14:textId="77777777" w:rsidR="006823AF" w:rsidRDefault="006823AF" w:rsidP="00BD714C">
            <w:pPr>
              <w:spacing w:after="0" w:line="240" w:lineRule="auto"/>
              <w:jc w:val="center"/>
              <w:rPr>
                <w:rFonts w:ascii="Times New Roman" w:eastAsia="Times New Roman" w:hAnsi="Times New Roman" w:cs="Times New Roman"/>
                <w:color w:val="000000"/>
                <w:sz w:val="16"/>
                <w:szCs w:val="16"/>
                <w:lang w:val="en-US" w:eastAsia="de-DE"/>
              </w:rPr>
            </w:pPr>
            <w:r>
              <w:rPr>
                <w:rFonts w:ascii="Times New Roman" w:eastAsia="Times New Roman" w:hAnsi="Times New Roman" w:cs="Times New Roman"/>
                <w:sz w:val="16"/>
                <w:szCs w:val="16"/>
                <w:lang w:val="en-US" w:eastAsia="de-DE"/>
              </w:rPr>
              <w:t>3 (50%)</w:t>
            </w:r>
          </w:p>
        </w:tc>
        <w:tc>
          <w:tcPr>
            <w:tcW w:w="1531" w:type="dxa"/>
            <w:vAlign w:val="bottom"/>
          </w:tcPr>
          <w:p w14:paraId="69C511C1" w14:textId="77777777" w:rsidR="006823AF" w:rsidRDefault="006823AF" w:rsidP="00BD714C">
            <w:pPr>
              <w:spacing w:after="0" w:line="240" w:lineRule="auto"/>
              <w:jc w:val="center"/>
              <w:rPr>
                <w:rFonts w:ascii="Times New Roman" w:eastAsia="Times New Roman" w:hAnsi="Times New Roman" w:cs="Times New Roman"/>
                <w:color w:val="000000"/>
                <w:sz w:val="16"/>
                <w:szCs w:val="16"/>
                <w:lang w:val="en-US" w:eastAsia="de-DE"/>
              </w:rPr>
            </w:pPr>
            <w:r>
              <w:rPr>
                <w:rFonts w:ascii="Times New Roman" w:eastAsia="Times New Roman" w:hAnsi="Times New Roman" w:cs="Times New Roman"/>
                <w:color w:val="000000"/>
                <w:sz w:val="16"/>
                <w:szCs w:val="16"/>
                <w:lang w:val="en-US" w:eastAsia="de-DE"/>
              </w:rPr>
              <w:t>22 (34%)</w:t>
            </w:r>
          </w:p>
        </w:tc>
        <w:tc>
          <w:tcPr>
            <w:tcW w:w="1701" w:type="dxa"/>
            <w:vAlign w:val="bottom"/>
          </w:tcPr>
          <w:p w14:paraId="4846FA38" w14:textId="77777777" w:rsidR="006823AF" w:rsidRDefault="006823AF" w:rsidP="00BD714C">
            <w:pPr>
              <w:spacing w:after="0" w:line="240" w:lineRule="auto"/>
              <w:jc w:val="center"/>
              <w:rPr>
                <w:rFonts w:ascii="Times New Roman" w:eastAsia="Times New Roman" w:hAnsi="Times New Roman" w:cs="Times New Roman"/>
                <w:color w:val="000000"/>
                <w:sz w:val="16"/>
                <w:szCs w:val="16"/>
                <w:lang w:val="en-US" w:eastAsia="de-DE"/>
              </w:rPr>
            </w:pPr>
            <w:r>
              <w:rPr>
                <w:rFonts w:ascii="Times New Roman" w:eastAsia="Times New Roman" w:hAnsi="Times New Roman" w:cs="Times New Roman"/>
                <w:color w:val="000000"/>
                <w:sz w:val="16"/>
                <w:szCs w:val="16"/>
                <w:lang w:val="en-US" w:eastAsia="de-DE"/>
              </w:rPr>
              <w:t>13 (52%)</w:t>
            </w:r>
          </w:p>
        </w:tc>
        <w:tc>
          <w:tcPr>
            <w:tcW w:w="950" w:type="dxa"/>
          </w:tcPr>
          <w:p w14:paraId="65FA1FC4" w14:textId="77777777" w:rsidR="006823AF" w:rsidRDefault="006823AF" w:rsidP="00BD714C">
            <w:pPr>
              <w:spacing w:after="0" w:line="240" w:lineRule="auto"/>
              <w:jc w:val="center"/>
              <w:rPr>
                <w:rFonts w:ascii="Times New Roman" w:eastAsia="Times New Roman" w:hAnsi="Times New Roman" w:cs="Times New Roman"/>
                <w:sz w:val="16"/>
                <w:szCs w:val="16"/>
                <w:lang w:val="en-US" w:eastAsia="de-DE"/>
              </w:rPr>
            </w:pPr>
          </w:p>
        </w:tc>
      </w:tr>
      <w:tr w:rsidR="00452352" w:rsidRPr="00452352" w14:paraId="2AC84FEF" w14:textId="77777777" w:rsidTr="004A0F62">
        <w:trPr>
          <w:trHeight w:val="63"/>
          <w:jc w:val="center"/>
        </w:trPr>
        <w:tc>
          <w:tcPr>
            <w:tcW w:w="2381" w:type="dxa"/>
            <w:shd w:val="clear" w:color="auto" w:fill="auto"/>
            <w:noWrap/>
            <w:vAlign w:val="center"/>
          </w:tcPr>
          <w:p w14:paraId="1C64FE09" w14:textId="77777777" w:rsidR="006823AF" w:rsidRPr="00452352" w:rsidRDefault="006823AF" w:rsidP="00BD714C">
            <w:pPr>
              <w:spacing w:after="0" w:line="240" w:lineRule="auto"/>
              <w:rPr>
                <w:rFonts w:ascii="Times New Roman" w:eastAsia="Times New Roman" w:hAnsi="Times New Roman" w:cs="Times New Roman"/>
                <w:color w:val="000000" w:themeColor="text1"/>
                <w:sz w:val="16"/>
                <w:szCs w:val="16"/>
                <w:lang w:val="en-US" w:eastAsia="de-DE"/>
              </w:rPr>
            </w:pPr>
            <w:r w:rsidRPr="00452352">
              <w:rPr>
                <w:rFonts w:ascii="Times New Roman" w:eastAsia="Times New Roman" w:hAnsi="Times New Roman" w:cs="Times New Roman"/>
                <w:color w:val="000000" w:themeColor="text1"/>
                <w:sz w:val="16"/>
                <w:szCs w:val="16"/>
                <w:lang w:val="en-US" w:eastAsia="de-DE"/>
              </w:rPr>
              <w:tab/>
              <w:t>DCI-related infarction</w:t>
            </w:r>
          </w:p>
        </w:tc>
        <w:tc>
          <w:tcPr>
            <w:tcW w:w="995" w:type="dxa"/>
            <w:shd w:val="clear" w:color="auto" w:fill="auto"/>
            <w:noWrap/>
            <w:vAlign w:val="bottom"/>
          </w:tcPr>
          <w:p w14:paraId="69726EB1" w14:textId="77777777" w:rsidR="006823AF" w:rsidRPr="00452352" w:rsidRDefault="006823AF" w:rsidP="00BD714C">
            <w:pPr>
              <w:spacing w:after="0" w:line="240" w:lineRule="auto"/>
              <w:jc w:val="center"/>
              <w:rPr>
                <w:rFonts w:ascii="Times New Roman" w:eastAsia="Times New Roman" w:hAnsi="Times New Roman" w:cs="Times New Roman"/>
                <w:color w:val="000000" w:themeColor="text1"/>
                <w:sz w:val="16"/>
                <w:szCs w:val="16"/>
                <w:lang w:val="en-US" w:eastAsia="de-DE"/>
              </w:rPr>
            </w:pPr>
            <w:r w:rsidRPr="00452352">
              <w:rPr>
                <w:rFonts w:ascii="Times New Roman" w:eastAsia="Times New Roman" w:hAnsi="Times New Roman" w:cs="Times New Roman"/>
                <w:color w:val="000000" w:themeColor="text1"/>
                <w:sz w:val="16"/>
                <w:szCs w:val="16"/>
                <w:lang w:val="en-US" w:eastAsia="de-DE"/>
              </w:rPr>
              <w:t>10 (21%)</w:t>
            </w:r>
          </w:p>
        </w:tc>
        <w:tc>
          <w:tcPr>
            <w:tcW w:w="794" w:type="dxa"/>
          </w:tcPr>
          <w:p w14:paraId="660D6AD1" w14:textId="77777777" w:rsidR="006823AF" w:rsidRPr="00452352" w:rsidRDefault="006823AF" w:rsidP="00BD714C">
            <w:pPr>
              <w:spacing w:after="0" w:line="240" w:lineRule="auto"/>
              <w:jc w:val="center"/>
              <w:rPr>
                <w:rFonts w:ascii="Times New Roman" w:eastAsia="Times New Roman" w:hAnsi="Times New Roman" w:cs="Times New Roman"/>
                <w:color w:val="000000" w:themeColor="text1"/>
                <w:sz w:val="16"/>
                <w:szCs w:val="16"/>
                <w:lang w:val="en-US" w:eastAsia="de-DE"/>
              </w:rPr>
            </w:pPr>
            <w:r w:rsidRPr="00452352">
              <w:rPr>
                <w:rFonts w:ascii="Times New Roman" w:eastAsia="Times New Roman" w:hAnsi="Times New Roman" w:cs="Times New Roman"/>
                <w:color w:val="000000" w:themeColor="text1"/>
                <w:sz w:val="16"/>
                <w:szCs w:val="16"/>
                <w:lang w:val="en-US" w:eastAsia="de-DE"/>
              </w:rPr>
              <w:t>1 (17%)</w:t>
            </w:r>
          </w:p>
        </w:tc>
        <w:tc>
          <w:tcPr>
            <w:tcW w:w="1531" w:type="dxa"/>
            <w:vAlign w:val="bottom"/>
          </w:tcPr>
          <w:p w14:paraId="2BC7D10F" w14:textId="77777777" w:rsidR="006823AF" w:rsidRPr="00452352" w:rsidRDefault="006823AF" w:rsidP="00BD714C">
            <w:pPr>
              <w:spacing w:after="0" w:line="240" w:lineRule="auto"/>
              <w:jc w:val="center"/>
              <w:rPr>
                <w:rFonts w:ascii="Times New Roman" w:eastAsia="Times New Roman" w:hAnsi="Times New Roman" w:cs="Times New Roman"/>
                <w:color w:val="000000" w:themeColor="text1"/>
                <w:sz w:val="16"/>
                <w:szCs w:val="16"/>
                <w:lang w:val="en-US" w:eastAsia="de-DE"/>
              </w:rPr>
            </w:pPr>
            <w:r w:rsidRPr="00452352">
              <w:rPr>
                <w:rFonts w:ascii="Times New Roman" w:eastAsia="Times New Roman" w:hAnsi="Times New Roman" w:cs="Times New Roman"/>
                <w:color w:val="000000" w:themeColor="text1"/>
                <w:sz w:val="16"/>
                <w:szCs w:val="16"/>
                <w:lang w:val="en-US" w:eastAsia="de-DE"/>
              </w:rPr>
              <w:t>3 (5%)</w:t>
            </w:r>
          </w:p>
        </w:tc>
        <w:tc>
          <w:tcPr>
            <w:tcW w:w="1701" w:type="dxa"/>
            <w:vAlign w:val="bottom"/>
          </w:tcPr>
          <w:p w14:paraId="2BABECF7" w14:textId="77777777" w:rsidR="006823AF" w:rsidRPr="00452352" w:rsidRDefault="006823AF" w:rsidP="00BD714C">
            <w:pPr>
              <w:spacing w:after="0" w:line="240" w:lineRule="auto"/>
              <w:jc w:val="center"/>
              <w:rPr>
                <w:rFonts w:ascii="Times New Roman" w:eastAsia="Times New Roman" w:hAnsi="Times New Roman" w:cs="Times New Roman"/>
                <w:color w:val="000000" w:themeColor="text1"/>
                <w:sz w:val="16"/>
                <w:szCs w:val="16"/>
                <w:lang w:val="en-US" w:eastAsia="de-DE"/>
              </w:rPr>
            </w:pPr>
            <w:r w:rsidRPr="00452352">
              <w:rPr>
                <w:rFonts w:ascii="Times New Roman" w:eastAsia="Times New Roman" w:hAnsi="Times New Roman" w:cs="Times New Roman"/>
                <w:color w:val="000000" w:themeColor="text1"/>
                <w:sz w:val="16"/>
                <w:szCs w:val="16"/>
                <w:lang w:val="en-US" w:eastAsia="de-DE"/>
              </w:rPr>
              <w:t>6 (24%)</w:t>
            </w:r>
          </w:p>
        </w:tc>
        <w:tc>
          <w:tcPr>
            <w:tcW w:w="950" w:type="dxa"/>
          </w:tcPr>
          <w:p w14:paraId="7DAE8243" w14:textId="77777777" w:rsidR="006823AF" w:rsidRPr="00452352" w:rsidRDefault="006823AF" w:rsidP="00BD714C">
            <w:pPr>
              <w:spacing w:after="0" w:line="240" w:lineRule="auto"/>
              <w:jc w:val="center"/>
              <w:rPr>
                <w:rFonts w:ascii="Times New Roman" w:eastAsia="Times New Roman" w:hAnsi="Times New Roman" w:cs="Times New Roman"/>
                <w:color w:val="000000" w:themeColor="text1"/>
                <w:sz w:val="16"/>
                <w:szCs w:val="16"/>
                <w:lang w:val="en-US" w:eastAsia="de-DE"/>
              </w:rPr>
            </w:pPr>
          </w:p>
        </w:tc>
      </w:tr>
      <w:tr w:rsidR="00452352" w:rsidRPr="00452352" w14:paraId="3554FB04" w14:textId="77777777" w:rsidTr="00BD714C">
        <w:trPr>
          <w:trHeight w:val="63"/>
          <w:jc w:val="center"/>
        </w:trPr>
        <w:tc>
          <w:tcPr>
            <w:tcW w:w="2381" w:type="dxa"/>
            <w:shd w:val="clear" w:color="auto" w:fill="F2F2F2" w:themeFill="background1" w:themeFillShade="F2"/>
            <w:noWrap/>
            <w:vAlign w:val="center"/>
          </w:tcPr>
          <w:p w14:paraId="5C0C3938" w14:textId="77777777" w:rsidR="00BB189C" w:rsidRPr="00452352" w:rsidRDefault="00BB189C" w:rsidP="00BD714C">
            <w:pPr>
              <w:spacing w:after="0" w:line="240" w:lineRule="auto"/>
              <w:rPr>
                <w:rFonts w:ascii="Times New Roman" w:eastAsia="Times New Roman" w:hAnsi="Times New Roman" w:cs="Times New Roman"/>
                <w:b/>
                <w:bCs/>
                <w:color w:val="000000" w:themeColor="text1"/>
                <w:sz w:val="16"/>
                <w:szCs w:val="16"/>
                <w:lang w:val="en-US" w:eastAsia="de-DE"/>
              </w:rPr>
            </w:pPr>
            <w:r w:rsidRPr="00452352">
              <w:rPr>
                <w:rFonts w:ascii="Times New Roman" w:eastAsia="Times New Roman" w:hAnsi="Times New Roman" w:cs="Times New Roman"/>
                <w:b/>
                <w:bCs/>
                <w:color w:val="000000" w:themeColor="text1"/>
                <w:sz w:val="16"/>
                <w:szCs w:val="16"/>
                <w:lang w:val="en-US" w:eastAsia="de-DE"/>
              </w:rPr>
              <w:t>Ventilation</w:t>
            </w:r>
          </w:p>
        </w:tc>
        <w:tc>
          <w:tcPr>
            <w:tcW w:w="995" w:type="dxa"/>
            <w:shd w:val="clear" w:color="auto" w:fill="F2F2F2" w:themeFill="background1" w:themeFillShade="F2"/>
            <w:noWrap/>
            <w:vAlign w:val="bottom"/>
          </w:tcPr>
          <w:p w14:paraId="5BFBEF5C" w14:textId="77777777" w:rsidR="00BB189C" w:rsidRPr="00452352" w:rsidRDefault="00BB189C" w:rsidP="00BD714C">
            <w:pPr>
              <w:spacing w:after="0" w:line="240" w:lineRule="auto"/>
              <w:jc w:val="center"/>
              <w:rPr>
                <w:rFonts w:ascii="Times New Roman" w:eastAsia="Times New Roman" w:hAnsi="Times New Roman" w:cs="Times New Roman"/>
                <w:bCs/>
                <w:color w:val="000000" w:themeColor="text1"/>
                <w:sz w:val="16"/>
                <w:szCs w:val="16"/>
                <w:lang w:val="en-US" w:eastAsia="de-DE"/>
              </w:rPr>
            </w:pPr>
          </w:p>
        </w:tc>
        <w:tc>
          <w:tcPr>
            <w:tcW w:w="794" w:type="dxa"/>
            <w:shd w:val="clear" w:color="auto" w:fill="F2F2F2" w:themeFill="background1" w:themeFillShade="F2"/>
          </w:tcPr>
          <w:p w14:paraId="6B1A8A57" w14:textId="77777777" w:rsidR="00BB189C" w:rsidRPr="00452352" w:rsidRDefault="00BB189C" w:rsidP="00BD714C">
            <w:pPr>
              <w:spacing w:after="0" w:line="240" w:lineRule="auto"/>
              <w:jc w:val="center"/>
              <w:rPr>
                <w:rFonts w:ascii="Times New Roman" w:eastAsia="Times New Roman" w:hAnsi="Times New Roman" w:cs="Times New Roman"/>
                <w:bCs/>
                <w:color w:val="000000" w:themeColor="text1"/>
                <w:sz w:val="16"/>
                <w:szCs w:val="16"/>
                <w:lang w:val="en-US" w:eastAsia="de-DE"/>
              </w:rPr>
            </w:pPr>
          </w:p>
        </w:tc>
        <w:tc>
          <w:tcPr>
            <w:tcW w:w="1531" w:type="dxa"/>
            <w:shd w:val="clear" w:color="auto" w:fill="F2F2F2" w:themeFill="background1" w:themeFillShade="F2"/>
            <w:vAlign w:val="bottom"/>
          </w:tcPr>
          <w:p w14:paraId="743A1759" w14:textId="77777777" w:rsidR="00BB189C" w:rsidRPr="00452352" w:rsidRDefault="00BB189C" w:rsidP="00BD714C">
            <w:pPr>
              <w:spacing w:after="0" w:line="240" w:lineRule="auto"/>
              <w:jc w:val="center"/>
              <w:rPr>
                <w:rFonts w:ascii="Times New Roman" w:eastAsia="Times New Roman" w:hAnsi="Times New Roman" w:cs="Times New Roman"/>
                <w:bCs/>
                <w:color w:val="000000" w:themeColor="text1"/>
                <w:sz w:val="16"/>
                <w:szCs w:val="16"/>
                <w:lang w:val="en-US" w:eastAsia="de-DE"/>
              </w:rPr>
            </w:pPr>
          </w:p>
        </w:tc>
        <w:tc>
          <w:tcPr>
            <w:tcW w:w="1701" w:type="dxa"/>
            <w:shd w:val="clear" w:color="auto" w:fill="F2F2F2" w:themeFill="background1" w:themeFillShade="F2"/>
            <w:vAlign w:val="bottom"/>
          </w:tcPr>
          <w:p w14:paraId="739EB953" w14:textId="77777777" w:rsidR="00BB189C" w:rsidRPr="00452352" w:rsidRDefault="00BB189C" w:rsidP="00BD714C">
            <w:pPr>
              <w:spacing w:after="0" w:line="240" w:lineRule="auto"/>
              <w:jc w:val="center"/>
              <w:rPr>
                <w:rFonts w:ascii="Times New Roman" w:eastAsia="Times New Roman" w:hAnsi="Times New Roman" w:cs="Times New Roman"/>
                <w:bCs/>
                <w:color w:val="000000" w:themeColor="text1"/>
                <w:sz w:val="16"/>
                <w:szCs w:val="16"/>
                <w:lang w:val="en-US" w:eastAsia="de-DE"/>
              </w:rPr>
            </w:pPr>
          </w:p>
        </w:tc>
        <w:tc>
          <w:tcPr>
            <w:tcW w:w="950" w:type="dxa"/>
            <w:shd w:val="clear" w:color="auto" w:fill="F2F2F2" w:themeFill="background1" w:themeFillShade="F2"/>
          </w:tcPr>
          <w:p w14:paraId="2B389911" w14:textId="77777777" w:rsidR="00BB189C" w:rsidRPr="00452352" w:rsidRDefault="00BB189C" w:rsidP="00BD714C">
            <w:pPr>
              <w:spacing w:after="0" w:line="240" w:lineRule="auto"/>
              <w:jc w:val="center"/>
              <w:rPr>
                <w:rFonts w:ascii="Times New Roman" w:eastAsia="Times New Roman" w:hAnsi="Times New Roman" w:cs="Times New Roman"/>
                <w:b/>
                <w:bCs/>
                <w:color w:val="000000" w:themeColor="text1"/>
                <w:sz w:val="16"/>
                <w:szCs w:val="16"/>
                <w:lang w:val="en-US" w:eastAsia="de-DE"/>
              </w:rPr>
            </w:pPr>
            <w:r w:rsidRPr="00452352">
              <w:rPr>
                <w:rFonts w:ascii="Times New Roman" w:eastAsia="Times New Roman" w:hAnsi="Times New Roman" w:cs="Times New Roman"/>
                <w:b/>
                <w:bCs/>
                <w:color w:val="000000" w:themeColor="text1"/>
                <w:sz w:val="16"/>
                <w:szCs w:val="16"/>
                <w:lang w:val="en-US" w:eastAsia="de-DE"/>
              </w:rPr>
              <w:t>&lt;0.0001</w:t>
            </w:r>
          </w:p>
        </w:tc>
      </w:tr>
      <w:tr w:rsidR="00452352" w:rsidRPr="00452352" w14:paraId="195F00BD" w14:textId="77777777" w:rsidTr="00BD714C">
        <w:trPr>
          <w:trHeight w:val="63"/>
          <w:jc w:val="center"/>
        </w:trPr>
        <w:tc>
          <w:tcPr>
            <w:tcW w:w="2381" w:type="dxa"/>
            <w:shd w:val="clear" w:color="auto" w:fill="auto"/>
            <w:noWrap/>
            <w:vAlign w:val="center"/>
          </w:tcPr>
          <w:p w14:paraId="182E9A21" w14:textId="77777777" w:rsidR="00BB189C" w:rsidRPr="00452352" w:rsidRDefault="00BB189C" w:rsidP="00BD714C">
            <w:pPr>
              <w:spacing w:after="0" w:line="240" w:lineRule="auto"/>
              <w:rPr>
                <w:rFonts w:ascii="Times New Roman" w:eastAsia="Times New Roman" w:hAnsi="Times New Roman" w:cs="Times New Roman"/>
                <w:bCs/>
                <w:color w:val="000000" w:themeColor="text1"/>
                <w:sz w:val="16"/>
                <w:szCs w:val="16"/>
                <w:lang w:val="en-US" w:eastAsia="de-DE"/>
              </w:rPr>
            </w:pPr>
            <w:r w:rsidRPr="00452352">
              <w:rPr>
                <w:rFonts w:ascii="Times New Roman" w:eastAsia="Times New Roman" w:hAnsi="Times New Roman" w:cs="Times New Roman"/>
                <w:bCs/>
                <w:color w:val="000000" w:themeColor="text1"/>
                <w:sz w:val="16"/>
                <w:szCs w:val="16"/>
                <w:lang w:val="en-US" w:eastAsia="de-DE"/>
              </w:rPr>
              <w:tab/>
              <w:t>No</w:t>
            </w:r>
          </w:p>
        </w:tc>
        <w:tc>
          <w:tcPr>
            <w:tcW w:w="995" w:type="dxa"/>
            <w:shd w:val="clear" w:color="auto" w:fill="auto"/>
            <w:noWrap/>
            <w:vAlign w:val="bottom"/>
          </w:tcPr>
          <w:p w14:paraId="4EDB9704" w14:textId="77777777" w:rsidR="00BB189C" w:rsidRPr="00452352" w:rsidRDefault="00BB189C" w:rsidP="00BD714C">
            <w:pPr>
              <w:spacing w:after="0" w:line="240" w:lineRule="auto"/>
              <w:jc w:val="center"/>
              <w:rPr>
                <w:rFonts w:ascii="Times New Roman" w:eastAsia="Times New Roman" w:hAnsi="Times New Roman" w:cs="Times New Roman"/>
                <w:bCs/>
                <w:color w:val="000000" w:themeColor="text1"/>
                <w:sz w:val="16"/>
                <w:szCs w:val="16"/>
                <w:lang w:val="en-US" w:eastAsia="de-DE"/>
              </w:rPr>
            </w:pPr>
            <w:r w:rsidRPr="00452352">
              <w:rPr>
                <w:rFonts w:ascii="Times New Roman" w:eastAsia="Times New Roman" w:hAnsi="Times New Roman" w:cs="Times New Roman"/>
                <w:bCs/>
                <w:color w:val="000000" w:themeColor="text1"/>
                <w:sz w:val="16"/>
                <w:szCs w:val="16"/>
                <w:lang w:val="en-US" w:eastAsia="de-DE"/>
              </w:rPr>
              <w:t>46 (47.9%)</w:t>
            </w:r>
          </w:p>
        </w:tc>
        <w:tc>
          <w:tcPr>
            <w:tcW w:w="794" w:type="dxa"/>
          </w:tcPr>
          <w:p w14:paraId="593D42AD" w14:textId="77777777" w:rsidR="00BB189C" w:rsidRPr="00452352" w:rsidRDefault="00BB189C" w:rsidP="00BD714C">
            <w:pPr>
              <w:spacing w:after="0" w:line="240" w:lineRule="auto"/>
              <w:jc w:val="center"/>
              <w:rPr>
                <w:rFonts w:ascii="Times New Roman" w:eastAsia="Times New Roman" w:hAnsi="Times New Roman" w:cs="Times New Roman"/>
                <w:bCs/>
                <w:color w:val="000000" w:themeColor="text1"/>
                <w:sz w:val="16"/>
                <w:szCs w:val="16"/>
                <w:lang w:val="en-US" w:eastAsia="de-DE"/>
              </w:rPr>
            </w:pPr>
            <w:r w:rsidRPr="00452352">
              <w:rPr>
                <w:rFonts w:ascii="Times New Roman" w:eastAsia="Times New Roman" w:hAnsi="Times New Roman" w:cs="Times New Roman"/>
                <w:bCs/>
                <w:color w:val="000000" w:themeColor="text1"/>
                <w:sz w:val="16"/>
                <w:szCs w:val="16"/>
                <w:lang w:val="en-US" w:eastAsia="de-DE"/>
              </w:rPr>
              <w:t>1 (16.7%)</w:t>
            </w:r>
          </w:p>
        </w:tc>
        <w:tc>
          <w:tcPr>
            <w:tcW w:w="1531" w:type="dxa"/>
            <w:vAlign w:val="bottom"/>
          </w:tcPr>
          <w:p w14:paraId="1E33D8F7" w14:textId="77777777" w:rsidR="00BB189C" w:rsidRPr="00452352" w:rsidRDefault="00BB189C" w:rsidP="00BD714C">
            <w:pPr>
              <w:spacing w:after="0" w:line="240" w:lineRule="auto"/>
              <w:jc w:val="center"/>
              <w:rPr>
                <w:rFonts w:ascii="Times New Roman" w:eastAsia="Times New Roman" w:hAnsi="Times New Roman" w:cs="Times New Roman"/>
                <w:bCs/>
                <w:color w:val="000000" w:themeColor="text1"/>
                <w:sz w:val="16"/>
                <w:szCs w:val="16"/>
                <w:lang w:val="en-US" w:eastAsia="de-DE"/>
              </w:rPr>
            </w:pPr>
            <w:r w:rsidRPr="00452352">
              <w:rPr>
                <w:rFonts w:ascii="Times New Roman" w:eastAsia="Times New Roman" w:hAnsi="Times New Roman" w:cs="Times New Roman"/>
                <w:bCs/>
                <w:color w:val="000000" w:themeColor="text1"/>
                <w:sz w:val="16"/>
                <w:szCs w:val="16"/>
                <w:lang w:val="en-US" w:eastAsia="de-DE"/>
              </w:rPr>
              <w:t>44 (67.7%)</w:t>
            </w:r>
          </w:p>
        </w:tc>
        <w:tc>
          <w:tcPr>
            <w:tcW w:w="1701" w:type="dxa"/>
            <w:vAlign w:val="bottom"/>
          </w:tcPr>
          <w:p w14:paraId="461747B5" w14:textId="77777777" w:rsidR="00BB189C" w:rsidRPr="00452352" w:rsidRDefault="00BB189C" w:rsidP="00BD714C">
            <w:pPr>
              <w:spacing w:after="0" w:line="240" w:lineRule="auto"/>
              <w:jc w:val="center"/>
              <w:rPr>
                <w:rFonts w:ascii="Times New Roman" w:eastAsia="Times New Roman" w:hAnsi="Times New Roman" w:cs="Times New Roman"/>
                <w:bCs/>
                <w:color w:val="000000" w:themeColor="text1"/>
                <w:sz w:val="16"/>
                <w:szCs w:val="16"/>
                <w:lang w:val="en-US" w:eastAsia="de-DE"/>
              </w:rPr>
            </w:pPr>
            <w:r w:rsidRPr="00452352">
              <w:rPr>
                <w:rFonts w:ascii="Times New Roman" w:eastAsia="Times New Roman" w:hAnsi="Times New Roman" w:cs="Times New Roman"/>
                <w:bCs/>
                <w:color w:val="000000" w:themeColor="text1"/>
                <w:sz w:val="16"/>
                <w:szCs w:val="16"/>
                <w:lang w:val="en-US" w:eastAsia="de-DE"/>
              </w:rPr>
              <w:t>1 (4%)</w:t>
            </w:r>
          </w:p>
        </w:tc>
        <w:tc>
          <w:tcPr>
            <w:tcW w:w="950" w:type="dxa"/>
          </w:tcPr>
          <w:p w14:paraId="0626CBA4" w14:textId="77777777" w:rsidR="00BB189C" w:rsidRPr="00452352" w:rsidRDefault="00BB189C" w:rsidP="00BD714C">
            <w:pPr>
              <w:spacing w:after="0" w:line="240" w:lineRule="auto"/>
              <w:jc w:val="center"/>
              <w:rPr>
                <w:rFonts w:ascii="Times New Roman" w:eastAsia="Times New Roman" w:hAnsi="Times New Roman" w:cs="Times New Roman"/>
                <w:bCs/>
                <w:color w:val="000000" w:themeColor="text1"/>
                <w:sz w:val="16"/>
                <w:szCs w:val="16"/>
                <w:lang w:val="en-US" w:eastAsia="de-DE"/>
              </w:rPr>
            </w:pPr>
          </w:p>
        </w:tc>
      </w:tr>
      <w:tr w:rsidR="00452352" w:rsidRPr="00452352" w14:paraId="4282B7C1" w14:textId="77777777" w:rsidTr="00C26F7C">
        <w:trPr>
          <w:trHeight w:val="200"/>
          <w:jc w:val="center"/>
        </w:trPr>
        <w:tc>
          <w:tcPr>
            <w:tcW w:w="2381" w:type="dxa"/>
            <w:shd w:val="clear" w:color="auto" w:fill="auto"/>
            <w:noWrap/>
            <w:vAlign w:val="center"/>
          </w:tcPr>
          <w:p w14:paraId="6CAC01F0" w14:textId="77777777" w:rsidR="00BB189C" w:rsidRPr="00452352" w:rsidRDefault="00BB189C" w:rsidP="00BD714C">
            <w:pPr>
              <w:spacing w:after="0" w:line="240" w:lineRule="auto"/>
              <w:rPr>
                <w:rFonts w:ascii="Times New Roman" w:eastAsia="Times New Roman" w:hAnsi="Times New Roman" w:cs="Times New Roman"/>
                <w:bCs/>
                <w:color w:val="000000" w:themeColor="text1"/>
                <w:sz w:val="16"/>
                <w:szCs w:val="16"/>
                <w:lang w:val="en-US" w:eastAsia="de-DE"/>
              </w:rPr>
            </w:pPr>
            <w:r w:rsidRPr="00452352">
              <w:rPr>
                <w:rFonts w:ascii="Times New Roman" w:eastAsia="Times New Roman" w:hAnsi="Times New Roman" w:cs="Times New Roman"/>
                <w:bCs/>
                <w:color w:val="000000" w:themeColor="text1"/>
                <w:sz w:val="16"/>
                <w:szCs w:val="16"/>
                <w:lang w:val="en-US" w:eastAsia="de-DE"/>
              </w:rPr>
              <w:tab/>
              <w:t>Yes</w:t>
            </w:r>
          </w:p>
        </w:tc>
        <w:tc>
          <w:tcPr>
            <w:tcW w:w="995" w:type="dxa"/>
            <w:shd w:val="clear" w:color="auto" w:fill="auto"/>
            <w:noWrap/>
            <w:vAlign w:val="bottom"/>
          </w:tcPr>
          <w:p w14:paraId="1DD345A2" w14:textId="77777777" w:rsidR="00BB189C" w:rsidRPr="00452352" w:rsidRDefault="00BB189C" w:rsidP="00BD714C">
            <w:pPr>
              <w:spacing w:after="0" w:line="240" w:lineRule="auto"/>
              <w:jc w:val="center"/>
              <w:rPr>
                <w:rFonts w:ascii="Times New Roman" w:eastAsia="Times New Roman" w:hAnsi="Times New Roman" w:cs="Times New Roman"/>
                <w:bCs/>
                <w:color w:val="000000" w:themeColor="text1"/>
                <w:sz w:val="16"/>
                <w:szCs w:val="16"/>
                <w:lang w:val="en-US" w:eastAsia="de-DE"/>
              </w:rPr>
            </w:pPr>
            <w:r w:rsidRPr="00452352">
              <w:rPr>
                <w:rFonts w:ascii="Times New Roman" w:eastAsia="Times New Roman" w:hAnsi="Times New Roman" w:cs="Times New Roman"/>
                <w:bCs/>
                <w:color w:val="000000" w:themeColor="text1"/>
                <w:sz w:val="16"/>
                <w:szCs w:val="16"/>
                <w:lang w:val="en-US" w:eastAsia="de-DE"/>
              </w:rPr>
              <w:t>50 (52.1%)</w:t>
            </w:r>
          </w:p>
        </w:tc>
        <w:tc>
          <w:tcPr>
            <w:tcW w:w="794" w:type="dxa"/>
          </w:tcPr>
          <w:p w14:paraId="4D230BA0" w14:textId="77777777" w:rsidR="00BB189C" w:rsidRPr="00452352" w:rsidRDefault="00BB189C" w:rsidP="00BD714C">
            <w:pPr>
              <w:spacing w:after="0" w:line="240" w:lineRule="auto"/>
              <w:jc w:val="center"/>
              <w:rPr>
                <w:rFonts w:ascii="Times New Roman" w:eastAsia="Times New Roman" w:hAnsi="Times New Roman" w:cs="Times New Roman"/>
                <w:bCs/>
                <w:color w:val="000000" w:themeColor="text1"/>
                <w:sz w:val="16"/>
                <w:szCs w:val="16"/>
                <w:lang w:val="en-US" w:eastAsia="de-DE"/>
              </w:rPr>
            </w:pPr>
            <w:r w:rsidRPr="00452352">
              <w:rPr>
                <w:rFonts w:ascii="Times New Roman" w:eastAsia="Times New Roman" w:hAnsi="Times New Roman" w:cs="Times New Roman"/>
                <w:bCs/>
                <w:color w:val="000000" w:themeColor="text1"/>
                <w:sz w:val="16"/>
                <w:szCs w:val="16"/>
                <w:lang w:val="en-US" w:eastAsia="de-DE"/>
              </w:rPr>
              <w:t>5 (83.3%)</w:t>
            </w:r>
          </w:p>
        </w:tc>
        <w:tc>
          <w:tcPr>
            <w:tcW w:w="1531" w:type="dxa"/>
            <w:vAlign w:val="bottom"/>
          </w:tcPr>
          <w:p w14:paraId="5481E6AB" w14:textId="77777777" w:rsidR="00BB189C" w:rsidRPr="00452352" w:rsidRDefault="00BB189C" w:rsidP="00BD714C">
            <w:pPr>
              <w:spacing w:after="0" w:line="240" w:lineRule="auto"/>
              <w:jc w:val="center"/>
              <w:rPr>
                <w:rFonts w:ascii="Times New Roman" w:eastAsia="Times New Roman" w:hAnsi="Times New Roman" w:cs="Times New Roman"/>
                <w:bCs/>
                <w:color w:val="000000" w:themeColor="text1"/>
                <w:sz w:val="16"/>
                <w:szCs w:val="16"/>
                <w:lang w:val="en-US" w:eastAsia="de-DE"/>
              </w:rPr>
            </w:pPr>
            <w:r w:rsidRPr="00452352">
              <w:rPr>
                <w:rFonts w:ascii="Times New Roman" w:eastAsia="Times New Roman" w:hAnsi="Times New Roman" w:cs="Times New Roman"/>
                <w:bCs/>
                <w:color w:val="000000" w:themeColor="text1"/>
                <w:sz w:val="16"/>
                <w:szCs w:val="16"/>
                <w:lang w:val="en-US" w:eastAsia="de-DE"/>
              </w:rPr>
              <w:t>21 (32.3%)</w:t>
            </w:r>
          </w:p>
        </w:tc>
        <w:tc>
          <w:tcPr>
            <w:tcW w:w="1701" w:type="dxa"/>
            <w:vAlign w:val="bottom"/>
          </w:tcPr>
          <w:p w14:paraId="167B1D64" w14:textId="77777777" w:rsidR="00BB189C" w:rsidRPr="00452352" w:rsidRDefault="00BB189C" w:rsidP="00BD714C">
            <w:pPr>
              <w:spacing w:after="0" w:line="240" w:lineRule="auto"/>
              <w:jc w:val="center"/>
              <w:rPr>
                <w:rFonts w:ascii="Times New Roman" w:eastAsia="Times New Roman" w:hAnsi="Times New Roman" w:cs="Times New Roman"/>
                <w:bCs/>
                <w:color w:val="000000" w:themeColor="text1"/>
                <w:sz w:val="16"/>
                <w:szCs w:val="16"/>
                <w:lang w:val="en-US" w:eastAsia="de-DE"/>
              </w:rPr>
            </w:pPr>
            <w:r w:rsidRPr="00452352">
              <w:rPr>
                <w:rFonts w:ascii="Times New Roman" w:eastAsia="Times New Roman" w:hAnsi="Times New Roman" w:cs="Times New Roman"/>
                <w:bCs/>
                <w:color w:val="000000" w:themeColor="text1"/>
                <w:sz w:val="16"/>
                <w:szCs w:val="16"/>
                <w:lang w:val="en-US" w:eastAsia="de-DE"/>
              </w:rPr>
              <w:t>24 (96%)</w:t>
            </w:r>
          </w:p>
        </w:tc>
        <w:tc>
          <w:tcPr>
            <w:tcW w:w="950" w:type="dxa"/>
          </w:tcPr>
          <w:p w14:paraId="0C23550E" w14:textId="77777777" w:rsidR="00BB189C" w:rsidRPr="00452352" w:rsidRDefault="00BB189C" w:rsidP="00BD714C">
            <w:pPr>
              <w:spacing w:after="0" w:line="240" w:lineRule="auto"/>
              <w:jc w:val="center"/>
              <w:rPr>
                <w:rFonts w:ascii="Times New Roman" w:eastAsia="Times New Roman" w:hAnsi="Times New Roman" w:cs="Times New Roman"/>
                <w:bCs/>
                <w:color w:val="000000" w:themeColor="text1"/>
                <w:sz w:val="16"/>
                <w:szCs w:val="16"/>
                <w:lang w:val="en-US" w:eastAsia="de-DE"/>
              </w:rPr>
            </w:pPr>
          </w:p>
        </w:tc>
      </w:tr>
      <w:tr w:rsidR="00452352" w:rsidRPr="00452352" w14:paraId="71410860" w14:textId="77777777" w:rsidTr="00BD714C">
        <w:trPr>
          <w:trHeight w:val="63"/>
          <w:jc w:val="center"/>
        </w:trPr>
        <w:tc>
          <w:tcPr>
            <w:tcW w:w="2381" w:type="dxa"/>
            <w:shd w:val="clear" w:color="auto" w:fill="F2F2F2" w:themeFill="background1" w:themeFillShade="F2"/>
            <w:noWrap/>
            <w:vAlign w:val="center"/>
          </w:tcPr>
          <w:p w14:paraId="6DADC8DB" w14:textId="1D56F9E9" w:rsidR="00E539FA" w:rsidRPr="00452352" w:rsidRDefault="006823AF" w:rsidP="00BD714C">
            <w:pPr>
              <w:spacing w:after="0" w:line="240" w:lineRule="auto"/>
              <w:rPr>
                <w:rFonts w:ascii="Times New Roman" w:eastAsia="Times New Roman" w:hAnsi="Times New Roman" w:cs="Times New Roman"/>
                <w:b/>
                <w:bCs/>
                <w:color w:val="000000" w:themeColor="text1"/>
                <w:sz w:val="16"/>
                <w:szCs w:val="16"/>
                <w:lang w:val="en-US" w:eastAsia="de-DE"/>
              </w:rPr>
            </w:pPr>
            <w:r w:rsidRPr="00452352">
              <w:rPr>
                <w:rFonts w:ascii="Times New Roman" w:eastAsia="Times New Roman" w:hAnsi="Times New Roman" w:cs="Times New Roman"/>
                <w:b/>
                <w:bCs/>
                <w:color w:val="000000" w:themeColor="text1"/>
                <w:sz w:val="16"/>
                <w:szCs w:val="16"/>
                <w:lang w:val="en-US" w:eastAsia="de-DE"/>
              </w:rPr>
              <w:t>Ventilation</w:t>
            </w:r>
            <w:r w:rsidR="00BB189C" w:rsidRPr="00452352">
              <w:rPr>
                <w:rFonts w:ascii="Times New Roman" w:eastAsia="Times New Roman" w:hAnsi="Times New Roman" w:cs="Times New Roman"/>
                <w:b/>
                <w:bCs/>
                <w:color w:val="000000" w:themeColor="text1"/>
                <w:sz w:val="16"/>
                <w:szCs w:val="16"/>
                <w:lang w:val="en-US" w:eastAsia="de-DE"/>
              </w:rPr>
              <w:t xml:space="preserve"> time, d</w:t>
            </w:r>
            <w:r w:rsidR="00852491" w:rsidRPr="00452352">
              <w:rPr>
                <w:rFonts w:ascii="Times New Roman" w:eastAsia="Times New Roman" w:hAnsi="Times New Roman" w:cs="Times New Roman"/>
                <w:b/>
                <w:bCs/>
                <w:color w:val="000000" w:themeColor="text1"/>
                <w:sz w:val="16"/>
                <w:szCs w:val="16"/>
                <w:lang w:val="en-US" w:eastAsia="de-DE"/>
              </w:rPr>
              <w:t>ays</w:t>
            </w:r>
          </w:p>
        </w:tc>
        <w:tc>
          <w:tcPr>
            <w:tcW w:w="995" w:type="dxa"/>
            <w:shd w:val="clear" w:color="auto" w:fill="F2F2F2" w:themeFill="background1" w:themeFillShade="F2"/>
            <w:noWrap/>
            <w:vAlign w:val="bottom"/>
          </w:tcPr>
          <w:p w14:paraId="3EFF7E7B" w14:textId="2D3324D4" w:rsidR="00E539FA" w:rsidRPr="00452352" w:rsidRDefault="00BB189C" w:rsidP="00BD714C">
            <w:pPr>
              <w:spacing w:after="0" w:line="240" w:lineRule="auto"/>
              <w:jc w:val="center"/>
              <w:rPr>
                <w:rFonts w:ascii="Times New Roman" w:eastAsia="Times New Roman" w:hAnsi="Times New Roman" w:cs="Times New Roman"/>
                <w:bCs/>
                <w:color w:val="000000" w:themeColor="text1"/>
                <w:sz w:val="16"/>
                <w:szCs w:val="16"/>
                <w:lang w:val="en-US" w:eastAsia="de-DE"/>
              </w:rPr>
            </w:pPr>
            <w:r w:rsidRPr="00452352">
              <w:rPr>
                <w:rFonts w:ascii="Times New Roman" w:eastAsia="Times New Roman" w:hAnsi="Times New Roman" w:cs="Times New Roman"/>
                <w:bCs/>
                <w:color w:val="000000" w:themeColor="text1"/>
                <w:sz w:val="16"/>
                <w:szCs w:val="16"/>
                <w:lang w:val="en-US" w:eastAsia="de-DE"/>
              </w:rPr>
              <w:t>22 [</w:t>
            </w:r>
            <w:r w:rsidR="00C26F7C" w:rsidRPr="00452352">
              <w:rPr>
                <w:rFonts w:ascii="Times New Roman" w:eastAsia="Times New Roman" w:hAnsi="Times New Roman" w:cs="Times New Roman"/>
                <w:bCs/>
                <w:color w:val="000000" w:themeColor="text1"/>
                <w:sz w:val="16"/>
                <w:szCs w:val="16"/>
                <w:lang w:val="en-US" w:eastAsia="de-DE"/>
              </w:rPr>
              <w:t>12-32</w:t>
            </w:r>
            <w:r w:rsidRPr="00452352">
              <w:rPr>
                <w:rFonts w:ascii="Times New Roman" w:eastAsia="Times New Roman" w:hAnsi="Times New Roman" w:cs="Times New Roman"/>
                <w:bCs/>
                <w:color w:val="000000" w:themeColor="text1"/>
                <w:sz w:val="16"/>
                <w:szCs w:val="16"/>
                <w:lang w:val="en-US" w:eastAsia="de-DE"/>
              </w:rPr>
              <w:t>]</w:t>
            </w:r>
          </w:p>
        </w:tc>
        <w:tc>
          <w:tcPr>
            <w:tcW w:w="794" w:type="dxa"/>
            <w:shd w:val="clear" w:color="auto" w:fill="F2F2F2" w:themeFill="background1" w:themeFillShade="F2"/>
          </w:tcPr>
          <w:p w14:paraId="6AA41783" w14:textId="59A048A7" w:rsidR="00E539FA" w:rsidRPr="00452352" w:rsidRDefault="00BB189C" w:rsidP="00BD714C">
            <w:pPr>
              <w:spacing w:after="0" w:line="240" w:lineRule="auto"/>
              <w:jc w:val="center"/>
              <w:rPr>
                <w:rFonts w:ascii="Times New Roman" w:eastAsia="Times New Roman" w:hAnsi="Times New Roman" w:cs="Times New Roman"/>
                <w:bCs/>
                <w:color w:val="000000" w:themeColor="text1"/>
                <w:sz w:val="16"/>
                <w:szCs w:val="16"/>
                <w:lang w:val="en-US" w:eastAsia="de-DE"/>
              </w:rPr>
            </w:pPr>
            <w:r w:rsidRPr="00452352">
              <w:rPr>
                <w:rFonts w:ascii="Times New Roman" w:eastAsia="Times New Roman" w:hAnsi="Times New Roman" w:cs="Times New Roman"/>
                <w:bCs/>
                <w:color w:val="000000" w:themeColor="text1"/>
                <w:sz w:val="16"/>
                <w:szCs w:val="16"/>
                <w:lang w:val="en-US" w:eastAsia="de-DE"/>
              </w:rPr>
              <w:t>-</w:t>
            </w:r>
          </w:p>
        </w:tc>
        <w:tc>
          <w:tcPr>
            <w:tcW w:w="1531" w:type="dxa"/>
            <w:shd w:val="clear" w:color="auto" w:fill="F2F2F2" w:themeFill="background1" w:themeFillShade="F2"/>
            <w:vAlign w:val="bottom"/>
          </w:tcPr>
          <w:p w14:paraId="3426ECD5" w14:textId="76C6511B" w:rsidR="00E539FA" w:rsidRPr="00452352" w:rsidRDefault="00BB189C" w:rsidP="00BD714C">
            <w:pPr>
              <w:spacing w:after="0" w:line="240" w:lineRule="auto"/>
              <w:jc w:val="center"/>
              <w:rPr>
                <w:rFonts w:ascii="Times New Roman" w:eastAsia="Times New Roman" w:hAnsi="Times New Roman" w:cs="Times New Roman"/>
                <w:bCs/>
                <w:color w:val="000000" w:themeColor="text1"/>
                <w:sz w:val="16"/>
                <w:szCs w:val="16"/>
                <w:lang w:val="en-US" w:eastAsia="de-DE"/>
              </w:rPr>
            </w:pPr>
            <w:r w:rsidRPr="00452352">
              <w:rPr>
                <w:rFonts w:ascii="Times New Roman" w:eastAsia="Times New Roman" w:hAnsi="Times New Roman" w:cs="Times New Roman"/>
                <w:bCs/>
                <w:color w:val="000000" w:themeColor="text1"/>
                <w:sz w:val="16"/>
                <w:szCs w:val="16"/>
                <w:lang w:val="en-US" w:eastAsia="de-DE"/>
              </w:rPr>
              <w:t>20 [6-26]</w:t>
            </w:r>
          </w:p>
        </w:tc>
        <w:tc>
          <w:tcPr>
            <w:tcW w:w="1701" w:type="dxa"/>
            <w:shd w:val="clear" w:color="auto" w:fill="F2F2F2" w:themeFill="background1" w:themeFillShade="F2"/>
            <w:vAlign w:val="bottom"/>
          </w:tcPr>
          <w:p w14:paraId="545884F7" w14:textId="09C80624" w:rsidR="00E539FA" w:rsidRPr="00452352" w:rsidRDefault="00BB189C" w:rsidP="00BD714C">
            <w:pPr>
              <w:spacing w:after="0" w:line="240" w:lineRule="auto"/>
              <w:jc w:val="center"/>
              <w:rPr>
                <w:rFonts w:ascii="Times New Roman" w:eastAsia="Times New Roman" w:hAnsi="Times New Roman" w:cs="Times New Roman"/>
                <w:bCs/>
                <w:color w:val="000000" w:themeColor="text1"/>
                <w:sz w:val="16"/>
                <w:szCs w:val="16"/>
                <w:lang w:val="en-US" w:eastAsia="de-DE"/>
              </w:rPr>
            </w:pPr>
            <w:r w:rsidRPr="00452352">
              <w:rPr>
                <w:rFonts w:ascii="Times New Roman" w:eastAsia="Times New Roman" w:hAnsi="Times New Roman" w:cs="Times New Roman"/>
                <w:bCs/>
                <w:color w:val="000000" w:themeColor="text1"/>
                <w:sz w:val="16"/>
                <w:szCs w:val="16"/>
                <w:lang w:val="en-US" w:eastAsia="de-DE"/>
              </w:rPr>
              <w:t>25[ 14-37]</w:t>
            </w:r>
          </w:p>
        </w:tc>
        <w:tc>
          <w:tcPr>
            <w:tcW w:w="950" w:type="dxa"/>
            <w:shd w:val="clear" w:color="auto" w:fill="F2F2F2" w:themeFill="background1" w:themeFillShade="F2"/>
          </w:tcPr>
          <w:p w14:paraId="62F1CC8C" w14:textId="323484FD" w:rsidR="00E539FA" w:rsidRPr="00452352" w:rsidRDefault="00C26F7C" w:rsidP="00BD714C">
            <w:pPr>
              <w:spacing w:after="0" w:line="240" w:lineRule="auto"/>
              <w:jc w:val="center"/>
              <w:rPr>
                <w:rFonts w:ascii="Times New Roman" w:eastAsia="Times New Roman" w:hAnsi="Times New Roman" w:cs="Times New Roman"/>
                <w:bCs/>
                <w:color w:val="000000" w:themeColor="text1"/>
                <w:sz w:val="16"/>
                <w:szCs w:val="16"/>
                <w:lang w:val="en-US" w:eastAsia="de-DE"/>
              </w:rPr>
            </w:pPr>
            <w:r w:rsidRPr="00452352">
              <w:rPr>
                <w:rFonts w:ascii="Times New Roman" w:eastAsia="Times New Roman" w:hAnsi="Times New Roman" w:cs="Times New Roman"/>
                <w:bCs/>
                <w:color w:val="000000" w:themeColor="text1"/>
                <w:sz w:val="16"/>
                <w:szCs w:val="16"/>
                <w:lang w:val="en-US" w:eastAsia="de-DE"/>
              </w:rPr>
              <w:t>0.161</w:t>
            </w:r>
          </w:p>
        </w:tc>
      </w:tr>
      <w:tr w:rsidR="00452352" w:rsidRPr="00452352" w14:paraId="6B31229A" w14:textId="77777777" w:rsidTr="00BD714C">
        <w:trPr>
          <w:trHeight w:val="63"/>
          <w:jc w:val="center"/>
        </w:trPr>
        <w:tc>
          <w:tcPr>
            <w:tcW w:w="2381" w:type="dxa"/>
            <w:shd w:val="clear" w:color="auto" w:fill="auto"/>
            <w:noWrap/>
            <w:vAlign w:val="center"/>
          </w:tcPr>
          <w:p w14:paraId="66EB2BD5" w14:textId="41E20537" w:rsidR="00E539FA" w:rsidRPr="00452352" w:rsidRDefault="00E539FA" w:rsidP="00BD714C">
            <w:pPr>
              <w:spacing w:after="0" w:line="240" w:lineRule="auto"/>
              <w:rPr>
                <w:rFonts w:ascii="Times New Roman" w:eastAsia="Times New Roman" w:hAnsi="Times New Roman" w:cs="Times New Roman"/>
                <w:bCs/>
                <w:color w:val="000000" w:themeColor="text1"/>
                <w:sz w:val="16"/>
                <w:szCs w:val="16"/>
                <w:lang w:val="en-US" w:eastAsia="de-DE"/>
              </w:rPr>
            </w:pPr>
          </w:p>
        </w:tc>
        <w:tc>
          <w:tcPr>
            <w:tcW w:w="995" w:type="dxa"/>
            <w:shd w:val="clear" w:color="auto" w:fill="auto"/>
            <w:noWrap/>
            <w:vAlign w:val="bottom"/>
          </w:tcPr>
          <w:p w14:paraId="66FD6604" w14:textId="45CC18D9" w:rsidR="00E539FA" w:rsidRPr="00452352" w:rsidRDefault="00E539FA" w:rsidP="00BD714C">
            <w:pPr>
              <w:spacing w:after="0" w:line="240" w:lineRule="auto"/>
              <w:jc w:val="center"/>
              <w:rPr>
                <w:rFonts w:ascii="Times New Roman" w:eastAsia="Times New Roman" w:hAnsi="Times New Roman" w:cs="Times New Roman"/>
                <w:bCs/>
                <w:color w:val="000000" w:themeColor="text1"/>
                <w:sz w:val="16"/>
                <w:szCs w:val="16"/>
                <w:lang w:val="en-US" w:eastAsia="de-DE"/>
              </w:rPr>
            </w:pPr>
          </w:p>
        </w:tc>
        <w:tc>
          <w:tcPr>
            <w:tcW w:w="794" w:type="dxa"/>
          </w:tcPr>
          <w:p w14:paraId="223F86EA" w14:textId="00DD532A" w:rsidR="00E539FA" w:rsidRPr="00452352" w:rsidRDefault="00E539FA" w:rsidP="00BD714C">
            <w:pPr>
              <w:spacing w:after="0" w:line="240" w:lineRule="auto"/>
              <w:jc w:val="center"/>
              <w:rPr>
                <w:rFonts w:ascii="Times New Roman" w:eastAsia="Times New Roman" w:hAnsi="Times New Roman" w:cs="Times New Roman"/>
                <w:bCs/>
                <w:color w:val="000000" w:themeColor="text1"/>
                <w:sz w:val="16"/>
                <w:szCs w:val="16"/>
                <w:lang w:val="en-US" w:eastAsia="de-DE"/>
              </w:rPr>
            </w:pPr>
          </w:p>
        </w:tc>
        <w:tc>
          <w:tcPr>
            <w:tcW w:w="1531" w:type="dxa"/>
            <w:vAlign w:val="bottom"/>
          </w:tcPr>
          <w:p w14:paraId="7A278237" w14:textId="78FF9AAA" w:rsidR="00E539FA" w:rsidRPr="00452352" w:rsidRDefault="00E539FA" w:rsidP="00BD714C">
            <w:pPr>
              <w:spacing w:after="0" w:line="240" w:lineRule="auto"/>
              <w:jc w:val="center"/>
              <w:rPr>
                <w:rFonts w:ascii="Times New Roman" w:eastAsia="Times New Roman" w:hAnsi="Times New Roman" w:cs="Times New Roman"/>
                <w:bCs/>
                <w:color w:val="000000" w:themeColor="text1"/>
                <w:sz w:val="16"/>
                <w:szCs w:val="16"/>
                <w:lang w:val="en-US" w:eastAsia="de-DE"/>
              </w:rPr>
            </w:pPr>
          </w:p>
        </w:tc>
        <w:tc>
          <w:tcPr>
            <w:tcW w:w="1701" w:type="dxa"/>
            <w:vAlign w:val="bottom"/>
          </w:tcPr>
          <w:p w14:paraId="58BB758F" w14:textId="31BE9FA7" w:rsidR="00E539FA" w:rsidRPr="00452352" w:rsidRDefault="00E539FA" w:rsidP="00BD714C">
            <w:pPr>
              <w:spacing w:after="0" w:line="240" w:lineRule="auto"/>
              <w:jc w:val="center"/>
              <w:rPr>
                <w:rFonts w:ascii="Times New Roman" w:eastAsia="Times New Roman" w:hAnsi="Times New Roman" w:cs="Times New Roman"/>
                <w:bCs/>
                <w:color w:val="000000" w:themeColor="text1"/>
                <w:sz w:val="16"/>
                <w:szCs w:val="16"/>
                <w:lang w:val="en-US" w:eastAsia="de-DE"/>
              </w:rPr>
            </w:pPr>
          </w:p>
        </w:tc>
        <w:tc>
          <w:tcPr>
            <w:tcW w:w="950" w:type="dxa"/>
          </w:tcPr>
          <w:p w14:paraId="2A99D946" w14:textId="77777777" w:rsidR="00E539FA" w:rsidRPr="00452352" w:rsidRDefault="00E539FA" w:rsidP="00BD714C">
            <w:pPr>
              <w:spacing w:after="0" w:line="240" w:lineRule="auto"/>
              <w:jc w:val="center"/>
              <w:rPr>
                <w:rFonts w:ascii="Times New Roman" w:eastAsia="Times New Roman" w:hAnsi="Times New Roman" w:cs="Times New Roman"/>
                <w:bCs/>
                <w:color w:val="000000" w:themeColor="text1"/>
                <w:sz w:val="16"/>
                <w:szCs w:val="16"/>
                <w:lang w:val="en-US" w:eastAsia="de-DE"/>
              </w:rPr>
            </w:pPr>
          </w:p>
        </w:tc>
      </w:tr>
      <w:tr w:rsidR="006823AF" w:rsidRPr="00C46FB3" w14:paraId="76A239E4" w14:textId="77777777" w:rsidTr="004A0F62">
        <w:trPr>
          <w:trHeight w:val="63"/>
          <w:jc w:val="center"/>
        </w:trPr>
        <w:tc>
          <w:tcPr>
            <w:tcW w:w="2381" w:type="dxa"/>
            <w:shd w:val="clear" w:color="auto" w:fill="auto"/>
            <w:noWrap/>
            <w:vAlign w:val="center"/>
          </w:tcPr>
          <w:p w14:paraId="5709556C" w14:textId="0A471480" w:rsidR="00E539FA" w:rsidRPr="00C46FB3" w:rsidRDefault="00E539FA" w:rsidP="00BD714C">
            <w:pPr>
              <w:spacing w:after="0" w:line="240" w:lineRule="auto"/>
              <w:rPr>
                <w:rFonts w:ascii="Times New Roman" w:eastAsia="Times New Roman" w:hAnsi="Times New Roman" w:cs="Times New Roman"/>
                <w:bCs/>
                <w:color w:val="FF0000"/>
                <w:sz w:val="16"/>
                <w:szCs w:val="16"/>
                <w:lang w:val="en-US" w:eastAsia="de-DE"/>
              </w:rPr>
            </w:pPr>
          </w:p>
        </w:tc>
        <w:tc>
          <w:tcPr>
            <w:tcW w:w="995" w:type="dxa"/>
            <w:shd w:val="clear" w:color="auto" w:fill="auto"/>
            <w:noWrap/>
            <w:vAlign w:val="bottom"/>
          </w:tcPr>
          <w:p w14:paraId="1C1EE43B" w14:textId="1CBFEF2B" w:rsidR="00E539FA" w:rsidRPr="00C46FB3" w:rsidRDefault="00E539FA" w:rsidP="00BD714C">
            <w:pPr>
              <w:spacing w:after="0" w:line="240" w:lineRule="auto"/>
              <w:jc w:val="center"/>
              <w:rPr>
                <w:rFonts w:ascii="Times New Roman" w:eastAsia="Times New Roman" w:hAnsi="Times New Roman" w:cs="Times New Roman"/>
                <w:bCs/>
                <w:color w:val="FF0000"/>
                <w:sz w:val="16"/>
                <w:szCs w:val="16"/>
                <w:lang w:val="en-US" w:eastAsia="de-DE"/>
              </w:rPr>
            </w:pPr>
          </w:p>
        </w:tc>
        <w:tc>
          <w:tcPr>
            <w:tcW w:w="794" w:type="dxa"/>
          </w:tcPr>
          <w:p w14:paraId="682676A9" w14:textId="68B256FC" w:rsidR="00E539FA" w:rsidRPr="00C46FB3" w:rsidRDefault="00E539FA" w:rsidP="00BD714C">
            <w:pPr>
              <w:spacing w:after="0" w:line="240" w:lineRule="auto"/>
              <w:jc w:val="center"/>
              <w:rPr>
                <w:rFonts w:ascii="Times New Roman" w:eastAsia="Times New Roman" w:hAnsi="Times New Roman" w:cs="Times New Roman"/>
                <w:bCs/>
                <w:color w:val="FF0000"/>
                <w:sz w:val="16"/>
                <w:szCs w:val="16"/>
                <w:lang w:val="en-US" w:eastAsia="de-DE"/>
              </w:rPr>
            </w:pPr>
          </w:p>
        </w:tc>
        <w:tc>
          <w:tcPr>
            <w:tcW w:w="1531" w:type="dxa"/>
            <w:vAlign w:val="bottom"/>
          </w:tcPr>
          <w:p w14:paraId="26A31952" w14:textId="650AC19B" w:rsidR="00E539FA" w:rsidRPr="00C46FB3" w:rsidRDefault="00E539FA" w:rsidP="00BD714C">
            <w:pPr>
              <w:spacing w:after="0" w:line="240" w:lineRule="auto"/>
              <w:jc w:val="center"/>
              <w:rPr>
                <w:rFonts w:ascii="Times New Roman" w:eastAsia="Times New Roman" w:hAnsi="Times New Roman" w:cs="Times New Roman"/>
                <w:bCs/>
                <w:color w:val="FF0000"/>
                <w:sz w:val="16"/>
                <w:szCs w:val="16"/>
                <w:lang w:val="en-US" w:eastAsia="de-DE"/>
              </w:rPr>
            </w:pPr>
          </w:p>
        </w:tc>
        <w:tc>
          <w:tcPr>
            <w:tcW w:w="1701" w:type="dxa"/>
            <w:vAlign w:val="bottom"/>
          </w:tcPr>
          <w:p w14:paraId="5A0F3627" w14:textId="16EEDFC2" w:rsidR="00E539FA" w:rsidRPr="00C46FB3" w:rsidRDefault="00E539FA" w:rsidP="00BD714C">
            <w:pPr>
              <w:spacing w:after="0" w:line="240" w:lineRule="auto"/>
              <w:jc w:val="center"/>
              <w:rPr>
                <w:rFonts w:ascii="Times New Roman" w:eastAsia="Times New Roman" w:hAnsi="Times New Roman" w:cs="Times New Roman"/>
                <w:bCs/>
                <w:color w:val="FF0000"/>
                <w:sz w:val="16"/>
                <w:szCs w:val="16"/>
                <w:lang w:val="en-US" w:eastAsia="de-DE"/>
              </w:rPr>
            </w:pPr>
          </w:p>
        </w:tc>
        <w:tc>
          <w:tcPr>
            <w:tcW w:w="950" w:type="dxa"/>
          </w:tcPr>
          <w:p w14:paraId="149D6E6E" w14:textId="77777777" w:rsidR="00E539FA" w:rsidRPr="00C46FB3" w:rsidRDefault="00E539FA" w:rsidP="00BD714C">
            <w:pPr>
              <w:spacing w:after="0" w:line="240" w:lineRule="auto"/>
              <w:jc w:val="center"/>
              <w:rPr>
                <w:rFonts w:ascii="Times New Roman" w:eastAsia="Times New Roman" w:hAnsi="Times New Roman" w:cs="Times New Roman"/>
                <w:bCs/>
                <w:color w:val="FF0000"/>
                <w:sz w:val="16"/>
                <w:szCs w:val="16"/>
                <w:lang w:val="en-US" w:eastAsia="de-DE"/>
              </w:rPr>
            </w:pPr>
          </w:p>
        </w:tc>
      </w:tr>
    </w:tbl>
    <w:p w14:paraId="1ADAEC89" w14:textId="0DF51ABA" w:rsidR="00292D30" w:rsidRPr="00452352" w:rsidRDefault="00B84C61" w:rsidP="008C695E">
      <w:pPr>
        <w:widowControl w:val="0"/>
        <w:autoSpaceDE w:val="0"/>
        <w:autoSpaceDN w:val="0"/>
        <w:adjustRightInd w:val="0"/>
        <w:spacing w:line="240" w:lineRule="auto"/>
        <w:ind w:left="480" w:right="425" w:hanging="480"/>
        <w:rPr>
          <w:rFonts w:ascii="Times New Roman" w:hAnsi="Times New Roman" w:cs="Times New Roman"/>
          <w:color w:val="000000" w:themeColor="text1"/>
          <w:lang w:val="en-US"/>
        </w:rPr>
      </w:pPr>
      <w:r w:rsidRPr="00452352">
        <w:rPr>
          <w:rFonts w:ascii="Times New Roman" w:hAnsi="Times New Roman" w:cs="Times New Roman"/>
          <w:color w:val="000000" w:themeColor="text1"/>
          <w:lang w:val="en-US"/>
        </w:rPr>
        <w:tab/>
      </w:r>
      <w:r w:rsidR="008C695E" w:rsidRPr="00452352">
        <w:rPr>
          <w:rFonts w:ascii="Times New Roman" w:hAnsi="Times New Roman" w:cs="Times New Roman"/>
          <w:color w:val="000000" w:themeColor="text1"/>
          <w:sz w:val="16"/>
          <w:lang w:val="en-US"/>
        </w:rPr>
        <w:t xml:space="preserve">Abbreviations: DCI, delayed cerebral ischemia; GOS-E, Glasgow outcome scale - extended; HH, Hunt and Hess grading scale; </w:t>
      </w:r>
      <w:proofErr w:type="spellStart"/>
      <w:r w:rsidR="008C695E" w:rsidRPr="00452352">
        <w:rPr>
          <w:rFonts w:ascii="Times New Roman" w:hAnsi="Times New Roman" w:cs="Times New Roman"/>
          <w:color w:val="000000" w:themeColor="text1"/>
          <w:sz w:val="16"/>
          <w:lang w:val="en-US"/>
        </w:rPr>
        <w:t>mFS</w:t>
      </w:r>
      <w:proofErr w:type="spellEnd"/>
      <w:r w:rsidR="008C695E" w:rsidRPr="00452352">
        <w:rPr>
          <w:rFonts w:ascii="Times New Roman" w:hAnsi="Times New Roman" w:cs="Times New Roman"/>
          <w:color w:val="000000" w:themeColor="text1"/>
          <w:sz w:val="16"/>
          <w:lang w:val="en-US"/>
        </w:rPr>
        <w:t>, modified Fischer scale.</w:t>
      </w:r>
      <w:r w:rsidR="00852491" w:rsidRPr="00452352">
        <w:rPr>
          <w:rFonts w:ascii="Times New Roman" w:hAnsi="Times New Roman" w:cs="Times New Roman"/>
          <w:bCs/>
          <w:color w:val="000000" w:themeColor="text1"/>
          <w:sz w:val="16"/>
          <w:szCs w:val="16"/>
          <w:lang w:val="en-US"/>
        </w:rPr>
        <w:t xml:space="preserve"> 1q, first quartile; 3q, third quartile.</w:t>
      </w:r>
    </w:p>
    <w:p w14:paraId="01977717" w14:textId="77777777" w:rsidR="008E480F" w:rsidRDefault="008E480F" w:rsidP="00B73114">
      <w:pPr>
        <w:rPr>
          <w:rFonts w:ascii="Times New Roman" w:hAnsi="Times New Roman" w:cs="Times New Roman"/>
          <w:b/>
          <w:bCs/>
          <w:color w:val="000000" w:themeColor="text1"/>
          <w:sz w:val="20"/>
          <w:szCs w:val="20"/>
          <w:lang w:val="en-US"/>
        </w:rPr>
      </w:pPr>
    </w:p>
    <w:p w14:paraId="2AC04B7A" w14:textId="77777777" w:rsidR="008E480F" w:rsidRDefault="008E480F" w:rsidP="00B73114">
      <w:pPr>
        <w:rPr>
          <w:rFonts w:ascii="Times New Roman" w:hAnsi="Times New Roman" w:cs="Times New Roman"/>
          <w:b/>
          <w:bCs/>
          <w:color w:val="000000" w:themeColor="text1"/>
          <w:sz w:val="20"/>
          <w:szCs w:val="20"/>
          <w:lang w:val="en-US"/>
        </w:rPr>
      </w:pPr>
    </w:p>
    <w:p w14:paraId="2E1C61E9" w14:textId="77777777" w:rsidR="008E480F" w:rsidRDefault="008E480F" w:rsidP="00B73114">
      <w:pPr>
        <w:rPr>
          <w:rFonts w:ascii="Times New Roman" w:hAnsi="Times New Roman" w:cs="Times New Roman"/>
          <w:b/>
          <w:bCs/>
          <w:color w:val="000000" w:themeColor="text1"/>
          <w:sz w:val="20"/>
          <w:szCs w:val="20"/>
          <w:lang w:val="en-US"/>
        </w:rPr>
      </w:pPr>
    </w:p>
    <w:p w14:paraId="11E4FDC7" w14:textId="77777777" w:rsidR="008E480F" w:rsidRDefault="008E480F" w:rsidP="00B73114">
      <w:pPr>
        <w:rPr>
          <w:rFonts w:ascii="Times New Roman" w:hAnsi="Times New Roman" w:cs="Times New Roman"/>
          <w:b/>
          <w:bCs/>
          <w:color w:val="000000" w:themeColor="text1"/>
          <w:sz w:val="20"/>
          <w:szCs w:val="20"/>
          <w:lang w:val="en-US"/>
        </w:rPr>
      </w:pPr>
    </w:p>
    <w:p w14:paraId="18E87A20" w14:textId="77777777" w:rsidR="008E480F" w:rsidRDefault="008E480F" w:rsidP="00B73114">
      <w:pPr>
        <w:rPr>
          <w:rFonts w:ascii="Times New Roman" w:hAnsi="Times New Roman" w:cs="Times New Roman"/>
          <w:b/>
          <w:bCs/>
          <w:color w:val="000000" w:themeColor="text1"/>
          <w:sz w:val="20"/>
          <w:szCs w:val="20"/>
          <w:lang w:val="en-US"/>
        </w:rPr>
      </w:pPr>
    </w:p>
    <w:p w14:paraId="29A1C9A6" w14:textId="77777777" w:rsidR="008E480F" w:rsidRDefault="008E480F" w:rsidP="00B73114">
      <w:pPr>
        <w:rPr>
          <w:rFonts w:ascii="Times New Roman" w:hAnsi="Times New Roman" w:cs="Times New Roman"/>
          <w:b/>
          <w:bCs/>
          <w:color w:val="000000" w:themeColor="text1"/>
          <w:sz w:val="20"/>
          <w:szCs w:val="20"/>
          <w:lang w:val="en-US"/>
        </w:rPr>
      </w:pPr>
    </w:p>
    <w:p w14:paraId="3EC1A0FC" w14:textId="77777777" w:rsidR="008E480F" w:rsidRDefault="008E480F" w:rsidP="00B73114">
      <w:pPr>
        <w:rPr>
          <w:rFonts w:ascii="Times New Roman" w:hAnsi="Times New Roman" w:cs="Times New Roman"/>
          <w:b/>
          <w:bCs/>
          <w:color w:val="000000" w:themeColor="text1"/>
          <w:sz w:val="20"/>
          <w:szCs w:val="20"/>
          <w:lang w:val="en-US"/>
        </w:rPr>
      </w:pPr>
    </w:p>
    <w:p w14:paraId="2549C42B" w14:textId="77777777" w:rsidR="008E480F" w:rsidRDefault="008E480F" w:rsidP="00B73114">
      <w:pPr>
        <w:rPr>
          <w:rFonts w:ascii="Times New Roman" w:hAnsi="Times New Roman" w:cs="Times New Roman"/>
          <w:b/>
          <w:bCs/>
          <w:color w:val="000000" w:themeColor="text1"/>
          <w:sz w:val="20"/>
          <w:szCs w:val="20"/>
          <w:lang w:val="en-US"/>
        </w:rPr>
      </w:pPr>
    </w:p>
    <w:p w14:paraId="19F774E6" w14:textId="77777777" w:rsidR="008E480F" w:rsidRDefault="008E480F" w:rsidP="00B73114">
      <w:pPr>
        <w:rPr>
          <w:rFonts w:ascii="Times New Roman" w:hAnsi="Times New Roman" w:cs="Times New Roman"/>
          <w:b/>
          <w:bCs/>
          <w:color w:val="000000" w:themeColor="text1"/>
          <w:sz w:val="20"/>
          <w:szCs w:val="20"/>
          <w:lang w:val="en-US"/>
        </w:rPr>
      </w:pPr>
    </w:p>
    <w:p w14:paraId="21324BC5" w14:textId="074F6ED1" w:rsidR="002B5C5C" w:rsidRPr="002F408C" w:rsidRDefault="002B5C5C" w:rsidP="002B5C5C">
      <w:pPr>
        <w:rPr>
          <w:rFonts w:ascii="Times New Roman" w:hAnsi="Times New Roman" w:cs="Times New Roman"/>
          <w:bCs/>
          <w:color w:val="000000" w:themeColor="text1"/>
          <w:lang w:val="en-US"/>
        </w:rPr>
      </w:pPr>
      <w:r w:rsidRPr="002F408C">
        <w:rPr>
          <w:rFonts w:ascii="Times New Roman" w:hAnsi="Times New Roman" w:cs="Times New Roman"/>
          <w:b/>
          <w:bCs/>
          <w:color w:val="000000" w:themeColor="text1"/>
          <w:lang w:val="en-US"/>
        </w:rPr>
        <w:lastRenderedPageBreak/>
        <w:t xml:space="preserve">Table 2. </w:t>
      </w:r>
      <w:r w:rsidRPr="002F408C">
        <w:rPr>
          <w:rFonts w:ascii="Times New Roman" w:hAnsi="Times New Roman" w:cs="Times New Roman"/>
          <w:bCs/>
          <w:color w:val="000000" w:themeColor="text1"/>
          <w:lang w:val="en-US"/>
        </w:rPr>
        <w:t xml:space="preserve">Subgroup comparison of circulatory DPP3 levels during the early and late phase after </w:t>
      </w:r>
      <w:r w:rsidR="00E70FE4" w:rsidRPr="002F408C">
        <w:rPr>
          <w:rFonts w:ascii="Times New Roman" w:hAnsi="Times New Roman" w:cs="Times New Roman"/>
          <w:bCs/>
          <w:color w:val="000000" w:themeColor="text1"/>
          <w:lang w:val="en-US"/>
        </w:rPr>
        <w:t>a</w:t>
      </w:r>
      <w:r w:rsidRPr="002F408C">
        <w:rPr>
          <w:rFonts w:ascii="Times New Roman" w:hAnsi="Times New Roman" w:cs="Times New Roman"/>
          <w:bCs/>
          <w:color w:val="000000" w:themeColor="text1"/>
          <w:lang w:val="en-US"/>
        </w:rPr>
        <w:t xml:space="preserve">SAH. </w:t>
      </w:r>
    </w:p>
    <w:tbl>
      <w:tblPr>
        <w:tblW w:w="6861" w:type="dxa"/>
        <w:tblInd w:w="480" w:type="dxa"/>
        <w:tblLayout w:type="fixed"/>
        <w:tblLook w:val="04A0" w:firstRow="1" w:lastRow="0" w:firstColumn="1" w:lastColumn="0" w:noHBand="0" w:noVBand="1"/>
      </w:tblPr>
      <w:tblGrid>
        <w:gridCol w:w="2438"/>
        <w:gridCol w:w="340"/>
        <w:gridCol w:w="1134"/>
        <w:gridCol w:w="794"/>
        <w:gridCol w:w="397"/>
        <w:gridCol w:w="1021"/>
        <w:gridCol w:w="737"/>
      </w:tblGrid>
      <w:tr w:rsidR="000E1366" w:rsidRPr="00D119AC" w14:paraId="087179F3" w14:textId="77777777" w:rsidTr="0056300B">
        <w:tc>
          <w:tcPr>
            <w:tcW w:w="2438" w:type="dxa"/>
            <w:tcBorders>
              <w:top w:val="single" w:sz="4" w:space="0" w:color="auto"/>
            </w:tcBorders>
            <w:vAlign w:val="center"/>
          </w:tcPr>
          <w:p w14:paraId="7019FE41" w14:textId="77777777" w:rsidR="000E1366" w:rsidRPr="00D119AC" w:rsidRDefault="000E1366" w:rsidP="007A1BB7">
            <w:pPr>
              <w:widowControl w:val="0"/>
              <w:autoSpaceDE w:val="0"/>
              <w:autoSpaceDN w:val="0"/>
              <w:adjustRightInd w:val="0"/>
              <w:spacing w:after="0" w:line="240" w:lineRule="auto"/>
              <w:jc w:val="center"/>
              <w:rPr>
                <w:rFonts w:ascii="Times New Roman" w:hAnsi="Times New Roman" w:cs="Times New Roman"/>
                <w:b/>
                <w:sz w:val="16"/>
                <w:szCs w:val="16"/>
                <w:lang w:val="en-US"/>
              </w:rPr>
            </w:pPr>
          </w:p>
        </w:tc>
        <w:tc>
          <w:tcPr>
            <w:tcW w:w="2268" w:type="dxa"/>
            <w:gridSpan w:val="3"/>
            <w:tcBorders>
              <w:top w:val="single" w:sz="4" w:space="0" w:color="auto"/>
            </w:tcBorders>
            <w:vAlign w:val="center"/>
          </w:tcPr>
          <w:p w14:paraId="389D1148" w14:textId="0AD68D0D" w:rsidR="000E1366" w:rsidRPr="002B5C5C" w:rsidRDefault="002B5C5C" w:rsidP="007A1BB7">
            <w:pPr>
              <w:widowControl w:val="0"/>
              <w:autoSpaceDE w:val="0"/>
              <w:autoSpaceDN w:val="0"/>
              <w:adjustRightInd w:val="0"/>
              <w:spacing w:after="0" w:line="240" w:lineRule="auto"/>
              <w:jc w:val="center"/>
              <w:rPr>
                <w:rFonts w:ascii="Times New Roman" w:hAnsi="Times New Roman" w:cs="Times New Roman"/>
                <w:b/>
                <w:sz w:val="16"/>
                <w:szCs w:val="16"/>
                <w:u w:val="single"/>
                <w:lang w:val="en-US"/>
              </w:rPr>
            </w:pPr>
            <w:r>
              <w:rPr>
                <w:rFonts w:ascii="Times New Roman" w:hAnsi="Times New Roman" w:cs="Times New Roman"/>
                <w:b/>
                <w:sz w:val="16"/>
                <w:szCs w:val="16"/>
                <w:u w:val="single"/>
                <w:lang w:val="en-US"/>
              </w:rPr>
              <w:t>Early phase (</w:t>
            </w:r>
            <w:r w:rsidR="000E1366" w:rsidRPr="0056300B">
              <w:rPr>
                <w:rFonts w:ascii="Times New Roman" w:hAnsi="Times New Roman" w:cs="Times New Roman"/>
                <w:b/>
                <w:sz w:val="16"/>
                <w:szCs w:val="16"/>
                <w:u w:val="single"/>
                <w:lang w:val="en-US"/>
              </w:rPr>
              <w:t>EP</w:t>
            </w:r>
            <w:r w:rsidR="000E1366" w:rsidRPr="0056300B">
              <w:rPr>
                <w:rFonts w:ascii="Times New Roman" w:hAnsi="Times New Roman" w:cs="Times New Roman"/>
                <w:b/>
                <w:sz w:val="16"/>
                <w:szCs w:val="16"/>
                <w:u w:val="single"/>
                <w:vertAlign w:val="subscript"/>
                <w:lang w:val="en-US"/>
              </w:rPr>
              <w:t>d1-4</w:t>
            </w:r>
            <w:r>
              <w:rPr>
                <w:rFonts w:ascii="Times New Roman" w:hAnsi="Times New Roman" w:cs="Times New Roman"/>
                <w:b/>
                <w:sz w:val="16"/>
                <w:szCs w:val="16"/>
                <w:u w:val="single"/>
                <w:lang w:val="en-US"/>
              </w:rPr>
              <w:t>)</w:t>
            </w:r>
          </w:p>
        </w:tc>
        <w:tc>
          <w:tcPr>
            <w:tcW w:w="2155" w:type="dxa"/>
            <w:gridSpan w:val="3"/>
            <w:tcBorders>
              <w:top w:val="single" w:sz="4" w:space="0" w:color="auto"/>
              <w:left w:val="nil"/>
            </w:tcBorders>
            <w:vAlign w:val="center"/>
          </w:tcPr>
          <w:p w14:paraId="25CEC53D" w14:textId="3A197C5C" w:rsidR="000E1366" w:rsidRPr="002B5C5C" w:rsidRDefault="002B5C5C" w:rsidP="007A1BB7">
            <w:pPr>
              <w:widowControl w:val="0"/>
              <w:autoSpaceDE w:val="0"/>
              <w:autoSpaceDN w:val="0"/>
              <w:adjustRightInd w:val="0"/>
              <w:spacing w:after="0" w:line="240" w:lineRule="auto"/>
              <w:jc w:val="center"/>
              <w:rPr>
                <w:rFonts w:ascii="Times New Roman" w:hAnsi="Times New Roman" w:cs="Times New Roman"/>
                <w:b/>
                <w:sz w:val="16"/>
                <w:szCs w:val="16"/>
                <w:u w:val="single"/>
                <w:lang w:val="en-US"/>
              </w:rPr>
            </w:pPr>
            <w:r>
              <w:rPr>
                <w:rFonts w:ascii="Times New Roman" w:hAnsi="Times New Roman" w:cs="Times New Roman"/>
                <w:b/>
                <w:sz w:val="16"/>
                <w:szCs w:val="16"/>
                <w:u w:val="single"/>
                <w:lang w:val="en-US"/>
              </w:rPr>
              <w:t>Late phase (</w:t>
            </w:r>
            <w:r w:rsidR="000E1366" w:rsidRPr="0056300B">
              <w:rPr>
                <w:rFonts w:ascii="Times New Roman" w:hAnsi="Times New Roman" w:cs="Times New Roman"/>
                <w:b/>
                <w:sz w:val="16"/>
                <w:szCs w:val="16"/>
                <w:u w:val="single"/>
                <w:lang w:val="en-US"/>
              </w:rPr>
              <w:t>LP</w:t>
            </w:r>
            <w:r w:rsidR="000E1366" w:rsidRPr="0056300B">
              <w:rPr>
                <w:rFonts w:ascii="Times New Roman" w:hAnsi="Times New Roman" w:cs="Times New Roman"/>
                <w:b/>
                <w:sz w:val="16"/>
                <w:szCs w:val="16"/>
                <w:u w:val="single"/>
                <w:vertAlign w:val="subscript"/>
                <w:lang w:val="en-US"/>
              </w:rPr>
              <w:t>d16-21</w:t>
            </w:r>
            <w:r>
              <w:rPr>
                <w:rFonts w:ascii="Times New Roman" w:hAnsi="Times New Roman" w:cs="Times New Roman"/>
                <w:b/>
                <w:sz w:val="16"/>
                <w:szCs w:val="16"/>
                <w:u w:val="single"/>
                <w:lang w:val="en-US"/>
              </w:rPr>
              <w:t>)</w:t>
            </w:r>
          </w:p>
        </w:tc>
      </w:tr>
      <w:tr w:rsidR="007A1BB7" w:rsidRPr="00D119AC" w14:paraId="3FBABB12" w14:textId="77777777" w:rsidTr="0056300B">
        <w:trPr>
          <w:trHeight w:val="42"/>
        </w:trPr>
        <w:tc>
          <w:tcPr>
            <w:tcW w:w="2438" w:type="dxa"/>
            <w:tcBorders>
              <w:bottom w:val="single" w:sz="4" w:space="0" w:color="auto"/>
              <w:right w:val="dashed" w:sz="4" w:space="0" w:color="auto"/>
            </w:tcBorders>
            <w:vAlign w:val="center"/>
          </w:tcPr>
          <w:p w14:paraId="0A25695B" w14:textId="77777777" w:rsidR="007A1BB7" w:rsidRPr="00D119AC" w:rsidRDefault="007A1BB7" w:rsidP="007A1BB7">
            <w:pPr>
              <w:widowControl w:val="0"/>
              <w:autoSpaceDE w:val="0"/>
              <w:autoSpaceDN w:val="0"/>
              <w:adjustRightInd w:val="0"/>
              <w:spacing w:after="0" w:line="240" w:lineRule="auto"/>
              <w:jc w:val="center"/>
              <w:rPr>
                <w:rFonts w:ascii="Times New Roman" w:hAnsi="Times New Roman" w:cs="Times New Roman"/>
                <w:b/>
                <w:sz w:val="16"/>
                <w:szCs w:val="16"/>
                <w:lang w:val="en-US"/>
              </w:rPr>
            </w:pPr>
          </w:p>
        </w:tc>
        <w:tc>
          <w:tcPr>
            <w:tcW w:w="340" w:type="dxa"/>
            <w:tcBorders>
              <w:left w:val="dashed" w:sz="4" w:space="0" w:color="auto"/>
              <w:bottom w:val="single" w:sz="4" w:space="0" w:color="auto"/>
            </w:tcBorders>
            <w:vAlign w:val="center"/>
          </w:tcPr>
          <w:p w14:paraId="58477F6E" w14:textId="77777777" w:rsidR="007A1BB7" w:rsidRPr="00D119AC" w:rsidRDefault="007A1BB7" w:rsidP="007A1BB7">
            <w:pPr>
              <w:widowControl w:val="0"/>
              <w:autoSpaceDE w:val="0"/>
              <w:autoSpaceDN w:val="0"/>
              <w:adjustRightInd w:val="0"/>
              <w:spacing w:after="0" w:line="240" w:lineRule="auto"/>
              <w:ind w:left="-118"/>
              <w:jc w:val="center"/>
              <w:rPr>
                <w:rFonts w:ascii="Times New Roman" w:hAnsi="Times New Roman" w:cs="Times New Roman"/>
                <w:b/>
                <w:sz w:val="16"/>
                <w:szCs w:val="16"/>
                <w:lang w:val="en-US"/>
              </w:rPr>
            </w:pPr>
            <w:r w:rsidRPr="00D119AC">
              <w:rPr>
                <w:rFonts w:ascii="Times New Roman" w:hAnsi="Times New Roman" w:cs="Times New Roman"/>
                <w:b/>
                <w:sz w:val="16"/>
                <w:szCs w:val="16"/>
                <w:lang w:val="en-US"/>
              </w:rPr>
              <w:t>n</w:t>
            </w:r>
          </w:p>
        </w:tc>
        <w:tc>
          <w:tcPr>
            <w:tcW w:w="1134" w:type="dxa"/>
            <w:tcBorders>
              <w:bottom w:val="single" w:sz="4" w:space="0" w:color="auto"/>
            </w:tcBorders>
            <w:vAlign w:val="center"/>
          </w:tcPr>
          <w:p w14:paraId="49F081B7" w14:textId="77777777" w:rsidR="007A1BB7" w:rsidRPr="00D119AC" w:rsidRDefault="007A1BB7" w:rsidP="007A1BB7">
            <w:pPr>
              <w:widowControl w:val="0"/>
              <w:autoSpaceDE w:val="0"/>
              <w:autoSpaceDN w:val="0"/>
              <w:adjustRightInd w:val="0"/>
              <w:spacing w:after="0" w:line="240" w:lineRule="auto"/>
              <w:jc w:val="center"/>
              <w:rPr>
                <w:rFonts w:ascii="Times New Roman" w:hAnsi="Times New Roman" w:cs="Times New Roman"/>
                <w:b/>
                <w:sz w:val="16"/>
                <w:szCs w:val="16"/>
                <w:lang w:val="en-US"/>
              </w:rPr>
            </w:pPr>
            <w:r w:rsidRPr="00D119AC">
              <w:rPr>
                <w:rFonts w:ascii="Times New Roman" w:hAnsi="Times New Roman" w:cs="Times New Roman"/>
                <w:b/>
                <w:sz w:val="16"/>
                <w:szCs w:val="16"/>
                <w:lang w:val="en-US"/>
              </w:rPr>
              <w:t>Median</w:t>
            </w:r>
          </w:p>
          <w:p w14:paraId="2AAD32C2" w14:textId="77777777" w:rsidR="007A1BB7" w:rsidRPr="00D119AC" w:rsidRDefault="007A1BB7" w:rsidP="007A1BB7">
            <w:pPr>
              <w:widowControl w:val="0"/>
              <w:autoSpaceDE w:val="0"/>
              <w:autoSpaceDN w:val="0"/>
              <w:adjustRightInd w:val="0"/>
              <w:spacing w:after="0" w:line="240" w:lineRule="auto"/>
              <w:jc w:val="center"/>
              <w:rPr>
                <w:rFonts w:ascii="Times New Roman" w:hAnsi="Times New Roman" w:cs="Times New Roman"/>
                <w:b/>
                <w:sz w:val="16"/>
                <w:szCs w:val="16"/>
                <w:lang w:val="en-US"/>
              </w:rPr>
            </w:pPr>
            <w:r w:rsidRPr="00D119AC">
              <w:rPr>
                <w:rFonts w:ascii="Times New Roman" w:hAnsi="Times New Roman" w:cs="Times New Roman"/>
                <w:b/>
                <w:sz w:val="16"/>
                <w:szCs w:val="16"/>
                <w:lang w:val="en-US"/>
              </w:rPr>
              <w:t>(</w:t>
            </w:r>
            <w:r w:rsidRPr="001B34AA">
              <w:rPr>
                <w:rFonts w:ascii="Times New Roman" w:hAnsi="Times New Roman" w:cs="Times New Roman"/>
                <w:b/>
                <w:sz w:val="16"/>
                <w:szCs w:val="16"/>
                <w:lang w:val="en-US"/>
              </w:rPr>
              <w:t>1.q-</w:t>
            </w:r>
            <w:proofErr w:type="gramStart"/>
            <w:r w:rsidRPr="001B34AA">
              <w:rPr>
                <w:rFonts w:ascii="Times New Roman" w:hAnsi="Times New Roman" w:cs="Times New Roman"/>
                <w:b/>
                <w:sz w:val="16"/>
                <w:szCs w:val="16"/>
                <w:lang w:val="en-US"/>
              </w:rPr>
              <w:t>3.q</w:t>
            </w:r>
            <w:proofErr w:type="gramEnd"/>
            <w:r w:rsidRPr="00D119AC">
              <w:rPr>
                <w:rFonts w:ascii="Times New Roman" w:hAnsi="Times New Roman" w:cs="Times New Roman"/>
                <w:b/>
                <w:sz w:val="16"/>
                <w:szCs w:val="16"/>
                <w:lang w:val="en-US"/>
              </w:rPr>
              <w:t>)</w:t>
            </w:r>
          </w:p>
        </w:tc>
        <w:tc>
          <w:tcPr>
            <w:tcW w:w="794" w:type="dxa"/>
            <w:tcBorders>
              <w:bottom w:val="single" w:sz="4" w:space="0" w:color="auto"/>
              <w:right w:val="dashed" w:sz="4" w:space="0" w:color="auto"/>
            </w:tcBorders>
            <w:vAlign w:val="center"/>
          </w:tcPr>
          <w:p w14:paraId="5180F7D2" w14:textId="77777777" w:rsidR="007A1BB7" w:rsidRPr="00D119AC" w:rsidRDefault="007A1BB7" w:rsidP="007A1BB7">
            <w:pPr>
              <w:widowControl w:val="0"/>
              <w:autoSpaceDE w:val="0"/>
              <w:autoSpaceDN w:val="0"/>
              <w:adjustRightInd w:val="0"/>
              <w:spacing w:after="0" w:line="240" w:lineRule="auto"/>
              <w:jc w:val="center"/>
              <w:rPr>
                <w:rFonts w:ascii="Times New Roman" w:hAnsi="Times New Roman" w:cs="Times New Roman"/>
                <w:b/>
                <w:sz w:val="16"/>
                <w:szCs w:val="16"/>
                <w:lang w:val="en-US"/>
              </w:rPr>
            </w:pPr>
            <w:r w:rsidRPr="00D119AC">
              <w:rPr>
                <w:rFonts w:ascii="Times New Roman" w:hAnsi="Times New Roman" w:cs="Times New Roman"/>
                <w:b/>
                <w:sz w:val="16"/>
                <w:szCs w:val="16"/>
                <w:lang w:val="en-US"/>
              </w:rPr>
              <w:t>p-value</w:t>
            </w:r>
          </w:p>
        </w:tc>
        <w:tc>
          <w:tcPr>
            <w:tcW w:w="397" w:type="dxa"/>
            <w:tcBorders>
              <w:left w:val="dashed" w:sz="4" w:space="0" w:color="auto"/>
              <w:bottom w:val="single" w:sz="4" w:space="0" w:color="auto"/>
            </w:tcBorders>
            <w:vAlign w:val="center"/>
          </w:tcPr>
          <w:p w14:paraId="5BB007BB" w14:textId="77777777" w:rsidR="007A1BB7" w:rsidRPr="00D119AC" w:rsidRDefault="007A1BB7" w:rsidP="007A1BB7">
            <w:pPr>
              <w:widowControl w:val="0"/>
              <w:autoSpaceDE w:val="0"/>
              <w:autoSpaceDN w:val="0"/>
              <w:adjustRightInd w:val="0"/>
              <w:spacing w:after="0" w:line="240" w:lineRule="auto"/>
              <w:jc w:val="center"/>
              <w:rPr>
                <w:rFonts w:ascii="Times New Roman" w:hAnsi="Times New Roman" w:cs="Times New Roman"/>
                <w:b/>
                <w:sz w:val="16"/>
                <w:szCs w:val="16"/>
                <w:lang w:val="en-US"/>
              </w:rPr>
            </w:pPr>
            <w:r w:rsidRPr="00D119AC">
              <w:rPr>
                <w:rFonts w:ascii="Times New Roman" w:hAnsi="Times New Roman" w:cs="Times New Roman"/>
                <w:b/>
                <w:sz w:val="16"/>
                <w:szCs w:val="16"/>
                <w:lang w:val="en-US"/>
              </w:rPr>
              <w:t>n</w:t>
            </w:r>
          </w:p>
        </w:tc>
        <w:tc>
          <w:tcPr>
            <w:tcW w:w="1021" w:type="dxa"/>
            <w:tcBorders>
              <w:bottom w:val="single" w:sz="4" w:space="0" w:color="auto"/>
            </w:tcBorders>
            <w:vAlign w:val="center"/>
          </w:tcPr>
          <w:p w14:paraId="0B2585FA" w14:textId="77777777" w:rsidR="007A1BB7" w:rsidRPr="00D119AC" w:rsidRDefault="007A1BB7" w:rsidP="007A1BB7">
            <w:pPr>
              <w:widowControl w:val="0"/>
              <w:autoSpaceDE w:val="0"/>
              <w:autoSpaceDN w:val="0"/>
              <w:adjustRightInd w:val="0"/>
              <w:spacing w:after="0" w:line="240" w:lineRule="auto"/>
              <w:jc w:val="center"/>
              <w:rPr>
                <w:rFonts w:ascii="Times New Roman" w:hAnsi="Times New Roman" w:cs="Times New Roman"/>
                <w:b/>
                <w:sz w:val="16"/>
                <w:szCs w:val="16"/>
                <w:lang w:val="en-US"/>
              </w:rPr>
            </w:pPr>
            <w:r w:rsidRPr="00D119AC">
              <w:rPr>
                <w:rFonts w:ascii="Times New Roman" w:hAnsi="Times New Roman" w:cs="Times New Roman"/>
                <w:b/>
                <w:sz w:val="16"/>
                <w:szCs w:val="16"/>
                <w:lang w:val="en-US"/>
              </w:rPr>
              <w:t>Median</w:t>
            </w:r>
          </w:p>
          <w:p w14:paraId="399170A8" w14:textId="77777777" w:rsidR="007A1BB7" w:rsidRPr="00D119AC" w:rsidRDefault="007A1BB7" w:rsidP="007A1BB7">
            <w:pPr>
              <w:widowControl w:val="0"/>
              <w:autoSpaceDE w:val="0"/>
              <w:autoSpaceDN w:val="0"/>
              <w:adjustRightInd w:val="0"/>
              <w:spacing w:after="0" w:line="240" w:lineRule="auto"/>
              <w:jc w:val="center"/>
              <w:rPr>
                <w:rFonts w:ascii="Times New Roman" w:hAnsi="Times New Roman" w:cs="Times New Roman"/>
                <w:b/>
                <w:sz w:val="16"/>
                <w:szCs w:val="16"/>
                <w:lang w:val="en-US"/>
              </w:rPr>
            </w:pPr>
            <w:r w:rsidRPr="00D119AC">
              <w:rPr>
                <w:rFonts w:ascii="Times New Roman" w:hAnsi="Times New Roman" w:cs="Times New Roman"/>
                <w:b/>
                <w:sz w:val="16"/>
                <w:szCs w:val="16"/>
                <w:lang w:val="en-US"/>
              </w:rPr>
              <w:t>(</w:t>
            </w:r>
            <w:r w:rsidRPr="001B34AA">
              <w:rPr>
                <w:rFonts w:ascii="Times New Roman" w:hAnsi="Times New Roman" w:cs="Times New Roman"/>
                <w:b/>
                <w:sz w:val="16"/>
                <w:szCs w:val="16"/>
                <w:lang w:val="en-US"/>
              </w:rPr>
              <w:t>1.q-</w:t>
            </w:r>
            <w:proofErr w:type="gramStart"/>
            <w:r w:rsidRPr="001B34AA">
              <w:rPr>
                <w:rFonts w:ascii="Times New Roman" w:hAnsi="Times New Roman" w:cs="Times New Roman"/>
                <w:b/>
                <w:sz w:val="16"/>
                <w:szCs w:val="16"/>
                <w:lang w:val="en-US"/>
              </w:rPr>
              <w:t>3.q</w:t>
            </w:r>
            <w:proofErr w:type="gramEnd"/>
            <w:r w:rsidRPr="00D119AC">
              <w:rPr>
                <w:rFonts w:ascii="Times New Roman" w:hAnsi="Times New Roman" w:cs="Times New Roman"/>
                <w:b/>
                <w:sz w:val="16"/>
                <w:szCs w:val="16"/>
                <w:lang w:val="en-US"/>
              </w:rPr>
              <w:t>)</w:t>
            </w:r>
          </w:p>
        </w:tc>
        <w:tc>
          <w:tcPr>
            <w:tcW w:w="737" w:type="dxa"/>
            <w:tcBorders>
              <w:bottom w:val="single" w:sz="4" w:space="0" w:color="auto"/>
              <w:right w:val="dashed" w:sz="4" w:space="0" w:color="auto"/>
            </w:tcBorders>
            <w:vAlign w:val="center"/>
          </w:tcPr>
          <w:p w14:paraId="1B9BB6A6" w14:textId="77777777" w:rsidR="007A1BB7" w:rsidRPr="00D119AC" w:rsidRDefault="007A1BB7" w:rsidP="007A1BB7">
            <w:pPr>
              <w:widowControl w:val="0"/>
              <w:autoSpaceDE w:val="0"/>
              <w:autoSpaceDN w:val="0"/>
              <w:adjustRightInd w:val="0"/>
              <w:spacing w:after="0" w:line="240" w:lineRule="auto"/>
              <w:jc w:val="center"/>
              <w:rPr>
                <w:rFonts w:ascii="Times New Roman" w:hAnsi="Times New Roman" w:cs="Times New Roman"/>
                <w:b/>
                <w:sz w:val="16"/>
                <w:szCs w:val="16"/>
                <w:lang w:val="en-US"/>
              </w:rPr>
            </w:pPr>
            <w:r w:rsidRPr="00D119AC">
              <w:rPr>
                <w:rFonts w:ascii="Times New Roman" w:hAnsi="Times New Roman" w:cs="Times New Roman"/>
                <w:b/>
                <w:sz w:val="16"/>
                <w:szCs w:val="16"/>
                <w:lang w:val="en-US"/>
              </w:rPr>
              <w:t>p-value</w:t>
            </w:r>
          </w:p>
        </w:tc>
      </w:tr>
      <w:tr w:rsidR="0056300B" w:rsidRPr="00D119AC" w14:paraId="70619B78" w14:textId="77777777" w:rsidTr="0056300B">
        <w:trPr>
          <w:trHeight w:val="113"/>
        </w:trPr>
        <w:tc>
          <w:tcPr>
            <w:tcW w:w="2438" w:type="dxa"/>
            <w:tcBorders>
              <w:right w:val="dashed" w:sz="4" w:space="0" w:color="auto"/>
            </w:tcBorders>
            <w:shd w:val="clear" w:color="auto" w:fill="FFFFFF" w:themeFill="background1"/>
            <w:vAlign w:val="center"/>
          </w:tcPr>
          <w:p w14:paraId="6FEFB36C" w14:textId="080BEC92" w:rsidR="0056300B" w:rsidRPr="00D119AC" w:rsidRDefault="0056300B" w:rsidP="007A1BB7">
            <w:pPr>
              <w:widowControl w:val="0"/>
              <w:autoSpaceDE w:val="0"/>
              <w:autoSpaceDN w:val="0"/>
              <w:adjustRightInd w:val="0"/>
              <w:spacing w:after="0" w:line="240" w:lineRule="auto"/>
              <w:rPr>
                <w:rFonts w:ascii="Times New Roman" w:hAnsi="Times New Roman" w:cs="Times New Roman"/>
                <w:b/>
                <w:sz w:val="16"/>
                <w:szCs w:val="16"/>
                <w:lang w:val="en-US"/>
              </w:rPr>
            </w:pPr>
            <w:r w:rsidRPr="00D119AC">
              <w:rPr>
                <w:rFonts w:ascii="Times New Roman" w:hAnsi="Times New Roman" w:cs="Times New Roman"/>
                <w:b/>
                <w:sz w:val="16"/>
                <w:szCs w:val="16"/>
                <w:lang w:val="en-US"/>
              </w:rPr>
              <w:t xml:space="preserve">All </w:t>
            </w:r>
            <w:proofErr w:type="spellStart"/>
            <w:r w:rsidRPr="00D119AC">
              <w:rPr>
                <w:rFonts w:ascii="Times New Roman" w:hAnsi="Times New Roman" w:cs="Times New Roman"/>
                <w:b/>
                <w:sz w:val="16"/>
                <w:szCs w:val="16"/>
                <w:lang w:val="en-US"/>
              </w:rPr>
              <w:t>patients</w:t>
            </w:r>
            <w:r w:rsidRPr="00F43DA9">
              <w:rPr>
                <w:rFonts w:ascii="Times New Roman" w:hAnsi="Times New Roman" w:cs="Times New Roman"/>
                <w:b/>
                <w:sz w:val="16"/>
                <w:szCs w:val="16"/>
                <w:vertAlign w:val="superscript"/>
                <w:lang w:val="en-US"/>
              </w:rPr>
              <w:t>a</w:t>
            </w:r>
            <w:proofErr w:type="spellEnd"/>
          </w:p>
        </w:tc>
        <w:tc>
          <w:tcPr>
            <w:tcW w:w="340" w:type="dxa"/>
            <w:tcBorders>
              <w:left w:val="dashed" w:sz="4" w:space="0" w:color="auto"/>
            </w:tcBorders>
            <w:shd w:val="clear" w:color="auto" w:fill="FFFFFF" w:themeFill="background1"/>
            <w:vAlign w:val="center"/>
          </w:tcPr>
          <w:p w14:paraId="59C33623" w14:textId="5791775B" w:rsidR="0056300B" w:rsidRPr="00D119AC" w:rsidRDefault="0056300B" w:rsidP="007A1BB7">
            <w:pPr>
              <w:widowControl w:val="0"/>
              <w:autoSpaceDE w:val="0"/>
              <w:autoSpaceDN w:val="0"/>
              <w:adjustRightInd w:val="0"/>
              <w:spacing w:after="0" w:line="240" w:lineRule="auto"/>
              <w:ind w:left="-118"/>
              <w:jc w:val="center"/>
              <w:rPr>
                <w:rFonts w:ascii="Times New Roman" w:hAnsi="Times New Roman" w:cs="Times New Roman"/>
                <w:sz w:val="16"/>
                <w:szCs w:val="16"/>
                <w:lang w:val="en-US"/>
              </w:rPr>
            </w:pPr>
            <w:r w:rsidRPr="00D119AC">
              <w:rPr>
                <w:rFonts w:ascii="Times New Roman" w:hAnsi="Times New Roman" w:cs="Times New Roman"/>
                <w:sz w:val="16"/>
                <w:szCs w:val="16"/>
                <w:lang w:val="en-US"/>
              </w:rPr>
              <w:t>83</w:t>
            </w:r>
          </w:p>
        </w:tc>
        <w:tc>
          <w:tcPr>
            <w:tcW w:w="1928" w:type="dxa"/>
            <w:gridSpan w:val="2"/>
            <w:tcBorders>
              <w:right w:val="dashed" w:sz="4" w:space="0" w:color="auto"/>
            </w:tcBorders>
            <w:shd w:val="clear" w:color="auto" w:fill="FFFFFF" w:themeFill="background1"/>
            <w:vAlign w:val="center"/>
          </w:tcPr>
          <w:p w14:paraId="03C43320" w14:textId="21B4263B" w:rsidR="0056300B" w:rsidRPr="00D119AC" w:rsidRDefault="0056300B" w:rsidP="0056300B">
            <w:pPr>
              <w:widowControl w:val="0"/>
              <w:autoSpaceDE w:val="0"/>
              <w:autoSpaceDN w:val="0"/>
              <w:adjustRightInd w:val="0"/>
              <w:spacing w:after="0" w:line="240" w:lineRule="auto"/>
              <w:ind w:left="144"/>
              <w:rPr>
                <w:rFonts w:ascii="Times New Roman" w:hAnsi="Times New Roman" w:cs="Times New Roman"/>
                <w:sz w:val="16"/>
                <w:szCs w:val="16"/>
                <w:lang w:val="en-US"/>
              </w:rPr>
            </w:pPr>
            <w:r w:rsidRPr="00D119AC">
              <w:rPr>
                <w:rFonts w:ascii="Times New Roman" w:hAnsi="Times New Roman" w:cs="Times New Roman"/>
                <w:sz w:val="16"/>
                <w:szCs w:val="16"/>
                <w:lang w:val="en-US"/>
              </w:rPr>
              <w:t>8.6</w:t>
            </w:r>
            <w:r>
              <w:rPr>
                <w:rFonts w:ascii="Times New Roman" w:hAnsi="Times New Roman" w:cs="Times New Roman"/>
                <w:sz w:val="16"/>
                <w:szCs w:val="16"/>
                <w:lang w:val="en-US"/>
              </w:rPr>
              <w:t xml:space="preserve"> </w:t>
            </w:r>
            <w:r w:rsidRPr="00D119AC">
              <w:rPr>
                <w:rFonts w:ascii="Times New Roman" w:hAnsi="Times New Roman" w:cs="Times New Roman"/>
                <w:sz w:val="16"/>
                <w:szCs w:val="16"/>
                <w:lang w:val="en-US"/>
              </w:rPr>
              <w:t>(6.6-10.6)</w:t>
            </w:r>
          </w:p>
        </w:tc>
        <w:tc>
          <w:tcPr>
            <w:tcW w:w="397" w:type="dxa"/>
            <w:tcBorders>
              <w:left w:val="dashed" w:sz="4" w:space="0" w:color="auto"/>
            </w:tcBorders>
            <w:shd w:val="clear" w:color="auto" w:fill="FFFFFF" w:themeFill="background1"/>
            <w:vAlign w:val="center"/>
          </w:tcPr>
          <w:p w14:paraId="18E9F4DF" w14:textId="11AFA3A5" w:rsidR="0056300B" w:rsidRPr="00D119AC" w:rsidRDefault="0056300B" w:rsidP="000E1366">
            <w:pPr>
              <w:widowControl w:val="0"/>
              <w:autoSpaceDE w:val="0"/>
              <w:autoSpaceDN w:val="0"/>
              <w:adjustRightInd w:val="0"/>
              <w:spacing w:after="0" w:line="240" w:lineRule="auto"/>
              <w:jc w:val="right"/>
              <w:rPr>
                <w:rFonts w:ascii="Times New Roman" w:hAnsi="Times New Roman" w:cs="Times New Roman"/>
                <w:sz w:val="16"/>
                <w:szCs w:val="16"/>
                <w:lang w:val="en-US"/>
              </w:rPr>
            </w:pPr>
            <w:r w:rsidRPr="00D119AC">
              <w:rPr>
                <w:rFonts w:ascii="Times New Roman" w:hAnsi="Times New Roman" w:cs="Times New Roman"/>
                <w:sz w:val="16"/>
                <w:szCs w:val="16"/>
                <w:lang w:val="en-US"/>
              </w:rPr>
              <w:t>68</w:t>
            </w:r>
          </w:p>
        </w:tc>
        <w:tc>
          <w:tcPr>
            <w:tcW w:w="1758" w:type="dxa"/>
            <w:gridSpan w:val="2"/>
            <w:tcBorders>
              <w:right w:val="dashed" w:sz="4" w:space="0" w:color="auto"/>
            </w:tcBorders>
            <w:shd w:val="clear" w:color="auto" w:fill="FFFFFF" w:themeFill="background1"/>
            <w:vAlign w:val="center"/>
          </w:tcPr>
          <w:p w14:paraId="28376670" w14:textId="4E236D88" w:rsidR="0056300B" w:rsidRPr="00D119AC" w:rsidRDefault="0056300B" w:rsidP="0056300B">
            <w:pPr>
              <w:widowControl w:val="0"/>
              <w:autoSpaceDE w:val="0"/>
              <w:autoSpaceDN w:val="0"/>
              <w:adjustRightInd w:val="0"/>
              <w:spacing w:after="0" w:line="240" w:lineRule="auto"/>
              <w:ind w:left="87"/>
              <w:rPr>
                <w:rFonts w:ascii="Times New Roman" w:hAnsi="Times New Roman" w:cs="Times New Roman"/>
                <w:sz w:val="16"/>
                <w:szCs w:val="16"/>
                <w:lang w:val="en-US"/>
              </w:rPr>
            </w:pPr>
            <w:r w:rsidRPr="00D119AC">
              <w:rPr>
                <w:rFonts w:ascii="Times New Roman" w:hAnsi="Times New Roman" w:cs="Times New Roman"/>
                <w:sz w:val="16"/>
                <w:szCs w:val="16"/>
                <w:lang w:val="en-US"/>
              </w:rPr>
              <w:t>11.0</w:t>
            </w:r>
            <w:r>
              <w:rPr>
                <w:rFonts w:ascii="Times New Roman" w:hAnsi="Times New Roman" w:cs="Times New Roman"/>
                <w:sz w:val="16"/>
                <w:szCs w:val="16"/>
                <w:lang w:val="en-US"/>
              </w:rPr>
              <w:t xml:space="preserve"> </w:t>
            </w:r>
            <w:r w:rsidRPr="00D119AC">
              <w:rPr>
                <w:rFonts w:ascii="Times New Roman" w:hAnsi="Times New Roman" w:cs="Times New Roman"/>
                <w:sz w:val="16"/>
                <w:szCs w:val="16"/>
                <w:lang w:val="en-US"/>
              </w:rPr>
              <w:t>(8.0-14.5)</w:t>
            </w:r>
          </w:p>
        </w:tc>
      </w:tr>
      <w:tr w:rsidR="007A1BB7" w:rsidRPr="00D119AC" w14:paraId="2132BB53" w14:textId="77777777" w:rsidTr="0056300B">
        <w:trPr>
          <w:trHeight w:val="113"/>
        </w:trPr>
        <w:tc>
          <w:tcPr>
            <w:tcW w:w="2438" w:type="dxa"/>
            <w:tcBorders>
              <w:right w:val="dashed" w:sz="4" w:space="0" w:color="auto"/>
            </w:tcBorders>
            <w:shd w:val="clear" w:color="auto" w:fill="F2F2F2" w:themeFill="background1" w:themeFillShade="F2"/>
            <w:vAlign w:val="center"/>
          </w:tcPr>
          <w:p w14:paraId="37DDE07E" w14:textId="77777777" w:rsidR="007A1BB7" w:rsidRPr="00D119AC" w:rsidRDefault="007A1BB7" w:rsidP="007A1BB7">
            <w:pPr>
              <w:widowControl w:val="0"/>
              <w:autoSpaceDE w:val="0"/>
              <w:autoSpaceDN w:val="0"/>
              <w:adjustRightInd w:val="0"/>
              <w:spacing w:after="0" w:line="240" w:lineRule="auto"/>
              <w:rPr>
                <w:rFonts w:ascii="Times New Roman" w:hAnsi="Times New Roman" w:cs="Times New Roman"/>
                <w:b/>
                <w:sz w:val="16"/>
                <w:szCs w:val="16"/>
                <w:lang w:val="en-US"/>
              </w:rPr>
            </w:pPr>
            <w:r w:rsidRPr="00D119AC">
              <w:rPr>
                <w:rFonts w:ascii="Times New Roman" w:hAnsi="Times New Roman" w:cs="Times New Roman"/>
                <w:b/>
                <w:sz w:val="16"/>
                <w:szCs w:val="16"/>
                <w:lang w:val="en-US"/>
              </w:rPr>
              <w:t>Gender</w:t>
            </w:r>
          </w:p>
        </w:tc>
        <w:tc>
          <w:tcPr>
            <w:tcW w:w="340" w:type="dxa"/>
            <w:tcBorders>
              <w:left w:val="dashed" w:sz="4" w:space="0" w:color="auto"/>
            </w:tcBorders>
            <w:shd w:val="clear" w:color="auto" w:fill="F2F2F2" w:themeFill="background1" w:themeFillShade="F2"/>
            <w:vAlign w:val="center"/>
          </w:tcPr>
          <w:p w14:paraId="55FA0C7A" w14:textId="77777777" w:rsidR="007A1BB7" w:rsidRPr="00D119AC" w:rsidRDefault="007A1BB7" w:rsidP="007A1BB7">
            <w:pPr>
              <w:widowControl w:val="0"/>
              <w:autoSpaceDE w:val="0"/>
              <w:autoSpaceDN w:val="0"/>
              <w:adjustRightInd w:val="0"/>
              <w:spacing w:after="0" w:line="240" w:lineRule="auto"/>
              <w:ind w:left="-118"/>
              <w:jc w:val="center"/>
              <w:rPr>
                <w:rFonts w:ascii="Times New Roman" w:hAnsi="Times New Roman" w:cs="Times New Roman"/>
                <w:sz w:val="16"/>
                <w:szCs w:val="16"/>
                <w:lang w:val="en-US"/>
              </w:rPr>
            </w:pPr>
          </w:p>
        </w:tc>
        <w:tc>
          <w:tcPr>
            <w:tcW w:w="1134" w:type="dxa"/>
            <w:shd w:val="clear" w:color="auto" w:fill="F2F2F2" w:themeFill="background1" w:themeFillShade="F2"/>
            <w:vAlign w:val="center"/>
          </w:tcPr>
          <w:p w14:paraId="74BD81D4" w14:textId="77777777" w:rsidR="007A1BB7" w:rsidRPr="00D119AC" w:rsidRDefault="007A1BB7" w:rsidP="007A1BB7">
            <w:pPr>
              <w:widowControl w:val="0"/>
              <w:autoSpaceDE w:val="0"/>
              <w:autoSpaceDN w:val="0"/>
              <w:adjustRightInd w:val="0"/>
              <w:spacing w:after="0" w:line="240" w:lineRule="auto"/>
              <w:jc w:val="center"/>
              <w:rPr>
                <w:rFonts w:ascii="Times New Roman" w:hAnsi="Times New Roman" w:cs="Times New Roman"/>
                <w:sz w:val="16"/>
                <w:szCs w:val="16"/>
                <w:lang w:val="en-US"/>
              </w:rPr>
            </w:pPr>
          </w:p>
        </w:tc>
        <w:tc>
          <w:tcPr>
            <w:tcW w:w="794" w:type="dxa"/>
            <w:tcBorders>
              <w:right w:val="dashed" w:sz="4" w:space="0" w:color="auto"/>
            </w:tcBorders>
            <w:shd w:val="clear" w:color="auto" w:fill="F2F2F2" w:themeFill="background1" w:themeFillShade="F2"/>
            <w:vAlign w:val="center"/>
          </w:tcPr>
          <w:p w14:paraId="252A963B" w14:textId="400662BA" w:rsidR="007A1BB7" w:rsidRPr="00D119AC" w:rsidRDefault="007A1BB7" w:rsidP="000E1366">
            <w:pPr>
              <w:widowControl w:val="0"/>
              <w:autoSpaceDE w:val="0"/>
              <w:autoSpaceDN w:val="0"/>
              <w:adjustRightInd w:val="0"/>
              <w:spacing w:after="0" w:line="240" w:lineRule="auto"/>
              <w:jc w:val="right"/>
              <w:rPr>
                <w:rFonts w:ascii="Times New Roman" w:hAnsi="Times New Roman" w:cs="Times New Roman"/>
                <w:sz w:val="16"/>
                <w:szCs w:val="16"/>
                <w:lang w:val="en-US"/>
              </w:rPr>
            </w:pPr>
            <w:r w:rsidRPr="00D119AC">
              <w:rPr>
                <w:rFonts w:ascii="Times New Roman" w:hAnsi="Times New Roman" w:cs="Times New Roman"/>
                <w:sz w:val="16"/>
                <w:szCs w:val="16"/>
                <w:lang w:val="en-US"/>
              </w:rPr>
              <w:t>0.569</w:t>
            </w:r>
          </w:p>
        </w:tc>
        <w:tc>
          <w:tcPr>
            <w:tcW w:w="397" w:type="dxa"/>
            <w:tcBorders>
              <w:left w:val="dashed" w:sz="4" w:space="0" w:color="auto"/>
            </w:tcBorders>
            <w:shd w:val="clear" w:color="auto" w:fill="F2F2F2" w:themeFill="background1" w:themeFillShade="F2"/>
            <w:vAlign w:val="center"/>
          </w:tcPr>
          <w:p w14:paraId="6DD224C8" w14:textId="77777777" w:rsidR="007A1BB7" w:rsidRPr="00D119AC" w:rsidRDefault="007A1BB7" w:rsidP="000E1366">
            <w:pPr>
              <w:widowControl w:val="0"/>
              <w:autoSpaceDE w:val="0"/>
              <w:autoSpaceDN w:val="0"/>
              <w:adjustRightInd w:val="0"/>
              <w:spacing w:after="0" w:line="240" w:lineRule="auto"/>
              <w:jc w:val="right"/>
              <w:rPr>
                <w:rFonts w:ascii="Times New Roman" w:hAnsi="Times New Roman" w:cs="Times New Roman"/>
                <w:sz w:val="16"/>
                <w:szCs w:val="16"/>
                <w:lang w:val="en-US"/>
              </w:rPr>
            </w:pPr>
          </w:p>
        </w:tc>
        <w:tc>
          <w:tcPr>
            <w:tcW w:w="1021" w:type="dxa"/>
            <w:shd w:val="clear" w:color="auto" w:fill="F2F2F2" w:themeFill="background1" w:themeFillShade="F2"/>
            <w:vAlign w:val="center"/>
          </w:tcPr>
          <w:p w14:paraId="31D9F435" w14:textId="77777777" w:rsidR="007A1BB7" w:rsidRPr="00D119AC" w:rsidRDefault="007A1BB7" w:rsidP="000E1366">
            <w:pPr>
              <w:widowControl w:val="0"/>
              <w:autoSpaceDE w:val="0"/>
              <w:autoSpaceDN w:val="0"/>
              <w:adjustRightInd w:val="0"/>
              <w:spacing w:after="0" w:line="240" w:lineRule="auto"/>
              <w:jc w:val="right"/>
              <w:rPr>
                <w:rFonts w:ascii="Times New Roman" w:hAnsi="Times New Roman" w:cs="Times New Roman"/>
                <w:sz w:val="16"/>
                <w:szCs w:val="16"/>
                <w:lang w:val="en-US"/>
              </w:rPr>
            </w:pPr>
          </w:p>
        </w:tc>
        <w:tc>
          <w:tcPr>
            <w:tcW w:w="737" w:type="dxa"/>
            <w:tcBorders>
              <w:right w:val="dashed" w:sz="4" w:space="0" w:color="auto"/>
            </w:tcBorders>
            <w:shd w:val="clear" w:color="auto" w:fill="F2F2F2" w:themeFill="background1" w:themeFillShade="F2"/>
            <w:vAlign w:val="center"/>
          </w:tcPr>
          <w:p w14:paraId="117A704C" w14:textId="147A6C5C" w:rsidR="007A1BB7" w:rsidRPr="00D119AC" w:rsidRDefault="007A1BB7" w:rsidP="000E1366">
            <w:pPr>
              <w:widowControl w:val="0"/>
              <w:autoSpaceDE w:val="0"/>
              <w:autoSpaceDN w:val="0"/>
              <w:adjustRightInd w:val="0"/>
              <w:spacing w:after="0" w:line="240" w:lineRule="auto"/>
              <w:jc w:val="right"/>
              <w:rPr>
                <w:rFonts w:ascii="Times New Roman" w:hAnsi="Times New Roman" w:cs="Times New Roman"/>
                <w:sz w:val="16"/>
                <w:szCs w:val="16"/>
                <w:lang w:val="en-US"/>
              </w:rPr>
            </w:pPr>
            <w:r w:rsidRPr="00D119AC">
              <w:rPr>
                <w:rFonts w:ascii="Times New Roman" w:hAnsi="Times New Roman" w:cs="Times New Roman"/>
                <w:sz w:val="16"/>
                <w:szCs w:val="16"/>
                <w:lang w:val="en-US"/>
              </w:rPr>
              <w:t>0.304</w:t>
            </w:r>
          </w:p>
        </w:tc>
      </w:tr>
      <w:tr w:rsidR="007A1BB7" w:rsidRPr="00D119AC" w14:paraId="0C068CBC" w14:textId="77777777" w:rsidTr="0056300B">
        <w:trPr>
          <w:trHeight w:val="113"/>
        </w:trPr>
        <w:tc>
          <w:tcPr>
            <w:tcW w:w="2438" w:type="dxa"/>
            <w:tcBorders>
              <w:right w:val="dashed" w:sz="4" w:space="0" w:color="auto"/>
            </w:tcBorders>
            <w:vAlign w:val="center"/>
          </w:tcPr>
          <w:p w14:paraId="4096544C" w14:textId="2CBBACEE" w:rsidR="007A1BB7" w:rsidRPr="00D119AC" w:rsidRDefault="007A1BB7" w:rsidP="000E1366">
            <w:pPr>
              <w:widowControl w:val="0"/>
              <w:autoSpaceDE w:val="0"/>
              <w:autoSpaceDN w:val="0"/>
              <w:adjustRightInd w:val="0"/>
              <w:spacing w:after="0" w:line="240" w:lineRule="auto"/>
              <w:ind w:left="654"/>
              <w:rPr>
                <w:rFonts w:ascii="Times New Roman" w:hAnsi="Times New Roman" w:cs="Times New Roman"/>
                <w:b/>
                <w:sz w:val="16"/>
                <w:szCs w:val="16"/>
                <w:lang w:val="en-US"/>
              </w:rPr>
            </w:pPr>
            <w:r w:rsidRPr="00D119AC">
              <w:rPr>
                <w:rFonts w:ascii="Times New Roman" w:hAnsi="Times New Roman" w:cs="Times New Roman"/>
                <w:sz w:val="16"/>
                <w:szCs w:val="16"/>
                <w:lang w:val="en-US"/>
              </w:rPr>
              <w:t>Male</w:t>
            </w:r>
          </w:p>
        </w:tc>
        <w:tc>
          <w:tcPr>
            <w:tcW w:w="340" w:type="dxa"/>
            <w:tcBorders>
              <w:left w:val="dashed" w:sz="4" w:space="0" w:color="auto"/>
            </w:tcBorders>
            <w:vAlign w:val="center"/>
          </w:tcPr>
          <w:p w14:paraId="622CB037" w14:textId="5850AC26" w:rsidR="007A1BB7" w:rsidRPr="00D119AC" w:rsidRDefault="007A1BB7" w:rsidP="007A1BB7">
            <w:pPr>
              <w:widowControl w:val="0"/>
              <w:autoSpaceDE w:val="0"/>
              <w:autoSpaceDN w:val="0"/>
              <w:adjustRightInd w:val="0"/>
              <w:spacing w:after="0" w:line="240" w:lineRule="auto"/>
              <w:ind w:left="-118"/>
              <w:jc w:val="center"/>
              <w:rPr>
                <w:rFonts w:ascii="Times New Roman" w:hAnsi="Times New Roman" w:cs="Times New Roman"/>
                <w:sz w:val="16"/>
                <w:szCs w:val="16"/>
                <w:lang w:val="en-US"/>
              </w:rPr>
            </w:pPr>
            <w:r w:rsidRPr="00D119AC">
              <w:rPr>
                <w:rFonts w:ascii="Times New Roman" w:hAnsi="Times New Roman" w:cs="Times New Roman"/>
                <w:sz w:val="16"/>
                <w:szCs w:val="16"/>
                <w:lang w:val="en-US"/>
              </w:rPr>
              <w:t>20</w:t>
            </w:r>
          </w:p>
        </w:tc>
        <w:tc>
          <w:tcPr>
            <w:tcW w:w="1928" w:type="dxa"/>
            <w:gridSpan w:val="2"/>
            <w:tcBorders>
              <w:right w:val="dashed" w:sz="4" w:space="0" w:color="auto"/>
            </w:tcBorders>
            <w:vAlign w:val="center"/>
          </w:tcPr>
          <w:p w14:paraId="76543450" w14:textId="1F1ED6A2" w:rsidR="007A1BB7" w:rsidRPr="00D119AC" w:rsidRDefault="007A1BB7" w:rsidP="000E1366">
            <w:pPr>
              <w:widowControl w:val="0"/>
              <w:autoSpaceDE w:val="0"/>
              <w:autoSpaceDN w:val="0"/>
              <w:adjustRightInd w:val="0"/>
              <w:spacing w:after="0" w:line="240" w:lineRule="auto"/>
              <w:ind w:left="144"/>
              <w:rPr>
                <w:rFonts w:ascii="Times New Roman" w:hAnsi="Times New Roman" w:cs="Times New Roman"/>
                <w:sz w:val="16"/>
                <w:szCs w:val="16"/>
                <w:lang w:val="en-US"/>
              </w:rPr>
            </w:pPr>
            <w:r w:rsidRPr="00D119AC">
              <w:rPr>
                <w:rFonts w:ascii="Times New Roman" w:hAnsi="Times New Roman" w:cs="Times New Roman"/>
                <w:sz w:val="16"/>
                <w:szCs w:val="16"/>
                <w:lang w:val="en-US"/>
              </w:rPr>
              <w:t>7.9</w:t>
            </w:r>
            <w:r>
              <w:rPr>
                <w:rFonts w:ascii="Times New Roman" w:hAnsi="Times New Roman" w:cs="Times New Roman"/>
                <w:sz w:val="16"/>
                <w:szCs w:val="16"/>
                <w:lang w:val="en-US"/>
              </w:rPr>
              <w:t xml:space="preserve"> </w:t>
            </w:r>
            <w:r w:rsidRPr="00D119AC">
              <w:rPr>
                <w:rFonts w:ascii="Times New Roman" w:hAnsi="Times New Roman" w:cs="Times New Roman"/>
                <w:sz w:val="16"/>
                <w:szCs w:val="16"/>
                <w:lang w:val="en-US"/>
              </w:rPr>
              <w:t>(6.4-9.7)</w:t>
            </w:r>
          </w:p>
        </w:tc>
        <w:tc>
          <w:tcPr>
            <w:tcW w:w="397" w:type="dxa"/>
            <w:tcBorders>
              <w:left w:val="dashed" w:sz="4" w:space="0" w:color="auto"/>
            </w:tcBorders>
            <w:vAlign w:val="center"/>
          </w:tcPr>
          <w:p w14:paraId="1767CC36" w14:textId="75DC12BC" w:rsidR="007A1BB7" w:rsidRPr="00D119AC" w:rsidRDefault="007A1BB7" w:rsidP="007A1BB7">
            <w:pPr>
              <w:widowControl w:val="0"/>
              <w:autoSpaceDE w:val="0"/>
              <w:autoSpaceDN w:val="0"/>
              <w:adjustRightInd w:val="0"/>
              <w:spacing w:after="0" w:line="240" w:lineRule="auto"/>
              <w:jc w:val="center"/>
              <w:rPr>
                <w:rFonts w:ascii="Times New Roman" w:hAnsi="Times New Roman" w:cs="Times New Roman"/>
                <w:sz w:val="16"/>
                <w:szCs w:val="16"/>
                <w:lang w:val="en-US"/>
              </w:rPr>
            </w:pPr>
            <w:r w:rsidRPr="00D119AC">
              <w:rPr>
                <w:rFonts w:ascii="Times New Roman" w:hAnsi="Times New Roman" w:cs="Times New Roman"/>
                <w:sz w:val="16"/>
                <w:szCs w:val="16"/>
                <w:lang w:val="en-US"/>
              </w:rPr>
              <w:t>18</w:t>
            </w:r>
          </w:p>
        </w:tc>
        <w:tc>
          <w:tcPr>
            <w:tcW w:w="1758" w:type="dxa"/>
            <w:gridSpan w:val="2"/>
            <w:tcBorders>
              <w:right w:val="dashed" w:sz="4" w:space="0" w:color="auto"/>
            </w:tcBorders>
            <w:vAlign w:val="center"/>
          </w:tcPr>
          <w:p w14:paraId="422B23BB" w14:textId="1C95F290" w:rsidR="007A1BB7" w:rsidRPr="00D119AC" w:rsidRDefault="007A1BB7" w:rsidP="000E1366">
            <w:pPr>
              <w:widowControl w:val="0"/>
              <w:autoSpaceDE w:val="0"/>
              <w:autoSpaceDN w:val="0"/>
              <w:adjustRightInd w:val="0"/>
              <w:spacing w:after="0" w:line="240" w:lineRule="auto"/>
              <w:ind w:left="87"/>
              <w:rPr>
                <w:rFonts w:ascii="Times New Roman" w:hAnsi="Times New Roman" w:cs="Times New Roman"/>
                <w:sz w:val="16"/>
                <w:szCs w:val="16"/>
                <w:lang w:val="en-US"/>
              </w:rPr>
            </w:pPr>
            <w:r w:rsidRPr="00D119AC">
              <w:rPr>
                <w:rFonts w:ascii="Times New Roman" w:hAnsi="Times New Roman" w:cs="Times New Roman"/>
                <w:sz w:val="16"/>
                <w:szCs w:val="16"/>
                <w:lang w:val="en-US"/>
              </w:rPr>
              <w:t>12.5</w:t>
            </w:r>
            <w:r>
              <w:rPr>
                <w:rFonts w:ascii="Times New Roman" w:hAnsi="Times New Roman" w:cs="Times New Roman"/>
                <w:sz w:val="16"/>
                <w:szCs w:val="16"/>
                <w:lang w:val="en-US"/>
              </w:rPr>
              <w:t xml:space="preserve"> </w:t>
            </w:r>
            <w:r w:rsidRPr="00D119AC">
              <w:rPr>
                <w:rFonts w:ascii="Times New Roman" w:hAnsi="Times New Roman" w:cs="Times New Roman"/>
                <w:sz w:val="16"/>
                <w:szCs w:val="16"/>
                <w:lang w:val="en-US"/>
              </w:rPr>
              <w:t>(8.5-17.1)</w:t>
            </w:r>
          </w:p>
        </w:tc>
      </w:tr>
      <w:tr w:rsidR="007A1BB7" w:rsidRPr="00D119AC" w14:paraId="21E2E8B7" w14:textId="77777777" w:rsidTr="0056300B">
        <w:trPr>
          <w:trHeight w:val="113"/>
        </w:trPr>
        <w:tc>
          <w:tcPr>
            <w:tcW w:w="2438" w:type="dxa"/>
            <w:tcBorders>
              <w:right w:val="dashed" w:sz="4" w:space="0" w:color="auto"/>
            </w:tcBorders>
            <w:vAlign w:val="center"/>
          </w:tcPr>
          <w:p w14:paraId="4017F6E9" w14:textId="2095D0E5" w:rsidR="007A1BB7" w:rsidRPr="00D119AC" w:rsidRDefault="007A1BB7" w:rsidP="000E1366">
            <w:pPr>
              <w:widowControl w:val="0"/>
              <w:autoSpaceDE w:val="0"/>
              <w:autoSpaceDN w:val="0"/>
              <w:adjustRightInd w:val="0"/>
              <w:spacing w:after="0" w:line="240" w:lineRule="auto"/>
              <w:ind w:left="654"/>
              <w:rPr>
                <w:rFonts w:ascii="Times New Roman" w:hAnsi="Times New Roman" w:cs="Times New Roman"/>
                <w:b/>
                <w:sz w:val="16"/>
                <w:szCs w:val="16"/>
                <w:lang w:val="en-US"/>
              </w:rPr>
            </w:pPr>
            <w:r w:rsidRPr="00D119AC">
              <w:rPr>
                <w:rFonts w:ascii="Times New Roman" w:hAnsi="Times New Roman" w:cs="Times New Roman"/>
                <w:sz w:val="16"/>
                <w:szCs w:val="16"/>
                <w:lang w:val="en-US"/>
              </w:rPr>
              <w:t>Female</w:t>
            </w:r>
          </w:p>
        </w:tc>
        <w:tc>
          <w:tcPr>
            <w:tcW w:w="340" w:type="dxa"/>
            <w:tcBorders>
              <w:left w:val="dashed" w:sz="4" w:space="0" w:color="auto"/>
            </w:tcBorders>
            <w:vAlign w:val="center"/>
          </w:tcPr>
          <w:p w14:paraId="7268288D" w14:textId="29E91548" w:rsidR="007A1BB7" w:rsidRPr="00D119AC" w:rsidRDefault="007A1BB7" w:rsidP="007A1BB7">
            <w:pPr>
              <w:widowControl w:val="0"/>
              <w:autoSpaceDE w:val="0"/>
              <w:autoSpaceDN w:val="0"/>
              <w:adjustRightInd w:val="0"/>
              <w:spacing w:after="0" w:line="240" w:lineRule="auto"/>
              <w:ind w:left="-118"/>
              <w:jc w:val="center"/>
              <w:rPr>
                <w:rFonts w:ascii="Times New Roman" w:hAnsi="Times New Roman" w:cs="Times New Roman"/>
                <w:sz w:val="16"/>
                <w:szCs w:val="16"/>
                <w:lang w:val="en-US"/>
              </w:rPr>
            </w:pPr>
            <w:r w:rsidRPr="00D119AC">
              <w:rPr>
                <w:rFonts w:ascii="Times New Roman" w:hAnsi="Times New Roman" w:cs="Times New Roman"/>
                <w:sz w:val="16"/>
                <w:szCs w:val="16"/>
                <w:lang w:val="en-US"/>
              </w:rPr>
              <w:t>63</w:t>
            </w:r>
          </w:p>
        </w:tc>
        <w:tc>
          <w:tcPr>
            <w:tcW w:w="1928" w:type="dxa"/>
            <w:gridSpan w:val="2"/>
            <w:tcBorders>
              <w:right w:val="dashed" w:sz="4" w:space="0" w:color="auto"/>
            </w:tcBorders>
            <w:vAlign w:val="center"/>
          </w:tcPr>
          <w:p w14:paraId="20E8963F" w14:textId="55FCF077" w:rsidR="007A1BB7" w:rsidRPr="00D119AC" w:rsidRDefault="007A1BB7" w:rsidP="000E1366">
            <w:pPr>
              <w:widowControl w:val="0"/>
              <w:autoSpaceDE w:val="0"/>
              <w:autoSpaceDN w:val="0"/>
              <w:adjustRightInd w:val="0"/>
              <w:spacing w:after="0" w:line="240" w:lineRule="auto"/>
              <w:ind w:left="144"/>
              <w:rPr>
                <w:rFonts w:ascii="Times New Roman" w:hAnsi="Times New Roman" w:cs="Times New Roman"/>
                <w:sz w:val="16"/>
                <w:szCs w:val="16"/>
                <w:lang w:val="en-US"/>
              </w:rPr>
            </w:pPr>
            <w:r w:rsidRPr="00D119AC">
              <w:rPr>
                <w:rFonts w:ascii="Times New Roman" w:hAnsi="Times New Roman" w:cs="Times New Roman"/>
                <w:sz w:val="16"/>
                <w:szCs w:val="16"/>
                <w:lang w:val="en-US"/>
              </w:rPr>
              <w:t>8.8</w:t>
            </w:r>
            <w:r>
              <w:rPr>
                <w:rFonts w:ascii="Times New Roman" w:hAnsi="Times New Roman" w:cs="Times New Roman"/>
                <w:sz w:val="16"/>
                <w:szCs w:val="16"/>
                <w:lang w:val="en-US"/>
              </w:rPr>
              <w:t xml:space="preserve"> </w:t>
            </w:r>
            <w:r w:rsidRPr="00D119AC">
              <w:rPr>
                <w:rFonts w:ascii="Times New Roman" w:hAnsi="Times New Roman" w:cs="Times New Roman"/>
                <w:sz w:val="16"/>
                <w:szCs w:val="16"/>
                <w:lang w:val="en-US"/>
              </w:rPr>
              <w:t>(6.7-11.1)</w:t>
            </w:r>
          </w:p>
        </w:tc>
        <w:tc>
          <w:tcPr>
            <w:tcW w:w="397" w:type="dxa"/>
            <w:tcBorders>
              <w:left w:val="dashed" w:sz="4" w:space="0" w:color="auto"/>
            </w:tcBorders>
            <w:vAlign w:val="center"/>
          </w:tcPr>
          <w:p w14:paraId="15D8AD74" w14:textId="16C7BD9F" w:rsidR="007A1BB7" w:rsidRPr="00D119AC" w:rsidRDefault="007A1BB7" w:rsidP="007A1BB7">
            <w:pPr>
              <w:widowControl w:val="0"/>
              <w:autoSpaceDE w:val="0"/>
              <w:autoSpaceDN w:val="0"/>
              <w:adjustRightInd w:val="0"/>
              <w:spacing w:after="0" w:line="240" w:lineRule="auto"/>
              <w:jc w:val="center"/>
              <w:rPr>
                <w:rFonts w:ascii="Times New Roman" w:hAnsi="Times New Roman" w:cs="Times New Roman"/>
                <w:sz w:val="16"/>
                <w:szCs w:val="16"/>
                <w:lang w:val="en-US"/>
              </w:rPr>
            </w:pPr>
            <w:r w:rsidRPr="00D119AC">
              <w:rPr>
                <w:rFonts w:ascii="Times New Roman" w:hAnsi="Times New Roman" w:cs="Times New Roman"/>
                <w:sz w:val="16"/>
                <w:szCs w:val="16"/>
                <w:lang w:val="en-US"/>
              </w:rPr>
              <w:t>50</w:t>
            </w:r>
          </w:p>
        </w:tc>
        <w:tc>
          <w:tcPr>
            <w:tcW w:w="1758" w:type="dxa"/>
            <w:gridSpan w:val="2"/>
            <w:tcBorders>
              <w:right w:val="dashed" w:sz="4" w:space="0" w:color="auto"/>
            </w:tcBorders>
            <w:vAlign w:val="center"/>
          </w:tcPr>
          <w:p w14:paraId="34830851" w14:textId="447BF6CA" w:rsidR="007A1BB7" w:rsidRPr="00D119AC" w:rsidRDefault="007A1BB7" w:rsidP="000E1366">
            <w:pPr>
              <w:widowControl w:val="0"/>
              <w:autoSpaceDE w:val="0"/>
              <w:autoSpaceDN w:val="0"/>
              <w:adjustRightInd w:val="0"/>
              <w:spacing w:after="0" w:line="240" w:lineRule="auto"/>
              <w:ind w:left="87"/>
              <w:rPr>
                <w:rFonts w:ascii="Times New Roman" w:hAnsi="Times New Roman" w:cs="Times New Roman"/>
                <w:sz w:val="16"/>
                <w:szCs w:val="16"/>
                <w:lang w:val="en-US"/>
              </w:rPr>
            </w:pPr>
            <w:r w:rsidRPr="00D119AC">
              <w:rPr>
                <w:rFonts w:ascii="Times New Roman" w:hAnsi="Times New Roman" w:cs="Times New Roman"/>
                <w:sz w:val="16"/>
                <w:szCs w:val="16"/>
                <w:lang w:val="en-US"/>
              </w:rPr>
              <w:t>10.7</w:t>
            </w:r>
            <w:r>
              <w:rPr>
                <w:rFonts w:ascii="Times New Roman" w:hAnsi="Times New Roman" w:cs="Times New Roman"/>
                <w:sz w:val="16"/>
                <w:szCs w:val="16"/>
                <w:lang w:val="en-US"/>
              </w:rPr>
              <w:t xml:space="preserve"> </w:t>
            </w:r>
            <w:r w:rsidRPr="00D119AC">
              <w:rPr>
                <w:rFonts w:ascii="Times New Roman" w:hAnsi="Times New Roman" w:cs="Times New Roman"/>
                <w:sz w:val="16"/>
                <w:szCs w:val="16"/>
                <w:lang w:val="en-US"/>
              </w:rPr>
              <w:t>(7.9-14.0)</w:t>
            </w:r>
          </w:p>
        </w:tc>
      </w:tr>
      <w:tr w:rsidR="00AF0F5E" w:rsidRPr="00D119AC" w14:paraId="1A035BFC" w14:textId="77777777" w:rsidTr="00BD714C">
        <w:trPr>
          <w:trHeight w:val="113"/>
        </w:trPr>
        <w:tc>
          <w:tcPr>
            <w:tcW w:w="2438" w:type="dxa"/>
            <w:tcBorders>
              <w:right w:val="dashed" w:sz="4" w:space="0" w:color="auto"/>
            </w:tcBorders>
            <w:shd w:val="clear" w:color="auto" w:fill="F2F2F2" w:themeFill="background1" w:themeFillShade="F2"/>
            <w:vAlign w:val="center"/>
          </w:tcPr>
          <w:p w14:paraId="608CD04D" w14:textId="77777777" w:rsidR="00AF0F5E" w:rsidRPr="00326EBF" w:rsidRDefault="00AF0F5E" w:rsidP="00BD714C">
            <w:pPr>
              <w:widowControl w:val="0"/>
              <w:autoSpaceDE w:val="0"/>
              <w:autoSpaceDN w:val="0"/>
              <w:adjustRightInd w:val="0"/>
              <w:spacing w:after="0" w:line="240" w:lineRule="auto"/>
              <w:rPr>
                <w:rFonts w:ascii="Times New Roman" w:hAnsi="Times New Roman" w:cs="Times New Roman"/>
                <w:b/>
                <w:sz w:val="16"/>
                <w:szCs w:val="16"/>
                <w:lang w:val="en-US"/>
              </w:rPr>
            </w:pPr>
            <w:r w:rsidRPr="00326EBF">
              <w:rPr>
                <w:rFonts w:ascii="Times New Roman" w:hAnsi="Times New Roman" w:cs="Times New Roman"/>
                <w:b/>
                <w:sz w:val="16"/>
                <w:szCs w:val="16"/>
                <w:lang w:val="en-US"/>
              </w:rPr>
              <w:t>Age</w:t>
            </w:r>
          </w:p>
        </w:tc>
        <w:tc>
          <w:tcPr>
            <w:tcW w:w="340" w:type="dxa"/>
            <w:tcBorders>
              <w:left w:val="dashed" w:sz="4" w:space="0" w:color="auto"/>
            </w:tcBorders>
            <w:shd w:val="clear" w:color="auto" w:fill="F2F2F2" w:themeFill="background1" w:themeFillShade="F2"/>
            <w:vAlign w:val="center"/>
          </w:tcPr>
          <w:p w14:paraId="15201502" w14:textId="77777777" w:rsidR="00AF0F5E" w:rsidRPr="00D119AC" w:rsidRDefault="00AF0F5E" w:rsidP="00BD714C">
            <w:pPr>
              <w:widowControl w:val="0"/>
              <w:autoSpaceDE w:val="0"/>
              <w:autoSpaceDN w:val="0"/>
              <w:adjustRightInd w:val="0"/>
              <w:spacing w:after="0" w:line="240" w:lineRule="auto"/>
              <w:ind w:left="-118"/>
              <w:jc w:val="center"/>
              <w:rPr>
                <w:rFonts w:ascii="Times New Roman" w:hAnsi="Times New Roman" w:cs="Times New Roman"/>
                <w:sz w:val="16"/>
                <w:szCs w:val="16"/>
                <w:lang w:val="en-US"/>
              </w:rPr>
            </w:pPr>
          </w:p>
        </w:tc>
        <w:tc>
          <w:tcPr>
            <w:tcW w:w="1134" w:type="dxa"/>
            <w:shd w:val="clear" w:color="auto" w:fill="F2F2F2" w:themeFill="background1" w:themeFillShade="F2"/>
            <w:vAlign w:val="center"/>
          </w:tcPr>
          <w:p w14:paraId="0AD2AAF2" w14:textId="77777777" w:rsidR="00AF0F5E" w:rsidRPr="00D119AC" w:rsidRDefault="00AF0F5E" w:rsidP="00BD714C">
            <w:pPr>
              <w:widowControl w:val="0"/>
              <w:autoSpaceDE w:val="0"/>
              <w:autoSpaceDN w:val="0"/>
              <w:adjustRightInd w:val="0"/>
              <w:spacing w:after="0" w:line="240" w:lineRule="auto"/>
              <w:jc w:val="center"/>
              <w:rPr>
                <w:rFonts w:ascii="Times New Roman" w:hAnsi="Times New Roman" w:cs="Times New Roman"/>
                <w:sz w:val="16"/>
                <w:szCs w:val="16"/>
                <w:lang w:val="en-US"/>
              </w:rPr>
            </w:pPr>
          </w:p>
        </w:tc>
        <w:tc>
          <w:tcPr>
            <w:tcW w:w="794" w:type="dxa"/>
            <w:tcBorders>
              <w:right w:val="dashed" w:sz="4" w:space="0" w:color="auto"/>
            </w:tcBorders>
            <w:shd w:val="clear" w:color="auto" w:fill="F2F2F2" w:themeFill="background1" w:themeFillShade="F2"/>
            <w:vAlign w:val="center"/>
          </w:tcPr>
          <w:p w14:paraId="4EF4C8C0" w14:textId="77777777" w:rsidR="00AF0F5E" w:rsidRPr="00D119AC" w:rsidRDefault="00AF0F5E" w:rsidP="00BD714C">
            <w:pPr>
              <w:widowControl w:val="0"/>
              <w:autoSpaceDE w:val="0"/>
              <w:autoSpaceDN w:val="0"/>
              <w:adjustRightInd w:val="0"/>
              <w:spacing w:after="0" w:line="240" w:lineRule="auto"/>
              <w:jc w:val="right"/>
              <w:rPr>
                <w:rFonts w:ascii="Times New Roman" w:hAnsi="Times New Roman" w:cs="Times New Roman"/>
                <w:sz w:val="16"/>
                <w:szCs w:val="16"/>
                <w:lang w:val="en-US"/>
              </w:rPr>
            </w:pPr>
            <w:r w:rsidRPr="00CE1FC1">
              <w:rPr>
                <w:rFonts w:ascii="Times New Roman" w:hAnsi="Times New Roman" w:cs="Times New Roman"/>
                <w:color w:val="000000" w:themeColor="text1"/>
                <w:sz w:val="16"/>
                <w:szCs w:val="16"/>
                <w:lang w:val="en-US"/>
              </w:rPr>
              <w:t>0.258</w:t>
            </w:r>
          </w:p>
        </w:tc>
        <w:tc>
          <w:tcPr>
            <w:tcW w:w="397" w:type="dxa"/>
            <w:tcBorders>
              <w:left w:val="dashed" w:sz="4" w:space="0" w:color="auto"/>
            </w:tcBorders>
            <w:shd w:val="clear" w:color="auto" w:fill="F2F2F2" w:themeFill="background1" w:themeFillShade="F2"/>
            <w:vAlign w:val="center"/>
          </w:tcPr>
          <w:p w14:paraId="1FC6487E" w14:textId="77777777" w:rsidR="00AF0F5E" w:rsidRPr="00D119AC" w:rsidRDefault="00AF0F5E" w:rsidP="00BD714C">
            <w:pPr>
              <w:widowControl w:val="0"/>
              <w:autoSpaceDE w:val="0"/>
              <w:autoSpaceDN w:val="0"/>
              <w:adjustRightInd w:val="0"/>
              <w:spacing w:after="0" w:line="240" w:lineRule="auto"/>
              <w:jc w:val="right"/>
              <w:rPr>
                <w:rFonts w:ascii="Times New Roman" w:hAnsi="Times New Roman" w:cs="Times New Roman"/>
                <w:sz w:val="16"/>
                <w:szCs w:val="16"/>
                <w:lang w:val="en-US"/>
              </w:rPr>
            </w:pPr>
          </w:p>
        </w:tc>
        <w:tc>
          <w:tcPr>
            <w:tcW w:w="1021" w:type="dxa"/>
            <w:shd w:val="clear" w:color="auto" w:fill="F2F2F2" w:themeFill="background1" w:themeFillShade="F2"/>
            <w:vAlign w:val="center"/>
          </w:tcPr>
          <w:p w14:paraId="14D7BBFA" w14:textId="77777777" w:rsidR="00AF0F5E" w:rsidRPr="00D119AC" w:rsidRDefault="00AF0F5E" w:rsidP="00BD714C">
            <w:pPr>
              <w:widowControl w:val="0"/>
              <w:autoSpaceDE w:val="0"/>
              <w:autoSpaceDN w:val="0"/>
              <w:adjustRightInd w:val="0"/>
              <w:spacing w:after="0" w:line="240" w:lineRule="auto"/>
              <w:jc w:val="right"/>
              <w:rPr>
                <w:rFonts w:ascii="Times New Roman" w:hAnsi="Times New Roman" w:cs="Times New Roman"/>
                <w:sz w:val="16"/>
                <w:szCs w:val="16"/>
                <w:lang w:val="en-US"/>
              </w:rPr>
            </w:pPr>
          </w:p>
        </w:tc>
        <w:tc>
          <w:tcPr>
            <w:tcW w:w="737" w:type="dxa"/>
            <w:tcBorders>
              <w:right w:val="dashed" w:sz="4" w:space="0" w:color="auto"/>
            </w:tcBorders>
            <w:shd w:val="clear" w:color="auto" w:fill="F2F2F2" w:themeFill="background1" w:themeFillShade="F2"/>
            <w:vAlign w:val="center"/>
          </w:tcPr>
          <w:p w14:paraId="3353341F" w14:textId="77777777" w:rsidR="00AF0F5E" w:rsidRPr="00D119AC" w:rsidRDefault="00AF0F5E" w:rsidP="00BD714C">
            <w:pPr>
              <w:widowControl w:val="0"/>
              <w:autoSpaceDE w:val="0"/>
              <w:autoSpaceDN w:val="0"/>
              <w:adjustRightInd w:val="0"/>
              <w:spacing w:after="0" w:line="240" w:lineRule="auto"/>
              <w:jc w:val="right"/>
              <w:rPr>
                <w:rFonts w:ascii="Times New Roman" w:hAnsi="Times New Roman" w:cs="Times New Roman"/>
                <w:sz w:val="16"/>
                <w:szCs w:val="16"/>
                <w:lang w:val="en-US"/>
              </w:rPr>
            </w:pPr>
            <w:r w:rsidRPr="00CE1FC1">
              <w:rPr>
                <w:rFonts w:ascii="Times New Roman" w:hAnsi="Times New Roman" w:cs="Times New Roman"/>
                <w:color w:val="000000" w:themeColor="text1"/>
                <w:sz w:val="16"/>
                <w:szCs w:val="16"/>
                <w:lang w:val="en-US"/>
              </w:rPr>
              <w:t>0.480</w:t>
            </w:r>
          </w:p>
        </w:tc>
      </w:tr>
      <w:tr w:rsidR="00AF0F5E" w:rsidRPr="00D119AC" w14:paraId="7E7B871C" w14:textId="77777777" w:rsidTr="00BD714C">
        <w:trPr>
          <w:trHeight w:val="113"/>
        </w:trPr>
        <w:tc>
          <w:tcPr>
            <w:tcW w:w="2438" w:type="dxa"/>
            <w:tcBorders>
              <w:right w:val="dashed" w:sz="4" w:space="0" w:color="auto"/>
            </w:tcBorders>
            <w:vAlign w:val="center"/>
          </w:tcPr>
          <w:p w14:paraId="0DEC9A68" w14:textId="77777777" w:rsidR="00AF0F5E" w:rsidRPr="00326EBF" w:rsidRDefault="00AF0F5E" w:rsidP="00BD714C">
            <w:pPr>
              <w:widowControl w:val="0"/>
              <w:autoSpaceDE w:val="0"/>
              <w:autoSpaceDN w:val="0"/>
              <w:adjustRightInd w:val="0"/>
              <w:spacing w:after="0" w:line="240" w:lineRule="auto"/>
              <w:ind w:left="654"/>
              <w:rPr>
                <w:rFonts w:ascii="Times New Roman" w:hAnsi="Times New Roman" w:cs="Times New Roman"/>
                <w:b/>
                <w:sz w:val="16"/>
                <w:szCs w:val="16"/>
                <w:lang w:val="en-US"/>
              </w:rPr>
            </w:pPr>
            <w:r>
              <w:rPr>
                <w:rFonts w:ascii="Times New Roman" w:hAnsi="Times New Roman" w:cs="Times New Roman"/>
                <w:sz w:val="16"/>
                <w:szCs w:val="16"/>
                <w:lang w:val="en-US"/>
              </w:rPr>
              <w:t>≤ 52 years</w:t>
            </w:r>
          </w:p>
        </w:tc>
        <w:tc>
          <w:tcPr>
            <w:tcW w:w="340" w:type="dxa"/>
            <w:tcBorders>
              <w:left w:val="dashed" w:sz="4" w:space="0" w:color="auto"/>
            </w:tcBorders>
            <w:vAlign w:val="center"/>
          </w:tcPr>
          <w:p w14:paraId="48EC42AD" w14:textId="77777777" w:rsidR="00AF0F5E" w:rsidRPr="00D119AC" w:rsidRDefault="00AF0F5E" w:rsidP="00BD714C">
            <w:pPr>
              <w:widowControl w:val="0"/>
              <w:autoSpaceDE w:val="0"/>
              <w:autoSpaceDN w:val="0"/>
              <w:adjustRightInd w:val="0"/>
              <w:spacing w:after="0" w:line="240" w:lineRule="auto"/>
              <w:ind w:left="-118"/>
              <w:jc w:val="center"/>
              <w:rPr>
                <w:rFonts w:ascii="Times New Roman" w:hAnsi="Times New Roman" w:cs="Times New Roman"/>
                <w:sz w:val="16"/>
                <w:szCs w:val="16"/>
                <w:lang w:val="en-US"/>
              </w:rPr>
            </w:pPr>
            <w:r>
              <w:rPr>
                <w:rFonts w:ascii="Times New Roman" w:hAnsi="Times New Roman" w:cs="Times New Roman"/>
                <w:sz w:val="16"/>
                <w:szCs w:val="16"/>
                <w:lang w:val="en-US"/>
              </w:rPr>
              <w:t>43</w:t>
            </w:r>
          </w:p>
        </w:tc>
        <w:tc>
          <w:tcPr>
            <w:tcW w:w="1928" w:type="dxa"/>
            <w:gridSpan w:val="2"/>
            <w:tcBorders>
              <w:right w:val="dashed" w:sz="4" w:space="0" w:color="auto"/>
            </w:tcBorders>
            <w:vAlign w:val="center"/>
          </w:tcPr>
          <w:p w14:paraId="2AC6B7D9" w14:textId="77777777" w:rsidR="00AF0F5E" w:rsidRPr="00D119AC" w:rsidRDefault="00AF0F5E" w:rsidP="00BD714C">
            <w:pPr>
              <w:widowControl w:val="0"/>
              <w:autoSpaceDE w:val="0"/>
              <w:autoSpaceDN w:val="0"/>
              <w:adjustRightInd w:val="0"/>
              <w:spacing w:after="0" w:line="240" w:lineRule="auto"/>
              <w:ind w:left="144"/>
              <w:rPr>
                <w:rFonts w:ascii="Times New Roman" w:hAnsi="Times New Roman" w:cs="Times New Roman"/>
                <w:sz w:val="16"/>
                <w:szCs w:val="16"/>
                <w:lang w:val="en-US"/>
              </w:rPr>
            </w:pPr>
            <w:r>
              <w:rPr>
                <w:rFonts w:ascii="Times New Roman" w:hAnsi="Times New Roman" w:cs="Times New Roman"/>
                <w:sz w:val="16"/>
                <w:szCs w:val="16"/>
                <w:lang w:val="en-US"/>
              </w:rPr>
              <w:t>7.7 (6.4-10.4)</w:t>
            </w:r>
          </w:p>
        </w:tc>
        <w:tc>
          <w:tcPr>
            <w:tcW w:w="397" w:type="dxa"/>
            <w:tcBorders>
              <w:left w:val="dashed" w:sz="4" w:space="0" w:color="auto"/>
            </w:tcBorders>
            <w:vAlign w:val="center"/>
          </w:tcPr>
          <w:p w14:paraId="2487C0DF" w14:textId="77777777" w:rsidR="00AF0F5E" w:rsidRPr="00D119AC" w:rsidRDefault="00AF0F5E" w:rsidP="00BD714C">
            <w:pPr>
              <w:widowControl w:val="0"/>
              <w:autoSpaceDE w:val="0"/>
              <w:autoSpaceDN w:val="0"/>
              <w:adjustRightInd w:val="0"/>
              <w:spacing w:after="0" w:line="240" w:lineRule="auto"/>
              <w:jc w:val="center"/>
              <w:rPr>
                <w:rFonts w:ascii="Times New Roman" w:hAnsi="Times New Roman" w:cs="Times New Roman"/>
                <w:sz w:val="16"/>
                <w:szCs w:val="16"/>
                <w:lang w:val="en-US"/>
              </w:rPr>
            </w:pPr>
            <w:r w:rsidRPr="00CE1FC1">
              <w:rPr>
                <w:rFonts w:ascii="Times New Roman" w:hAnsi="Times New Roman" w:cs="Times New Roman"/>
                <w:color w:val="000000" w:themeColor="text1"/>
                <w:sz w:val="16"/>
                <w:szCs w:val="16"/>
                <w:lang w:val="en-US"/>
              </w:rPr>
              <w:t>32</w:t>
            </w:r>
          </w:p>
        </w:tc>
        <w:tc>
          <w:tcPr>
            <w:tcW w:w="1758" w:type="dxa"/>
            <w:gridSpan w:val="2"/>
            <w:tcBorders>
              <w:right w:val="dashed" w:sz="4" w:space="0" w:color="auto"/>
            </w:tcBorders>
            <w:vAlign w:val="center"/>
          </w:tcPr>
          <w:p w14:paraId="06FEF7F8" w14:textId="77777777" w:rsidR="00AF0F5E" w:rsidRPr="00D119AC" w:rsidRDefault="00AF0F5E" w:rsidP="00BD714C">
            <w:pPr>
              <w:widowControl w:val="0"/>
              <w:autoSpaceDE w:val="0"/>
              <w:autoSpaceDN w:val="0"/>
              <w:adjustRightInd w:val="0"/>
              <w:spacing w:after="0" w:line="240" w:lineRule="auto"/>
              <w:ind w:left="87"/>
              <w:rPr>
                <w:rFonts w:ascii="Times New Roman" w:hAnsi="Times New Roman" w:cs="Times New Roman"/>
                <w:sz w:val="16"/>
                <w:szCs w:val="16"/>
                <w:lang w:val="en-US"/>
              </w:rPr>
            </w:pPr>
            <w:r w:rsidRPr="00CE1FC1">
              <w:rPr>
                <w:rFonts w:ascii="Times New Roman" w:hAnsi="Times New Roman" w:cs="Times New Roman"/>
                <w:color w:val="000000" w:themeColor="text1"/>
                <w:sz w:val="16"/>
                <w:szCs w:val="16"/>
                <w:lang w:val="en-US"/>
              </w:rPr>
              <w:t>10.5</w:t>
            </w:r>
            <w:r>
              <w:rPr>
                <w:rFonts w:ascii="Times New Roman" w:hAnsi="Times New Roman" w:cs="Times New Roman"/>
                <w:color w:val="000000" w:themeColor="text1"/>
                <w:sz w:val="16"/>
                <w:szCs w:val="16"/>
                <w:lang w:val="en-US"/>
              </w:rPr>
              <w:t xml:space="preserve"> </w:t>
            </w:r>
            <w:r w:rsidRPr="00CE1FC1">
              <w:rPr>
                <w:rFonts w:ascii="Times New Roman" w:hAnsi="Times New Roman" w:cs="Times New Roman"/>
                <w:color w:val="000000" w:themeColor="text1"/>
                <w:sz w:val="16"/>
                <w:szCs w:val="16"/>
                <w:lang w:val="en-US"/>
              </w:rPr>
              <w:t>(7.9-13.5)</w:t>
            </w:r>
          </w:p>
        </w:tc>
      </w:tr>
      <w:tr w:rsidR="00452352" w:rsidRPr="00452352" w14:paraId="0E7661C2" w14:textId="77777777" w:rsidTr="00BD714C">
        <w:trPr>
          <w:trHeight w:val="113"/>
        </w:trPr>
        <w:tc>
          <w:tcPr>
            <w:tcW w:w="2438" w:type="dxa"/>
            <w:tcBorders>
              <w:right w:val="dashed" w:sz="4" w:space="0" w:color="auto"/>
            </w:tcBorders>
            <w:vAlign w:val="center"/>
          </w:tcPr>
          <w:p w14:paraId="63FB28D8" w14:textId="77777777" w:rsidR="00AF0F5E" w:rsidRPr="00452352" w:rsidRDefault="00AF0F5E" w:rsidP="00BD714C">
            <w:pPr>
              <w:widowControl w:val="0"/>
              <w:autoSpaceDE w:val="0"/>
              <w:autoSpaceDN w:val="0"/>
              <w:adjustRightInd w:val="0"/>
              <w:spacing w:after="0" w:line="240" w:lineRule="auto"/>
              <w:ind w:left="654"/>
              <w:rPr>
                <w:rFonts w:ascii="Times New Roman" w:hAnsi="Times New Roman" w:cs="Times New Roman"/>
                <w:b/>
                <w:color w:val="000000" w:themeColor="text1"/>
                <w:sz w:val="16"/>
                <w:szCs w:val="16"/>
                <w:lang w:val="en-US"/>
              </w:rPr>
            </w:pPr>
            <w:r w:rsidRPr="00452352">
              <w:rPr>
                <w:rFonts w:ascii="Times New Roman" w:hAnsi="Times New Roman" w:cs="Times New Roman"/>
                <w:color w:val="000000" w:themeColor="text1"/>
                <w:sz w:val="16"/>
                <w:szCs w:val="16"/>
                <w:lang w:val="en-US"/>
              </w:rPr>
              <w:t>&gt; 52 years</w:t>
            </w:r>
          </w:p>
        </w:tc>
        <w:tc>
          <w:tcPr>
            <w:tcW w:w="340" w:type="dxa"/>
            <w:tcBorders>
              <w:left w:val="dashed" w:sz="4" w:space="0" w:color="auto"/>
            </w:tcBorders>
            <w:vAlign w:val="center"/>
          </w:tcPr>
          <w:p w14:paraId="355AC10F" w14:textId="77777777" w:rsidR="00AF0F5E" w:rsidRPr="00452352" w:rsidRDefault="00AF0F5E" w:rsidP="00BD714C">
            <w:pPr>
              <w:widowControl w:val="0"/>
              <w:autoSpaceDE w:val="0"/>
              <w:autoSpaceDN w:val="0"/>
              <w:adjustRightInd w:val="0"/>
              <w:spacing w:after="0" w:line="240" w:lineRule="auto"/>
              <w:ind w:left="-118"/>
              <w:jc w:val="center"/>
              <w:rPr>
                <w:rFonts w:ascii="Times New Roman" w:hAnsi="Times New Roman" w:cs="Times New Roman"/>
                <w:color w:val="000000" w:themeColor="text1"/>
                <w:sz w:val="16"/>
                <w:szCs w:val="16"/>
                <w:lang w:val="en-US"/>
              </w:rPr>
            </w:pPr>
            <w:r w:rsidRPr="00452352">
              <w:rPr>
                <w:rFonts w:ascii="Times New Roman" w:hAnsi="Times New Roman" w:cs="Times New Roman"/>
                <w:color w:val="000000" w:themeColor="text1"/>
                <w:sz w:val="16"/>
                <w:szCs w:val="16"/>
                <w:lang w:val="en-US"/>
              </w:rPr>
              <w:t>40</w:t>
            </w:r>
          </w:p>
        </w:tc>
        <w:tc>
          <w:tcPr>
            <w:tcW w:w="1928" w:type="dxa"/>
            <w:gridSpan w:val="2"/>
            <w:tcBorders>
              <w:right w:val="dashed" w:sz="4" w:space="0" w:color="auto"/>
            </w:tcBorders>
            <w:vAlign w:val="center"/>
          </w:tcPr>
          <w:p w14:paraId="75AD2713" w14:textId="77777777" w:rsidR="00AF0F5E" w:rsidRPr="00452352" w:rsidRDefault="00AF0F5E" w:rsidP="00BD714C">
            <w:pPr>
              <w:widowControl w:val="0"/>
              <w:autoSpaceDE w:val="0"/>
              <w:autoSpaceDN w:val="0"/>
              <w:adjustRightInd w:val="0"/>
              <w:spacing w:after="0" w:line="240" w:lineRule="auto"/>
              <w:ind w:left="144"/>
              <w:rPr>
                <w:rFonts w:ascii="Times New Roman" w:hAnsi="Times New Roman" w:cs="Times New Roman"/>
                <w:color w:val="000000" w:themeColor="text1"/>
                <w:sz w:val="16"/>
                <w:szCs w:val="16"/>
                <w:lang w:val="en-US"/>
              </w:rPr>
            </w:pPr>
            <w:r w:rsidRPr="00452352">
              <w:rPr>
                <w:rFonts w:ascii="Times New Roman" w:hAnsi="Times New Roman" w:cs="Times New Roman"/>
                <w:color w:val="000000" w:themeColor="text1"/>
                <w:sz w:val="16"/>
                <w:szCs w:val="16"/>
                <w:lang w:val="en-US"/>
              </w:rPr>
              <w:t>9.1 (6.9-12.1)</w:t>
            </w:r>
          </w:p>
        </w:tc>
        <w:tc>
          <w:tcPr>
            <w:tcW w:w="397" w:type="dxa"/>
            <w:tcBorders>
              <w:left w:val="dashed" w:sz="4" w:space="0" w:color="auto"/>
            </w:tcBorders>
            <w:vAlign w:val="center"/>
          </w:tcPr>
          <w:p w14:paraId="0EC100D0" w14:textId="77777777" w:rsidR="00AF0F5E" w:rsidRPr="00452352" w:rsidRDefault="00AF0F5E" w:rsidP="00BD714C">
            <w:pPr>
              <w:widowControl w:val="0"/>
              <w:autoSpaceDE w:val="0"/>
              <w:autoSpaceDN w:val="0"/>
              <w:adjustRightInd w:val="0"/>
              <w:spacing w:after="0" w:line="240" w:lineRule="auto"/>
              <w:jc w:val="center"/>
              <w:rPr>
                <w:rFonts w:ascii="Times New Roman" w:hAnsi="Times New Roman" w:cs="Times New Roman"/>
                <w:color w:val="000000" w:themeColor="text1"/>
                <w:sz w:val="16"/>
                <w:szCs w:val="16"/>
                <w:lang w:val="en-US"/>
              </w:rPr>
            </w:pPr>
            <w:r w:rsidRPr="00452352">
              <w:rPr>
                <w:rFonts w:ascii="Times New Roman" w:hAnsi="Times New Roman" w:cs="Times New Roman"/>
                <w:color w:val="000000" w:themeColor="text1"/>
                <w:sz w:val="16"/>
                <w:szCs w:val="16"/>
                <w:lang w:val="en-US"/>
              </w:rPr>
              <w:t>36</w:t>
            </w:r>
          </w:p>
        </w:tc>
        <w:tc>
          <w:tcPr>
            <w:tcW w:w="1758" w:type="dxa"/>
            <w:gridSpan w:val="2"/>
            <w:tcBorders>
              <w:right w:val="dashed" w:sz="4" w:space="0" w:color="auto"/>
            </w:tcBorders>
            <w:vAlign w:val="center"/>
          </w:tcPr>
          <w:p w14:paraId="1D48D740" w14:textId="77777777" w:rsidR="00AF0F5E" w:rsidRPr="00452352" w:rsidRDefault="00AF0F5E" w:rsidP="00BD714C">
            <w:pPr>
              <w:widowControl w:val="0"/>
              <w:autoSpaceDE w:val="0"/>
              <w:autoSpaceDN w:val="0"/>
              <w:adjustRightInd w:val="0"/>
              <w:spacing w:after="0" w:line="240" w:lineRule="auto"/>
              <w:ind w:left="87"/>
              <w:rPr>
                <w:rFonts w:ascii="Times New Roman" w:hAnsi="Times New Roman" w:cs="Times New Roman"/>
                <w:color w:val="000000" w:themeColor="text1"/>
                <w:sz w:val="16"/>
                <w:szCs w:val="16"/>
                <w:lang w:val="en-US"/>
              </w:rPr>
            </w:pPr>
            <w:r w:rsidRPr="00452352">
              <w:rPr>
                <w:rFonts w:ascii="Times New Roman" w:hAnsi="Times New Roman" w:cs="Times New Roman"/>
                <w:color w:val="000000" w:themeColor="text1"/>
                <w:sz w:val="16"/>
                <w:szCs w:val="16"/>
                <w:lang w:val="en-US"/>
              </w:rPr>
              <w:t>11.6 (8.5-15.7)</w:t>
            </w:r>
          </w:p>
        </w:tc>
      </w:tr>
      <w:tr w:rsidR="00452352" w:rsidRPr="00452352" w14:paraId="6C7A5B52" w14:textId="77777777" w:rsidTr="0056300B">
        <w:trPr>
          <w:trHeight w:val="113"/>
        </w:trPr>
        <w:tc>
          <w:tcPr>
            <w:tcW w:w="2438" w:type="dxa"/>
            <w:tcBorders>
              <w:right w:val="dashed" w:sz="4" w:space="0" w:color="auto"/>
            </w:tcBorders>
            <w:shd w:val="clear" w:color="auto" w:fill="F2F2F2" w:themeFill="background1" w:themeFillShade="F2"/>
            <w:vAlign w:val="center"/>
          </w:tcPr>
          <w:p w14:paraId="3110BC3A" w14:textId="63F12DB3" w:rsidR="007A1BB7" w:rsidRPr="00452352" w:rsidRDefault="00AF0F5E" w:rsidP="007A1BB7">
            <w:pPr>
              <w:widowControl w:val="0"/>
              <w:autoSpaceDE w:val="0"/>
              <w:autoSpaceDN w:val="0"/>
              <w:adjustRightInd w:val="0"/>
              <w:spacing w:after="0" w:line="240" w:lineRule="auto"/>
              <w:rPr>
                <w:rFonts w:ascii="Times New Roman" w:hAnsi="Times New Roman" w:cs="Times New Roman"/>
                <w:b/>
                <w:color w:val="000000" w:themeColor="text1"/>
                <w:sz w:val="16"/>
                <w:szCs w:val="16"/>
                <w:lang w:val="en-US"/>
              </w:rPr>
            </w:pPr>
            <w:r w:rsidRPr="00452352">
              <w:rPr>
                <w:rFonts w:ascii="Times New Roman" w:hAnsi="Times New Roman" w:cs="Times New Roman"/>
                <w:b/>
                <w:color w:val="000000" w:themeColor="text1"/>
                <w:sz w:val="16"/>
                <w:szCs w:val="16"/>
                <w:lang w:val="en-US"/>
              </w:rPr>
              <w:t>Arterial hypertension</w:t>
            </w:r>
          </w:p>
        </w:tc>
        <w:tc>
          <w:tcPr>
            <w:tcW w:w="340" w:type="dxa"/>
            <w:tcBorders>
              <w:left w:val="dashed" w:sz="4" w:space="0" w:color="auto"/>
            </w:tcBorders>
            <w:shd w:val="clear" w:color="auto" w:fill="F2F2F2" w:themeFill="background1" w:themeFillShade="F2"/>
            <w:vAlign w:val="center"/>
          </w:tcPr>
          <w:p w14:paraId="6A11CED1" w14:textId="77777777" w:rsidR="007A1BB7" w:rsidRPr="00452352" w:rsidRDefault="007A1BB7" w:rsidP="007A1BB7">
            <w:pPr>
              <w:widowControl w:val="0"/>
              <w:autoSpaceDE w:val="0"/>
              <w:autoSpaceDN w:val="0"/>
              <w:adjustRightInd w:val="0"/>
              <w:spacing w:after="0" w:line="240" w:lineRule="auto"/>
              <w:ind w:left="-118"/>
              <w:jc w:val="center"/>
              <w:rPr>
                <w:rFonts w:ascii="Times New Roman" w:hAnsi="Times New Roman" w:cs="Times New Roman"/>
                <w:color w:val="000000" w:themeColor="text1"/>
                <w:sz w:val="16"/>
                <w:szCs w:val="16"/>
                <w:lang w:val="en-US"/>
              </w:rPr>
            </w:pPr>
          </w:p>
        </w:tc>
        <w:tc>
          <w:tcPr>
            <w:tcW w:w="1134" w:type="dxa"/>
            <w:shd w:val="clear" w:color="auto" w:fill="F2F2F2" w:themeFill="background1" w:themeFillShade="F2"/>
            <w:vAlign w:val="center"/>
          </w:tcPr>
          <w:p w14:paraId="48380849" w14:textId="77777777" w:rsidR="007A1BB7" w:rsidRPr="00452352" w:rsidRDefault="007A1BB7" w:rsidP="007A1BB7">
            <w:pPr>
              <w:widowControl w:val="0"/>
              <w:autoSpaceDE w:val="0"/>
              <w:autoSpaceDN w:val="0"/>
              <w:adjustRightInd w:val="0"/>
              <w:spacing w:after="0" w:line="240" w:lineRule="auto"/>
              <w:jc w:val="center"/>
              <w:rPr>
                <w:rFonts w:ascii="Times New Roman" w:hAnsi="Times New Roman" w:cs="Times New Roman"/>
                <w:color w:val="000000" w:themeColor="text1"/>
                <w:sz w:val="16"/>
                <w:szCs w:val="16"/>
                <w:lang w:val="en-US"/>
              </w:rPr>
            </w:pPr>
          </w:p>
        </w:tc>
        <w:tc>
          <w:tcPr>
            <w:tcW w:w="794" w:type="dxa"/>
            <w:tcBorders>
              <w:right w:val="dashed" w:sz="4" w:space="0" w:color="auto"/>
            </w:tcBorders>
            <w:shd w:val="clear" w:color="auto" w:fill="F2F2F2" w:themeFill="background1" w:themeFillShade="F2"/>
            <w:vAlign w:val="center"/>
          </w:tcPr>
          <w:p w14:paraId="28A2A2A0" w14:textId="44CA9263" w:rsidR="007A1BB7" w:rsidRPr="00452352" w:rsidRDefault="007A1BB7" w:rsidP="000E1366">
            <w:pPr>
              <w:widowControl w:val="0"/>
              <w:autoSpaceDE w:val="0"/>
              <w:autoSpaceDN w:val="0"/>
              <w:adjustRightInd w:val="0"/>
              <w:spacing w:after="0" w:line="240" w:lineRule="auto"/>
              <w:jc w:val="right"/>
              <w:rPr>
                <w:rFonts w:ascii="Times New Roman" w:hAnsi="Times New Roman" w:cs="Times New Roman"/>
                <w:color w:val="000000" w:themeColor="text1"/>
                <w:sz w:val="16"/>
                <w:szCs w:val="16"/>
                <w:lang w:val="en-US"/>
              </w:rPr>
            </w:pPr>
            <w:r w:rsidRPr="00452352">
              <w:rPr>
                <w:rFonts w:ascii="Times New Roman" w:hAnsi="Times New Roman" w:cs="Times New Roman"/>
                <w:color w:val="000000" w:themeColor="text1"/>
                <w:sz w:val="16"/>
                <w:szCs w:val="16"/>
                <w:lang w:val="en-US"/>
              </w:rPr>
              <w:t>0.</w:t>
            </w:r>
            <w:r w:rsidR="00246C1F" w:rsidRPr="00452352">
              <w:rPr>
                <w:rFonts w:ascii="Times New Roman" w:hAnsi="Times New Roman" w:cs="Times New Roman"/>
                <w:color w:val="000000" w:themeColor="text1"/>
                <w:sz w:val="16"/>
                <w:szCs w:val="16"/>
                <w:lang w:val="en-US"/>
              </w:rPr>
              <w:t>235</w:t>
            </w:r>
          </w:p>
        </w:tc>
        <w:tc>
          <w:tcPr>
            <w:tcW w:w="397" w:type="dxa"/>
            <w:tcBorders>
              <w:left w:val="dashed" w:sz="4" w:space="0" w:color="auto"/>
            </w:tcBorders>
            <w:shd w:val="clear" w:color="auto" w:fill="F2F2F2" w:themeFill="background1" w:themeFillShade="F2"/>
            <w:vAlign w:val="center"/>
          </w:tcPr>
          <w:p w14:paraId="0245A042" w14:textId="77777777" w:rsidR="007A1BB7" w:rsidRPr="00452352" w:rsidRDefault="007A1BB7" w:rsidP="000E1366">
            <w:pPr>
              <w:widowControl w:val="0"/>
              <w:autoSpaceDE w:val="0"/>
              <w:autoSpaceDN w:val="0"/>
              <w:adjustRightInd w:val="0"/>
              <w:spacing w:after="0" w:line="240" w:lineRule="auto"/>
              <w:jc w:val="right"/>
              <w:rPr>
                <w:rFonts w:ascii="Times New Roman" w:hAnsi="Times New Roman" w:cs="Times New Roman"/>
                <w:color w:val="000000" w:themeColor="text1"/>
                <w:sz w:val="16"/>
                <w:szCs w:val="16"/>
                <w:lang w:val="en-US"/>
              </w:rPr>
            </w:pPr>
          </w:p>
        </w:tc>
        <w:tc>
          <w:tcPr>
            <w:tcW w:w="1021" w:type="dxa"/>
            <w:shd w:val="clear" w:color="auto" w:fill="F2F2F2" w:themeFill="background1" w:themeFillShade="F2"/>
            <w:vAlign w:val="center"/>
          </w:tcPr>
          <w:p w14:paraId="4421A612" w14:textId="77777777" w:rsidR="007A1BB7" w:rsidRPr="00452352" w:rsidRDefault="007A1BB7" w:rsidP="000E1366">
            <w:pPr>
              <w:widowControl w:val="0"/>
              <w:autoSpaceDE w:val="0"/>
              <w:autoSpaceDN w:val="0"/>
              <w:adjustRightInd w:val="0"/>
              <w:spacing w:after="0" w:line="240" w:lineRule="auto"/>
              <w:jc w:val="right"/>
              <w:rPr>
                <w:rFonts w:ascii="Times New Roman" w:hAnsi="Times New Roman" w:cs="Times New Roman"/>
                <w:color w:val="000000" w:themeColor="text1"/>
                <w:sz w:val="16"/>
                <w:szCs w:val="16"/>
                <w:lang w:val="en-US"/>
              </w:rPr>
            </w:pPr>
          </w:p>
        </w:tc>
        <w:tc>
          <w:tcPr>
            <w:tcW w:w="737" w:type="dxa"/>
            <w:tcBorders>
              <w:right w:val="dashed" w:sz="4" w:space="0" w:color="auto"/>
            </w:tcBorders>
            <w:shd w:val="clear" w:color="auto" w:fill="F2F2F2" w:themeFill="background1" w:themeFillShade="F2"/>
            <w:vAlign w:val="center"/>
          </w:tcPr>
          <w:p w14:paraId="59ECCCD1" w14:textId="299DB855" w:rsidR="007A1BB7" w:rsidRPr="00452352" w:rsidRDefault="007A1BB7" w:rsidP="000E1366">
            <w:pPr>
              <w:widowControl w:val="0"/>
              <w:autoSpaceDE w:val="0"/>
              <w:autoSpaceDN w:val="0"/>
              <w:adjustRightInd w:val="0"/>
              <w:spacing w:after="0" w:line="240" w:lineRule="auto"/>
              <w:jc w:val="right"/>
              <w:rPr>
                <w:rFonts w:ascii="Times New Roman" w:hAnsi="Times New Roman" w:cs="Times New Roman"/>
                <w:color w:val="000000" w:themeColor="text1"/>
                <w:sz w:val="16"/>
                <w:szCs w:val="16"/>
                <w:lang w:val="en-US"/>
              </w:rPr>
            </w:pPr>
            <w:r w:rsidRPr="00452352">
              <w:rPr>
                <w:rFonts w:ascii="Times New Roman" w:hAnsi="Times New Roman" w:cs="Times New Roman"/>
                <w:color w:val="000000" w:themeColor="text1"/>
                <w:sz w:val="16"/>
                <w:szCs w:val="16"/>
                <w:lang w:val="en-US"/>
              </w:rPr>
              <w:t>0.</w:t>
            </w:r>
            <w:r w:rsidR="00246C1F" w:rsidRPr="00452352">
              <w:rPr>
                <w:rFonts w:ascii="Times New Roman" w:hAnsi="Times New Roman" w:cs="Times New Roman"/>
                <w:color w:val="000000" w:themeColor="text1"/>
                <w:sz w:val="16"/>
                <w:szCs w:val="16"/>
                <w:lang w:val="en-US"/>
              </w:rPr>
              <w:t>717</w:t>
            </w:r>
          </w:p>
        </w:tc>
      </w:tr>
      <w:tr w:rsidR="00452352" w:rsidRPr="00452352" w14:paraId="590D6ADF" w14:textId="77777777" w:rsidTr="0056300B">
        <w:trPr>
          <w:trHeight w:val="113"/>
        </w:trPr>
        <w:tc>
          <w:tcPr>
            <w:tcW w:w="2438" w:type="dxa"/>
            <w:tcBorders>
              <w:right w:val="dashed" w:sz="4" w:space="0" w:color="auto"/>
            </w:tcBorders>
            <w:vAlign w:val="center"/>
          </w:tcPr>
          <w:p w14:paraId="0CC60BA2" w14:textId="23F95445" w:rsidR="007A1BB7" w:rsidRPr="00452352" w:rsidRDefault="00AF0F5E" w:rsidP="000E1366">
            <w:pPr>
              <w:widowControl w:val="0"/>
              <w:autoSpaceDE w:val="0"/>
              <w:autoSpaceDN w:val="0"/>
              <w:adjustRightInd w:val="0"/>
              <w:spacing w:after="0" w:line="240" w:lineRule="auto"/>
              <w:ind w:left="654"/>
              <w:rPr>
                <w:rFonts w:ascii="Times New Roman" w:hAnsi="Times New Roman" w:cs="Times New Roman"/>
                <w:b/>
                <w:color w:val="000000" w:themeColor="text1"/>
                <w:sz w:val="16"/>
                <w:szCs w:val="16"/>
                <w:lang w:val="en-US"/>
              </w:rPr>
            </w:pPr>
            <w:r w:rsidRPr="00452352">
              <w:rPr>
                <w:rFonts w:ascii="Times New Roman" w:hAnsi="Times New Roman" w:cs="Times New Roman"/>
                <w:color w:val="000000" w:themeColor="text1"/>
                <w:sz w:val="16"/>
                <w:szCs w:val="16"/>
                <w:lang w:val="en-US"/>
              </w:rPr>
              <w:t>No</w:t>
            </w:r>
          </w:p>
        </w:tc>
        <w:tc>
          <w:tcPr>
            <w:tcW w:w="340" w:type="dxa"/>
            <w:tcBorders>
              <w:left w:val="dashed" w:sz="4" w:space="0" w:color="auto"/>
            </w:tcBorders>
            <w:vAlign w:val="center"/>
          </w:tcPr>
          <w:p w14:paraId="24B8FDE6" w14:textId="6FF04583" w:rsidR="007A1BB7" w:rsidRPr="00452352" w:rsidRDefault="00AF0F5E" w:rsidP="007A1BB7">
            <w:pPr>
              <w:widowControl w:val="0"/>
              <w:autoSpaceDE w:val="0"/>
              <w:autoSpaceDN w:val="0"/>
              <w:adjustRightInd w:val="0"/>
              <w:spacing w:after="0" w:line="240" w:lineRule="auto"/>
              <w:ind w:left="-118"/>
              <w:jc w:val="center"/>
              <w:rPr>
                <w:rFonts w:ascii="Times New Roman" w:hAnsi="Times New Roman" w:cs="Times New Roman"/>
                <w:color w:val="000000" w:themeColor="text1"/>
                <w:sz w:val="16"/>
                <w:szCs w:val="16"/>
                <w:lang w:val="en-US"/>
              </w:rPr>
            </w:pPr>
            <w:r w:rsidRPr="00452352">
              <w:rPr>
                <w:rFonts w:ascii="Times New Roman" w:hAnsi="Times New Roman" w:cs="Times New Roman"/>
                <w:color w:val="000000" w:themeColor="text1"/>
                <w:sz w:val="16"/>
                <w:szCs w:val="16"/>
                <w:lang w:val="en-US"/>
              </w:rPr>
              <w:t>50</w:t>
            </w:r>
          </w:p>
        </w:tc>
        <w:tc>
          <w:tcPr>
            <w:tcW w:w="1928" w:type="dxa"/>
            <w:gridSpan w:val="2"/>
            <w:tcBorders>
              <w:right w:val="dashed" w:sz="4" w:space="0" w:color="auto"/>
            </w:tcBorders>
            <w:vAlign w:val="center"/>
          </w:tcPr>
          <w:p w14:paraId="2B968F29" w14:textId="2A4CDE80" w:rsidR="007A1BB7" w:rsidRPr="00452352" w:rsidRDefault="00AF0F5E" w:rsidP="000E1366">
            <w:pPr>
              <w:widowControl w:val="0"/>
              <w:autoSpaceDE w:val="0"/>
              <w:autoSpaceDN w:val="0"/>
              <w:adjustRightInd w:val="0"/>
              <w:spacing w:after="0" w:line="240" w:lineRule="auto"/>
              <w:ind w:left="144"/>
              <w:rPr>
                <w:rFonts w:ascii="Times New Roman" w:hAnsi="Times New Roman" w:cs="Times New Roman"/>
                <w:color w:val="000000" w:themeColor="text1"/>
                <w:sz w:val="16"/>
                <w:szCs w:val="16"/>
                <w:lang w:val="en-US"/>
              </w:rPr>
            </w:pPr>
            <w:r w:rsidRPr="00452352">
              <w:rPr>
                <w:rFonts w:ascii="Times New Roman" w:hAnsi="Times New Roman" w:cs="Times New Roman"/>
                <w:color w:val="000000" w:themeColor="text1"/>
                <w:sz w:val="16"/>
                <w:szCs w:val="16"/>
                <w:lang w:val="en-US"/>
              </w:rPr>
              <w:t>8.8</w:t>
            </w:r>
            <w:r w:rsidR="007A1BB7" w:rsidRPr="00452352">
              <w:rPr>
                <w:rFonts w:ascii="Times New Roman" w:hAnsi="Times New Roman" w:cs="Times New Roman"/>
                <w:color w:val="000000" w:themeColor="text1"/>
                <w:sz w:val="16"/>
                <w:szCs w:val="16"/>
                <w:lang w:val="en-US"/>
              </w:rPr>
              <w:t xml:space="preserve"> (</w:t>
            </w:r>
            <w:r w:rsidRPr="00452352">
              <w:rPr>
                <w:rFonts w:ascii="Times New Roman" w:hAnsi="Times New Roman" w:cs="Times New Roman"/>
                <w:color w:val="000000" w:themeColor="text1"/>
                <w:sz w:val="16"/>
                <w:szCs w:val="16"/>
                <w:lang w:val="en-US"/>
              </w:rPr>
              <w:t>6.7</w:t>
            </w:r>
            <w:r w:rsidR="007A1BB7" w:rsidRPr="00452352">
              <w:rPr>
                <w:rFonts w:ascii="Times New Roman" w:hAnsi="Times New Roman" w:cs="Times New Roman"/>
                <w:color w:val="000000" w:themeColor="text1"/>
                <w:sz w:val="16"/>
                <w:szCs w:val="16"/>
                <w:lang w:val="en-US"/>
              </w:rPr>
              <w:t>-</w:t>
            </w:r>
            <w:r w:rsidRPr="00452352">
              <w:rPr>
                <w:rFonts w:ascii="Times New Roman" w:hAnsi="Times New Roman" w:cs="Times New Roman"/>
                <w:color w:val="000000" w:themeColor="text1"/>
                <w:sz w:val="16"/>
                <w:szCs w:val="16"/>
                <w:lang w:val="en-US"/>
              </w:rPr>
              <w:t>10.6</w:t>
            </w:r>
            <w:r w:rsidR="007A1BB7" w:rsidRPr="00452352">
              <w:rPr>
                <w:rFonts w:ascii="Times New Roman" w:hAnsi="Times New Roman" w:cs="Times New Roman"/>
                <w:color w:val="000000" w:themeColor="text1"/>
                <w:sz w:val="16"/>
                <w:szCs w:val="16"/>
                <w:lang w:val="en-US"/>
              </w:rPr>
              <w:t>)</w:t>
            </w:r>
          </w:p>
        </w:tc>
        <w:tc>
          <w:tcPr>
            <w:tcW w:w="397" w:type="dxa"/>
            <w:tcBorders>
              <w:left w:val="dashed" w:sz="4" w:space="0" w:color="auto"/>
            </w:tcBorders>
            <w:vAlign w:val="center"/>
          </w:tcPr>
          <w:p w14:paraId="49FED69C" w14:textId="78EEB29B" w:rsidR="007A1BB7" w:rsidRPr="00452352" w:rsidRDefault="00AF0F5E" w:rsidP="007A1BB7">
            <w:pPr>
              <w:widowControl w:val="0"/>
              <w:autoSpaceDE w:val="0"/>
              <w:autoSpaceDN w:val="0"/>
              <w:adjustRightInd w:val="0"/>
              <w:spacing w:after="0" w:line="240" w:lineRule="auto"/>
              <w:jc w:val="center"/>
              <w:rPr>
                <w:rFonts w:ascii="Times New Roman" w:hAnsi="Times New Roman" w:cs="Times New Roman"/>
                <w:color w:val="000000" w:themeColor="text1"/>
                <w:sz w:val="16"/>
                <w:szCs w:val="16"/>
                <w:lang w:val="en-US"/>
              </w:rPr>
            </w:pPr>
            <w:r w:rsidRPr="00452352">
              <w:rPr>
                <w:rFonts w:ascii="Times New Roman" w:hAnsi="Times New Roman" w:cs="Times New Roman"/>
                <w:color w:val="000000" w:themeColor="text1"/>
                <w:sz w:val="16"/>
                <w:szCs w:val="16"/>
                <w:lang w:val="en-US"/>
              </w:rPr>
              <w:t>45</w:t>
            </w:r>
          </w:p>
        </w:tc>
        <w:tc>
          <w:tcPr>
            <w:tcW w:w="1758" w:type="dxa"/>
            <w:gridSpan w:val="2"/>
            <w:tcBorders>
              <w:right w:val="dashed" w:sz="4" w:space="0" w:color="auto"/>
            </w:tcBorders>
            <w:vAlign w:val="center"/>
          </w:tcPr>
          <w:p w14:paraId="3F2A6910" w14:textId="7F07C81A" w:rsidR="007A1BB7" w:rsidRPr="00452352" w:rsidRDefault="00AF0F5E" w:rsidP="000E1366">
            <w:pPr>
              <w:widowControl w:val="0"/>
              <w:autoSpaceDE w:val="0"/>
              <w:autoSpaceDN w:val="0"/>
              <w:adjustRightInd w:val="0"/>
              <w:spacing w:after="0" w:line="240" w:lineRule="auto"/>
              <w:ind w:left="87"/>
              <w:rPr>
                <w:rFonts w:ascii="Times New Roman" w:hAnsi="Times New Roman" w:cs="Times New Roman"/>
                <w:color w:val="000000" w:themeColor="text1"/>
                <w:sz w:val="16"/>
                <w:szCs w:val="16"/>
                <w:lang w:val="en-US"/>
              </w:rPr>
            </w:pPr>
            <w:r w:rsidRPr="00452352">
              <w:rPr>
                <w:rFonts w:ascii="Times New Roman" w:hAnsi="Times New Roman" w:cs="Times New Roman"/>
                <w:color w:val="000000" w:themeColor="text1"/>
                <w:sz w:val="16"/>
                <w:szCs w:val="16"/>
                <w:lang w:val="en-US"/>
              </w:rPr>
              <w:t>11.1</w:t>
            </w:r>
            <w:r w:rsidR="007A1BB7" w:rsidRPr="00452352">
              <w:rPr>
                <w:rFonts w:ascii="Times New Roman" w:hAnsi="Times New Roman" w:cs="Times New Roman"/>
                <w:color w:val="000000" w:themeColor="text1"/>
                <w:sz w:val="16"/>
                <w:szCs w:val="16"/>
                <w:lang w:val="en-US"/>
              </w:rPr>
              <w:t xml:space="preserve"> (</w:t>
            </w:r>
            <w:r w:rsidRPr="00452352">
              <w:rPr>
                <w:rFonts w:ascii="Times New Roman" w:hAnsi="Times New Roman" w:cs="Times New Roman"/>
                <w:color w:val="000000" w:themeColor="text1"/>
                <w:sz w:val="16"/>
                <w:szCs w:val="16"/>
                <w:lang w:val="en-US"/>
              </w:rPr>
              <w:t>8.2</w:t>
            </w:r>
            <w:r w:rsidR="007A1BB7" w:rsidRPr="00452352">
              <w:rPr>
                <w:rFonts w:ascii="Times New Roman" w:hAnsi="Times New Roman" w:cs="Times New Roman"/>
                <w:color w:val="000000" w:themeColor="text1"/>
                <w:sz w:val="16"/>
                <w:szCs w:val="16"/>
                <w:lang w:val="en-US"/>
              </w:rPr>
              <w:t>-</w:t>
            </w:r>
            <w:r w:rsidRPr="00452352">
              <w:rPr>
                <w:rFonts w:ascii="Times New Roman" w:hAnsi="Times New Roman" w:cs="Times New Roman"/>
                <w:color w:val="000000" w:themeColor="text1"/>
                <w:sz w:val="16"/>
                <w:szCs w:val="16"/>
                <w:lang w:val="en-US"/>
              </w:rPr>
              <w:t>13.9</w:t>
            </w:r>
            <w:r w:rsidR="007A1BB7" w:rsidRPr="00452352">
              <w:rPr>
                <w:rFonts w:ascii="Times New Roman" w:hAnsi="Times New Roman" w:cs="Times New Roman"/>
                <w:color w:val="000000" w:themeColor="text1"/>
                <w:sz w:val="16"/>
                <w:szCs w:val="16"/>
                <w:lang w:val="en-US"/>
              </w:rPr>
              <w:t>)</w:t>
            </w:r>
          </w:p>
        </w:tc>
      </w:tr>
      <w:tr w:rsidR="00452352" w:rsidRPr="00452352" w14:paraId="5A85295C" w14:textId="77777777" w:rsidTr="0056300B">
        <w:trPr>
          <w:trHeight w:val="113"/>
        </w:trPr>
        <w:tc>
          <w:tcPr>
            <w:tcW w:w="2438" w:type="dxa"/>
            <w:tcBorders>
              <w:right w:val="dashed" w:sz="4" w:space="0" w:color="auto"/>
            </w:tcBorders>
            <w:vAlign w:val="center"/>
          </w:tcPr>
          <w:p w14:paraId="068BE835" w14:textId="494A3B36" w:rsidR="007A1BB7" w:rsidRPr="00452352" w:rsidRDefault="00AF0F5E" w:rsidP="000E1366">
            <w:pPr>
              <w:widowControl w:val="0"/>
              <w:autoSpaceDE w:val="0"/>
              <w:autoSpaceDN w:val="0"/>
              <w:adjustRightInd w:val="0"/>
              <w:spacing w:after="0" w:line="240" w:lineRule="auto"/>
              <w:ind w:left="654"/>
              <w:rPr>
                <w:rFonts w:ascii="Times New Roman" w:hAnsi="Times New Roman" w:cs="Times New Roman"/>
                <w:b/>
                <w:color w:val="000000" w:themeColor="text1"/>
                <w:sz w:val="16"/>
                <w:szCs w:val="16"/>
                <w:lang w:val="en-US"/>
              </w:rPr>
            </w:pPr>
            <w:r w:rsidRPr="00452352">
              <w:rPr>
                <w:rFonts w:ascii="Times New Roman" w:hAnsi="Times New Roman" w:cs="Times New Roman"/>
                <w:color w:val="000000" w:themeColor="text1"/>
                <w:sz w:val="16"/>
                <w:szCs w:val="16"/>
                <w:lang w:val="en-US"/>
              </w:rPr>
              <w:t>Yes</w:t>
            </w:r>
          </w:p>
        </w:tc>
        <w:tc>
          <w:tcPr>
            <w:tcW w:w="340" w:type="dxa"/>
            <w:tcBorders>
              <w:left w:val="dashed" w:sz="4" w:space="0" w:color="auto"/>
            </w:tcBorders>
            <w:vAlign w:val="center"/>
          </w:tcPr>
          <w:p w14:paraId="4057E503" w14:textId="7CBAF169" w:rsidR="007A1BB7" w:rsidRPr="00452352" w:rsidRDefault="00AF0F5E" w:rsidP="007A1BB7">
            <w:pPr>
              <w:widowControl w:val="0"/>
              <w:autoSpaceDE w:val="0"/>
              <w:autoSpaceDN w:val="0"/>
              <w:adjustRightInd w:val="0"/>
              <w:spacing w:after="0" w:line="240" w:lineRule="auto"/>
              <w:ind w:left="-118"/>
              <w:jc w:val="center"/>
              <w:rPr>
                <w:rFonts w:ascii="Times New Roman" w:hAnsi="Times New Roman" w:cs="Times New Roman"/>
                <w:color w:val="000000" w:themeColor="text1"/>
                <w:sz w:val="16"/>
                <w:szCs w:val="16"/>
                <w:lang w:val="en-US"/>
              </w:rPr>
            </w:pPr>
            <w:r w:rsidRPr="00452352">
              <w:rPr>
                <w:rFonts w:ascii="Times New Roman" w:hAnsi="Times New Roman" w:cs="Times New Roman"/>
                <w:color w:val="000000" w:themeColor="text1"/>
                <w:sz w:val="16"/>
                <w:szCs w:val="16"/>
                <w:lang w:val="en-US"/>
              </w:rPr>
              <w:t>33</w:t>
            </w:r>
          </w:p>
        </w:tc>
        <w:tc>
          <w:tcPr>
            <w:tcW w:w="1928" w:type="dxa"/>
            <w:gridSpan w:val="2"/>
            <w:tcBorders>
              <w:right w:val="dashed" w:sz="4" w:space="0" w:color="auto"/>
            </w:tcBorders>
            <w:vAlign w:val="center"/>
          </w:tcPr>
          <w:p w14:paraId="06F980EE" w14:textId="6B3CBEF4" w:rsidR="007A1BB7" w:rsidRPr="00452352" w:rsidRDefault="00AF0F5E" w:rsidP="000E1366">
            <w:pPr>
              <w:widowControl w:val="0"/>
              <w:autoSpaceDE w:val="0"/>
              <w:autoSpaceDN w:val="0"/>
              <w:adjustRightInd w:val="0"/>
              <w:spacing w:after="0" w:line="240" w:lineRule="auto"/>
              <w:ind w:left="144"/>
              <w:rPr>
                <w:rFonts w:ascii="Times New Roman" w:hAnsi="Times New Roman" w:cs="Times New Roman"/>
                <w:color w:val="000000" w:themeColor="text1"/>
                <w:sz w:val="16"/>
                <w:szCs w:val="16"/>
                <w:lang w:val="en-US"/>
              </w:rPr>
            </w:pPr>
            <w:r w:rsidRPr="00452352">
              <w:rPr>
                <w:rFonts w:ascii="Times New Roman" w:hAnsi="Times New Roman" w:cs="Times New Roman"/>
                <w:color w:val="000000" w:themeColor="text1"/>
                <w:sz w:val="16"/>
                <w:szCs w:val="16"/>
                <w:lang w:val="en-US"/>
              </w:rPr>
              <w:t>8.6</w:t>
            </w:r>
            <w:r w:rsidR="007A1BB7" w:rsidRPr="00452352">
              <w:rPr>
                <w:rFonts w:ascii="Times New Roman" w:hAnsi="Times New Roman" w:cs="Times New Roman"/>
                <w:color w:val="000000" w:themeColor="text1"/>
                <w:sz w:val="16"/>
                <w:szCs w:val="16"/>
                <w:lang w:val="en-US"/>
              </w:rPr>
              <w:t xml:space="preserve"> (</w:t>
            </w:r>
            <w:r w:rsidRPr="00452352">
              <w:rPr>
                <w:rFonts w:ascii="Times New Roman" w:hAnsi="Times New Roman" w:cs="Times New Roman"/>
                <w:color w:val="000000" w:themeColor="text1"/>
                <w:sz w:val="16"/>
                <w:szCs w:val="16"/>
                <w:lang w:val="en-US"/>
              </w:rPr>
              <w:t>6.9</w:t>
            </w:r>
            <w:r w:rsidR="007A1BB7" w:rsidRPr="00452352">
              <w:rPr>
                <w:rFonts w:ascii="Times New Roman" w:hAnsi="Times New Roman" w:cs="Times New Roman"/>
                <w:color w:val="000000" w:themeColor="text1"/>
                <w:sz w:val="16"/>
                <w:szCs w:val="16"/>
                <w:lang w:val="en-US"/>
              </w:rPr>
              <w:t>-</w:t>
            </w:r>
            <w:r w:rsidRPr="00452352">
              <w:rPr>
                <w:rFonts w:ascii="Times New Roman" w:hAnsi="Times New Roman" w:cs="Times New Roman"/>
                <w:color w:val="000000" w:themeColor="text1"/>
                <w:sz w:val="16"/>
                <w:szCs w:val="16"/>
                <w:lang w:val="en-US"/>
              </w:rPr>
              <w:t>12.1</w:t>
            </w:r>
            <w:r w:rsidR="007A1BB7" w:rsidRPr="00452352">
              <w:rPr>
                <w:rFonts w:ascii="Times New Roman" w:hAnsi="Times New Roman" w:cs="Times New Roman"/>
                <w:color w:val="000000" w:themeColor="text1"/>
                <w:sz w:val="16"/>
                <w:szCs w:val="16"/>
                <w:lang w:val="en-US"/>
              </w:rPr>
              <w:t>)</w:t>
            </w:r>
          </w:p>
        </w:tc>
        <w:tc>
          <w:tcPr>
            <w:tcW w:w="397" w:type="dxa"/>
            <w:tcBorders>
              <w:left w:val="dashed" w:sz="4" w:space="0" w:color="auto"/>
            </w:tcBorders>
            <w:vAlign w:val="center"/>
          </w:tcPr>
          <w:p w14:paraId="2CD3DFF6" w14:textId="334BEEDF" w:rsidR="007A1BB7" w:rsidRPr="00452352" w:rsidRDefault="00AF0F5E" w:rsidP="007A1BB7">
            <w:pPr>
              <w:widowControl w:val="0"/>
              <w:autoSpaceDE w:val="0"/>
              <w:autoSpaceDN w:val="0"/>
              <w:adjustRightInd w:val="0"/>
              <w:spacing w:after="0" w:line="240" w:lineRule="auto"/>
              <w:jc w:val="center"/>
              <w:rPr>
                <w:rFonts w:ascii="Times New Roman" w:hAnsi="Times New Roman" w:cs="Times New Roman"/>
                <w:color w:val="000000" w:themeColor="text1"/>
                <w:sz w:val="16"/>
                <w:szCs w:val="16"/>
                <w:lang w:val="en-US"/>
              </w:rPr>
            </w:pPr>
            <w:r w:rsidRPr="00452352">
              <w:rPr>
                <w:rFonts w:ascii="Times New Roman" w:hAnsi="Times New Roman" w:cs="Times New Roman"/>
                <w:color w:val="000000" w:themeColor="text1"/>
                <w:sz w:val="16"/>
                <w:szCs w:val="16"/>
                <w:lang w:val="en-US"/>
              </w:rPr>
              <w:t>23</w:t>
            </w:r>
          </w:p>
        </w:tc>
        <w:tc>
          <w:tcPr>
            <w:tcW w:w="1758" w:type="dxa"/>
            <w:gridSpan w:val="2"/>
            <w:tcBorders>
              <w:right w:val="dashed" w:sz="4" w:space="0" w:color="auto"/>
            </w:tcBorders>
            <w:vAlign w:val="center"/>
          </w:tcPr>
          <w:p w14:paraId="5743AE5E" w14:textId="77D64F71" w:rsidR="007A1BB7" w:rsidRPr="00452352" w:rsidRDefault="00AF0F5E" w:rsidP="000E1366">
            <w:pPr>
              <w:widowControl w:val="0"/>
              <w:autoSpaceDE w:val="0"/>
              <w:autoSpaceDN w:val="0"/>
              <w:adjustRightInd w:val="0"/>
              <w:spacing w:after="0" w:line="240" w:lineRule="auto"/>
              <w:ind w:left="87"/>
              <w:rPr>
                <w:rFonts w:ascii="Times New Roman" w:hAnsi="Times New Roman" w:cs="Times New Roman"/>
                <w:color w:val="000000" w:themeColor="text1"/>
                <w:sz w:val="16"/>
                <w:szCs w:val="16"/>
                <w:lang w:val="en-US"/>
              </w:rPr>
            </w:pPr>
            <w:r w:rsidRPr="00452352">
              <w:rPr>
                <w:rFonts w:ascii="Times New Roman" w:hAnsi="Times New Roman" w:cs="Times New Roman"/>
                <w:color w:val="000000" w:themeColor="text1"/>
                <w:sz w:val="16"/>
                <w:szCs w:val="16"/>
                <w:lang w:val="en-US"/>
              </w:rPr>
              <w:t>11.6</w:t>
            </w:r>
            <w:r w:rsidR="007A1BB7" w:rsidRPr="00452352">
              <w:rPr>
                <w:rFonts w:ascii="Times New Roman" w:hAnsi="Times New Roman" w:cs="Times New Roman"/>
                <w:color w:val="000000" w:themeColor="text1"/>
                <w:sz w:val="16"/>
                <w:szCs w:val="16"/>
                <w:lang w:val="en-US"/>
              </w:rPr>
              <w:t xml:space="preserve"> (</w:t>
            </w:r>
            <w:r w:rsidRPr="00452352">
              <w:rPr>
                <w:rFonts w:ascii="Times New Roman" w:hAnsi="Times New Roman" w:cs="Times New Roman"/>
                <w:color w:val="000000" w:themeColor="text1"/>
                <w:sz w:val="16"/>
                <w:szCs w:val="16"/>
                <w:lang w:val="en-US"/>
              </w:rPr>
              <w:t>7.1</w:t>
            </w:r>
            <w:r w:rsidR="007A1BB7" w:rsidRPr="00452352">
              <w:rPr>
                <w:rFonts w:ascii="Times New Roman" w:hAnsi="Times New Roman" w:cs="Times New Roman"/>
                <w:color w:val="000000" w:themeColor="text1"/>
                <w:sz w:val="16"/>
                <w:szCs w:val="16"/>
                <w:lang w:val="en-US"/>
              </w:rPr>
              <w:t>-</w:t>
            </w:r>
            <w:r w:rsidRPr="00452352">
              <w:rPr>
                <w:rFonts w:ascii="Times New Roman" w:hAnsi="Times New Roman" w:cs="Times New Roman"/>
                <w:color w:val="000000" w:themeColor="text1"/>
                <w:sz w:val="16"/>
                <w:szCs w:val="16"/>
                <w:lang w:val="en-US"/>
              </w:rPr>
              <w:t>18.0</w:t>
            </w:r>
            <w:r w:rsidR="007A1BB7" w:rsidRPr="00452352">
              <w:rPr>
                <w:rFonts w:ascii="Times New Roman" w:hAnsi="Times New Roman" w:cs="Times New Roman"/>
                <w:color w:val="000000" w:themeColor="text1"/>
                <w:sz w:val="16"/>
                <w:szCs w:val="16"/>
                <w:lang w:val="en-US"/>
              </w:rPr>
              <w:t>)</w:t>
            </w:r>
          </w:p>
        </w:tc>
      </w:tr>
      <w:tr w:rsidR="007A1BB7" w:rsidRPr="00D119AC" w14:paraId="231B5385" w14:textId="77777777" w:rsidTr="0056300B">
        <w:trPr>
          <w:trHeight w:val="113"/>
        </w:trPr>
        <w:tc>
          <w:tcPr>
            <w:tcW w:w="2438" w:type="dxa"/>
            <w:tcBorders>
              <w:right w:val="dashed" w:sz="4" w:space="0" w:color="auto"/>
            </w:tcBorders>
            <w:shd w:val="clear" w:color="auto" w:fill="F2F2F2" w:themeFill="background1" w:themeFillShade="F2"/>
            <w:vAlign w:val="center"/>
          </w:tcPr>
          <w:p w14:paraId="3682EAFF" w14:textId="77777777" w:rsidR="007A1BB7" w:rsidRPr="00D119AC" w:rsidRDefault="007A1BB7" w:rsidP="007A1BB7">
            <w:pPr>
              <w:widowControl w:val="0"/>
              <w:autoSpaceDE w:val="0"/>
              <w:autoSpaceDN w:val="0"/>
              <w:adjustRightInd w:val="0"/>
              <w:spacing w:after="0" w:line="240" w:lineRule="auto"/>
              <w:rPr>
                <w:rFonts w:ascii="Times New Roman" w:hAnsi="Times New Roman" w:cs="Times New Roman"/>
                <w:b/>
                <w:sz w:val="16"/>
                <w:szCs w:val="16"/>
                <w:lang w:val="en-US"/>
              </w:rPr>
            </w:pPr>
            <w:r w:rsidRPr="00D119AC">
              <w:rPr>
                <w:rFonts w:ascii="Times New Roman" w:hAnsi="Times New Roman" w:cs="Times New Roman"/>
                <w:b/>
                <w:sz w:val="16"/>
                <w:szCs w:val="16"/>
                <w:lang w:val="en-US"/>
              </w:rPr>
              <w:t>Smoking</w:t>
            </w:r>
          </w:p>
        </w:tc>
        <w:tc>
          <w:tcPr>
            <w:tcW w:w="340" w:type="dxa"/>
            <w:tcBorders>
              <w:left w:val="dashed" w:sz="4" w:space="0" w:color="auto"/>
            </w:tcBorders>
            <w:shd w:val="clear" w:color="auto" w:fill="F2F2F2" w:themeFill="background1" w:themeFillShade="F2"/>
            <w:vAlign w:val="center"/>
          </w:tcPr>
          <w:p w14:paraId="577E171F" w14:textId="77777777" w:rsidR="007A1BB7" w:rsidRPr="00D119AC" w:rsidRDefault="007A1BB7" w:rsidP="007A1BB7">
            <w:pPr>
              <w:widowControl w:val="0"/>
              <w:autoSpaceDE w:val="0"/>
              <w:autoSpaceDN w:val="0"/>
              <w:adjustRightInd w:val="0"/>
              <w:spacing w:after="0" w:line="240" w:lineRule="auto"/>
              <w:ind w:left="-118"/>
              <w:jc w:val="center"/>
              <w:rPr>
                <w:rFonts w:ascii="Times New Roman" w:hAnsi="Times New Roman" w:cs="Times New Roman"/>
                <w:sz w:val="16"/>
                <w:szCs w:val="16"/>
                <w:lang w:val="en-US"/>
              </w:rPr>
            </w:pPr>
          </w:p>
        </w:tc>
        <w:tc>
          <w:tcPr>
            <w:tcW w:w="1134" w:type="dxa"/>
            <w:shd w:val="clear" w:color="auto" w:fill="F2F2F2" w:themeFill="background1" w:themeFillShade="F2"/>
            <w:vAlign w:val="center"/>
          </w:tcPr>
          <w:p w14:paraId="1B49DBFA" w14:textId="77777777" w:rsidR="007A1BB7" w:rsidRPr="00D119AC" w:rsidRDefault="007A1BB7" w:rsidP="007A1BB7">
            <w:pPr>
              <w:widowControl w:val="0"/>
              <w:autoSpaceDE w:val="0"/>
              <w:autoSpaceDN w:val="0"/>
              <w:adjustRightInd w:val="0"/>
              <w:spacing w:after="0" w:line="240" w:lineRule="auto"/>
              <w:jc w:val="center"/>
              <w:rPr>
                <w:rFonts w:ascii="Times New Roman" w:hAnsi="Times New Roman" w:cs="Times New Roman"/>
                <w:sz w:val="16"/>
                <w:szCs w:val="16"/>
                <w:lang w:val="en-US"/>
              </w:rPr>
            </w:pPr>
          </w:p>
        </w:tc>
        <w:tc>
          <w:tcPr>
            <w:tcW w:w="794" w:type="dxa"/>
            <w:tcBorders>
              <w:right w:val="dashed" w:sz="4" w:space="0" w:color="auto"/>
            </w:tcBorders>
            <w:shd w:val="clear" w:color="auto" w:fill="F2F2F2" w:themeFill="background1" w:themeFillShade="F2"/>
            <w:vAlign w:val="center"/>
          </w:tcPr>
          <w:p w14:paraId="7B88C5E1" w14:textId="3C82C1A6" w:rsidR="007A1BB7" w:rsidRPr="00D119AC" w:rsidRDefault="007A1BB7" w:rsidP="000E1366">
            <w:pPr>
              <w:widowControl w:val="0"/>
              <w:autoSpaceDE w:val="0"/>
              <w:autoSpaceDN w:val="0"/>
              <w:adjustRightInd w:val="0"/>
              <w:spacing w:after="0" w:line="240" w:lineRule="auto"/>
              <w:jc w:val="right"/>
              <w:rPr>
                <w:rFonts w:ascii="Times New Roman" w:hAnsi="Times New Roman" w:cs="Times New Roman"/>
                <w:sz w:val="16"/>
                <w:szCs w:val="16"/>
                <w:lang w:val="en-US"/>
              </w:rPr>
            </w:pPr>
            <w:r w:rsidRPr="00D119AC">
              <w:rPr>
                <w:rFonts w:ascii="Times New Roman" w:hAnsi="Times New Roman" w:cs="Times New Roman"/>
                <w:sz w:val="16"/>
                <w:szCs w:val="16"/>
                <w:lang w:val="en-US"/>
              </w:rPr>
              <w:t>0.373</w:t>
            </w:r>
          </w:p>
        </w:tc>
        <w:tc>
          <w:tcPr>
            <w:tcW w:w="397" w:type="dxa"/>
            <w:tcBorders>
              <w:left w:val="dashed" w:sz="4" w:space="0" w:color="auto"/>
            </w:tcBorders>
            <w:shd w:val="clear" w:color="auto" w:fill="F2F2F2" w:themeFill="background1" w:themeFillShade="F2"/>
            <w:vAlign w:val="center"/>
          </w:tcPr>
          <w:p w14:paraId="491C548E" w14:textId="77777777" w:rsidR="007A1BB7" w:rsidRPr="00D119AC" w:rsidRDefault="007A1BB7" w:rsidP="000E1366">
            <w:pPr>
              <w:widowControl w:val="0"/>
              <w:autoSpaceDE w:val="0"/>
              <w:autoSpaceDN w:val="0"/>
              <w:adjustRightInd w:val="0"/>
              <w:spacing w:after="0" w:line="240" w:lineRule="auto"/>
              <w:jc w:val="right"/>
              <w:rPr>
                <w:rFonts w:ascii="Times New Roman" w:hAnsi="Times New Roman" w:cs="Times New Roman"/>
                <w:sz w:val="16"/>
                <w:szCs w:val="16"/>
                <w:lang w:val="en-US"/>
              </w:rPr>
            </w:pPr>
          </w:p>
        </w:tc>
        <w:tc>
          <w:tcPr>
            <w:tcW w:w="1021" w:type="dxa"/>
            <w:shd w:val="clear" w:color="auto" w:fill="F2F2F2" w:themeFill="background1" w:themeFillShade="F2"/>
            <w:vAlign w:val="center"/>
          </w:tcPr>
          <w:p w14:paraId="5EE4A353" w14:textId="77777777" w:rsidR="007A1BB7" w:rsidRPr="00D119AC" w:rsidRDefault="007A1BB7" w:rsidP="000E1366">
            <w:pPr>
              <w:widowControl w:val="0"/>
              <w:autoSpaceDE w:val="0"/>
              <w:autoSpaceDN w:val="0"/>
              <w:adjustRightInd w:val="0"/>
              <w:spacing w:after="0" w:line="240" w:lineRule="auto"/>
              <w:jc w:val="right"/>
              <w:rPr>
                <w:rFonts w:ascii="Times New Roman" w:hAnsi="Times New Roman" w:cs="Times New Roman"/>
                <w:sz w:val="16"/>
                <w:szCs w:val="16"/>
                <w:lang w:val="en-US"/>
              </w:rPr>
            </w:pPr>
          </w:p>
        </w:tc>
        <w:tc>
          <w:tcPr>
            <w:tcW w:w="737" w:type="dxa"/>
            <w:tcBorders>
              <w:right w:val="dashed" w:sz="4" w:space="0" w:color="auto"/>
            </w:tcBorders>
            <w:shd w:val="clear" w:color="auto" w:fill="F2F2F2" w:themeFill="background1" w:themeFillShade="F2"/>
            <w:vAlign w:val="center"/>
          </w:tcPr>
          <w:p w14:paraId="045A9BE5" w14:textId="0C08EBCB" w:rsidR="007A1BB7" w:rsidRPr="00D119AC" w:rsidRDefault="007A1BB7" w:rsidP="000E1366">
            <w:pPr>
              <w:widowControl w:val="0"/>
              <w:autoSpaceDE w:val="0"/>
              <w:autoSpaceDN w:val="0"/>
              <w:adjustRightInd w:val="0"/>
              <w:spacing w:after="0" w:line="240" w:lineRule="auto"/>
              <w:jc w:val="right"/>
              <w:rPr>
                <w:rFonts w:ascii="Times New Roman" w:hAnsi="Times New Roman" w:cs="Times New Roman"/>
                <w:sz w:val="16"/>
                <w:szCs w:val="16"/>
                <w:lang w:val="en-US"/>
              </w:rPr>
            </w:pPr>
            <w:r w:rsidRPr="00D119AC">
              <w:rPr>
                <w:rFonts w:ascii="Times New Roman" w:hAnsi="Times New Roman" w:cs="Times New Roman"/>
                <w:sz w:val="16"/>
                <w:szCs w:val="16"/>
                <w:lang w:val="en-US"/>
              </w:rPr>
              <w:t>0.622</w:t>
            </w:r>
          </w:p>
        </w:tc>
      </w:tr>
      <w:tr w:rsidR="007A1BB7" w:rsidRPr="00D119AC" w14:paraId="04642308" w14:textId="77777777" w:rsidTr="0056300B">
        <w:trPr>
          <w:trHeight w:val="113"/>
        </w:trPr>
        <w:tc>
          <w:tcPr>
            <w:tcW w:w="2438" w:type="dxa"/>
            <w:tcBorders>
              <w:right w:val="dashed" w:sz="4" w:space="0" w:color="auto"/>
            </w:tcBorders>
            <w:vAlign w:val="center"/>
          </w:tcPr>
          <w:p w14:paraId="76C7EB40" w14:textId="4CAD55F2" w:rsidR="007A1BB7" w:rsidRPr="00D119AC" w:rsidRDefault="007A1BB7" w:rsidP="000E1366">
            <w:pPr>
              <w:widowControl w:val="0"/>
              <w:autoSpaceDE w:val="0"/>
              <w:autoSpaceDN w:val="0"/>
              <w:adjustRightInd w:val="0"/>
              <w:spacing w:after="0" w:line="240" w:lineRule="auto"/>
              <w:ind w:left="654"/>
              <w:rPr>
                <w:rFonts w:ascii="Times New Roman" w:hAnsi="Times New Roman" w:cs="Times New Roman"/>
                <w:b/>
                <w:sz w:val="16"/>
                <w:szCs w:val="16"/>
                <w:lang w:val="en-US"/>
              </w:rPr>
            </w:pPr>
            <w:r w:rsidRPr="00D119AC">
              <w:rPr>
                <w:rFonts w:ascii="Times New Roman" w:hAnsi="Times New Roman" w:cs="Times New Roman"/>
                <w:sz w:val="16"/>
                <w:szCs w:val="16"/>
                <w:lang w:val="en-US"/>
              </w:rPr>
              <w:t>No</w:t>
            </w:r>
          </w:p>
        </w:tc>
        <w:tc>
          <w:tcPr>
            <w:tcW w:w="340" w:type="dxa"/>
            <w:tcBorders>
              <w:left w:val="dashed" w:sz="4" w:space="0" w:color="auto"/>
            </w:tcBorders>
            <w:vAlign w:val="center"/>
          </w:tcPr>
          <w:p w14:paraId="6E98E7D7" w14:textId="47F7FA83" w:rsidR="007A1BB7" w:rsidRPr="00D119AC" w:rsidRDefault="007A1BB7" w:rsidP="007A1BB7">
            <w:pPr>
              <w:widowControl w:val="0"/>
              <w:autoSpaceDE w:val="0"/>
              <w:autoSpaceDN w:val="0"/>
              <w:adjustRightInd w:val="0"/>
              <w:spacing w:after="0" w:line="240" w:lineRule="auto"/>
              <w:ind w:left="-118"/>
              <w:jc w:val="center"/>
              <w:rPr>
                <w:rFonts w:ascii="Times New Roman" w:hAnsi="Times New Roman" w:cs="Times New Roman"/>
                <w:sz w:val="16"/>
                <w:szCs w:val="16"/>
                <w:lang w:val="en-US"/>
              </w:rPr>
            </w:pPr>
            <w:r w:rsidRPr="00D119AC">
              <w:rPr>
                <w:rFonts w:ascii="Times New Roman" w:hAnsi="Times New Roman" w:cs="Times New Roman"/>
                <w:sz w:val="16"/>
                <w:szCs w:val="16"/>
                <w:lang w:val="en-US"/>
              </w:rPr>
              <w:t>65</w:t>
            </w:r>
          </w:p>
        </w:tc>
        <w:tc>
          <w:tcPr>
            <w:tcW w:w="1928" w:type="dxa"/>
            <w:gridSpan w:val="2"/>
            <w:tcBorders>
              <w:right w:val="dashed" w:sz="4" w:space="0" w:color="auto"/>
            </w:tcBorders>
            <w:vAlign w:val="center"/>
          </w:tcPr>
          <w:p w14:paraId="3ECB0959" w14:textId="2BFF0946" w:rsidR="007A1BB7" w:rsidRPr="00D119AC" w:rsidRDefault="007A1BB7" w:rsidP="000E1366">
            <w:pPr>
              <w:widowControl w:val="0"/>
              <w:autoSpaceDE w:val="0"/>
              <w:autoSpaceDN w:val="0"/>
              <w:adjustRightInd w:val="0"/>
              <w:spacing w:after="0" w:line="240" w:lineRule="auto"/>
              <w:ind w:left="144"/>
              <w:rPr>
                <w:rFonts w:ascii="Times New Roman" w:hAnsi="Times New Roman" w:cs="Times New Roman"/>
                <w:sz w:val="16"/>
                <w:szCs w:val="16"/>
                <w:lang w:val="en-US"/>
              </w:rPr>
            </w:pPr>
            <w:r w:rsidRPr="00D119AC">
              <w:rPr>
                <w:rFonts w:ascii="Times New Roman" w:hAnsi="Times New Roman" w:cs="Times New Roman"/>
                <w:sz w:val="16"/>
                <w:szCs w:val="16"/>
                <w:lang w:val="en-US"/>
              </w:rPr>
              <w:t>8.6</w:t>
            </w:r>
            <w:r>
              <w:rPr>
                <w:rFonts w:ascii="Times New Roman" w:hAnsi="Times New Roman" w:cs="Times New Roman"/>
                <w:sz w:val="16"/>
                <w:szCs w:val="16"/>
                <w:lang w:val="en-US"/>
              </w:rPr>
              <w:t xml:space="preserve"> </w:t>
            </w:r>
            <w:r w:rsidRPr="00D119AC">
              <w:rPr>
                <w:rFonts w:ascii="Times New Roman" w:hAnsi="Times New Roman" w:cs="Times New Roman"/>
                <w:sz w:val="16"/>
                <w:szCs w:val="16"/>
                <w:lang w:val="en-US"/>
              </w:rPr>
              <w:t>(6.6-10.5)</w:t>
            </w:r>
          </w:p>
        </w:tc>
        <w:tc>
          <w:tcPr>
            <w:tcW w:w="397" w:type="dxa"/>
            <w:tcBorders>
              <w:left w:val="dashed" w:sz="4" w:space="0" w:color="auto"/>
            </w:tcBorders>
            <w:vAlign w:val="center"/>
          </w:tcPr>
          <w:p w14:paraId="0E327446" w14:textId="37AC6DCD" w:rsidR="007A1BB7" w:rsidRPr="00D119AC" w:rsidRDefault="007A1BB7" w:rsidP="007A1BB7">
            <w:pPr>
              <w:widowControl w:val="0"/>
              <w:autoSpaceDE w:val="0"/>
              <w:autoSpaceDN w:val="0"/>
              <w:adjustRightInd w:val="0"/>
              <w:spacing w:after="0" w:line="240" w:lineRule="auto"/>
              <w:jc w:val="center"/>
              <w:rPr>
                <w:rFonts w:ascii="Times New Roman" w:hAnsi="Times New Roman" w:cs="Times New Roman"/>
                <w:sz w:val="16"/>
                <w:szCs w:val="16"/>
                <w:lang w:val="en-US"/>
              </w:rPr>
            </w:pPr>
            <w:r w:rsidRPr="00D119AC">
              <w:rPr>
                <w:rFonts w:ascii="Times New Roman" w:hAnsi="Times New Roman" w:cs="Times New Roman"/>
                <w:sz w:val="16"/>
                <w:szCs w:val="16"/>
                <w:lang w:val="en-US"/>
              </w:rPr>
              <w:t>53</w:t>
            </w:r>
          </w:p>
        </w:tc>
        <w:tc>
          <w:tcPr>
            <w:tcW w:w="1758" w:type="dxa"/>
            <w:gridSpan w:val="2"/>
            <w:tcBorders>
              <w:right w:val="dashed" w:sz="4" w:space="0" w:color="auto"/>
            </w:tcBorders>
            <w:vAlign w:val="center"/>
          </w:tcPr>
          <w:p w14:paraId="587B11BB" w14:textId="728CC7C2" w:rsidR="007A1BB7" w:rsidRPr="00D119AC" w:rsidRDefault="007A1BB7" w:rsidP="000E1366">
            <w:pPr>
              <w:widowControl w:val="0"/>
              <w:autoSpaceDE w:val="0"/>
              <w:autoSpaceDN w:val="0"/>
              <w:adjustRightInd w:val="0"/>
              <w:spacing w:after="0" w:line="240" w:lineRule="auto"/>
              <w:ind w:left="87"/>
              <w:rPr>
                <w:rFonts w:ascii="Times New Roman" w:hAnsi="Times New Roman" w:cs="Times New Roman"/>
                <w:sz w:val="16"/>
                <w:szCs w:val="16"/>
                <w:lang w:val="en-US"/>
              </w:rPr>
            </w:pPr>
            <w:r w:rsidRPr="00D119AC">
              <w:rPr>
                <w:rFonts w:ascii="Times New Roman" w:hAnsi="Times New Roman" w:cs="Times New Roman"/>
                <w:sz w:val="16"/>
                <w:szCs w:val="16"/>
                <w:lang w:val="en-US"/>
              </w:rPr>
              <w:t>10.7</w:t>
            </w:r>
            <w:r>
              <w:rPr>
                <w:rFonts w:ascii="Times New Roman" w:hAnsi="Times New Roman" w:cs="Times New Roman"/>
                <w:sz w:val="16"/>
                <w:szCs w:val="16"/>
                <w:lang w:val="en-US"/>
              </w:rPr>
              <w:t xml:space="preserve"> </w:t>
            </w:r>
            <w:r w:rsidRPr="00D119AC">
              <w:rPr>
                <w:rFonts w:ascii="Times New Roman" w:hAnsi="Times New Roman" w:cs="Times New Roman"/>
                <w:sz w:val="16"/>
                <w:szCs w:val="16"/>
                <w:lang w:val="en-US"/>
              </w:rPr>
              <w:t>(7.8-15.5)</w:t>
            </w:r>
          </w:p>
        </w:tc>
      </w:tr>
      <w:tr w:rsidR="007A1BB7" w:rsidRPr="00D119AC" w14:paraId="57EE7ED7" w14:textId="77777777" w:rsidTr="0056300B">
        <w:trPr>
          <w:trHeight w:val="113"/>
        </w:trPr>
        <w:tc>
          <w:tcPr>
            <w:tcW w:w="2438" w:type="dxa"/>
            <w:tcBorders>
              <w:right w:val="dashed" w:sz="4" w:space="0" w:color="auto"/>
            </w:tcBorders>
            <w:vAlign w:val="center"/>
          </w:tcPr>
          <w:p w14:paraId="5D95E4A0" w14:textId="5F584748" w:rsidR="007A1BB7" w:rsidRPr="00D119AC" w:rsidRDefault="007A1BB7" w:rsidP="000E1366">
            <w:pPr>
              <w:widowControl w:val="0"/>
              <w:autoSpaceDE w:val="0"/>
              <w:autoSpaceDN w:val="0"/>
              <w:adjustRightInd w:val="0"/>
              <w:spacing w:after="0" w:line="240" w:lineRule="auto"/>
              <w:ind w:left="654"/>
              <w:rPr>
                <w:rFonts w:ascii="Times New Roman" w:hAnsi="Times New Roman" w:cs="Times New Roman"/>
                <w:b/>
                <w:sz w:val="16"/>
                <w:szCs w:val="16"/>
                <w:lang w:val="en-US"/>
              </w:rPr>
            </w:pPr>
            <w:r w:rsidRPr="00D119AC">
              <w:rPr>
                <w:rFonts w:ascii="Times New Roman" w:hAnsi="Times New Roman" w:cs="Times New Roman"/>
                <w:sz w:val="16"/>
                <w:szCs w:val="16"/>
                <w:lang w:val="en-US"/>
              </w:rPr>
              <w:t>Yes</w:t>
            </w:r>
          </w:p>
        </w:tc>
        <w:tc>
          <w:tcPr>
            <w:tcW w:w="340" w:type="dxa"/>
            <w:tcBorders>
              <w:left w:val="dashed" w:sz="4" w:space="0" w:color="auto"/>
            </w:tcBorders>
            <w:vAlign w:val="center"/>
          </w:tcPr>
          <w:p w14:paraId="5A70A364" w14:textId="0F525BF8" w:rsidR="007A1BB7" w:rsidRPr="00D119AC" w:rsidRDefault="007A1BB7" w:rsidP="007A1BB7">
            <w:pPr>
              <w:widowControl w:val="0"/>
              <w:autoSpaceDE w:val="0"/>
              <w:autoSpaceDN w:val="0"/>
              <w:adjustRightInd w:val="0"/>
              <w:spacing w:after="0" w:line="240" w:lineRule="auto"/>
              <w:ind w:left="-118"/>
              <w:jc w:val="center"/>
              <w:rPr>
                <w:rFonts w:ascii="Times New Roman" w:hAnsi="Times New Roman" w:cs="Times New Roman"/>
                <w:sz w:val="16"/>
                <w:szCs w:val="16"/>
                <w:lang w:val="en-US"/>
              </w:rPr>
            </w:pPr>
            <w:r w:rsidRPr="00D119AC">
              <w:rPr>
                <w:rFonts w:ascii="Times New Roman" w:hAnsi="Times New Roman" w:cs="Times New Roman"/>
                <w:sz w:val="16"/>
                <w:szCs w:val="16"/>
                <w:lang w:val="en-US"/>
              </w:rPr>
              <w:t>17</w:t>
            </w:r>
          </w:p>
        </w:tc>
        <w:tc>
          <w:tcPr>
            <w:tcW w:w="1928" w:type="dxa"/>
            <w:gridSpan w:val="2"/>
            <w:tcBorders>
              <w:right w:val="dashed" w:sz="4" w:space="0" w:color="auto"/>
            </w:tcBorders>
            <w:vAlign w:val="center"/>
          </w:tcPr>
          <w:p w14:paraId="2E39284B" w14:textId="717F215A" w:rsidR="007A1BB7" w:rsidRPr="00D119AC" w:rsidRDefault="007A1BB7" w:rsidP="000E1366">
            <w:pPr>
              <w:widowControl w:val="0"/>
              <w:autoSpaceDE w:val="0"/>
              <w:autoSpaceDN w:val="0"/>
              <w:adjustRightInd w:val="0"/>
              <w:spacing w:after="0" w:line="240" w:lineRule="auto"/>
              <w:ind w:left="144"/>
              <w:rPr>
                <w:rFonts w:ascii="Times New Roman" w:hAnsi="Times New Roman" w:cs="Times New Roman"/>
                <w:sz w:val="16"/>
                <w:szCs w:val="16"/>
                <w:lang w:val="en-US"/>
              </w:rPr>
            </w:pPr>
            <w:r w:rsidRPr="00D119AC">
              <w:rPr>
                <w:rFonts w:ascii="Times New Roman" w:hAnsi="Times New Roman" w:cs="Times New Roman"/>
                <w:sz w:val="16"/>
                <w:szCs w:val="16"/>
                <w:lang w:val="en-US"/>
              </w:rPr>
              <w:t>9.2</w:t>
            </w:r>
            <w:r>
              <w:rPr>
                <w:rFonts w:ascii="Times New Roman" w:hAnsi="Times New Roman" w:cs="Times New Roman"/>
                <w:sz w:val="16"/>
                <w:szCs w:val="16"/>
                <w:lang w:val="en-US"/>
              </w:rPr>
              <w:t xml:space="preserve"> </w:t>
            </w:r>
            <w:r w:rsidRPr="00D119AC">
              <w:rPr>
                <w:rFonts w:ascii="Times New Roman" w:hAnsi="Times New Roman" w:cs="Times New Roman"/>
                <w:sz w:val="16"/>
                <w:szCs w:val="16"/>
                <w:lang w:val="en-US"/>
              </w:rPr>
              <w:t>(6.9-12.9)</w:t>
            </w:r>
          </w:p>
        </w:tc>
        <w:tc>
          <w:tcPr>
            <w:tcW w:w="397" w:type="dxa"/>
            <w:tcBorders>
              <w:left w:val="dashed" w:sz="4" w:space="0" w:color="auto"/>
            </w:tcBorders>
            <w:vAlign w:val="center"/>
          </w:tcPr>
          <w:p w14:paraId="61CB8D7A" w14:textId="6CFD1B93" w:rsidR="007A1BB7" w:rsidRPr="00D119AC" w:rsidRDefault="007A1BB7" w:rsidP="007A1BB7">
            <w:pPr>
              <w:widowControl w:val="0"/>
              <w:autoSpaceDE w:val="0"/>
              <w:autoSpaceDN w:val="0"/>
              <w:adjustRightInd w:val="0"/>
              <w:spacing w:after="0" w:line="240" w:lineRule="auto"/>
              <w:jc w:val="center"/>
              <w:rPr>
                <w:rFonts w:ascii="Times New Roman" w:hAnsi="Times New Roman" w:cs="Times New Roman"/>
                <w:sz w:val="16"/>
                <w:szCs w:val="16"/>
                <w:lang w:val="en-US"/>
              </w:rPr>
            </w:pPr>
            <w:r w:rsidRPr="00D119AC">
              <w:rPr>
                <w:rFonts w:ascii="Times New Roman" w:hAnsi="Times New Roman" w:cs="Times New Roman"/>
                <w:sz w:val="16"/>
                <w:szCs w:val="16"/>
                <w:lang w:val="en-US"/>
              </w:rPr>
              <w:t>14</w:t>
            </w:r>
          </w:p>
        </w:tc>
        <w:tc>
          <w:tcPr>
            <w:tcW w:w="1758" w:type="dxa"/>
            <w:gridSpan w:val="2"/>
            <w:tcBorders>
              <w:right w:val="dashed" w:sz="4" w:space="0" w:color="auto"/>
            </w:tcBorders>
            <w:vAlign w:val="center"/>
          </w:tcPr>
          <w:p w14:paraId="58FF5F0E" w14:textId="11664456" w:rsidR="007A1BB7" w:rsidRPr="00D119AC" w:rsidRDefault="007A1BB7" w:rsidP="000E1366">
            <w:pPr>
              <w:widowControl w:val="0"/>
              <w:autoSpaceDE w:val="0"/>
              <w:autoSpaceDN w:val="0"/>
              <w:adjustRightInd w:val="0"/>
              <w:spacing w:after="0" w:line="240" w:lineRule="auto"/>
              <w:ind w:left="87"/>
              <w:rPr>
                <w:rFonts w:ascii="Times New Roman" w:hAnsi="Times New Roman" w:cs="Times New Roman"/>
                <w:sz w:val="16"/>
                <w:szCs w:val="16"/>
                <w:lang w:val="en-US"/>
              </w:rPr>
            </w:pPr>
            <w:r w:rsidRPr="00D119AC">
              <w:rPr>
                <w:rFonts w:ascii="Times New Roman" w:hAnsi="Times New Roman" w:cs="Times New Roman"/>
                <w:sz w:val="16"/>
                <w:szCs w:val="16"/>
                <w:lang w:val="en-US"/>
              </w:rPr>
              <w:t>11.7</w:t>
            </w:r>
            <w:r>
              <w:rPr>
                <w:rFonts w:ascii="Times New Roman" w:hAnsi="Times New Roman" w:cs="Times New Roman"/>
                <w:sz w:val="16"/>
                <w:szCs w:val="16"/>
                <w:lang w:val="en-US"/>
              </w:rPr>
              <w:t xml:space="preserve"> </w:t>
            </w:r>
            <w:r w:rsidRPr="00D119AC">
              <w:rPr>
                <w:rFonts w:ascii="Times New Roman" w:hAnsi="Times New Roman" w:cs="Times New Roman"/>
                <w:sz w:val="16"/>
                <w:szCs w:val="16"/>
                <w:lang w:val="en-US"/>
              </w:rPr>
              <w:t>(9.6-12.5)</w:t>
            </w:r>
          </w:p>
        </w:tc>
      </w:tr>
      <w:tr w:rsidR="007A1BB7" w:rsidRPr="00D119AC" w14:paraId="4450ED88" w14:textId="77777777" w:rsidTr="0056300B">
        <w:trPr>
          <w:trHeight w:val="113"/>
        </w:trPr>
        <w:tc>
          <w:tcPr>
            <w:tcW w:w="2438" w:type="dxa"/>
            <w:tcBorders>
              <w:right w:val="dashed" w:sz="4" w:space="0" w:color="auto"/>
            </w:tcBorders>
            <w:shd w:val="clear" w:color="auto" w:fill="F2F2F2" w:themeFill="background1" w:themeFillShade="F2"/>
            <w:vAlign w:val="center"/>
          </w:tcPr>
          <w:p w14:paraId="022B3E46" w14:textId="77777777" w:rsidR="007A1BB7" w:rsidRPr="00D119AC" w:rsidRDefault="007A1BB7" w:rsidP="007A1BB7">
            <w:pPr>
              <w:widowControl w:val="0"/>
              <w:autoSpaceDE w:val="0"/>
              <w:autoSpaceDN w:val="0"/>
              <w:adjustRightInd w:val="0"/>
              <w:spacing w:after="0" w:line="240" w:lineRule="auto"/>
              <w:rPr>
                <w:rFonts w:ascii="Times New Roman" w:hAnsi="Times New Roman" w:cs="Times New Roman"/>
                <w:b/>
                <w:sz w:val="16"/>
                <w:szCs w:val="16"/>
                <w:lang w:val="en-US"/>
              </w:rPr>
            </w:pPr>
            <w:r w:rsidRPr="00D119AC">
              <w:rPr>
                <w:rFonts w:ascii="Times New Roman" w:hAnsi="Times New Roman" w:cs="Times New Roman"/>
                <w:b/>
                <w:sz w:val="16"/>
                <w:szCs w:val="16"/>
                <w:lang w:val="en-US"/>
              </w:rPr>
              <w:t>Diabetes</w:t>
            </w:r>
          </w:p>
        </w:tc>
        <w:tc>
          <w:tcPr>
            <w:tcW w:w="340" w:type="dxa"/>
            <w:tcBorders>
              <w:left w:val="dashed" w:sz="4" w:space="0" w:color="auto"/>
            </w:tcBorders>
            <w:shd w:val="clear" w:color="auto" w:fill="F2F2F2" w:themeFill="background1" w:themeFillShade="F2"/>
            <w:vAlign w:val="center"/>
          </w:tcPr>
          <w:p w14:paraId="5000B34F" w14:textId="77777777" w:rsidR="007A1BB7" w:rsidRPr="00D119AC" w:rsidRDefault="007A1BB7" w:rsidP="007A1BB7">
            <w:pPr>
              <w:widowControl w:val="0"/>
              <w:autoSpaceDE w:val="0"/>
              <w:autoSpaceDN w:val="0"/>
              <w:adjustRightInd w:val="0"/>
              <w:spacing w:after="0" w:line="240" w:lineRule="auto"/>
              <w:ind w:left="-118"/>
              <w:jc w:val="center"/>
              <w:rPr>
                <w:rFonts w:ascii="Times New Roman" w:hAnsi="Times New Roman" w:cs="Times New Roman"/>
                <w:sz w:val="16"/>
                <w:szCs w:val="16"/>
                <w:lang w:val="en-US"/>
              </w:rPr>
            </w:pPr>
          </w:p>
        </w:tc>
        <w:tc>
          <w:tcPr>
            <w:tcW w:w="1134" w:type="dxa"/>
            <w:shd w:val="clear" w:color="auto" w:fill="F2F2F2" w:themeFill="background1" w:themeFillShade="F2"/>
            <w:vAlign w:val="center"/>
          </w:tcPr>
          <w:p w14:paraId="45EBBA2A" w14:textId="77777777" w:rsidR="007A1BB7" w:rsidRPr="00D119AC" w:rsidRDefault="007A1BB7" w:rsidP="007A1BB7">
            <w:pPr>
              <w:widowControl w:val="0"/>
              <w:autoSpaceDE w:val="0"/>
              <w:autoSpaceDN w:val="0"/>
              <w:adjustRightInd w:val="0"/>
              <w:spacing w:after="0" w:line="240" w:lineRule="auto"/>
              <w:jc w:val="center"/>
              <w:rPr>
                <w:rFonts w:ascii="Times New Roman" w:hAnsi="Times New Roman" w:cs="Times New Roman"/>
                <w:sz w:val="16"/>
                <w:szCs w:val="16"/>
                <w:lang w:val="en-US"/>
              </w:rPr>
            </w:pPr>
          </w:p>
        </w:tc>
        <w:tc>
          <w:tcPr>
            <w:tcW w:w="794" w:type="dxa"/>
            <w:tcBorders>
              <w:right w:val="dashed" w:sz="4" w:space="0" w:color="auto"/>
            </w:tcBorders>
            <w:shd w:val="clear" w:color="auto" w:fill="F2F2F2" w:themeFill="background1" w:themeFillShade="F2"/>
            <w:vAlign w:val="center"/>
          </w:tcPr>
          <w:p w14:paraId="7F51AD47" w14:textId="1561288E" w:rsidR="007A1BB7" w:rsidRPr="00D119AC" w:rsidRDefault="007A1BB7" w:rsidP="000E1366">
            <w:pPr>
              <w:widowControl w:val="0"/>
              <w:autoSpaceDE w:val="0"/>
              <w:autoSpaceDN w:val="0"/>
              <w:adjustRightInd w:val="0"/>
              <w:spacing w:after="0" w:line="240" w:lineRule="auto"/>
              <w:jc w:val="right"/>
              <w:rPr>
                <w:rFonts w:ascii="Times New Roman" w:hAnsi="Times New Roman" w:cs="Times New Roman"/>
                <w:sz w:val="16"/>
                <w:szCs w:val="16"/>
                <w:lang w:val="en-US"/>
              </w:rPr>
            </w:pPr>
            <w:r w:rsidRPr="00D119AC">
              <w:rPr>
                <w:rFonts w:ascii="Times New Roman" w:hAnsi="Times New Roman" w:cs="Times New Roman"/>
                <w:sz w:val="16"/>
                <w:szCs w:val="16"/>
                <w:lang w:val="en-US"/>
              </w:rPr>
              <w:t>0.559</w:t>
            </w:r>
          </w:p>
        </w:tc>
        <w:tc>
          <w:tcPr>
            <w:tcW w:w="397" w:type="dxa"/>
            <w:tcBorders>
              <w:left w:val="dashed" w:sz="4" w:space="0" w:color="auto"/>
            </w:tcBorders>
            <w:shd w:val="clear" w:color="auto" w:fill="F2F2F2" w:themeFill="background1" w:themeFillShade="F2"/>
            <w:vAlign w:val="center"/>
          </w:tcPr>
          <w:p w14:paraId="7B717CB1" w14:textId="77777777" w:rsidR="007A1BB7" w:rsidRPr="00D119AC" w:rsidRDefault="007A1BB7" w:rsidP="000E1366">
            <w:pPr>
              <w:widowControl w:val="0"/>
              <w:autoSpaceDE w:val="0"/>
              <w:autoSpaceDN w:val="0"/>
              <w:adjustRightInd w:val="0"/>
              <w:spacing w:after="0" w:line="240" w:lineRule="auto"/>
              <w:jc w:val="right"/>
              <w:rPr>
                <w:rFonts w:ascii="Times New Roman" w:hAnsi="Times New Roman" w:cs="Times New Roman"/>
                <w:sz w:val="16"/>
                <w:szCs w:val="16"/>
                <w:lang w:val="en-US"/>
              </w:rPr>
            </w:pPr>
          </w:p>
        </w:tc>
        <w:tc>
          <w:tcPr>
            <w:tcW w:w="1021" w:type="dxa"/>
            <w:shd w:val="clear" w:color="auto" w:fill="F2F2F2" w:themeFill="background1" w:themeFillShade="F2"/>
            <w:vAlign w:val="center"/>
          </w:tcPr>
          <w:p w14:paraId="4BC994E7" w14:textId="77777777" w:rsidR="007A1BB7" w:rsidRPr="00D119AC" w:rsidRDefault="007A1BB7" w:rsidP="000E1366">
            <w:pPr>
              <w:widowControl w:val="0"/>
              <w:autoSpaceDE w:val="0"/>
              <w:autoSpaceDN w:val="0"/>
              <w:adjustRightInd w:val="0"/>
              <w:spacing w:after="0" w:line="240" w:lineRule="auto"/>
              <w:jc w:val="right"/>
              <w:rPr>
                <w:rFonts w:ascii="Times New Roman" w:hAnsi="Times New Roman" w:cs="Times New Roman"/>
                <w:sz w:val="16"/>
                <w:szCs w:val="16"/>
                <w:lang w:val="en-US"/>
              </w:rPr>
            </w:pPr>
          </w:p>
        </w:tc>
        <w:tc>
          <w:tcPr>
            <w:tcW w:w="737" w:type="dxa"/>
            <w:tcBorders>
              <w:right w:val="dashed" w:sz="4" w:space="0" w:color="auto"/>
            </w:tcBorders>
            <w:shd w:val="clear" w:color="auto" w:fill="F2F2F2" w:themeFill="background1" w:themeFillShade="F2"/>
            <w:vAlign w:val="center"/>
          </w:tcPr>
          <w:p w14:paraId="0F622C7A" w14:textId="056CFD75" w:rsidR="007A1BB7" w:rsidRPr="00D119AC" w:rsidRDefault="007A1BB7" w:rsidP="000E1366">
            <w:pPr>
              <w:widowControl w:val="0"/>
              <w:autoSpaceDE w:val="0"/>
              <w:autoSpaceDN w:val="0"/>
              <w:adjustRightInd w:val="0"/>
              <w:spacing w:after="0" w:line="240" w:lineRule="auto"/>
              <w:jc w:val="right"/>
              <w:rPr>
                <w:rFonts w:ascii="Times New Roman" w:hAnsi="Times New Roman" w:cs="Times New Roman"/>
                <w:sz w:val="16"/>
                <w:szCs w:val="16"/>
                <w:lang w:val="en-US"/>
              </w:rPr>
            </w:pPr>
            <w:r w:rsidRPr="00D119AC">
              <w:rPr>
                <w:rFonts w:ascii="Times New Roman" w:hAnsi="Times New Roman" w:cs="Times New Roman"/>
                <w:sz w:val="16"/>
                <w:szCs w:val="16"/>
                <w:lang w:val="en-US"/>
              </w:rPr>
              <w:t>0.634</w:t>
            </w:r>
          </w:p>
        </w:tc>
      </w:tr>
      <w:tr w:rsidR="007A1BB7" w:rsidRPr="00D119AC" w14:paraId="549BCE56" w14:textId="77777777" w:rsidTr="0056300B">
        <w:trPr>
          <w:trHeight w:val="113"/>
        </w:trPr>
        <w:tc>
          <w:tcPr>
            <w:tcW w:w="2438" w:type="dxa"/>
            <w:tcBorders>
              <w:right w:val="dashed" w:sz="4" w:space="0" w:color="auto"/>
            </w:tcBorders>
            <w:vAlign w:val="center"/>
          </w:tcPr>
          <w:p w14:paraId="7333E219" w14:textId="0745615B" w:rsidR="007A1BB7" w:rsidRPr="00D119AC" w:rsidRDefault="007A1BB7" w:rsidP="000E1366">
            <w:pPr>
              <w:widowControl w:val="0"/>
              <w:autoSpaceDE w:val="0"/>
              <w:autoSpaceDN w:val="0"/>
              <w:adjustRightInd w:val="0"/>
              <w:spacing w:after="0" w:line="240" w:lineRule="auto"/>
              <w:ind w:left="654"/>
              <w:rPr>
                <w:rFonts w:ascii="Times New Roman" w:hAnsi="Times New Roman" w:cs="Times New Roman"/>
                <w:b/>
                <w:sz w:val="16"/>
                <w:szCs w:val="16"/>
                <w:lang w:val="en-US"/>
              </w:rPr>
            </w:pPr>
            <w:r w:rsidRPr="00D119AC">
              <w:rPr>
                <w:rFonts w:ascii="Times New Roman" w:hAnsi="Times New Roman" w:cs="Times New Roman"/>
                <w:sz w:val="16"/>
                <w:szCs w:val="16"/>
                <w:lang w:val="en-US"/>
              </w:rPr>
              <w:t>No</w:t>
            </w:r>
          </w:p>
        </w:tc>
        <w:tc>
          <w:tcPr>
            <w:tcW w:w="340" w:type="dxa"/>
            <w:tcBorders>
              <w:left w:val="dashed" w:sz="4" w:space="0" w:color="auto"/>
            </w:tcBorders>
            <w:vAlign w:val="center"/>
          </w:tcPr>
          <w:p w14:paraId="2875D6E3" w14:textId="1872B1F1" w:rsidR="007A1BB7" w:rsidRPr="00D119AC" w:rsidRDefault="007A1BB7" w:rsidP="007A1BB7">
            <w:pPr>
              <w:widowControl w:val="0"/>
              <w:autoSpaceDE w:val="0"/>
              <w:autoSpaceDN w:val="0"/>
              <w:adjustRightInd w:val="0"/>
              <w:spacing w:after="0" w:line="240" w:lineRule="auto"/>
              <w:ind w:left="-118"/>
              <w:jc w:val="center"/>
              <w:rPr>
                <w:rFonts w:ascii="Times New Roman" w:hAnsi="Times New Roman" w:cs="Times New Roman"/>
                <w:sz w:val="16"/>
                <w:szCs w:val="16"/>
                <w:lang w:val="en-US"/>
              </w:rPr>
            </w:pPr>
            <w:r w:rsidRPr="00D119AC">
              <w:rPr>
                <w:rFonts w:ascii="Times New Roman" w:hAnsi="Times New Roman" w:cs="Times New Roman"/>
                <w:sz w:val="16"/>
                <w:szCs w:val="16"/>
                <w:lang w:val="en-US"/>
              </w:rPr>
              <w:t>78</w:t>
            </w:r>
          </w:p>
        </w:tc>
        <w:tc>
          <w:tcPr>
            <w:tcW w:w="1928" w:type="dxa"/>
            <w:gridSpan w:val="2"/>
            <w:tcBorders>
              <w:right w:val="dashed" w:sz="4" w:space="0" w:color="auto"/>
            </w:tcBorders>
            <w:vAlign w:val="center"/>
          </w:tcPr>
          <w:p w14:paraId="5D73AF8F" w14:textId="2CD0E1E8" w:rsidR="007A1BB7" w:rsidRPr="00D119AC" w:rsidRDefault="007A1BB7" w:rsidP="000E1366">
            <w:pPr>
              <w:widowControl w:val="0"/>
              <w:autoSpaceDE w:val="0"/>
              <w:autoSpaceDN w:val="0"/>
              <w:adjustRightInd w:val="0"/>
              <w:spacing w:after="0" w:line="240" w:lineRule="auto"/>
              <w:ind w:left="144"/>
              <w:rPr>
                <w:rFonts w:ascii="Times New Roman" w:hAnsi="Times New Roman" w:cs="Times New Roman"/>
                <w:sz w:val="16"/>
                <w:szCs w:val="16"/>
                <w:lang w:val="en-US"/>
              </w:rPr>
            </w:pPr>
            <w:r w:rsidRPr="00D119AC">
              <w:rPr>
                <w:rFonts w:ascii="Times New Roman" w:hAnsi="Times New Roman" w:cs="Times New Roman"/>
                <w:sz w:val="16"/>
                <w:szCs w:val="16"/>
                <w:lang w:val="en-US"/>
              </w:rPr>
              <w:t>8.6</w:t>
            </w:r>
            <w:r>
              <w:rPr>
                <w:rFonts w:ascii="Times New Roman" w:hAnsi="Times New Roman" w:cs="Times New Roman"/>
                <w:sz w:val="16"/>
                <w:szCs w:val="16"/>
                <w:lang w:val="en-US"/>
              </w:rPr>
              <w:t xml:space="preserve"> </w:t>
            </w:r>
            <w:r w:rsidRPr="00D119AC">
              <w:rPr>
                <w:rFonts w:ascii="Times New Roman" w:hAnsi="Times New Roman" w:cs="Times New Roman"/>
                <w:sz w:val="16"/>
                <w:szCs w:val="16"/>
                <w:lang w:val="en-US"/>
              </w:rPr>
              <w:t>(6.7-10.6)</w:t>
            </w:r>
          </w:p>
        </w:tc>
        <w:tc>
          <w:tcPr>
            <w:tcW w:w="397" w:type="dxa"/>
            <w:tcBorders>
              <w:left w:val="dashed" w:sz="4" w:space="0" w:color="auto"/>
            </w:tcBorders>
            <w:vAlign w:val="center"/>
          </w:tcPr>
          <w:p w14:paraId="3A22E56E" w14:textId="2B8D8B5A" w:rsidR="007A1BB7" w:rsidRPr="00D119AC" w:rsidRDefault="007A1BB7" w:rsidP="007A1BB7">
            <w:pPr>
              <w:widowControl w:val="0"/>
              <w:autoSpaceDE w:val="0"/>
              <w:autoSpaceDN w:val="0"/>
              <w:adjustRightInd w:val="0"/>
              <w:spacing w:after="0" w:line="240" w:lineRule="auto"/>
              <w:jc w:val="center"/>
              <w:rPr>
                <w:rFonts w:ascii="Times New Roman" w:hAnsi="Times New Roman" w:cs="Times New Roman"/>
                <w:sz w:val="16"/>
                <w:szCs w:val="16"/>
                <w:lang w:val="en-US"/>
              </w:rPr>
            </w:pPr>
            <w:r w:rsidRPr="00D119AC">
              <w:rPr>
                <w:rFonts w:ascii="Times New Roman" w:hAnsi="Times New Roman" w:cs="Times New Roman"/>
                <w:sz w:val="16"/>
                <w:szCs w:val="16"/>
                <w:lang w:val="en-US"/>
              </w:rPr>
              <w:t>62</w:t>
            </w:r>
          </w:p>
        </w:tc>
        <w:tc>
          <w:tcPr>
            <w:tcW w:w="1758" w:type="dxa"/>
            <w:gridSpan w:val="2"/>
            <w:tcBorders>
              <w:right w:val="dashed" w:sz="4" w:space="0" w:color="auto"/>
            </w:tcBorders>
            <w:vAlign w:val="center"/>
          </w:tcPr>
          <w:p w14:paraId="107E33F4" w14:textId="301B8AFD" w:rsidR="007A1BB7" w:rsidRPr="00D119AC" w:rsidRDefault="007A1BB7" w:rsidP="000E1366">
            <w:pPr>
              <w:widowControl w:val="0"/>
              <w:autoSpaceDE w:val="0"/>
              <w:autoSpaceDN w:val="0"/>
              <w:adjustRightInd w:val="0"/>
              <w:spacing w:after="0" w:line="240" w:lineRule="auto"/>
              <w:ind w:left="87"/>
              <w:rPr>
                <w:rFonts w:ascii="Times New Roman" w:hAnsi="Times New Roman" w:cs="Times New Roman"/>
                <w:sz w:val="16"/>
                <w:szCs w:val="16"/>
                <w:lang w:val="en-US"/>
              </w:rPr>
            </w:pPr>
            <w:r w:rsidRPr="00D119AC">
              <w:rPr>
                <w:rFonts w:ascii="Times New Roman" w:hAnsi="Times New Roman" w:cs="Times New Roman"/>
                <w:sz w:val="16"/>
                <w:szCs w:val="16"/>
                <w:lang w:val="en-US"/>
              </w:rPr>
              <w:t>11.0</w:t>
            </w:r>
            <w:r>
              <w:rPr>
                <w:rFonts w:ascii="Times New Roman" w:hAnsi="Times New Roman" w:cs="Times New Roman"/>
                <w:sz w:val="16"/>
                <w:szCs w:val="16"/>
                <w:lang w:val="en-US"/>
              </w:rPr>
              <w:t xml:space="preserve"> </w:t>
            </w:r>
            <w:r w:rsidRPr="00D119AC">
              <w:rPr>
                <w:rFonts w:ascii="Times New Roman" w:hAnsi="Times New Roman" w:cs="Times New Roman"/>
                <w:sz w:val="16"/>
                <w:szCs w:val="16"/>
                <w:lang w:val="en-US"/>
              </w:rPr>
              <w:t>(8.1-14.1)</w:t>
            </w:r>
          </w:p>
        </w:tc>
      </w:tr>
      <w:tr w:rsidR="007A1BB7" w:rsidRPr="00D119AC" w14:paraId="4EAC67B2" w14:textId="77777777" w:rsidTr="0056300B">
        <w:trPr>
          <w:trHeight w:val="113"/>
        </w:trPr>
        <w:tc>
          <w:tcPr>
            <w:tcW w:w="2438" w:type="dxa"/>
            <w:tcBorders>
              <w:right w:val="dashed" w:sz="4" w:space="0" w:color="auto"/>
            </w:tcBorders>
            <w:vAlign w:val="center"/>
          </w:tcPr>
          <w:p w14:paraId="0583AD11" w14:textId="0BB481B4" w:rsidR="007A1BB7" w:rsidRPr="00D119AC" w:rsidRDefault="007A1BB7" w:rsidP="000E1366">
            <w:pPr>
              <w:widowControl w:val="0"/>
              <w:autoSpaceDE w:val="0"/>
              <w:autoSpaceDN w:val="0"/>
              <w:adjustRightInd w:val="0"/>
              <w:spacing w:after="0" w:line="240" w:lineRule="auto"/>
              <w:ind w:left="654"/>
              <w:rPr>
                <w:rFonts w:ascii="Times New Roman" w:hAnsi="Times New Roman" w:cs="Times New Roman"/>
                <w:b/>
                <w:sz w:val="16"/>
                <w:szCs w:val="16"/>
                <w:lang w:val="en-US"/>
              </w:rPr>
            </w:pPr>
            <w:r w:rsidRPr="00D119AC">
              <w:rPr>
                <w:rFonts w:ascii="Times New Roman" w:hAnsi="Times New Roman" w:cs="Times New Roman"/>
                <w:sz w:val="16"/>
                <w:szCs w:val="16"/>
                <w:lang w:val="en-US"/>
              </w:rPr>
              <w:t>Yes</w:t>
            </w:r>
          </w:p>
        </w:tc>
        <w:tc>
          <w:tcPr>
            <w:tcW w:w="340" w:type="dxa"/>
            <w:tcBorders>
              <w:left w:val="dashed" w:sz="4" w:space="0" w:color="auto"/>
            </w:tcBorders>
            <w:vAlign w:val="center"/>
          </w:tcPr>
          <w:p w14:paraId="27932325" w14:textId="032120CE" w:rsidR="007A1BB7" w:rsidRPr="00D119AC" w:rsidRDefault="007A1BB7" w:rsidP="007A1BB7">
            <w:pPr>
              <w:widowControl w:val="0"/>
              <w:autoSpaceDE w:val="0"/>
              <w:autoSpaceDN w:val="0"/>
              <w:adjustRightInd w:val="0"/>
              <w:spacing w:after="0" w:line="240" w:lineRule="auto"/>
              <w:ind w:left="-118"/>
              <w:jc w:val="center"/>
              <w:rPr>
                <w:rFonts w:ascii="Times New Roman" w:hAnsi="Times New Roman" w:cs="Times New Roman"/>
                <w:sz w:val="16"/>
                <w:szCs w:val="16"/>
                <w:lang w:val="en-US"/>
              </w:rPr>
            </w:pPr>
            <w:r w:rsidRPr="00D119AC">
              <w:rPr>
                <w:rFonts w:ascii="Times New Roman" w:hAnsi="Times New Roman" w:cs="Times New Roman"/>
                <w:sz w:val="16"/>
                <w:szCs w:val="16"/>
                <w:lang w:val="en-US"/>
              </w:rPr>
              <w:t>5</w:t>
            </w:r>
          </w:p>
        </w:tc>
        <w:tc>
          <w:tcPr>
            <w:tcW w:w="1928" w:type="dxa"/>
            <w:gridSpan w:val="2"/>
            <w:tcBorders>
              <w:right w:val="dashed" w:sz="4" w:space="0" w:color="auto"/>
            </w:tcBorders>
            <w:vAlign w:val="center"/>
          </w:tcPr>
          <w:p w14:paraId="52B7FE3C" w14:textId="524B81CB" w:rsidR="007A1BB7" w:rsidRPr="00D119AC" w:rsidRDefault="007A1BB7" w:rsidP="000E1366">
            <w:pPr>
              <w:widowControl w:val="0"/>
              <w:autoSpaceDE w:val="0"/>
              <w:autoSpaceDN w:val="0"/>
              <w:adjustRightInd w:val="0"/>
              <w:spacing w:after="0" w:line="240" w:lineRule="auto"/>
              <w:ind w:left="144"/>
              <w:rPr>
                <w:rFonts w:ascii="Times New Roman" w:hAnsi="Times New Roman" w:cs="Times New Roman"/>
                <w:sz w:val="16"/>
                <w:szCs w:val="16"/>
                <w:lang w:val="en-US"/>
              </w:rPr>
            </w:pPr>
            <w:r w:rsidRPr="00D119AC">
              <w:rPr>
                <w:rFonts w:ascii="Times New Roman" w:hAnsi="Times New Roman" w:cs="Times New Roman"/>
                <w:sz w:val="16"/>
                <w:szCs w:val="16"/>
                <w:lang w:val="en-US"/>
              </w:rPr>
              <w:t>6.9</w:t>
            </w:r>
            <w:r>
              <w:rPr>
                <w:rFonts w:ascii="Times New Roman" w:hAnsi="Times New Roman" w:cs="Times New Roman"/>
                <w:sz w:val="16"/>
                <w:szCs w:val="16"/>
                <w:lang w:val="en-US"/>
              </w:rPr>
              <w:t xml:space="preserve"> </w:t>
            </w:r>
            <w:r w:rsidRPr="00D119AC">
              <w:rPr>
                <w:rFonts w:ascii="Times New Roman" w:hAnsi="Times New Roman" w:cs="Times New Roman"/>
                <w:sz w:val="16"/>
                <w:szCs w:val="16"/>
                <w:lang w:val="en-US"/>
              </w:rPr>
              <w:t>(6.5-9.2)</w:t>
            </w:r>
          </w:p>
        </w:tc>
        <w:tc>
          <w:tcPr>
            <w:tcW w:w="397" w:type="dxa"/>
            <w:tcBorders>
              <w:left w:val="dashed" w:sz="4" w:space="0" w:color="auto"/>
            </w:tcBorders>
            <w:vAlign w:val="center"/>
          </w:tcPr>
          <w:p w14:paraId="77A11BAF" w14:textId="7027BF94" w:rsidR="007A1BB7" w:rsidRPr="00D119AC" w:rsidRDefault="007A1BB7" w:rsidP="007A1BB7">
            <w:pPr>
              <w:widowControl w:val="0"/>
              <w:autoSpaceDE w:val="0"/>
              <w:autoSpaceDN w:val="0"/>
              <w:adjustRightInd w:val="0"/>
              <w:spacing w:after="0" w:line="240" w:lineRule="auto"/>
              <w:jc w:val="center"/>
              <w:rPr>
                <w:rFonts w:ascii="Times New Roman" w:hAnsi="Times New Roman" w:cs="Times New Roman"/>
                <w:sz w:val="16"/>
                <w:szCs w:val="16"/>
                <w:lang w:val="en-US"/>
              </w:rPr>
            </w:pPr>
            <w:r w:rsidRPr="00D119AC">
              <w:rPr>
                <w:rFonts w:ascii="Times New Roman" w:hAnsi="Times New Roman" w:cs="Times New Roman"/>
                <w:sz w:val="16"/>
                <w:szCs w:val="16"/>
                <w:lang w:val="en-US"/>
              </w:rPr>
              <w:t>6</w:t>
            </w:r>
          </w:p>
        </w:tc>
        <w:tc>
          <w:tcPr>
            <w:tcW w:w="1758" w:type="dxa"/>
            <w:gridSpan w:val="2"/>
            <w:tcBorders>
              <w:right w:val="dashed" w:sz="4" w:space="0" w:color="auto"/>
            </w:tcBorders>
            <w:vAlign w:val="center"/>
          </w:tcPr>
          <w:p w14:paraId="7AB00B3F" w14:textId="130B6B16" w:rsidR="007A1BB7" w:rsidRPr="00D119AC" w:rsidRDefault="007A1BB7" w:rsidP="000E1366">
            <w:pPr>
              <w:widowControl w:val="0"/>
              <w:autoSpaceDE w:val="0"/>
              <w:autoSpaceDN w:val="0"/>
              <w:adjustRightInd w:val="0"/>
              <w:spacing w:after="0" w:line="240" w:lineRule="auto"/>
              <w:ind w:left="87"/>
              <w:rPr>
                <w:rFonts w:ascii="Times New Roman" w:hAnsi="Times New Roman" w:cs="Times New Roman"/>
                <w:sz w:val="16"/>
                <w:szCs w:val="16"/>
                <w:lang w:val="en-US"/>
              </w:rPr>
            </w:pPr>
            <w:r w:rsidRPr="00D119AC">
              <w:rPr>
                <w:rFonts w:ascii="Times New Roman" w:hAnsi="Times New Roman" w:cs="Times New Roman"/>
                <w:sz w:val="16"/>
                <w:szCs w:val="16"/>
                <w:lang w:val="en-US"/>
              </w:rPr>
              <w:t>9.9</w:t>
            </w:r>
            <w:r>
              <w:rPr>
                <w:rFonts w:ascii="Times New Roman" w:hAnsi="Times New Roman" w:cs="Times New Roman"/>
                <w:sz w:val="16"/>
                <w:szCs w:val="16"/>
                <w:lang w:val="en-US"/>
              </w:rPr>
              <w:t xml:space="preserve"> </w:t>
            </w:r>
            <w:r w:rsidRPr="00D119AC">
              <w:rPr>
                <w:rFonts w:ascii="Times New Roman" w:hAnsi="Times New Roman" w:cs="Times New Roman"/>
                <w:sz w:val="16"/>
                <w:szCs w:val="16"/>
                <w:lang w:val="en-US"/>
              </w:rPr>
              <w:t>(6.7-16.7)</w:t>
            </w:r>
          </w:p>
        </w:tc>
      </w:tr>
      <w:tr w:rsidR="007A1BB7" w:rsidRPr="00D119AC" w14:paraId="00E28129" w14:textId="77777777" w:rsidTr="0056300B">
        <w:trPr>
          <w:trHeight w:val="113"/>
        </w:trPr>
        <w:tc>
          <w:tcPr>
            <w:tcW w:w="2438" w:type="dxa"/>
            <w:tcBorders>
              <w:right w:val="dashed" w:sz="4" w:space="0" w:color="auto"/>
            </w:tcBorders>
            <w:shd w:val="clear" w:color="auto" w:fill="F2F2F2" w:themeFill="background1" w:themeFillShade="F2"/>
            <w:vAlign w:val="center"/>
          </w:tcPr>
          <w:p w14:paraId="4EEC2732" w14:textId="77777777" w:rsidR="007A1BB7" w:rsidRPr="00D119AC" w:rsidRDefault="007A1BB7" w:rsidP="007A1BB7">
            <w:pPr>
              <w:widowControl w:val="0"/>
              <w:autoSpaceDE w:val="0"/>
              <w:autoSpaceDN w:val="0"/>
              <w:adjustRightInd w:val="0"/>
              <w:spacing w:after="0" w:line="240" w:lineRule="auto"/>
              <w:rPr>
                <w:rFonts w:ascii="Times New Roman" w:hAnsi="Times New Roman" w:cs="Times New Roman"/>
                <w:b/>
                <w:sz w:val="16"/>
                <w:szCs w:val="16"/>
                <w:lang w:val="en-US"/>
              </w:rPr>
            </w:pPr>
            <w:r w:rsidRPr="00D119AC">
              <w:rPr>
                <w:rFonts w:ascii="Times New Roman" w:hAnsi="Times New Roman" w:cs="Times New Roman"/>
                <w:b/>
                <w:sz w:val="16"/>
                <w:szCs w:val="16"/>
                <w:lang w:val="en-US"/>
              </w:rPr>
              <w:t>Aneurysm location</w:t>
            </w:r>
          </w:p>
        </w:tc>
        <w:tc>
          <w:tcPr>
            <w:tcW w:w="340" w:type="dxa"/>
            <w:tcBorders>
              <w:left w:val="dashed" w:sz="4" w:space="0" w:color="auto"/>
            </w:tcBorders>
            <w:shd w:val="clear" w:color="auto" w:fill="F2F2F2" w:themeFill="background1" w:themeFillShade="F2"/>
            <w:vAlign w:val="center"/>
          </w:tcPr>
          <w:p w14:paraId="54A89177" w14:textId="77777777" w:rsidR="007A1BB7" w:rsidRPr="00D119AC" w:rsidRDefault="007A1BB7" w:rsidP="007A1BB7">
            <w:pPr>
              <w:widowControl w:val="0"/>
              <w:autoSpaceDE w:val="0"/>
              <w:autoSpaceDN w:val="0"/>
              <w:adjustRightInd w:val="0"/>
              <w:spacing w:after="0" w:line="240" w:lineRule="auto"/>
              <w:ind w:left="-118"/>
              <w:jc w:val="center"/>
              <w:rPr>
                <w:rFonts w:ascii="Times New Roman" w:hAnsi="Times New Roman" w:cs="Times New Roman"/>
                <w:sz w:val="16"/>
                <w:szCs w:val="16"/>
                <w:lang w:val="en-US"/>
              </w:rPr>
            </w:pPr>
          </w:p>
        </w:tc>
        <w:tc>
          <w:tcPr>
            <w:tcW w:w="1134" w:type="dxa"/>
            <w:shd w:val="clear" w:color="auto" w:fill="F2F2F2" w:themeFill="background1" w:themeFillShade="F2"/>
            <w:vAlign w:val="center"/>
          </w:tcPr>
          <w:p w14:paraId="61E15613" w14:textId="77777777" w:rsidR="007A1BB7" w:rsidRPr="00D119AC" w:rsidRDefault="007A1BB7" w:rsidP="007A1BB7">
            <w:pPr>
              <w:widowControl w:val="0"/>
              <w:autoSpaceDE w:val="0"/>
              <w:autoSpaceDN w:val="0"/>
              <w:adjustRightInd w:val="0"/>
              <w:spacing w:after="0" w:line="240" w:lineRule="auto"/>
              <w:jc w:val="center"/>
              <w:rPr>
                <w:rFonts w:ascii="Times New Roman" w:hAnsi="Times New Roman" w:cs="Times New Roman"/>
                <w:sz w:val="16"/>
                <w:szCs w:val="16"/>
                <w:lang w:val="en-US"/>
              </w:rPr>
            </w:pPr>
          </w:p>
        </w:tc>
        <w:tc>
          <w:tcPr>
            <w:tcW w:w="794" w:type="dxa"/>
            <w:tcBorders>
              <w:right w:val="dashed" w:sz="4" w:space="0" w:color="auto"/>
            </w:tcBorders>
            <w:shd w:val="clear" w:color="auto" w:fill="F2F2F2" w:themeFill="background1" w:themeFillShade="F2"/>
            <w:vAlign w:val="center"/>
          </w:tcPr>
          <w:p w14:paraId="1CAFFA8F" w14:textId="0EFC7425" w:rsidR="007A1BB7" w:rsidRPr="00D119AC" w:rsidRDefault="007A1BB7" w:rsidP="000C4E8B">
            <w:pPr>
              <w:widowControl w:val="0"/>
              <w:autoSpaceDE w:val="0"/>
              <w:autoSpaceDN w:val="0"/>
              <w:adjustRightInd w:val="0"/>
              <w:spacing w:after="0" w:line="240" w:lineRule="auto"/>
              <w:jc w:val="right"/>
              <w:rPr>
                <w:rFonts w:ascii="Times New Roman" w:hAnsi="Times New Roman" w:cs="Times New Roman"/>
                <w:sz w:val="16"/>
                <w:szCs w:val="16"/>
                <w:lang w:val="en-US"/>
              </w:rPr>
            </w:pPr>
            <w:r w:rsidRPr="00D119AC">
              <w:rPr>
                <w:rFonts w:ascii="Times New Roman" w:hAnsi="Times New Roman" w:cs="Times New Roman"/>
                <w:sz w:val="16"/>
                <w:szCs w:val="16"/>
                <w:lang w:val="en-US"/>
              </w:rPr>
              <w:t>0.709</w:t>
            </w:r>
          </w:p>
        </w:tc>
        <w:tc>
          <w:tcPr>
            <w:tcW w:w="397" w:type="dxa"/>
            <w:tcBorders>
              <w:left w:val="dashed" w:sz="4" w:space="0" w:color="auto"/>
            </w:tcBorders>
            <w:shd w:val="clear" w:color="auto" w:fill="F2F2F2" w:themeFill="background1" w:themeFillShade="F2"/>
            <w:vAlign w:val="center"/>
          </w:tcPr>
          <w:p w14:paraId="262C09C1" w14:textId="77777777" w:rsidR="007A1BB7" w:rsidRPr="00D119AC" w:rsidRDefault="007A1BB7" w:rsidP="000C4E8B">
            <w:pPr>
              <w:widowControl w:val="0"/>
              <w:autoSpaceDE w:val="0"/>
              <w:autoSpaceDN w:val="0"/>
              <w:adjustRightInd w:val="0"/>
              <w:spacing w:after="0" w:line="240" w:lineRule="auto"/>
              <w:jc w:val="right"/>
              <w:rPr>
                <w:rFonts w:ascii="Times New Roman" w:hAnsi="Times New Roman" w:cs="Times New Roman"/>
                <w:sz w:val="16"/>
                <w:szCs w:val="16"/>
                <w:lang w:val="en-US"/>
              </w:rPr>
            </w:pPr>
          </w:p>
        </w:tc>
        <w:tc>
          <w:tcPr>
            <w:tcW w:w="1021" w:type="dxa"/>
            <w:shd w:val="clear" w:color="auto" w:fill="F2F2F2" w:themeFill="background1" w:themeFillShade="F2"/>
            <w:vAlign w:val="center"/>
          </w:tcPr>
          <w:p w14:paraId="027F07BC" w14:textId="77777777" w:rsidR="007A1BB7" w:rsidRPr="00D119AC" w:rsidRDefault="007A1BB7" w:rsidP="000C4E8B">
            <w:pPr>
              <w:widowControl w:val="0"/>
              <w:autoSpaceDE w:val="0"/>
              <w:autoSpaceDN w:val="0"/>
              <w:adjustRightInd w:val="0"/>
              <w:spacing w:after="0" w:line="240" w:lineRule="auto"/>
              <w:jc w:val="right"/>
              <w:rPr>
                <w:rFonts w:ascii="Times New Roman" w:hAnsi="Times New Roman" w:cs="Times New Roman"/>
                <w:sz w:val="16"/>
                <w:szCs w:val="16"/>
                <w:lang w:val="en-US"/>
              </w:rPr>
            </w:pPr>
          </w:p>
        </w:tc>
        <w:tc>
          <w:tcPr>
            <w:tcW w:w="737" w:type="dxa"/>
            <w:tcBorders>
              <w:right w:val="dashed" w:sz="4" w:space="0" w:color="auto"/>
            </w:tcBorders>
            <w:shd w:val="clear" w:color="auto" w:fill="F2F2F2" w:themeFill="background1" w:themeFillShade="F2"/>
            <w:vAlign w:val="center"/>
          </w:tcPr>
          <w:p w14:paraId="5E5869DF" w14:textId="50ECF8B0" w:rsidR="007A1BB7" w:rsidRPr="00D119AC" w:rsidRDefault="007A1BB7" w:rsidP="000C4E8B">
            <w:pPr>
              <w:widowControl w:val="0"/>
              <w:autoSpaceDE w:val="0"/>
              <w:autoSpaceDN w:val="0"/>
              <w:adjustRightInd w:val="0"/>
              <w:spacing w:after="0" w:line="240" w:lineRule="auto"/>
              <w:jc w:val="right"/>
              <w:rPr>
                <w:rFonts w:ascii="Times New Roman" w:hAnsi="Times New Roman" w:cs="Times New Roman"/>
                <w:sz w:val="16"/>
                <w:szCs w:val="16"/>
                <w:lang w:val="en-US"/>
              </w:rPr>
            </w:pPr>
            <w:r w:rsidRPr="00D119AC">
              <w:rPr>
                <w:rFonts w:ascii="Times New Roman" w:hAnsi="Times New Roman" w:cs="Times New Roman"/>
                <w:b/>
                <w:sz w:val="16"/>
                <w:szCs w:val="16"/>
                <w:lang w:val="en-US"/>
              </w:rPr>
              <w:t>0.015</w:t>
            </w:r>
          </w:p>
        </w:tc>
      </w:tr>
      <w:tr w:rsidR="000C4E8B" w:rsidRPr="00D119AC" w14:paraId="1873C26E" w14:textId="77777777" w:rsidTr="0056300B">
        <w:trPr>
          <w:trHeight w:val="113"/>
        </w:trPr>
        <w:tc>
          <w:tcPr>
            <w:tcW w:w="2438" w:type="dxa"/>
            <w:tcBorders>
              <w:right w:val="dashed" w:sz="4" w:space="0" w:color="auto"/>
            </w:tcBorders>
            <w:vAlign w:val="center"/>
          </w:tcPr>
          <w:p w14:paraId="58917404" w14:textId="3546598A" w:rsidR="000C4E8B" w:rsidRPr="00D119AC" w:rsidRDefault="000C4E8B" w:rsidP="000E1366">
            <w:pPr>
              <w:widowControl w:val="0"/>
              <w:autoSpaceDE w:val="0"/>
              <w:autoSpaceDN w:val="0"/>
              <w:adjustRightInd w:val="0"/>
              <w:spacing w:after="0" w:line="240" w:lineRule="auto"/>
              <w:ind w:left="654"/>
              <w:rPr>
                <w:rFonts w:ascii="Times New Roman" w:hAnsi="Times New Roman" w:cs="Times New Roman"/>
                <w:b/>
                <w:sz w:val="16"/>
                <w:szCs w:val="16"/>
                <w:lang w:val="en-US"/>
              </w:rPr>
            </w:pPr>
            <w:r>
              <w:rPr>
                <w:rFonts w:ascii="Times New Roman" w:hAnsi="Times New Roman" w:cs="Times New Roman"/>
                <w:sz w:val="16"/>
                <w:szCs w:val="16"/>
                <w:lang w:val="en-US"/>
              </w:rPr>
              <w:t>Anterior circulation</w:t>
            </w:r>
          </w:p>
        </w:tc>
        <w:tc>
          <w:tcPr>
            <w:tcW w:w="340" w:type="dxa"/>
            <w:tcBorders>
              <w:left w:val="dashed" w:sz="4" w:space="0" w:color="auto"/>
            </w:tcBorders>
            <w:vAlign w:val="center"/>
          </w:tcPr>
          <w:p w14:paraId="5F1C9917" w14:textId="036F4968" w:rsidR="000C4E8B" w:rsidRPr="00D119AC" w:rsidRDefault="000C4E8B" w:rsidP="007A1BB7">
            <w:pPr>
              <w:widowControl w:val="0"/>
              <w:autoSpaceDE w:val="0"/>
              <w:autoSpaceDN w:val="0"/>
              <w:adjustRightInd w:val="0"/>
              <w:spacing w:after="0" w:line="240" w:lineRule="auto"/>
              <w:ind w:left="-118"/>
              <w:jc w:val="center"/>
              <w:rPr>
                <w:rFonts w:ascii="Times New Roman" w:hAnsi="Times New Roman" w:cs="Times New Roman"/>
                <w:sz w:val="16"/>
                <w:szCs w:val="16"/>
                <w:lang w:val="en-US"/>
              </w:rPr>
            </w:pPr>
            <w:r w:rsidRPr="00D119AC">
              <w:rPr>
                <w:rFonts w:ascii="Times New Roman" w:hAnsi="Times New Roman" w:cs="Times New Roman"/>
                <w:sz w:val="16"/>
                <w:szCs w:val="16"/>
                <w:lang w:val="en-US"/>
              </w:rPr>
              <w:t>57</w:t>
            </w:r>
          </w:p>
        </w:tc>
        <w:tc>
          <w:tcPr>
            <w:tcW w:w="1928" w:type="dxa"/>
            <w:gridSpan w:val="2"/>
            <w:tcBorders>
              <w:right w:val="dashed" w:sz="4" w:space="0" w:color="auto"/>
            </w:tcBorders>
            <w:vAlign w:val="center"/>
          </w:tcPr>
          <w:p w14:paraId="4D88A323" w14:textId="16B65398" w:rsidR="000C4E8B" w:rsidRPr="00D119AC" w:rsidRDefault="000C4E8B" w:rsidP="000E1366">
            <w:pPr>
              <w:widowControl w:val="0"/>
              <w:autoSpaceDE w:val="0"/>
              <w:autoSpaceDN w:val="0"/>
              <w:adjustRightInd w:val="0"/>
              <w:spacing w:after="0" w:line="240" w:lineRule="auto"/>
              <w:ind w:left="144"/>
              <w:rPr>
                <w:rFonts w:ascii="Times New Roman" w:hAnsi="Times New Roman" w:cs="Times New Roman"/>
                <w:sz w:val="16"/>
                <w:szCs w:val="16"/>
                <w:lang w:val="en-US"/>
              </w:rPr>
            </w:pPr>
            <w:r w:rsidRPr="00D119AC">
              <w:rPr>
                <w:rFonts w:ascii="Times New Roman" w:hAnsi="Times New Roman" w:cs="Times New Roman"/>
                <w:sz w:val="16"/>
                <w:szCs w:val="16"/>
                <w:lang w:val="en-US"/>
              </w:rPr>
              <w:t>8.6</w:t>
            </w:r>
            <w:r>
              <w:rPr>
                <w:rFonts w:ascii="Times New Roman" w:hAnsi="Times New Roman" w:cs="Times New Roman"/>
                <w:sz w:val="16"/>
                <w:szCs w:val="16"/>
                <w:lang w:val="en-US"/>
              </w:rPr>
              <w:t xml:space="preserve"> </w:t>
            </w:r>
            <w:r w:rsidRPr="00D119AC">
              <w:rPr>
                <w:rFonts w:ascii="Times New Roman" w:hAnsi="Times New Roman" w:cs="Times New Roman"/>
                <w:sz w:val="16"/>
                <w:szCs w:val="16"/>
                <w:lang w:val="en-US"/>
              </w:rPr>
              <w:t>(6.5-10.5)</w:t>
            </w:r>
          </w:p>
        </w:tc>
        <w:tc>
          <w:tcPr>
            <w:tcW w:w="397" w:type="dxa"/>
            <w:tcBorders>
              <w:left w:val="dashed" w:sz="4" w:space="0" w:color="auto"/>
            </w:tcBorders>
            <w:vAlign w:val="center"/>
          </w:tcPr>
          <w:p w14:paraId="0DE74CEF" w14:textId="1D4845F0" w:rsidR="000C4E8B" w:rsidRPr="00D119AC" w:rsidRDefault="000C4E8B" w:rsidP="007A1BB7">
            <w:pPr>
              <w:widowControl w:val="0"/>
              <w:autoSpaceDE w:val="0"/>
              <w:autoSpaceDN w:val="0"/>
              <w:adjustRightInd w:val="0"/>
              <w:spacing w:after="0" w:line="240" w:lineRule="auto"/>
              <w:jc w:val="center"/>
              <w:rPr>
                <w:rFonts w:ascii="Times New Roman" w:hAnsi="Times New Roman" w:cs="Times New Roman"/>
                <w:sz w:val="16"/>
                <w:szCs w:val="16"/>
                <w:lang w:val="en-US"/>
              </w:rPr>
            </w:pPr>
            <w:r w:rsidRPr="00D119AC">
              <w:rPr>
                <w:rFonts w:ascii="Times New Roman" w:hAnsi="Times New Roman" w:cs="Times New Roman"/>
                <w:sz w:val="16"/>
                <w:szCs w:val="16"/>
                <w:lang w:val="en-US"/>
              </w:rPr>
              <w:t>46</w:t>
            </w:r>
          </w:p>
        </w:tc>
        <w:tc>
          <w:tcPr>
            <w:tcW w:w="1758" w:type="dxa"/>
            <w:gridSpan w:val="2"/>
            <w:tcBorders>
              <w:right w:val="dashed" w:sz="4" w:space="0" w:color="auto"/>
            </w:tcBorders>
            <w:vAlign w:val="center"/>
          </w:tcPr>
          <w:p w14:paraId="137F5F32" w14:textId="7F7E8B05" w:rsidR="000C4E8B" w:rsidRPr="00D119AC" w:rsidRDefault="000C4E8B" w:rsidP="000E1366">
            <w:pPr>
              <w:widowControl w:val="0"/>
              <w:autoSpaceDE w:val="0"/>
              <w:autoSpaceDN w:val="0"/>
              <w:adjustRightInd w:val="0"/>
              <w:spacing w:after="0" w:line="240" w:lineRule="auto"/>
              <w:ind w:left="87"/>
              <w:rPr>
                <w:rFonts w:ascii="Times New Roman" w:hAnsi="Times New Roman" w:cs="Times New Roman"/>
                <w:sz w:val="16"/>
                <w:szCs w:val="16"/>
                <w:lang w:val="en-US"/>
              </w:rPr>
            </w:pPr>
            <w:r w:rsidRPr="00D119AC">
              <w:rPr>
                <w:rFonts w:ascii="Times New Roman" w:hAnsi="Times New Roman" w:cs="Times New Roman"/>
                <w:sz w:val="16"/>
                <w:szCs w:val="16"/>
                <w:lang w:val="en-US"/>
              </w:rPr>
              <w:t>12.3</w:t>
            </w:r>
            <w:r>
              <w:rPr>
                <w:rFonts w:ascii="Times New Roman" w:hAnsi="Times New Roman" w:cs="Times New Roman"/>
                <w:sz w:val="16"/>
                <w:szCs w:val="16"/>
                <w:lang w:val="en-US"/>
              </w:rPr>
              <w:t xml:space="preserve"> </w:t>
            </w:r>
            <w:r w:rsidRPr="00D119AC">
              <w:rPr>
                <w:rFonts w:ascii="Times New Roman" w:hAnsi="Times New Roman" w:cs="Times New Roman"/>
                <w:sz w:val="16"/>
                <w:szCs w:val="16"/>
                <w:lang w:val="en-US"/>
              </w:rPr>
              <w:t>(8.8-16.0)</w:t>
            </w:r>
          </w:p>
        </w:tc>
      </w:tr>
      <w:tr w:rsidR="000C4E8B" w:rsidRPr="00D119AC" w14:paraId="62B1753F" w14:textId="77777777" w:rsidTr="0056300B">
        <w:trPr>
          <w:trHeight w:val="113"/>
        </w:trPr>
        <w:tc>
          <w:tcPr>
            <w:tcW w:w="2438" w:type="dxa"/>
            <w:tcBorders>
              <w:right w:val="dashed" w:sz="4" w:space="0" w:color="auto"/>
            </w:tcBorders>
            <w:vAlign w:val="center"/>
          </w:tcPr>
          <w:p w14:paraId="704C8452" w14:textId="0F330296" w:rsidR="000C4E8B" w:rsidRPr="00D119AC" w:rsidRDefault="000C4E8B" w:rsidP="000E1366">
            <w:pPr>
              <w:widowControl w:val="0"/>
              <w:autoSpaceDE w:val="0"/>
              <w:autoSpaceDN w:val="0"/>
              <w:adjustRightInd w:val="0"/>
              <w:spacing w:after="0" w:line="240" w:lineRule="auto"/>
              <w:ind w:left="654"/>
              <w:rPr>
                <w:rFonts w:ascii="Times New Roman" w:hAnsi="Times New Roman" w:cs="Times New Roman"/>
                <w:b/>
                <w:sz w:val="16"/>
                <w:szCs w:val="16"/>
                <w:lang w:val="en-US"/>
              </w:rPr>
            </w:pPr>
            <w:r>
              <w:rPr>
                <w:rFonts w:ascii="Times New Roman" w:hAnsi="Times New Roman" w:cs="Times New Roman"/>
                <w:sz w:val="16"/>
                <w:szCs w:val="16"/>
                <w:lang w:val="en-US"/>
              </w:rPr>
              <w:t>Posterior circulation</w:t>
            </w:r>
          </w:p>
        </w:tc>
        <w:tc>
          <w:tcPr>
            <w:tcW w:w="340" w:type="dxa"/>
            <w:tcBorders>
              <w:left w:val="dashed" w:sz="4" w:space="0" w:color="auto"/>
            </w:tcBorders>
            <w:vAlign w:val="center"/>
          </w:tcPr>
          <w:p w14:paraId="427D3B25" w14:textId="5F5FD333" w:rsidR="000C4E8B" w:rsidRPr="00D119AC" w:rsidRDefault="000C4E8B" w:rsidP="007A1BB7">
            <w:pPr>
              <w:widowControl w:val="0"/>
              <w:autoSpaceDE w:val="0"/>
              <w:autoSpaceDN w:val="0"/>
              <w:adjustRightInd w:val="0"/>
              <w:spacing w:after="0" w:line="240" w:lineRule="auto"/>
              <w:ind w:left="-118"/>
              <w:jc w:val="center"/>
              <w:rPr>
                <w:rFonts w:ascii="Times New Roman" w:hAnsi="Times New Roman" w:cs="Times New Roman"/>
                <w:sz w:val="16"/>
                <w:szCs w:val="16"/>
                <w:lang w:val="en-US"/>
              </w:rPr>
            </w:pPr>
            <w:r w:rsidRPr="00D119AC">
              <w:rPr>
                <w:rFonts w:ascii="Times New Roman" w:hAnsi="Times New Roman" w:cs="Times New Roman"/>
                <w:sz w:val="16"/>
                <w:szCs w:val="16"/>
                <w:lang w:val="en-US"/>
              </w:rPr>
              <w:t>25</w:t>
            </w:r>
          </w:p>
        </w:tc>
        <w:tc>
          <w:tcPr>
            <w:tcW w:w="1928" w:type="dxa"/>
            <w:gridSpan w:val="2"/>
            <w:tcBorders>
              <w:right w:val="dashed" w:sz="4" w:space="0" w:color="auto"/>
            </w:tcBorders>
            <w:vAlign w:val="center"/>
          </w:tcPr>
          <w:p w14:paraId="5952CFEF" w14:textId="180261EF" w:rsidR="000C4E8B" w:rsidRPr="00D119AC" w:rsidRDefault="000C4E8B" w:rsidP="000E1366">
            <w:pPr>
              <w:widowControl w:val="0"/>
              <w:autoSpaceDE w:val="0"/>
              <w:autoSpaceDN w:val="0"/>
              <w:adjustRightInd w:val="0"/>
              <w:spacing w:after="0" w:line="240" w:lineRule="auto"/>
              <w:ind w:left="144"/>
              <w:rPr>
                <w:rFonts w:ascii="Times New Roman" w:hAnsi="Times New Roman" w:cs="Times New Roman"/>
                <w:sz w:val="16"/>
                <w:szCs w:val="16"/>
                <w:lang w:val="en-US"/>
              </w:rPr>
            </w:pPr>
            <w:r w:rsidRPr="00D119AC">
              <w:rPr>
                <w:rFonts w:ascii="Times New Roman" w:hAnsi="Times New Roman" w:cs="Times New Roman"/>
                <w:sz w:val="16"/>
                <w:szCs w:val="16"/>
                <w:lang w:val="en-US"/>
              </w:rPr>
              <w:t>8.7</w:t>
            </w:r>
            <w:r>
              <w:rPr>
                <w:rFonts w:ascii="Times New Roman" w:hAnsi="Times New Roman" w:cs="Times New Roman"/>
                <w:sz w:val="16"/>
                <w:szCs w:val="16"/>
                <w:lang w:val="en-US"/>
              </w:rPr>
              <w:t xml:space="preserve"> </w:t>
            </w:r>
            <w:r w:rsidRPr="00D119AC">
              <w:rPr>
                <w:rFonts w:ascii="Times New Roman" w:hAnsi="Times New Roman" w:cs="Times New Roman"/>
                <w:sz w:val="16"/>
                <w:szCs w:val="16"/>
                <w:lang w:val="en-US"/>
              </w:rPr>
              <w:t>(6.9-12.6)</w:t>
            </w:r>
          </w:p>
        </w:tc>
        <w:tc>
          <w:tcPr>
            <w:tcW w:w="397" w:type="dxa"/>
            <w:tcBorders>
              <w:left w:val="dashed" w:sz="4" w:space="0" w:color="auto"/>
            </w:tcBorders>
            <w:vAlign w:val="center"/>
          </w:tcPr>
          <w:p w14:paraId="58FFE754" w14:textId="78AFD536" w:rsidR="000C4E8B" w:rsidRPr="00D119AC" w:rsidRDefault="000C4E8B" w:rsidP="007A1BB7">
            <w:pPr>
              <w:widowControl w:val="0"/>
              <w:autoSpaceDE w:val="0"/>
              <w:autoSpaceDN w:val="0"/>
              <w:adjustRightInd w:val="0"/>
              <w:spacing w:after="0" w:line="240" w:lineRule="auto"/>
              <w:jc w:val="center"/>
              <w:rPr>
                <w:rFonts w:ascii="Times New Roman" w:hAnsi="Times New Roman" w:cs="Times New Roman"/>
                <w:sz w:val="16"/>
                <w:szCs w:val="16"/>
                <w:lang w:val="en-US"/>
              </w:rPr>
            </w:pPr>
            <w:r w:rsidRPr="00D119AC">
              <w:rPr>
                <w:rFonts w:ascii="Times New Roman" w:hAnsi="Times New Roman" w:cs="Times New Roman"/>
                <w:sz w:val="16"/>
                <w:szCs w:val="16"/>
                <w:lang w:val="en-US"/>
              </w:rPr>
              <w:t>21</w:t>
            </w:r>
          </w:p>
        </w:tc>
        <w:tc>
          <w:tcPr>
            <w:tcW w:w="1758" w:type="dxa"/>
            <w:gridSpan w:val="2"/>
            <w:tcBorders>
              <w:right w:val="dashed" w:sz="4" w:space="0" w:color="auto"/>
            </w:tcBorders>
            <w:vAlign w:val="center"/>
          </w:tcPr>
          <w:p w14:paraId="6C5A63BF" w14:textId="340545E5" w:rsidR="000C4E8B" w:rsidRPr="00D119AC" w:rsidRDefault="000C4E8B" w:rsidP="000E1366">
            <w:pPr>
              <w:widowControl w:val="0"/>
              <w:autoSpaceDE w:val="0"/>
              <w:autoSpaceDN w:val="0"/>
              <w:adjustRightInd w:val="0"/>
              <w:spacing w:after="0" w:line="240" w:lineRule="auto"/>
              <w:ind w:left="87"/>
              <w:rPr>
                <w:rFonts w:ascii="Times New Roman" w:hAnsi="Times New Roman" w:cs="Times New Roman"/>
                <w:sz w:val="16"/>
                <w:szCs w:val="16"/>
                <w:lang w:val="en-US"/>
              </w:rPr>
            </w:pPr>
            <w:r w:rsidRPr="00D119AC">
              <w:rPr>
                <w:rFonts w:ascii="Times New Roman" w:hAnsi="Times New Roman" w:cs="Times New Roman"/>
                <w:sz w:val="16"/>
                <w:szCs w:val="16"/>
                <w:lang w:val="en-US"/>
              </w:rPr>
              <w:t>9.0</w:t>
            </w:r>
            <w:r>
              <w:rPr>
                <w:rFonts w:ascii="Times New Roman" w:hAnsi="Times New Roman" w:cs="Times New Roman"/>
                <w:sz w:val="16"/>
                <w:szCs w:val="16"/>
                <w:lang w:val="en-US"/>
              </w:rPr>
              <w:t xml:space="preserve"> </w:t>
            </w:r>
            <w:r w:rsidRPr="00D119AC">
              <w:rPr>
                <w:rFonts w:ascii="Times New Roman" w:hAnsi="Times New Roman" w:cs="Times New Roman"/>
                <w:sz w:val="16"/>
                <w:szCs w:val="16"/>
                <w:lang w:val="en-US"/>
              </w:rPr>
              <w:t>(7.2-11.4)</w:t>
            </w:r>
          </w:p>
        </w:tc>
      </w:tr>
      <w:tr w:rsidR="000C4E8B" w:rsidRPr="00D119AC" w14:paraId="4EAE888B" w14:textId="77777777" w:rsidTr="0056300B">
        <w:trPr>
          <w:trHeight w:val="113"/>
        </w:trPr>
        <w:tc>
          <w:tcPr>
            <w:tcW w:w="2438" w:type="dxa"/>
            <w:tcBorders>
              <w:right w:val="dashed" w:sz="4" w:space="0" w:color="auto"/>
            </w:tcBorders>
            <w:shd w:val="clear" w:color="auto" w:fill="F2F2F2" w:themeFill="background1" w:themeFillShade="F2"/>
            <w:vAlign w:val="center"/>
          </w:tcPr>
          <w:p w14:paraId="5ED82ACB" w14:textId="77777777" w:rsidR="000C4E8B" w:rsidRPr="00D119AC" w:rsidRDefault="000C4E8B" w:rsidP="007A1BB7">
            <w:pPr>
              <w:widowControl w:val="0"/>
              <w:autoSpaceDE w:val="0"/>
              <w:autoSpaceDN w:val="0"/>
              <w:adjustRightInd w:val="0"/>
              <w:spacing w:after="0" w:line="240" w:lineRule="auto"/>
              <w:rPr>
                <w:rFonts w:ascii="Times New Roman" w:hAnsi="Times New Roman" w:cs="Times New Roman"/>
                <w:b/>
                <w:sz w:val="16"/>
                <w:szCs w:val="16"/>
                <w:lang w:val="en-US"/>
              </w:rPr>
            </w:pPr>
            <w:r w:rsidRPr="00D119AC">
              <w:rPr>
                <w:rFonts w:ascii="Times New Roman" w:hAnsi="Times New Roman" w:cs="Times New Roman"/>
                <w:b/>
                <w:sz w:val="16"/>
                <w:szCs w:val="16"/>
                <w:lang w:val="en-US"/>
              </w:rPr>
              <w:t>Treatment</w:t>
            </w:r>
          </w:p>
        </w:tc>
        <w:tc>
          <w:tcPr>
            <w:tcW w:w="340" w:type="dxa"/>
            <w:tcBorders>
              <w:left w:val="dashed" w:sz="4" w:space="0" w:color="auto"/>
            </w:tcBorders>
            <w:shd w:val="clear" w:color="auto" w:fill="F2F2F2" w:themeFill="background1" w:themeFillShade="F2"/>
            <w:vAlign w:val="center"/>
          </w:tcPr>
          <w:p w14:paraId="25EE88F0" w14:textId="77777777" w:rsidR="000C4E8B" w:rsidRPr="00D119AC" w:rsidRDefault="000C4E8B" w:rsidP="007A1BB7">
            <w:pPr>
              <w:widowControl w:val="0"/>
              <w:autoSpaceDE w:val="0"/>
              <w:autoSpaceDN w:val="0"/>
              <w:adjustRightInd w:val="0"/>
              <w:spacing w:after="0" w:line="240" w:lineRule="auto"/>
              <w:ind w:left="-118"/>
              <w:jc w:val="center"/>
              <w:rPr>
                <w:rFonts w:ascii="Times New Roman" w:hAnsi="Times New Roman" w:cs="Times New Roman"/>
                <w:sz w:val="16"/>
                <w:szCs w:val="16"/>
                <w:lang w:val="en-US"/>
              </w:rPr>
            </w:pPr>
          </w:p>
        </w:tc>
        <w:tc>
          <w:tcPr>
            <w:tcW w:w="1134" w:type="dxa"/>
            <w:shd w:val="clear" w:color="auto" w:fill="F2F2F2" w:themeFill="background1" w:themeFillShade="F2"/>
            <w:vAlign w:val="center"/>
          </w:tcPr>
          <w:p w14:paraId="4B0814D6" w14:textId="77777777" w:rsidR="000C4E8B" w:rsidRPr="00D119AC" w:rsidRDefault="000C4E8B" w:rsidP="007A1BB7">
            <w:pPr>
              <w:widowControl w:val="0"/>
              <w:autoSpaceDE w:val="0"/>
              <w:autoSpaceDN w:val="0"/>
              <w:adjustRightInd w:val="0"/>
              <w:spacing w:after="0" w:line="240" w:lineRule="auto"/>
              <w:jc w:val="center"/>
              <w:rPr>
                <w:rFonts w:ascii="Times New Roman" w:hAnsi="Times New Roman" w:cs="Times New Roman"/>
                <w:sz w:val="16"/>
                <w:szCs w:val="16"/>
                <w:lang w:val="en-US"/>
              </w:rPr>
            </w:pPr>
          </w:p>
        </w:tc>
        <w:tc>
          <w:tcPr>
            <w:tcW w:w="794" w:type="dxa"/>
            <w:tcBorders>
              <w:right w:val="dashed" w:sz="4" w:space="0" w:color="auto"/>
            </w:tcBorders>
            <w:shd w:val="clear" w:color="auto" w:fill="F2F2F2" w:themeFill="background1" w:themeFillShade="F2"/>
            <w:vAlign w:val="center"/>
          </w:tcPr>
          <w:p w14:paraId="101431AF" w14:textId="2DE17906" w:rsidR="000C4E8B" w:rsidRPr="00D119AC" w:rsidRDefault="000C4E8B" w:rsidP="000C4E8B">
            <w:pPr>
              <w:widowControl w:val="0"/>
              <w:autoSpaceDE w:val="0"/>
              <w:autoSpaceDN w:val="0"/>
              <w:adjustRightInd w:val="0"/>
              <w:spacing w:after="0" w:line="240" w:lineRule="auto"/>
              <w:jc w:val="right"/>
              <w:rPr>
                <w:rFonts w:ascii="Times New Roman" w:hAnsi="Times New Roman" w:cs="Times New Roman"/>
                <w:sz w:val="16"/>
                <w:szCs w:val="16"/>
                <w:lang w:val="en-US"/>
              </w:rPr>
            </w:pPr>
            <w:r w:rsidRPr="00D119AC">
              <w:rPr>
                <w:rFonts w:ascii="Times New Roman" w:hAnsi="Times New Roman" w:cs="Times New Roman"/>
                <w:sz w:val="16"/>
                <w:szCs w:val="16"/>
                <w:lang w:val="en-US"/>
              </w:rPr>
              <w:t>0.731</w:t>
            </w:r>
          </w:p>
        </w:tc>
        <w:tc>
          <w:tcPr>
            <w:tcW w:w="397" w:type="dxa"/>
            <w:tcBorders>
              <w:left w:val="dashed" w:sz="4" w:space="0" w:color="auto"/>
            </w:tcBorders>
            <w:shd w:val="clear" w:color="auto" w:fill="F2F2F2" w:themeFill="background1" w:themeFillShade="F2"/>
            <w:vAlign w:val="center"/>
          </w:tcPr>
          <w:p w14:paraId="71C2B52D" w14:textId="77777777" w:rsidR="000C4E8B" w:rsidRPr="00D119AC" w:rsidRDefault="000C4E8B" w:rsidP="000C4E8B">
            <w:pPr>
              <w:widowControl w:val="0"/>
              <w:autoSpaceDE w:val="0"/>
              <w:autoSpaceDN w:val="0"/>
              <w:adjustRightInd w:val="0"/>
              <w:spacing w:after="0" w:line="240" w:lineRule="auto"/>
              <w:jc w:val="right"/>
              <w:rPr>
                <w:rFonts w:ascii="Times New Roman" w:hAnsi="Times New Roman" w:cs="Times New Roman"/>
                <w:sz w:val="16"/>
                <w:szCs w:val="16"/>
                <w:lang w:val="en-US"/>
              </w:rPr>
            </w:pPr>
          </w:p>
        </w:tc>
        <w:tc>
          <w:tcPr>
            <w:tcW w:w="1021" w:type="dxa"/>
            <w:shd w:val="clear" w:color="auto" w:fill="F2F2F2" w:themeFill="background1" w:themeFillShade="F2"/>
            <w:vAlign w:val="center"/>
          </w:tcPr>
          <w:p w14:paraId="55AD7ECD" w14:textId="77777777" w:rsidR="000C4E8B" w:rsidRPr="00D119AC" w:rsidRDefault="000C4E8B" w:rsidP="000C4E8B">
            <w:pPr>
              <w:widowControl w:val="0"/>
              <w:autoSpaceDE w:val="0"/>
              <w:autoSpaceDN w:val="0"/>
              <w:adjustRightInd w:val="0"/>
              <w:spacing w:after="0" w:line="240" w:lineRule="auto"/>
              <w:jc w:val="right"/>
              <w:rPr>
                <w:rFonts w:ascii="Times New Roman" w:hAnsi="Times New Roman" w:cs="Times New Roman"/>
                <w:sz w:val="16"/>
                <w:szCs w:val="16"/>
                <w:lang w:val="en-US"/>
              </w:rPr>
            </w:pPr>
          </w:p>
        </w:tc>
        <w:tc>
          <w:tcPr>
            <w:tcW w:w="737" w:type="dxa"/>
            <w:tcBorders>
              <w:right w:val="dashed" w:sz="4" w:space="0" w:color="auto"/>
            </w:tcBorders>
            <w:shd w:val="clear" w:color="auto" w:fill="F2F2F2" w:themeFill="background1" w:themeFillShade="F2"/>
            <w:vAlign w:val="center"/>
          </w:tcPr>
          <w:p w14:paraId="7BE65742" w14:textId="62397E3F" w:rsidR="000C4E8B" w:rsidRPr="00D119AC" w:rsidRDefault="000C4E8B" w:rsidP="000C4E8B">
            <w:pPr>
              <w:widowControl w:val="0"/>
              <w:autoSpaceDE w:val="0"/>
              <w:autoSpaceDN w:val="0"/>
              <w:adjustRightInd w:val="0"/>
              <w:spacing w:after="0" w:line="240" w:lineRule="auto"/>
              <w:jc w:val="right"/>
              <w:rPr>
                <w:rFonts w:ascii="Times New Roman" w:hAnsi="Times New Roman" w:cs="Times New Roman"/>
                <w:sz w:val="16"/>
                <w:szCs w:val="16"/>
                <w:lang w:val="en-US"/>
              </w:rPr>
            </w:pPr>
            <w:r w:rsidRPr="00D119AC">
              <w:rPr>
                <w:rFonts w:ascii="Times New Roman" w:hAnsi="Times New Roman" w:cs="Times New Roman"/>
                <w:sz w:val="16"/>
                <w:szCs w:val="16"/>
                <w:lang w:val="en-US"/>
              </w:rPr>
              <w:t>0.457</w:t>
            </w:r>
          </w:p>
        </w:tc>
      </w:tr>
      <w:tr w:rsidR="000C4E8B" w:rsidRPr="00D119AC" w14:paraId="39E5D0CC" w14:textId="77777777" w:rsidTr="0056300B">
        <w:trPr>
          <w:trHeight w:val="113"/>
        </w:trPr>
        <w:tc>
          <w:tcPr>
            <w:tcW w:w="2438" w:type="dxa"/>
            <w:tcBorders>
              <w:right w:val="dashed" w:sz="4" w:space="0" w:color="auto"/>
            </w:tcBorders>
            <w:vAlign w:val="center"/>
          </w:tcPr>
          <w:p w14:paraId="23621497" w14:textId="522391F4" w:rsidR="000C4E8B" w:rsidRPr="00D119AC" w:rsidRDefault="000C4E8B" w:rsidP="000E1366">
            <w:pPr>
              <w:widowControl w:val="0"/>
              <w:autoSpaceDE w:val="0"/>
              <w:autoSpaceDN w:val="0"/>
              <w:adjustRightInd w:val="0"/>
              <w:spacing w:after="0" w:line="240" w:lineRule="auto"/>
              <w:ind w:left="654"/>
              <w:rPr>
                <w:rFonts w:ascii="Times New Roman" w:hAnsi="Times New Roman" w:cs="Times New Roman"/>
                <w:b/>
                <w:sz w:val="16"/>
                <w:szCs w:val="16"/>
                <w:lang w:val="en-US"/>
              </w:rPr>
            </w:pPr>
            <w:r w:rsidRPr="00D119AC">
              <w:rPr>
                <w:rFonts w:ascii="Times New Roman" w:hAnsi="Times New Roman" w:cs="Times New Roman"/>
                <w:sz w:val="16"/>
                <w:szCs w:val="16"/>
                <w:lang w:val="en-US"/>
              </w:rPr>
              <w:t>Clipping</w:t>
            </w:r>
          </w:p>
        </w:tc>
        <w:tc>
          <w:tcPr>
            <w:tcW w:w="340" w:type="dxa"/>
            <w:tcBorders>
              <w:left w:val="dashed" w:sz="4" w:space="0" w:color="auto"/>
            </w:tcBorders>
            <w:vAlign w:val="center"/>
          </w:tcPr>
          <w:p w14:paraId="04BCA419" w14:textId="2CF232FE" w:rsidR="000C4E8B" w:rsidRPr="00D119AC" w:rsidRDefault="000C4E8B" w:rsidP="007A1BB7">
            <w:pPr>
              <w:widowControl w:val="0"/>
              <w:autoSpaceDE w:val="0"/>
              <w:autoSpaceDN w:val="0"/>
              <w:adjustRightInd w:val="0"/>
              <w:spacing w:after="0" w:line="240" w:lineRule="auto"/>
              <w:ind w:left="-118"/>
              <w:jc w:val="center"/>
              <w:rPr>
                <w:rFonts w:ascii="Times New Roman" w:hAnsi="Times New Roman" w:cs="Times New Roman"/>
                <w:sz w:val="16"/>
                <w:szCs w:val="16"/>
                <w:lang w:val="en-US"/>
              </w:rPr>
            </w:pPr>
            <w:r w:rsidRPr="00D119AC">
              <w:rPr>
                <w:rFonts w:ascii="Times New Roman" w:hAnsi="Times New Roman" w:cs="Times New Roman"/>
                <w:sz w:val="16"/>
                <w:szCs w:val="16"/>
                <w:lang w:val="en-US"/>
              </w:rPr>
              <w:t>34</w:t>
            </w:r>
          </w:p>
        </w:tc>
        <w:tc>
          <w:tcPr>
            <w:tcW w:w="1928" w:type="dxa"/>
            <w:gridSpan w:val="2"/>
            <w:tcBorders>
              <w:right w:val="dashed" w:sz="4" w:space="0" w:color="auto"/>
            </w:tcBorders>
            <w:vAlign w:val="center"/>
          </w:tcPr>
          <w:p w14:paraId="3BF8D972" w14:textId="75D66ED6" w:rsidR="000C4E8B" w:rsidRPr="00D119AC" w:rsidRDefault="000C4E8B" w:rsidP="000E1366">
            <w:pPr>
              <w:widowControl w:val="0"/>
              <w:autoSpaceDE w:val="0"/>
              <w:autoSpaceDN w:val="0"/>
              <w:adjustRightInd w:val="0"/>
              <w:spacing w:after="0" w:line="240" w:lineRule="auto"/>
              <w:ind w:left="144"/>
              <w:rPr>
                <w:rFonts w:ascii="Times New Roman" w:hAnsi="Times New Roman" w:cs="Times New Roman"/>
                <w:sz w:val="16"/>
                <w:szCs w:val="16"/>
                <w:lang w:val="en-US"/>
              </w:rPr>
            </w:pPr>
            <w:r w:rsidRPr="00D119AC">
              <w:rPr>
                <w:rFonts w:ascii="Times New Roman" w:hAnsi="Times New Roman" w:cs="Times New Roman"/>
                <w:sz w:val="16"/>
                <w:szCs w:val="16"/>
                <w:lang w:val="en-US"/>
              </w:rPr>
              <w:t>8.2</w:t>
            </w:r>
            <w:r>
              <w:rPr>
                <w:rFonts w:ascii="Times New Roman" w:hAnsi="Times New Roman" w:cs="Times New Roman"/>
                <w:sz w:val="16"/>
                <w:szCs w:val="16"/>
                <w:lang w:val="en-US"/>
              </w:rPr>
              <w:t xml:space="preserve"> </w:t>
            </w:r>
            <w:r w:rsidRPr="00D119AC">
              <w:rPr>
                <w:rFonts w:ascii="Times New Roman" w:hAnsi="Times New Roman" w:cs="Times New Roman"/>
                <w:sz w:val="16"/>
                <w:szCs w:val="16"/>
                <w:lang w:val="en-US"/>
              </w:rPr>
              <w:t>(6.8-10.5)</w:t>
            </w:r>
          </w:p>
        </w:tc>
        <w:tc>
          <w:tcPr>
            <w:tcW w:w="397" w:type="dxa"/>
            <w:tcBorders>
              <w:left w:val="dashed" w:sz="4" w:space="0" w:color="auto"/>
            </w:tcBorders>
            <w:vAlign w:val="center"/>
          </w:tcPr>
          <w:p w14:paraId="54BACD18" w14:textId="03DAAB83" w:rsidR="000C4E8B" w:rsidRPr="00D119AC" w:rsidRDefault="000C4E8B" w:rsidP="007A1BB7">
            <w:pPr>
              <w:widowControl w:val="0"/>
              <w:autoSpaceDE w:val="0"/>
              <w:autoSpaceDN w:val="0"/>
              <w:adjustRightInd w:val="0"/>
              <w:spacing w:after="0" w:line="240" w:lineRule="auto"/>
              <w:jc w:val="center"/>
              <w:rPr>
                <w:rFonts w:ascii="Times New Roman" w:hAnsi="Times New Roman" w:cs="Times New Roman"/>
                <w:sz w:val="16"/>
                <w:szCs w:val="16"/>
                <w:lang w:val="en-US"/>
              </w:rPr>
            </w:pPr>
            <w:r w:rsidRPr="00D119AC">
              <w:rPr>
                <w:rFonts w:ascii="Times New Roman" w:hAnsi="Times New Roman" w:cs="Times New Roman"/>
                <w:sz w:val="16"/>
                <w:szCs w:val="16"/>
                <w:lang w:val="en-US"/>
              </w:rPr>
              <w:t>26</w:t>
            </w:r>
          </w:p>
        </w:tc>
        <w:tc>
          <w:tcPr>
            <w:tcW w:w="1758" w:type="dxa"/>
            <w:gridSpan w:val="2"/>
            <w:tcBorders>
              <w:right w:val="dashed" w:sz="4" w:space="0" w:color="auto"/>
            </w:tcBorders>
            <w:vAlign w:val="center"/>
          </w:tcPr>
          <w:p w14:paraId="45507002" w14:textId="10E9A638" w:rsidR="000C4E8B" w:rsidRPr="00D119AC" w:rsidRDefault="000C4E8B" w:rsidP="000E1366">
            <w:pPr>
              <w:widowControl w:val="0"/>
              <w:autoSpaceDE w:val="0"/>
              <w:autoSpaceDN w:val="0"/>
              <w:adjustRightInd w:val="0"/>
              <w:spacing w:after="0" w:line="240" w:lineRule="auto"/>
              <w:ind w:left="87"/>
              <w:rPr>
                <w:rFonts w:ascii="Times New Roman" w:hAnsi="Times New Roman" w:cs="Times New Roman"/>
                <w:sz w:val="16"/>
                <w:szCs w:val="16"/>
                <w:lang w:val="en-US"/>
              </w:rPr>
            </w:pPr>
            <w:r w:rsidRPr="00D119AC">
              <w:rPr>
                <w:rFonts w:ascii="Times New Roman" w:hAnsi="Times New Roman" w:cs="Times New Roman"/>
                <w:sz w:val="16"/>
                <w:szCs w:val="16"/>
                <w:lang w:val="en-US"/>
              </w:rPr>
              <w:t>11.4</w:t>
            </w:r>
            <w:r>
              <w:rPr>
                <w:rFonts w:ascii="Times New Roman" w:hAnsi="Times New Roman" w:cs="Times New Roman"/>
                <w:sz w:val="16"/>
                <w:szCs w:val="16"/>
                <w:lang w:val="en-US"/>
              </w:rPr>
              <w:t xml:space="preserve"> </w:t>
            </w:r>
            <w:r w:rsidRPr="00D119AC">
              <w:rPr>
                <w:rFonts w:ascii="Times New Roman" w:hAnsi="Times New Roman" w:cs="Times New Roman"/>
                <w:sz w:val="16"/>
                <w:szCs w:val="16"/>
                <w:lang w:val="en-US"/>
              </w:rPr>
              <w:t>(8.8-13.6)</w:t>
            </w:r>
          </w:p>
        </w:tc>
      </w:tr>
      <w:tr w:rsidR="000C4E8B" w:rsidRPr="00D119AC" w14:paraId="3800F586" w14:textId="77777777" w:rsidTr="0056300B">
        <w:trPr>
          <w:trHeight w:val="113"/>
        </w:trPr>
        <w:tc>
          <w:tcPr>
            <w:tcW w:w="2438" w:type="dxa"/>
            <w:tcBorders>
              <w:right w:val="dashed" w:sz="4" w:space="0" w:color="auto"/>
            </w:tcBorders>
            <w:vAlign w:val="center"/>
          </w:tcPr>
          <w:p w14:paraId="4ECE0552" w14:textId="5924183B" w:rsidR="000C4E8B" w:rsidRPr="00D119AC" w:rsidRDefault="000C4E8B" w:rsidP="000E1366">
            <w:pPr>
              <w:widowControl w:val="0"/>
              <w:autoSpaceDE w:val="0"/>
              <w:autoSpaceDN w:val="0"/>
              <w:adjustRightInd w:val="0"/>
              <w:spacing w:after="0" w:line="240" w:lineRule="auto"/>
              <w:ind w:left="654"/>
              <w:rPr>
                <w:rFonts w:ascii="Times New Roman" w:hAnsi="Times New Roman" w:cs="Times New Roman"/>
                <w:b/>
                <w:sz w:val="16"/>
                <w:szCs w:val="16"/>
                <w:lang w:val="en-US"/>
              </w:rPr>
            </w:pPr>
            <w:r w:rsidRPr="00D119AC">
              <w:rPr>
                <w:rFonts w:ascii="Times New Roman" w:hAnsi="Times New Roman" w:cs="Times New Roman"/>
                <w:sz w:val="16"/>
                <w:szCs w:val="16"/>
                <w:lang w:val="en-US"/>
              </w:rPr>
              <w:t>Coiling</w:t>
            </w:r>
          </w:p>
        </w:tc>
        <w:tc>
          <w:tcPr>
            <w:tcW w:w="340" w:type="dxa"/>
            <w:tcBorders>
              <w:left w:val="dashed" w:sz="4" w:space="0" w:color="auto"/>
            </w:tcBorders>
            <w:vAlign w:val="center"/>
          </w:tcPr>
          <w:p w14:paraId="50AEEFD5" w14:textId="629AFCF5" w:rsidR="000C4E8B" w:rsidRPr="00D119AC" w:rsidRDefault="000C4E8B" w:rsidP="007A1BB7">
            <w:pPr>
              <w:widowControl w:val="0"/>
              <w:autoSpaceDE w:val="0"/>
              <w:autoSpaceDN w:val="0"/>
              <w:adjustRightInd w:val="0"/>
              <w:spacing w:after="0" w:line="240" w:lineRule="auto"/>
              <w:ind w:left="-118"/>
              <w:jc w:val="center"/>
              <w:rPr>
                <w:rFonts w:ascii="Times New Roman" w:hAnsi="Times New Roman" w:cs="Times New Roman"/>
                <w:sz w:val="16"/>
                <w:szCs w:val="16"/>
                <w:lang w:val="en-US"/>
              </w:rPr>
            </w:pPr>
            <w:r w:rsidRPr="00D119AC">
              <w:rPr>
                <w:rFonts w:ascii="Times New Roman" w:hAnsi="Times New Roman" w:cs="Times New Roman"/>
                <w:sz w:val="16"/>
                <w:szCs w:val="16"/>
                <w:lang w:val="en-US"/>
              </w:rPr>
              <w:t>47</w:t>
            </w:r>
          </w:p>
        </w:tc>
        <w:tc>
          <w:tcPr>
            <w:tcW w:w="1928" w:type="dxa"/>
            <w:gridSpan w:val="2"/>
            <w:tcBorders>
              <w:right w:val="dashed" w:sz="4" w:space="0" w:color="auto"/>
            </w:tcBorders>
            <w:vAlign w:val="center"/>
          </w:tcPr>
          <w:p w14:paraId="62339E6F" w14:textId="0F89592E" w:rsidR="000C4E8B" w:rsidRPr="00D119AC" w:rsidRDefault="000C4E8B" w:rsidP="000E1366">
            <w:pPr>
              <w:widowControl w:val="0"/>
              <w:autoSpaceDE w:val="0"/>
              <w:autoSpaceDN w:val="0"/>
              <w:adjustRightInd w:val="0"/>
              <w:spacing w:after="0" w:line="240" w:lineRule="auto"/>
              <w:ind w:left="144"/>
              <w:rPr>
                <w:rFonts w:ascii="Times New Roman" w:hAnsi="Times New Roman" w:cs="Times New Roman"/>
                <w:sz w:val="16"/>
                <w:szCs w:val="16"/>
                <w:lang w:val="en-US"/>
              </w:rPr>
            </w:pPr>
            <w:r w:rsidRPr="00D119AC">
              <w:rPr>
                <w:rFonts w:ascii="Times New Roman" w:hAnsi="Times New Roman" w:cs="Times New Roman"/>
                <w:sz w:val="16"/>
                <w:szCs w:val="16"/>
                <w:lang w:val="en-US"/>
              </w:rPr>
              <w:t>8.7</w:t>
            </w:r>
            <w:r>
              <w:rPr>
                <w:rFonts w:ascii="Times New Roman" w:hAnsi="Times New Roman" w:cs="Times New Roman"/>
                <w:sz w:val="16"/>
                <w:szCs w:val="16"/>
                <w:lang w:val="en-US"/>
              </w:rPr>
              <w:t xml:space="preserve"> </w:t>
            </w:r>
            <w:r w:rsidRPr="00D119AC">
              <w:rPr>
                <w:rFonts w:ascii="Times New Roman" w:hAnsi="Times New Roman" w:cs="Times New Roman"/>
                <w:sz w:val="16"/>
                <w:szCs w:val="16"/>
                <w:lang w:val="en-US"/>
              </w:rPr>
              <w:t>(6.7-10.6)</w:t>
            </w:r>
          </w:p>
        </w:tc>
        <w:tc>
          <w:tcPr>
            <w:tcW w:w="397" w:type="dxa"/>
            <w:tcBorders>
              <w:left w:val="dashed" w:sz="4" w:space="0" w:color="auto"/>
            </w:tcBorders>
            <w:vAlign w:val="center"/>
          </w:tcPr>
          <w:p w14:paraId="71520347" w14:textId="76F263CE" w:rsidR="000C4E8B" w:rsidRPr="00D119AC" w:rsidRDefault="000C4E8B" w:rsidP="007A1BB7">
            <w:pPr>
              <w:widowControl w:val="0"/>
              <w:autoSpaceDE w:val="0"/>
              <w:autoSpaceDN w:val="0"/>
              <w:adjustRightInd w:val="0"/>
              <w:spacing w:after="0" w:line="240" w:lineRule="auto"/>
              <w:jc w:val="center"/>
              <w:rPr>
                <w:rFonts w:ascii="Times New Roman" w:hAnsi="Times New Roman" w:cs="Times New Roman"/>
                <w:sz w:val="16"/>
                <w:szCs w:val="16"/>
                <w:lang w:val="en-US"/>
              </w:rPr>
            </w:pPr>
            <w:r w:rsidRPr="00D119AC">
              <w:rPr>
                <w:rFonts w:ascii="Times New Roman" w:hAnsi="Times New Roman" w:cs="Times New Roman"/>
                <w:sz w:val="16"/>
                <w:szCs w:val="16"/>
                <w:lang w:val="en-US"/>
              </w:rPr>
              <w:t>41</w:t>
            </w:r>
          </w:p>
        </w:tc>
        <w:tc>
          <w:tcPr>
            <w:tcW w:w="1758" w:type="dxa"/>
            <w:gridSpan w:val="2"/>
            <w:tcBorders>
              <w:right w:val="dashed" w:sz="4" w:space="0" w:color="auto"/>
            </w:tcBorders>
            <w:vAlign w:val="center"/>
          </w:tcPr>
          <w:p w14:paraId="7254BDC4" w14:textId="331BC827" w:rsidR="000C4E8B" w:rsidRPr="00D119AC" w:rsidRDefault="000C4E8B" w:rsidP="000E1366">
            <w:pPr>
              <w:widowControl w:val="0"/>
              <w:autoSpaceDE w:val="0"/>
              <w:autoSpaceDN w:val="0"/>
              <w:adjustRightInd w:val="0"/>
              <w:spacing w:after="0" w:line="240" w:lineRule="auto"/>
              <w:ind w:left="87"/>
              <w:rPr>
                <w:rFonts w:ascii="Times New Roman" w:hAnsi="Times New Roman" w:cs="Times New Roman"/>
                <w:sz w:val="16"/>
                <w:szCs w:val="16"/>
                <w:lang w:val="en-US"/>
              </w:rPr>
            </w:pPr>
            <w:r w:rsidRPr="00D119AC">
              <w:rPr>
                <w:rFonts w:ascii="Times New Roman" w:hAnsi="Times New Roman" w:cs="Times New Roman"/>
                <w:sz w:val="16"/>
                <w:szCs w:val="16"/>
                <w:lang w:val="en-US"/>
              </w:rPr>
              <w:t>10.6</w:t>
            </w:r>
            <w:r>
              <w:rPr>
                <w:rFonts w:ascii="Times New Roman" w:hAnsi="Times New Roman" w:cs="Times New Roman"/>
                <w:sz w:val="16"/>
                <w:szCs w:val="16"/>
                <w:lang w:val="en-US"/>
              </w:rPr>
              <w:t xml:space="preserve"> </w:t>
            </w:r>
            <w:r w:rsidRPr="00D119AC">
              <w:rPr>
                <w:rFonts w:ascii="Times New Roman" w:hAnsi="Times New Roman" w:cs="Times New Roman"/>
                <w:sz w:val="16"/>
                <w:szCs w:val="16"/>
                <w:lang w:val="en-US"/>
              </w:rPr>
              <w:t>(7.5-15.7)</w:t>
            </w:r>
          </w:p>
        </w:tc>
      </w:tr>
      <w:tr w:rsidR="000C4E8B" w:rsidRPr="00D119AC" w14:paraId="21B1C6C2" w14:textId="77777777" w:rsidTr="0056300B">
        <w:trPr>
          <w:trHeight w:val="113"/>
        </w:trPr>
        <w:tc>
          <w:tcPr>
            <w:tcW w:w="2438" w:type="dxa"/>
            <w:tcBorders>
              <w:right w:val="dashed" w:sz="4" w:space="0" w:color="auto"/>
            </w:tcBorders>
            <w:shd w:val="clear" w:color="auto" w:fill="F2F2F2" w:themeFill="background1" w:themeFillShade="F2"/>
            <w:vAlign w:val="center"/>
          </w:tcPr>
          <w:p w14:paraId="2EB723B8" w14:textId="77777777" w:rsidR="000C4E8B" w:rsidRPr="00D119AC" w:rsidRDefault="000C4E8B" w:rsidP="007A1BB7">
            <w:pPr>
              <w:widowControl w:val="0"/>
              <w:autoSpaceDE w:val="0"/>
              <w:autoSpaceDN w:val="0"/>
              <w:adjustRightInd w:val="0"/>
              <w:spacing w:after="0" w:line="240" w:lineRule="auto"/>
              <w:rPr>
                <w:rFonts w:ascii="Times New Roman" w:hAnsi="Times New Roman" w:cs="Times New Roman"/>
                <w:b/>
                <w:sz w:val="16"/>
                <w:szCs w:val="16"/>
                <w:lang w:val="en-US"/>
              </w:rPr>
            </w:pPr>
            <w:r w:rsidRPr="00D119AC">
              <w:rPr>
                <w:rFonts w:ascii="Times New Roman" w:hAnsi="Times New Roman" w:cs="Times New Roman"/>
                <w:b/>
                <w:sz w:val="16"/>
                <w:szCs w:val="16"/>
                <w:lang w:val="en-US"/>
              </w:rPr>
              <w:t>Hunt &amp; Hess grade</w:t>
            </w:r>
          </w:p>
        </w:tc>
        <w:tc>
          <w:tcPr>
            <w:tcW w:w="340" w:type="dxa"/>
            <w:tcBorders>
              <w:left w:val="dashed" w:sz="4" w:space="0" w:color="auto"/>
            </w:tcBorders>
            <w:shd w:val="clear" w:color="auto" w:fill="F2F2F2" w:themeFill="background1" w:themeFillShade="F2"/>
            <w:vAlign w:val="center"/>
          </w:tcPr>
          <w:p w14:paraId="42E205B6" w14:textId="77777777" w:rsidR="000C4E8B" w:rsidRPr="00D119AC" w:rsidRDefault="000C4E8B" w:rsidP="007A1BB7">
            <w:pPr>
              <w:widowControl w:val="0"/>
              <w:autoSpaceDE w:val="0"/>
              <w:autoSpaceDN w:val="0"/>
              <w:adjustRightInd w:val="0"/>
              <w:spacing w:after="0" w:line="240" w:lineRule="auto"/>
              <w:ind w:left="-118"/>
              <w:jc w:val="center"/>
              <w:rPr>
                <w:rFonts w:ascii="Times New Roman" w:hAnsi="Times New Roman" w:cs="Times New Roman"/>
                <w:sz w:val="16"/>
                <w:szCs w:val="16"/>
                <w:lang w:val="en-US"/>
              </w:rPr>
            </w:pPr>
          </w:p>
        </w:tc>
        <w:tc>
          <w:tcPr>
            <w:tcW w:w="1134" w:type="dxa"/>
            <w:shd w:val="clear" w:color="auto" w:fill="F2F2F2" w:themeFill="background1" w:themeFillShade="F2"/>
            <w:vAlign w:val="center"/>
          </w:tcPr>
          <w:p w14:paraId="7401F5F9" w14:textId="77777777" w:rsidR="000C4E8B" w:rsidRPr="00D119AC" w:rsidRDefault="000C4E8B" w:rsidP="007A1BB7">
            <w:pPr>
              <w:widowControl w:val="0"/>
              <w:autoSpaceDE w:val="0"/>
              <w:autoSpaceDN w:val="0"/>
              <w:adjustRightInd w:val="0"/>
              <w:spacing w:after="0" w:line="240" w:lineRule="auto"/>
              <w:jc w:val="center"/>
              <w:rPr>
                <w:rFonts w:ascii="Times New Roman" w:hAnsi="Times New Roman" w:cs="Times New Roman"/>
                <w:sz w:val="16"/>
                <w:szCs w:val="16"/>
                <w:lang w:val="en-US"/>
              </w:rPr>
            </w:pPr>
          </w:p>
        </w:tc>
        <w:tc>
          <w:tcPr>
            <w:tcW w:w="794" w:type="dxa"/>
            <w:tcBorders>
              <w:right w:val="dashed" w:sz="4" w:space="0" w:color="auto"/>
            </w:tcBorders>
            <w:shd w:val="clear" w:color="auto" w:fill="F2F2F2" w:themeFill="background1" w:themeFillShade="F2"/>
            <w:vAlign w:val="center"/>
          </w:tcPr>
          <w:p w14:paraId="0A465004" w14:textId="5E36D768" w:rsidR="000C4E8B" w:rsidRPr="00D119AC" w:rsidRDefault="000C4E8B" w:rsidP="000C4E8B">
            <w:pPr>
              <w:widowControl w:val="0"/>
              <w:autoSpaceDE w:val="0"/>
              <w:autoSpaceDN w:val="0"/>
              <w:adjustRightInd w:val="0"/>
              <w:spacing w:after="0" w:line="240" w:lineRule="auto"/>
              <w:jc w:val="right"/>
              <w:rPr>
                <w:rFonts w:ascii="Times New Roman" w:hAnsi="Times New Roman" w:cs="Times New Roman"/>
                <w:sz w:val="16"/>
                <w:szCs w:val="16"/>
                <w:lang w:val="en-US"/>
              </w:rPr>
            </w:pPr>
            <w:r w:rsidRPr="00D119AC">
              <w:rPr>
                <w:rFonts w:ascii="Times New Roman" w:hAnsi="Times New Roman" w:cs="Times New Roman"/>
                <w:b/>
                <w:sz w:val="16"/>
                <w:szCs w:val="16"/>
                <w:lang w:val="en-US"/>
              </w:rPr>
              <w:t>0.036</w:t>
            </w:r>
          </w:p>
        </w:tc>
        <w:tc>
          <w:tcPr>
            <w:tcW w:w="397" w:type="dxa"/>
            <w:tcBorders>
              <w:left w:val="dashed" w:sz="4" w:space="0" w:color="auto"/>
            </w:tcBorders>
            <w:shd w:val="clear" w:color="auto" w:fill="F2F2F2" w:themeFill="background1" w:themeFillShade="F2"/>
            <w:vAlign w:val="center"/>
          </w:tcPr>
          <w:p w14:paraId="467854FD" w14:textId="77777777" w:rsidR="000C4E8B" w:rsidRPr="00D119AC" w:rsidRDefault="000C4E8B" w:rsidP="000C4E8B">
            <w:pPr>
              <w:widowControl w:val="0"/>
              <w:autoSpaceDE w:val="0"/>
              <w:autoSpaceDN w:val="0"/>
              <w:adjustRightInd w:val="0"/>
              <w:spacing w:after="0" w:line="240" w:lineRule="auto"/>
              <w:jc w:val="right"/>
              <w:rPr>
                <w:rFonts w:ascii="Times New Roman" w:hAnsi="Times New Roman" w:cs="Times New Roman"/>
                <w:sz w:val="16"/>
                <w:szCs w:val="16"/>
                <w:lang w:val="en-US"/>
              </w:rPr>
            </w:pPr>
          </w:p>
        </w:tc>
        <w:tc>
          <w:tcPr>
            <w:tcW w:w="1021" w:type="dxa"/>
            <w:shd w:val="clear" w:color="auto" w:fill="F2F2F2" w:themeFill="background1" w:themeFillShade="F2"/>
            <w:vAlign w:val="center"/>
          </w:tcPr>
          <w:p w14:paraId="116135D8" w14:textId="77777777" w:rsidR="000C4E8B" w:rsidRPr="00D119AC" w:rsidRDefault="000C4E8B" w:rsidP="000C4E8B">
            <w:pPr>
              <w:widowControl w:val="0"/>
              <w:autoSpaceDE w:val="0"/>
              <w:autoSpaceDN w:val="0"/>
              <w:adjustRightInd w:val="0"/>
              <w:spacing w:after="0" w:line="240" w:lineRule="auto"/>
              <w:jc w:val="right"/>
              <w:rPr>
                <w:rFonts w:ascii="Times New Roman" w:hAnsi="Times New Roman" w:cs="Times New Roman"/>
                <w:sz w:val="16"/>
                <w:szCs w:val="16"/>
                <w:lang w:val="en-US"/>
              </w:rPr>
            </w:pPr>
          </w:p>
        </w:tc>
        <w:tc>
          <w:tcPr>
            <w:tcW w:w="737" w:type="dxa"/>
            <w:tcBorders>
              <w:right w:val="dashed" w:sz="4" w:space="0" w:color="auto"/>
            </w:tcBorders>
            <w:shd w:val="clear" w:color="auto" w:fill="F2F2F2" w:themeFill="background1" w:themeFillShade="F2"/>
            <w:vAlign w:val="center"/>
          </w:tcPr>
          <w:p w14:paraId="595B6154" w14:textId="61F78B67" w:rsidR="000C4E8B" w:rsidRPr="00D119AC" w:rsidRDefault="000C4E8B" w:rsidP="000C4E8B">
            <w:pPr>
              <w:widowControl w:val="0"/>
              <w:autoSpaceDE w:val="0"/>
              <w:autoSpaceDN w:val="0"/>
              <w:adjustRightInd w:val="0"/>
              <w:spacing w:after="0" w:line="240" w:lineRule="auto"/>
              <w:jc w:val="right"/>
              <w:rPr>
                <w:rFonts w:ascii="Times New Roman" w:hAnsi="Times New Roman" w:cs="Times New Roman"/>
                <w:sz w:val="16"/>
                <w:szCs w:val="16"/>
                <w:lang w:val="en-US"/>
              </w:rPr>
            </w:pPr>
            <w:r w:rsidRPr="00D119AC">
              <w:rPr>
                <w:rFonts w:ascii="Times New Roman" w:hAnsi="Times New Roman" w:cs="Times New Roman"/>
                <w:b/>
                <w:sz w:val="16"/>
                <w:szCs w:val="16"/>
                <w:lang w:val="en-US"/>
              </w:rPr>
              <w:t>0.009</w:t>
            </w:r>
          </w:p>
        </w:tc>
      </w:tr>
      <w:tr w:rsidR="000C4E8B" w:rsidRPr="00D119AC" w14:paraId="5ADFAA36" w14:textId="77777777" w:rsidTr="0056300B">
        <w:trPr>
          <w:trHeight w:val="113"/>
        </w:trPr>
        <w:tc>
          <w:tcPr>
            <w:tcW w:w="2438" w:type="dxa"/>
            <w:tcBorders>
              <w:right w:val="dashed" w:sz="4" w:space="0" w:color="auto"/>
            </w:tcBorders>
            <w:vAlign w:val="center"/>
          </w:tcPr>
          <w:p w14:paraId="11E943BA" w14:textId="1B9F2D98" w:rsidR="000C4E8B" w:rsidRPr="00D119AC" w:rsidRDefault="000C4E8B" w:rsidP="000E1366">
            <w:pPr>
              <w:widowControl w:val="0"/>
              <w:autoSpaceDE w:val="0"/>
              <w:autoSpaceDN w:val="0"/>
              <w:adjustRightInd w:val="0"/>
              <w:spacing w:after="0" w:line="240" w:lineRule="auto"/>
              <w:ind w:left="654"/>
              <w:rPr>
                <w:rFonts w:ascii="Times New Roman" w:hAnsi="Times New Roman" w:cs="Times New Roman"/>
                <w:b/>
                <w:sz w:val="16"/>
                <w:szCs w:val="16"/>
                <w:lang w:val="en-US"/>
              </w:rPr>
            </w:pPr>
            <w:r w:rsidRPr="00D119AC">
              <w:rPr>
                <w:rFonts w:ascii="Times New Roman" w:hAnsi="Times New Roman" w:cs="Times New Roman"/>
                <w:sz w:val="16"/>
                <w:szCs w:val="16"/>
                <w:lang w:val="en-US"/>
              </w:rPr>
              <w:t>Good (HH</w:t>
            </w:r>
            <w:r w:rsidRPr="00D119AC">
              <w:rPr>
                <w:rFonts w:ascii="Times New Roman" w:hAnsi="Times New Roman" w:cs="Times New Roman"/>
                <w:sz w:val="16"/>
                <w:szCs w:val="16"/>
                <w:vertAlign w:val="subscript"/>
                <w:lang w:val="en-US"/>
              </w:rPr>
              <w:t>1-3</w:t>
            </w:r>
            <w:r w:rsidRPr="00D119AC">
              <w:rPr>
                <w:rFonts w:ascii="Times New Roman" w:hAnsi="Times New Roman" w:cs="Times New Roman"/>
                <w:sz w:val="16"/>
                <w:szCs w:val="16"/>
                <w:lang w:val="en-US"/>
              </w:rPr>
              <w:t>)</w:t>
            </w:r>
          </w:p>
        </w:tc>
        <w:tc>
          <w:tcPr>
            <w:tcW w:w="340" w:type="dxa"/>
            <w:tcBorders>
              <w:left w:val="dashed" w:sz="4" w:space="0" w:color="auto"/>
            </w:tcBorders>
            <w:vAlign w:val="center"/>
          </w:tcPr>
          <w:p w14:paraId="3CD7ED58" w14:textId="3433563D" w:rsidR="000C4E8B" w:rsidRPr="00D119AC" w:rsidRDefault="000C4E8B" w:rsidP="007A1BB7">
            <w:pPr>
              <w:widowControl w:val="0"/>
              <w:autoSpaceDE w:val="0"/>
              <w:autoSpaceDN w:val="0"/>
              <w:adjustRightInd w:val="0"/>
              <w:spacing w:after="0" w:line="240" w:lineRule="auto"/>
              <w:ind w:left="-118"/>
              <w:jc w:val="center"/>
              <w:rPr>
                <w:rFonts w:ascii="Times New Roman" w:hAnsi="Times New Roman" w:cs="Times New Roman"/>
                <w:sz w:val="16"/>
                <w:szCs w:val="16"/>
                <w:lang w:val="en-US"/>
              </w:rPr>
            </w:pPr>
            <w:r w:rsidRPr="00D119AC">
              <w:rPr>
                <w:rFonts w:ascii="Times New Roman" w:hAnsi="Times New Roman" w:cs="Times New Roman"/>
                <w:sz w:val="16"/>
                <w:szCs w:val="16"/>
                <w:lang w:val="en-US"/>
              </w:rPr>
              <w:t>64</w:t>
            </w:r>
          </w:p>
        </w:tc>
        <w:tc>
          <w:tcPr>
            <w:tcW w:w="1928" w:type="dxa"/>
            <w:gridSpan w:val="2"/>
            <w:tcBorders>
              <w:right w:val="dashed" w:sz="4" w:space="0" w:color="auto"/>
            </w:tcBorders>
            <w:vAlign w:val="center"/>
          </w:tcPr>
          <w:p w14:paraId="52345F7C" w14:textId="0FE33A3A" w:rsidR="000C4E8B" w:rsidRPr="00D119AC" w:rsidRDefault="000C4E8B" w:rsidP="000E1366">
            <w:pPr>
              <w:widowControl w:val="0"/>
              <w:autoSpaceDE w:val="0"/>
              <w:autoSpaceDN w:val="0"/>
              <w:adjustRightInd w:val="0"/>
              <w:spacing w:after="0" w:line="240" w:lineRule="auto"/>
              <w:ind w:left="144"/>
              <w:rPr>
                <w:rFonts w:ascii="Times New Roman" w:hAnsi="Times New Roman" w:cs="Times New Roman"/>
                <w:sz w:val="16"/>
                <w:szCs w:val="16"/>
                <w:lang w:val="en-US"/>
              </w:rPr>
            </w:pPr>
            <w:r w:rsidRPr="00D119AC">
              <w:rPr>
                <w:rFonts w:ascii="Times New Roman" w:hAnsi="Times New Roman" w:cs="Times New Roman"/>
                <w:sz w:val="16"/>
                <w:szCs w:val="16"/>
                <w:lang w:val="en-US"/>
              </w:rPr>
              <w:t>7.5</w:t>
            </w:r>
            <w:r>
              <w:rPr>
                <w:rFonts w:ascii="Times New Roman" w:hAnsi="Times New Roman" w:cs="Times New Roman"/>
                <w:sz w:val="16"/>
                <w:szCs w:val="16"/>
                <w:lang w:val="en-US"/>
              </w:rPr>
              <w:t xml:space="preserve"> </w:t>
            </w:r>
            <w:r w:rsidRPr="00D119AC">
              <w:rPr>
                <w:rFonts w:ascii="Times New Roman" w:hAnsi="Times New Roman" w:cs="Times New Roman"/>
                <w:sz w:val="16"/>
                <w:szCs w:val="16"/>
                <w:lang w:val="en-US"/>
              </w:rPr>
              <w:t>(6.4-10.4)</w:t>
            </w:r>
          </w:p>
        </w:tc>
        <w:tc>
          <w:tcPr>
            <w:tcW w:w="397" w:type="dxa"/>
            <w:tcBorders>
              <w:left w:val="dashed" w:sz="4" w:space="0" w:color="auto"/>
            </w:tcBorders>
            <w:vAlign w:val="center"/>
          </w:tcPr>
          <w:p w14:paraId="3E3FF6C2" w14:textId="0090832E" w:rsidR="000C4E8B" w:rsidRPr="00D119AC" w:rsidRDefault="000C4E8B" w:rsidP="007A1BB7">
            <w:pPr>
              <w:widowControl w:val="0"/>
              <w:autoSpaceDE w:val="0"/>
              <w:autoSpaceDN w:val="0"/>
              <w:adjustRightInd w:val="0"/>
              <w:spacing w:after="0" w:line="240" w:lineRule="auto"/>
              <w:jc w:val="center"/>
              <w:rPr>
                <w:rFonts w:ascii="Times New Roman" w:hAnsi="Times New Roman" w:cs="Times New Roman"/>
                <w:sz w:val="16"/>
                <w:szCs w:val="16"/>
                <w:lang w:val="en-US"/>
              </w:rPr>
            </w:pPr>
            <w:r w:rsidRPr="00D119AC">
              <w:rPr>
                <w:rFonts w:ascii="Times New Roman" w:hAnsi="Times New Roman" w:cs="Times New Roman"/>
                <w:sz w:val="16"/>
                <w:szCs w:val="16"/>
                <w:lang w:val="en-US"/>
              </w:rPr>
              <w:t>52</w:t>
            </w:r>
          </w:p>
        </w:tc>
        <w:tc>
          <w:tcPr>
            <w:tcW w:w="1758" w:type="dxa"/>
            <w:gridSpan w:val="2"/>
            <w:tcBorders>
              <w:right w:val="dashed" w:sz="4" w:space="0" w:color="auto"/>
            </w:tcBorders>
            <w:vAlign w:val="center"/>
          </w:tcPr>
          <w:p w14:paraId="52DBF1FF" w14:textId="1411FE27" w:rsidR="000C4E8B" w:rsidRPr="00D119AC" w:rsidRDefault="000C4E8B" w:rsidP="000E1366">
            <w:pPr>
              <w:widowControl w:val="0"/>
              <w:autoSpaceDE w:val="0"/>
              <w:autoSpaceDN w:val="0"/>
              <w:adjustRightInd w:val="0"/>
              <w:spacing w:after="0" w:line="240" w:lineRule="auto"/>
              <w:ind w:left="87"/>
              <w:rPr>
                <w:rFonts w:ascii="Times New Roman" w:hAnsi="Times New Roman" w:cs="Times New Roman"/>
                <w:sz w:val="16"/>
                <w:szCs w:val="16"/>
                <w:lang w:val="en-US"/>
              </w:rPr>
            </w:pPr>
            <w:r w:rsidRPr="00D119AC">
              <w:rPr>
                <w:rFonts w:ascii="Times New Roman" w:hAnsi="Times New Roman" w:cs="Times New Roman"/>
                <w:sz w:val="16"/>
                <w:szCs w:val="16"/>
                <w:lang w:val="en-US"/>
              </w:rPr>
              <w:t>10.3</w:t>
            </w:r>
            <w:r>
              <w:rPr>
                <w:rFonts w:ascii="Times New Roman" w:hAnsi="Times New Roman" w:cs="Times New Roman"/>
                <w:sz w:val="16"/>
                <w:szCs w:val="16"/>
                <w:lang w:val="en-US"/>
              </w:rPr>
              <w:t xml:space="preserve"> </w:t>
            </w:r>
            <w:r w:rsidRPr="00D119AC">
              <w:rPr>
                <w:rFonts w:ascii="Times New Roman" w:hAnsi="Times New Roman" w:cs="Times New Roman"/>
                <w:sz w:val="16"/>
                <w:szCs w:val="16"/>
                <w:lang w:val="en-US"/>
              </w:rPr>
              <w:t>(7.5-14.0)</w:t>
            </w:r>
          </w:p>
        </w:tc>
      </w:tr>
      <w:tr w:rsidR="000C4E8B" w:rsidRPr="00D119AC" w14:paraId="32F60728" w14:textId="77777777" w:rsidTr="0056300B">
        <w:trPr>
          <w:trHeight w:val="113"/>
        </w:trPr>
        <w:tc>
          <w:tcPr>
            <w:tcW w:w="2438" w:type="dxa"/>
            <w:tcBorders>
              <w:right w:val="dashed" w:sz="4" w:space="0" w:color="auto"/>
            </w:tcBorders>
            <w:vAlign w:val="center"/>
          </w:tcPr>
          <w:p w14:paraId="67F4D71B" w14:textId="6136F945" w:rsidR="000C4E8B" w:rsidRPr="00D119AC" w:rsidRDefault="000C4E8B" w:rsidP="000E1366">
            <w:pPr>
              <w:widowControl w:val="0"/>
              <w:autoSpaceDE w:val="0"/>
              <w:autoSpaceDN w:val="0"/>
              <w:adjustRightInd w:val="0"/>
              <w:spacing w:after="0" w:line="240" w:lineRule="auto"/>
              <w:ind w:left="654"/>
              <w:rPr>
                <w:rFonts w:ascii="Times New Roman" w:hAnsi="Times New Roman" w:cs="Times New Roman"/>
                <w:b/>
                <w:sz w:val="16"/>
                <w:szCs w:val="16"/>
                <w:lang w:val="en-US"/>
              </w:rPr>
            </w:pPr>
            <w:r w:rsidRPr="00D119AC">
              <w:rPr>
                <w:rFonts w:ascii="Times New Roman" w:hAnsi="Times New Roman" w:cs="Times New Roman"/>
                <w:sz w:val="16"/>
                <w:szCs w:val="16"/>
                <w:lang w:val="en-US"/>
              </w:rPr>
              <w:t>Poor (HH</w:t>
            </w:r>
            <w:r w:rsidRPr="00D119AC">
              <w:rPr>
                <w:rFonts w:ascii="Times New Roman" w:hAnsi="Times New Roman" w:cs="Times New Roman"/>
                <w:sz w:val="16"/>
                <w:szCs w:val="16"/>
                <w:vertAlign w:val="subscript"/>
                <w:lang w:val="en-US"/>
              </w:rPr>
              <w:t>4-5</w:t>
            </w:r>
            <w:r w:rsidRPr="00D119AC">
              <w:rPr>
                <w:rFonts w:ascii="Times New Roman" w:hAnsi="Times New Roman" w:cs="Times New Roman"/>
                <w:sz w:val="16"/>
                <w:szCs w:val="16"/>
                <w:lang w:val="en-US"/>
              </w:rPr>
              <w:t>)</w:t>
            </w:r>
          </w:p>
        </w:tc>
        <w:tc>
          <w:tcPr>
            <w:tcW w:w="340" w:type="dxa"/>
            <w:tcBorders>
              <w:left w:val="dashed" w:sz="4" w:space="0" w:color="auto"/>
            </w:tcBorders>
            <w:vAlign w:val="center"/>
          </w:tcPr>
          <w:p w14:paraId="36ED1A6C" w14:textId="30803063" w:rsidR="000C4E8B" w:rsidRPr="00D119AC" w:rsidRDefault="000C4E8B" w:rsidP="007A1BB7">
            <w:pPr>
              <w:widowControl w:val="0"/>
              <w:autoSpaceDE w:val="0"/>
              <w:autoSpaceDN w:val="0"/>
              <w:adjustRightInd w:val="0"/>
              <w:spacing w:after="0" w:line="240" w:lineRule="auto"/>
              <w:ind w:left="-118"/>
              <w:jc w:val="center"/>
              <w:rPr>
                <w:rFonts w:ascii="Times New Roman" w:hAnsi="Times New Roman" w:cs="Times New Roman"/>
                <w:sz w:val="16"/>
                <w:szCs w:val="16"/>
                <w:lang w:val="en-US"/>
              </w:rPr>
            </w:pPr>
            <w:r w:rsidRPr="00D119AC">
              <w:rPr>
                <w:rFonts w:ascii="Times New Roman" w:hAnsi="Times New Roman" w:cs="Times New Roman"/>
                <w:sz w:val="16"/>
                <w:szCs w:val="16"/>
                <w:lang w:val="en-US"/>
              </w:rPr>
              <w:t>19</w:t>
            </w:r>
          </w:p>
        </w:tc>
        <w:tc>
          <w:tcPr>
            <w:tcW w:w="1928" w:type="dxa"/>
            <w:gridSpan w:val="2"/>
            <w:tcBorders>
              <w:right w:val="dashed" w:sz="4" w:space="0" w:color="auto"/>
            </w:tcBorders>
            <w:vAlign w:val="center"/>
          </w:tcPr>
          <w:p w14:paraId="411B857D" w14:textId="22F36843" w:rsidR="000C4E8B" w:rsidRPr="00D119AC" w:rsidRDefault="000C4E8B" w:rsidP="000E1366">
            <w:pPr>
              <w:widowControl w:val="0"/>
              <w:autoSpaceDE w:val="0"/>
              <w:autoSpaceDN w:val="0"/>
              <w:adjustRightInd w:val="0"/>
              <w:spacing w:after="0" w:line="240" w:lineRule="auto"/>
              <w:ind w:left="144"/>
              <w:rPr>
                <w:rFonts w:ascii="Times New Roman" w:hAnsi="Times New Roman" w:cs="Times New Roman"/>
                <w:sz w:val="16"/>
                <w:szCs w:val="16"/>
                <w:lang w:val="en-US"/>
              </w:rPr>
            </w:pPr>
            <w:r w:rsidRPr="00D119AC">
              <w:rPr>
                <w:rFonts w:ascii="Times New Roman" w:hAnsi="Times New Roman" w:cs="Times New Roman"/>
                <w:sz w:val="16"/>
                <w:szCs w:val="16"/>
                <w:lang w:val="en-US"/>
              </w:rPr>
              <w:t>10.0</w:t>
            </w:r>
            <w:r>
              <w:rPr>
                <w:rFonts w:ascii="Times New Roman" w:hAnsi="Times New Roman" w:cs="Times New Roman"/>
                <w:sz w:val="16"/>
                <w:szCs w:val="16"/>
                <w:lang w:val="en-US"/>
              </w:rPr>
              <w:t xml:space="preserve"> </w:t>
            </w:r>
            <w:r w:rsidRPr="00D119AC">
              <w:rPr>
                <w:rFonts w:ascii="Times New Roman" w:hAnsi="Times New Roman" w:cs="Times New Roman"/>
                <w:sz w:val="16"/>
                <w:szCs w:val="16"/>
                <w:lang w:val="en-US"/>
              </w:rPr>
              <w:t>(8.3-12.1)</w:t>
            </w:r>
          </w:p>
        </w:tc>
        <w:tc>
          <w:tcPr>
            <w:tcW w:w="397" w:type="dxa"/>
            <w:tcBorders>
              <w:left w:val="dashed" w:sz="4" w:space="0" w:color="auto"/>
            </w:tcBorders>
            <w:vAlign w:val="center"/>
          </w:tcPr>
          <w:p w14:paraId="57DCE799" w14:textId="43051E7A" w:rsidR="000C4E8B" w:rsidRPr="00D119AC" w:rsidRDefault="000C4E8B" w:rsidP="007A1BB7">
            <w:pPr>
              <w:widowControl w:val="0"/>
              <w:autoSpaceDE w:val="0"/>
              <w:autoSpaceDN w:val="0"/>
              <w:adjustRightInd w:val="0"/>
              <w:spacing w:after="0" w:line="240" w:lineRule="auto"/>
              <w:jc w:val="center"/>
              <w:rPr>
                <w:rFonts w:ascii="Times New Roman" w:hAnsi="Times New Roman" w:cs="Times New Roman"/>
                <w:sz w:val="16"/>
                <w:szCs w:val="16"/>
                <w:lang w:val="en-US"/>
              </w:rPr>
            </w:pPr>
            <w:r w:rsidRPr="00D119AC">
              <w:rPr>
                <w:rFonts w:ascii="Times New Roman" w:hAnsi="Times New Roman" w:cs="Times New Roman"/>
                <w:sz w:val="16"/>
                <w:szCs w:val="16"/>
                <w:lang w:val="en-US"/>
              </w:rPr>
              <w:t>16</w:t>
            </w:r>
          </w:p>
        </w:tc>
        <w:tc>
          <w:tcPr>
            <w:tcW w:w="1758" w:type="dxa"/>
            <w:gridSpan w:val="2"/>
            <w:tcBorders>
              <w:right w:val="dashed" w:sz="4" w:space="0" w:color="auto"/>
            </w:tcBorders>
            <w:vAlign w:val="center"/>
          </w:tcPr>
          <w:p w14:paraId="50ADB498" w14:textId="3DA91E6F" w:rsidR="000C4E8B" w:rsidRPr="00D119AC" w:rsidRDefault="000C4E8B" w:rsidP="000E1366">
            <w:pPr>
              <w:widowControl w:val="0"/>
              <w:autoSpaceDE w:val="0"/>
              <w:autoSpaceDN w:val="0"/>
              <w:adjustRightInd w:val="0"/>
              <w:spacing w:after="0" w:line="240" w:lineRule="auto"/>
              <w:ind w:left="87"/>
              <w:rPr>
                <w:rFonts w:ascii="Times New Roman" w:hAnsi="Times New Roman" w:cs="Times New Roman"/>
                <w:sz w:val="16"/>
                <w:szCs w:val="16"/>
                <w:lang w:val="en-US"/>
              </w:rPr>
            </w:pPr>
            <w:r w:rsidRPr="00D119AC">
              <w:rPr>
                <w:rFonts w:ascii="Times New Roman" w:hAnsi="Times New Roman" w:cs="Times New Roman"/>
                <w:sz w:val="16"/>
                <w:szCs w:val="16"/>
                <w:lang w:val="en-US"/>
              </w:rPr>
              <w:t>13.1</w:t>
            </w:r>
            <w:r>
              <w:rPr>
                <w:rFonts w:ascii="Times New Roman" w:hAnsi="Times New Roman" w:cs="Times New Roman"/>
                <w:sz w:val="16"/>
                <w:szCs w:val="16"/>
                <w:lang w:val="en-US"/>
              </w:rPr>
              <w:t xml:space="preserve"> </w:t>
            </w:r>
            <w:r w:rsidRPr="00D119AC">
              <w:rPr>
                <w:rFonts w:ascii="Times New Roman" w:hAnsi="Times New Roman" w:cs="Times New Roman"/>
                <w:sz w:val="16"/>
                <w:szCs w:val="16"/>
                <w:lang w:val="en-US"/>
              </w:rPr>
              <w:t>(11.1-19.7)</w:t>
            </w:r>
          </w:p>
        </w:tc>
      </w:tr>
      <w:tr w:rsidR="000C4E8B" w:rsidRPr="00D119AC" w14:paraId="6AD67815" w14:textId="77777777" w:rsidTr="0056300B">
        <w:trPr>
          <w:trHeight w:val="113"/>
        </w:trPr>
        <w:tc>
          <w:tcPr>
            <w:tcW w:w="2438" w:type="dxa"/>
            <w:tcBorders>
              <w:right w:val="dashed" w:sz="4" w:space="0" w:color="auto"/>
            </w:tcBorders>
            <w:shd w:val="clear" w:color="auto" w:fill="F2F2F2" w:themeFill="background1" w:themeFillShade="F2"/>
            <w:vAlign w:val="center"/>
          </w:tcPr>
          <w:p w14:paraId="42482630" w14:textId="77777777" w:rsidR="000C4E8B" w:rsidRPr="00D119AC" w:rsidRDefault="000C4E8B" w:rsidP="007A1BB7">
            <w:pPr>
              <w:widowControl w:val="0"/>
              <w:autoSpaceDE w:val="0"/>
              <w:autoSpaceDN w:val="0"/>
              <w:adjustRightInd w:val="0"/>
              <w:spacing w:after="0" w:line="240" w:lineRule="auto"/>
              <w:rPr>
                <w:rFonts w:ascii="Times New Roman" w:hAnsi="Times New Roman" w:cs="Times New Roman"/>
                <w:b/>
                <w:sz w:val="16"/>
                <w:szCs w:val="16"/>
                <w:lang w:val="en-US"/>
              </w:rPr>
            </w:pPr>
            <w:r w:rsidRPr="00D119AC">
              <w:rPr>
                <w:rFonts w:ascii="Times New Roman" w:hAnsi="Times New Roman" w:cs="Times New Roman"/>
                <w:b/>
                <w:sz w:val="16"/>
                <w:szCs w:val="16"/>
                <w:lang w:val="en-US"/>
              </w:rPr>
              <w:t>Mod. Fisher scale</w:t>
            </w:r>
          </w:p>
        </w:tc>
        <w:tc>
          <w:tcPr>
            <w:tcW w:w="340" w:type="dxa"/>
            <w:tcBorders>
              <w:left w:val="dashed" w:sz="4" w:space="0" w:color="auto"/>
            </w:tcBorders>
            <w:shd w:val="clear" w:color="auto" w:fill="F2F2F2" w:themeFill="background1" w:themeFillShade="F2"/>
            <w:vAlign w:val="center"/>
          </w:tcPr>
          <w:p w14:paraId="64EDC8B7" w14:textId="77777777" w:rsidR="000C4E8B" w:rsidRPr="00D119AC" w:rsidRDefault="000C4E8B" w:rsidP="007A1BB7">
            <w:pPr>
              <w:widowControl w:val="0"/>
              <w:autoSpaceDE w:val="0"/>
              <w:autoSpaceDN w:val="0"/>
              <w:adjustRightInd w:val="0"/>
              <w:spacing w:after="0" w:line="240" w:lineRule="auto"/>
              <w:ind w:left="-118"/>
              <w:jc w:val="center"/>
              <w:rPr>
                <w:rFonts w:ascii="Times New Roman" w:hAnsi="Times New Roman" w:cs="Times New Roman"/>
                <w:sz w:val="16"/>
                <w:szCs w:val="16"/>
                <w:lang w:val="en-US"/>
              </w:rPr>
            </w:pPr>
          </w:p>
        </w:tc>
        <w:tc>
          <w:tcPr>
            <w:tcW w:w="1134" w:type="dxa"/>
            <w:shd w:val="clear" w:color="auto" w:fill="F2F2F2" w:themeFill="background1" w:themeFillShade="F2"/>
            <w:vAlign w:val="center"/>
          </w:tcPr>
          <w:p w14:paraId="113A070D" w14:textId="77777777" w:rsidR="000C4E8B" w:rsidRPr="00D119AC" w:rsidRDefault="000C4E8B" w:rsidP="007A1BB7">
            <w:pPr>
              <w:widowControl w:val="0"/>
              <w:autoSpaceDE w:val="0"/>
              <w:autoSpaceDN w:val="0"/>
              <w:adjustRightInd w:val="0"/>
              <w:spacing w:after="0" w:line="240" w:lineRule="auto"/>
              <w:jc w:val="center"/>
              <w:rPr>
                <w:rFonts w:ascii="Times New Roman" w:hAnsi="Times New Roman" w:cs="Times New Roman"/>
                <w:sz w:val="16"/>
                <w:szCs w:val="16"/>
                <w:lang w:val="en-US"/>
              </w:rPr>
            </w:pPr>
          </w:p>
        </w:tc>
        <w:tc>
          <w:tcPr>
            <w:tcW w:w="794" w:type="dxa"/>
            <w:tcBorders>
              <w:right w:val="dashed" w:sz="4" w:space="0" w:color="auto"/>
            </w:tcBorders>
            <w:shd w:val="clear" w:color="auto" w:fill="F2F2F2" w:themeFill="background1" w:themeFillShade="F2"/>
            <w:vAlign w:val="center"/>
          </w:tcPr>
          <w:p w14:paraId="7A2D26C8" w14:textId="13ADE6BF" w:rsidR="000C4E8B" w:rsidRPr="00D119AC" w:rsidRDefault="000C4E8B" w:rsidP="000C4E8B">
            <w:pPr>
              <w:widowControl w:val="0"/>
              <w:autoSpaceDE w:val="0"/>
              <w:autoSpaceDN w:val="0"/>
              <w:adjustRightInd w:val="0"/>
              <w:spacing w:after="0" w:line="240" w:lineRule="auto"/>
              <w:jc w:val="right"/>
              <w:rPr>
                <w:rFonts w:ascii="Times New Roman" w:hAnsi="Times New Roman" w:cs="Times New Roman"/>
                <w:sz w:val="16"/>
                <w:szCs w:val="16"/>
                <w:lang w:val="en-US"/>
              </w:rPr>
            </w:pPr>
            <w:r w:rsidRPr="00D119AC">
              <w:rPr>
                <w:rFonts w:ascii="Times New Roman" w:hAnsi="Times New Roman" w:cs="Times New Roman"/>
                <w:sz w:val="16"/>
                <w:szCs w:val="16"/>
                <w:lang w:val="en-US"/>
              </w:rPr>
              <w:t>0.081</w:t>
            </w:r>
          </w:p>
        </w:tc>
        <w:tc>
          <w:tcPr>
            <w:tcW w:w="397" w:type="dxa"/>
            <w:tcBorders>
              <w:left w:val="dashed" w:sz="4" w:space="0" w:color="auto"/>
            </w:tcBorders>
            <w:shd w:val="clear" w:color="auto" w:fill="F2F2F2" w:themeFill="background1" w:themeFillShade="F2"/>
            <w:vAlign w:val="center"/>
          </w:tcPr>
          <w:p w14:paraId="3135B52D" w14:textId="77777777" w:rsidR="000C4E8B" w:rsidRPr="00D119AC" w:rsidRDefault="000C4E8B" w:rsidP="000C4E8B">
            <w:pPr>
              <w:widowControl w:val="0"/>
              <w:autoSpaceDE w:val="0"/>
              <w:autoSpaceDN w:val="0"/>
              <w:adjustRightInd w:val="0"/>
              <w:spacing w:after="0" w:line="240" w:lineRule="auto"/>
              <w:jc w:val="right"/>
              <w:rPr>
                <w:rFonts w:ascii="Times New Roman" w:hAnsi="Times New Roman" w:cs="Times New Roman"/>
                <w:sz w:val="16"/>
                <w:szCs w:val="16"/>
                <w:lang w:val="en-US"/>
              </w:rPr>
            </w:pPr>
          </w:p>
        </w:tc>
        <w:tc>
          <w:tcPr>
            <w:tcW w:w="1021" w:type="dxa"/>
            <w:shd w:val="clear" w:color="auto" w:fill="F2F2F2" w:themeFill="background1" w:themeFillShade="F2"/>
            <w:vAlign w:val="center"/>
          </w:tcPr>
          <w:p w14:paraId="74745630" w14:textId="77777777" w:rsidR="000C4E8B" w:rsidRPr="00D119AC" w:rsidRDefault="000C4E8B" w:rsidP="000C4E8B">
            <w:pPr>
              <w:widowControl w:val="0"/>
              <w:autoSpaceDE w:val="0"/>
              <w:autoSpaceDN w:val="0"/>
              <w:adjustRightInd w:val="0"/>
              <w:spacing w:after="0" w:line="240" w:lineRule="auto"/>
              <w:jc w:val="right"/>
              <w:rPr>
                <w:rFonts w:ascii="Times New Roman" w:hAnsi="Times New Roman" w:cs="Times New Roman"/>
                <w:sz w:val="16"/>
                <w:szCs w:val="16"/>
                <w:lang w:val="en-US"/>
              </w:rPr>
            </w:pPr>
          </w:p>
        </w:tc>
        <w:tc>
          <w:tcPr>
            <w:tcW w:w="737" w:type="dxa"/>
            <w:tcBorders>
              <w:right w:val="dashed" w:sz="4" w:space="0" w:color="auto"/>
            </w:tcBorders>
            <w:shd w:val="clear" w:color="auto" w:fill="F2F2F2" w:themeFill="background1" w:themeFillShade="F2"/>
            <w:vAlign w:val="center"/>
          </w:tcPr>
          <w:p w14:paraId="2E1B5D49" w14:textId="4468FC5B" w:rsidR="000C4E8B" w:rsidRPr="00D119AC" w:rsidRDefault="000C4E8B" w:rsidP="000C4E8B">
            <w:pPr>
              <w:widowControl w:val="0"/>
              <w:autoSpaceDE w:val="0"/>
              <w:autoSpaceDN w:val="0"/>
              <w:adjustRightInd w:val="0"/>
              <w:spacing w:after="0" w:line="240" w:lineRule="auto"/>
              <w:jc w:val="right"/>
              <w:rPr>
                <w:rFonts w:ascii="Times New Roman" w:hAnsi="Times New Roman" w:cs="Times New Roman"/>
                <w:sz w:val="16"/>
                <w:szCs w:val="16"/>
                <w:lang w:val="en-US"/>
              </w:rPr>
            </w:pPr>
            <w:r w:rsidRPr="00D119AC">
              <w:rPr>
                <w:rFonts w:ascii="Times New Roman" w:hAnsi="Times New Roman" w:cs="Times New Roman"/>
                <w:sz w:val="16"/>
                <w:szCs w:val="16"/>
                <w:lang w:val="en-US"/>
              </w:rPr>
              <w:t>0.620</w:t>
            </w:r>
          </w:p>
        </w:tc>
      </w:tr>
      <w:tr w:rsidR="000C4E8B" w:rsidRPr="00D119AC" w14:paraId="4F0EFD67" w14:textId="77777777" w:rsidTr="0056300B">
        <w:trPr>
          <w:trHeight w:val="113"/>
        </w:trPr>
        <w:tc>
          <w:tcPr>
            <w:tcW w:w="2438" w:type="dxa"/>
            <w:tcBorders>
              <w:right w:val="dashed" w:sz="4" w:space="0" w:color="auto"/>
            </w:tcBorders>
            <w:vAlign w:val="center"/>
          </w:tcPr>
          <w:p w14:paraId="410A4775" w14:textId="79A71E41" w:rsidR="000C4E8B" w:rsidRPr="00D119AC" w:rsidRDefault="000C4E8B" w:rsidP="000E1366">
            <w:pPr>
              <w:widowControl w:val="0"/>
              <w:autoSpaceDE w:val="0"/>
              <w:autoSpaceDN w:val="0"/>
              <w:adjustRightInd w:val="0"/>
              <w:spacing w:after="0" w:line="240" w:lineRule="auto"/>
              <w:ind w:left="654"/>
              <w:rPr>
                <w:rFonts w:ascii="Times New Roman" w:hAnsi="Times New Roman" w:cs="Times New Roman"/>
                <w:b/>
                <w:sz w:val="16"/>
                <w:szCs w:val="16"/>
                <w:lang w:val="en-US"/>
              </w:rPr>
            </w:pPr>
            <w:r w:rsidRPr="00D119AC">
              <w:rPr>
                <w:rFonts w:ascii="Times New Roman" w:hAnsi="Times New Roman" w:cs="Times New Roman"/>
                <w:sz w:val="16"/>
                <w:szCs w:val="16"/>
                <w:lang w:val="en-US"/>
              </w:rPr>
              <w:t>Good (mFS</w:t>
            </w:r>
            <w:r w:rsidRPr="00D119AC">
              <w:rPr>
                <w:rFonts w:ascii="Times New Roman" w:hAnsi="Times New Roman" w:cs="Times New Roman"/>
                <w:sz w:val="16"/>
                <w:szCs w:val="16"/>
                <w:vertAlign w:val="subscript"/>
                <w:lang w:val="en-US"/>
              </w:rPr>
              <w:t>1-2</w:t>
            </w:r>
            <w:r w:rsidRPr="00D119AC">
              <w:rPr>
                <w:rFonts w:ascii="Times New Roman" w:hAnsi="Times New Roman" w:cs="Times New Roman"/>
                <w:sz w:val="16"/>
                <w:szCs w:val="16"/>
                <w:lang w:val="en-US"/>
              </w:rPr>
              <w:t>)</w:t>
            </w:r>
          </w:p>
        </w:tc>
        <w:tc>
          <w:tcPr>
            <w:tcW w:w="340" w:type="dxa"/>
            <w:tcBorders>
              <w:left w:val="dashed" w:sz="4" w:space="0" w:color="auto"/>
            </w:tcBorders>
            <w:vAlign w:val="center"/>
          </w:tcPr>
          <w:p w14:paraId="426430F1" w14:textId="126C5454" w:rsidR="000C4E8B" w:rsidRPr="00D119AC" w:rsidRDefault="000C4E8B" w:rsidP="007A1BB7">
            <w:pPr>
              <w:widowControl w:val="0"/>
              <w:autoSpaceDE w:val="0"/>
              <w:autoSpaceDN w:val="0"/>
              <w:adjustRightInd w:val="0"/>
              <w:spacing w:after="0" w:line="240" w:lineRule="auto"/>
              <w:ind w:left="-118"/>
              <w:jc w:val="center"/>
              <w:rPr>
                <w:rFonts w:ascii="Times New Roman" w:hAnsi="Times New Roman" w:cs="Times New Roman"/>
                <w:sz w:val="16"/>
                <w:szCs w:val="16"/>
                <w:lang w:val="en-US"/>
              </w:rPr>
            </w:pPr>
            <w:r w:rsidRPr="00D119AC">
              <w:rPr>
                <w:rFonts w:ascii="Times New Roman" w:hAnsi="Times New Roman" w:cs="Times New Roman"/>
                <w:sz w:val="16"/>
                <w:szCs w:val="16"/>
                <w:lang w:val="en-US"/>
              </w:rPr>
              <w:t>35</w:t>
            </w:r>
          </w:p>
        </w:tc>
        <w:tc>
          <w:tcPr>
            <w:tcW w:w="1928" w:type="dxa"/>
            <w:gridSpan w:val="2"/>
            <w:tcBorders>
              <w:right w:val="dashed" w:sz="4" w:space="0" w:color="auto"/>
            </w:tcBorders>
            <w:vAlign w:val="center"/>
          </w:tcPr>
          <w:p w14:paraId="25D1F9B9" w14:textId="0B352372" w:rsidR="000C4E8B" w:rsidRPr="00D119AC" w:rsidRDefault="000C4E8B" w:rsidP="000E1366">
            <w:pPr>
              <w:widowControl w:val="0"/>
              <w:autoSpaceDE w:val="0"/>
              <w:autoSpaceDN w:val="0"/>
              <w:adjustRightInd w:val="0"/>
              <w:spacing w:after="0" w:line="240" w:lineRule="auto"/>
              <w:ind w:left="144"/>
              <w:rPr>
                <w:rFonts w:ascii="Times New Roman" w:hAnsi="Times New Roman" w:cs="Times New Roman"/>
                <w:sz w:val="16"/>
                <w:szCs w:val="16"/>
                <w:lang w:val="en-US"/>
              </w:rPr>
            </w:pPr>
            <w:r w:rsidRPr="00D119AC">
              <w:rPr>
                <w:rFonts w:ascii="Times New Roman" w:hAnsi="Times New Roman" w:cs="Times New Roman"/>
                <w:sz w:val="16"/>
                <w:szCs w:val="16"/>
                <w:lang w:val="en-US"/>
              </w:rPr>
              <w:t>7.4</w:t>
            </w:r>
            <w:r>
              <w:rPr>
                <w:rFonts w:ascii="Times New Roman" w:hAnsi="Times New Roman" w:cs="Times New Roman"/>
                <w:sz w:val="16"/>
                <w:szCs w:val="16"/>
                <w:lang w:val="en-US"/>
              </w:rPr>
              <w:t xml:space="preserve"> </w:t>
            </w:r>
            <w:r w:rsidRPr="00D119AC">
              <w:rPr>
                <w:rFonts w:ascii="Times New Roman" w:hAnsi="Times New Roman" w:cs="Times New Roman"/>
                <w:sz w:val="16"/>
                <w:szCs w:val="16"/>
                <w:lang w:val="en-US"/>
              </w:rPr>
              <w:t>(6.2-10.3)</w:t>
            </w:r>
          </w:p>
        </w:tc>
        <w:tc>
          <w:tcPr>
            <w:tcW w:w="397" w:type="dxa"/>
            <w:tcBorders>
              <w:left w:val="dashed" w:sz="4" w:space="0" w:color="auto"/>
            </w:tcBorders>
            <w:vAlign w:val="center"/>
          </w:tcPr>
          <w:p w14:paraId="0365E80E" w14:textId="48182C9D" w:rsidR="000C4E8B" w:rsidRPr="00D119AC" w:rsidRDefault="000C4E8B" w:rsidP="007A1BB7">
            <w:pPr>
              <w:widowControl w:val="0"/>
              <w:autoSpaceDE w:val="0"/>
              <w:autoSpaceDN w:val="0"/>
              <w:adjustRightInd w:val="0"/>
              <w:spacing w:after="0" w:line="240" w:lineRule="auto"/>
              <w:jc w:val="center"/>
              <w:rPr>
                <w:rFonts w:ascii="Times New Roman" w:hAnsi="Times New Roman" w:cs="Times New Roman"/>
                <w:sz w:val="16"/>
                <w:szCs w:val="16"/>
                <w:lang w:val="en-US"/>
              </w:rPr>
            </w:pPr>
            <w:r w:rsidRPr="00D119AC">
              <w:rPr>
                <w:rFonts w:ascii="Times New Roman" w:hAnsi="Times New Roman" w:cs="Times New Roman"/>
                <w:sz w:val="16"/>
                <w:szCs w:val="16"/>
                <w:lang w:val="en-US"/>
              </w:rPr>
              <w:t>25</w:t>
            </w:r>
          </w:p>
        </w:tc>
        <w:tc>
          <w:tcPr>
            <w:tcW w:w="1758" w:type="dxa"/>
            <w:gridSpan w:val="2"/>
            <w:tcBorders>
              <w:right w:val="dashed" w:sz="4" w:space="0" w:color="auto"/>
            </w:tcBorders>
            <w:vAlign w:val="center"/>
          </w:tcPr>
          <w:p w14:paraId="22631AFC" w14:textId="102EBA77" w:rsidR="000C4E8B" w:rsidRPr="00D119AC" w:rsidRDefault="000C4E8B" w:rsidP="000E1366">
            <w:pPr>
              <w:widowControl w:val="0"/>
              <w:autoSpaceDE w:val="0"/>
              <w:autoSpaceDN w:val="0"/>
              <w:adjustRightInd w:val="0"/>
              <w:spacing w:after="0" w:line="240" w:lineRule="auto"/>
              <w:ind w:left="87"/>
              <w:rPr>
                <w:rFonts w:ascii="Times New Roman" w:hAnsi="Times New Roman" w:cs="Times New Roman"/>
                <w:sz w:val="16"/>
                <w:szCs w:val="16"/>
                <w:lang w:val="en-US"/>
              </w:rPr>
            </w:pPr>
            <w:r w:rsidRPr="00D119AC">
              <w:rPr>
                <w:rFonts w:ascii="Times New Roman" w:hAnsi="Times New Roman" w:cs="Times New Roman"/>
                <w:sz w:val="16"/>
                <w:szCs w:val="16"/>
                <w:lang w:val="en-US"/>
              </w:rPr>
              <w:t>9.6</w:t>
            </w:r>
            <w:r>
              <w:rPr>
                <w:rFonts w:ascii="Times New Roman" w:hAnsi="Times New Roman" w:cs="Times New Roman"/>
                <w:sz w:val="16"/>
                <w:szCs w:val="16"/>
                <w:lang w:val="en-US"/>
              </w:rPr>
              <w:t xml:space="preserve"> </w:t>
            </w:r>
            <w:r w:rsidRPr="00D119AC">
              <w:rPr>
                <w:rFonts w:ascii="Times New Roman" w:hAnsi="Times New Roman" w:cs="Times New Roman"/>
                <w:sz w:val="16"/>
                <w:szCs w:val="16"/>
                <w:lang w:val="en-US"/>
              </w:rPr>
              <w:t>(8.0-15.6)</w:t>
            </w:r>
          </w:p>
        </w:tc>
      </w:tr>
      <w:tr w:rsidR="000C4E8B" w:rsidRPr="00D119AC" w14:paraId="2E7324C0" w14:textId="77777777" w:rsidTr="0056300B">
        <w:trPr>
          <w:trHeight w:val="113"/>
        </w:trPr>
        <w:tc>
          <w:tcPr>
            <w:tcW w:w="2438" w:type="dxa"/>
            <w:tcBorders>
              <w:right w:val="dashed" w:sz="4" w:space="0" w:color="auto"/>
            </w:tcBorders>
            <w:vAlign w:val="center"/>
          </w:tcPr>
          <w:p w14:paraId="1425F432" w14:textId="1F81A10E" w:rsidR="000C4E8B" w:rsidRPr="00D119AC" w:rsidRDefault="000C4E8B" w:rsidP="000E1366">
            <w:pPr>
              <w:widowControl w:val="0"/>
              <w:autoSpaceDE w:val="0"/>
              <w:autoSpaceDN w:val="0"/>
              <w:adjustRightInd w:val="0"/>
              <w:spacing w:after="0" w:line="240" w:lineRule="auto"/>
              <w:ind w:left="654"/>
              <w:rPr>
                <w:rFonts w:ascii="Times New Roman" w:hAnsi="Times New Roman" w:cs="Times New Roman"/>
                <w:b/>
                <w:sz w:val="16"/>
                <w:szCs w:val="16"/>
                <w:lang w:val="en-US"/>
              </w:rPr>
            </w:pPr>
            <w:r w:rsidRPr="00D119AC">
              <w:rPr>
                <w:rFonts w:ascii="Times New Roman" w:hAnsi="Times New Roman" w:cs="Times New Roman"/>
                <w:sz w:val="16"/>
                <w:szCs w:val="16"/>
                <w:lang w:val="en-US"/>
              </w:rPr>
              <w:t>Poor</w:t>
            </w:r>
            <w:r w:rsidRPr="00D119AC">
              <w:rPr>
                <w:rFonts w:ascii="Times New Roman" w:hAnsi="Times New Roman" w:cs="Times New Roman"/>
                <w:color w:val="FF0000"/>
                <w:sz w:val="16"/>
                <w:szCs w:val="16"/>
                <w:lang w:val="en-US"/>
              </w:rPr>
              <w:t xml:space="preserve"> </w:t>
            </w:r>
            <w:r w:rsidRPr="00D119AC">
              <w:rPr>
                <w:rFonts w:ascii="Times New Roman" w:hAnsi="Times New Roman" w:cs="Times New Roman"/>
                <w:sz w:val="16"/>
                <w:szCs w:val="16"/>
                <w:lang w:val="en-US"/>
              </w:rPr>
              <w:t>(mFS</w:t>
            </w:r>
            <w:r w:rsidRPr="00D119AC">
              <w:rPr>
                <w:rFonts w:ascii="Times New Roman" w:hAnsi="Times New Roman" w:cs="Times New Roman"/>
                <w:sz w:val="16"/>
                <w:szCs w:val="16"/>
                <w:vertAlign w:val="subscript"/>
                <w:lang w:val="en-US"/>
              </w:rPr>
              <w:t>3-4</w:t>
            </w:r>
            <w:r w:rsidRPr="00D119AC">
              <w:rPr>
                <w:rFonts w:ascii="Times New Roman" w:hAnsi="Times New Roman" w:cs="Times New Roman"/>
                <w:sz w:val="16"/>
                <w:szCs w:val="16"/>
                <w:lang w:val="en-US"/>
              </w:rPr>
              <w:t>)</w:t>
            </w:r>
          </w:p>
        </w:tc>
        <w:tc>
          <w:tcPr>
            <w:tcW w:w="340" w:type="dxa"/>
            <w:tcBorders>
              <w:left w:val="dashed" w:sz="4" w:space="0" w:color="auto"/>
            </w:tcBorders>
            <w:vAlign w:val="center"/>
          </w:tcPr>
          <w:p w14:paraId="0F15F14B" w14:textId="60EBE179" w:rsidR="000C4E8B" w:rsidRPr="00D119AC" w:rsidRDefault="000C4E8B" w:rsidP="007A1BB7">
            <w:pPr>
              <w:widowControl w:val="0"/>
              <w:autoSpaceDE w:val="0"/>
              <w:autoSpaceDN w:val="0"/>
              <w:adjustRightInd w:val="0"/>
              <w:spacing w:after="0" w:line="240" w:lineRule="auto"/>
              <w:ind w:left="-118"/>
              <w:jc w:val="center"/>
              <w:rPr>
                <w:rFonts w:ascii="Times New Roman" w:hAnsi="Times New Roman" w:cs="Times New Roman"/>
                <w:sz w:val="16"/>
                <w:szCs w:val="16"/>
                <w:lang w:val="en-US"/>
              </w:rPr>
            </w:pPr>
            <w:r w:rsidRPr="00D119AC">
              <w:rPr>
                <w:rFonts w:ascii="Times New Roman" w:hAnsi="Times New Roman" w:cs="Times New Roman"/>
                <w:sz w:val="16"/>
                <w:szCs w:val="16"/>
                <w:lang w:val="en-US"/>
              </w:rPr>
              <w:t>48</w:t>
            </w:r>
          </w:p>
        </w:tc>
        <w:tc>
          <w:tcPr>
            <w:tcW w:w="1928" w:type="dxa"/>
            <w:gridSpan w:val="2"/>
            <w:tcBorders>
              <w:right w:val="dashed" w:sz="4" w:space="0" w:color="auto"/>
            </w:tcBorders>
            <w:vAlign w:val="center"/>
          </w:tcPr>
          <w:p w14:paraId="57D67687" w14:textId="05377FE4" w:rsidR="000C4E8B" w:rsidRPr="00D119AC" w:rsidRDefault="000C4E8B" w:rsidP="000E1366">
            <w:pPr>
              <w:widowControl w:val="0"/>
              <w:autoSpaceDE w:val="0"/>
              <w:autoSpaceDN w:val="0"/>
              <w:adjustRightInd w:val="0"/>
              <w:spacing w:after="0" w:line="240" w:lineRule="auto"/>
              <w:ind w:left="144"/>
              <w:rPr>
                <w:rFonts w:ascii="Times New Roman" w:hAnsi="Times New Roman" w:cs="Times New Roman"/>
                <w:sz w:val="16"/>
                <w:szCs w:val="16"/>
                <w:lang w:val="en-US"/>
              </w:rPr>
            </w:pPr>
            <w:r w:rsidRPr="00D119AC">
              <w:rPr>
                <w:rFonts w:ascii="Times New Roman" w:hAnsi="Times New Roman" w:cs="Times New Roman"/>
                <w:sz w:val="16"/>
                <w:szCs w:val="16"/>
                <w:lang w:val="en-US"/>
              </w:rPr>
              <w:t>9.2</w:t>
            </w:r>
            <w:r>
              <w:rPr>
                <w:rFonts w:ascii="Times New Roman" w:hAnsi="Times New Roman" w:cs="Times New Roman"/>
                <w:sz w:val="16"/>
                <w:szCs w:val="16"/>
                <w:lang w:val="en-US"/>
              </w:rPr>
              <w:t xml:space="preserve"> </w:t>
            </w:r>
            <w:r w:rsidRPr="00D119AC">
              <w:rPr>
                <w:rFonts w:ascii="Times New Roman" w:hAnsi="Times New Roman" w:cs="Times New Roman"/>
                <w:sz w:val="16"/>
                <w:szCs w:val="16"/>
                <w:lang w:val="en-US"/>
              </w:rPr>
              <w:t>(6.9-11.8)</w:t>
            </w:r>
          </w:p>
        </w:tc>
        <w:tc>
          <w:tcPr>
            <w:tcW w:w="397" w:type="dxa"/>
            <w:tcBorders>
              <w:left w:val="dashed" w:sz="4" w:space="0" w:color="auto"/>
            </w:tcBorders>
            <w:vAlign w:val="center"/>
          </w:tcPr>
          <w:p w14:paraId="598E004B" w14:textId="62745348" w:rsidR="000C4E8B" w:rsidRPr="00D119AC" w:rsidRDefault="000C4E8B" w:rsidP="007A1BB7">
            <w:pPr>
              <w:widowControl w:val="0"/>
              <w:autoSpaceDE w:val="0"/>
              <w:autoSpaceDN w:val="0"/>
              <w:adjustRightInd w:val="0"/>
              <w:spacing w:after="0" w:line="240" w:lineRule="auto"/>
              <w:jc w:val="center"/>
              <w:rPr>
                <w:rFonts w:ascii="Times New Roman" w:hAnsi="Times New Roman" w:cs="Times New Roman"/>
                <w:sz w:val="16"/>
                <w:szCs w:val="16"/>
                <w:lang w:val="en-US"/>
              </w:rPr>
            </w:pPr>
            <w:r w:rsidRPr="00D119AC">
              <w:rPr>
                <w:rFonts w:ascii="Times New Roman" w:hAnsi="Times New Roman" w:cs="Times New Roman"/>
                <w:sz w:val="16"/>
                <w:szCs w:val="16"/>
                <w:lang w:val="en-US"/>
              </w:rPr>
              <w:t>43</w:t>
            </w:r>
          </w:p>
        </w:tc>
        <w:tc>
          <w:tcPr>
            <w:tcW w:w="1758" w:type="dxa"/>
            <w:gridSpan w:val="2"/>
            <w:tcBorders>
              <w:right w:val="dashed" w:sz="4" w:space="0" w:color="auto"/>
            </w:tcBorders>
            <w:vAlign w:val="center"/>
          </w:tcPr>
          <w:p w14:paraId="37AE22A0" w14:textId="758B9947" w:rsidR="000C4E8B" w:rsidRPr="00D119AC" w:rsidRDefault="000C4E8B" w:rsidP="000E1366">
            <w:pPr>
              <w:widowControl w:val="0"/>
              <w:autoSpaceDE w:val="0"/>
              <w:autoSpaceDN w:val="0"/>
              <w:adjustRightInd w:val="0"/>
              <w:spacing w:after="0" w:line="240" w:lineRule="auto"/>
              <w:ind w:left="87"/>
              <w:rPr>
                <w:rFonts w:ascii="Times New Roman" w:hAnsi="Times New Roman" w:cs="Times New Roman"/>
                <w:sz w:val="16"/>
                <w:szCs w:val="16"/>
                <w:lang w:val="en-US"/>
              </w:rPr>
            </w:pPr>
            <w:r w:rsidRPr="00D119AC">
              <w:rPr>
                <w:rFonts w:ascii="Times New Roman" w:hAnsi="Times New Roman" w:cs="Times New Roman"/>
                <w:sz w:val="16"/>
                <w:szCs w:val="16"/>
                <w:lang w:val="en-US"/>
              </w:rPr>
              <w:t>11.4</w:t>
            </w:r>
            <w:r>
              <w:rPr>
                <w:rFonts w:ascii="Times New Roman" w:hAnsi="Times New Roman" w:cs="Times New Roman"/>
                <w:sz w:val="16"/>
                <w:szCs w:val="16"/>
                <w:lang w:val="en-US"/>
              </w:rPr>
              <w:t xml:space="preserve"> </w:t>
            </w:r>
            <w:r w:rsidRPr="00D119AC">
              <w:rPr>
                <w:rFonts w:ascii="Times New Roman" w:hAnsi="Times New Roman" w:cs="Times New Roman"/>
                <w:sz w:val="16"/>
                <w:szCs w:val="16"/>
                <w:lang w:val="en-US"/>
              </w:rPr>
              <w:t>(8.3-14.0)</w:t>
            </w:r>
          </w:p>
        </w:tc>
      </w:tr>
      <w:tr w:rsidR="000C4E8B" w:rsidRPr="00D119AC" w14:paraId="46886004" w14:textId="77777777" w:rsidTr="0056300B">
        <w:trPr>
          <w:trHeight w:val="113"/>
        </w:trPr>
        <w:tc>
          <w:tcPr>
            <w:tcW w:w="2438" w:type="dxa"/>
            <w:tcBorders>
              <w:right w:val="dashed" w:sz="4" w:space="0" w:color="auto"/>
            </w:tcBorders>
            <w:shd w:val="clear" w:color="auto" w:fill="F2F2F2" w:themeFill="background1" w:themeFillShade="F2"/>
            <w:vAlign w:val="center"/>
          </w:tcPr>
          <w:p w14:paraId="2BB5F1B3" w14:textId="77777777" w:rsidR="000C4E8B" w:rsidRPr="00D119AC" w:rsidRDefault="000C4E8B" w:rsidP="007A1BB7">
            <w:pPr>
              <w:widowControl w:val="0"/>
              <w:autoSpaceDE w:val="0"/>
              <w:autoSpaceDN w:val="0"/>
              <w:adjustRightInd w:val="0"/>
              <w:spacing w:after="0" w:line="240" w:lineRule="auto"/>
              <w:rPr>
                <w:rFonts w:ascii="Times New Roman" w:hAnsi="Times New Roman" w:cs="Times New Roman"/>
                <w:b/>
                <w:sz w:val="16"/>
                <w:szCs w:val="16"/>
                <w:lang w:val="en-US"/>
              </w:rPr>
            </w:pPr>
            <w:r w:rsidRPr="00D119AC">
              <w:rPr>
                <w:rFonts w:ascii="Times New Roman" w:hAnsi="Times New Roman" w:cs="Times New Roman"/>
                <w:b/>
                <w:sz w:val="16"/>
                <w:szCs w:val="16"/>
                <w:lang w:val="en-US"/>
              </w:rPr>
              <w:t>DCI</w:t>
            </w:r>
          </w:p>
        </w:tc>
        <w:tc>
          <w:tcPr>
            <w:tcW w:w="340" w:type="dxa"/>
            <w:tcBorders>
              <w:left w:val="dashed" w:sz="4" w:space="0" w:color="auto"/>
            </w:tcBorders>
            <w:shd w:val="clear" w:color="auto" w:fill="F2F2F2" w:themeFill="background1" w:themeFillShade="F2"/>
            <w:vAlign w:val="center"/>
          </w:tcPr>
          <w:p w14:paraId="7E0617C5" w14:textId="77777777" w:rsidR="000C4E8B" w:rsidRPr="00D119AC" w:rsidRDefault="000C4E8B" w:rsidP="007A1BB7">
            <w:pPr>
              <w:widowControl w:val="0"/>
              <w:autoSpaceDE w:val="0"/>
              <w:autoSpaceDN w:val="0"/>
              <w:adjustRightInd w:val="0"/>
              <w:spacing w:after="0" w:line="240" w:lineRule="auto"/>
              <w:ind w:left="-118"/>
              <w:jc w:val="center"/>
              <w:rPr>
                <w:rFonts w:ascii="Times New Roman" w:hAnsi="Times New Roman" w:cs="Times New Roman"/>
                <w:sz w:val="16"/>
                <w:szCs w:val="16"/>
                <w:lang w:val="en-US"/>
              </w:rPr>
            </w:pPr>
          </w:p>
        </w:tc>
        <w:tc>
          <w:tcPr>
            <w:tcW w:w="1134" w:type="dxa"/>
            <w:shd w:val="clear" w:color="auto" w:fill="F2F2F2" w:themeFill="background1" w:themeFillShade="F2"/>
            <w:vAlign w:val="center"/>
          </w:tcPr>
          <w:p w14:paraId="4ACAE62A" w14:textId="77777777" w:rsidR="000C4E8B" w:rsidRPr="00D119AC" w:rsidRDefault="000C4E8B" w:rsidP="007A1BB7">
            <w:pPr>
              <w:widowControl w:val="0"/>
              <w:autoSpaceDE w:val="0"/>
              <w:autoSpaceDN w:val="0"/>
              <w:adjustRightInd w:val="0"/>
              <w:spacing w:after="0" w:line="240" w:lineRule="auto"/>
              <w:jc w:val="center"/>
              <w:rPr>
                <w:rFonts w:ascii="Times New Roman" w:hAnsi="Times New Roman" w:cs="Times New Roman"/>
                <w:sz w:val="16"/>
                <w:szCs w:val="16"/>
                <w:lang w:val="en-US"/>
              </w:rPr>
            </w:pPr>
          </w:p>
        </w:tc>
        <w:tc>
          <w:tcPr>
            <w:tcW w:w="794" w:type="dxa"/>
            <w:tcBorders>
              <w:right w:val="dashed" w:sz="4" w:space="0" w:color="auto"/>
            </w:tcBorders>
            <w:shd w:val="clear" w:color="auto" w:fill="F2F2F2" w:themeFill="background1" w:themeFillShade="F2"/>
            <w:vAlign w:val="center"/>
          </w:tcPr>
          <w:p w14:paraId="64ECAE00" w14:textId="36076F84" w:rsidR="000C4E8B" w:rsidRPr="00D119AC" w:rsidRDefault="000C4E8B" w:rsidP="000C4E8B">
            <w:pPr>
              <w:widowControl w:val="0"/>
              <w:autoSpaceDE w:val="0"/>
              <w:autoSpaceDN w:val="0"/>
              <w:adjustRightInd w:val="0"/>
              <w:spacing w:after="0" w:line="240" w:lineRule="auto"/>
              <w:jc w:val="right"/>
              <w:rPr>
                <w:rFonts w:ascii="Times New Roman" w:hAnsi="Times New Roman" w:cs="Times New Roman"/>
                <w:sz w:val="16"/>
                <w:szCs w:val="16"/>
                <w:lang w:val="en-US"/>
              </w:rPr>
            </w:pPr>
            <w:r w:rsidRPr="00D119AC">
              <w:rPr>
                <w:rFonts w:ascii="Times New Roman" w:hAnsi="Times New Roman" w:cs="Times New Roman"/>
                <w:sz w:val="16"/>
                <w:szCs w:val="16"/>
                <w:lang w:val="en-US"/>
              </w:rPr>
              <w:t>0.379</w:t>
            </w:r>
          </w:p>
        </w:tc>
        <w:tc>
          <w:tcPr>
            <w:tcW w:w="397" w:type="dxa"/>
            <w:tcBorders>
              <w:left w:val="dashed" w:sz="4" w:space="0" w:color="auto"/>
            </w:tcBorders>
            <w:shd w:val="clear" w:color="auto" w:fill="F2F2F2" w:themeFill="background1" w:themeFillShade="F2"/>
            <w:vAlign w:val="center"/>
          </w:tcPr>
          <w:p w14:paraId="66DC208C" w14:textId="77777777" w:rsidR="000C4E8B" w:rsidRPr="00D119AC" w:rsidRDefault="000C4E8B" w:rsidP="000C4E8B">
            <w:pPr>
              <w:widowControl w:val="0"/>
              <w:autoSpaceDE w:val="0"/>
              <w:autoSpaceDN w:val="0"/>
              <w:adjustRightInd w:val="0"/>
              <w:spacing w:after="0" w:line="240" w:lineRule="auto"/>
              <w:jc w:val="right"/>
              <w:rPr>
                <w:rFonts w:ascii="Times New Roman" w:hAnsi="Times New Roman" w:cs="Times New Roman"/>
                <w:sz w:val="16"/>
                <w:szCs w:val="16"/>
                <w:lang w:val="en-US"/>
              </w:rPr>
            </w:pPr>
          </w:p>
        </w:tc>
        <w:tc>
          <w:tcPr>
            <w:tcW w:w="1021" w:type="dxa"/>
            <w:shd w:val="clear" w:color="auto" w:fill="F2F2F2" w:themeFill="background1" w:themeFillShade="F2"/>
            <w:vAlign w:val="center"/>
          </w:tcPr>
          <w:p w14:paraId="25D97FF1" w14:textId="77777777" w:rsidR="000C4E8B" w:rsidRPr="00D119AC" w:rsidRDefault="000C4E8B" w:rsidP="000C4E8B">
            <w:pPr>
              <w:widowControl w:val="0"/>
              <w:autoSpaceDE w:val="0"/>
              <w:autoSpaceDN w:val="0"/>
              <w:adjustRightInd w:val="0"/>
              <w:spacing w:after="0" w:line="240" w:lineRule="auto"/>
              <w:jc w:val="right"/>
              <w:rPr>
                <w:rFonts w:ascii="Times New Roman" w:hAnsi="Times New Roman" w:cs="Times New Roman"/>
                <w:sz w:val="16"/>
                <w:szCs w:val="16"/>
                <w:lang w:val="en-US"/>
              </w:rPr>
            </w:pPr>
          </w:p>
        </w:tc>
        <w:tc>
          <w:tcPr>
            <w:tcW w:w="737" w:type="dxa"/>
            <w:tcBorders>
              <w:right w:val="dashed" w:sz="4" w:space="0" w:color="auto"/>
            </w:tcBorders>
            <w:shd w:val="clear" w:color="auto" w:fill="F2F2F2" w:themeFill="background1" w:themeFillShade="F2"/>
            <w:vAlign w:val="center"/>
          </w:tcPr>
          <w:p w14:paraId="240DF54D" w14:textId="5CD20102" w:rsidR="000C4E8B" w:rsidRPr="00D119AC" w:rsidRDefault="000C4E8B" w:rsidP="000C4E8B">
            <w:pPr>
              <w:widowControl w:val="0"/>
              <w:autoSpaceDE w:val="0"/>
              <w:autoSpaceDN w:val="0"/>
              <w:adjustRightInd w:val="0"/>
              <w:spacing w:after="0" w:line="240" w:lineRule="auto"/>
              <w:jc w:val="right"/>
              <w:rPr>
                <w:rFonts w:ascii="Times New Roman" w:hAnsi="Times New Roman" w:cs="Times New Roman"/>
                <w:sz w:val="16"/>
                <w:szCs w:val="16"/>
                <w:lang w:val="en-US"/>
              </w:rPr>
            </w:pPr>
            <w:r w:rsidRPr="00D119AC">
              <w:rPr>
                <w:rFonts w:ascii="Times New Roman" w:hAnsi="Times New Roman" w:cs="Times New Roman"/>
                <w:b/>
                <w:sz w:val="16"/>
                <w:szCs w:val="16"/>
                <w:lang w:val="en-US"/>
              </w:rPr>
              <w:t>0.010</w:t>
            </w:r>
          </w:p>
        </w:tc>
      </w:tr>
      <w:tr w:rsidR="000C4E8B" w:rsidRPr="00D119AC" w14:paraId="3DB78241" w14:textId="77777777" w:rsidTr="0056300B">
        <w:trPr>
          <w:trHeight w:val="113"/>
        </w:trPr>
        <w:tc>
          <w:tcPr>
            <w:tcW w:w="2438" w:type="dxa"/>
            <w:tcBorders>
              <w:right w:val="dashed" w:sz="4" w:space="0" w:color="auto"/>
            </w:tcBorders>
            <w:vAlign w:val="center"/>
          </w:tcPr>
          <w:p w14:paraId="497F27A9" w14:textId="2981D9C8" w:rsidR="000C4E8B" w:rsidRPr="00D119AC" w:rsidRDefault="000C4E8B" w:rsidP="000E1366">
            <w:pPr>
              <w:widowControl w:val="0"/>
              <w:autoSpaceDE w:val="0"/>
              <w:autoSpaceDN w:val="0"/>
              <w:adjustRightInd w:val="0"/>
              <w:spacing w:after="0" w:line="240" w:lineRule="auto"/>
              <w:ind w:left="654"/>
              <w:rPr>
                <w:rFonts w:ascii="Times New Roman" w:hAnsi="Times New Roman" w:cs="Times New Roman"/>
                <w:b/>
                <w:sz w:val="16"/>
                <w:szCs w:val="16"/>
                <w:lang w:val="en-US"/>
              </w:rPr>
            </w:pPr>
            <w:r w:rsidRPr="00D119AC">
              <w:rPr>
                <w:rFonts w:ascii="Times New Roman" w:hAnsi="Times New Roman" w:cs="Times New Roman"/>
                <w:sz w:val="16"/>
                <w:szCs w:val="16"/>
                <w:lang w:val="en-US"/>
              </w:rPr>
              <w:t>no DCI</w:t>
            </w:r>
          </w:p>
        </w:tc>
        <w:tc>
          <w:tcPr>
            <w:tcW w:w="340" w:type="dxa"/>
            <w:tcBorders>
              <w:left w:val="dashed" w:sz="4" w:space="0" w:color="auto"/>
            </w:tcBorders>
            <w:vAlign w:val="center"/>
          </w:tcPr>
          <w:p w14:paraId="2E2148A7" w14:textId="1636DF1E" w:rsidR="000C4E8B" w:rsidRPr="00D119AC" w:rsidRDefault="000C4E8B" w:rsidP="007A1BB7">
            <w:pPr>
              <w:widowControl w:val="0"/>
              <w:autoSpaceDE w:val="0"/>
              <w:autoSpaceDN w:val="0"/>
              <w:adjustRightInd w:val="0"/>
              <w:spacing w:after="0" w:line="240" w:lineRule="auto"/>
              <w:ind w:left="-118"/>
              <w:jc w:val="center"/>
              <w:rPr>
                <w:rFonts w:ascii="Times New Roman" w:hAnsi="Times New Roman" w:cs="Times New Roman"/>
                <w:sz w:val="16"/>
                <w:szCs w:val="16"/>
                <w:lang w:val="en-US"/>
              </w:rPr>
            </w:pPr>
            <w:r w:rsidRPr="00D119AC">
              <w:rPr>
                <w:rFonts w:ascii="Times New Roman" w:hAnsi="Times New Roman" w:cs="Times New Roman"/>
                <w:sz w:val="16"/>
                <w:szCs w:val="16"/>
                <w:lang w:val="en-US"/>
              </w:rPr>
              <w:t>42</w:t>
            </w:r>
          </w:p>
        </w:tc>
        <w:tc>
          <w:tcPr>
            <w:tcW w:w="1928" w:type="dxa"/>
            <w:gridSpan w:val="2"/>
            <w:tcBorders>
              <w:right w:val="dashed" w:sz="4" w:space="0" w:color="auto"/>
            </w:tcBorders>
            <w:vAlign w:val="center"/>
          </w:tcPr>
          <w:p w14:paraId="17278F06" w14:textId="029D1579" w:rsidR="000C4E8B" w:rsidRPr="00D119AC" w:rsidRDefault="000C4E8B" w:rsidP="000E1366">
            <w:pPr>
              <w:widowControl w:val="0"/>
              <w:autoSpaceDE w:val="0"/>
              <w:autoSpaceDN w:val="0"/>
              <w:adjustRightInd w:val="0"/>
              <w:spacing w:after="0" w:line="240" w:lineRule="auto"/>
              <w:ind w:left="144"/>
              <w:rPr>
                <w:rFonts w:ascii="Times New Roman" w:hAnsi="Times New Roman" w:cs="Times New Roman"/>
                <w:sz w:val="16"/>
                <w:szCs w:val="16"/>
                <w:lang w:val="en-US"/>
              </w:rPr>
            </w:pPr>
            <w:r w:rsidRPr="00D119AC">
              <w:rPr>
                <w:rFonts w:ascii="Times New Roman" w:hAnsi="Times New Roman" w:cs="Times New Roman"/>
                <w:sz w:val="16"/>
                <w:szCs w:val="16"/>
                <w:lang w:val="en-US"/>
              </w:rPr>
              <w:t>7.6</w:t>
            </w:r>
            <w:r>
              <w:rPr>
                <w:rFonts w:ascii="Times New Roman" w:hAnsi="Times New Roman" w:cs="Times New Roman"/>
                <w:sz w:val="16"/>
                <w:szCs w:val="16"/>
                <w:lang w:val="en-US"/>
              </w:rPr>
              <w:t xml:space="preserve"> </w:t>
            </w:r>
            <w:r w:rsidRPr="00D119AC">
              <w:rPr>
                <w:rFonts w:ascii="Times New Roman" w:hAnsi="Times New Roman" w:cs="Times New Roman"/>
                <w:sz w:val="16"/>
                <w:szCs w:val="16"/>
                <w:lang w:val="en-US"/>
              </w:rPr>
              <w:t>(6.2-10.6)</w:t>
            </w:r>
          </w:p>
        </w:tc>
        <w:tc>
          <w:tcPr>
            <w:tcW w:w="397" w:type="dxa"/>
            <w:tcBorders>
              <w:left w:val="dashed" w:sz="4" w:space="0" w:color="auto"/>
            </w:tcBorders>
            <w:vAlign w:val="center"/>
          </w:tcPr>
          <w:p w14:paraId="63A6A707" w14:textId="33E2D27F" w:rsidR="000C4E8B" w:rsidRPr="00D119AC" w:rsidRDefault="000C4E8B" w:rsidP="007A1BB7">
            <w:pPr>
              <w:widowControl w:val="0"/>
              <w:autoSpaceDE w:val="0"/>
              <w:autoSpaceDN w:val="0"/>
              <w:adjustRightInd w:val="0"/>
              <w:spacing w:after="0" w:line="240" w:lineRule="auto"/>
              <w:jc w:val="center"/>
              <w:rPr>
                <w:rFonts w:ascii="Times New Roman" w:hAnsi="Times New Roman" w:cs="Times New Roman"/>
                <w:sz w:val="16"/>
                <w:szCs w:val="16"/>
                <w:lang w:val="en-US"/>
              </w:rPr>
            </w:pPr>
            <w:r w:rsidRPr="00D119AC">
              <w:rPr>
                <w:rFonts w:ascii="Times New Roman" w:hAnsi="Times New Roman" w:cs="Times New Roman"/>
                <w:sz w:val="16"/>
                <w:szCs w:val="16"/>
                <w:lang w:val="en-US"/>
              </w:rPr>
              <w:t>25</w:t>
            </w:r>
          </w:p>
        </w:tc>
        <w:tc>
          <w:tcPr>
            <w:tcW w:w="1758" w:type="dxa"/>
            <w:gridSpan w:val="2"/>
            <w:tcBorders>
              <w:right w:val="dashed" w:sz="4" w:space="0" w:color="auto"/>
            </w:tcBorders>
            <w:vAlign w:val="center"/>
          </w:tcPr>
          <w:p w14:paraId="639A9E4B" w14:textId="0EB722C6" w:rsidR="000C4E8B" w:rsidRPr="00D119AC" w:rsidRDefault="000C4E8B" w:rsidP="000E1366">
            <w:pPr>
              <w:widowControl w:val="0"/>
              <w:autoSpaceDE w:val="0"/>
              <w:autoSpaceDN w:val="0"/>
              <w:adjustRightInd w:val="0"/>
              <w:spacing w:after="0" w:line="240" w:lineRule="auto"/>
              <w:ind w:left="87"/>
              <w:rPr>
                <w:rFonts w:ascii="Times New Roman" w:hAnsi="Times New Roman" w:cs="Times New Roman"/>
                <w:sz w:val="16"/>
                <w:szCs w:val="16"/>
                <w:lang w:val="en-US"/>
              </w:rPr>
            </w:pPr>
            <w:r w:rsidRPr="00D119AC">
              <w:rPr>
                <w:rFonts w:ascii="Times New Roman" w:hAnsi="Times New Roman" w:cs="Times New Roman"/>
                <w:sz w:val="16"/>
                <w:szCs w:val="16"/>
                <w:lang w:val="en-US"/>
              </w:rPr>
              <w:t>8.4</w:t>
            </w:r>
            <w:r>
              <w:rPr>
                <w:rFonts w:ascii="Times New Roman" w:hAnsi="Times New Roman" w:cs="Times New Roman"/>
                <w:sz w:val="16"/>
                <w:szCs w:val="16"/>
                <w:lang w:val="en-US"/>
              </w:rPr>
              <w:t xml:space="preserve"> </w:t>
            </w:r>
            <w:r w:rsidRPr="00D119AC">
              <w:rPr>
                <w:rFonts w:ascii="Times New Roman" w:hAnsi="Times New Roman" w:cs="Times New Roman"/>
                <w:sz w:val="16"/>
                <w:szCs w:val="16"/>
                <w:lang w:val="en-US"/>
              </w:rPr>
              <w:t>(6.8-11.8)</w:t>
            </w:r>
          </w:p>
        </w:tc>
      </w:tr>
      <w:tr w:rsidR="000C4E8B" w:rsidRPr="00D119AC" w14:paraId="5A424518" w14:textId="77777777" w:rsidTr="0056300B">
        <w:trPr>
          <w:trHeight w:val="113"/>
        </w:trPr>
        <w:tc>
          <w:tcPr>
            <w:tcW w:w="2438" w:type="dxa"/>
            <w:tcBorders>
              <w:right w:val="dashed" w:sz="4" w:space="0" w:color="auto"/>
            </w:tcBorders>
            <w:vAlign w:val="center"/>
          </w:tcPr>
          <w:p w14:paraId="62E481D6" w14:textId="3E5ADACE" w:rsidR="000C4E8B" w:rsidRPr="00D119AC" w:rsidRDefault="000C4E8B" w:rsidP="000E1366">
            <w:pPr>
              <w:widowControl w:val="0"/>
              <w:autoSpaceDE w:val="0"/>
              <w:autoSpaceDN w:val="0"/>
              <w:adjustRightInd w:val="0"/>
              <w:spacing w:after="0" w:line="240" w:lineRule="auto"/>
              <w:ind w:left="654"/>
              <w:rPr>
                <w:rFonts w:ascii="Times New Roman" w:hAnsi="Times New Roman" w:cs="Times New Roman"/>
                <w:b/>
                <w:sz w:val="16"/>
                <w:szCs w:val="16"/>
                <w:lang w:val="en-US"/>
              </w:rPr>
            </w:pPr>
            <w:r w:rsidRPr="00D119AC">
              <w:rPr>
                <w:rFonts w:ascii="Times New Roman" w:hAnsi="Times New Roman" w:cs="Times New Roman"/>
                <w:sz w:val="16"/>
                <w:szCs w:val="16"/>
                <w:lang w:val="en-US"/>
              </w:rPr>
              <w:t>DCI</w:t>
            </w:r>
          </w:p>
        </w:tc>
        <w:tc>
          <w:tcPr>
            <w:tcW w:w="340" w:type="dxa"/>
            <w:tcBorders>
              <w:left w:val="dashed" w:sz="4" w:space="0" w:color="auto"/>
            </w:tcBorders>
            <w:vAlign w:val="center"/>
          </w:tcPr>
          <w:p w14:paraId="7355D218" w14:textId="521A4DF3" w:rsidR="000C4E8B" w:rsidRPr="00D119AC" w:rsidRDefault="000C4E8B" w:rsidP="007A1BB7">
            <w:pPr>
              <w:widowControl w:val="0"/>
              <w:autoSpaceDE w:val="0"/>
              <w:autoSpaceDN w:val="0"/>
              <w:adjustRightInd w:val="0"/>
              <w:spacing w:after="0" w:line="240" w:lineRule="auto"/>
              <w:ind w:left="-118"/>
              <w:jc w:val="center"/>
              <w:rPr>
                <w:rFonts w:ascii="Times New Roman" w:hAnsi="Times New Roman" w:cs="Times New Roman"/>
                <w:sz w:val="16"/>
                <w:szCs w:val="16"/>
                <w:lang w:val="en-US"/>
              </w:rPr>
            </w:pPr>
            <w:r w:rsidRPr="00D119AC">
              <w:rPr>
                <w:rFonts w:ascii="Times New Roman" w:hAnsi="Times New Roman" w:cs="Times New Roman"/>
                <w:sz w:val="16"/>
                <w:szCs w:val="16"/>
                <w:lang w:val="en-US"/>
              </w:rPr>
              <w:t>41</w:t>
            </w:r>
          </w:p>
        </w:tc>
        <w:tc>
          <w:tcPr>
            <w:tcW w:w="1928" w:type="dxa"/>
            <w:gridSpan w:val="2"/>
            <w:tcBorders>
              <w:right w:val="dashed" w:sz="4" w:space="0" w:color="auto"/>
            </w:tcBorders>
            <w:vAlign w:val="center"/>
          </w:tcPr>
          <w:p w14:paraId="3E69DD60" w14:textId="3863C1E8" w:rsidR="000C4E8B" w:rsidRPr="00D119AC" w:rsidRDefault="000C4E8B" w:rsidP="000E1366">
            <w:pPr>
              <w:widowControl w:val="0"/>
              <w:autoSpaceDE w:val="0"/>
              <w:autoSpaceDN w:val="0"/>
              <w:adjustRightInd w:val="0"/>
              <w:spacing w:after="0" w:line="240" w:lineRule="auto"/>
              <w:ind w:left="144"/>
              <w:rPr>
                <w:rFonts w:ascii="Times New Roman" w:hAnsi="Times New Roman" w:cs="Times New Roman"/>
                <w:sz w:val="16"/>
                <w:szCs w:val="16"/>
                <w:lang w:val="en-US"/>
              </w:rPr>
            </w:pPr>
            <w:r w:rsidRPr="00D119AC">
              <w:rPr>
                <w:rFonts w:ascii="Times New Roman" w:hAnsi="Times New Roman" w:cs="Times New Roman"/>
                <w:sz w:val="16"/>
                <w:szCs w:val="16"/>
                <w:lang w:val="en-US"/>
              </w:rPr>
              <w:t>9.0</w:t>
            </w:r>
            <w:r>
              <w:rPr>
                <w:rFonts w:ascii="Times New Roman" w:hAnsi="Times New Roman" w:cs="Times New Roman"/>
                <w:sz w:val="16"/>
                <w:szCs w:val="16"/>
                <w:lang w:val="en-US"/>
              </w:rPr>
              <w:t xml:space="preserve"> </w:t>
            </w:r>
            <w:r w:rsidRPr="00D119AC">
              <w:rPr>
                <w:rFonts w:ascii="Times New Roman" w:hAnsi="Times New Roman" w:cs="Times New Roman"/>
                <w:sz w:val="16"/>
                <w:szCs w:val="16"/>
                <w:lang w:val="en-US"/>
              </w:rPr>
              <w:t>(6.9-10.6)</w:t>
            </w:r>
          </w:p>
        </w:tc>
        <w:tc>
          <w:tcPr>
            <w:tcW w:w="397" w:type="dxa"/>
            <w:tcBorders>
              <w:left w:val="dashed" w:sz="4" w:space="0" w:color="auto"/>
            </w:tcBorders>
            <w:vAlign w:val="center"/>
          </w:tcPr>
          <w:p w14:paraId="7E5E930C" w14:textId="1FB21EB7" w:rsidR="000C4E8B" w:rsidRPr="00D119AC" w:rsidRDefault="000C4E8B" w:rsidP="007A1BB7">
            <w:pPr>
              <w:widowControl w:val="0"/>
              <w:autoSpaceDE w:val="0"/>
              <w:autoSpaceDN w:val="0"/>
              <w:adjustRightInd w:val="0"/>
              <w:spacing w:after="0" w:line="240" w:lineRule="auto"/>
              <w:jc w:val="center"/>
              <w:rPr>
                <w:rFonts w:ascii="Times New Roman" w:hAnsi="Times New Roman" w:cs="Times New Roman"/>
                <w:sz w:val="16"/>
                <w:szCs w:val="16"/>
                <w:lang w:val="en-US"/>
              </w:rPr>
            </w:pPr>
            <w:r w:rsidRPr="00D119AC">
              <w:rPr>
                <w:rFonts w:ascii="Times New Roman" w:hAnsi="Times New Roman" w:cs="Times New Roman"/>
                <w:sz w:val="16"/>
                <w:szCs w:val="16"/>
                <w:lang w:val="en-US"/>
              </w:rPr>
              <w:t>43</w:t>
            </w:r>
          </w:p>
        </w:tc>
        <w:tc>
          <w:tcPr>
            <w:tcW w:w="1758" w:type="dxa"/>
            <w:gridSpan w:val="2"/>
            <w:tcBorders>
              <w:right w:val="dashed" w:sz="4" w:space="0" w:color="auto"/>
            </w:tcBorders>
            <w:vAlign w:val="center"/>
          </w:tcPr>
          <w:p w14:paraId="0D3C3823" w14:textId="61BE3C21" w:rsidR="000C4E8B" w:rsidRPr="00D119AC" w:rsidRDefault="000C4E8B" w:rsidP="000E1366">
            <w:pPr>
              <w:widowControl w:val="0"/>
              <w:autoSpaceDE w:val="0"/>
              <w:autoSpaceDN w:val="0"/>
              <w:adjustRightInd w:val="0"/>
              <w:spacing w:after="0" w:line="240" w:lineRule="auto"/>
              <w:ind w:left="87"/>
              <w:rPr>
                <w:rFonts w:ascii="Times New Roman" w:hAnsi="Times New Roman" w:cs="Times New Roman"/>
                <w:sz w:val="16"/>
                <w:szCs w:val="16"/>
                <w:lang w:val="en-US"/>
              </w:rPr>
            </w:pPr>
            <w:r w:rsidRPr="00D119AC">
              <w:rPr>
                <w:rFonts w:ascii="Times New Roman" w:hAnsi="Times New Roman" w:cs="Times New Roman"/>
                <w:sz w:val="16"/>
                <w:szCs w:val="16"/>
                <w:lang w:val="en-US"/>
              </w:rPr>
              <w:t>12.2</w:t>
            </w:r>
            <w:r>
              <w:rPr>
                <w:rFonts w:ascii="Times New Roman" w:hAnsi="Times New Roman" w:cs="Times New Roman"/>
                <w:sz w:val="16"/>
                <w:szCs w:val="16"/>
                <w:lang w:val="en-US"/>
              </w:rPr>
              <w:t xml:space="preserve"> </w:t>
            </w:r>
            <w:r w:rsidRPr="00D119AC">
              <w:rPr>
                <w:rFonts w:ascii="Times New Roman" w:hAnsi="Times New Roman" w:cs="Times New Roman"/>
                <w:sz w:val="16"/>
                <w:szCs w:val="16"/>
                <w:lang w:val="en-US"/>
              </w:rPr>
              <w:t>(9.3-15.7)</w:t>
            </w:r>
          </w:p>
        </w:tc>
      </w:tr>
      <w:tr w:rsidR="000C4E8B" w:rsidRPr="00D119AC" w14:paraId="55FE6531" w14:textId="77777777" w:rsidTr="0056300B">
        <w:trPr>
          <w:trHeight w:val="113"/>
        </w:trPr>
        <w:tc>
          <w:tcPr>
            <w:tcW w:w="2438" w:type="dxa"/>
            <w:tcBorders>
              <w:right w:val="dashed" w:sz="4" w:space="0" w:color="auto"/>
            </w:tcBorders>
            <w:shd w:val="clear" w:color="auto" w:fill="F2F2F2" w:themeFill="background1" w:themeFillShade="F2"/>
            <w:vAlign w:val="center"/>
          </w:tcPr>
          <w:p w14:paraId="60CE6582" w14:textId="77777777" w:rsidR="000C4E8B" w:rsidRPr="00D119AC" w:rsidRDefault="000C4E8B" w:rsidP="007A1BB7">
            <w:pPr>
              <w:widowControl w:val="0"/>
              <w:autoSpaceDE w:val="0"/>
              <w:autoSpaceDN w:val="0"/>
              <w:adjustRightInd w:val="0"/>
              <w:spacing w:after="0" w:line="240" w:lineRule="auto"/>
              <w:rPr>
                <w:rFonts w:ascii="Times New Roman" w:hAnsi="Times New Roman" w:cs="Times New Roman"/>
                <w:b/>
                <w:sz w:val="16"/>
                <w:szCs w:val="16"/>
                <w:lang w:val="en-US"/>
              </w:rPr>
            </w:pPr>
            <w:r w:rsidRPr="00D119AC">
              <w:rPr>
                <w:rFonts w:ascii="Times New Roman" w:hAnsi="Times New Roman" w:cs="Times New Roman"/>
                <w:b/>
                <w:sz w:val="16"/>
                <w:szCs w:val="16"/>
                <w:lang w:val="en-US"/>
              </w:rPr>
              <w:t>DCI-</w:t>
            </w:r>
            <w:proofErr w:type="spellStart"/>
            <w:r w:rsidRPr="00D119AC">
              <w:rPr>
                <w:rFonts w:ascii="Times New Roman" w:hAnsi="Times New Roman" w:cs="Times New Roman"/>
                <w:b/>
                <w:sz w:val="16"/>
                <w:szCs w:val="16"/>
                <w:lang w:val="en-US"/>
              </w:rPr>
              <w:t>rel</w:t>
            </w:r>
            <w:proofErr w:type="spellEnd"/>
            <w:r w:rsidRPr="00D119AC">
              <w:rPr>
                <w:rFonts w:ascii="Times New Roman" w:hAnsi="Times New Roman" w:cs="Times New Roman"/>
                <w:b/>
                <w:sz w:val="16"/>
                <w:szCs w:val="16"/>
                <w:lang w:val="en-US"/>
              </w:rPr>
              <w:t xml:space="preserve"> infarction</w:t>
            </w:r>
          </w:p>
        </w:tc>
        <w:tc>
          <w:tcPr>
            <w:tcW w:w="340" w:type="dxa"/>
            <w:tcBorders>
              <w:left w:val="dashed" w:sz="4" w:space="0" w:color="auto"/>
            </w:tcBorders>
            <w:shd w:val="clear" w:color="auto" w:fill="F2F2F2" w:themeFill="background1" w:themeFillShade="F2"/>
            <w:vAlign w:val="center"/>
          </w:tcPr>
          <w:p w14:paraId="69191FEA" w14:textId="77777777" w:rsidR="000C4E8B" w:rsidRPr="00D119AC" w:rsidRDefault="000C4E8B" w:rsidP="007A1BB7">
            <w:pPr>
              <w:widowControl w:val="0"/>
              <w:autoSpaceDE w:val="0"/>
              <w:autoSpaceDN w:val="0"/>
              <w:adjustRightInd w:val="0"/>
              <w:spacing w:after="0" w:line="240" w:lineRule="auto"/>
              <w:ind w:left="-118"/>
              <w:jc w:val="center"/>
              <w:rPr>
                <w:rFonts w:ascii="Times New Roman" w:hAnsi="Times New Roman" w:cs="Times New Roman"/>
                <w:sz w:val="16"/>
                <w:szCs w:val="16"/>
                <w:lang w:val="en-US"/>
              </w:rPr>
            </w:pPr>
          </w:p>
        </w:tc>
        <w:tc>
          <w:tcPr>
            <w:tcW w:w="1134" w:type="dxa"/>
            <w:shd w:val="clear" w:color="auto" w:fill="F2F2F2" w:themeFill="background1" w:themeFillShade="F2"/>
            <w:vAlign w:val="center"/>
          </w:tcPr>
          <w:p w14:paraId="03EA3F3C" w14:textId="77777777" w:rsidR="000C4E8B" w:rsidRPr="00D119AC" w:rsidRDefault="000C4E8B" w:rsidP="007A1BB7">
            <w:pPr>
              <w:widowControl w:val="0"/>
              <w:autoSpaceDE w:val="0"/>
              <w:autoSpaceDN w:val="0"/>
              <w:adjustRightInd w:val="0"/>
              <w:spacing w:after="0" w:line="240" w:lineRule="auto"/>
              <w:jc w:val="center"/>
              <w:rPr>
                <w:rFonts w:ascii="Times New Roman" w:hAnsi="Times New Roman" w:cs="Times New Roman"/>
                <w:sz w:val="16"/>
                <w:szCs w:val="16"/>
                <w:lang w:val="en-US"/>
              </w:rPr>
            </w:pPr>
          </w:p>
        </w:tc>
        <w:tc>
          <w:tcPr>
            <w:tcW w:w="794" w:type="dxa"/>
            <w:tcBorders>
              <w:right w:val="dashed" w:sz="4" w:space="0" w:color="auto"/>
            </w:tcBorders>
            <w:shd w:val="clear" w:color="auto" w:fill="F2F2F2" w:themeFill="background1" w:themeFillShade="F2"/>
            <w:vAlign w:val="center"/>
          </w:tcPr>
          <w:p w14:paraId="4C889180" w14:textId="2595DE17" w:rsidR="000C4E8B" w:rsidRPr="00D119AC" w:rsidRDefault="000C4E8B" w:rsidP="000C4E8B">
            <w:pPr>
              <w:widowControl w:val="0"/>
              <w:autoSpaceDE w:val="0"/>
              <w:autoSpaceDN w:val="0"/>
              <w:adjustRightInd w:val="0"/>
              <w:spacing w:after="0" w:line="240" w:lineRule="auto"/>
              <w:jc w:val="right"/>
              <w:rPr>
                <w:rFonts w:ascii="Times New Roman" w:hAnsi="Times New Roman" w:cs="Times New Roman"/>
                <w:sz w:val="16"/>
                <w:szCs w:val="16"/>
                <w:lang w:val="en-US"/>
              </w:rPr>
            </w:pPr>
            <w:r w:rsidRPr="00D119AC">
              <w:rPr>
                <w:rFonts w:ascii="Times New Roman" w:hAnsi="Times New Roman" w:cs="Times New Roman"/>
                <w:sz w:val="16"/>
                <w:szCs w:val="16"/>
                <w:lang w:val="en-US"/>
              </w:rPr>
              <w:t>0.473</w:t>
            </w:r>
          </w:p>
        </w:tc>
        <w:tc>
          <w:tcPr>
            <w:tcW w:w="397" w:type="dxa"/>
            <w:tcBorders>
              <w:left w:val="dashed" w:sz="4" w:space="0" w:color="auto"/>
            </w:tcBorders>
            <w:shd w:val="clear" w:color="auto" w:fill="F2F2F2" w:themeFill="background1" w:themeFillShade="F2"/>
            <w:vAlign w:val="center"/>
          </w:tcPr>
          <w:p w14:paraId="2E42B7E3" w14:textId="77777777" w:rsidR="000C4E8B" w:rsidRPr="00D119AC" w:rsidRDefault="000C4E8B" w:rsidP="000C4E8B">
            <w:pPr>
              <w:widowControl w:val="0"/>
              <w:autoSpaceDE w:val="0"/>
              <w:autoSpaceDN w:val="0"/>
              <w:adjustRightInd w:val="0"/>
              <w:spacing w:after="0" w:line="240" w:lineRule="auto"/>
              <w:jc w:val="right"/>
              <w:rPr>
                <w:rFonts w:ascii="Times New Roman" w:hAnsi="Times New Roman" w:cs="Times New Roman"/>
                <w:sz w:val="16"/>
                <w:szCs w:val="16"/>
                <w:lang w:val="en-US"/>
              </w:rPr>
            </w:pPr>
          </w:p>
        </w:tc>
        <w:tc>
          <w:tcPr>
            <w:tcW w:w="1021" w:type="dxa"/>
            <w:shd w:val="clear" w:color="auto" w:fill="F2F2F2" w:themeFill="background1" w:themeFillShade="F2"/>
            <w:vAlign w:val="center"/>
          </w:tcPr>
          <w:p w14:paraId="509557E1" w14:textId="77777777" w:rsidR="000C4E8B" w:rsidRPr="00D119AC" w:rsidRDefault="000C4E8B" w:rsidP="000C4E8B">
            <w:pPr>
              <w:widowControl w:val="0"/>
              <w:autoSpaceDE w:val="0"/>
              <w:autoSpaceDN w:val="0"/>
              <w:adjustRightInd w:val="0"/>
              <w:spacing w:after="0" w:line="240" w:lineRule="auto"/>
              <w:jc w:val="right"/>
              <w:rPr>
                <w:rFonts w:ascii="Times New Roman" w:hAnsi="Times New Roman" w:cs="Times New Roman"/>
                <w:sz w:val="16"/>
                <w:szCs w:val="16"/>
                <w:lang w:val="en-US"/>
              </w:rPr>
            </w:pPr>
          </w:p>
        </w:tc>
        <w:tc>
          <w:tcPr>
            <w:tcW w:w="737" w:type="dxa"/>
            <w:tcBorders>
              <w:right w:val="dashed" w:sz="4" w:space="0" w:color="auto"/>
            </w:tcBorders>
            <w:shd w:val="clear" w:color="auto" w:fill="F2F2F2" w:themeFill="background1" w:themeFillShade="F2"/>
            <w:vAlign w:val="center"/>
          </w:tcPr>
          <w:p w14:paraId="0C593978" w14:textId="7809A02F" w:rsidR="000C4E8B" w:rsidRPr="00D119AC" w:rsidRDefault="000C4E8B" w:rsidP="000C4E8B">
            <w:pPr>
              <w:widowControl w:val="0"/>
              <w:autoSpaceDE w:val="0"/>
              <w:autoSpaceDN w:val="0"/>
              <w:adjustRightInd w:val="0"/>
              <w:spacing w:after="0" w:line="240" w:lineRule="auto"/>
              <w:jc w:val="right"/>
              <w:rPr>
                <w:rFonts w:ascii="Times New Roman" w:hAnsi="Times New Roman" w:cs="Times New Roman"/>
                <w:sz w:val="16"/>
                <w:szCs w:val="16"/>
                <w:lang w:val="en-US"/>
              </w:rPr>
            </w:pPr>
            <w:r w:rsidRPr="00D119AC">
              <w:rPr>
                <w:rFonts w:ascii="Times New Roman" w:hAnsi="Times New Roman" w:cs="Times New Roman"/>
                <w:b/>
                <w:sz w:val="16"/>
                <w:szCs w:val="16"/>
                <w:lang w:val="en-US"/>
              </w:rPr>
              <w:t>0.019</w:t>
            </w:r>
          </w:p>
        </w:tc>
      </w:tr>
      <w:tr w:rsidR="000C4E8B" w:rsidRPr="00D119AC" w14:paraId="42728297" w14:textId="77777777" w:rsidTr="0056300B">
        <w:trPr>
          <w:trHeight w:val="113"/>
        </w:trPr>
        <w:tc>
          <w:tcPr>
            <w:tcW w:w="2438" w:type="dxa"/>
            <w:tcBorders>
              <w:right w:val="dashed" w:sz="4" w:space="0" w:color="auto"/>
            </w:tcBorders>
            <w:vAlign w:val="center"/>
          </w:tcPr>
          <w:p w14:paraId="779D2C55" w14:textId="71C08B7F" w:rsidR="000C4E8B" w:rsidRPr="00D119AC" w:rsidRDefault="000C4E8B" w:rsidP="000E1366">
            <w:pPr>
              <w:widowControl w:val="0"/>
              <w:autoSpaceDE w:val="0"/>
              <w:autoSpaceDN w:val="0"/>
              <w:adjustRightInd w:val="0"/>
              <w:spacing w:after="0" w:line="240" w:lineRule="auto"/>
              <w:ind w:left="654"/>
              <w:rPr>
                <w:rFonts w:ascii="Times New Roman" w:hAnsi="Times New Roman" w:cs="Times New Roman"/>
                <w:b/>
                <w:sz w:val="16"/>
                <w:szCs w:val="16"/>
                <w:lang w:val="en-US"/>
              </w:rPr>
            </w:pPr>
            <w:r w:rsidRPr="00D119AC">
              <w:rPr>
                <w:rFonts w:ascii="Times New Roman" w:hAnsi="Times New Roman" w:cs="Times New Roman"/>
                <w:sz w:val="16"/>
                <w:szCs w:val="16"/>
                <w:lang w:val="en-US"/>
              </w:rPr>
              <w:t>DCI only</w:t>
            </w:r>
          </w:p>
        </w:tc>
        <w:tc>
          <w:tcPr>
            <w:tcW w:w="340" w:type="dxa"/>
            <w:tcBorders>
              <w:left w:val="dashed" w:sz="4" w:space="0" w:color="auto"/>
            </w:tcBorders>
            <w:vAlign w:val="center"/>
          </w:tcPr>
          <w:p w14:paraId="63BAC2F8" w14:textId="593E6576" w:rsidR="000C4E8B" w:rsidRPr="00D119AC" w:rsidRDefault="000C4E8B" w:rsidP="007A1BB7">
            <w:pPr>
              <w:widowControl w:val="0"/>
              <w:autoSpaceDE w:val="0"/>
              <w:autoSpaceDN w:val="0"/>
              <w:adjustRightInd w:val="0"/>
              <w:spacing w:after="0" w:line="240" w:lineRule="auto"/>
              <w:ind w:left="-118"/>
              <w:jc w:val="center"/>
              <w:rPr>
                <w:rFonts w:ascii="Times New Roman" w:hAnsi="Times New Roman" w:cs="Times New Roman"/>
                <w:sz w:val="16"/>
                <w:szCs w:val="16"/>
                <w:lang w:val="en-US"/>
              </w:rPr>
            </w:pPr>
            <w:r w:rsidRPr="00D119AC">
              <w:rPr>
                <w:rFonts w:ascii="Times New Roman" w:hAnsi="Times New Roman" w:cs="Times New Roman"/>
                <w:sz w:val="16"/>
                <w:szCs w:val="16"/>
                <w:lang w:val="en-US"/>
              </w:rPr>
              <w:t>32</w:t>
            </w:r>
          </w:p>
        </w:tc>
        <w:tc>
          <w:tcPr>
            <w:tcW w:w="1928" w:type="dxa"/>
            <w:gridSpan w:val="2"/>
            <w:tcBorders>
              <w:right w:val="dashed" w:sz="4" w:space="0" w:color="auto"/>
            </w:tcBorders>
            <w:vAlign w:val="center"/>
          </w:tcPr>
          <w:p w14:paraId="5A10D8CD" w14:textId="79B2DC43" w:rsidR="000C4E8B" w:rsidRPr="00D119AC" w:rsidRDefault="000C4E8B" w:rsidP="000E1366">
            <w:pPr>
              <w:widowControl w:val="0"/>
              <w:autoSpaceDE w:val="0"/>
              <w:autoSpaceDN w:val="0"/>
              <w:adjustRightInd w:val="0"/>
              <w:spacing w:after="0" w:line="240" w:lineRule="auto"/>
              <w:ind w:left="144"/>
              <w:rPr>
                <w:rFonts w:ascii="Times New Roman" w:hAnsi="Times New Roman" w:cs="Times New Roman"/>
                <w:sz w:val="16"/>
                <w:szCs w:val="16"/>
                <w:lang w:val="en-US"/>
              </w:rPr>
            </w:pPr>
            <w:r w:rsidRPr="00D119AC">
              <w:rPr>
                <w:rFonts w:ascii="Times New Roman" w:hAnsi="Times New Roman" w:cs="Times New Roman"/>
                <w:sz w:val="16"/>
                <w:szCs w:val="16"/>
                <w:lang w:val="en-US"/>
              </w:rPr>
              <w:t>8.6</w:t>
            </w:r>
            <w:r>
              <w:rPr>
                <w:rFonts w:ascii="Times New Roman" w:hAnsi="Times New Roman" w:cs="Times New Roman"/>
                <w:sz w:val="16"/>
                <w:szCs w:val="16"/>
                <w:lang w:val="en-US"/>
              </w:rPr>
              <w:t xml:space="preserve"> </w:t>
            </w:r>
            <w:r w:rsidRPr="00D119AC">
              <w:rPr>
                <w:rFonts w:ascii="Times New Roman" w:hAnsi="Times New Roman" w:cs="Times New Roman"/>
                <w:sz w:val="16"/>
                <w:szCs w:val="16"/>
                <w:lang w:val="en-US"/>
              </w:rPr>
              <w:t>(6.8-10.8)</w:t>
            </w:r>
          </w:p>
        </w:tc>
        <w:tc>
          <w:tcPr>
            <w:tcW w:w="397" w:type="dxa"/>
            <w:tcBorders>
              <w:left w:val="dashed" w:sz="4" w:space="0" w:color="auto"/>
            </w:tcBorders>
            <w:vAlign w:val="center"/>
          </w:tcPr>
          <w:p w14:paraId="535A05AA" w14:textId="253C94EA" w:rsidR="000C4E8B" w:rsidRPr="00D119AC" w:rsidRDefault="000C4E8B" w:rsidP="007A1BB7">
            <w:pPr>
              <w:widowControl w:val="0"/>
              <w:autoSpaceDE w:val="0"/>
              <w:autoSpaceDN w:val="0"/>
              <w:adjustRightInd w:val="0"/>
              <w:spacing w:after="0" w:line="240" w:lineRule="auto"/>
              <w:jc w:val="center"/>
              <w:rPr>
                <w:rFonts w:ascii="Times New Roman" w:hAnsi="Times New Roman" w:cs="Times New Roman"/>
                <w:sz w:val="16"/>
                <w:szCs w:val="16"/>
                <w:lang w:val="en-US"/>
              </w:rPr>
            </w:pPr>
            <w:r w:rsidRPr="00D119AC">
              <w:rPr>
                <w:rFonts w:ascii="Times New Roman" w:hAnsi="Times New Roman" w:cs="Times New Roman"/>
                <w:sz w:val="16"/>
                <w:szCs w:val="16"/>
                <w:lang w:val="en-US"/>
              </w:rPr>
              <w:t>34</w:t>
            </w:r>
          </w:p>
        </w:tc>
        <w:tc>
          <w:tcPr>
            <w:tcW w:w="1758" w:type="dxa"/>
            <w:gridSpan w:val="2"/>
            <w:tcBorders>
              <w:right w:val="dashed" w:sz="4" w:space="0" w:color="auto"/>
            </w:tcBorders>
            <w:vAlign w:val="center"/>
          </w:tcPr>
          <w:p w14:paraId="4DC61077" w14:textId="78A3DD1D" w:rsidR="000C4E8B" w:rsidRPr="00D119AC" w:rsidRDefault="000C4E8B" w:rsidP="000E1366">
            <w:pPr>
              <w:widowControl w:val="0"/>
              <w:autoSpaceDE w:val="0"/>
              <w:autoSpaceDN w:val="0"/>
              <w:adjustRightInd w:val="0"/>
              <w:spacing w:after="0" w:line="240" w:lineRule="auto"/>
              <w:ind w:left="87"/>
              <w:rPr>
                <w:rFonts w:ascii="Times New Roman" w:hAnsi="Times New Roman" w:cs="Times New Roman"/>
                <w:sz w:val="16"/>
                <w:szCs w:val="16"/>
                <w:lang w:val="en-US"/>
              </w:rPr>
            </w:pPr>
            <w:r w:rsidRPr="00D119AC">
              <w:rPr>
                <w:rFonts w:ascii="Times New Roman" w:hAnsi="Times New Roman" w:cs="Times New Roman"/>
                <w:sz w:val="16"/>
                <w:szCs w:val="16"/>
                <w:lang w:val="en-US"/>
              </w:rPr>
              <w:t>11.6</w:t>
            </w:r>
            <w:r>
              <w:rPr>
                <w:rFonts w:ascii="Times New Roman" w:hAnsi="Times New Roman" w:cs="Times New Roman"/>
                <w:sz w:val="16"/>
                <w:szCs w:val="16"/>
                <w:lang w:val="en-US"/>
              </w:rPr>
              <w:t xml:space="preserve"> </w:t>
            </w:r>
            <w:r w:rsidRPr="00D119AC">
              <w:rPr>
                <w:rFonts w:ascii="Times New Roman" w:hAnsi="Times New Roman" w:cs="Times New Roman"/>
                <w:sz w:val="16"/>
                <w:szCs w:val="16"/>
                <w:lang w:val="en-US"/>
              </w:rPr>
              <w:t>(8.6-14.1)</w:t>
            </w:r>
          </w:p>
        </w:tc>
      </w:tr>
      <w:tr w:rsidR="000C4E8B" w:rsidRPr="00D119AC" w14:paraId="6A5C835B" w14:textId="77777777" w:rsidTr="0056300B">
        <w:trPr>
          <w:trHeight w:val="113"/>
        </w:trPr>
        <w:tc>
          <w:tcPr>
            <w:tcW w:w="2438" w:type="dxa"/>
            <w:tcBorders>
              <w:right w:val="dashed" w:sz="4" w:space="0" w:color="auto"/>
            </w:tcBorders>
            <w:vAlign w:val="center"/>
          </w:tcPr>
          <w:p w14:paraId="25FEC0F5" w14:textId="31CCB7EC" w:rsidR="000C4E8B" w:rsidRPr="00D119AC" w:rsidRDefault="000C4E8B" w:rsidP="000E1366">
            <w:pPr>
              <w:widowControl w:val="0"/>
              <w:autoSpaceDE w:val="0"/>
              <w:autoSpaceDN w:val="0"/>
              <w:adjustRightInd w:val="0"/>
              <w:spacing w:after="0" w:line="240" w:lineRule="auto"/>
              <w:ind w:left="654"/>
              <w:rPr>
                <w:rFonts w:ascii="Times New Roman" w:hAnsi="Times New Roman" w:cs="Times New Roman"/>
                <w:b/>
                <w:sz w:val="16"/>
                <w:szCs w:val="16"/>
                <w:lang w:val="en-US"/>
              </w:rPr>
            </w:pPr>
            <w:r w:rsidRPr="00D119AC">
              <w:rPr>
                <w:rFonts w:ascii="Times New Roman" w:hAnsi="Times New Roman" w:cs="Times New Roman"/>
                <w:sz w:val="16"/>
                <w:szCs w:val="16"/>
                <w:lang w:val="en-US"/>
              </w:rPr>
              <w:t>DCI-rel. infarction</w:t>
            </w:r>
          </w:p>
        </w:tc>
        <w:tc>
          <w:tcPr>
            <w:tcW w:w="340" w:type="dxa"/>
            <w:tcBorders>
              <w:left w:val="dashed" w:sz="4" w:space="0" w:color="auto"/>
            </w:tcBorders>
            <w:vAlign w:val="center"/>
          </w:tcPr>
          <w:p w14:paraId="393D3891" w14:textId="49C73416" w:rsidR="000C4E8B" w:rsidRPr="00D119AC" w:rsidRDefault="000C4E8B" w:rsidP="007A1BB7">
            <w:pPr>
              <w:widowControl w:val="0"/>
              <w:autoSpaceDE w:val="0"/>
              <w:autoSpaceDN w:val="0"/>
              <w:adjustRightInd w:val="0"/>
              <w:spacing w:after="0" w:line="240" w:lineRule="auto"/>
              <w:ind w:left="-118"/>
              <w:jc w:val="center"/>
              <w:rPr>
                <w:rFonts w:ascii="Times New Roman" w:hAnsi="Times New Roman" w:cs="Times New Roman"/>
                <w:sz w:val="16"/>
                <w:szCs w:val="16"/>
                <w:lang w:val="en-US"/>
              </w:rPr>
            </w:pPr>
            <w:r w:rsidRPr="00D119AC">
              <w:rPr>
                <w:rFonts w:ascii="Times New Roman" w:hAnsi="Times New Roman" w:cs="Times New Roman"/>
                <w:sz w:val="16"/>
                <w:szCs w:val="16"/>
                <w:lang w:val="en-US"/>
              </w:rPr>
              <w:t>9</w:t>
            </w:r>
          </w:p>
        </w:tc>
        <w:tc>
          <w:tcPr>
            <w:tcW w:w="1928" w:type="dxa"/>
            <w:gridSpan w:val="2"/>
            <w:tcBorders>
              <w:right w:val="dashed" w:sz="4" w:space="0" w:color="auto"/>
            </w:tcBorders>
            <w:vAlign w:val="center"/>
          </w:tcPr>
          <w:p w14:paraId="7CAFEA0A" w14:textId="187E6AC9" w:rsidR="000C4E8B" w:rsidRPr="00D119AC" w:rsidRDefault="000C4E8B" w:rsidP="000E1366">
            <w:pPr>
              <w:widowControl w:val="0"/>
              <w:autoSpaceDE w:val="0"/>
              <w:autoSpaceDN w:val="0"/>
              <w:adjustRightInd w:val="0"/>
              <w:spacing w:after="0" w:line="240" w:lineRule="auto"/>
              <w:ind w:left="144"/>
              <w:rPr>
                <w:rFonts w:ascii="Times New Roman" w:hAnsi="Times New Roman" w:cs="Times New Roman"/>
                <w:sz w:val="16"/>
                <w:szCs w:val="16"/>
                <w:lang w:val="en-US"/>
              </w:rPr>
            </w:pPr>
            <w:r w:rsidRPr="00D119AC">
              <w:rPr>
                <w:rFonts w:ascii="Times New Roman" w:hAnsi="Times New Roman" w:cs="Times New Roman"/>
                <w:sz w:val="16"/>
                <w:szCs w:val="16"/>
                <w:lang w:val="en-US"/>
              </w:rPr>
              <w:t>9.5</w:t>
            </w:r>
            <w:r>
              <w:rPr>
                <w:rFonts w:ascii="Times New Roman" w:hAnsi="Times New Roman" w:cs="Times New Roman"/>
                <w:sz w:val="16"/>
                <w:szCs w:val="16"/>
                <w:lang w:val="en-US"/>
              </w:rPr>
              <w:t xml:space="preserve"> </w:t>
            </w:r>
            <w:r w:rsidRPr="00D119AC">
              <w:rPr>
                <w:rFonts w:ascii="Times New Roman" w:hAnsi="Times New Roman" w:cs="Times New Roman"/>
                <w:sz w:val="16"/>
                <w:szCs w:val="16"/>
                <w:lang w:val="en-US"/>
              </w:rPr>
              <w:t>(8.0-10.0)</w:t>
            </w:r>
          </w:p>
        </w:tc>
        <w:tc>
          <w:tcPr>
            <w:tcW w:w="397" w:type="dxa"/>
            <w:tcBorders>
              <w:left w:val="dashed" w:sz="4" w:space="0" w:color="auto"/>
            </w:tcBorders>
            <w:vAlign w:val="center"/>
          </w:tcPr>
          <w:p w14:paraId="03B279E6" w14:textId="20299E84" w:rsidR="000C4E8B" w:rsidRPr="00D119AC" w:rsidRDefault="000C4E8B" w:rsidP="007A1BB7">
            <w:pPr>
              <w:widowControl w:val="0"/>
              <w:autoSpaceDE w:val="0"/>
              <w:autoSpaceDN w:val="0"/>
              <w:adjustRightInd w:val="0"/>
              <w:spacing w:after="0" w:line="240" w:lineRule="auto"/>
              <w:jc w:val="center"/>
              <w:rPr>
                <w:rFonts w:ascii="Times New Roman" w:hAnsi="Times New Roman" w:cs="Times New Roman"/>
                <w:sz w:val="16"/>
                <w:szCs w:val="16"/>
                <w:lang w:val="en-US"/>
              </w:rPr>
            </w:pPr>
            <w:r w:rsidRPr="00D119AC">
              <w:rPr>
                <w:rFonts w:ascii="Times New Roman" w:hAnsi="Times New Roman" w:cs="Times New Roman"/>
                <w:sz w:val="16"/>
                <w:szCs w:val="16"/>
                <w:lang w:val="en-US"/>
              </w:rPr>
              <w:t>9</w:t>
            </w:r>
          </w:p>
        </w:tc>
        <w:tc>
          <w:tcPr>
            <w:tcW w:w="1758" w:type="dxa"/>
            <w:gridSpan w:val="2"/>
            <w:tcBorders>
              <w:right w:val="dashed" w:sz="4" w:space="0" w:color="auto"/>
            </w:tcBorders>
            <w:vAlign w:val="center"/>
          </w:tcPr>
          <w:p w14:paraId="70FB0E32" w14:textId="1ADBB007" w:rsidR="000C4E8B" w:rsidRPr="00D119AC" w:rsidRDefault="000C4E8B" w:rsidP="000E1366">
            <w:pPr>
              <w:widowControl w:val="0"/>
              <w:autoSpaceDE w:val="0"/>
              <w:autoSpaceDN w:val="0"/>
              <w:adjustRightInd w:val="0"/>
              <w:spacing w:after="0" w:line="240" w:lineRule="auto"/>
              <w:ind w:left="87"/>
              <w:rPr>
                <w:rFonts w:ascii="Times New Roman" w:hAnsi="Times New Roman" w:cs="Times New Roman"/>
                <w:sz w:val="16"/>
                <w:szCs w:val="16"/>
                <w:lang w:val="en-US"/>
              </w:rPr>
            </w:pPr>
            <w:r w:rsidRPr="00D119AC">
              <w:rPr>
                <w:rFonts w:ascii="Times New Roman" w:hAnsi="Times New Roman" w:cs="Times New Roman"/>
                <w:sz w:val="16"/>
                <w:szCs w:val="16"/>
                <w:lang w:val="en-US"/>
              </w:rPr>
              <w:t>15.5</w:t>
            </w:r>
            <w:r>
              <w:rPr>
                <w:rFonts w:ascii="Times New Roman" w:hAnsi="Times New Roman" w:cs="Times New Roman"/>
                <w:sz w:val="16"/>
                <w:szCs w:val="16"/>
                <w:lang w:val="en-US"/>
              </w:rPr>
              <w:t xml:space="preserve"> </w:t>
            </w:r>
            <w:r w:rsidRPr="00D119AC">
              <w:rPr>
                <w:rFonts w:ascii="Times New Roman" w:hAnsi="Times New Roman" w:cs="Times New Roman"/>
                <w:sz w:val="16"/>
                <w:szCs w:val="16"/>
                <w:lang w:val="en-US"/>
              </w:rPr>
              <w:t>(12.2-20.1)</w:t>
            </w:r>
          </w:p>
        </w:tc>
      </w:tr>
      <w:tr w:rsidR="000C4E8B" w:rsidRPr="00D119AC" w14:paraId="3BB673FC" w14:textId="77777777" w:rsidTr="0056300B">
        <w:trPr>
          <w:trHeight w:val="113"/>
        </w:trPr>
        <w:tc>
          <w:tcPr>
            <w:tcW w:w="2438" w:type="dxa"/>
            <w:tcBorders>
              <w:right w:val="dashed" w:sz="4" w:space="0" w:color="auto"/>
            </w:tcBorders>
            <w:shd w:val="clear" w:color="auto" w:fill="F2F2F2" w:themeFill="background1" w:themeFillShade="F2"/>
            <w:vAlign w:val="center"/>
          </w:tcPr>
          <w:p w14:paraId="2B1EFAE6" w14:textId="77777777" w:rsidR="000C4E8B" w:rsidRPr="00D119AC" w:rsidRDefault="000C4E8B" w:rsidP="007A1BB7">
            <w:pPr>
              <w:widowControl w:val="0"/>
              <w:autoSpaceDE w:val="0"/>
              <w:autoSpaceDN w:val="0"/>
              <w:adjustRightInd w:val="0"/>
              <w:spacing w:after="0" w:line="240" w:lineRule="auto"/>
              <w:rPr>
                <w:rFonts w:ascii="Times New Roman" w:hAnsi="Times New Roman" w:cs="Times New Roman"/>
                <w:b/>
                <w:sz w:val="16"/>
                <w:szCs w:val="16"/>
                <w:lang w:val="en-US"/>
              </w:rPr>
            </w:pPr>
            <w:r w:rsidRPr="00D119AC">
              <w:rPr>
                <w:rFonts w:ascii="Times New Roman" w:hAnsi="Times New Roman" w:cs="Times New Roman"/>
                <w:b/>
                <w:sz w:val="16"/>
                <w:szCs w:val="16"/>
                <w:lang w:val="en-US"/>
              </w:rPr>
              <w:t>Outcome</w:t>
            </w:r>
          </w:p>
        </w:tc>
        <w:tc>
          <w:tcPr>
            <w:tcW w:w="340" w:type="dxa"/>
            <w:tcBorders>
              <w:left w:val="dashed" w:sz="4" w:space="0" w:color="auto"/>
            </w:tcBorders>
            <w:shd w:val="clear" w:color="auto" w:fill="F2F2F2" w:themeFill="background1" w:themeFillShade="F2"/>
            <w:vAlign w:val="center"/>
          </w:tcPr>
          <w:p w14:paraId="5E8C1754" w14:textId="77777777" w:rsidR="000C4E8B" w:rsidRPr="00D119AC" w:rsidRDefault="000C4E8B" w:rsidP="007A1BB7">
            <w:pPr>
              <w:widowControl w:val="0"/>
              <w:autoSpaceDE w:val="0"/>
              <w:autoSpaceDN w:val="0"/>
              <w:adjustRightInd w:val="0"/>
              <w:spacing w:after="0" w:line="240" w:lineRule="auto"/>
              <w:ind w:left="-118"/>
              <w:jc w:val="center"/>
              <w:rPr>
                <w:rFonts w:ascii="Times New Roman" w:hAnsi="Times New Roman" w:cs="Times New Roman"/>
                <w:sz w:val="16"/>
                <w:szCs w:val="16"/>
                <w:lang w:val="en-US"/>
              </w:rPr>
            </w:pPr>
          </w:p>
        </w:tc>
        <w:tc>
          <w:tcPr>
            <w:tcW w:w="1134" w:type="dxa"/>
            <w:shd w:val="clear" w:color="auto" w:fill="F2F2F2" w:themeFill="background1" w:themeFillShade="F2"/>
            <w:vAlign w:val="center"/>
          </w:tcPr>
          <w:p w14:paraId="3F67E02F" w14:textId="77777777" w:rsidR="000C4E8B" w:rsidRPr="00D119AC" w:rsidRDefault="000C4E8B" w:rsidP="007A1BB7">
            <w:pPr>
              <w:widowControl w:val="0"/>
              <w:autoSpaceDE w:val="0"/>
              <w:autoSpaceDN w:val="0"/>
              <w:adjustRightInd w:val="0"/>
              <w:spacing w:after="0" w:line="240" w:lineRule="auto"/>
              <w:jc w:val="center"/>
              <w:rPr>
                <w:rFonts w:ascii="Times New Roman" w:hAnsi="Times New Roman" w:cs="Times New Roman"/>
                <w:sz w:val="16"/>
                <w:szCs w:val="16"/>
                <w:lang w:val="en-US"/>
              </w:rPr>
            </w:pPr>
          </w:p>
        </w:tc>
        <w:tc>
          <w:tcPr>
            <w:tcW w:w="794" w:type="dxa"/>
            <w:tcBorders>
              <w:right w:val="dashed" w:sz="4" w:space="0" w:color="auto"/>
            </w:tcBorders>
            <w:shd w:val="clear" w:color="auto" w:fill="F2F2F2" w:themeFill="background1" w:themeFillShade="F2"/>
            <w:vAlign w:val="center"/>
          </w:tcPr>
          <w:p w14:paraId="0F104FC8" w14:textId="61994FAC" w:rsidR="000C4E8B" w:rsidRPr="00D119AC" w:rsidRDefault="000C4E8B" w:rsidP="000C4E8B">
            <w:pPr>
              <w:widowControl w:val="0"/>
              <w:autoSpaceDE w:val="0"/>
              <w:autoSpaceDN w:val="0"/>
              <w:adjustRightInd w:val="0"/>
              <w:spacing w:after="0" w:line="240" w:lineRule="auto"/>
              <w:jc w:val="right"/>
              <w:rPr>
                <w:rFonts w:ascii="Times New Roman" w:hAnsi="Times New Roman" w:cs="Times New Roman"/>
                <w:sz w:val="16"/>
                <w:szCs w:val="16"/>
                <w:lang w:val="en-US"/>
              </w:rPr>
            </w:pPr>
            <w:r w:rsidRPr="00D119AC">
              <w:rPr>
                <w:rFonts w:ascii="Times New Roman" w:hAnsi="Times New Roman" w:cs="Times New Roman"/>
                <w:sz w:val="16"/>
                <w:szCs w:val="16"/>
                <w:lang w:val="en-US"/>
              </w:rPr>
              <w:t>0.512</w:t>
            </w:r>
          </w:p>
        </w:tc>
        <w:tc>
          <w:tcPr>
            <w:tcW w:w="397" w:type="dxa"/>
            <w:tcBorders>
              <w:left w:val="dashed" w:sz="4" w:space="0" w:color="auto"/>
            </w:tcBorders>
            <w:shd w:val="clear" w:color="auto" w:fill="F2F2F2" w:themeFill="background1" w:themeFillShade="F2"/>
            <w:vAlign w:val="center"/>
          </w:tcPr>
          <w:p w14:paraId="7FD163ED" w14:textId="77777777" w:rsidR="000C4E8B" w:rsidRPr="00D119AC" w:rsidRDefault="000C4E8B" w:rsidP="000C4E8B">
            <w:pPr>
              <w:widowControl w:val="0"/>
              <w:autoSpaceDE w:val="0"/>
              <w:autoSpaceDN w:val="0"/>
              <w:adjustRightInd w:val="0"/>
              <w:spacing w:after="0" w:line="240" w:lineRule="auto"/>
              <w:jc w:val="right"/>
              <w:rPr>
                <w:rFonts w:ascii="Times New Roman" w:hAnsi="Times New Roman" w:cs="Times New Roman"/>
                <w:sz w:val="16"/>
                <w:szCs w:val="16"/>
                <w:lang w:val="en-US"/>
              </w:rPr>
            </w:pPr>
          </w:p>
        </w:tc>
        <w:tc>
          <w:tcPr>
            <w:tcW w:w="1021" w:type="dxa"/>
            <w:shd w:val="clear" w:color="auto" w:fill="F2F2F2" w:themeFill="background1" w:themeFillShade="F2"/>
            <w:vAlign w:val="center"/>
          </w:tcPr>
          <w:p w14:paraId="1EF364C0" w14:textId="77777777" w:rsidR="000C4E8B" w:rsidRPr="00D119AC" w:rsidRDefault="000C4E8B" w:rsidP="000C4E8B">
            <w:pPr>
              <w:widowControl w:val="0"/>
              <w:autoSpaceDE w:val="0"/>
              <w:autoSpaceDN w:val="0"/>
              <w:adjustRightInd w:val="0"/>
              <w:spacing w:after="0" w:line="240" w:lineRule="auto"/>
              <w:jc w:val="right"/>
              <w:rPr>
                <w:rFonts w:ascii="Times New Roman" w:hAnsi="Times New Roman" w:cs="Times New Roman"/>
                <w:sz w:val="16"/>
                <w:szCs w:val="16"/>
                <w:lang w:val="en-US"/>
              </w:rPr>
            </w:pPr>
          </w:p>
        </w:tc>
        <w:tc>
          <w:tcPr>
            <w:tcW w:w="737" w:type="dxa"/>
            <w:tcBorders>
              <w:right w:val="dashed" w:sz="4" w:space="0" w:color="auto"/>
            </w:tcBorders>
            <w:shd w:val="clear" w:color="auto" w:fill="F2F2F2" w:themeFill="background1" w:themeFillShade="F2"/>
            <w:vAlign w:val="center"/>
          </w:tcPr>
          <w:p w14:paraId="7A6CD1B8" w14:textId="1EED3456" w:rsidR="000C4E8B" w:rsidRPr="00D119AC" w:rsidRDefault="000C4E8B" w:rsidP="000C4E8B">
            <w:pPr>
              <w:widowControl w:val="0"/>
              <w:autoSpaceDE w:val="0"/>
              <w:autoSpaceDN w:val="0"/>
              <w:adjustRightInd w:val="0"/>
              <w:spacing w:after="0" w:line="240" w:lineRule="auto"/>
              <w:jc w:val="right"/>
              <w:rPr>
                <w:rFonts w:ascii="Times New Roman" w:hAnsi="Times New Roman" w:cs="Times New Roman"/>
                <w:sz w:val="16"/>
                <w:szCs w:val="16"/>
                <w:lang w:val="en-US"/>
              </w:rPr>
            </w:pPr>
            <w:r w:rsidRPr="00D119AC">
              <w:rPr>
                <w:rFonts w:ascii="Times New Roman" w:hAnsi="Times New Roman" w:cs="Times New Roman"/>
                <w:sz w:val="16"/>
                <w:szCs w:val="16"/>
                <w:lang w:val="en-US"/>
              </w:rPr>
              <w:t>0.054</w:t>
            </w:r>
          </w:p>
        </w:tc>
      </w:tr>
      <w:tr w:rsidR="000C4E8B" w:rsidRPr="00D119AC" w14:paraId="00001B6E" w14:textId="77777777" w:rsidTr="0056300B">
        <w:trPr>
          <w:trHeight w:val="113"/>
        </w:trPr>
        <w:tc>
          <w:tcPr>
            <w:tcW w:w="2438" w:type="dxa"/>
            <w:tcBorders>
              <w:right w:val="dashed" w:sz="4" w:space="0" w:color="auto"/>
            </w:tcBorders>
            <w:vAlign w:val="center"/>
          </w:tcPr>
          <w:p w14:paraId="3374B268" w14:textId="1A17D678" w:rsidR="000C4E8B" w:rsidRPr="00D119AC" w:rsidRDefault="000C4E8B" w:rsidP="000E1366">
            <w:pPr>
              <w:widowControl w:val="0"/>
              <w:autoSpaceDE w:val="0"/>
              <w:autoSpaceDN w:val="0"/>
              <w:adjustRightInd w:val="0"/>
              <w:spacing w:after="0" w:line="240" w:lineRule="auto"/>
              <w:ind w:left="654"/>
              <w:rPr>
                <w:rFonts w:ascii="Times New Roman" w:hAnsi="Times New Roman" w:cs="Times New Roman"/>
                <w:b/>
                <w:sz w:val="16"/>
                <w:szCs w:val="16"/>
                <w:lang w:val="en-US"/>
              </w:rPr>
            </w:pPr>
            <w:r w:rsidRPr="00D119AC">
              <w:rPr>
                <w:rFonts w:ascii="Times New Roman" w:hAnsi="Times New Roman" w:cs="Times New Roman"/>
                <w:sz w:val="16"/>
                <w:szCs w:val="16"/>
                <w:lang w:val="en-US"/>
              </w:rPr>
              <w:t>Favorable (GOS-E</w:t>
            </w:r>
            <w:r w:rsidRPr="00D119AC">
              <w:rPr>
                <w:rFonts w:ascii="Times New Roman" w:hAnsi="Times New Roman" w:cs="Times New Roman"/>
                <w:sz w:val="16"/>
                <w:szCs w:val="16"/>
                <w:vertAlign w:val="subscript"/>
                <w:lang w:val="en-US"/>
              </w:rPr>
              <w:t>5-8</w:t>
            </w:r>
            <w:r w:rsidRPr="00D119AC">
              <w:rPr>
                <w:rFonts w:ascii="Times New Roman" w:hAnsi="Times New Roman" w:cs="Times New Roman"/>
                <w:sz w:val="16"/>
                <w:szCs w:val="16"/>
                <w:lang w:val="en-US"/>
              </w:rPr>
              <w:t>)</w:t>
            </w:r>
          </w:p>
        </w:tc>
        <w:tc>
          <w:tcPr>
            <w:tcW w:w="340" w:type="dxa"/>
            <w:tcBorders>
              <w:left w:val="dashed" w:sz="4" w:space="0" w:color="auto"/>
            </w:tcBorders>
            <w:vAlign w:val="center"/>
          </w:tcPr>
          <w:p w14:paraId="1EED0B63" w14:textId="6B041577" w:rsidR="000C4E8B" w:rsidRPr="00D119AC" w:rsidRDefault="000C4E8B" w:rsidP="007A1BB7">
            <w:pPr>
              <w:widowControl w:val="0"/>
              <w:autoSpaceDE w:val="0"/>
              <w:autoSpaceDN w:val="0"/>
              <w:adjustRightInd w:val="0"/>
              <w:spacing w:after="0" w:line="240" w:lineRule="auto"/>
              <w:ind w:left="-118"/>
              <w:jc w:val="center"/>
              <w:rPr>
                <w:rFonts w:ascii="Times New Roman" w:hAnsi="Times New Roman" w:cs="Times New Roman"/>
                <w:sz w:val="16"/>
                <w:szCs w:val="16"/>
                <w:lang w:val="en-US"/>
              </w:rPr>
            </w:pPr>
            <w:r w:rsidRPr="00D119AC">
              <w:rPr>
                <w:rFonts w:ascii="Times New Roman" w:hAnsi="Times New Roman" w:cs="Times New Roman"/>
                <w:sz w:val="16"/>
                <w:szCs w:val="16"/>
                <w:lang w:val="en-US"/>
              </w:rPr>
              <w:t>56</w:t>
            </w:r>
          </w:p>
        </w:tc>
        <w:tc>
          <w:tcPr>
            <w:tcW w:w="1928" w:type="dxa"/>
            <w:gridSpan w:val="2"/>
            <w:tcBorders>
              <w:right w:val="dashed" w:sz="4" w:space="0" w:color="auto"/>
            </w:tcBorders>
            <w:vAlign w:val="center"/>
          </w:tcPr>
          <w:p w14:paraId="0A46767E" w14:textId="6ECEC6A9" w:rsidR="000C4E8B" w:rsidRPr="00D119AC" w:rsidRDefault="000C4E8B" w:rsidP="000E1366">
            <w:pPr>
              <w:widowControl w:val="0"/>
              <w:autoSpaceDE w:val="0"/>
              <w:autoSpaceDN w:val="0"/>
              <w:adjustRightInd w:val="0"/>
              <w:spacing w:after="0" w:line="240" w:lineRule="auto"/>
              <w:ind w:left="144"/>
              <w:rPr>
                <w:rFonts w:ascii="Times New Roman" w:hAnsi="Times New Roman" w:cs="Times New Roman"/>
                <w:sz w:val="16"/>
                <w:szCs w:val="16"/>
                <w:lang w:val="en-US"/>
              </w:rPr>
            </w:pPr>
            <w:r w:rsidRPr="00D119AC">
              <w:rPr>
                <w:rFonts w:ascii="Times New Roman" w:hAnsi="Times New Roman" w:cs="Times New Roman"/>
                <w:sz w:val="16"/>
                <w:szCs w:val="16"/>
                <w:lang w:val="en-US"/>
              </w:rPr>
              <w:t>8.2</w:t>
            </w:r>
            <w:r>
              <w:rPr>
                <w:rFonts w:ascii="Times New Roman" w:hAnsi="Times New Roman" w:cs="Times New Roman"/>
                <w:sz w:val="16"/>
                <w:szCs w:val="16"/>
                <w:lang w:val="en-US"/>
              </w:rPr>
              <w:t xml:space="preserve"> </w:t>
            </w:r>
            <w:r w:rsidRPr="00D119AC">
              <w:rPr>
                <w:rFonts w:ascii="Times New Roman" w:hAnsi="Times New Roman" w:cs="Times New Roman"/>
                <w:sz w:val="16"/>
                <w:szCs w:val="16"/>
                <w:lang w:val="en-US"/>
              </w:rPr>
              <w:t>(6.5-10.5)</w:t>
            </w:r>
          </w:p>
        </w:tc>
        <w:tc>
          <w:tcPr>
            <w:tcW w:w="397" w:type="dxa"/>
            <w:tcBorders>
              <w:left w:val="dashed" w:sz="4" w:space="0" w:color="auto"/>
            </w:tcBorders>
            <w:vAlign w:val="center"/>
          </w:tcPr>
          <w:p w14:paraId="4C3C6D2E" w14:textId="181D4126" w:rsidR="000C4E8B" w:rsidRPr="00D119AC" w:rsidRDefault="000C4E8B" w:rsidP="007A1BB7">
            <w:pPr>
              <w:widowControl w:val="0"/>
              <w:autoSpaceDE w:val="0"/>
              <w:autoSpaceDN w:val="0"/>
              <w:adjustRightInd w:val="0"/>
              <w:spacing w:after="0" w:line="240" w:lineRule="auto"/>
              <w:jc w:val="center"/>
              <w:rPr>
                <w:rFonts w:ascii="Times New Roman" w:hAnsi="Times New Roman" w:cs="Times New Roman"/>
                <w:sz w:val="16"/>
                <w:szCs w:val="16"/>
                <w:lang w:val="en-US"/>
              </w:rPr>
            </w:pPr>
            <w:r w:rsidRPr="00D119AC">
              <w:rPr>
                <w:rFonts w:ascii="Times New Roman" w:hAnsi="Times New Roman" w:cs="Times New Roman"/>
                <w:sz w:val="16"/>
                <w:szCs w:val="16"/>
                <w:lang w:val="en-US"/>
              </w:rPr>
              <w:t>43</w:t>
            </w:r>
          </w:p>
        </w:tc>
        <w:tc>
          <w:tcPr>
            <w:tcW w:w="1758" w:type="dxa"/>
            <w:gridSpan w:val="2"/>
            <w:tcBorders>
              <w:right w:val="dashed" w:sz="4" w:space="0" w:color="auto"/>
            </w:tcBorders>
            <w:vAlign w:val="center"/>
          </w:tcPr>
          <w:p w14:paraId="2AD9C8FB" w14:textId="0DAFE805" w:rsidR="000C4E8B" w:rsidRPr="00D119AC" w:rsidRDefault="000C4E8B" w:rsidP="000E1366">
            <w:pPr>
              <w:widowControl w:val="0"/>
              <w:autoSpaceDE w:val="0"/>
              <w:autoSpaceDN w:val="0"/>
              <w:adjustRightInd w:val="0"/>
              <w:spacing w:after="0" w:line="240" w:lineRule="auto"/>
              <w:ind w:left="87"/>
              <w:rPr>
                <w:rFonts w:ascii="Times New Roman" w:hAnsi="Times New Roman" w:cs="Times New Roman"/>
                <w:sz w:val="16"/>
                <w:szCs w:val="16"/>
                <w:lang w:val="en-US"/>
              </w:rPr>
            </w:pPr>
            <w:r w:rsidRPr="00D119AC">
              <w:rPr>
                <w:rFonts w:ascii="Times New Roman" w:hAnsi="Times New Roman" w:cs="Times New Roman"/>
                <w:sz w:val="16"/>
                <w:szCs w:val="16"/>
                <w:lang w:val="en-US"/>
              </w:rPr>
              <w:t>9.5</w:t>
            </w:r>
            <w:r>
              <w:rPr>
                <w:rFonts w:ascii="Times New Roman" w:hAnsi="Times New Roman" w:cs="Times New Roman"/>
                <w:sz w:val="16"/>
                <w:szCs w:val="16"/>
                <w:lang w:val="en-US"/>
              </w:rPr>
              <w:t xml:space="preserve"> </w:t>
            </w:r>
            <w:r w:rsidRPr="00D119AC">
              <w:rPr>
                <w:rFonts w:ascii="Times New Roman" w:hAnsi="Times New Roman" w:cs="Times New Roman"/>
                <w:sz w:val="16"/>
                <w:szCs w:val="16"/>
                <w:lang w:val="en-US"/>
              </w:rPr>
              <w:t>(7.7-14.1)</w:t>
            </w:r>
          </w:p>
        </w:tc>
      </w:tr>
      <w:tr w:rsidR="00452352" w:rsidRPr="00452352" w14:paraId="47B08408" w14:textId="77777777" w:rsidTr="0056300B">
        <w:trPr>
          <w:trHeight w:val="113"/>
        </w:trPr>
        <w:tc>
          <w:tcPr>
            <w:tcW w:w="2438" w:type="dxa"/>
            <w:tcBorders>
              <w:bottom w:val="single" w:sz="4" w:space="0" w:color="auto"/>
              <w:right w:val="dashed" w:sz="4" w:space="0" w:color="auto"/>
            </w:tcBorders>
            <w:vAlign w:val="center"/>
          </w:tcPr>
          <w:p w14:paraId="1429C8CA" w14:textId="520E2AE1" w:rsidR="000C4E8B" w:rsidRPr="00452352" w:rsidRDefault="000C4E8B" w:rsidP="000E1366">
            <w:pPr>
              <w:widowControl w:val="0"/>
              <w:autoSpaceDE w:val="0"/>
              <w:autoSpaceDN w:val="0"/>
              <w:adjustRightInd w:val="0"/>
              <w:spacing w:after="0" w:line="240" w:lineRule="auto"/>
              <w:ind w:left="654"/>
              <w:rPr>
                <w:rFonts w:ascii="Times New Roman" w:hAnsi="Times New Roman" w:cs="Times New Roman"/>
                <w:b/>
                <w:color w:val="000000" w:themeColor="text1"/>
                <w:sz w:val="16"/>
                <w:szCs w:val="16"/>
                <w:lang w:val="en-US"/>
              </w:rPr>
            </w:pPr>
            <w:proofErr w:type="gramStart"/>
            <w:r w:rsidRPr="00452352">
              <w:rPr>
                <w:rFonts w:ascii="Times New Roman" w:hAnsi="Times New Roman" w:cs="Times New Roman"/>
                <w:color w:val="000000" w:themeColor="text1"/>
                <w:sz w:val="16"/>
                <w:szCs w:val="16"/>
                <w:lang w:val="en-US"/>
              </w:rPr>
              <w:t>Unfavorable(</w:t>
            </w:r>
            <w:proofErr w:type="gramEnd"/>
            <w:r w:rsidRPr="00452352">
              <w:rPr>
                <w:rFonts w:ascii="Times New Roman" w:hAnsi="Times New Roman" w:cs="Times New Roman"/>
                <w:color w:val="000000" w:themeColor="text1"/>
                <w:sz w:val="16"/>
                <w:szCs w:val="16"/>
                <w:lang w:val="en-US"/>
              </w:rPr>
              <w:t>GOS-E</w:t>
            </w:r>
            <w:r w:rsidRPr="00452352">
              <w:rPr>
                <w:rFonts w:ascii="Times New Roman" w:hAnsi="Times New Roman" w:cs="Times New Roman"/>
                <w:color w:val="000000" w:themeColor="text1"/>
                <w:sz w:val="16"/>
                <w:szCs w:val="16"/>
                <w:vertAlign w:val="subscript"/>
                <w:lang w:val="en-US"/>
              </w:rPr>
              <w:t>1-4</w:t>
            </w:r>
            <w:r w:rsidRPr="00452352">
              <w:rPr>
                <w:rFonts w:ascii="Times New Roman" w:hAnsi="Times New Roman" w:cs="Times New Roman"/>
                <w:color w:val="000000" w:themeColor="text1"/>
                <w:sz w:val="16"/>
                <w:szCs w:val="16"/>
                <w:lang w:val="en-US"/>
              </w:rPr>
              <w:t>)</w:t>
            </w:r>
          </w:p>
        </w:tc>
        <w:tc>
          <w:tcPr>
            <w:tcW w:w="340" w:type="dxa"/>
            <w:tcBorders>
              <w:left w:val="dashed" w:sz="4" w:space="0" w:color="auto"/>
              <w:bottom w:val="single" w:sz="4" w:space="0" w:color="auto"/>
            </w:tcBorders>
            <w:vAlign w:val="center"/>
          </w:tcPr>
          <w:p w14:paraId="2208A5E2" w14:textId="16B853E5" w:rsidR="000C4E8B" w:rsidRPr="00452352" w:rsidRDefault="000C4E8B" w:rsidP="007A1BB7">
            <w:pPr>
              <w:widowControl w:val="0"/>
              <w:autoSpaceDE w:val="0"/>
              <w:autoSpaceDN w:val="0"/>
              <w:adjustRightInd w:val="0"/>
              <w:spacing w:after="0" w:line="240" w:lineRule="auto"/>
              <w:ind w:left="-118"/>
              <w:jc w:val="center"/>
              <w:rPr>
                <w:rFonts w:ascii="Times New Roman" w:hAnsi="Times New Roman" w:cs="Times New Roman"/>
                <w:color w:val="000000" w:themeColor="text1"/>
                <w:sz w:val="16"/>
                <w:szCs w:val="16"/>
                <w:lang w:val="en-US"/>
              </w:rPr>
            </w:pPr>
            <w:r w:rsidRPr="00452352">
              <w:rPr>
                <w:rFonts w:ascii="Times New Roman" w:hAnsi="Times New Roman" w:cs="Times New Roman"/>
                <w:color w:val="000000" w:themeColor="text1"/>
                <w:sz w:val="16"/>
                <w:szCs w:val="16"/>
                <w:lang w:val="en-US"/>
              </w:rPr>
              <w:t>23</w:t>
            </w:r>
          </w:p>
        </w:tc>
        <w:tc>
          <w:tcPr>
            <w:tcW w:w="1928" w:type="dxa"/>
            <w:gridSpan w:val="2"/>
            <w:tcBorders>
              <w:bottom w:val="single" w:sz="4" w:space="0" w:color="auto"/>
              <w:right w:val="dashed" w:sz="4" w:space="0" w:color="auto"/>
            </w:tcBorders>
            <w:vAlign w:val="center"/>
          </w:tcPr>
          <w:p w14:paraId="40D080EE" w14:textId="0B033B18" w:rsidR="000C4E8B" w:rsidRPr="00452352" w:rsidRDefault="000C4E8B" w:rsidP="000E1366">
            <w:pPr>
              <w:widowControl w:val="0"/>
              <w:autoSpaceDE w:val="0"/>
              <w:autoSpaceDN w:val="0"/>
              <w:adjustRightInd w:val="0"/>
              <w:spacing w:after="0" w:line="240" w:lineRule="auto"/>
              <w:ind w:left="144"/>
              <w:rPr>
                <w:rFonts w:ascii="Times New Roman" w:hAnsi="Times New Roman" w:cs="Times New Roman"/>
                <w:color w:val="000000" w:themeColor="text1"/>
                <w:sz w:val="16"/>
                <w:szCs w:val="16"/>
                <w:lang w:val="en-US"/>
              </w:rPr>
            </w:pPr>
            <w:r w:rsidRPr="00452352">
              <w:rPr>
                <w:rFonts w:ascii="Times New Roman" w:hAnsi="Times New Roman" w:cs="Times New Roman"/>
                <w:color w:val="000000" w:themeColor="text1"/>
                <w:sz w:val="16"/>
                <w:szCs w:val="16"/>
                <w:lang w:val="en-US"/>
              </w:rPr>
              <w:t>8.8 (6.8-11.0)</w:t>
            </w:r>
          </w:p>
        </w:tc>
        <w:tc>
          <w:tcPr>
            <w:tcW w:w="397" w:type="dxa"/>
            <w:tcBorders>
              <w:left w:val="dashed" w:sz="4" w:space="0" w:color="auto"/>
              <w:bottom w:val="single" w:sz="4" w:space="0" w:color="auto"/>
            </w:tcBorders>
            <w:vAlign w:val="center"/>
          </w:tcPr>
          <w:p w14:paraId="19EEFC49" w14:textId="355908F3" w:rsidR="000C4E8B" w:rsidRPr="00452352" w:rsidRDefault="000C4E8B" w:rsidP="007A1BB7">
            <w:pPr>
              <w:widowControl w:val="0"/>
              <w:autoSpaceDE w:val="0"/>
              <w:autoSpaceDN w:val="0"/>
              <w:adjustRightInd w:val="0"/>
              <w:spacing w:after="0" w:line="240" w:lineRule="auto"/>
              <w:jc w:val="center"/>
              <w:rPr>
                <w:rFonts w:ascii="Times New Roman" w:hAnsi="Times New Roman" w:cs="Times New Roman"/>
                <w:color w:val="000000" w:themeColor="text1"/>
                <w:sz w:val="16"/>
                <w:szCs w:val="16"/>
                <w:lang w:val="en-US"/>
              </w:rPr>
            </w:pPr>
            <w:r w:rsidRPr="00452352">
              <w:rPr>
                <w:rFonts w:ascii="Times New Roman" w:hAnsi="Times New Roman" w:cs="Times New Roman"/>
                <w:color w:val="000000" w:themeColor="text1"/>
                <w:sz w:val="16"/>
                <w:szCs w:val="16"/>
                <w:lang w:val="en-US"/>
              </w:rPr>
              <w:t>20</w:t>
            </w:r>
          </w:p>
        </w:tc>
        <w:tc>
          <w:tcPr>
            <w:tcW w:w="1758" w:type="dxa"/>
            <w:gridSpan w:val="2"/>
            <w:tcBorders>
              <w:bottom w:val="single" w:sz="4" w:space="0" w:color="auto"/>
              <w:right w:val="dashed" w:sz="4" w:space="0" w:color="auto"/>
            </w:tcBorders>
            <w:vAlign w:val="center"/>
          </w:tcPr>
          <w:p w14:paraId="00513D7D" w14:textId="25188AE9" w:rsidR="000C4E8B" w:rsidRPr="00452352" w:rsidRDefault="000C4E8B" w:rsidP="000E1366">
            <w:pPr>
              <w:widowControl w:val="0"/>
              <w:autoSpaceDE w:val="0"/>
              <w:autoSpaceDN w:val="0"/>
              <w:adjustRightInd w:val="0"/>
              <w:spacing w:after="0" w:line="240" w:lineRule="auto"/>
              <w:ind w:left="87"/>
              <w:rPr>
                <w:rFonts w:ascii="Times New Roman" w:hAnsi="Times New Roman" w:cs="Times New Roman"/>
                <w:color w:val="000000" w:themeColor="text1"/>
                <w:sz w:val="16"/>
                <w:szCs w:val="16"/>
                <w:lang w:val="en-US"/>
              </w:rPr>
            </w:pPr>
            <w:r w:rsidRPr="00452352">
              <w:rPr>
                <w:rFonts w:ascii="Times New Roman" w:hAnsi="Times New Roman" w:cs="Times New Roman"/>
                <w:color w:val="000000" w:themeColor="text1"/>
                <w:sz w:val="16"/>
                <w:szCs w:val="16"/>
                <w:lang w:val="en-US"/>
              </w:rPr>
              <w:t>12.3 (10.0-16.2)</w:t>
            </w:r>
          </w:p>
        </w:tc>
      </w:tr>
    </w:tbl>
    <w:p w14:paraId="09EA5398" w14:textId="6EB9F266" w:rsidR="0056300B" w:rsidRPr="00452352" w:rsidRDefault="008C695E" w:rsidP="008C695E">
      <w:pPr>
        <w:ind w:left="426" w:right="1984"/>
        <w:rPr>
          <w:rFonts w:ascii="Times New Roman" w:hAnsi="Times New Roman" w:cs="Times New Roman"/>
          <w:bCs/>
          <w:color w:val="000000" w:themeColor="text1"/>
          <w:sz w:val="16"/>
          <w:szCs w:val="16"/>
          <w:lang w:val="en-US"/>
        </w:rPr>
      </w:pPr>
      <w:r w:rsidRPr="00452352">
        <w:rPr>
          <w:rFonts w:ascii="Times New Roman" w:hAnsi="Times New Roman" w:cs="Times New Roman"/>
          <w:color w:val="000000" w:themeColor="text1"/>
          <w:sz w:val="16"/>
          <w:lang w:val="en-US"/>
        </w:rPr>
        <w:t xml:space="preserve">Abbreviations: DCI, delayed cerebral ischemia; GOS-E, Glasgow outcome scale - extended; HH, Hunt and Hess grading scale; </w:t>
      </w:r>
      <w:proofErr w:type="spellStart"/>
      <w:r w:rsidRPr="00452352">
        <w:rPr>
          <w:rFonts w:ascii="Times New Roman" w:hAnsi="Times New Roman" w:cs="Times New Roman"/>
          <w:color w:val="000000" w:themeColor="text1"/>
          <w:sz w:val="16"/>
          <w:lang w:val="en-US"/>
        </w:rPr>
        <w:t>mFS</w:t>
      </w:r>
      <w:proofErr w:type="spellEnd"/>
      <w:r w:rsidRPr="00452352">
        <w:rPr>
          <w:rFonts w:ascii="Times New Roman" w:hAnsi="Times New Roman" w:cs="Times New Roman"/>
          <w:color w:val="000000" w:themeColor="text1"/>
          <w:sz w:val="16"/>
          <w:lang w:val="en-US"/>
        </w:rPr>
        <w:t>, modified Fischer scale</w:t>
      </w:r>
      <w:r w:rsidR="00852491" w:rsidRPr="00452352">
        <w:rPr>
          <w:rFonts w:ascii="Times New Roman" w:hAnsi="Times New Roman" w:cs="Times New Roman"/>
          <w:color w:val="000000" w:themeColor="text1"/>
          <w:sz w:val="16"/>
          <w:lang w:val="en-US"/>
        </w:rPr>
        <w:t xml:space="preserve">; </w:t>
      </w:r>
      <w:r w:rsidR="00852491" w:rsidRPr="00452352">
        <w:rPr>
          <w:rFonts w:ascii="Times New Roman" w:hAnsi="Times New Roman" w:cs="Times New Roman"/>
          <w:bCs/>
          <w:color w:val="000000" w:themeColor="text1"/>
          <w:sz w:val="16"/>
          <w:szCs w:val="16"/>
          <w:lang w:val="en-US"/>
        </w:rPr>
        <w:t>1q, first quartile; 3q, third quartile</w:t>
      </w:r>
      <w:r w:rsidRPr="00452352">
        <w:rPr>
          <w:rFonts w:ascii="Times New Roman" w:hAnsi="Times New Roman" w:cs="Times New Roman"/>
          <w:color w:val="000000" w:themeColor="text1"/>
          <w:sz w:val="16"/>
          <w:lang w:val="en-US"/>
        </w:rPr>
        <w:t xml:space="preserve">. </w:t>
      </w:r>
      <w:r w:rsidR="0056300B" w:rsidRPr="00452352">
        <w:rPr>
          <w:rFonts w:ascii="Times New Roman" w:hAnsi="Times New Roman" w:cs="Times New Roman"/>
          <w:bCs/>
          <w:color w:val="000000" w:themeColor="text1"/>
          <w:sz w:val="16"/>
          <w:szCs w:val="16"/>
          <w:vertAlign w:val="superscript"/>
          <w:lang w:val="en-US"/>
        </w:rPr>
        <w:t>a</w:t>
      </w:r>
      <w:r w:rsidR="0056300B" w:rsidRPr="00452352">
        <w:rPr>
          <w:rFonts w:ascii="Times New Roman" w:hAnsi="Times New Roman" w:cs="Times New Roman"/>
          <w:bCs/>
          <w:color w:val="000000" w:themeColor="text1"/>
          <w:sz w:val="16"/>
          <w:szCs w:val="16"/>
          <w:lang w:val="en-US"/>
        </w:rPr>
        <w:t xml:space="preserve"> total number of patients from which samples were available</w:t>
      </w:r>
    </w:p>
    <w:p w14:paraId="1B9FCC4D" w14:textId="77777777" w:rsidR="00117631" w:rsidRDefault="00117631" w:rsidP="00D21DC3">
      <w:pPr>
        <w:rPr>
          <w:b/>
          <w:bCs/>
          <w:color w:val="000000" w:themeColor="text1"/>
          <w:sz w:val="20"/>
          <w:szCs w:val="20"/>
          <w:lang w:val="en-US"/>
        </w:rPr>
      </w:pPr>
    </w:p>
    <w:p w14:paraId="5C6D661C" w14:textId="77777777" w:rsidR="00117631" w:rsidRDefault="00117631" w:rsidP="00D21DC3">
      <w:pPr>
        <w:rPr>
          <w:b/>
          <w:bCs/>
          <w:color w:val="000000" w:themeColor="text1"/>
          <w:sz w:val="20"/>
          <w:szCs w:val="20"/>
          <w:lang w:val="en-US"/>
        </w:rPr>
      </w:pPr>
    </w:p>
    <w:p w14:paraId="66F8DEAA" w14:textId="0D5AF676" w:rsidR="00AB5A38" w:rsidRPr="002F408C" w:rsidRDefault="00D119AC" w:rsidP="00117631">
      <w:pPr>
        <w:rPr>
          <w:rFonts w:ascii="Times New Roman" w:hAnsi="Times New Roman" w:cs="Times New Roman"/>
          <w:b/>
          <w:bCs/>
          <w:color w:val="000000" w:themeColor="text1"/>
          <w:lang w:val="en-US"/>
        </w:rPr>
      </w:pPr>
      <w:r w:rsidRPr="002F408C">
        <w:rPr>
          <w:b/>
          <w:bCs/>
          <w:color w:val="000000" w:themeColor="text1"/>
          <w:lang w:val="en-US"/>
        </w:rPr>
        <w:br w:type="column"/>
      </w:r>
      <w:r w:rsidR="002B5C5C" w:rsidRPr="002F408C">
        <w:rPr>
          <w:rFonts w:ascii="Times New Roman" w:hAnsi="Times New Roman" w:cs="Times New Roman"/>
          <w:b/>
          <w:bCs/>
          <w:color w:val="000000" w:themeColor="text1"/>
          <w:lang w:val="en-US"/>
        </w:rPr>
        <w:lastRenderedPageBreak/>
        <w:t xml:space="preserve">Table 3. </w:t>
      </w:r>
      <w:r w:rsidR="002B5C5C" w:rsidRPr="002F408C">
        <w:rPr>
          <w:rFonts w:ascii="Times New Roman" w:hAnsi="Times New Roman" w:cs="Times New Roman"/>
          <w:bCs/>
          <w:color w:val="000000" w:themeColor="text1"/>
          <w:lang w:val="en-US"/>
        </w:rPr>
        <w:t xml:space="preserve">Subgroup comparison of circulatory DPP3 levels during the critical phase after </w:t>
      </w:r>
      <w:r w:rsidR="00E70FE4" w:rsidRPr="002F408C">
        <w:rPr>
          <w:rFonts w:ascii="Times New Roman" w:hAnsi="Times New Roman" w:cs="Times New Roman"/>
          <w:bCs/>
          <w:color w:val="000000" w:themeColor="text1"/>
          <w:lang w:val="en-US"/>
        </w:rPr>
        <w:t>a</w:t>
      </w:r>
      <w:r w:rsidR="002B5C5C" w:rsidRPr="002F408C">
        <w:rPr>
          <w:rFonts w:ascii="Times New Roman" w:hAnsi="Times New Roman" w:cs="Times New Roman"/>
          <w:bCs/>
          <w:color w:val="000000" w:themeColor="text1"/>
          <w:lang w:val="en-US"/>
        </w:rPr>
        <w:t>SAH.</w:t>
      </w:r>
    </w:p>
    <w:tbl>
      <w:tblPr>
        <w:tblW w:w="8938" w:type="dxa"/>
        <w:jc w:val="center"/>
        <w:tblLayout w:type="fixed"/>
        <w:tblLook w:val="04A0" w:firstRow="1" w:lastRow="0" w:firstColumn="1" w:lastColumn="0" w:noHBand="0" w:noVBand="1"/>
      </w:tblPr>
      <w:tblGrid>
        <w:gridCol w:w="2469"/>
        <w:gridCol w:w="384"/>
        <w:gridCol w:w="964"/>
        <w:gridCol w:w="794"/>
        <w:gridCol w:w="386"/>
        <w:gridCol w:w="964"/>
        <w:gridCol w:w="794"/>
        <w:gridCol w:w="397"/>
        <w:gridCol w:w="992"/>
        <w:gridCol w:w="794"/>
      </w:tblGrid>
      <w:tr w:rsidR="00F0396A" w:rsidRPr="001C61AA" w14:paraId="2C533DE9" w14:textId="77777777" w:rsidTr="0056300B">
        <w:trPr>
          <w:jc w:val="center"/>
        </w:trPr>
        <w:tc>
          <w:tcPr>
            <w:tcW w:w="2469" w:type="dxa"/>
            <w:tcBorders>
              <w:top w:val="single" w:sz="4" w:space="0" w:color="auto"/>
            </w:tcBorders>
          </w:tcPr>
          <w:p w14:paraId="041BB484" w14:textId="77777777" w:rsidR="00F0396A" w:rsidRPr="007A1BB7" w:rsidRDefault="00F0396A" w:rsidP="007A1BB7">
            <w:pPr>
              <w:widowControl w:val="0"/>
              <w:autoSpaceDE w:val="0"/>
              <w:autoSpaceDN w:val="0"/>
              <w:adjustRightInd w:val="0"/>
              <w:spacing w:after="0" w:line="240" w:lineRule="auto"/>
              <w:rPr>
                <w:rFonts w:ascii="Times New Roman" w:hAnsi="Times New Roman" w:cs="Times New Roman"/>
                <w:b/>
                <w:sz w:val="16"/>
                <w:szCs w:val="18"/>
                <w:lang w:val="en-US"/>
              </w:rPr>
            </w:pPr>
          </w:p>
        </w:tc>
        <w:tc>
          <w:tcPr>
            <w:tcW w:w="2142" w:type="dxa"/>
            <w:gridSpan w:val="3"/>
            <w:tcBorders>
              <w:top w:val="single" w:sz="4" w:space="0" w:color="auto"/>
              <w:left w:val="nil"/>
            </w:tcBorders>
            <w:vAlign w:val="center"/>
          </w:tcPr>
          <w:p w14:paraId="35E8D294" w14:textId="5AB54CD0" w:rsidR="00F0396A" w:rsidRPr="002B5C5C" w:rsidRDefault="002B5C5C" w:rsidP="0056300B">
            <w:pPr>
              <w:widowControl w:val="0"/>
              <w:autoSpaceDE w:val="0"/>
              <w:autoSpaceDN w:val="0"/>
              <w:adjustRightInd w:val="0"/>
              <w:spacing w:after="0" w:line="240" w:lineRule="auto"/>
              <w:jc w:val="center"/>
              <w:rPr>
                <w:rFonts w:ascii="Times New Roman" w:hAnsi="Times New Roman" w:cs="Times New Roman"/>
                <w:b/>
                <w:sz w:val="16"/>
                <w:szCs w:val="18"/>
                <w:u w:val="single"/>
                <w:lang w:val="en-US"/>
              </w:rPr>
            </w:pPr>
            <w:r>
              <w:rPr>
                <w:rFonts w:ascii="Times New Roman" w:hAnsi="Times New Roman" w:cs="Times New Roman"/>
                <w:b/>
                <w:sz w:val="16"/>
                <w:szCs w:val="18"/>
                <w:u w:val="single"/>
                <w:lang w:val="en-US"/>
              </w:rPr>
              <w:t>Critical phase (</w:t>
            </w:r>
            <w:r w:rsidR="00F0396A" w:rsidRPr="007A1BB7">
              <w:rPr>
                <w:rFonts w:ascii="Times New Roman" w:hAnsi="Times New Roman" w:cs="Times New Roman"/>
                <w:b/>
                <w:sz w:val="16"/>
                <w:szCs w:val="18"/>
                <w:u w:val="single"/>
                <w:lang w:val="en-US"/>
              </w:rPr>
              <w:t>CP</w:t>
            </w:r>
            <w:r w:rsidR="00F0396A" w:rsidRPr="007A1BB7">
              <w:rPr>
                <w:rFonts w:ascii="Times New Roman" w:hAnsi="Times New Roman" w:cs="Times New Roman"/>
                <w:b/>
                <w:sz w:val="16"/>
                <w:szCs w:val="18"/>
                <w:u w:val="single"/>
                <w:vertAlign w:val="subscript"/>
                <w:lang w:val="en-US"/>
              </w:rPr>
              <w:t>d5-8</w:t>
            </w:r>
            <w:r>
              <w:rPr>
                <w:rFonts w:ascii="Times New Roman" w:hAnsi="Times New Roman" w:cs="Times New Roman"/>
                <w:b/>
                <w:sz w:val="16"/>
                <w:szCs w:val="18"/>
                <w:u w:val="single"/>
                <w:lang w:val="en-US"/>
              </w:rPr>
              <w:t>)</w:t>
            </w:r>
          </w:p>
        </w:tc>
        <w:tc>
          <w:tcPr>
            <w:tcW w:w="2144" w:type="dxa"/>
            <w:gridSpan w:val="3"/>
            <w:tcBorders>
              <w:top w:val="single" w:sz="4" w:space="0" w:color="auto"/>
              <w:left w:val="nil"/>
            </w:tcBorders>
            <w:vAlign w:val="center"/>
          </w:tcPr>
          <w:p w14:paraId="3FE356D0" w14:textId="493E333A" w:rsidR="00F0396A" w:rsidRPr="002B5C5C" w:rsidRDefault="002B5C5C" w:rsidP="0056300B">
            <w:pPr>
              <w:widowControl w:val="0"/>
              <w:autoSpaceDE w:val="0"/>
              <w:autoSpaceDN w:val="0"/>
              <w:adjustRightInd w:val="0"/>
              <w:spacing w:after="0" w:line="240" w:lineRule="auto"/>
              <w:jc w:val="center"/>
              <w:rPr>
                <w:rFonts w:ascii="Times New Roman" w:hAnsi="Times New Roman" w:cs="Times New Roman"/>
                <w:b/>
                <w:sz w:val="16"/>
                <w:szCs w:val="18"/>
                <w:u w:val="single"/>
                <w:lang w:val="en-US"/>
              </w:rPr>
            </w:pPr>
            <w:r>
              <w:rPr>
                <w:rFonts w:ascii="Times New Roman" w:hAnsi="Times New Roman" w:cs="Times New Roman"/>
                <w:b/>
                <w:sz w:val="16"/>
                <w:szCs w:val="18"/>
                <w:u w:val="single"/>
                <w:lang w:val="en-US"/>
              </w:rPr>
              <w:t>Critical phase (</w:t>
            </w:r>
            <w:r w:rsidR="00F0396A" w:rsidRPr="007A1BB7">
              <w:rPr>
                <w:rFonts w:ascii="Times New Roman" w:hAnsi="Times New Roman" w:cs="Times New Roman"/>
                <w:b/>
                <w:sz w:val="16"/>
                <w:szCs w:val="18"/>
                <w:u w:val="single"/>
                <w:lang w:val="en-US"/>
              </w:rPr>
              <w:t>CP</w:t>
            </w:r>
            <w:r w:rsidR="00F0396A" w:rsidRPr="007A1BB7">
              <w:rPr>
                <w:rFonts w:ascii="Times New Roman" w:hAnsi="Times New Roman" w:cs="Times New Roman"/>
                <w:b/>
                <w:sz w:val="16"/>
                <w:szCs w:val="18"/>
                <w:u w:val="single"/>
                <w:vertAlign w:val="subscript"/>
                <w:lang w:val="en-US"/>
              </w:rPr>
              <w:t>d9-12</w:t>
            </w:r>
            <w:r>
              <w:rPr>
                <w:rFonts w:ascii="Times New Roman" w:hAnsi="Times New Roman" w:cs="Times New Roman"/>
                <w:b/>
                <w:sz w:val="16"/>
                <w:szCs w:val="18"/>
                <w:u w:val="single"/>
                <w:lang w:val="en-US"/>
              </w:rPr>
              <w:t>)</w:t>
            </w:r>
          </w:p>
        </w:tc>
        <w:tc>
          <w:tcPr>
            <w:tcW w:w="2183" w:type="dxa"/>
            <w:gridSpan w:val="3"/>
            <w:tcBorders>
              <w:top w:val="single" w:sz="4" w:space="0" w:color="auto"/>
            </w:tcBorders>
            <w:vAlign w:val="center"/>
          </w:tcPr>
          <w:p w14:paraId="0F864008" w14:textId="1ECDEB63" w:rsidR="00F0396A" w:rsidRPr="002B5C5C" w:rsidRDefault="002B5C5C" w:rsidP="0056300B">
            <w:pPr>
              <w:widowControl w:val="0"/>
              <w:autoSpaceDE w:val="0"/>
              <w:autoSpaceDN w:val="0"/>
              <w:adjustRightInd w:val="0"/>
              <w:spacing w:after="0" w:line="240" w:lineRule="auto"/>
              <w:jc w:val="center"/>
              <w:rPr>
                <w:rFonts w:ascii="Times New Roman" w:hAnsi="Times New Roman" w:cs="Times New Roman"/>
                <w:b/>
                <w:sz w:val="16"/>
                <w:szCs w:val="18"/>
                <w:u w:val="single"/>
                <w:lang w:val="en-US"/>
              </w:rPr>
            </w:pPr>
            <w:r>
              <w:rPr>
                <w:rFonts w:ascii="Times New Roman" w:hAnsi="Times New Roman" w:cs="Times New Roman"/>
                <w:b/>
                <w:sz w:val="16"/>
                <w:szCs w:val="18"/>
                <w:u w:val="single"/>
                <w:lang w:val="en-US"/>
              </w:rPr>
              <w:t>Critical phase (</w:t>
            </w:r>
            <w:r w:rsidR="00F0396A" w:rsidRPr="007A1BB7">
              <w:rPr>
                <w:rFonts w:ascii="Times New Roman" w:hAnsi="Times New Roman" w:cs="Times New Roman"/>
                <w:b/>
                <w:sz w:val="16"/>
                <w:szCs w:val="18"/>
                <w:u w:val="single"/>
                <w:lang w:val="en-US"/>
              </w:rPr>
              <w:t>CP</w:t>
            </w:r>
            <w:r w:rsidR="00F0396A" w:rsidRPr="007A1BB7">
              <w:rPr>
                <w:rFonts w:ascii="Times New Roman" w:hAnsi="Times New Roman" w:cs="Times New Roman"/>
                <w:b/>
                <w:sz w:val="16"/>
                <w:szCs w:val="18"/>
                <w:u w:val="single"/>
                <w:vertAlign w:val="subscript"/>
                <w:lang w:val="en-US"/>
              </w:rPr>
              <w:t>d13-15</w:t>
            </w:r>
            <w:r>
              <w:rPr>
                <w:rFonts w:ascii="Times New Roman" w:hAnsi="Times New Roman" w:cs="Times New Roman"/>
                <w:b/>
                <w:sz w:val="16"/>
                <w:szCs w:val="18"/>
                <w:u w:val="single"/>
                <w:lang w:val="en-US"/>
              </w:rPr>
              <w:t>)</w:t>
            </w:r>
          </w:p>
        </w:tc>
      </w:tr>
      <w:tr w:rsidR="00F0396A" w:rsidRPr="001C61AA" w14:paraId="470FBD6E" w14:textId="77777777" w:rsidTr="0056300B">
        <w:trPr>
          <w:jc w:val="center"/>
        </w:trPr>
        <w:tc>
          <w:tcPr>
            <w:tcW w:w="2469" w:type="dxa"/>
            <w:tcBorders>
              <w:bottom w:val="single" w:sz="4" w:space="0" w:color="auto"/>
              <w:right w:val="dashed" w:sz="4" w:space="0" w:color="auto"/>
            </w:tcBorders>
          </w:tcPr>
          <w:p w14:paraId="107AE6AB" w14:textId="77777777" w:rsidR="00F0396A" w:rsidRPr="007A1BB7" w:rsidRDefault="00F0396A" w:rsidP="007A1BB7">
            <w:pPr>
              <w:widowControl w:val="0"/>
              <w:autoSpaceDE w:val="0"/>
              <w:autoSpaceDN w:val="0"/>
              <w:adjustRightInd w:val="0"/>
              <w:spacing w:after="0" w:line="240" w:lineRule="auto"/>
              <w:rPr>
                <w:rFonts w:ascii="Times New Roman" w:hAnsi="Times New Roman" w:cs="Times New Roman"/>
                <w:b/>
                <w:sz w:val="16"/>
                <w:szCs w:val="18"/>
                <w:lang w:val="en-US"/>
              </w:rPr>
            </w:pPr>
          </w:p>
        </w:tc>
        <w:tc>
          <w:tcPr>
            <w:tcW w:w="384" w:type="dxa"/>
            <w:tcBorders>
              <w:left w:val="dashed" w:sz="4" w:space="0" w:color="auto"/>
              <w:bottom w:val="single" w:sz="4" w:space="0" w:color="auto"/>
            </w:tcBorders>
          </w:tcPr>
          <w:p w14:paraId="55EFEB7D" w14:textId="77777777" w:rsidR="00F0396A" w:rsidRPr="007A1BB7" w:rsidRDefault="00F0396A" w:rsidP="007A1BB7">
            <w:pPr>
              <w:widowControl w:val="0"/>
              <w:autoSpaceDE w:val="0"/>
              <w:autoSpaceDN w:val="0"/>
              <w:adjustRightInd w:val="0"/>
              <w:spacing w:after="0" w:line="240" w:lineRule="auto"/>
              <w:jc w:val="center"/>
              <w:rPr>
                <w:rFonts w:ascii="Times New Roman" w:hAnsi="Times New Roman" w:cs="Times New Roman"/>
                <w:b/>
                <w:sz w:val="16"/>
                <w:szCs w:val="18"/>
                <w:lang w:val="en-US"/>
              </w:rPr>
            </w:pPr>
            <w:r w:rsidRPr="007A1BB7">
              <w:rPr>
                <w:rFonts w:ascii="Times New Roman" w:hAnsi="Times New Roman" w:cs="Times New Roman"/>
                <w:b/>
                <w:sz w:val="16"/>
                <w:szCs w:val="18"/>
                <w:lang w:val="en-US"/>
              </w:rPr>
              <w:t>n</w:t>
            </w:r>
          </w:p>
        </w:tc>
        <w:tc>
          <w:tcPr>
            <w:tcW w:w="964" w:type="dxa"/>
            <w:tcBorders>
              <w:bottom w:val="single" w:sz="4" w:space="0" w:color="auto"/>
            </w:tcBorders>
          </w:tcPr>
          <w:p w14:paraId="7029EB2E" w14:textId="77777777" w:rsidR="00F0396A" w:rsidRPr="007A1BB7" w:rsidRDefault="00F0396A" w:rsidP="007A1BB7">
            <w:pPr>
              <w:widowControl w:val="0"/>
              <w:autoSpaceDE w:val="0"/>
              <w:autoSpaceDN w:val="0"/>
              <w:adjustRightInd w:val="0"/>
              <w:spacing w:after="0" w:line="240" w:lineRule="auto"/>
              <w:jc w:val="center"/>
              <w:rPr>
                <w:rFonts w:ascii="Times New Roman" w:hAnsi="Times New Roman" w:cs="Times New Roman"/>
                <w:b/>
                <w:sz w:val="16"/>
                <w:szCs w:val="18"/>
                <w:lang w:val="en-US"/>
              </w:rPr>
            </w:pPr>
            <w:r w:rsidRPr="007A1BB7">
              <w:rPr>
                <w:rFonts w:ascii="Times New Roman" w:hAnsi="Times New Roman" w:cs="Times New Roman"/>
                <w:b/>
                <w:sz w:val="16"/>
                <w:szCs w:val="18"/>
                <w:lang w:val="en-US"/>
              </w:rPr>
              <w:t>Median</w:t>
            </w:r>
          </w:p>
          <w:p w14:paraId="13303C93" w14:textId="77777777" w:rsidR="00F0396A" w:rsidRPr="007A1BB7" w:rsidRDefault="00F0396A" w:rsidP="007A1BB7">
            <w:pPr>
              <w:widowControl w:val="0"/>
              <w:autoSpaceDE w:val="0"/>
              <w:autoSpaceDN w:val="0"/>
              <w:adjustRightInd w:val="0"/>
              <w:spacing w:after="0" w:line="240" w:lineRule="auto"/>
              <w:jc w:val="center"/>
              <w:rPr>
                <w:rFonts w:ascii="Times New Roman" w:hAnsi="Times New Roman" w:cs="Times New Roman"/>
                <w:b/>
                <w:sz w:val="16"/>
                <w:szCs w:val="18"/>
                <w:lang w:val="en-US"/>
              </w:rPr>
            </w:pPr>
            <w:r w:rsidRPr="007A1BB7">
              <w:rPr>
                <w:rFonts w:ascii="Times New Roman" w:hAnsi="Times New Roman" w:cs="Times New Roman"/>
                <w:b/>
                <w:sz w:val="16"/>
                <w:szCs w:val="18"/>
                <w:lang w:val="en-US"/>
              </w:rPr>
              <w:t>(1.q-</w:t>
            </w:r>
            <w:proofErr w:type="gramStart"/>
            <w:r w:rsidRPr="007A1BB7">
              <w:rPr>
                <w:rFonts w:ascii="Times New Roman" w:hAnsi="Times New Roman" w:cs="Times New Roman"/>
                <w:b/>
                <w:sz w:val="16"/>
                <w:szCs w:val="18"/>
                <w:lang w:val="en-US"/>
              </w:rPr>
              <w:t>3.q</w:t>
            </w:r>
            <w:proofErr w:type="gramEnd"/>
            <w:r w:rsidRPr="007A1BB7">
              <w:rPr>
                <w:rFonts w:ascii="Times New Roman" w:hAnsi="Times New Roman" w:cs="Times New Roman"/>
                <w:b/>
                <w:sz w:val="16"/>
                <w:szCs w:val="18"/>
                <w:lang w:val="en-US"/>
              </w:rPr>
              <w:t>)</w:t>
            </w:r>
          </w:p>
        </w:tc>
        <w:tc>
          <w:tcPr>
            <w:tcW w:w="794" w:type="dxa"/>
            <w:tcBorders>
              <w:bottom w:val="single" w:sz="4" w:space="0" w:color="auto"/>
              <w:right w:val="dashed" w:sz="4" w:space="0" w:color="auto"/>
            </w:tcBorders>
          </w:tcPr>
          <w:p w14:paraId="3C90866E" w14:textId="77777777" w:rsidR="00F0396A" w:rsidRPr="007A1BB7" w:rsidRDefault="00F0396A" w:rsidP="007A1BB7">
            <w:pPr>
              <w:widowControl w:val="0"/>
              <w:autoSpaceDE w:val="0"/>
              <w:autoSpaceDN w:val="0"/>
              <w:adjustRightInd w:val="0"/>
              <w:spacing w:after="0" w:line="240" w:lineRule="auto"/>
              <w:jc w:val="center"/>
              <w:rPr>
                <w:rFonts w:ascii="Times New Roman" w:hAnsi="Times New Roman" w:cs="Times New Roman"/>
                <w:b/>
                <w:sz w:val="16"/>
                <w:szCs w:val="18"/>
                <w:lang w:val="en-US"/>
              </w:rPr>
            </w:pPr>
            <w:r w:rsidRPr="007A1BB7">
              <w:rPr>
                <w:rFonts w:ascii="Times New Roman" w:hAnsi="Times New Roman" w:cs="Times New Roman"/>
                <w:b/>
                <w:sz w:val="16"/>
                <w:szCs w:val="18"/>
                <w:lang w:val="en-US"/>
              </w:rPr>
              <w:t>p-value</w:t>
            </w:r>
          </w:p>
        </w:tc>
        <w:tc>
          <w:tcPr>
            <w:tcW w:w="386" w:type="dxa"/>
            <w:tcBorders>
              <w:left w:val="dashed" w:sz="4" w:space="0" w:color="auto"/>
              <w:bottom w:val="single" w:sz="4" w:space="0" w:color="auto"/>
            </w:tcBorders>
          </w:tcPr>
          <w:p w14:paraId="0F81F830" w14:textId="77777777" w:rsidR="00F0396A" w:rsidRPr="007A1BB7" w:rsidRDefault="00F0396A" w:rsidP="007A1BB7">
            <w:pPr>
              <w:widowControl w:val="0"/>
              <w:autoSpaceDE w:val="0"/>
              <w:autoSpaceDN w:val="0"/>
              <w:adjustRightInd w:val="0"/>
              <w:spacing w:after="0" w:line="240" w:lineRule="auto"/>
              <w:jc w:val="center"/>
              <w:rPr>
                <w:rFonts w:ascii="Times New Roman" w:hAnsi="Times New Roman" w:cs="Times New Roman"/>
                <w:b/>
                <w:sz w:val="16"/>
                <w:szCs w:val="18"/>
                <w:lang w:val="en-US"/>
              </w:rPr>
            </w:pPr>
            <w:r w:rsidRPr="007A1BB7">
              <w:rPr>
                <w:rFonts w:ascii="Times New Roman" w:hAnsi="Times New Roman" w:cs="Times New Roman"/>
                <w:b/>
                <w:sz w:val="16"/>
                <w:szCs w:val="18"/>
                <w:lang w:val="en-US"/>
              </w:rPr>
              <w:t>n</w:t>
            </w:r>
          </w:p>
        </w:tc>
        <w:tc>
          <w:tcPr>
            <w:tcW w:w="964" w:type="dxa"/>
            <w:tcBorders>
              <w:bottom w:val="single" w:sz="4" w:space="0" w:color="auto"/>
            </w:tcBorders>
          </w:tcPr>
          <w:p w14:paraId="081B1532" w14:textId="77777777" w:rsidR="00F0396A" w:rsidRPr="007A1BB7" w:rsidRDefault="00F0396A" w:rsidP="007A1BB7">
            <w:pPr>
              <w:widowControl w:val="0"/>
              <w:autoSpaceDE w:val="0"/>
              <w:autoSpaceDN w:val="0"/>
              <w:adjustRightInd w:val="0"/>
              <w:spacing w:after="0" w:line="240" w:lineRule="auto"/>
              <w:jc w:val="center"/>
              <w:rPr>
                <w:rFonts w:ascii="Times New Roman" w:hAnsi="Times New Roman" w:cs="Times New Roman"/>
                <w:b/>
                <w:sz w:val="16"/>
                <w:szCs w:val="18"/>
                <w:lang w:val="en-US"/>
              </w:rPr>
            </w:pPr>
            <w:r w:rsidRPr="007A1BB7">
              <w:rPr>
                <w:rFonts w:ascii="Times New Roman" w:hAnsi="Times New Roman" w:cs="Times New Roman"/>
                <w:b/>
                <w:sz w:val="16"/>
                <w:szCs w:val="18"/>
                <w:lang w:val="en-US"/>
              </w:rPr>
              <w:t>Median</w:t>
            </w:r>
          </w:p>
          <w:p w14:paraId="1208C4C8" w14:textId="77777777" w:rsidR="00F0396A" w:rsidRPr="007A1BB7" w:rsidRDefault="00F0396A" w:rsidP="007A1BB7">
            <w:pPr>
              <w:widowControl w:val="0"/>
              <w:autoSpaceDE w:val="0"/>
              <w:autoSpaceDN w:val="0"/>
              <w:adjustRightInd w:val="0"/>
              <w:spacing w:after="0" w:line="240" w:lineRule="auto"/>
              <w:jc w:val="center"/>
              <w:rPr>
                <w:rFonts w:ascii="Times New Roman" w:hAnsi="Times New Roman" w:cs="Times New Roman"/>
                <w:b/>
                <w:sz w:val="16"/>
                <w:szCs w:val="18"/>
                <w:lang w:val="en-US"/>
              </w:rPr>
            </w:pPr>
            <w:r w:rsidRPr="007A1BB7">
              <w:rPr>
                <w:rFonts w:ascii="Times New Roman" w:hAnsi="Times New Roman" w:cs="Times New Roman"/>
                <w:b/>
                <w:sz w:val="16"/>
                <w:szCs w:val="18"/>
                <w:lang w:val="en-US"/>
              </w:rPr>
              <w:t>(1.q-</w:t>
            </w:r>
            <w:proofErr w:type="gramStart"/>
            <w:r w:rsidRPr="007A1BB7">
              <w:rPr>
                <w:rFonts w:ascii="Times New Roman" w:hAnsi="Times New Roman" w:cs="Times New Roman"/>
                <w:b/>
                <w:sz w:val="16"/>
                <w:szCs w:val="18"/>
                <w:lang w:val="en-US"/>
              </w:rPr>
              <w:t>3.q</w:t>
            </w:r>
            <w:proofErr w:type="gramEnd"/>
            <w:r w:rsidRPr="007A1BB7">
              <w:rPr>
                <w:rFonts w:ascii="Times New Roman" w:hAnsi="Times New Roman" w:cs="Times New Roman"/>
                <w:b/>
                <w:sz w:val="16"/>
                <w:szCs w:val="18"/>
                <w:lang w:val="en-US"/>
              </w:rPr>
              <w:t>)</w:t>
            </w:r>
          </w:p>
        </w:tc>
        <w:tc>
          <w:tcPr>
            <w:tcW w:w="794" w:type="dxa"/>
            <w:tcBorders>
              <w:bottom w:val="single" w:sz="4" w:space="0" w:color="auto"/>
              <w:right w:val="dashed" w:sz="4" w:space="0" w:color="auto"/>
            </w:tcBorders>
          </w:tcPr>
          <w:p w14:paraId="7571E72C" w14:textId="77777777" w:rsidR="00F0396A" w:rsidRPr="007A1BB7" w:rsidRDefault="00F0396A" w:rsidP="007A1BB7">
            <w:pPr>
              <w:widowControl w:val="0"/>
              <w:autoSpaceDE w:val="0"/>
              <w:autoSpaceDN w:val="0"/>
              <w:adjustRightInd w:val="0"/>
              <w:spacing w:after="0" w:line="240" w:lineRule="auto"/>
              <w:jc w:val="center"/>
              <w:rPr>
                <w:rFonts w:ascii="Times New Roman" w:hAnsi="Times New Roman" w:cs="Times New Roman"/>
                <w:b/>
                <w:sz w:val="16"/>
                <w:szCs w:val="18"/>
                <w:lang w:val="en-US"/>
              </w:rPr>
            </w:pPr>
            <w:r w:rsidRPr="007A1BB7">
              <w:rPr>
                <w:rFonts w:ascii="Times New Roman" w:hAnsi="Times New Roman" w:cs="Times New Roman"/>
                <w:b/>
                <w:sz w:val="16"/>
                <w:szCs w:val="18"/>
                <w:lang w:val="en-US"/>
              </w:rPr>
              <w:t>p-value</w:t>
            </w:r>
          </w:p>
        </w:tc>
        <w:tc>
          <w:tcPr>
            <w:tcW w:w="397" w:type="dxa"/>
            <w:tcBorders>
              <w:left w:val="dashed" w:sz="4" w:space="0" w:color="auto"/>
              <w:bottom w:val="single" w:sz="4" w:space="0" w:color="auto"/>
            </w:tcBorders>
          </w:tcPr>
          <w:p w14:paraId="2DBE7DDE" w14:textId="77777777" w:rsidR="00F0396A" w:rsidRPr="007A1BB7" w:rsidRDefault="00F0396A" w:rsidP="007A1BB7">
            <w:pPr>
              <w:widowControl w:val="0"/>
              <w:autoSpaceDE w:val="0"/>
              <w:autoSpaceDN w:val="0"/>
              <w:adjustRightInd w:val="0"/>
              <w:spacing w:after="0" w:line="240" w:lineRule="auto"/>
              <w:jc w:val="center"/>
              <w:rPr>
                <w:rFonts w:ascii="Times New Roman" w:hAnsi="Times New Roman" w:cs="Times New Roman"/>
                <w:b/>
                <w:sz w:val="16"/>
                <w:szCs w:val="18"/>
                <w:lang w:val="en-US"/>
              </w:rPr>
            </w:pPr>
            <w:r w:rsidRPr="007A1BB7">
              <w:rPr>
                <w:rFonts w:ascii="Times New Roman" w:hAnsi="Times New Roman" w:cs="Times New Roman"/>
                <w:b/>
                <w:sz w:val="16"/>
                <w:szCs w:val="18"/>
                <w:lang w:val="en-US"/>
              </w:rPr>
              <w:t>n</w:t>
            </w:r>
          </w:p>
        </w:tc>
        <w:tc>
          <w:tcPr>
            <w:tcW w:w="992" w:type="dxa"/>
            <w:tcBorders>
              <w:bottom w:val="single" w:sz="4" w:space="0" w:color="auto"/>
            </w:tcBorders>
          </w:tcPr>
          <w:p w14:paraId="7FEF834A" w14:textId="77777777" w:rsidR="00F0396A" w:rsidRPr="007A1BB7" w:rsidRDefault="00F0396A" w:rsidP="007A1BB7">
            <w:pPr>
              <w:widowControl w:val="0"/>
              <w:autoSpaceDE w:val="0"/>
              <w:autoSpaceDN w:val="0"/>
              <w:adjustRightInd w:val="0"/>
              <w:spacing w:after="0" w:line="240" w:lineRule="auto"/>
              <w:jc w:val="center"/>
              <w:rPr>
                <w:rFonts w:ascii="Times New Roman" w:hAnsi="Times New Roman" w:cs="Times New Roman"/>
                <w:b/>
                <w:sz w:val="16"/>
                <w:szCs w:val="18"/>
                <w:lang w:val="en-US"/>
              </w:rPr>
            </w:pPr>
            <w:r w:rsidRPr="007A1BB7">
              <w:rPr>
                <w:rFonts w:ascii="Times New Roman" w:hAnsi="Times New Roman" w:cs="Times New Roman"/>
                <w:b/>
                <w:sz w:val="16"/>
                <w:szCs w:val="18"/>
                <w:lang w:val="en-US"/>
              </w:rPr>
              <w:t>Median</w:t>
            </w:r>
          </w:p>
          <w:p w14:paraId="228C9F54" w14:textId="77777777" w:rsidR="00F0396A" w:rsidRPr="007A1BB7" w:rsidRDefault="00F0396A" w:rsidP="007A1BB7">
            <w:pPr>
              <w:widowControl w:val="0"/>
              <w:autoSpaceDE w:val="0"/>
              <w:autoSpaceDN w:val="0"/>
              <w:adjustRightInd w:val="0"/>
              <w:spacing w:after="0" w:line="240" w:lineRule="auto"/>
              <w:jc w:val="center"/>
              <w:rPr>
                <w:rFonts w:ascii="Times New Roman" w:hAnsi="Times New Roman" w:cs="Times New Roman"/>
                <w:b/>
                <w:sz w:val="16"/>
                <w:szCs w:val="18"/>
                <w:lang w:val="en-US"/>
              </w:rPr>
            </w:pPr>
            <w:r w:rsidRPr="007A1BB7">
              <w:rPr>
                <w:rFonts w:ascii="Times New Roman" w:hAnsi="Times New Roman" w:cs="Times New Roman"/>
                <w:b/>
                <w:sz w:val="16"/>
                <w:szCs w:val="18"/>
                <w:lang w:val="en-US"/>
              </w:rPr>
              <w:t>(1.q-</w:t>
            </w:r>
            <w:proofErr w:type="gramStart"/>
            <w:r w:rsidRPr="007A1BB7">
              <w:rPr>
                <w:rFonts w:ascii="Times New Roman" w:hAnsi="Times New Roman" w:cs="Times New Roman"/>
                <w:b/>
                <w:sz w:val="16"/>
                <w:szCs w:val="18"/>
                <w:lang w:val="en-US"/>
              </w:rPr>
              <w:t>3.q</w:t>
            </w:r>
            <w:proofErr w:type="gramEnd"/>
            <w:r w:rsidRPr="007A1BB7">
              <w:rPr>
                <w:rFonts w:ascii="Times New Roman" w:hAnsi="Times New Roman" w:cs="Times New Roman"/>
                <w:b/>
                <w:sz w:val="16"/>
                <w:szCs w:val="18"/>
                <w:lang w:val="en-US"/>
              </w:rPr>
              <w:t>)</w:t>
            </w:r>
          </w:p>
        </w:tc>
        <w:tc>
          <w:tcPr>
            <w:tcW w:w="794" w:type="dxa"/>
            <w:tcBorders>
              <w:bottom w:val="single" w:sz="4" w:space="0" w:color="auto"/>
              <w:right w:val="dashed" w:sz="4" w:space="0" w:color="auto"/>
            </w:tcBorders>
          </w:tcPr>
          <w:p w14:paraId="07C90D4B" w14:textId="77777777" w:rsidR="00F0396A" w:rsidRPr="007A1BB7" w:rsidRDefault="00F0396A" w:rsidP="007A1BB7">
            <w:pPr>
              <w:widowControl w:val="0"/>
              <w:autoSpaceDE w:val="0"/>
              <w:autoSpaceDN w:val="0"/>
              <w:adjustRightInd w:val="0"/>
              <w:spacing w:after="0" w:line="240" w:lineRule="auto"/>
              <w:jc w:val="center"/>
              <w:rPr>
                <w:rFonts w:ascii="Times New Roman" w:hAnsi="Times New Roman" w:cs="Times New Roman"/>
                <w:b/>
                <w:sz w:val="16"/>
                <w:szCs w:val="18"/>
                <w:lang w:val="en-US"/>
              </w:rPr>
            </w:pPr>
            <w:r w:rsidRPr="007A1BB7">
              <w:rPr>
                <w:rFonts w:ascii="Times New Roman" w:hAnsi="Times New Roman" w:cs="Times New Roman"/>
                <w:b/>
                <w:sz w:val="16"/>
                <w:szCs w:val="18"/>
                <w:lang w:val="en-US"/>
              </w:rPr>
              <w:t>p-value</w:t>
            </w:r>
          </w:p>
        </w:tc>
      </w:tr>
      <w:tr w:rsidR="0056300B" w:rsidRPr="001C61AA" w14:paraId="298B2C82" w14:textId="77777777" w:rsidTr="00F17950">
        <w:trPr>
          <w:trHeight w:val="57"/>
          <w:jc w:val="center"/>
        </w:trPr>
        <w:tc>
          <w:tcPr>
            <w:tcW w:w="2469" w:type="dxa"/>
            <w:tcBorders>
              <w:top w:val="single" w:sz="4" w:space="0" w:color="auto"/>
              <w:right w:val="dashed" w:sz="4" w:space="0" w:color="auto"/>
            </w:tcBorders>
          </w:tcPr>
          <w:p w14:paraId="41E2EDDE" w14:textId="77777777" w:rsidR="0056300B" w:rsidRPr="00C54BE8" w:rsidRDefault="0056300B" w:rsidP="007A1BB7">
            <w:pPr>
              <w:widowControl w:val="0"/>
              <w:autoSpaceDE w:val="0"/>
              <w:autoSpaceDN w:val="0"/>
              <w:adjustRightInd w:val="0"/>
              <w:spacing w:after="0" w:line="240" w:lineRule="auto"/>
              <w:rPr>
                <w:rFonts w:ascii="Times New Roman" w:hAnsi="Times New Roman" w:cs="Times New Roman"/>
                <w:b/>
                <w:sz w:val="16"/>
                <w:szCs w:val="16"/>
                <w:lang w:val="en-US"/>
              </w:rPr>
            </w:pPr>
            <w:r w:rsidRPr="00C54BE8">
              <w:rPr>
                <w:rFonts w:ascii="Times New Roman" w:hAnsi="Times New Roman" w:cs="Times New Roman"/>
                <w:b/>
                <w:sz w:val="16"/>
                <w:szCs w:val="16"/>
                <w:lang w:val="en-US"/>
              </w:rPr>
              <w:t xml:space="preserve">All </w:t>
            </w:r>
            <w:proofErr w:type="spellStart"/>
            <w:r w:rsidRPr="00C54BE8">
              <w:rPr>
                <w:rFonts w:ascii="Times New Roman" w:hAnsi="Times New Roman" w:cs="Times New Roman"/>
                <w:b/>
                <w:sz w:val="16"/>
                <w:szCs w:val="16"/>
                <w:lang w:val="en-US"/>
              </w:rPr>
              <w:t>patients</w:t>
            </w:r>
            <w:r w:rsidRPr="00F43DA9">
              <w:rPr>
                <w:rFonts w:ascii="Times New Roman" w:hAnsi="Times New Roman" w:cs="Times New Roman"/>
                <w:b/>
                <w:sz w:val="16"/>
                <w:szCs w:val="16"/>
                <w:vertAlign w:val="superscript"/>
                <w:lang w:val="en-US"/>
              </w:rPr>
              <w:t>a</w:t>
            </w:r>
            <w:proofErr w:type="spellEnd"/>
          </w:p>
        </w:tc>
        <w:tc>
          <w:tcPr>
            <w:tcW w:w="384" w:type="dxa"/>
            <w:tcBorders>
              <w:top w:val="single" w:sz="4" w:space="0" w:color="auto"/>
              <w:left w:val="dashed" w:sz="4" w:space="0" w:color="auto"/>
            </w:tcBorders>
          </w:tcPr>
          <w:p w14:paraId="39CC2D5F" w14:textId="77777777" w:rsidR="0056300B" w:rsidRPr="00C54BE8" w:rsidRDefault="0056300B" w:rsidP="007A1BB7">
            <w:pPr>
              <w:widowControl w:val="0"/>
              <w:autoSpaceDE w:val="0"/>
              <w:autoSpaceDN w:val="0"/>
              <w:adjustRightInd w:val="0"/>
              <w:spacing w:after="0" w:line="240" w:lineRule="auto"/>
              <w:jc w:val="center"/>
              <w:rPr>
                <w:rFonts w:ascii="Times New Roman" w:hAnsi="Times New Roman" w:cs="Times New Roman"/>
                <w:sz w:val="16"/>
                <w:szCs w:val="16"/>
                <w:lang w:val="en-US"/>
              </w:rPr>
            </w:pPr>
            <w:r w:rsidRPr="00C54BE8">
              <w:rPr>
                <w:rFonts w:ascii="Times New Roman" w:hAnsi="Times New Roman" w:cs="Times New Roman"/>
                <w:sz w:val="16"/>
                <w:szCs w:val="16"/>
                <w:lang w:val="en-US"/>
              </w:rPr>
              <w:t>89</w:t>
            </w:r>
          </w:p>
        </w:tc>
        <w:tc>
          <w:tcPr>
            <w:tcW w:w="1758" w:type="dxa"/>
            <w:gridSpan w:val="2"/>
            <w:tcBorders>
              <w:top w:val="single" w:sz="4" w:space="0" w:color="auto"/>
              <w:right w:val="dashed" w:sz="4" w:space="0" w:color="auto"/>
            </w:tcBorders>
          </w:tcPr>
          <w:p w14:paraId="5D4CADAB" w14:textId="413EC8C8" w:rsidR="0056300B" w:rsidRPr="00C54BE8" w:rsidRDefault="0056300B" w:rsidP="0056300B">
            <w:pPr>
              <w:widowControl w:val="0"/>
              <w:autoSpaceDE w:val="0"/>
              <w:autoSpaceDN w:val="0"/>
              <w:adjustRightInd w:val="0"/>
              <w:spacing w:after="0" w:line="240" w:lineRule="auto"/>
              <w:ind w:left="91"/>
              <w:rPr>
                <w:rFonts w:ascii="Times New Roman" w:hAnsi="Times New Roman" w:cs="Times New Roman"/>
                <w:sz w:val="16"/>
                <w:szCs w:val="16"/>
                <w:lang w:val="en-US"/>
              </w:rPr>
            </w:pPr>
            <w:r w:rsidRPr="00C54BE8">
              <w:rPr>
                <w:rFonts w:ascii="Times New Roman" w:hAnsi="Times New Roman" w:cs="Times New Roman"/>
                <w:sz w:val="16"/>
                <w:szCs w:val="16"/>
                <w:lang w:val="en-US"/>
              </w:rPr>
              <w:t>9.2</w:t>
            </w:r>
            <w:r>
              <w:rPr>
                <w:rFonts w:ascii="Times New Roman" w:hAnsi="Times New Roman" w:cs="Times New Roman"/>
                <w:sz w:val="16"/>
                <w:szCs w:val="16"/>
                <w:lang w:val="en-US"/>
              </w:rPr>
              <w:t xml:space="preserve"> </w:t>
            </w:r>
            <w:r w:rsidRPr="00C54BE8">
              <w:rPr>
                <w:rFonts w:ascii="Times New Roman" w:hAnsi="Times New Roman" w:cs="Times New Roman"/>
                <w:sz w:val="16"/>
                <w:szCs w:val="16"/>
                <w:lang w:val="en-US"/>
              </w:rPr>
              <w:t>(7.4-11.4)</w:t>
            </w:r>
          </w:p>
        </w:tc>
        <w:tc>
          <w:tcPr>
            <w:tcW w:w="386" w:type="dxa"/>
            <w:tcBorders>
              <w:top w:val="single" w:sz="4" w:space="0" w:color="auto"/>
              <w:left w:val="dashed" w:sz="4" w:space="0" w:color="auto"/>
            </w:tcBorders>
          </w:tcPr>
          <w:p w14:paraId="61AF53EF" w14:textId="77777777" w:rsidR="0056300B" w:rsidRPr="00C54BE8" w:rsidRDefault="0056300B" w:rsidP="007A1BB7">
            <w:pPr>
              <w:widowControl w:val="0"/>
              <w:autoSpaceDE w:val="0"/>
              <w:autoSpaceDN w:val="0"/>
              <w:adjustRightInd w:val="0"/>
              <w:spacing w:after="0" w:line="240" w:lineRule="auto"/>
              <w:jc w:val="center"/>
              <w:rPr>
                <w:rFonts w:ascii="Times New Roman" w:hAnsi="Times New Roman" w:cs="Times New Roman"/>
                <w:sz w:val="16"/>
                <w:szCs w:val="16"/>
                <w:lang w:val="en-US"/>
              </w:rPr>
            </w:pPr>
            <w:r w:rsidRPr="00C54BE8">
              <w:rPr>
                <w:rFonts w:ascii="Times New Roman" w:hAnsi="Times New Roman" w:cs="Times New Roman"/>
                <w:sz w:val="16"/>
                <w:szCs w:val="16"/>
                <w:lang w:val="en-US"/>
              </w:rPr>
              <w:t>92</w:t>
            </w:r>
          </w:p>
        </w:tc>
        <w:tc>
          <w:tcPr>
            <w:tcW w:w="1758" w:type="dxa"/>
            <w:gridSpan w:val="2"/>
            <w:tcBorders>
              <w:top w:val="single" w:sz="4" w:space="0" w:color="auto"/>
              <w:right w:val="dashed" w:sz="4" w:space="0" w:color="auto"/>
            </w:tcBorders>
          </w:tcPr>
          <w:p w14:paraId="4B0C1D0A" w14:textId="5397A54C" w:rsidR="0056300B" w:rsidRPr="00C54BE8" w:rsidRDefault="0056300B" w:rsidP="0056300B">
            <w:pPr>
              <w:widowControl w:val="0"/>
              <w:autoSpaceDE w:val="0"/>
              <w:autoSpaceDN w:val="0"/>
              <w:adjustRightInd w:val="0"/>
              <w:spacing w:after="0" w:line="240" w:lineRule="auto"/>
              <w:ind w:left="73"/>
              <w:rPr>
                <w:rFonts w:ascii="Times New Roman" w:hAnsi="Times New Roman" w:cs="Times New Roman"/>
                <w:sz w:val="16"/>
                <w:szCs w:val="16"/>
                <w:lang w:val="en-US"/>
              </w:rPr>
            </w:pPr>
            <w:r w:rsidRPr="00C54BE8">
              <w:rPr>
                <w:rFonts w:ascii="Times New Roman" w:hAnsi="Times New Roman" w:cs="Times New Roman"/>
                <w:sz w:val="16"/>
                <w:szCs w:val="16"/>
                <w:lang w:val="en-US"/>
              </w:rPr>
              <w:t>10.2</w:t>
            </w:r>
            <w:r>
              <w:rPr>
                <w:rFonts w:ascii="Times New Roman" w:hAnsi="Times New Roman" w:cs="Times New Roman"/>
                <w:sz w:val="16"/>
                <w:szCs w:val="16"/>
                <w:lang w:val="en-US"/>
              </w:rPr>
              <w:t xml:space="preserve"> </w:t>
            </w:r>
            <w:r w:rsidRPr="00C54BE8">
              <w:rPr>
                <w:rFonts w:ascii="Times New Roman" w:hAnsi="Times New Roman" w:cs="Times New Roman"/>
                <w:sz w:val="16"/>
                <w:szCs w:val="16"/>
                <w:lang w:val="en-US"/>
              </w:rPr>
              <w:t>(7.8-14.8)</w:t>
            </w:r>
          </w:p>
        </w:tc>
        <w:tc>
          <w:tcPr>
            <w:tcW w:w="397" w:type="dxa"/>
            <w:tcBorders>
              <w:top w:val="single" w:sz="4" w:space="0" w:color="auto"/>
              <w:left w:val="dashed" w:sz="4" w:space="0" w:color="auto"/>
            </w:tcBorders>
          </w:tcPr>
          <w:p w14:paraId="2AC2F355" w14:textId="77777777" w:rsidR="0056300B" w:rsidRPr="00C54BE8" w:rsidRDefault="0056300B" w:rsidP="007A1BB7">
            <w:pPr>
              <w:widowControl w:val="0"/>
              <w:autoSpaceDE w:val="0"/>
              <w:autoSpaceDN w:val="0"/>
              <w:adjustRightInd w:val="0"/>
              <w:spacing w:after="0" w:line="240" w:lineRule="auto"/>
              <w:jc w:val="center"/>
              <w:rPr>
                <w:rFonts w:ascii="Times New Roman" w:hAnsi="Times New Roman" w:cs="Times New Roman"/>
                <w:sz w:val="16"/>
                <w:szCs w:val="16"/>
                <w:lang w:val="en-US"/>
              </w:rPr>
            </w:pPr>
            <w:r w:rsidRPr="00C54BE8">
              <w:rPr>
                <w:rFonts w:ascii="Times New Roman" w:hAnsi="Times New Roman" w:cs="Times New Roman"/>
                <w:sz w:val="16"/>
                <w:szCs w:val="16"/>
                <w:lang w:val="en-US"/>
              </w:rPr>
              <w:t>66</w:t>
            </w:r>
          </w:p>
        </w:tc>
        <w:tc>
          <w:tcPr>
            <w:tcW w:w="1786" w:type="dxa"/>
            <w:gridSpan w:val="2"/>
            <w:tcBorders>
              <w:top w:val="single" w:sz="4" w:space="0" w:color="auto"/>
              <w:right w:val="dashed" w:sz="4" w:space="0" w:color="auto"/>
            </w:tcBorders>
          </w:tcPr>
          <w:p w14:paraId="28B7AD96" w14:textId="417F57B4" w:rsidR="0056300B" w:rsidRPr="00C54BE8" w:rsidRDefault="0056300B" w:rsidP="0056300B">
            <w:pPr>
              <w:widowControl w:val="0"/>
              <w:autoSpaceDE w:val="0"/>
              <w:autoSpaceDN w:val="0"/>
              <w:adjustRightInd w:val="0"/>
              <w:spacing w:after="0" w:line="240" w:lineRule="auto"/>
              <w:ind w:left="44"/>
              <w:rPr>
                <w:rFonts w:ascii="Times New Roman" w:hAnsi="Times New Roman" w:cs="Times New Roman"/>
                <w:sz w:val="16"/>
                <w:szCs w:val="16"/>
                <w:lang w:val="en-US"/>
              </w:rPr>
            </w:pPr>
            <w:r w:rsidRPr="00C54BE8">
              <w:rPr>
                <w:rFonts w:ascii="Times New Roman" w:hAnsi="Times New Roman" w:cs="Times New Roman"/>
                <w:sz w:val="16"/>
                <w:szCs w:val="16"/>
                <w:lang w:val="en-US"/>
              </w:rPr>
              <w:t>9.2</w:t>
            </w:r>
            <w:r>
              <w:rPr>
                <w:rFonts w:ascii="Times New Roman" w:hAnsi="Times New Roman" w:cs="Times New Roman"/>
                <w:sz w:val="16"/>
                <w:szCs w:val="16"/>
                <w:lang w:val="en-US"/>
              </w:rPr>
              <w:t xml:space="preserve"> </w:t>
            </w:r>
            <w:r w:rsidRPr="00C54BE8">
              <w:rPr>
                <w:rFonts w:ascii="Times New Roman" w:hAnsi="Times New Roman" w:cs="Times New Roman"/>
                <w:sz w:val="16"/>
                <w:szCs w:val="16"/>
                <w:lang w:val="en-US"/>
              </w:rPr>
              <w:t>(7.4-13.0)</w:t>
            </w:r>
          </w:p>
        </w:tc>
      </w:tr>
      <w:tr w:rsidR="00F0396A" w:rsidRPr="001C61AA" w14:paraId="52C4CE11" w14:textId="77777777" w:rsidTr="0056300B">
        <w:trPr>
          <w:trHeight w:val="113"/>
          <w:jc w:val="center"/>
        </w:trPr>
        <w:tc>
          <w:tcPr>
            <w:tcW w:w="2469" w:type="dxa"/>
            <w:tcBorders>
              <w:right w:val="dashed" w:sz="4" w:space="0" w:color="auto"/>
            </w:tcBorders>
            <w:shd w:val="clear" w:color="auto" w:fill="F2F2F2" w:themeFill="background1" w:themeFillShade="F2"/>
          </w:tcPr>
          <w:p w14:paraId="5B3748F9" w14:textId="77777777" w:rsidR="00F0396A" w:rsidRPr="00C54BE8" w:rsidRDefault="00F0396A" w:rsidP="007A1BB7">
            <w:pPr>
              <w:widowControl w:val="0"/>
              <w:autoSpaceDE w:val="0"/>
              <w:autoSpaceDN w:val="0"/>
              <w:adjustRightInd w:val="0"/>
              <w:spacing w:after="0" w:line="240" w:lineRule="auto"/>
              <w:rPr>
                <w:rFonts w:ascii="Times New Roman" w:hAnsi="Times New Roman" w:cs="Times New Roman"/>
                <w:b/>
                <w:sz w:val="16"/>
                <w:szCs w:val="16"/>
                <w:lang w:val="en-US"/>
              </w:rPr>
            </w:pPr>
            <w:r w:rsidRPr="00C54BE8">
              <w:rPr>
                <w:rFonts w:ascii="Times New Roman" w:hAnsi="Times New Roman" w:cs="Times New Roman"/>
                <w:b/>
                <w:sz w:val="16"/>
                <w:szCs w:val="16"/>
                <w:lang w:val="en-US"/>
              </w:rPr>
              <w:t>Gender</w:t>
            </w:r>
          </w:p>
        </w:tc>
        <w:tc>
          <w:tcPr>
            <w:tcW w:w="384" w:type="dxa"/>
            <w:tcBorders>
              <w:left w:val="dashed" w:sz="4" w:space="0" w:color="auto"/>
            </w:tcBorders>
            <w:shd w:val="clear" w:color="auto" w:fill="F2F2F2" w:themeFill="background1" w:themeFillShade="F2"/>
          </w:tcPr>
          <w:p w14:paraId="72F758D0" w14:textId="77777777" w:rsidR="00F0396A" w:rsidRPr="00C54BE8" w:rsidRDefault="00F0396A" w:rsidP="007A1BB7">
            <w:pPr>
              <w:widowControl w:val="0"/>
              <w:autoSpaceDE w:val="0"/>
              <w:autoSpaceDN w:val="0"/>
              <w:adjustRightInd w:val="0"/>
              <w:spacing w:after="0" w:line="240" w:lineRule="auto"/>
              <w:jc w:val="center"/>
              <w:rPr>
                <w:rFonts w:ascii="Times New Roman" w:hAnsi="Times New Roman" w:cs="Times New Roman"/>
                <w:sz w:val="16"/>
                <w:szCs w:val="16"/>
                <w:lang w:val="en-US"/>
              </w:rPr>
            </w:pPr>
          </w:p>
        </w:tc>
        <w:tc>
          <w:tcPr>
            <w:tcW w:w="964" w:type="dxa"/>
            <w:shd w:val="clear" w:color="auto" w:fill="F2F2F2" w:themeFill="background1" w:themeFillShade="F2"/>
          </w:tcPr>
          <w:p w14:paraId="16171408" w14:textId="77777777" w:rsidR="00F0396A" w:rsidRPr="00C54BE8" w:rsidRDefault="00F0396A" w:rsidP="007A1BB7">
            <w:pPr>
              <w:widowControl w:val="0"/>
              <w:autoSpaceDE w:val="0"/>
              <w:autoSpaceDN w:val="0"/>
              <w:adjustRightInd w:val="0"/>
              <w:spacing w:after="0" w:line="240" w:lineRule="auto"/>
              <w:jc w:val="center"/>
              <w:rPr>
                <w:rFonts w:ascii="Times New Roman" w:hAnsi="Times New Roman" w:cs="Times New Roman"/>
                <w:sz w:val="16"/>
                <w:szCs w:val="16"/>
                <w:lang w:val="en-US"/>
              </w:rPr>
            </w:pPr>
          </w:p>
        </w:tc>
        <w:tc>
          <w:tcPr>
            <w:tcW w:w="794" w:type="dxa"/>
            <w:tcBorders>
              <w:right w:val="dashed" w:sz="4" w:space="0" w:color="auto"/>
            </w:tcBorders>
            <w:shd w:val="clear" w:color="auto" w:fill="F2F2F2" w:themeFill="background1" w:themeFillShade="F2"/>
          </w:tcPr>
          <w:p w14:paraId="0E68431D" w14:textId="6577E21F" w:rsidR="00F0396A" w:rsidRPr="00C54BE8" w:rsidRDefault="00F0396A" w:rsidP="006D71CB">
            <w:pPr>
              <w:widowControl w:val="0"/>
              <w:autoSpaceDE w:val="0"/>
              <w:autoSpaceDN w:val="0"/>
              <w:adjustRightInd w:val="0"/>
              <w:spacing w:after="0" w:line="240" w:lineRule="auto"/>
              <w:jc w:val="right"/>
              <w:rPr>
                <w:rFonts w:ascii="Times New Roman" w:hAnsi="Times New Roman" w:cs="Times New Roman"/>
                <w:sz w:val="16"/>
                <w:szCs w:val="16"/>
                <w:lang w:val="en-US"/>
              </w:rPr>
            </w:pPr>
            <w:r w:rsidRPr="00F0396A">
              <w:rPr>
                <w:rFonts w:ascii="Times New Roman" w:hAnsi="Times New Roman" w:cs="Times New Roman"/>
                <w:sz w:val="16"/>
                <w:szCs w:val="16"/>
                <w:lang w:val="en-US"/>
              </w:rPr>
              <w:t>0.670</w:t>
            </w:r>
          </w:p>
        </w:tc>
        <w:tc>
          <w:tcPr>
            <w:tcW w:w="386" w:type="dxa"/>
            <w:tcBorders>
              <w:left w:val="dashed" w:sz="4" w:space="0" w:color="auto"/>
            </w:tcBorders>
            <w:shd w:val="clear" w:color="auto" w:fill="F2F2F2" w:themeFill="background1" w:themeFillShade="F2"/>
          </w:tcPr>
          <w:p w14:paraId="50E35898" w14:textId="77777777" w:rsidR="00F0396A" w:rsidRPr="00C54BE8" w:rsidRDefault="00F0396A" w:rsidP="007A1BB7">
            <w:pPr>
              <w:widowControl w:val="0"/>
              <w:autoSpaceDE w:val="0"/>
              <w:autoSpaceDN w:val="0"/>
              <w:adjustRightInd w:val="0"/>
              <w:spacing w:after="0" w:line="240" w:lineRule="auto"/>
              <w:jc w:val="center"/>
              <w:rPr>
                <w:rFonts w:ascii="Times New Roman" w:hAnsi="Times New Roman" w:cs="Times New Roman"/>
                <w:sz w:val="16"/>
                <w:szCs w:val="16"/>
                <w:lang w:val="en-US"/>
              </w:rPr>
            </w:pPr>
          </w:p>
        </w:tc>
        <w:tc>
          <w:tcPr>
            <w:tcW w:w="964" w:type="dxa"/>
            <w:shd w:val="clear" w:color="auto" w:fill="F2F2F2" w:themeFill="background1" w:themeFillShade="F2"/>
          </w:tcPr>
          <w:p w14:paraId="3CCAADBD" w14:textId="77777777" w:rsidR="00F0396A" w:rsidRPr="00C54BE8" w:rsidRDefault="00F0396A" w:rsidP="007A1BB7">
            <w:pPr>
              <w:widowControl w:val="0"/>
              <w:autoSpaceDE w:val="0"/>
              <w:autoSpaceDN w:val="0"/>
              <w:adjustRightInd w:val="0"/>
              <w:spacing w:after="0" w:line="240" w:lineRule="auto"/>
              <w:jc w:val="center"/>
              <w:rPr>
                <w:rFonts w:ascii="Times New Roman" w:hAnsi="Times New Roman" w:cs="Times New Roman"/>
                <w:sz w:val="16"/>
                <w:szCs w:val="16"/>
                <w:lang w:val="en-US"/>
              </w:rPr>
            </w:pPr>
          </w:p>
        </w:tc>
        <w:tc>
          <w:tcPr>
            <w:tcW w:w="794" w:type="dxa"/>
            <w:tcBorders>
              <w:right w:val="dashed" w:sz="4" w:space="0" w:color="auto"/>
            </w:tcBorders>
            <w:shd w:val="clear" w:color="auto" w:fill="F2F2F2" w:themeFill="background1" w:themeFillShade="F2"/>
          </w:tcPr>
          <w:p w14:paraId="4678026D" w14:textId="11618F4A" w:rsidR="00F0396A" w:rsidRPr="00C54BE8" w:rsidRDefault="00F0396A" w:rsidP="006D71CB">
            <w:pPr>
              <w:widowControl w:val="0"/>
              <w:autoSpaceDE w:val="0"/>
              <w:autoSpaceDN w:val="0"/>
              <w:adjustRightInd w:val="0"/>
              <w:spacing w:after="0" w:line="240" w:lineRule="auto"/>
              <w:jc w:val="right"/>
              <w:rPr>
                <w:rFonts w:ascii="Times New Roman" w:hAnsi="Times New Roman" w:cs="Times New Roman"/>
                <w:sz w:val="16"/>
                <w:szCs w:val="16"/>
                <w:lang w:val="en-US"/>
              </w:rPr>
            </w:pPr>
            <w:r w:rsidRPr="00F0396A">
              <w:rPr>
                <w:rFonts w:ascii="Times New Roman" w:hAnsi="Times New Roman" w:cs="Times New Roman"/>
                <w:sz w:val="16"/>
                <w:szCs w:val="16"/>
                <w:lang w:val="en-US"/>
              </w:rPr>
              <w:t>0.527</w:t>
            </w:r>
          </w:p>
        </w:tc>
        <w:tc>
          <w:tcPr>
            <w:tcW w:w="397" w:type="dxa"/>
            <w:tcBorders>
              <w:left w:val="dashed" w:sz="4" w:space="0" w:color="auto"/>
            </w:tcBorders>
            <w:shd w:val="clear" w:color="auto" w:fill="F2F2F2" w:themeFill="background1" w:themeFillShade="F2"/>
          </w:tcPr>
          <w:p w14:paraId="0501F67A" w14:textId="77777777" w:rsidR="00F0396A" w:rsidRPr="00C54BE8" w:rsidRDefault="00F0396A" w:rsidP="007A1BB7">
            <w:pPr>
              <w:widowControl w:val="0"/>
              <w:autoSpaceDE w:val="0"/>
              <w:autoSpaceDN w:val="0"/>
              <w:adjustRightInd w:val="0"/>
              <w:spacing w:after="0" w:line="240" w:lineRule="auto"/>
              <w:jc w:val="center"/>
              <w:rPr>
                <w:rFonts w:ascii="Times New Roman" w:hAnsi="Times New Roman" w:cs="Times New Roman"/>
                <w:sz w:val="16"/>
                <w:szCs w:val="16"/>
                <w:lang w:val="en-US"/>
              </w:rPr>
            </w:pPr>
          </w:p>
        </w:tc>
        <w:tc>
          <w:tcPr>
            <w:tcW w:w="992" w:type="dxa"/>
            <w:shd w:val="clear" w:color="auto" w:fill="F2F2F2" w:themeFill="background1" w:themeFillShade="F2"/>
          </w:tcPr>
          <w:p w14:paraId="375968DC" w14:textId="77777777" w:rsidR="00F0396A" w:rsidRPr="00C54BE8" w:rsidRDefault="00F0396A" w:rsidP="007A1BB7">
            <w:pPr>
              <w:widowControl w:val="0"/>
              <w:autoSpaceDE w:val="0"/>
              <w:autoSpaceDN w:val="0"/>
              <w:adjustRightInd w:val="0"/>
              <w:spacing w:after="0" w:line="240" w:lineRule="auto"/>
              <w:jc w:val="center"/>
              <w:rPr>
                <w:rFonts w:ascii="Times New Roman" w:hAnsi="Times New Roman" w:cs="Times New Roman"/>
                <w:sz w:val="16"/>
                <w:szCs w:val="16"/>
                <w:lang w:val="en-US"/>
              </w:rPr>
            </w:pPr>
          </w:p>
        </w:tc>
        <w:tc>
          <w:tcPr>
            <w:tcW w:w="794" w:type="dxa"/>
            <w:tcBorders>
              <w:right w:val="dashed" w:sz="4" w:space="0" w:color="auto"/>
            </w:tcBorders>
            <w:shd w:val="clear" w:color="auto" w:fill="F2F2F2" w:themeFill="background1" w:themeFillShade="F2"/>
          </w:tcPr>
          <w:p w14:paraId="7C187EC9" w14:textId="35CDD1B0" w:rsidR="00F0396A" w:rsidRPr="00C54BE8" w:rsidRDefault="00F0396A" w:rsidP="006D71CB">
            <w:pPr>
              <w:widowControl w:val="0"/>
              <w:autoSpaceDE w:val="0"/>
              <w:autoSpaceDN w:val="0"/>
              <w:adjustRightInd w:val="0"/>
              <w:spacing w:after="0" w:line="240" w:lineRule="auto"/>
              <w:jc w:val="right"/>
              <w:rPr>
                <w:rFonts w:ascii="Times New Roman" w:hAnsi="Times New Roman" w:cs="Times New Roman"/>
                <w:sz w:val="16"/>
                <w:szCs w:val="16"/>
                <w:lang w:val="en-US"/>
              </w:rPr>
            </w:pPr>
            <w:r w:rsidRPr="00F0396A">
              <w:rPr>
                <w:rFonts w:ascii="Times New Roman" w:hAnsi="Times New Roman" w:cs="Times New Roman"/>
                <w:sz w:val="16"/>
                <w:szCs w:val="16"/>
                <w:lang w:val="en-US"/>
              </w:rPr>
              <w:t>0.151</w:t>
            </w:r>
          </w:p>
        </w:tc>
      </w:tr>
      <w:tr w:rsidR="0043425A" w:rsidRPr="001C61AA" w14:paraId="7CB114A0" w14:textId="77777777" w:rsidTr="0056300B">
        <w:trPr>
          <w:trHeight w:val="113"/>
          <w:jc w:val="center"/>
        </w:trPr>
        <w:tc>
          <w:tcPr>
            <w:tcW w:w="2469" w:type="dxa"/>
            <w:tcBorders>
              <w:right w:val="dashed" w:sz="4" w:space="0" w:color="auto"/>
            </w:tcBorders>
            <w:shd w:val="clear" w:color="auto" w:fill="FFFFFF" w:themeFill="background1"/>
          </w:tcPr>
          <w:p w14:paraId="62DCB54E" w14:textId="537BE857" w:rsidR="0043425A" w:rsidRPr="00C54BE8" w:rsidRDefault="0043425A" w:rsidP="00513EB4">
            <w:pPr>
              <w:widowControl w:val="0"/>
              <w:autoSpaceDE w:val="0"/>
              <w:autoSpaceDN w:val="0"/>
              <w:adjustRightInd w:val="0"/>
              <w:spacing w:after="0" w:line="240" w:lineRule="auto"/>
              <w:ind w:left="676"/>
              <w:rPr>
                <w:rFonts w:ascii="Times New Roman" w:hAnsi="Times New Roman" w:cs="Times New Roman"/>
                <w:b/>
                <w:sz w:val="16"/>
                <w:szCs w:val="16"/>
                <w:lang w:val="en-US"/>
              </w:rPr>
            </w:pPr>
            <w:r w:rsidRPr="00C54BE8">
              <w:rPr>
                <w:rFonts w:ascii="Times New Roman" w:hAnsi="Times New Roman" w:cs="Times New Roman"/>
                <w:sz w:val="16"/>
                <w:szCs w:val="16"/>
                <w:lang w:val="en-US"/>
              </w:rPr>
              <w:t>Male</w:t>
            </w:r>
          </w:p>
        </w:tc>
        <w:tc>
          <w:tcPr>
            <w:tcW w:w="384" w:type="dxa"/>
            <w:tcBorders>
              <w:left w:val="dashed" w:sz="4" w:space="0" w:color="auto"/>
            </w:tcBorders>
            <w:shd w:val="clear" w:color="auto" w:fill="FFFFFF" w:themeFill="background1"/>
          </w:tcPr>
          <w:p w14:paraId="48244CF9" w14:textId="37646422" w:rsidR="0043425A" w:rsidRPr="00C54BE8" w:rsidRDefault="0043425A" w:rsidP="007A1BB7">
            <w:pPr>
              <w:widowControl w:val="0"/>
              <w:autoSpaceDE w:val="0"/>
              <w:autoSpaceDN w:val="0"/>
              <w:adjustRightInd w:val="0"/>
              <w:spacing w:after="0" w:line="240" w:lineRule="auto"/>
              <w:jc w:val="center"/>
              <w:rPr>
                <w:rFonts w:ascii="Times New Roman" w:hAnsi="Times New Roman" w:cs="Times New Roman"/>
                <w:sz w:val="16"/>
                <w:szCs w:val="16"/>
                <w:lang w:val="en-US"/>
              </w:rPr>
            </w:pPr>
            <w:r w:rsidRPr="00C54BE8">
              <w:rPr>
                <w:rFonts w:ascii="Times New Roman" w:hAnsi="Times New Roman" w:cs="Times New Roman"/>
                <w:sz w:val="16"/>
                <w:szCs w:val="16"/>
                <w:lang w:val="en-US"/>
              </w:rPr>
              <w:t>23</w:t>
            </w:r>
          </w:p>
        </w:tc>
        <w:tc>
          <w:tcPr>
            <w:tcW w:w="1758" w:type="dxa"/>
            <w:gridSpan w:val="2"/>
            <w:tcBorders>
              <w:right w:val="dashed" w:sz="4" w:space="0" w:color="auto"/>
            </w:tcBorders>
            <w:shd w:val="clear" w:color="auto" w:fill="FFFFFF" w:themeFill="background1"/>
          </w:tcPr>
          <w:p w14:paraId="1400B996" w14:textId="0364C132" w:rsidR="0043425A" w:rsidRPr="00F0396A" w:rsidRDefault="0043425A" w:rsidP="0043425A">
            <w:pPr>
              <w:widowControl w:val="0"/>
              <w:autoSpaceDE w:val="0"/>
              <w:autoSpaceDN w:val="0"/>
              <w:adjustRightInd w:val="0"/>
              <w:spacing w:after="0" w:line="240" w:lineRule="auto"/>
              <w:ind w:left="91"/>
              <w:rPr>
                <w:rFonts w:ascii="Times New Roman" w:hAnsi="Times New Roman" w:cs="Times New Roman"/>
                <w:sz w:val="16"/>
                <w:szCs w:val="16"/>
                <w:lang w:val="en-US"/>
              </w:rPr>
            </w:pPr>
            <w:r w:rsidRPr="00C54BE8">
              <w:rPr>
                <w:rFonts w:ascii="Times New Roman" w:hAnsi="Times New Roman" w:cs="Times New Roman"/>
                <w:sz w:val="16"/>
                <w:szCs w:val="16"/>
                <w:lang w:val="en-US"/>
              </w:rPr>
              <w:t>8.9</w:t>
            </w:r>
            <w:r>
              <w:rPr>
                <w:rFonts w:ascii="Times New Roman" w:hAnsi="Times New Roman" w:cs="Times New Roman"/>
                <w:sz w:val="16"/>
                <w:szCs w:val="16"/>
                <w:lang w:val="en-US"/>
              </w:rPr>
              <w:t xml:space="preserve"> </w:t>
            </w:r>
            <w:r w:rsidRPr="00C54BE8">
              <w:rPr>
                <w:rFonts w:ascii="Times New Roman" w:hAnsi="Times New Roman" w:cs="Times New Roman"/>
                <w:sz w:val="16"/>
                <w:szCs w:val="16"/>
                <w:lang w:val="en-US"/>
              </w:rPr>
              <w:t>(7.9-10.6)</w:t>
            </w:r>
          </w:p>
        </w:tc>
        <w:tc>
          <w:tcPr>
            <w:tcW w:w="386" w:type="dxa"/>
            <w:tcBorders>
              <w:left w:val="dashed" w:sz="4" w:space="0" w:color="auto"/>
            </w:tcBorders>
            <w:shd w:val="clear" w:color="auto" w:fill="FFFFFF" w:themeFill="background1"/>
          </w:tcPr>
          <w:p w14:paraId="7ADC6058" w14:textId="35B9689D" w:rsidR="0043425A" w:rsidRPr="00C54BE8" w:rsidRDefault="0043425A" w:rsidP="007A1BB7">
            <w:pPr>
              <w:widowControl w:val="0"/>
              <w:autoSpaceDE w:val="0"/>
              <w:autoSpaceDN w:val="0"/>
              <w:adjustRightInd w:val="0"/>
              <w:spacing w:after="0" w:line="240" w:lineRule="auto"/>
              <w:jc w:val="center"/>
              <w:rPr>
                <w:rFonts w:ascii="Times New Roman" w:hAnsi="Times New Roman" w:cs="Times New Roman"/>
                <w:sz w:val="16"/>
                <w:szCs w:val="16"/>
                <w:lang w:val="en-US"/>
              </w:rPr>
            </w:pPr>
            <w:r w:rsidRPr="00C54BE8">
              <w:rPr>
                <w:rFonts w:ascii="Times New Roman" w:hAnsi="Times New Roman" w:cs="Times New Roman"/>
                <w:sz w:val="16"/>
                <w:szCs w:val="16"/>
                <w:lang w:val="en-US"/>
              </w:rPr>
              <w:t>25</w:t>
            </w:r>
          </w:p>
        </w:tc>
        <w:tc>
          <w:tcPr>
            <w:tcW w:w="1758" w:type="dxa"/>
            <w:gridSpan w:val="2"/>
            <w:tcBorders>
              <w:right w:val="dashed" w:sz="4" w:space="0" w:color="auto"/>
            </w:tcBorders>
            <w:shd w:val="clear" w:color="auto" w:fill="FFFFFF" w:themeFill="background1"/>
          </w:tcPr>
          <w:p w14:paraId="1D56DF7F" w14:textId="030656A2" w:rsidR="0043425A" w:rsidRPr="00F0396A" w:rsidRDefault="0043425A" w:rsidP="0043425A">
            <w:pPr>
              <w:widowControl w:val="0"/>
              <w:autoSpaceDE w:val="0"/>
              <w:autoSpaceDN w:val="0"/>
              <w:adjustRightInd w:val="0"/>
              <w:spacing w:after="0" w:line="240" w:lineRule="auto"/>
              <w:ind w:left="73"/>
              <w:rPr>
                <w:rFonts w:ascii="Times New Roman" w:hAnsi="Times New Roman" w:cs="Times New Roman"/>
                <w:sz w:val="16"/>
                <w:szCs w:val="16"/>
                <w:lang w:val="en-US"/>
              </w:rPr>
            </w:pPr>
            <w:r w:rsidRPr="00C54BE8">
              <w:rPr>
                <w:rFonts w:ascii="Times New Roman" w:hAnsi="Times New Roman" w:cs="Times New Roman"/>
                <w:sz w:val="16"/>
                <w:szCs w:val="16"/>
                <w:lang w:val="en-US"/>
              </w:rPr>
              <w:t>10.7</w:t>
            </w:r>
            <w:r>
              <w:rPr>
                <w:rFonts w:ascii="Times New Roman" w:hAnsi="Times New Roman" w:cs="Times New Roman"/>
                <w:sz w:val="16"/>
                <w:szCs w:val="16"/>
                <w:lang w:val="en-US"/>
              </w:rPr>
              <w:t xml:space="preserve"> </w:t>
            </w:r>
            <w:r w:rsidRPr="00C54BE8">
              <w:rPr>
                <w:rFonts w:ascii="Times New Roman" w:hAnsi="Times New Roman" w:cs="Times New Roman"/>
                <w:sz w:val="16"/>
                <w:szCs w:val="16"/>
                <w:lang w:val="en-US"/>
              </w:rPr>
              <w:t>(8.7-13.2)</w:t>
            </w:r>
          </w:p>
        </w:tc>
        <w:tc>
          <w:tcPr>
            <w:tcW w:w="397" w:type="dxa"/>
            <w:tcBorders>
              <w:left w:val="dashed" w:sz="4" w:space="0" w:color="auto"/>
            </w:tcBorders>
            <w:shd w:val="clear" w:color="auto" w:fill="FFFFFF" w:themeFill="background1"/>
          </w:tcPr>
          <w:p w14:paraId="28C8D34B" w14:textId="1FE460A2" w:rsidR="0043425A" w:rsidRPr="00C54BE8" w:rsidRDefault="0043425A" w:rsidP="007A1BB7">
            <w:pPr>
              <w:widowControl w:val="0"/>
              <w:autoSpaceDE w:val="0"/>
              <w:autoSpaceDN w:val="0"/>
              <w:adjustRightInd w:val="0"/>
              <w:spacing w:after="0" w:line="240" w:lineRule="auto"/>
              <w:jc w:val="center"/>
              <w:rPr>
                <w:rFonts w:ascii="Times New Roman" w:hAnsi="Times New Roman" w:cs="Times New Roman"/>
                <w:sz w:val="16"/>
                <w:szCs w:val="16"/>
                <w:lang w:val="en-US"/>
              </w:rPr>
            </w:pPr>
            <w:r w:rsidRPr="00C54BE8">
              <w:rPr>
                <w:rFonts w:ascii="Times New Roman" w:hAnsi="Times New Roman" w:cs="Times New Roman"/>
                <w:sz w:val="16"/>
                <w:szCs w:val="16"/>
                <w:lang w:val="en-US"/>
              </w:rPr>
              <w:t>18</w:t>
            </w:r>
          </w:p>
        </w:tc>
        <w:tc>
          <w:tcPr>
            <w:tcW w:w="1786" w:type="dxa"/>
            <w:gridSpan w:val="2"/>
            <w:tcBorders>
              <w:right w:val="dashed" w:sz="4" w:space="0" w:color="auto"/>
            </w:tcBorders>
            <w:shd w:val="clear" w:color="auto" w:fill="FFFFFF" w:themeFill="background1"/>
          </w:tcPr>
          <w:p w14:paraId="3C3948F8" w14:textId="4B1A7D24" w:rsidR="0043425A" w:rsidRPr="00F0396A" w:rsidRDefault="0043425A" w:rsidP="0043425A">
            <w:pPr>
              <w:widowControl w:val="0"/>
              <w:autoSpaceDE w:val="0"/>
              <w:autoSpaceDN w:val="0"/>
              <w:adjustRightInd w:val="0"/>
              <w:spacing w:after="0" w:line="240" w:lineRule="auto"/>
              <w:ind w:left="44"/>
              <w:rPr>
                <w:rFonts w:ascii="Times New Roman" w:hAnsi="Times New Roman" w:cs="Times New Roman"/>
                <w:sz w:val="16"/>
                <w:szCs w:val="16"/>
                <w:lang w:val="en-US"/>
              </w:rPr>
            </w:pPr>
            <w:r w:rsidRPr="00C54BE8">
              <w:rPr>
                <w:rFonts w:ascii="Times New Roman" w:hAnsi="Times New Roman" w:cs="Times New Roman"/>
                <w:sz w:val="16"/>
                <w:szCs w:val="16"/>
                <w:lang w:val="en-US"/>
              </w:rPr>
              <w:t>10.4</w:t>
            </w:r>
            <w:r>
              <w:rPr>
                <w:rFonts w:ascii="Times New Roman" w:hAnsi="Times New Roman" w:cs="Times New Roman"/>
                <w:sz w:val="16"/>
                <w:szCs w:val="16"/>
                <w:lang w:val="en-US"/>
              </w:rPr>
              <w:t xml:space="preserve"> </w:t>
            </w:r>
            <w:r w:rsidRPr="00C54BE8">
              <w:rPr>
                <w:rFonts w:ascii="Times New Roman" w:hAnsi="Times New Roman" w:cs="Times New Roman"/>
                <w:sz w:val="16"/>
                <w:szCs w:val="16"/>
                <w:lang w:val="en-US"/>
              </w:rPr>
              <w:t>(8.8-12.6)</w:t>
            </w:r>
          </w:p>
        </w:tc>
      </w:tr>
      <w:tr w:rsidR="0043425A" w:rsidRPr="001C61AA" w14:paraId="00A70189" w14:textId="77777777" w:rsidTr="0056300B">
        <w:trPr>
          <w:trHeight w:val="113"/>
          <w:jc w:val="center"/>
        </w:trPr>
        <w:tc>
          <w:tcPr>
            <w:tcW w:w="2469" w:type="dxa"/>
            <w:tcBorders>
              <w:right w:val="dashed" w:sz="4" w:space="0" w:color="auto"/>
            </w:tcBorders>
            <w:shd w:val="clear" w:color="auto" w:fill="FFFFFF" w:themeFill="background1"/>
          </w:tcPr>
          <w:p w14:paraId="50F7C6D6" w14:textId="36318C5D" w:rsidR="0043425A" w:rsidRPr="00C54BE8" w:rsidRDefault="0043425A" w:rsidP="00513EB4">
            <w:pPr>
              <w:widowControl w:val="0"/>
              <w:autoSpaceDE w:val="0"/>
              <w:autoSpaceDN w:val="0"/>
              <w:adjustRightInd w:val="0"/>
              <w:spacing w:after="0" w:line="240" w:lineRule="auto"/>
              <w:ind w:left="676"/>
              <w:rPr>
                <w:rFonts w:ascii="Times New Roman" w:hAnsi="Times New Roman" w:cs="Times New Roman"/>
                <w:sz w:val="16"/>
                <w:szCs w:val="16"/>
                <w:lang w:val="en-US"/>
              </w:rPr>
            </w:pPr>
            <w:r w:rsidRPr="00C54BE8">
              <w:rPr>
                <w:rFonts w:ascii="Times New Roman" w:hAnsi="Times New Roman" w:cs="Times New Roman"/>
                <w:sz w:val="16"/>
                <w:szCs w:val="16"/>
                <w:lang w:val="en-US"/>
              </w:rPr>
              <w:t>Female</w:t>
            </w:r>
          </w:p>
        </w:tc>
        <w:tc>
          <w:tcPr>
            <w:tcW w:w="384" w:type="dxa"/>
            <w:tcBorders>
              <w:left w:val="dashed" w:sz="4" w:space="0" w:color="auto"/>
            </w:tcBorders>
            <w:shd w:val="clear" w:color="auto" w:fill="FFFFFF" w:themeFill="background1"/>
          </w:tcPr>
          <w:p w14:paraId="4C93D981" w14:textId="297AA297" w:rsidR="0043425A" w:rsidRPr="00C54BE8" w:rsidRDefault="0043425A" w:rsidP="007A1BB7">
            <w:pPr>
              <w:widowControl w:val="0"/>
              <w:autoSpaceDE w:val="0"/>
              <w:autoSpaceDN w:val="0"/>
              <w:adjustRightInd w:val="0"/>
              <w:spacing w:after="0" w:line="240" w:lineRule="auto"/>
              <w:jc w:val="center"/>
              <w:rPr>
                <w:rFonts w:ascii="Times New Roman" w:hAnsi="Times New Roman" w:cs="Times New Roman"/>
                <w:sz w:val="16"/>
                <w:szCs w:val="16"/>
                <w:lang w:val="en-US"/>
              </w:rPr>
            </w:pPr>
            <w:r w:rsidRPr="00C54BE8">
              <w:rPr>
                <w:rFonts w:ascii="Times New Roman" w:hAnsi="Times New Roman" w:cs="Times New Roman"/>
                <w:sz w:val="16"/>
                <w:szCs w:val="16"/>
                <w:lang w:val="en-US"/>
              </w:rPr>
              <w:t>66</w:t>
            </w:r>
          </w:p>
        </w:tc>
        <w:tc>
          <w:tcPr>
            <w:tcW w:w="1758" w:type="dxa"/>
            <w:gridSpan w:val="2"/>
            <w:tcBorders>
              <w:right w:val="dashed" w:sz="4" w:space="0" w:color="auto"/>
            </w:tcBorders>
            <w:shd w:val="clear" w:color="auto" w:fill="FFFFFF" w:themeFill="background1"/>
          </w:tcPr>
          <w:p w14:paraId="5F0C1AEE" w14:textId="07B7C989" w:rsidR="0043425A" w:rsidRPr="00C54BE8" w:rsidRDefault="0043425A" w:rsidP="0043425A">
            <w:pPr>
              <w:widowControl w:val="0"/>
              <w:autoSpaceDE w:val="0"/>
              <w:autoSpaceDN w:val="0"/>
              <w:adjustRightInd w:val="0"/>
              <w:spacing w:after="0" w:line="240" w:lineRule="auto"/>
              <w:ind w:left="91"/>
              <w:rPr>
                <w:rFonts w:ascii="Times New Roman" w:hAnsi="Times New Roman" w:cs="Times New Roman"/>
                <w:sz w:val="16"/>
                <w:szCs w:val="16"/>
                <w:lang w:val="en-US"/>
              </w:rPr>
            </w:pPr>
            <w:r w:rsidRPr="00C54BE8">
              <w:rPr>
                <w:rFonts w:ascii="Times New Roman" w:hAnsi="Times New Roman" w:cs="Times New Roman"/>
                <w:sz w:val="16"/>
                <w:szCs w:val="16"/>
                <w:lang w:val="en-US"/>
              </w:rPr>
              <w:t>9.3</w:t>
            </w:r>
            <w:r>
              <w:rPr>
                <w:rFonts w:ascii="Times New Roman" w:hAnsi="Times New Roman" w:cs="Times New Roman"/>
                <w:sz w:val="16"/>
                <w:szCs w:val="16"/>
                <w:lang w:val="en-US"/>
              </w:rPr>
              <w:t xml:space="preserve"> </w:t>
            </w:r>
            <w:r w:rsidRPr="00C54BE8">
              <w:rPr>
                <w:rFonts w:ascii="Times New Roman" w:hAnsi="Times New Roman" w:cs="Times New Roman"/>
                <w:sz w:val="16"/>
                <w:szCs w:val="16"/>
                <w:lang w:val="en-US"/>
              </w:rPr>
              <w:t>(7.3-11.9)</w:t>
            </w:r>
          </w:p>
        </w:tc>
        <w:tc>
          <w:tcPr>
            <w:tcW w:w="386" w:type="dxa"/>
            <w:tcBorders>
              <w:left w:val="dashed" w:sz="4" w:space="0" w:color="auto"/>
            </w:tcBorders>
            <w:shd w:val="clear" w:color="auto" w:fill="FFFFFF" w:themeFill="background1"/>
          </w:tcPr>
          <w:p w14:paraId="6E71F9F8" w14:textId="63D605B4" w:rsidR="0043425A" w:rsidRPr="00C54BE8" w:rsidRDefault="0043425A" w:rsidP="007A1BB7">
            <w:pPr>
              <w:widowControl w:val="0"/>
              <w:autoSpaceDE w:val="0"/>
              <w:autoSpaceDN w:val="0"/>
              <w:adjustRightInd w:val="0"/>
              <w:spacing w:after="0" w:line="240" w:lineRule="auto"/>
              <w:jc w:val="center"/>
              <w:rPr>
                <w:rFonts w:ascii="Times New Roman" w:hAnsi="Times New Roman" w:cs="Times New Roman"/>
                <w:sz w:val="16"/>
                <w:szCs w:val="16"/>
                <w:lang w:val="en-US"/>
              </w:rPr>
            </w:pPr>
            <w:r w:rsidRPr="00C54BE8">
              <w:rPr>
                <w:rFonts w:ascii="Times New Roman" w:hAnsi="Times New Roman" w:cs="Times New Roman"/>
                <w:sz w:val="16"/>
                <w:szCs w:val="16"/>
                <w:lang w:val="en-US"/>
              </w:rPr>
              <w:t>67</w:t>
            </w:r>
          </w:p>
        </w:tc>
        <w:tc>
          <w:tcPr>
            <w:tcW w:w="1758" w:type="dxa"/>
            <w:gridSpan w:val="2"/>
            <w:tcBorders>
              <w:right w:val="dashed" w:sz="4" w:space="0" w:color="auto"/>
            </w:tcBorders>
            <w:shd w:val="clear" w:color="auto" w:fill="FFFFFF" w:themeFill="background1"/>
          </w:tcPr>
          <w:p w14:paraId="258F934F" w14:textId="04A156A1" w:rsidR="0043425A" w:rsidRPr="00C54BE8" w:rsidRDefault="0043425A" w:rsidP="0043425A">
            <w:pPr>
              <w:widowControl w:val="0"/>
              <w:autoSpaceDE w:val="0"/>
              <w:autoSpaceDN w:val="0"/>
              <w:adjustRightInd w:val="0"/>
              <w:spacing w:after="0" w:line="240" w:lineRule="auto"/>
              <w:ind w:left="73"/>
              <w:rPr>
                <w:rFonts w:ascii="Times New Roman" w:hAnsi="Times New Roman" w:cs="Times New Roman"/>
                <w:sz w:val="16"/>
                <w:szCs w:val="16"/>
                <w:lang w:val="en-US"/>
              </w:rPr>
            </w:pPr>
            <w:r w:rsidRPr="00C54BE8">
              <w:rPr>
                <w:rFonts w:ascii="Times New Roman" w:hAnsi="Times New Roman" w:cs="Times New Roman"/>
                <w:sz w:val="16"/>
                <w:szCs w:val="16"/>
                <w:lang w:val="en-US"/>
              </w:rPr>
              <w:t>9.7</w:t>
            </w:r>
            <w:r>
              <w:rPr>
                <w:rFonts w:ascii="Times New Roman" w:hAnsi="Times New Roman" w:cs="Times New Roman"/>
                <w:sz w:val="16"/>
                <w:szCs w:val="16"/>
                <w:lang w:val="en-US"/>
              </w:rPr>
              <w:t xml:space="preserve"> </w:t>
            </w:r>
            <w:r w:rsidRPr="00C54BE8">
              <w:rPr>
                <w:rFonts w:ascii="Times New Roman" w:hAnsi="Times New Roman" w:cs="Times New Roman"/>
                <w:sz w:val="16"/>
                <w:szCs w:val="16"/>
                <w:lang w:val="en-US"/>
              </w:rPr>
              <w:t>(7.6-15.3)</w:t>
            </w:r>
          </w:p>
        </w:tc>
        <w:tc>
          <w:tcPr>
            <w:tcW w:w="397" w:type="dxa"/>
            <w:tcBorders>
              <w:left w:val="dashed" w:sz="4" w:space="0" w:color="auto"/>
            </w:tcBorders>
            <w:shd w:val="clear" w:color="auto" w:fill="FFFFFF" w:themeFill="background1"/>
          </w:tcPr>
          <w:p w14:paraId="10130D0D" w14:textId="14EC33D1" w:rsidR="0043425A" w:rsidRPr="00C54BE8" w:rsidRDefault="0043425A" w:rsidP="007A1BB7">
            <w:pPr>
              <w:widowControl w:val="0"/>
              <w:autoSpaceDE w:val="0"/>
              <w:autoSpaceDN w:val="0"/>
              <w:adjustRightInd w:val="0"/>
              <w:spacing w:after="0" w:line="240" w:lineRule="auto"/>
              <w:jc w:val="center"/>
              <w:rPr>
                <w:rFonts w:ascii="Times New Roman" w:hAnsi="Times New Roman" w:cs="Times New Roman"/>
                <w:sz w:val="16"/>
                <w:szCs w:val="16"/>
                <w:lang w:val="en-US"/>
              </w:rPr>
            </w:pPr>
            <w:r w:rsidRPr="00C54BE8">
              <w:rPr>
                <w:rFonts w:ascii="Times New Roman" w:hAnsi="Times New Roman" w:cs="Times New Roman"/>
                <w:sz w:val="16"/>
                <w:szCs w:val="16"/>
                <w:lang w:val="en-US"/>
              </w:rPr>
              <w:t>49</w:t>
            </w:r>
          </w:p>
        </w:tc>
        <w:tc>
          <w:tcPr>
            <w:tcW w:w="1786" w:type="dxa"/>
            <w:gridSpan w:val="2"/>
            <w:tcBorders>
              <w:right w:val="dashed" w:sz="4" w:space="0" w:color="auto"/>
            </w:tcBorders>
            <w:shd w:val="clear" w:color="auto" w:fill="FFFFFF" w:themeFill="background1"/>
          </w:tcPr>
          <w:p w14:paraId="45E86CE9" w14:textId="316ED7C3" w:rsidR="0043425A" w:rsidRPr="00C54BE8" w:rsidRDefault="0043425A" w:rsidP="0043425A">
            <w:pPr>
              <w:widowControl w:val="0"/>
              <w:autoSpaceDE w:val="0"/>
              <w:autoSpaceDN w:val="0"/>
              <w:adjustRightInd w:val="0"/>
              <w:spacing w:after="0" w:line="240" w:lineRule="auto"/>
              <w:ind w:left="44"/>
              <w:rPr>
                <w:rFonts w:ascii="Times New Roman" w:hAnsi="Times New Roman" w:cs="Times New Roman"/>
                <w:sz w:val="16"/>
                <w:szCs w:val="16"/>
                <w:lang w:val="en-US"/>
              </w:rPr>
            </w:pPr>
            <w:r w:rsidRPr="00C54BE8">
              <w:rPr>
                <w:rFonts w:ascii="Times New Roman" w:hAnsi="Times New Roman" w:cs="Times New Roman"/>
                <w:sz w:val="16"/>
                <w:szCs w:val="16"/>
                <w:lang w:val="en-US"/>
              </w:rPr>
              <w:t>8.9</w:t>
            </w:r>
            <w:r>
              <w:rPr>
                <w:rFonts w:ascii="Times New Roman" w:hAnsi="Times New Roman" w:cs="Times New Roman"/>
                <w:sz w:val="16"/>
                <w:szCs w:val="16"/>
                <w:lang w:val="en-US"/>
              </w:rPr>
              <w:t xml:space="preserve"> </w:t>
            </w:r>
            <w:r w:rsidRPr="00C54BE8">
              <w:rPr>
                <w:rFonts w:ascii="Times New Roman" w:hAnsi="Times New Roman" w:cs="Times New Roman"/>
                <w:sz w:val="16"/>
                <w:szCs w:val="16"/>
                <w:lang w:val="en-US"/>
              </w:rPr>
              <w:t>(6.9-13.3)</w:t>
            </w:r>
          </w:p>
        </w:tc>
      </w:tr>
      <w:tr w:rsidR="0043425A" w:rsidRPr="001C61AA" w14:paraId="09D6E648" w14:textId="77777777" w:rsidTr="0056300B">
        <w:trPr>
          <w:trHeight w:val="113"/>
          <w:jc w:val="center"/>
        </w:trPr>
        <w:tc>
          <w:tcPr>
            <w:tcW w:w="2469" w:type="dxa"/>
            <w:tcBorders>
              <w:right w:val="dashed" w:sz="4" w:space="0" w:color="auto"/>
            </w:tcBorders>
            <w:shd w:val="clear" w:color="auto" w:fill="F2F2F2" w:themeFill="background1" w:themeFillShade="F2"/>
          </w:tcPr>
          <w:p w14:paraId="124E5DFD" w14:textId="77777777" w:rsidR="0043425A" w:rsidRPr="00326EBF" w:rsidRDefault="0043425A" w:rsidP="00513EB4">
            <w:pPr>
              <w:widowControl w:val="0"/>
              <w:autoSpaceDE w:val="0"/>
              <w:autoSpaceDN w:val="0"/>
              <w:adjustRightInd w:val="0"/>
              <w:spacing w:after="0" w:line="240" w:lineRule="auto"/>
              <w:rPr>
                <w:rFonts w:ascii="Times New Roman" w:hAnsi="Times New Roman" w:cs="Times New Roman"/>
                <w:b/>
                <w:sz w:val="16"/>
                <w:szCs w:val="16"/>
                <w:lang w:val="en-US"/>
              </w:rPr>
            </w:pPr>
            <w:r>
              <w:rPr>
                <w:rFonts w:ascii="Times New Roman" w:hAnsi="Times New Roman" w:cs="Times New Roman"/>
                <w:b/>
                <w:sz w:val="16"/>
                <w:szCs w:val="16"/>
                <w:lang w:val="en-US"/>
              </w:rPr>
              <w:t>Age</w:t>
            </w:r>
          </w:p>
        </w:tc>
        <w:tc>
          <w:tcPr>
            <w:tcW w:w="384" w:type="dxa"/>
            <w:tcBorders>
              <w:left w:val="dashed" w:sz="4" w:space="0" w:color="auto"/>
            </w:tcBorders>
            <w:shd w:val="clear" w:color="auto" w:fill="F2F2F2" w:themeFill="background1" w:themeFillShade="F2"/>
          </w:tcPr>
          <w:p w14:paraId="63785AEC" w14:textId="77777777" w:rsidR="0043425A" w:rsidRPr="00326EBF" w:rsidRDefault="0043425A" w:rsidP="007A1BB7">
            <w:pPr>
              <w:widowControl w:val="0"/>
              <w:autoSpaceDE w:val="0"/>
              <w:autoSpaceDN w:val="0"/>
              <w:adjustRightInd w:val="0"/>
              <w:spacing w:after="0" w:line="240" w:lineRule="auto"/>
              <w:jc w:val="center"/>
              <w:rPr>
                <w:rFonts w:ascii="Times New Roman" w:hAnsi="Times New Roman" w:cs="Times New Roman"/>
                <w:sz w:val="16"/>
                <w:szCs w:val="16"/>
                <w:lang w:val="en-US"/>
              </w:rPr>
            </w:pPr>
          </w:p>
        </w:tc>
        <w:tc>
          <w:tcPr>
            <w:tcW w:w="964" w:type="dxa"/>
            <w:shd w:val="clear" w:color="auto" w:fill="F2F2F2" w:themeFill="background1" w:themeFillShade="F2"/>
          </w:tcPr>
          <w:p w14:paraId="1B44E96D" w14:textId="77777777" w:rsidR="0043425A" w:rsidRPr="00326EBF" w:rsidRDefault="0043425A" w:rsidP="007A1BB7">
            <w:pPr>
              <w:widowControl w:val="0"/>
              <w:autoSpaceDE w:val="0"/>
              <w:autoSpaceDN w:val="0"/>
              <w:adjustRightInd w:val="0"/>
              <w:spacing w:after="0" w:line="240" w:lineRule="auto"/>
              <w:jc w:val="center"/>
              <w:rPr>
                <w:rFonts w:ascii="Times New Roman" w:hAnsi="Times New Roman" w:cs="Times New Roman"/>
                <w:sz w:val="16"/>
                <w:szCs w:val="16"/>
                <w:lang w:val="en-US"/>
              </w:rPr>
            </w:pPr>
          </w:p>
        </w:tc>
        <w:tc>
          <w:tcPr>
            <w:tcW w:w="794" w:type="dxa"/>
            <w:tcBorders>
              <w:right w:val="dashed" w:sz="4" w:space="0" w:color="auto"/>
            </w:tcBorders>
            <w:shd w:val="clear" w:color="auto" w:fill="F2F2F2" w:themeFill="background1" w:themeFillShade="F2"/>
          </w:tcPr>
          <w:p w14:paraId="3DBBBE55" w14:textId="1A104F7B" w:rsidR="0043425A" w:rsidRPr="001C61AA" w:rsidRDefault="0043425A" w:rsidP="006D71CB">
            <w:pPr>
              <w:widowControl w:val="0"/>
              <w:autoSpaceDE w:val="0"/>
              <w:autoSpaceDN w:val="0"/>
              <w:adjustRightInd w:val="0"/>
              <w:spacing w:after="0" w:line="240" w:lineRule="auto"/>
              <w:jc w:val="right"/>
              <w:rPr>
                <w:rFonts w:ascii="Times New Roman" w:hAnsi="Times New Roman" w:cs="Times New Roman"/>
                <w:sz w:val="16"/>
                <w:szCs w:val="16"/>
                <w:lang w:val="en-US"/>
              </w:rPr>
            </w:pPr>
            <w:r w:rsidRPr="00A975C7">
              <w:rPr>
                <w:rFonts w:ascii="Times New Roman" w:hAnsi="Times New Roman" w:cs="Times New Roman"/>
                <w:color w:val="000000" w:themeColor="text1"/>
                <w:sz w:val="16"/>
                <w:szCs w:val="16"/>
                <w:lang w:val="en-US"/>
              </w:rPr>
              <w:t>0.498</w:t>
            </w:r>
          </w:p>
        </w:tc>
        <w:tc>
          <w:tcPr>
            <w:tcW w:w="386" w:type="dxa"/>
            <w:tcBorders>
              <w:left w:val="dashed" w:sz="4" w:space="0" w:color="auto"/>
            </w:tcBorders>
            <w:shd w:val="clear" w:color="auto" w:fill="F2F2F2" w:themeFill="background1" w:themeFillShade="F2"/>
          </w:tcPr>
          <w:p w14:paraId="6681A482" w14:textId="77777777" w:rsidR="0043425A" w:rsidRPr="001C61AA" w:rsidRDefault="0043425A" w:rsidP="007A1BB7">
            <w:pPr>
              <w:widowControl w:val="0"/>
              <w:autoSpaceDE w:val="0"/>
              <w:autoSpaceDN w:val="0"/>
              <w:adjustRightInd w:val="0"/>
              <w:spacing w:after="0" w:line="240" w:lineRule="auto"/>
              <w:jc w:val="center"/>
              <w:rPr>
                <w:rFonts w:ascii="Times New Roman" w:hAnsi="Times New Roman" w:cs="Times New Roman"/>
                <w:sz w:val="16"/>
                <w:szCs w:val="16"/>
                <w:lang w:val="en-US"/>
              </w:rPr>
            </w:pPr>
          </w:p>
        </w:tc>
        <w:tc>
          <w:tcPr>
            <w:tcW w:w="964" w:type="dxa"/>
            <w:shd w:val="clear" w:color="auto" w:fill="F2F2F2" w:themeFill="background1" w:themeFillShade="F2"/>
          </w:tcPr>
          <w:p w14:paraId="16910312" w14:textId="77777777" w:rsidR="0043425A" w:rsidRPr="001C61AA" w:rsidRDefault="0043425A" w:rsidP="007A1BB7">
            <w:pPr>
              <w:widowControl w:val="0"/>
              <w:autoSpaceDE w:val="0"/>
              <w:autoSpaceDN w:val="0"/>
              <w:adjustRightInd w:val="0"/>
              <w:spacing w:after="0" w:line="240" w:lineRule="auto"/>
              <w:jc w:val="center"/>
              <w:rPr>
                <w:rFonts w:ascii="Times New Roman" w:hAnsi="Times New Roman" w:cs="Times New Roman"/>
                <w:sz w:val="16"/>
                <w:szCs w:val="16"/>
                <w:lang w:val="en-US"/>
              </w:rPr>
            </w:pPr>
          </w:p>
        </w:tc>
        <w:tc>
          <w:tcPr>
            <w:tcW w:w="794" w:type="dxa"/>
            <w:tcBorders>
              <w:right w:val="dashed" w:sz="4" w:space="0" w:color="auto"/>
            </w:tcBorders>
            <w:shd w:val="clear" w:color="auto" w:fill="F2F2F2" w:themeFill="background1" w:themeFillShade="F2"/>
          </w:tcPr>
          <w:p w14:paraId="542F75F8" w14:textId="10DA2AD4" w:rsidR="0043425A" w:rsidRPr="001C61AA" w:rsidRDefault="0043425A" w:rsidP="006D71CB">
            <w:pPr>
              <w:widowControl w:val="0"/>
              <w:autoSpaceDE w:val="0"/>
              <w:autoSpaceDN w:val="0"/>
              <w:adjustRightInd w:val="0"/>
              <w:spacing w:after="0" w:line="240" w:lineRule="auto"/>
              <w:jc w:val="right"/>
              <w:rPr>
                <w:rFonts w:ascii="Times New Roman" w:hAnsi="Times New Roman" w:cs="Times New Roman"/>
                <w:sz w:val="16"/>
                <w:szCs w:val="16"/>
                <w:lang w:val="en-US"/>
              </w:rPr>
            </w:pPr>
            <w:r w:rsidRPr="00A975C7">
              <w:rPr>
                <w:rFonts w:ascii="Times New Roman" w:hAnsi="Times New Roman" w:cs="Times New Roman"/>
                <w:color w:val="000000" w:themeColor="text1"/>
                <w:sz w:val="16"/>
                <w:szCs w:val="16"/>
                <w:lang w:val="en-US"/>
              </w:rPr>
              <w:t>0.431</w:t>
            </w:r>
          </w:p>
        </w:tc>
        <w:tc>
          <w:tcPr>
            <w:tcW w:w="397" w:type="dxa"/>
            <w:tcBorders>
              <w:left w:val="dashed" w:sz="4" w:space="0" w:color="auto"/>
            </w:tcBorders>
            <w:shd w:val="clear" w:color="auto" w:fill="F2F2F2" w:themeFill="background1" w:themeFillShade="F2"/>
          </w:tcPr>
          <w:p w14:paraId="3BCDA048" w14:textId="77777777" w:rsidR="0043425A" w:rsidRPr="001C61AA" w:rsidRDefault="0043425A" w:rsidP="007A1BB7">
            <w:pPr>
              <w:widowControl w:val="0"/>
              <w:autoSpaceDE w:val="0"/>
              <w:autoSpaceDN w:val="0"/>
              <w:adjustRightInd w:val="0"/>
              <w:spacing w:after="0" w:line="240" w:lineRule="auto"/>
              <w:jc w:val="center"/>
              <w:rPr>
                <w:rFonts w:ascii="Times New Roman" w:hAnsi="Times New Roman" w:cs="Times New Roman"/>
                <w:sz w:val="16"/>
                <w:szCs w:val="16"/>
                <w:lang w:val="en-US"/>
              </w:rPr>
            </w:pPr>
          </w:p>
        </w:tc>
        <w:tc>
          <w:tcPr>
            <w:tcW w:w="992" w:type="dxa"/>
            <w:shd w:val="clear" w:color="auto" w:fill="F2F2F2" w:themeFill="background1" w:themeFillShade="F2"/>
          </w:tcPr>
          <w:p w14:paraId="5A8AC74A" w14:textId="77777777" w:rsidR="0043425A" w:rsidRPr="001C61AA" w:rsidRDefault="0043425A" w:rsidP="007A1BB7">
            <w:pPr>
              <w:widowControl w:val="0"/>
              <w:autoSpaceDE w:val="0"/>
              <w:autoSpaceDN w:val="0"/>
              <w:adjustRightInd w:val="0"/>
              <w:spacing w:after="0" w:line="240" w:lineRule="auto"/>
              <w:jc w:val="center"/>
              <w:rPr>
                <w:rFonts w:ascii="Times New Roman" w:hAnsi="Times New Roman" w:cs="Times New Roman"/>
                <w:sz w:val="16"/>
                <w:szCs w:val="16"/>
                <w:lang w:val="en-US"/>
              </w:rPr>
            </w:pPr>
          </w:p>
        </w:tc>
        <w:tc>
          <w:tcPr>
            <w:tcW w:w="794" w:type="dxa"/>
            <w:tcBorders>
              <w:right w:val="dashed" w:sz="4" w:space="0" w:color="auto"/>
            </w:tcBorders>
            <w:shd w:val="clear" w:color="auto" w:fill="F2F2F2" w:themeFill="background1" w:themeFillShade="F2"/>
          </w:tcPr>
          <w:p w14:paraId="190C599F" w14:textId="18EBAE24" w:rsidR="0043425A" w:rsidRPr="001C61AA" w:rsidRDefault="0043425A" w:rsidP="006D71CB">
            <w:pPr>
              <w:widowControl w:val="0"/>
              <w:autoSpaceDE w:val="0"/>
              <w:autoSpaceDN w:val="0"/>
              <w:adjustRightInd w:val="0"/>
              <w:spacing w:after="0" w:line="240" w:lineRule="auto"/>
              <w:jc w:val="right"/>
              <w:rPr>
                <w:rFonts w:ascii="Times New Roman" w:hAnsi="Times New Roman" w:cs="Times New Roman"/>
                <w:sz w:val="16"/>
                <w:szCs w:val="16"/>
                <w:lang w:val="en-US"/>
              </w:rPr>
            </w:pPr>
            <w:r w:rsidRPr="00A975C7">
              <w:rPr>
                <w:rFonts w:ascii="Times New Roman" w:hAnsi="Times New Roman" w:cs="Times New Roman"/>
                <w:color w:val="000000" w:themeColor="text1"/>
                <w:sz w:val="16"/>
                <w:szCs w:val="16"/>
                <w:lang w:val="en-US"/>
              </w:rPr>
              <w:t>0.784</w:t>
            </w:r>
          </w:p>
        </w:tc>
      </w:tr>
      <w:tr w:rsidR="0043425A" w:rsidRPr="001C61AA" w14:paraId="3577352D" w14:textId="77777777" w:rsidTr="0056300B">
        <w:trPr>
          <w:trHeight w:val="113"/>
          <w:jc w:val="center"/>
        </w:trPr>
        <w:tc>
          <w:tcPr>
            <w:tcW w:w="2469" w:type="dxa"/>
            <w:tcBorders>
              <w:right w:val="dashed" w:sz="4" w:space="0" w:color="auto"/>
            </w:tcBorders>
            <w:shd w:val="clear" w:color="auto" w:fill="FFFFFF" w:themeFill="background1"/>
          </w:tcPr>
          <w:p w14:paraId="4B829836" w14:textId="2F168139" w:rsidR="0043425A" w:rsidRDefault="0043425A" w:rsidP="00513EB4">
            <w:pPr>
              <w:widowControl w:val="0"/>
              <w:autoSpaceDE w:val="0"/>
              <w:autoSpaceDN w:val="0"/>
              <w:adjustRightInd w:val="0"/>
              <w:spacing w:after="0" w:line="240" w:lineRule="auto"/>
              <w:ind w:left="676"/>
              <w:rPr>
                <w:rFonts w:ascii="Times New Roman" w:hAnsi="Times New Roman" w:cs="Times New Roman"/>
                <w:b/>
                <w:sz w:val="16"/>
                <w:szCs w:val="16"/>
                <w:lang w:val="en-US"/>
              </w:rPr>
            </w:pPr>
            <w:r w:rsidRPr="00A975C7">
              <w:rPr>
                <w:rFonts w:ascii="Times New Roman" w:hAnsi="Times New Roman" w:cs="Times New Roman"/>
                <w:color w:val="000000" w:themeColor="text1"/>
                <w:sz w:val="16"/>
                <w:szCs w:val="16"/>
                <w:lang w:val="en-US"/>
              </w:rPr>
              <w:t>≤52 years</w:t>
            </w:r>
          </w:p>
        </w:tc>
        <w:tc>
          <w:tcPr>
            <w:tcW w:w="384" w:type="dxa"/>
            <w:tcBorders>
              <w:left w:val="dashed" w:sz="4" w:space="0" w:color="auto"/>
            </w:tcBorders>
            <w:shd w:val="clear" w:color="auto" w:fill="FFFFFF" w:themeFill="background1"/>
          </w:tcPr>
          <w:p w14:paraId="6C16403B" w14:textId="26D63083" w:rsidR="0043425A" w:rsidRPr="00326EBF" w:rsidRDefault="0043425A" w:rsidP="007A1BB7">
            <w:pPr>
              <w:widowControl w:val="0"/>
              <w:autoSpaceDE w:val="0"/>
              <w:autoSpaceDN w:val="0"/>
              <w:adjustRightInd w:val="0"/>
              <w:spacing w:after="0" w:line="240" w:lineRule="auto"/>
              <w:jc w:val="center"/>
              <w:rPr>
                <w:rFonts w:ascii="Times New Roman" w:hAnsi="Times New Roman" w:cs="Times New Roman"/>
                <w:sz w:val="16"/>
                <w:szCs w:val="16"/>
                <w:lang w:val="en-US"/>
              </w:rPr>
            </w:pPr>
            <w:r w:rsidRPr="00A975C7">
              <w:rPr>
                <w:rFonts w:ascii="Times New Roman" w:hAnsi="Times New Roman" w:cs="Times New Roman"/>
                <w:color w:val="000000" w:themeColor="text1"/>
                <w:sz w:val="16"/>
                <w:szCs w:val="16"/>
                <w:lang w:val="en-US"/>
              </w:rPr>
              <w:t>45</w:t>
            </w:r>
          </w:p>
        </w:tc>
        <w:tc>
          <w:tcPr>
            <w:tcW w:w="1758" w:type="dxa"/>
            <w:gridSpan w:val="2"/>
            <w:tcBorders>
              <w:right w:val="dashed" w:sz="4" w:space="0" w:color="auto"/>
            </w:tcBorders>
            <w:shd w:val="clear" w:color="auto" w:fill="FFFFFF" w:themeFill="background1"/>
          </w:tcPr>
          <w:p w14:paraId="3ABF39A6" w14:textId="40944985" w:rsidR="0043425A" w:rsidRPr="001C61AA" w:rsidRDefault="0043425A" w:rsidP="0043425A">
            <w:pPr>
              <w:widowControl w:val="0"/>
              <w:autoSpaceDE w:val="0"/>
              <w:autoSpaceDN w:val="0"/>
              <w:adjustRightInd w:val="0"/>
              <w:spacing w:after="0" w:line="240" w:lineRule="auto"/>
              <w:ind w:left="91"/>
              <w:rPr>
                <w:rFonts w:ascii="Times New Roman" w:hAnsi="Times New Roman" w:cs="Times New Roman"/>
                <w:sz w:val="16"/>
                <w:szCs w:val="16"/>
                <w:lang w:val="en-US"/>
              </w:rPr>
            </w:pPr>
            <w:r w:rsidRPr="00A975C7">
              <w:rPr>
                <w:rFonts w:ascii="Times New Roman" w:hAnsi="Times New Roman" w:cs="Times New Roman"/>
                <w:color w:val="000000" w:themeColor="text1"/>
                <w:sz w:val="16"/>
                <w:szCs w:val="16"/>
                <w:lang w:val="en-US"/>
              </w:rPr>
              <w:t>9.1</w:t>
            </w:r>
            <w:r>
              <w:rPr>
                <w:rFonts w:ascii="Times New Roman" w:hAnsi="Times New Roman" w:cs="Times New Roman"/>
                <w:color w:val="000000" w:themeColor="text1"/>
                <w:sz w:val="16"/>
                <w:szCs w:val="16"/>
                <w:lang w:val="en-US"/>
              </w:rPr>
              <w:t xml:space="preserve"> </w:t>
            </w:r>
            <w:r w:rsidRPr="00A975C7">
              <w:rPr>
                <w:rFonts w:ascii="Times New Roman" w:hAnsi="Times New Roman" w:cs="Times New Roman"/>
                <w:color w:val="000000" w:themeColor="text1"/>
                <w:sz w:val="16"/>
                <w:szCs w:val="16"/>
                <w:lang w:val="en-US"/>
              </w:rPr>
              <w:t>(7.3-11.0)</w:t>
            </w:r>
          </w:p>
        </w:tc>
        <w:tc>
          <w:tcPr>
            <w:tcW w:w="386" w:type="dxa"/>
            <w:tcBorders>
              <w:left w:val="dashed" w:sz="4" w:space="0" w:color="auto"/>
            </w:tcBorders>
            <w:shd w:val="clear" w:color="auto" w:fill="FFFFFF" w:themeFill="background1"/>
          </w:tcPr>
          <w:p w14:paraId="55137044" w14:textId="1C238C3B" w:rsidR="0043425A" w:rsidRPr="001C61AA" w:rsidRDefault="0043425A" w:rsidP="007A1BB7">
            <w:pPr>
              <w:widowControl w:val="0"/>
              <w:autoSpaceDE w:val="0"/>
              <w:autoSpaceDN w:val="0"/>
              <w:adjustRightInd w:val="0"/>
              <w:spacing w:after="0" w:line="240" w:lineRule="auto"/>
              <w:jc w:val="center"/>
              <w:rPr>
                <w:rFonts w:ascii="Times New Roman" w:hAnsi="Times New Roman" w:cs="Times New Roman"/>
                <w:sz w:val="16"/>
                <w:szCs w:val="16"/>
                <w:lang w:val="en-US"/>
              </w:rPr>
            </w:pPr>
            <w:r w:rsidRPr="00A975C7">
              <w:rPr>
                <w:rFonts w:ascii="Times New Roman" w:hAnsi="Times New Roman" w:cs="Times New Roman"/>
                <w:color w:val="000000" w:themeColor="text1"/>
                <w:sz w:val="16"/>
                <w:szCs w:val="16"/>
                <w:lang w:val="en-US"/>
              </w:rPr>
              <w:t>48</w:t>
            </w:r>
          </w:p>
        </w:tc>
        <w:tc>
          <w:tcPr>
            <w:tcW w:w="1758" w:type="dxa"/>
            <w:gridSpan w:val="2"/>
            <w:tcBorders>
              <w:right w:val="dashed" w:sz="4" w:space="0" w:color="auto"/>
            </w:tcBorders>
            <w:shd w:val="clear" w:color="auto" w:fill="FFFFFF" w:themeFill="background1"/>
          </w:tcPr>
          <w:p w14:paraId="16E0564A" w14:textId="4EF2EA30" w:rsidR="0043425A" w:rsidRPr="001C61AA" w:rsidRDefault="0043425A" w:rsidP="00F26FF7">
            <w:pPr>
              <w:widowControl w:val="0"/>
              <w:autoSpaceDE w:val="0"/>
              <w:autoSpaceDN w:val="0"/>
              <w:adjustRightInd w:val="0"/>
              <w:spacing w:after="0" w:line="240" w:lineRule="auto"/>
              <w:ind w:left="73"/>
              <w:rPr>
                <w:rFonts w:ascii="Times New Roman" w:hAnsi="Times New Roman" w:cs="Times New Roman"/>
                <w:sz w:val="16"/>
                <w:szCs w:val="16"/>
                <w:lang w:val="en-US"/>
              </w:rPr>
            </w:pPr>
            <w:r w:rsidRPr="00A975C7">
              <w:rPr>
                <w:rFonts w:ascii="Times New Roman" w:hAnsi="Times New Roman" w:cs="Times New Roman"/>
                <w:color w:val="000000" w:themeColor="text1"/>
                <w:sz w:val="16"/>
                <w:szCs w:val="16"/>
                <w:lang w:val="en-US"/>
              </w:rPr>
              <w:t>9.7</w:t>
            </w:r>
            <w:r>
              <w:rPr>
                <w:rFonts w:ascii="Times New Roman" w:hAnsi="Times New Roman" w:cs="Times New Roman"/>
                <w:color w:val="000000" w:themeColor="text1"/>
                <w:sz w:val="16"/>
                <w:szCs w:val="16"/>
                <w:lang w:val="en-US"/>
              </w:rPr>
              <w:t xml:space="preserve"> </w:t>
            </w:r>
            <w:r w:rsidRPr="00A975C7">
              <w:rPr>
                <w:rFonts w:ascii="Times New Roman" w:hAnsi="Times New Roman" w:cs="Times New Roman"/>
                <w:color w:val="000000" w:themeColor="text1"/>
                <w:sz w:val="16"/>
                <w:szCs w:val="16"/>
                <w:lang w:val="en-US"/>
              </w:rPr>
              <w:t>(7.9-13.4)</w:t>
            </w:r>
          </w:p>
        </w:tc>
        <w:tc>
          <w:tcPr>
            <w:tcW w:w="397" w:type="dxa"/>
            <w:tcBorders>
              <w:left w:val="dashed" w:sz="4" w:space="0" w:color="auto"/>
            </w:tcBorders>
            <w:shd w:val="clear" w:color="auto" w:fill="FFFFFF" w:themeFill="background1"/>
          </w:tcPr>
          <w:p w14:paraId="375B025D" w14:textId="0CC15BC2" w:rsidR="0043425A" w:rsidRPr="001C61AA" w:rsidRDefault="0043425A" w:rsidP="007A1BB7">
            <w:pPr>
              <w:widowControl w:val="0"/>
              <w:autoSpaceDE w:val="0"/>
              <w:autoSpaceDN w:val="0"/>
              <w:adjustRightInd w:val="0"/>
              <w:spacing w:after="0" w:line="240" w:lineRule="auto"/>
              <w:jc w:val="center"/>
              <w:rPr>
                <w:rFonts w:ascii="Times New Roman" w:hAnsi="Times New Roman" w:cs="Times New Roman"/>
                <w:sz w:val="16"/>
                <w:szCs w:val="16"/>
                <w:lang w:val="en-US"/>
              </w:rPr>
            </w:pPr>
            <w:r w:rsidRPr="00A975C7">
              <w:rPr>
                <w:rFonts w:ascii="Times New Roman" w:hAnsi="Times New Roman" w:cs="Times New Roman"/>
                <w:color w:val="000000" w:themeColor="text1"/>
                <w:sz w:val="16"/>
                <w:szCs w:val="16"/>
                <w:lang w:val="en-US"/>
              </w:rPr>
              <w:t>39</w:t>
            </w:r>
          </w:p>
        </w:tc>
        <w:tc>
          <w:tcPr>
            <w:tcW w:w="1786" w:type="dxa"/>
            <w:gridSpan w:val="2"/>
            <w:tcBorders>
              <w:right w:val="dashed" w:sz="4" w:space="0" w:color="auto"/>
            </w:tcBorders>
            <w:shd w:val="clear" w:color="auto" w:fill="FFFFFF" w:themeFill="background1"/>
          </w:tcPr>
          <w:p w14:paraId="141CF1DC" w14:textId="67D7EC32" w:rsidR="0043425A" w:rsidRPr="001C61AA" w:rsidRDefault="0043425A" w:rsidP="00F26FF7">
            <w:pPr>
              <w:widowControl w:val="0"/>
              <w:autoSpaceDE w:val="0"/>
              <w:autoSpaceDN w:val="0"/>
              <w:adjustRightInd w:val="0"/>
              <w:spacing w:after="0" w:line="240" w:lineRule="auto"/>
              <w:ind w:left="44"/>
              <w:rPr>
                <w:rFonts w:ascii="Times New Roman" w:hAnsi="Times New Roman" w:cs="Times New Roman"/>
                <w:sz w:val="16"/>
                <w:szCs w:val="16"/>
                <w:lang w:val="en-US"/>
              </w:rPr>
            </w:pPr>
            <w:r w:rsidRPr="00A975C7">
              <w:rPr>
                <w:rFonts w:ascii="Times New Roman" w:hAnsi="Times New Roman" w:cs="Times New Roman"/>
                <w:color w:val="000000" w:themeColor="text1"/>
                <w:sz w:val="16"/>
                <w:szCs w:val="16"/>
                <w:lang w:val="en-US"/>
              </w:rPr>
              <w:t>9.0</w:t>
            </w:r>
            <w:r>
              <w:rPr>
                <w:rFonts w:ascii="Times New Roman" w:hAnsi="Times New Roman" w:cs="Times New Roman"/>
                <w:color w:val="000000" w:themeColor="text1"/>
                <w:sz w:val="16"/>
                <w:szCs w:val="16"/>
                <w:lang w:val="en-US"/>
              </w:rPr>
              <w:t xml:space="preserve"> </w:t>
            </w:r>
            <w:r w:rsidRPr="00A975C7">
              <w:rPr>
                <w:rFonts w:ascii="Times New Roman" w:hAnsi="Times New Roman" w:cs="Times New Roman"/>
                <w:color w:val="000000" w:themeColor="text1"/>
                <w:sz w:val="16"/>
                <w:szCs w:val="16"/>
                <w:lang w:val="en-US"/>
              </w:rPr>
              <w:t>(7.3-12.4)</w:t>
            </w:r>
          </w:p>
        </w:tc>
      </w:tr>
      <w:tr w:rsidR="00452352" w:rsidRPr="00452352" w14:paraId="0171FB1D" w14:textId="77777777" w:rsidTr="0056300B">
        <w:trPr>
          <w:trHeight w:val="113"/>
          <w:jc w:val="center"/>
        </w:trPr>
        <w:tc>
          <w:tcPr>
            <w:tcW w:w="2469" w:type="dxa"/>
            <w:tcBorders>
              <w:right w:val="dashed" w:sz="4" w:space="0" w:color="auto"/>
            </w:tcBorders>
            <w:shd w:val="clear" w:color="auto" w:fill="FFFFFF" w:themeFill="background1"/>
          </w:tcPr>
          <w:p w14:paraId="0C1B04F3" w14:textId="78E5B71D" w:rsidR="0043425A" w:rsidRPr="00452352" w:rsidRDefault="0043425A" w:rsidP="00513EB4">
            <w:pPr>
              <w:widowControl w:val="0"/>
              <w:autoSpaceDE w:val="0"/>
              <w:autoSpaceDN w:val="0"/>
              <w:adjustRightInd w:val="0"/>
              <w:spacing w:after="0" w:line="240" w:lineRule="auto"/>
              <w:ind w:left="676"/>
              <w:rPr>
                <w:rFonts w:ascii="Times New Roman" w:hAnsi="Times New Roman" w:cs="Times New Roman"/>
                <w:b/>
                <w:color w:val="000000" w:themeColor="text1"/>
                <w:sz w:val="16"/>
                <w:szCs w:val="16"/>
                <w:lang w:val="en-US"/>
              </w:rPr>
            </w:pPr>
            <w:r w:rsidRPr="00452352">
              <w:rPr>
                <w:rFonts w:ascii="Times New Roman" w:hAnsi="Times New Roman" w:cs="Times New Roman"/>
                <w:color w:val="000000" w:themeColor="text1"/>
                <w:sz w:val="16"/>
                <w:szCs w:val="16"/>
                <w:lang w:val="en-US"/>
              </w:rPr>
              <w:t>&gt;52 years</w:t>
            </w:r>
          </w:p>
        </w:tc>
        <w:tc>
          <w:tcPr>
            <w:tcW w:w="384" w:type="dxa"/>
            <w:tcBorders>
              <w:left w:val="dashed" w:sz="4" w:space="0" w:color="auto"/>
            </w:tcBorders>
            <w:shd w:val="clear" w:color="auto" w:fill="FFFFFF" w:themeFill="background1"/>
          </w:tcPr>
          <w:p w14:paraId="03998C96" w14:textId="1A407015" w:rsidR="0043425A" w:rsidRPr="00452352" w:rsidRDefault="0043425A" w:rsidP="007A1BB7">
            <w:pPr>
              <w:widowControl w:val="0"/>
              <w:autoSpaceDE w:val="0"/>
              <w:autoSpaceDN w:val="0"/>
              <w:adjustRightInd w:val="0"/>
              <w:spacing w:after="0" w:line="240" w:lineRule="auto"/>
              <w:jc w:val="center"/>
              <w:rPr>
                <w:rFonts w:ascii="Times New Roman" w:hAnsi="Times New Roman" w:cs="Times New Roman"/>
                <w:color w:val="000000" w:themeColor="text1"/>
                <w:sz w:val="16"/>
                <w:szCs w:val="16"/>
                <w:lang w:val="en-US"/>
              </w:rPr>
            </w:pPr>
            <w:r w:rsidRPr="00452352">
              <w:rPr>
                <w:rFonts w:ascii="Times New Roman" w:hAnsi="Times New Roman" w:cs="Times New Roman"/>
                <w:color w:val="000000" w:themeColor="text1"/>
                <w:sz w:val="16"/>
                <w:szCs w:val="16"/>
                <w:lang w:val="en-US"/>
              </w:rPr>
              <w:t>44</w:t>
            </w:r>
          </w:p>
        </w:tc>
        <w:tc>
          <w:tcPr>
            <w:tcW w:w="1758" w:type="dxa"/>
            <w:gridSpan w:val="2"/>
            <w:tcBorders>
              <w:right w:val="dashed" w:sz="4" w:space="0" w:color="auto"/>
            </w:tcBorders>
            <w:shd w:val="clear" w:color="auto" w:fill="FFFFFF" w:themeFill="background1"/>
          </w:tcPr>
          <w:p w14:paraId="5507EFF4" w14:textId="4C98052D" w:rsidR="0043425A" w:rsidRPr="00452352" w:rsidRDefault="0043425A" w:rsidP="0043425A">
            <w:pPr>
              <w:widowControl w:val="0"/>
              <w:autoSpaceDE w:val="0"/>
              <w:autoSpaceDN w:val="0"/>
              <w:adjustRightInd w:val="0"/>
              <w:spacing w:after="0" w:line="240" w:lineRule="auto"/>
              <w:ind w:left="91"/>
              <w:rPr>
                <w:rFonts w:ascii="Times New Roman" w:hAnsi="Times New Roman" w:cs="Times New Roman"/>
                <w:color w:val="000000" w:themeColor="text1"/>
                <w:sz w:val="16"/>
                <w:szCs w:val="16"/>
                <w:lang w:val="en-US"/>
              </w:rPr>
            </w:pPr>
            <w:r w:rsidRPr="00452352">
              <w:rPr>
                <w:rFonts w:ascii="Times New Roman" w:hAnsi="Times New Roman" w:cs="Times New Roman"/>
                <w:color w:val="000000" w:themeColor="text1"/>
                <w:sz w:val="16"/>
                <w:szCs w:val="16"/>
                <w:lang w:val="en-US"/>
              </w:rPr>
              <w:t>9.2 (7.9-12.3)</w:t>
            </w:r>
          </w:p>
        </w:tc>
        <w:tc>
          <w:tcPr>
            <w:tcW w:w="386" w:type="dxa"/>
            <w:tcBorders>
              <w:left w:val="dashed" w:sz="4" w:space="0" w:color="auto"/>
            </w:tcBorders>
            <w:shd w:val="clear" w:color="auto" w:fill="FFFFFF" w:themeFill="background1"/>
          </w:tcPr>
          <w:p w14:paraId="2C8D3E61" w14:textId="5456AA6D" w:rsidR="0043425A" w:rsidRPr="00452352" w:rsidRDefault="0043425A" w:rsidP="007A1BB7">
            <w:pPr>
              <w:widowControl w:val="0"/>
              <w:autoSpaceDE w:val="0"/>
              <w:autoSpaceDN w:val="0"/>
              <w:adjustRightInd w:val="0"/>
              <w:spacing w:after="0" w:line="240" w:lineRule="auto"/>
              <w:jc w:val="center"/>
              <w:rPr>
                <w:rFonts w:ascii="Times New Roman" w:hAnsi="Times New Roman" w:cs="Times New Roman"/>
                <w:color w:val="000000" w:themeColor="text1"/>
                <w:sz w:val="16"/>
                <w:szCs w:val="16"/>
                <w:lang w:val="en-US"/>
              </w:rPr>
            </w:pPr>
            <w:r w:rsidRPr="00452352">
              <w:rPr>
                <w:rFonts w:ascii="Times New Roman" w:hAnsi="Times New Roman" w:cs="Times New Roman"/>
                <w:color w:val="000000" w:themeColor="text1"/>
                <w:sz w:val="16"/>
                <w:szCs w:val="16"/>
                <w:lang w:val="en-US"/>
              </w:rPr>
              <w:t>44</w:t>
            </w:r>
          </w:p>
        </w:tc>
        <w:tc>
          <w:tcPr>
            <w:tcW w:w="1758" w:type="dxa"/>
            <w:gridSpan w:val="2"/>
            <w:tcBorders>
              <w:right w:val="dashed" w:sz="4" w:space="0" w:color="auto"/>
            </w:tcBorders>
            <w:shd w:val="clear" w:color="auto" w:fill="FFFFFF" w:themeFill="background1"/>
          </w:tcPr>
          <w:p w14:paraId="082F9824" w14:textId="3514AE7B" w:rsidR="0043425A" w:rsidRPr="00452352" w:rsidRDefault="0043425A" w:rsidP="00F26FF7">
            <w:pPr>
              <w:widowControl w:val="0"/>
              <w:autoSpaceDE w:val="0"/>
              <w:autoSpaceDN w:val="0"/>
              <w:adjustRightInd w:val="0"/>
              <w:spacing w:after="0" w:line="240" w:lineRule="auto"/>
              <w:ind w:left="73"/>
              <w:rPr>
                <w:rFonts w:ascii="Times New Roman" w:hAnsi="Times New Roman" w:cs="Times New Roman"/>
                <w:color w:val="000000" w:themeColor="text1"/>
                <w:sz w:val="16"/>
                <w:szCs w:val="16"/>
                <w:lang w:val="en-US"/>
              </w:rPr>
            </w:pPr>
            <w:r w:rsidRPr="00452352">
              <w:rPr>
                <w:rFonts w:ascii="Times New Roman" w:hAnsi="Times New Roman" w:cs="Times New Roman"/>
                <w:color w:val="000000" w:themeColor="text1"/>
                <w:sz w:val="16"/>
                <w:szCs w:val="16"/>
                <w:lang w:val="en-US"/>
              </w:rPr>
              <w:t>10.6 (7.7-15.5)</w:t>
            </w:r>
          </w:p>
        </w:tc>
        <w:tc>
          <w:tcPr>
            <w:tcW w:w="397" w:type="dxa"/>
            <w:tcBorders>
              <w:left w:val="dashed" w:sz="4" w:space="0" w:color="auto"/>
            </w:tcBorders>
            <w:shd w:val="clear" w:color="auto" w:fill="FFFFFF" w:themeFill="background1"/>
          </w:tcPr>
          <w:p w14:paraId="24EC4970" w14:textId="0EBC5B2C" w:rsidR="0043425A" w:rsidRPr="00452352" w:rsidRDefault="0043425A" w:rsidP="007A1BB7">
            <w:pPr>
              <w:widowControl w:val="0"/>
              <w:autoSpaceDE w:val="0"/>
              <w:autoSpaceDN w:val="0"/>
              <w:adjustRightInd w:val="0"/>
              <w:spacing w:after="0" w:line="240" w:lineRule="auto"/>
              <w:jc w:val="center"/>
              <w:rPr>
                <w:rFonts w:ascii="Times New Roman" w:hAnsi="Times New Roman" w:cs="Times New Roman"/>
                <w:color w:val="000000" w:themeColor="text1"/>
                <w:sz w:val="16"/>
                <w:szCs w:val="16"/>
                <w:lang w:val="en-US"/>
              </w:rPr>
            </w:pPr>
            <w:r w:rsidRPr="00452352">
              <w:rPr>
                <w:rFonts w:ascii="Times New Roman" w:hAnsi="Times New Roman" w:cs="Times New Roman"/>
                <w:color w:val="000000" w:themeColor="text1"/>
                <w:sz w:val="16"/>
                <w:szCs w:val="16"/>
                <w:lang w:val="en-US"/>
              </w:rPr>
              <w:t>27</w:t>
            </w:r>
          </w:p>
        </w:tc>
        <w:tc>
          <w:tcPr>
            <w:tcW w:w="1786" w:type="dxa"/>
            <w:gridSpan w:val="2"/>
            <w:tcBorders>
              <w:right w:val="dashed" w:sz="4" w:space="0" w:color="auto"/>
            </w:tcBorders>
            <w:shd w:val="clear" w:color="auto" w:fill="FFFFFF" w:themeFill="background1"/>
          </w:tcPr>
          <w:p w14:paraId="3EA956C1" w14:textId="5AF63C39" w:rsidR="0043425A" w:rsidRPr="00452352" w:rsidRDefault="0043425A" w:rsidP="00F26FF7">
            <w:pPr>
              <w:widowControl w:val="0"/>
              <w:autoSpaceDE w:val="0"/>
              <w:autoSpaceDN w:val="0"/>
              <w:adjustRightInd w:val="0"/>
              <w:spacing w:after="0" w:line="240" w:lineRule="auto"/>
              <w:ind w:left="44"/>
              <w:rPr>
                <w:rFonts w:ascii="Times New Roman" w:hAnsi="Times New Roman" w:cs="Times New Roman"/>
                <w:color w:val="000000" w:themeColor="text1"/>
                <w:sz w:val="16"/>
                <w:szCs w:val="16"/>
                <w:lang w:val="en-US"/>
              </w:rPr>
            </w:pPr>
            <w:r w:rsidRPr="00452352">
              <w:rPr>
                <w:rFonts w:ascii="Times New Roman" w:hAnsi="Times New Roman" w:cs="Times New Roman"/>
                <w:color w:val="000000" w:themeColor="text1"/>
                <w:sz w:val="16"/>
                <w:szCs w:val="16"/>
                <w:lang w:val="en-US"/>
              </w:rPr>
              <w:t>9.4 (7.8-14.3)</w:t>
            </w:r>
          </w:p>
        </w:tc>
      </w:tr>
      <w:tr w:rsidR="00452352" w:rsidRPr="00452352" w14:paraId="5420EC8D" w14:textId="77777777" w:rsidTr="00BD714C">
        <w:trPr>
          <w:trHeight w:val="113"/>
          <w:jc w:val="center"/>
        </w:trPr>
        <w:tc>
          <w:tcPr>
            <w:tcW w:w="2469" w:type="dxa"/>
            <w:tcBorders>
              <w:right w:val="dashed" w:sz="4" w:space="0" w:color="auto"/>
            </w:tcBorders>
            <w:shd w:val="clear" w:color="auto" w:fill="F2F2F2" w:themeFill="background1" w:themeFillShade="F2"/>
          </w:tcPr>
          <w:p w14:paraId="376BFFED" w14:textId="31C5D8FC" w:rsidR="00024A59" w:rsidRPr="00452352" w:rsidRDefault="00024A59" w:rsidP="00BD714C">
            <w:pPr>
              <w:widowControl w:val="0"/>
              <w:autoSpaceDE w:val="0"/>
              <w:autoSpaceDN w:val="0"/>
              <w:adjustRightInd w:val="0"/>
              <w:spacing w:after="0" w:line="240" w:lineRule="auto"/>
              <w:rPr>
                <w:rFonts w:ascii="Times New Roman" w:hAnsi="Times New Roman" w:cs="Times New Roman"/>
                <w:b/>
                <w:color w:val="000000" w:themeColor="text1"/>
                <w:sz w:val="16"/>
                <w:szCs w:val="16"/>
                <w:lang w:val="en-US"/>
              </w:rPr>
            </w:pPr>
            <w:r w:rsidRPr="00452352">
              <w:rPr>
                <w:rFonts w:ascii="Times New Roman" w:hAnsi="Times New Roman" w:cs="Times New Roman"/>
                <w:b/>
                <w:color w:val="000000" w:themeColor="text1"/>
                <w:sz w:val="16"/>
                <w:szCs w:val="16"/>
                <w:lang w:val="en-US"/>
              </w:rPr>
              <w:t>Arterial hypertension</w:t>
            </w:r>
          </w:p>
        </w:tc>
        <w:tc>
          <w:tcPr>
            <w:tcW w:w="384" w:type="dxa"/>
            <w:tcBorders>
              <w:left w:val="dashed" w:sz="4" w:space="0" w:color="auto"/>
            </w:tcBorders>
            <w:shd w:val="clear" w:color="auto" w:fill="F2F2F2" w:themeFill="background1" w:themeFillShade="F2"/>
          </w:tcPr>
          <w:p w14:paraId="4545FED7" w14:textId="77777777" w:rsidR="00024A59" w:rsidRPr="00452352" w:rsidRDefault="00024A59" w:rsidP="00BD714C">
            <w:pPr>
              <w:widowControl w:val="0"/>
              <w:autoSpaceDE w:val="0"/>
              <w:autoSpaceDN w:val="0"/>
              <w:adjustRightInd w:val="0"/>
              <w:spacing w:after="0" w:line="240" w:lineRule="auto"/>
              <w:jc w:val="center"/>
              <w:rPr>
                <w:rFonts w:ascii="Times New Roman" w:hAnsi="Times New Roman" w:cs="Times New Roman"/>
                <w:color w:val="000000" w:themeColor="text1"/>
                <w:sz w:val="16"/>
                <w:szCs w:val="16"/>
                <w:lang w:val="en-US"/>
              </w:rPr>
            </w:pPr>
          </w:p>
        </w:tc>
        <w:tc>
          <w:tcPr>
            <w:tcW w:w="964" w:type="dxa"/>
            <w:shd w:val="clear" w:color="auto" w:fill="F2F2F2" w:themeFill="background1" w:themeFillShade="F2"/>
          </w:tcPr>
          <w:p w14:paraId="294E4C7B" w14:textId="77777777" w:rsidR="00024A59" w:rsidRPr="00452352" w:rsidRDefault="00024A59" w:rsidP="00BD714C">
            <w:pPr>
              <w:widowControl w:val="0"/>
              <w:autoSpaceDE w:val="0"/>
              <w:autoSpaceDN w:val="0"/>
              <w:adjustRightInd w:val="0"/>
              <w:spacing w:after="0" w:line="240" w:lineRule="auto"/>
              <w:jc w:val="center"/>
              <w:rPr>
                <w:rFonts w:ascii="Times New Roman" w:hAnsi="Times New Roman" w:cs="Times New Roman"/>
                <w:color w:val="000000" w:themeColor="text1"/>
                <w:sz w:val="16"/>
                <w:szCs w:val="16"/>
                <w:lang w:val="en-US"/>
              </w:rPr>
            </w:pPr>
          </w:p>
        </w:tc>
        <w:tc>
          <w:tcPr>
            <w:tcW w:w="794" w:type="dxa"/>
            <w:tcBorders>
              <w:right w:val="dashed" w:sz="4" w:space="0" w:color="auto"/>
            </w:tcBorders>
            <w:shd w:val="clear" w:color="auto" w:fill="F2F2F2" w:themeFill="background1" w:themeFillShade="F2"/>
          </w:tcPr>
          <w:p w14:paraId="3BD8E460" w14:textId="5015C9A3" w:rsidR="00024A59" w:rsidRPr="00452352" w:rsidRDefault="00024A59" w:rsidP="00BD714C">
            <w:pPr>
              <w:widowControl w:val="0"/>
              <w:autoSpaceDE w:val="0"/>
              <w:autoSpaceDN w:val="0"/>
              <w:adjustRightInd w:val="0"/>
              <w:spacing w:after="0" w:line="240" w:lineRule="auto"/>
              <w:jc w:val="right"/>
              <w:rPr>
                <w:rFonts w:ascii="Times New Roman" w:hAnsi="Times New Roman" w:cs="Times New Roman"/>
                <w:color w:val="000000" w:themeColor="text1"/>
                <w:sz w:val="16"/>
                <w:szCs w:val="16"/>
                <w:lang w:val="en-US"/>
              </w:rPr>
            </w:pPr>
            <w:r w:rsidRPr="00452352">
              <w:rPr>
                <w:rFonts w:ascii="Times New Roman" w:hAnsi="Times New Roman" w:cs="Times New Roman"/>
                <w:color w:val="000000" w:themeColor="text1"/>
                <w:sz w:val="16"/>
                <w:szCs w:val="16"/>
                <w:lang w:val="en-US"/>
              </w:rPr>
              <w:t>0.351</w:t>
            </w:r>
          </w:p>
        </w:tc>
        <w:tc>
          <w:tcPr>
            <w:tcW w:w="386" w:type="dxa"/>
            <w:tcBorders>
              <w:left w:val="dashed" w:sz="4" w:space="0" w:color="auto"/>
            </w:tcBorders>
            <w:shd w:val="clear" w:color="auto" w:fill="F2F2F2" w:themeFill="background1" w:themeFillShade="F2"/>
          </w:tcPr>
          <w:p w14:paraId="0ABDFA9D" w14:textId="77777777" w:rsidR="00024A59" w:rsidRPr="00452352" w:rsidRDefault="00024A59" w:rsidP="00BD714C">
            <w:pPr>
              <w:widowControl w:val="0"/>
              <w:autoSpaceDE w:val="0"/>
              <w:autoSpaceDN w:val="0"/>
              <w:adjustRightInd w:val="0"/>
              <w:spacing w:after="0" w:line="240" w:lineRule="auto"/>
              <w:jc w:val="center"/>
              <w:rPr>
                <w:rFonts w:ascii="Times New Roman" w:hAnsi="Times New Roman" w:cs="Times New Roman"/>
                <w:color w:val="000000" w:themeColor="text1"/>
                <w:sz w:val="16"/>
                <w:szCs w:val="16"/>
                <w:lang w:val="en-US"/>
              </w:rPr>
            </w:pPr>
          </w:p>
        </w:tc>
        <w:tc>
          <w:tcPr>
            <w:tcW w:w="964" w:type="dxa"/>
            <w:shd w:val="clear" w:color="auto" w:fill="F2F2F2" w:themeFill="background1" w:themeFillShade="F2"/>
          </w:tcPr>
          <w:p w14:paraId="3544144E" w14:textId="77777777" w:rsidR="00024A59" w:rsidRPr="00452352" w:rsidRDefault="00024A59" w:rsidP="00BD714C">
            <w:pPr>
              <w:widowControl w:val="0"/>
              <w:autoSpaceDE w:val="0"/>
              <w:autoSpaceDN w:val="0"/>
              <w:adjustRightInd w:val="0"/>
              <w:spacing w:after="0" w:line="240" w:lineRule="auto"/>
              <w:jc w:val="center"/>
              <w:rPr>
                <w:rFonts w:ascii="Times New Roman" w:hAnsi="Times New Roman" w:cs="Times New Roman"/>
                <w:color w:val="000000" w:themeColor="text1"/>
                <w:sz w:val="16"/>
                <w:szCs w:val="16"/>
                <w:lang w:val="en-US"/>
              </w:rPr>
            </w:pPr>
          </w:p>
        </w:tc>
        <w:tc>
          <w:tcPr>
            <w:tcW w:w="794" w:type="dxa"/>
            <w:tcBorders>
              <w:right w:val="dashed" w:sz="4" w:space="0" w:color="auto"/>
            </w:tcBorders>
            <w:shd w:val="clear" w:color="auto" w:fill="F2F2F2" w:themeFill="background1" w:themeFillShade="F2"/>
          </w:tcPr>
          <w:p w14:paraId="0FCBC1D1" w14:textId="6976F604" w:rsidR="00024A59" w:rsidRPr="00452352" w:rsidRDefault="00024A59" w:rsidP="00BD714C">
            <w:pPr>
              <w:widowControl w:val="0"/>
              <w:autoSpaceDE w:val="0"/>
              <w:autoSpaceDN w:val="0"/>
              <w:adjustRightInd w:val="0"/>
              <w:spacing w:after="0" w:line="240" w:lineRule="auto"/>
              <w:jc w:val="right"/>
              <w:rPr>
                <w:rFonts w:ascii="Times New Roman" w:hAnsi="Times New Roman" w:cs="Times New Roman"/>
                <w:color w:val="000000" w:themeColor="text1"/>
                <w:sz w:val="16"/>
                <w:szCs w:val="16"/>
                <w:lang w:val="en-US"/>
              </w:rPr>
            </w:pPr>
            <w:r w:rsidRPr="00452352">
              <w:rPr>
                <w:rFonts w:ascii="Times New Roman" w:hAnsi="Times New Roman" w:cs="Times New Roman"/>
                <w:color w:val="000000" w:themeColor="text1"/>
                <w:sz w:val="16"/>
                <w:szCs w:val="16"/>
                <w:lang w:val="en-US"/>
              </w:rPr>
              <w:t>0.187</w:t>
            </w:r>
          </w:p>
        </w:tc>
        <w:tc>
          <w:tcPr>
            <w:tcW w:w="397" w:type="dxa"/>
            <w:tcBorders>
              <w:left w:val="dashed" w:sz="4" w:space="0" w:color="auto"/>
            </w:tcBorders>
            <w:shd w:val="clear" w:color="auto" w:fill="F2F2F2" w:themeFill="background1" w:themeFillShade="F2"/>
          </w:tcPr>
          <w:p w14:paraId="16D71B5C" w14:textId="77777777" w:rsidR="00024A59" w:rsidRPr="00452352" w:rsidRDefault="00024A59" w:rsidP="00BD714C">
            <w:pPr>
              <w:widowControl w:val="0"/>
              <w:autoSpaceDE w:val="0"/>
              <w:autoSpaceDN w:val="0"/>
              <w:adjustRightInd w:val="0"/>
              <w:spacing w:after="0" w:line="240" w:lineRule="auto"/>
              <w:jc w:val="center"/>
              <w:rPr>
                <w:rFonts w:ascii="Times New Roman" w:hAnsi="Times New Roman" w:cs="Times New Roman"/>
                <w:color w:val="000000" w:themeColor="text1"/>
                <w:sz w:val="16"/>
                <w:szCs w:val="16"/>
                <w:lang w:val="en-US"/>
              </w:rPr>
            </w:pPr>
          </w:p>
        </w:tc>
        <w:tc>
          <w:tcPr>
            <w:tcW w:w="992" w:type="dxa"/>
            <w:shd w:val="clear" w:color="auto" w:fill="F2F2F2" w:themeFill="background1" w:themeFillShade="F2"/>
          </w:tcPr>
          <w:p w14:paraId="5541673F" w14:textId="77777777" w:rsidR="00024A59" w:rsidRPr="00452352" w:rsidRDefault="00024A59" w:rsidP="00BD714C">
            <w:pPr>
              <w:widowControl w:val="0"/>
              <w:autoSpaceDE w:val="0"/>
              <w:autoSpaceDN w:val="0"/>
              <w:adjustRightInd w:val="0"/>
              <w:spacing w:after="0" w:line="240" w:lineRule="auto"/>
              <w:jc w:val="center"/>
              <w:rPr>
                <w:rFonts w:ascii="Times New Roman" w:hAnsi="Times New Roman" w:cs="Times New Roman"/>
                <w:color w:val="000000" w:themeColor="text1"/>
                <w:sz w:val="16"/>
                <w:szCs w:val="16"/>
                <w:lang w:val="en-US"/>
              </w:rPr>
            </w:pPr>
          </w:p>
        </w:tc>
        <w:tc>
          <w:tcPr>
            <w:tcW w:w="794" w:type="dxa"/>
            <w:tcBorders>
              <w:right w:val="dashed" w:sz="4" w:space="0" w:color="auto"/>
            </w:tcBorders>
            <w:shd w:val="clear" w:color="auto" w:fill="F2F2F2" w:themeFill="background1" w:themeFillShade="F2"/>
          </w:tcPr>
          <w:p w14:paraId="4922B906" w14:textId="411919BD" w:rsidR="00024A59" w:rsidRPr="00452352" w:rsidRDefault="00024A59" w:rsidP="00BD714C">
            <w:pPr>
              <w:widowControl w:val="0"/>
              <w:autoSpaceDE w:val="0"/>
              <w:autoSpaceDN w:val="0"/>
              <w:adjustRightInd w:val="0"/>
              <w:spacing w:after="0" w:line="240" w:lineRule="auto"/>
              <w:jc w:val="right"/>
              <w:rPr>
                <w:rFonts w:ascii="Times New Roman" w:hAnsi="Times New Roman" w:cs="Times New Roman"/>
                <w:color w:val="000000" w:themeColor="text1"/>
                <w:sz w:val="16"/>
                <w:szCs w:val="16"/>
                <w:lang w:val="en-US"/>
              </w:rPr>
            </w:pPr>
            <w:r w:rsidRPr="00452352">
              <w:rPr>
                <w:rFonts w:ascii="Times New Roman" w:hAnsi="Times New Roman" w:cs="Times New Roman"/>
                <w:color w:val="000000" w:themeColor="text1"/>
                <w:sz w:val="16"/>
                <w:szCs w:val="16"/>
                <w:lang w:val="en-US"/>
              </w:rPr>
              <w:t>0.057</w:t>
            </w:r>
          </w:p>
        </w:tc>
      </w:tr>
      <w:tr w:rsidR="00452352" w:rsidRPr="00452352" w14:paraId="3829CCFD" w14:textId="77777777" w:rsidTr="00BD714C">
        <w:trPr>
          <w:trHeight w:val="113"/>
          <w:jc w:val="center"/>
        </w:trPr>
        <w:tc>
          <w:tcPr>
            <w:tcW w:w="2469" w:type="dxa"/>
            <w:tcBorders>
              <w:right w:val="dashed" w:sz="4" w:space="0" w:color="auto"/>
            </w:tcBorders>
            <w:shd w:val="clear" w:color="auto" w:fill="FFFFFF" w:themeFill="background1"/>
          </w:tcPr>
          <w:p w14:paraId="0E1FC11B" w14:textId="77777777" w:rsidR="00024A59" w:rsidRPr="00452352" w:rsidRDefault="00024A59" w:rsidP="00BD714C">
            <w:pPr>
              <w:widowControl w:val="0"/>
              <w:autoSpaceDE w:val="0"/>
              <w:autoSpaceDN w:val="0"/>
              <w:adjustRightInd w:val="0"/>
              <w:spacing w:after="0" w:line="240" w:lineRule="auto"/>
              <w:ind w:left="676"/>
              <w:rPr>
                <w:rFonts w:ascii="Times New Roman" w:hAnsi="Times New Roman" w:cs="Times New Roman"/>
                <w:b/>
                <w:color w:val="000000" w:themeColor="text1"/>
                <w:sz w:val="16"/>
                <w:szCs w:val="16"/>
                <w:lang w:val="en-US"/>
              </w:rPr>
            </w:pPr>
            <w:r w:rsidRPr="00452352">
              <w:rPr>
                <w:rFonts w:ascii="Times New Roman" w:hAnsi="Times New Roman" w:cs="Times New Roman"/>
                <w:color w:val="000000" w:themeColor="text1"/>
                <w:sz w:val="16"/>
                <w:szCs w:val="16"/>
                <w:lang w:val="en-US"/>
              </w:rPr>
              <w:t>No</w:t>
            </w:r>
          </w:p>
        </w:tc>
        <w:tc>
          <w:tcPr>
            <w:tcW w:w="384" w:type="dxa"/>
            <w:tcBorders>
              <w:left w:val="dashed" w:sz="4" w:space="0" w:color="auto"/>
            </w:tcBorders>
            <w:shd w:val="clear" w:color="auto" w:fill="FFFFFF" w:themeFill="background1"/>
          </w:tcPr>
          <w:p w14:paraId="733FE127" w14:textId="01C027DF" w:rsidR="00024A59" w:rsidRPr="00452352" w:rsidRDefault="00024A59" w:rsidP="00BD714C">
            <w:pPr>
              <w:widowControl w:val="0"/>
              <w:autoSpaceDE w:val="0"/>
              <w:autoSpaceDN w:val="0"/>
              <w:adjustRightInd w:val="0"/>
              <w:spacing w:after="0" w:line="240" w:lineRule="auto"/>
              <w:jc w:val="center"/>
              <w:rPr>
                <w:rFonts w:ascii="Times New Roman" w:hAnsi="Times New Roman" w:cs="Times New Roman"/>
                <w:color w:val="000000" w:themeColor="text1"/>
                <w:sz w:val="16"/>
                <w:szCs w:val="16"/>
                <w:lang w:val="en-US"/>
              </w:rPr>
            </w:pPr>
            <w:r w:rsidRPr="00452352">
              <w:rPr>
                <w:rFonts w:ascii="Times New Roman" w:hAnsi="Times New Roman" w:cs="Times New Roman"/>
                <w:color w:val="000000" w:themeColor="text1"/>
                <w:sz w:val="16"/>
                <w:szCs w:val="16"/>
                <w:lang w:val="en-US"/>
              </w:rPr>
              <w:t>54</w:t>
            </w:r>
          </w:p>
        </w:tc>
        <w:tc>
          <w:tcPr>
            <w:tcW w:w="1758" w:type="dxa"/>
            <w:gridSpan w:val="2"/>
            <w:tcBorders>
              <w:right w:val="dashed" w:sz="4" w:space="0" w:color="auto"/>
            </w:tcBorders>
            <w:shd w:val="clear" w:color="auto" w:fill="FFFFFF" w:themeFill="background1"/>
          </w:tcPr>
          <w:p w14:paraId="74AD85C8" w14:textId="45395404" w:rsidR="00024A59" w:rsidRPr="00452352" w:rsidRDefault="00024A59" w:rsidP="00BD714C">
            <w:pPr>
              <w:widowControl w:val="0"/>
              <w:autoSpaceDE w:val="0"/>
              <w:autoSpaceDN w:val="0"/>
              <w:adjustRightInd w:val="0"/>
              <w:spacing w:after="0" w:line="240" w:lineRule="auto"/>
              <w:ind w:left="91"/>
              <w:rPr>
                <w:rFonts w:ascii="Times New Roman" w:hAnsi="Times New Roman" w:cs="Times New Roman"/>
                <w:color w:val="000000" w:themeColor="text1"/>
                <w:sz w:val="16"/>
                <w:szCs w:val="16"/>
                <w:lang w:val="en-US"/>
              </w:rPr>
            </w:pPr>
            <w:r w:rsidRPr="00452352">
              <w:rPr>
                <w:rFonts w:ascii="Times New Roman" w:hAnsi="Times New Roman" w:cs="Times New Roman"/>
                <w:color w:val="000000" w:themeColor="text1"/>
                <w:sz w:val="16"/>
                <w:szCs w:val="16"/>
                <w:lang w:val="en-US"/>
              </w:rPr>
              <w:t>9.0 (6.9-10.9)</w:t>
            </w:r>
          </w:p>
        </w:tc>
        <w:tc>
          <w:tcPr>
            <w:tcW w:w="386" w:type="dxa"/>
            <w:tcBorders>
              <w:left w:val="dashed" w:sz="4" w:space="0" w:color="auto"/>
            </w:tcBorders>
            <w:shd w:val="clear" w:color="auto" w:fill="FFFFFF" w:themeFill="background1"/>
          </w:tcPr>
          <w:p w14:paraId="3FF24A29" w14:textId="688D20F2" w:rsidR="00024A59" w:rsidRPr="00452352" w:rsidRDefault="00024A59" w:rsidP="00BD714C">
            <w:pPr>
              <w:widowControl w:val="0"/>
              <w:autoSpaceDE w:val="0"/>
              <w:autoSpaceDN w:val="0"/>
              <w:adjustRightInd w:val="0"/>
              <w:spacing w:after="0" w:line="240" w:lineRule="auto"/>
              <w:jc w:val="center"/>
              <w:rPr>
                <w:rFonts w:ascii="Times New Roman" w:hAnsi="Times New Roman" w:cs="Times New Roman"/>
                <w:color w:val="000000" w:themeColor="text1"/>
                <w:sz w:val="16"/>
                <w:szCs w:val="16"/>
                <w:lang w:val="en-US"/>
              </w:rPr>
            </w:pPr>
            <w:r w:rsidRPr="00452352">
              <w:rPr>
                <w:rFonts w:ascii="Times New Roman" w:hAnsi="Times New Roman" w:cs="Times New Roman"/>
                <w:color w:val="000000" w:themeColor="text1"/>
                <w:sz w:val="16"/>
                <w:szCs w:val="16"/>
                <w:lang w:val="en-US"/>
              </w:rPr>
              <w:t>59</w:t>
            </w:r>
          </w:p>
        </w:tc>
        <w:tc>
          <w:tcPr>
            <w:tcW w:w="1758" w:type="dxa"/>
            <w:gridSpan w:val="2"/>
            <w:tcBorders>
              <w:right w:val="dashed" w:sz="4" w:space="0" w:color="auto"/>
            </w:tcBorders>
            <w:shd w:val="clear" w:color="auto" w:fill="FFFFFF" w:themeFill="background1"/>
          </w:tcPr>
          <w:p w14:paraId="4D13CE27" w14:textId="00E8F315" w:rsidR="00024A59" w:rsidRPr="00452352" w:rsidRDefault="00AF0F5E" w:rsidP="00BD714C">
            <w:pPr>
              <w:widowControl w:val="0"/>
              <w:autoSpaceDE w:val="0"/>
              <w:autoSpaceDN w:val="0"/>
              <w:adjustRightInd w:val="0"/>
              <w:spacing w:after="0" w:line="240" w:lineRule="auto"/>
              <w:ind w:left="73"/>
              <w:rPr>
                <w:rFonts w:ascii="Times New Roman" w:hAnsi="Times New Roman" w:cs="Times New Roman"/>
                <w:color w:val="000000" w:themeColor="text1"/>
                <w:sz w:val="16"/>
                <w:szCs w:val="16"/>
                <w:lang w:val="en-US"/>
              </w:rPr>
            </w:pPr>
            <w:r w:rsidRPr="00452352">
              <w:rPr>
                <w:rFonts w:ascii="Times New Roman" w:hAnsi="Times New Roman" w:cs="Times New Roman"/>
                <w:color w:val="000000" w:themeColor="text1"/>
                <w:sz w:val="16"/>
                <w:szCs w:val="16"/>
                <w:lang w:val="en-US"/>
              </w:rPr>
              <w:t>8.9</w:t>
            </w:r>
            <w:r w:rsidR="00024A59" w:rsidRPr="00452352">
              <w:rPr>
                <w:rFonts w:ascii="Times New Roman" w:hAnsi="Times New Roman" w:cs="Times New Roman"/>
                <w:color w:val="000000" w:themeColor="text1"/>
                <w:sz w:val="16"/>
                <w:szCs w:val="16"/>
                <w:lang w:val="en-US"/>
              </w:rPr>
              <w:t xml:space="preserve"> (</w:t>
            </w:r>
            <w:r w:rsidRPr="00452352">
              <w:rPr>
                <w:rFonts w:ascii="Times New Roman" w:hAnsi="Times New Roman" w:cs="Times New Roman"/>
                <w:color w:val="000000" w:themeColor="text1"/>
                <w:sz w:val="16"/>
                <w:szCs w:val="16"/>
                <w:lang w:val="en-US"/>
              </w:rPr>
              <w:t>7.4</w:t>
            </w:r>
            <w:r w:rsidR="00024A59" w:rsidRPr="00452352">
              <w:rPr>
                <w:rFonts w:ascii="Times New Roman" w:hAnsi="Times New Roman" w:cs="Times New Roman"/>
                <w:color w:val="000000" w:themeColor="text1"/>
                <w:sz w:val="16"/>
                <w:szCs w:val="16"/>
                <w:lang w:val="en-US"/>
              </w:rPr>
              <w:t>-</w:t>
            </w:r>
            <w:r w:rsidRPr="00452352">
              <w:rPr>
                <w:rFonts w:ascii="Times New Roman" w:hAnsi="Times New Roman" w:cs="Times New Roman"/>
                <w:color w:val="000000" w:themeColor="text1"/>
                <w:sz w:val="16"/>
                <w:szCs w:val="16"/>
                <w:lang w:val="en-US"/>
              </w:rPr>
              <w:t>12.4</w:t>
            </w:r>
            <w:r w:rsidR="00024A59" w:rsidRPr="00452352">
              <w:rPr>
                <w:rFonts w:ascii="Times New Roman" w:hAnsi="Times New Roman" w:cs="Times New Roman"/>
                <w:color w:val="000000" w:themeColor="text1"/>
                <w:sz w:val="16"/>
                <w:szCs w:val="16"/>
                <w:lang w:val="en-US"/>
              </w:rPr>
              <w:t>)</w:t>
            </w:r>
          </w:p>
        </w:tc>
        <w:tc>
          <w:tcPr>
            <w:tcW w:w="397" w:type="dxa"/>
            <w:tcBorders>
              <w:left w:val="dashed" w:sz="4" w:space="0" w:color="auto"/>
            </w:tcBorders>
            <w:shd w:val="clear" w:color="auto" w:fill="FFFFFF" w:themeFill="background1"/>
          </w:tcPr>
          <w:p w14:paraId="0BD87E0C" w14:textId="2B62813E" w:rsidR="00024A59" w:rsidRPr="00452352" w:rsidRDefault="00024A59" w:rsidP="00BD714C">
            <w:pPr>
              <w:widowControl w:val="0"/>
              <w:autoSpaceDE w:val="0"/>
              <w:autoSpaceDN w:val="0"/>
              <w:adjustRightInd w:val="0"/>
              <w:spacing w:after="0" w:line="240" w:lineRule="auto"/>
              <w:jc w:val="center"/>
              <w:rPr>
                <w:rFonts w:ascii="Times New Roman" w:hAnsi="Times New Roman" w:cs="Times New Roman"/>
                <w:color w:val="000000" w:themeColor="text1"/>
                <w:sz w:val="16"/>
                <w:szCs w:val="16"/>
                <w:lang w:val="en-US"/>
              </w:rPr>
            </w:pPr>
            <w:r w:rsidRPr="00452352">
              <w:rPr>
                <w:rFonts w:ascii="Times New Roman" w:hAnsi="Times New Roman" w:cs="Times New Roman"/>
                <w:color w:val="000000" w:themeColor="text1"/>
                <w:sz w:val="16"/>
                <w:szCs w:val="16"/>
                <w:lang w:val="en-US"/>
              </w:rPr>
              <w:t>46</w:t>
            </w:r>
          </w:p>
        </w:tc>
        <w:tc>
          <w:tcPr>
            <w:tcW w:w="1786" w:type="dxa"/>
            <w:gridSpan w:val="2"/>
            <w:tcBorders>
              <w:right w:val="dashed" w:sz="4" w:space="0" w:color="auto"/>
            </w:tcBorders>
            <w:shd w:val="clear" w:color="auto" w:fill="FFFFFF" w:themeFill="background1"/>
          </w:tcPr>
          <w:p w14:paraId="0B68379A" w14:textId="3BCE5538" w:rsidR="00024A59" w:rsidRPr="00452352" w:rsidRDefault="00AF0F5E" w:rsidP="00BD714C">
            <w:pPr>
              <w:widowControl w:val="0"/>
              <w:autoSpaceDE w:val="0"/>
              <w:autoSpaceDN w:val="0"/>
              <w:adjustRightInd w:val="0"/>
              <w:spacing w:after="0" w:line="240" w:lineRule="auto"/>
              <w:ind w:left="44"/>
              <w:rPr>
                <w:rFonts w:ascii="Times New Roman" w:hAnsi="Times New Roman" w:cs="Times New Roman"/>
                <w:color w:val="000000" w:themeColor="text1"/>
                <w:sz w:val="16"/>
                <w:szCs w:val="16"/>
                <w:lang w:val="en-US"/>
              </w:rPr>
            </w:pPr>
            <w:r w:rsidRPr="00452352">
              <w:rPr>
                <w:rFonts w:ascii="Times New Roman" w:hAnsi="Times New Roman" w:cs="Times New Roman"/>
                <w:color w:val="000000" w:themeColor="text1"/>
                <w:sz w:val="16"/>
                <w:szCs w:val="16"/>
                <w:lang w:val="en-US"/>
              </w:rPr>
              <w:t>8.8</w:t>
            </w:r>
            <w:r w:rsidR="00024A59" w:rsidRPr="00452352">
              <w:rPr>
                <w:rFonts w:ascii="Times New Roman" w:hAnsi="Times New Roman" w:cs="Times New Roman"/>
                <w:color w:val="000000" w:themeColor="text1"/>
                <w:sz w:val="16"/>
                <w:szCs w:val="16"/>
                <w:lang w:val="en-US"/>
              </w:rPr>
              <w:t xml:space="preserve"> (</w:t>
            </w:r>
            <w:r w:rsidRPr="00452352">
              <w:rPr>
                <w:rFonts w:ascii="Times New Roman" w:hAnsi="Times New Roman" w:cs="Times New Roman"/>
                <w:color w:val="000000" w:themeColor="text1"/>
                <w:sz w:val="16"/>
                <w:szCs w:val="16"/>
                <w:lang w:val="en-US"/>
              </w:rPr>
              <w:t>6.9</w:t>
            </w:r>
            <w:r w:rsidR="00024A59" w:rsidRPr="00452352">
              <w:rPr>
                <w:rFonts w:ascii="Times New Roman" w:hAnsi="Times New Roman" w:cs="Times New Roman"/>
                <w:color w:val="000000" w:themeColor="text1"/>
                <w:sz w:val="16"/>
                <w:szCs w:val="16"/>
                <w:lang w:val="en-US"/>
              </w:rPr>
              <w:t>-</w:t>
            </w:r>
            <w:r w:rsidRPr="00452352">
              <w:rPr>
                <w:rFonts w:ascii="Times New Roman" w:hAnsi="Times New Roman" w:cs="Times New Roman"/>
                <w:color w:val="000000" w:themeColor="text1"/>
                <w:sz w:val="16"/>
                <w:szCs w:val="16"/>
                <w:lang w:val="en-US"/>
              </w:rPr>
              <w:t>12.0</w:t>
            </w:r>
            <w:r w:rsidR="00024A59" w:rsidRPr="00452352">
              <w:rPr>
                <w:rFonts w:ascii="Times New Roman" w:hAnsi="Times New Roman" w:cs="Times New Roman"/>
                <w:color w:val="000000" w:themeColor="text1"/>
                <w:sz w:val="16"/>
                <w:szCs w:val="16"/>
                <w:lang w:val="en-US"/>
              </w:rPr>
              <w:t>)</w:t>
            </w:r>
          </w:p>
        </w:tc>
      </w:tr>
      <w:tr w:rsidR="00452352" w:rsidRPr="00452352" w14:paraId="13157BA9" w14:textId="77777777" w:rsidTr="00BD714C">
        <w:trPr>
          <w:trHeight w:val="113"/>
          <w:jc w:val="center"/>
        </w:trPr>
        <w:tc>
          <w:tcPr>
            <w:tcW w:w="2469" w:type="dxa"/>
            <w:tcBorders>
              <w:right w:val="dashed" w:sz="4" w:space="0" w:color="auto"/>
            </w:tcBorders>
            <w:shd w:val="clear" w:color="auto" w:fill="FFFFFF" w:themeFill="background1"/>
          </w:tcPr>
          <w:p w14:paraId="36A9C8AC" w14:textId="77777777" w:rsidR="00024A59" w:rsidRPr="00452352" w:rsidRDefault="00024A59" w:rsidP="00BD714C">
            <w:pPr>
              <w:widowControl w:val="0"/>
              <w:autoSpaceDE w:val="0"/>
              <w:autoSpaceDN w:val="0"/>
              <w:adjustRightInd w:val="0"/>
              <w:spacing w:after="0" w:line="240" w:lineRule="auto"/>
              <w:ind w:left="676"/>
              <w:rPr>
                <w:rFonts w:ascii="Times New Roman" w:hAnsi="Times New Roman" w:cs="Times New Roman"/>
                <w:b/>
                <w:color w:val="000000" w:themeColor="text1"/>
                <w:sz w:val="16"/>
                <w:szCs w:val="16"/>
                <w:lang w:val="en-US"/>
              </w:rPr>
            </w:pPr>
            <w:r w:rsidRPr="00452352">
              <w:rPr>
                <w:rFonts w:ascii="Times New Roman" w:hAnsi="Times New Roman" w:cs="Times New Roman"/>
                <w:color w:val="000000" w:themeColor="text1"/>
                <w:sz w:val="16"/>
                <w:szCs w:val="16"/>
                <w:lang w:val="en-US"/>
              </w:rPr>
              <w:t>Yes</w:t>
            </w:r>
          </w:p>
        </w:tc>
        <w:tc>
          <w:tcPr>
            <w:tcW w:w="384" w:type="dxa"/>
            <w:tcBorders>
              <w:left w:val="dashed" w:sz="4" w:space="0" w:color="auto"/>
            </w:tcBorders>
            <w:shd w:val="clear" w:color="auto" w:fill="FFFFFF" w:themeFill="background1"/>
          </w:tcPr>
          <w:p w14:paraId="2A844241" w14:textId="090DA45A" w:rsidR="00024A59" w:rsidRPr="00452352" w:rsidRDefault="00024A59" w:rsidP="00BD714C">
            <w:pPr>
              <w:widowControl w:val="0"/>
              <w:autoSpaceDE w:val="0"/>
              <w:autoSpaceDN w:val="0"/>
              <w:adjustRightInd w:val="0"/>
              <w:spacing w:after="0" w:line="240" w:lineRule="auto"/>
              <w:jc w:val="center"/>
              <w:rPr>
                <w:rFonts w:ascii="Times New Roman" w:hAnsi="Times New Roman" w:cs="Times New Roman"/>
                <w:color w:val="000000" w:themeColor="text1"/>
                <w:sz w:val="16"/>
                <w:szCs w:val="16"/>
                <w:lang w:val="en-US"/>
              </w:rPr>
            </w:pPr>
            <w:r w:rsidRPr="00452352">
              <w:rPr>
                <w:rFonts w:ascii="Times New Roman" w:hAnsi="Times New Roman" w:cs="Times New Roman"/>
                <w:color w:val="000000" w:themeColor="text1"/>
                <w:sz w:val="16"/>
                <w:szCs w:val="16"/>
                <w:lang w:val="en-US"/>
              </w:rPr>
              <w:t>35</w:t>
            </w:r>
          </w:p>
        </w:tc>
        <w:tc>
          <w:tcPr>
            <w:tcW w:w="1758" w:type="dxa"/>
            <w:gridSpan w:val="2"/>
            <w:tcBorders>
              <w:right w:val="dashed" w:sz="4" w:space="0" w:color="auto"/>
            </w:tcBorders>
            <w:shd w:val="clear" w:color="auto" w:fill="FFFFFF" w:themeFill="background1"/>
          </w:tcPr>
          <w:p w14:paraId="2EEE944D" w14:textId="678FA1F5" w:rsidR="00024A59" w:rsidRPr="00452352" w:rsidRDefault="00024A59" w:rsidP="00BD714C">
            <w:pPr>
              <w:widowControl w:val="0"/>
              <w:autoSpaceDE w:val="0"/>
              <w:autoSpaceDN w:val="0"/>
              <w:adjustRightInd w:val="0"/>
              <w:spacing w:after="0" w:line="240" w:lineRule="auto"/>
              <w:ind w:left="91"/>
              <w:rPr>
                <w:rFonts w:ascii="Times New Roman" w:hAnsi="Times New Roman" w:cs="Times New Roman"/>
                <w:color w:val="000000" w:themeColor="text1"/>
                <w:sz w:val="16"/>
                <w:szCs w:val="16"/>
                <w:lang w:val="en-US"/>
              </w:rPr>
            </w:pPr>
            <w:r w:rsidRPr="00452352">
              <w:rPr>
                <w:rFonts w:ascii="Times New Roman" w:hAnsi="Times New Roman" w:cs="Times New Roman"/>
                <w:color w:val="000000" w:themeColor="text1"/>
                <w:sz w:val="16"/>
                <w:szCs w:val="16"/>
                <w:lang w:val="en-US"/>
              </w:rPr>
              <w:t>9.1 (8.2-</w:t>
            </w:r>
            <w:r w:rsidR="00AF0F5E" w:rsidRPr="00452352">
              <w:rPr>
                <w:rFonts w:ascii="Times New Roman" w:hAnsi="Times New Roman" w:cs="Times New Roman"/>
                <w:color w:val="000000" w:themeColor="text1"/>
                <w:sz w:val="16"/>
                <w:szCs w:val="16"/>
                <w:lang w:val="en-US"/>
              </w:rPr>
              <w:t>13.7</w:t>
            </w:r>
            <w:r w:rsidRPr="00452352">
              <w:rPr>
                <w:rFonts w:ascii="Times New Roman" w:hAnsi="Times New Roman" w:cs="Times New Roman"/>
                <w:color w:val="000000" w:themeColor="text1"/>
                <w:sz w:val="16"/>
                <w:szCs w:val="16"/>
                <w:lang w:val="en-US"/>
              </w:rPr>
              <w:t>)</w:t>
            </w:r>
          </w:p>
        </w:tc>
        <w:tc>
          <w:tcPr>
            <w:tcW w:w="386" w:type="dxa"/>
            <w:tcBorders>
              <w:left w:val="dashed" w:sz="4" w:space="0" w:color="auto"/>
            </w:tcBorders>
            <w:shd w:val="clear" w:color="auto" w:fill="FFFFFF" w:themeFill="background1"/>
          </w:tcPr>
          <w:p w14:paraId="11BC1BE7" w14:textId="32C3807A" w:rsidR="00024A59" w:rsidRPr="00452352" w:rsidRDefault="00024A59" w:rsidP="00BD714C">
            <w:pPr>
              <w:widowControl w:val="0"/>
              <w:autoSpaceDE w:val="0"/>
              <w:autoSpaceDN w:val="0"/>
              <w:adjustRightInd w:val="0"/>
              <w:spacing w:after="0" w:line="240" w:lineRule="auto"/>
              <w:jc w:val="center"/>
              <w:rPr>
                <w:rFonts w:ascii="Times New Roman" w:hAnsi="Times New Roman" w:cs="Times New Roman"/>
                <w:color w:val="000000" w:themeColor="text1"/>
                <w:sz w:val="16"/>
                <w:szCs w:val="16"/>
                <w:lang w:val="en-US"/>
              </w:rPr>
            </w:pPr>
            <w:r w:rsidRPr="00452352">
              <w:rPr>
                <w:rFonts w:ascii="Times New Roman" w:hAnsi="Times New Roman" w:cs="Times New Roman"/>
                <w:color w:val="000000" w:themeColor="text1"/>
                <w:sz w:val="16"/>
                <w:szCs w:val="16"/>
                <w:lang w:val="en-US"/>
              </w:rPr>
              <w:t>34</w:t>
            </w:r>
          </w:p>
        </w:tc>
        <w:tc>
          <w:tcPr>
            <w:tcW w:w="1758" w:type="dxa"/>
            <w:gridSpan w:val="2"/>
            <w:tcBorders>
              <w:right w:val="dashed" w:sz="4" w:space="0" w:color="auto"/>
            </w:tcBorders>
            <w:shd w:val="clear" w:color="auto" w:fill="FFFFFF" w:themeFill="background1"/>
          </w:tcPr>
          <w:p w14:paraId="78871CCB" w14:textId="14919EC0" w:rsidR="00024A59" w:rsidRPr="00452352" w:rsidRDefault="00AF0F5E" w:rsidP="00BD714C">
            <w:pPr>
              <w:widowControl w:val="0"/>
              <w:autoSpaceDE w:val="0"/>
              <w:autoSpaceDN w:val="0"/>
              <w:adjustRightInd w:val="0"/>
              <w:spacing w:after="0" w:line="240" w:lineRule="auto"/>
              <w:ind w:left="73"/>
              <w:rPr>
                <w:rFonts w:ascii="Times New Roman" w:hAnsi="Times New Roman" w:cs="Times New Roman"/>
                <w:color w:val="000000" w:themeColor="text1"/>
                <w:sz w:val="16"/>
                <w:szCs w:val="16"/>
                <w:lang w:val="en-US"/>
              </w:rPr>
            </w:pPr>
            <w:r w:rsidRPr="00452352">
              <w:rPr>
                <w:rFonts w:ascii="Times New Roman" w:hAnsi="Times New Roman" w:cs="Times New Roman"/>
                <w:color w:val="000000" w:themeColor="text1"/>
                <w:sz w:val="16"/>
                <w:szCs w:val="16"/>
                <w:lang w:val="en-US"/>
              </w:rPr>
              <w:t>10.8</w:t>
            </w:r>
            <w:r w:rsidR="00024A59" w:rsidRPr="00452352">
              <w:rPr>
                <w:rFonts w:ascii="Times New Roman" w:hAnsi="Times New Roman" w:cs="Times New Roman"/>
                <w:color w:val="000000" w:themeColor="text1"/>
                <w:sz w:val="16"/>
                <w:szCs w:val="16"/>
                <w:lang w:val="en-US"/>
              </w:rPr>
              <w:t xml:space="preserve"> (</w:t>
            </w:r>
            <w:r w:rsidRPr="00452352">
              <w:rPr>
                <w:rFonts w:ascii="Times New Roman" w:hAnsi="Times New Roman" w:cs="Times New Roman"/>
                <w:color w:val="000000" w:themeColor="text1"/>
                <w:sz w:val="16"/>
                <w:szCs w:val="16"/>
                <w:lang w:val="en-US"/>
              </w:rPr>
              <w:t>9.3</w:t>
            </w:r>
            <w:r w:rsidR="00024A59" w:rsidRPr="00452352">
              <w:rPr>
                <w:rFonts w:ascii="Times New Roman" w:hAnsi="Times New Roman" w:cs="Times New Roman"/>
                <w:color w:val="000000" w:themeColor="text1"/>
                <w:sz w:val="16"/>
                <w:szCs w:val="16"/>
                <w:lang w:val="en-US"/>
              </w:rPr>
              <w:t>-</w:t>
            </w:r>
            <w:r w:rsidRPr="00452352">
              <w:rPr>
                <w:rFonts w:ascii="Times New Roman" w:hAnsi="Times New Roman" w:cs="Times New Roman"/>
                <w:color w:val="000000" w:themeColor="text1"/>
                <w:sz w:val="16"/>
                <w:szCs w:val="16"/>
                <w:lang w:val="en-US"/>
              </w:rPr>
              <w:t>16.6</w:t>
            </w:r>
            <w:r w:rsidR="00024A59" w:rsidRPr="00452352">
              <w:rPr>
                <w:rFonts w:ascii="Times New Roman" w:hAnsi="Times New Roman" w:cs="Times New Roman"/>
                <w:color w:val="000000" w:themeColor="text1"/>
                <w:sz w:val="16"/>
                <w:szCs w:val="16"/>
                <w:lang w:val="en-US"/>
              </w:rPr>
              <w:t>)</w:t>
            </w:r>
          </w:p>
        </w:tc>
        <w:tc>
          <w:tcPr>
            <w:tcW w:w="397" w:type="dxa"/>
            <w:tcBorders>
              <w:left w:val="dashed" w:sz="4" w:space="0" w:color="auto"/>
            </w:tcBorders>
            <w:shd w:val="clear" w:color="auto" w:fill="FFFFFF" w:themeFill="background1"/>
          </w:tcPr>
          <w:p w14:paraId="72689A91" w14:textId="1C6954D9" w:rsidR="00024A59" w:rsidRPr="00452352" w:rsidRDefault="00024A59" w:rsidP="00BD714C">
            <w:pPr>
              <w:widowControl w:val="0"/>
              <w:autoSpaceDE w:val="0"/>
              <w:autoSpaceDN w:val="0"/>
              <w:adjustRightInd w:val="0"/>
              <w:spacing w:after="0" w:line="240" w:lineRule="auto"/>
              <w:jc w:val="center"/>
              <w:rPr>
                <w:rFonts w:ascii="Times New Roman" w:hAnsi="Times New Roman" w:cs="Times New Roman"/>
                <w:color w:val="000000" w:themeColor="text1"/>
                <w:sz w:val="16"/>
                <w:szCs w:val="16"/>
                <w:lang w:val="en-US"/>
              </w:rPr>
            </w:pPr>
            <w:r w:rsidRPr="00452352">
              <w:rPr>
                <w:rFonts w:ascii="Times New Roman" w:hAnsi="Times New Roman" w:cs="Times New Roman"/>
                <w:color w:val="000000" w:themeColor="text1"/>
                <w:sz w:val="16"/>
                <w:szCs w:val="16"/>
                <w:lang w:val="en-US"/>
              </w:rPr>
              <w:t>20</w:t>
            </w:r>
          </w:p>
        </w:tc>
        <w:tc>
          <w:tcPr>
            <w:tcW w:w="1786" w:type="dxa"/>
            <w:gridSpan w:val="2"/>
            <w:tcBorders>
              <w:right w:val="dashed" w:sz="4" w:space="0" w:color="auto"/>
            </w:tcBorders>
            <w:shd w:val="clear" w:color="auto" w:fill="FFFFFF" w:themeFill="background1"/>
          </w:tcPr>
          <w:p w14:paraId="31FEB293" w14:textId="3F6EFE2F" w:rsidR="00024A59" w:rsidRPr="00452352" w:rsidRDefault="00AF0F5E" w:rsidP="00BD714C">
            <w:pPr>
              <w:widowControl w:val="0"/>
              <w:autoSpaceDE w:val="0"/>
              <w:autoSpaceDN w:val="0"/>
              <w:adjustRightInd w:val="0"/>
              <w:spacing w:after="0" w:line="240" w:lineRule="auto"/>
              <w:ind w:left="44"/>
              <w:rPr>
                <w:rFonts w:ascii="Times New Roman" w:hAnsi="Times New Roman" w:cs="Times New Roman"/>
                <w:color w:val="000000" w:themeColor="text1"/>
                <w:sz w:val="16"/>
                <w:szCs w:val="16"/>
                <w:lang w:val="en-US"/>
              </w:rPr>
            </w:pPr>
            <w:r w:rsidRPr="00452352">
              <w:rPr>
                <w:rFonts w:ascii="Times New Roman" w:hAnsi="Times New Roman" w:cs="Times New Roman"/>
                <w:color w:val="000000" w:themeColor="text1"/>
                <w:sz w:val="16"/>
                <w:szCs w:val="16"/>
                <w:lang w:val="en-US"/>
              </w:rPr>
              <w:t>9.5</w:t>
            </w:r>
            <w:r w:rsidR="00024A59" w:rsidRPr="00452352">
              <w:rPr>
                <w:rFonts w:ascii="Times New Roman" w:hAnsi="Times New Roman" w:cs="Times New Roman"/>
                <w:color w:val="000000" w:themeColor="text1"/>
                <w:sz w:val="16"/>
                <w:szCs w:val="16"/>
                <w:lang w:val="en-US"/>
              </w:rPr>
              <w:t xml:space="preserve"> (</w:t>
            </w:r>
            <w:r w:rsidRPr="00452352">
              <w:rPr>
                <w:rFonts w:ascii="Times New Roman" w:hAnsi="Times New Roman" w:cs="Times New Roman"/>
                <w:color w:val="000000" w:themeColor="text1"/>
                <w:sz w:val="16"/>
                <w:szCs w:val="16"/>
                <w:lang w:val="en-US"/>
              </w:rPr>
              <w:t>8.3</w:t>
            </w:r>
            <w:r w:rsidR="00024A59" w:rsidRPr="00452352">
              <w:rPr>
                <w:rFonts w:ascii="Times New Roman" w:hAnsi="Times New Roman" w:cs="Times New Roman"/>
                <w:color w:val="000000" w:themeColor="text1"/>
                <w:sz w:val="16"/>
                <w:szCs w:val="16"/>
                <w:lang w:val="en-US"/>
              </w:rPr>
              <w:t>-</w:t>
            </w:r>
            <w:r w:rsidRPr="00452352">
              <w:rPr>
                <w:rFonts w:ascii="Times New Roman" w:hAnsi="Times New Roman" w:cs="Times New Roman"/>
                <w:color w:val="000000" w:themeColor="text1"/>
                <w:sz w:val="16"/>
                <w:szCs w:val="16"/>
                <w:lang w:val="en-US"/>
              </w:rPr>
              <w:t>21.4</w:t>
            </w:r>
            <w:r w:rsidR="00024A59" w:rsidRPr="00452352">
              <w:rPr>
                <w:rFonts w:ascii="Times New Roman" w:hAnsi="Times New Roman" w:cs="Times New Roman"/>
                <w:color w:val="000000" w:themeColor="text1"/>
                <w:sz w:val="16"/>
                <w:szCs w:val="16"/>
                <w:lang w:val="en-US"/>
              </w:rPr>
              <w:t>)</w:t>
            </w:r>
          </w:p>
        </w:tc>
      </w:tr>
      <w:tr w:rsidR="00452352" w:rsidRPr="00452352" w14:paraId="54241066" w14:textId="77777777" w:rsidTr="0056300B">
        <w:trPr>
          <w:trHeight w:val="113"/>
          <w:jc w:val="center"/>
        </w:trPr>
        <w:tc>
          <w:tcPr>
            <w:tcW w:w="2469" w:type="dxa"/>
            <w:tcBorders>
              <w:right w:val="dashed" w:sz="4" w:space="0" w:color="auto"/>
            </w:tcBorders>
            <w:shd w:val="clear" w:color="auto" w:fill="F2F2F2" w:themeFill="background1" w:themeFillShade="F2"/>
          </w:tcPr>
          <w:p w14:paraId="20B237C7" w14:textId="77777777" w:rsidR="0043425A" w:rsidRPr="00452352" w:rsidRDefault="0043425A" w:rsidP="00513EB4">
            <w:pPr>
              <w:widowControl w:val="0"/>
              <w:autoSpaceDE w:val="0"/>
              <w:autoSpaceDN w:val="0"/>
              <w:adjustRightInd w:val="0"/>
              <w:spacing w:after="0" w:line="240" w:lineRule="auto"/>
              <w:rPr>
                <w:rFonts w:ascii="Times New Roman" w:hAnsi="Times New Roman" w:cs="Times New Roman"/>
                <w:b/>
                <w:color w:val="000000" w:themeColor="text1"/>
                <w:sz w:val="16"/>
                <w:szCs w:val="16"/>
                <w:lang w:val="en-US"/>
              </w:rPr>
            </w:pPr>
            <w:r w:rsidRPr="00452352">
              <w:rPr>
                <w:rFonts w:ascii="Times New Roman" w:hAnsi="Times New Roman" w:cs="Times New Roman"/>
                <w:b/>
                <w:color w:val="000000" w:themeColor="text1"/>
                <w:sz w:val="16"/>
                <w:szCs w:val="16"/>
                <w:lang w:val="en-US"/>
              </w:rPr>
              <w:t>Smoking</w:t>
            </w:r>
          </w:p>
        </w:tc>
        <w:tc>
          <w:tcPr>
            <w:tcW w:w="384" w:type="dxa"/>
            <w:tcBorders>
              <w:left w:val="dashed" w:sz="4" w:space="0" w:color="auto"/>
            </w:tcBorders>
            <w:shd w:val="clear" w:color="auto" w:fill="F2F2F2" w:themeFill="background1" w:themeFillShade="F2"/>
          </w:tcPr>
          <w:p w14:paraId="70129599" w14:textId="77777777" w:rsidR="0043425A" w:rsidRPr="00452352" w:rsidRDefault="0043425A" w:rsidP="007A1BB7">
            <w:pPr>
              <w:widowControl w:val="0"/>
              <w:autoSpaceDE w:val="0"/>
              <w:autoSpaceDN w:val="0"/>
              <w:adjustRightInd w:val="0"/>
              <w:spacing w:after="0" w:line="240" w:lineRule="auto"/>
              <w:jc w:val="center"/>
              <w:rPr>
                <w:rFonts w:ascii="Times New Roman" w:hAnsi="Times New Roman" w:cs="Times New Roman"/>
                <w:color w:val="000000" w:themeColor="text1"/>
                <w:sz w:val="16"/>
                <w:szCs w:val="16"/>
                <w:lang w:val="en-US"/>
              </w:rPr>
            </w:pPr>
          </w:p>
        </w:tc>
        <w:tc>
          <w:tcPr>
            <w:tcW w:w="964" w:type="dxa"/>
            <w:shd w:val="clear" w:color="auto" w:fill="F2F2F2" w:themeFill="background1" w:themeFillShade="F2"/>
          </w:tcPr>
          <w:p w14:paraId="1401F34A" w14:textId="77777777" w:rsidR="0043425A" w:rsidRPr="00452352" w:rsidRDefault="0043425A" w:rsidP="007A1BB7">
            <w:pPr>
              <w:widowControl w:val="0"/>
              <w:autoSpaceDE w:val="0"/>
              <w:autoSpaceDN w:val="0"/>
              <w:adjustRightInd w:val="0"/>
              <w:spacing w:after="0" w:line="240" w:lineRule="auto"/>
              <w:jc w:val="center"/>
              <w:rPr>
                <w:rFonts w:ascii="Times New Roman" w:hAnsi="Times New Roman" w:cs="Times New Roman"/>
                <w:color w:val="000000" w:themeColor="text1"/>
                <w:sz w:val="16"/>
                <w:szCs w:val="16"/>
                <w:lang w:val="en-US"/>
              </w:rPr>
            </w:pPr>
          </w:p>
        </w:tc>
        <w:tc>
          <w:tcPr>
            <w:tcW w:w="794" w:type="dxa"/>
            <w:tcBorders>
              <w:right w:val="dashed" w:sz="4" w:space="0" w:color="auto"/>
            </w:tcBorders>
            <w:shd w:val="clear" w:color="auto" w:fill="F2F2F2" w:themeFill="background1" w:themeFillShade="F2"/>
          </w:tcPr>
          <w:p w14:paraId="29DF1628" w14:textId="06B1F11E" w:rsidR="0043425A" w:rsidRPr="00452352" w:rsidRDefault="00F26FF7" w:rsidP="006D71CB">
            <w:pPr>
              <w:widowControl w:val="0"/>
              <w:autoSpaceDE w:val="0"/>
              <w:autoSpaceDN w:val="0"/>
              <w:adjustRightInd w:val="0"/>
              <w:spacing w:after="0" w:line="240" w:lineRule="auto"/>
              <w:jc w:val="right"/>
              <w:rPr>
                <w:rFonts w:ascii="Times New Roman" w:hAnsi="Times New Roman" w:cs="Times New Roman"/>
                <w:color w:val="000000" w:themeColor="text1"/>
                <w:sz w:val="16"/>
                <w:szCs w:val="16"/>
                <w:lang w:val="en-US"/>
              </w:rPr>
            </w:pPr>
            <w:r w:rsidRPr="00452352">
              <w:rPr>
                <w:rFonts w:ascii="Times New Roman" w:hAnsi="Times New Roman" w:cs="Times New Roman"/>
                <w:color w:val="000000" w:themeColor="text1"/>
                <w:sz w:val="16"/>
                <w:szCs w:val="16"/>
                <w:lang w:val="en-US"/>
              </w:rPr>
              <w:t>0.965</w:t>
            </w:r>
          </w:p>
        </w:tc>
        <w:tc>
          <w:tcPr>
            <w:tcW w:w="386" w:type="dxa"/>
            <w:tcBorders>
              <w:left w:val="dashed" w:sz="4" w:space="0" w:color="auto"/>
            </w:tcBorders>
            <w:shd w:val="clear" w:color="auto" w:fill="F2F2F2" w:themeFill="background1" w:themeFillShade="F2"/>
          </w:tcPr>
          <w:p w14:paraId="6E61BFD0" w14:textId="77777777" w:rsidR="0043425A" w:rsidRPr="00452352" w:rsidRDefault="0043425A" w:rsidP="007A1BB7">
            <w:pPr>
              <w:widowControl w:val="0"/>
              <w:autoSpaceDE w:val="0"/>
              <w:autoSpaceDN w:val="0"/>
              <w:adjustRightInd w:val="0"/>
              <w:spacing w:after="0" w:line="240" w:lineRule="auto"/>
              <w:jc w:val="center"/>
              <w:rPr>
                <w:rFonts w:ascii="Times New Roman" w:hAnsi="Times New Roman" w:cs="Times New Roman"/>
                <w:color w:val="000000" w:themeColor="text1"/>
                <w:sz w:val="16"/>
                <w:szCs w:val="16"/>
                <w:lang w:val="en-US"/>
              </w:rPr>
            </w:pPr>
          </w:p>
        </w:tc>
        <w:tc>
          <w:tcPr>
            <w:tcW w:w="964" w:type="dxa"/>
            <w:shd w:val="clear" w:color="auto" w:fill="F2F2F2" w:themeFill="background1" w:themeFillShade="F2"/>
          </w:tcPr>
          <w:p w14:paraId="3708931D" w14:textId="77777777" w:rsidR="0043425A" w:rsidRPr="00452352" w:rsidRDefault="0043425A" w:rsidP="007A1BB7">
            <w:pPr>
              <w:widowControl w:val="0"/>
              <w:autoSpaceDE w:val="0"/>
              <w:autoSpaceDN w:val="0"/>
              <w:adjustRightInd w:val="0"/>
              <w:spacing w:after="0" w:line="240" w:lineRule="auto"/>
              <w:jc w:val="center"/>
              <w:rPr>
                <w:rFonts w:ascii="Times New Roman" w:hAnsi="Times New Roman" w:cs="Times New Roman"/>
                <w:color w:val="000000" w:themeColor="text1"/>
                <w:sz w:val="16"/>
                <w:szCs w:val="16"/>
                <w:lang w:val="en-US"/>
              </w:rPr>
            </w:pPr>
          </w:p>
        </w:tc>
        <w:tc>
          <w:tcPr>
            <w:tcW w:w="794" w:type="dxa"/>
            <w:tcBorders>
              <w:right w:val="dashed" w:sz="4" w:space="0" w:color="auto"/>
            </w:tcBorders>
            <w:shd w:val="clear" w:color="auto" w:fill="F2F2F2" w:themeFill="background1" w:themeFillShade="F2"/>
          </w:tcPr>
          <w:p w14:paraId="5F007F73" w14:textId="3DFB55B7" w:rsidR="0043425A" w:rsidRPr="00452352" w:rsidRDefault="00F26FF7" w:rsidP="006D71CB">
            <w:pPr>
              <w:widowControl w:val="0"/>
              <w:autoSpaceDE w:val="0"/>
              <w:autoSpaceDN w:val="0"/>
              <w:adjustRightInd w:val="0"/>
              <w:spacing w:after="0" w:line="240" w:lineRule="auto"/>
              <w:jc w:val="right"/>
              <w:rPr>
                <w:rFonts w:ascii="Times New Roman" w:hAnsi="Times New Roman" w:cs="Times New Roman"/>
                <w:color w:val="000000" w:themeColor="text1"/>
                <w:sz w:val="16"/>
                <w:szCs w:val="16"/>
                <w:lang w:val="en-US"/>
              </w:rPr>
            </w:pPr>
            <w:r w:rsidRPr="00452352">
              <w:rPr>
                <w:rFonts w:ascii="Times New Roman" w:hAnsi="Times New Roman" w:cs="Times New Roman"/>
                <w:color w:val="000000" w:themeColor="text1"/>
                <w:sz w:val="16"/>
                <w:szCs w:val="16"/>
                <w:lang w:val="en-US"/>
              </w:rPr>
              <w:t>0.684</w:t>
            </w:r>
          </w:p>
        </w:tc>
        <w:tc>
          <w:tcPr>
            <w:tcW w:w="397" w:type="dxa"/>
            <w:tcBorders>
              <w:left w:val="dashed" w:sz="4" w:space="0" w:color="auto"/>
            </w:tcBorders>
            <w:shd w:val="clear" w:color="auto" w:fill="F2F2F2" w:themeFill="background1" w:themeFillShade="F2"/>
          </w:tcPr>
          <w:p w14:paraId="3126364B" w14:textId="77777777" w:rsidR="0043425A" w:rsidRPr="00452352" w:rsidRDefault="0043425A" w:rsidP="007A1BB7">
            <w:pPr>
              <w:widowControl w:val="0"/>
              <w:autoSpaceDE w:val="0"/>
              <w:autoSpaceDN w:val="0"/>
              <w:adjustRightInd w:val="0"/>
              <w:spacing w:after="0" w:line="240" w:lineRule="auto"/>
              <w:jc w:val="center"/>
              <w:rPr>
                <w:rFonts w:ascii="Times New Roman" w:hAnsi="Times New Roman" w:cs="Times New Roman"/>
                <w:color w:val="000000" w:themeColor="text1"/>
                <w:sz w:val="16"/>
                <w:szCs w:val="16"/>
                <w:lang w:val="en-US"/>
              </w:rPr>
            </w:pPr>
          </w:p>
        </w:tc>
        <w:tc>
          <w:tcPr>
            <w:tcW w:w="992" w:type="dxa"/>
            <w:shd w:val="clear" w:color="auto" w:fill="F2F2F2" w:themeFill="background1" w:themeFillShade="F2"/>
          </w:tcPr>
          <w:p w14:paraId="21FDBB15" w14:textId="77777777" w:rsidR="0043425A" w:rsidRPr="00452352" w:rsidRDefault="0043425A" w:rsidP="007A1BB7">
            <w:pPr>
              <w:widowControl w:val="0"/>
              <w:autoSpaceDE w:val="0"/>
              <w:autoSpaceDN w:val="0"/>
              <w:adjustRightInd w:val="0"/>
              <w:spacing w:after="0" w:line="240" w:lineRule="auto"/>
              <w:jc w:val="center"/>
              <w:rPr>
                <w:rFonts w:ascii="Times New Roman" w:hAnsi="Times New Roman" w:cs="Times New Roman"/>
                <w:color w:val="000000" w:themeColor="text1"/>
                <w:sz w:val="16"/>
                <w:szCs w:val="16"/>
                <w:lang w:val="en-US"/>
              </w:rPr>
            </w:pPr>
          </w:p>
        </w:tc>
        <w:tc>
          <w:tcPr>
            <w:tcW w:w="794" w:type="dxa"/>
            <w:tcBorders>
              <w:right w:val="dashed" w:sz="4" w:space="0" w:color="auto"/>
            </w:tcBorders>
            <w:shd w:val="clear" w:color="auto" w:fill="F2F2F2" w:themeFill="background1" w:themeFillShade="F2"/>
          </w:tcPr>
          <w:p w14:paraId="1DFED452" w14:textId="6177FB09" w:rsidR="0043425A" w:rsidRPr="00452352" w:rsidRDefault="00F26FF7" w:rsidP="006D71CB">
            <w:pPr>
              <w:widowControl w:val="0"/>
              <w:autoSpaceDE w:val="0"/>
              <w:autoSpaceDN w:val="0"/>
              <w:adjustRightInd w:val="0"/>
              <w:spacing w:after="0" w:line="240" w:lineRule="auto"/>
              <w:jc w:val="right"/>
              <w:rPr>
                <w:rFonts w:ascii="Times New Roman" w:hAnsi="Times New Roman" w:cs="Times New Roman"/>
                <w:color w:val="000000" w:themeColor="text1"/>
                <w:sz w:val="16"/>
                <w:szCs w:val="16"/>
                <w:lang w:val="en-US"/>
              </w:rPr>
            </w:pPr>
            <w:r w:rsidRPr="00452352">
              <w:rPr>
                <w:rFonts w:ascii="Times New Roman" w:hAnsi="Times New Roman" w:cs="Times New Roman"/>
                <w:color w:val="000000" w:themeColor="text1"/>
                <w:sz w:val="16"/>
                <w:szCs w:val="16"/>
                <w:lang w:val="en-US"/>
              </w:rPr>
              <w:t>0.188</w:t>
            </w:r>
          </w:p>
        </w:tc>
      </w:tr>
      <w:tr w:rsidR="00452352" w:rsidRPr="00452352" w14:paraId="728B161C" w14:textId="77777777" w:rsidTr="0056300B">
        <w:trPr>
          <w:trHeight w:val="113"/>
          <w:jc w:val="center"/>
        </w:trPr>
        <w:tc>
          <w:tcPr>
            <w:tcW w:w="2469" w:type="dxa"/>
            <w:tcBorders>
              <w:right w:val="dashed" w:sz="4" w:space="0" w:color="auto"/>
            </w:tcBorders>
            <w:shd w:val="clear" w:color="auto" w:fill="FFFFFF" w:themeFill="background1"/>
          </w:tcPr>
          <w:p w14:paraId="7A903B91" w14:textId="601085DF" w:rsidR="00F26FF7" w:rsidRPr="00452352" w:rsidRDefault="00F26FF7" w:rsidP="00513EB4">
            <w:pPr>
              <w:widowControl w:val="0"/>
              <w:autoSpaceDE w:val="0"/>
              <w:autoSpaceDN w:val="0"/>
              <w:adjustRightInd w:val="0"/>
              <w:spacing w:after="0" w:line="240" w:lineRule="auto"/>
              <w:ind w:left="676"/>
              <w:rPr>
                <w:rFonts w:ascii="Times New Roman" w:hAnsi="Times New Roman" w:cs="Times New Roman"/>
                <w:b/>
                <w:color w:val="000000" w:themeColor="text1"/>
                <w:sz w:val="16"/>
                <w:szCs w:val="16"/>
                <w:lang w:val="en-US"/>
              </w:rPr>
            </w:pPr>
            <w:r w:rsidRPr="00452352">
              <w:rPr>
                <w:rFonts w:ascii="Times New Roman" w:hAnsi="Times New Roman" w:cs="Times New Roman"/>
                <w:color w:val="000000" w:themeColor="text1"/>
                <w:sz w:val="16"/>
                <w:szCs w:val="16"/>
                <w:lang w:val="en-US"/>
              </w:rPr>
              <w:t>No</w:t>
            </w:r>
          </w:p>
        </w:tc>
        <w:tc>
          <w:tcPr>
            <w:tcW w:w="384" w:type="dxa"/>
            <w:tcBorders>
              <w:left w:val="dashed" w:sz="4" w:space="0" w:color="auto"/>
            </w:tcBorders>
            <w:shd w:val="clear" w:color="auto" w:fill="FFFFFF" w:themeFill="background1"/>
          </w:tcPr>
          <w:p w14:paraId="0A4A1760" w14:textId="73FB2F16" w:rsidR="00F26FF7" w:rsidRPr="00452352" w:rsidRDefault="00F26FF7" w:rsidP="007A1BB7">
            <w:pPr>
              <w:widowControl w:val="0"/>
              <w:autoSpaceDE w:val="0"/>
              <w:autoSpaceDN w:val="0"/>
              <w:adjustRightInd w:val="0"/>
              <w:spacing w:after="0" w:line="240" w:lineRule="auto"/>
              <w:jc w:val="center"/>
              <w:rPr>
                <w:rFonts w:ascii="Times New Roman" w:hAnsi="Times New Roman" w:cs="Times New Roman"/>
                <w:color w:val="000000" w:themeColor="text1"/>
                <w:sz w:val="16"/>
                <w:szCs w:val="16"/>
                <w:lang w:val="en-US"/>
              </w:rPr>
            </w:pPr>
            <w:r w:rsidRPr="00452352">
              <w:rPr>
                <w:rFonts w:ascii="Times New Roman" w:hAnsi="Times New Roman" w:cs="Times New Roman"/>
                <w:color w:val="000000" w:themeColor="text1"/>
                <w:sz w:val="16"/>
                <w:szCs w:val="16"/>
                <w:lang w:val="en-US"/>
              </w:rPr>
              <w:t>68</w:t>
            </w:r>
          </w:p>
        </w:tc>
        <w:tc>
          <w:tcPr>
            <w:tcW w:w="1758" w:type="dxa"/>
            <w:gridSpan w:val="2"/>
            <w:tcBorders>
              <w:right w:val="dashed" w:sz="4" w:space="0" w:color="auto"/>
            </w:tcBorders>
            <w:shd w:val="clear" w:color="auto" w:fill="FFFFFF" w:themeFill="background1"/>
          </w:tcPr>
          <w:p w14:paraId="68E9608A" w14:textId="4FC24DE6" w:rsidR="00F26FF7" w:rsidRPr="00452352" w:rsidRDefault="00F26FF7" w:rsidP="008C6302">
            <w:pPr>
              <w:widowControl w:val="0"/>
              <w:autoSpaceDE w:val="0"/>
              <w:autoSpaceDN w:val="0"/>
              <w:adjustRightInd w:val="0"/>
              <w:spacing w:after="0" w:line="240" w:lineRule="auto"/>
              <w:ind w:left="91"/>
              <w:rPr>
                <w:rFonts w:ascii="Times New Roman" w:hAnsi="Times New Roman" w:cs="Times New Roman"/>
                <w:color w:val="000000" w:themeColor="text1"/>
                <w:sz w:val="16"/>
                <w:szCs w:val="16"/>
                <w:lang w:val="en-US"/>
              </w:rPr>
            </w:pPr>
            <w:r w:rsidRPr="00452352">
              <w:rPr>
                <w:rFonts w:ascii="Times New Roman" w:hAnsi="Times New Roman" w:cs="Times New Roman"/>
                <w:color w:val="000000" w:themeColor="text1"/>
                <w:sz w:val="16"/>
                <w:szCs w:val="16"/>
                <w:lang w:val="en-US"/>
              </w:rPr>
              <w:t>9.1 (7.3-11.1)</w:t>
            </w:r>
          </w:p>
        </w:tc>
        <w:tc>
          <w:tcPr>
            <w:tcW w:w="386" w:type="dxa"/>
            <w:tcBorders>
              <w:left w:val="dashed" w:sz="4" w:space="0" w:color="auto"/>
            </w:tcBorders>
            <w:shd w:val="clear" w:color="auto" w:fill="FFFFFF" w:themeFill="background1"/>
          </w:tcPr>
          <w:p w14:paraId="5C2972E9" w14:textId="0EC46299" w:rsidR="00F26FF7" w:rsidRPr="00452352" w:rsidRDefault="00F26FF7" w:rsidP="007A1BB7">
            <w:pPr>
              <w:widowControl w:val="0"/>
              <w:autoSpaceDE w:val="0"/>
              <w:autoSpaceDN w:val="0"/>
              <w:adjustRightInd w:val="0"/>
              <w:spacing w:after="0" w:line="240" w:lineRule="auto"/>
              <w:jc w:val="center"/>
              <w:rPr>
                <w:rFonts w:ascii="Times New Roman" w:hAnsi="Times New Roman" w:cs="Times New Roman"/>
                <w:color w:val="000000" w:themeColor="text1"/>
                <w:sz w:val="16"/>
                <w:szCs w:val="16"/>
                <w:lang w:val="en-US"/>
              </w:rPr>
            </w:pPr>
            <w:r w:rsidRPr="00452352">
              <w:rPr>
                <w:rFonts w:ascii="Times New Roman" w:hAnsi="Times New Roman" w:cs="Times New Roman"/>
                <w:color w:val="000000" w:themeColor="text1"/>
                <w:sz w:val="16"/>
                <w:szCs w:val="16"/>
                <w:lang w:val="en-US"/>
              </w:rPr>
              <w:t>69</w:t>
            </w:r>
          </w:p>
        </w:tc>
        <w:tc>
          <w:tcPr>
            <w:tcW w:w="1758" w:type="dxa"/>
            <w:gridSpan w:val="2"/>
            <w:tcBorders>
              <w:right w:val="dashed" w:sz="4" w:space="0" w:color="auto"/>
            </w:tcBorders>
            <w:shd w:val="clear" w:color="auto" w:fill="FFFFFF" w:themeFill="background1"/>
          </w:tcPr>
          <w:p w14:paraId="1809686B" w14:textId="0BF65020" w:rsidR="00F26FF7" w:rsidRPr="00452352" w:rsidRDefault="00F26FF7" w:rsidP="008C6302">
            <w:pPr>
              <w:widowControl w:val="0"/>
              <w:autoSpaceDE w:val="0"/>
              <w:autoSpaceDN w:val="0"/>
              <w:adjustRightInd w:val="0"/>
              <w:spacing w:after="0" w:line="240" w:lineRule="auto"/>
              <w:ind w:left="73"/>
              <w:rPr>
                <w:rFonts w:ascii="Times New Roman" w:hAnsi="Times New Roman" w:cs="Times New Roman"/>
                <w:color w:val="000000" w:themeColor="text1"/>
                <w:sz w:val="16"/>
                <w:szCs w:val="16"/>
                <w:lang w:val="en-US"/>
              </w:rPr>
            </w:pPr>
            <w:r w:rsidRPr="00452352">
              <w:rPr>
                <w:rFonts w:ascii="Times New Roman" w:hAnsi="Times New Roman" w:cs="Times New Roman"/>
                <w:color w:val="000000" w:themeColor="text1"/>
                <w:sz w:val="16"/>
                <w:szCs w:val="16"/>
                <w:lang w:val="en-US"/>
              </w:rPr>
              <w:t>10.2 (7.7-15.1)</w:t>
            </w:r>
          </w:p>
        </w:tc>
        <w:tc>
          <w:tcPr>
            <w:tcW w:w="397" w:type="dxa"/>
            <w:tcBorders>
              <w:left w:val="dashed" w:sz="4" w:space="0" w:color="auto"/>
            </w:tcBorders>
            <w:shd w:val="clear" w:color="auto" w:fill="FFFFFF" w:themeFill="background1"/>
          </w:tcPr>
          <w:p w14:paraId="3BF78911" w14:textId="17DF840B" w:rsidR="00F26FF7" w:rsidRPr="00452352" w:rsidRDefault="00F26FF7" w:rsidP="007A1BB7">
            <w:pPr>
              <w:widowControl w:val="0"/>
              <w:autoSpaceDE w:val="0"/>
              <w:autoSpaceDN w:val="0"/>
              <w:adjustRightInd w:val="0"/>
              <w:spacing w:after="0" w:line="240" w:lineRule="auto"/>
              <w:jc w:val="center"/>
              <w:rPr>
                <w:rFonts w:ascii="Times New Roman" w:hAnsi="Times New Roman" w:cs="Times New Roman"/>
                <w:color w:val="000000" w:themeColor="text1"/>
                <w:sz w:val="16"/>
                <w:szCs w:val="16"/>
                <w:lang w:val="en-US"/>
              </w:rPr>
            </w:pPr>
            <w:r w:rsidRPr="00452352">
              <w:rPr>
                <w:rFonts w:ascii="Times New Roman" w:hAnsi="Times New Roman" w:cs="Times New Roman"/>
                <w:color w:val="000000" w:themeColor="text1"/>
                <w:sz w:val="16"/>
                <w:szCs w:val="16"/>
                <w:lang w:val="en-US"/>
              </w:rPr>
              <w:t>46</w:t>
            </w:r>
          </w:p>
        </w:tc>
        <w:tc>
          <w:tcPr>
            <w:tcW w:w="1786" w:type="dxa"/>
            <w:gridSpan w:val="2"/>
            <w:tcBorders>
              <w:right w:val="dashed" w:sz="4" w:space="0" w:color="auto"/>
            </w:tcBorders>
            <w:shd w:val="clear" w:color="auto" w:fill="FFFFFF" w:themeFill="background1"/>
          </w:tcPr>
          <w:p w14:paraId="469C3ADD" w14:textId="6C03C9B2" w:rsidR="00F26FF7" w:rsidRPr="00452352" w:rsidRDefault="00F26FF7" w:rsidP="008C6302">
            <w:pPr>
              <w:widowControl w:val="0"/>
              <w:autoSpaceDE w:val="0"/>
              <w:autoSpaceDN w:val="0"/>
              <w:adjustRightInd w:val="0"/>
              <w:spacing w:after="0" w:line="240" w:lineRule="auto"/>
              <w:ind w:left="44"/>
              <w:rPr>
                <w:rFonts w:ascii="Times New Roman" w:hAnsi="Times New Roman" w:cs="Times New Roman"/>
                <w:color w:val="000000" w:themeColor="text1"/>
                <w:sz w:val="16"/>
                <w:szCs w:val="16"/>
                <w:lang w:val="en-US"/>
              </w:rPr>
            </w:pPr>
            <w:r w:rsidRPr="00452352">
              <w:rPr>
                <w:rFonts w:ascii="Times New Roman" w:hAnsi="Times New Roman" w:cs="Times New Roman"/>
                <w:color w:val="000000" w:themeColor="text1"/>
                <w:sz w:val="16"/>
                <w:szCs w:val="16"/>
                <w:lang w:val="en-US"/>
              </w:rPr>
              <w:t>8.9 (6.9-12.2)</w:t>
            </w:r>
          </w:p>
        </w:tc>
      </w:tr>
      <w:tr w:rsidR="00452352" w:rsidRPr="00452352" w14:paraId="6692C505" w14:textId="77777777" w:rsidTr="0056300B">
        <w:trPr>
          <w:trHeight w:val="113"/>
          <w:jc w:val="center"/>
        </w:trPr>
        <w:tc>
          <w:tcPr>
            <w:tcW w:w="2469" w:type="dxa"/>
            <w:tcBorders>
              <w:right w:val="dashed" w:sz="4" w:space="0" w:color="auto"/>
            </w:tcBorders>
            <w:shd w:val="clear" w:color="auto" w:fill="FFFFFF" w:themeFill="background1"/>
          </w:tcPr>
          <w:p w14:paraId="67820E76" w14:textId="6EBDF165" w:rsidR="00F26FF7" w:rsidRPr="00452352" w:rsidRDefault="00F26FF7" w:rsidP="00513EB4">
            <w:pPr>
              <w:widowControl w:val="0"/>
              <w:autoSpaceDE w:val="0"/>
              <w:autoSpaceDN w:val="0"/>
              <w:adjustRightInd w:val="0"/>
              <w:spacing w:after="0" w:line="240" w:lineRule="auto"/>
              <w:ind w:left="676"/>
              <w:rPr>
                <w:rFonts w:ascii="Times New Roman" w:hAnsi="Times New Roman" w:cs="Times New Roman"/>
                <w:b/>
                <w:color w:val="000000" w:themeColor="text1"/>
                <w:sz w:val="16"/>
                <w:szCs w:val="16"/>
                <w:lang w:val="en-US"/>
              </w:rPr>
            </w:pPr>
            <w:r w:rsidRPr="00452352">
              <w:rPr>
                <w:rFonts w:ascii="Times New Roman" w:hAnsi="Times New Roman" w:cs="Times New Roman"/>
                <w:color w:val="000000" w:themeColor="text1"/>
                <w:sz w:val="16"/>
                <w:szCs w:val="16"/>
                <w:lang w:val="en-US"/>
              </w:rPr>
              <w:t>Yes</w:t>
            </w:r>
          </w:p>
        </w:tc>
        <w:tc>
          <w:tcPr>
            <w:tcW w:w="384" w:type="dxa"/>
            <w:tcBorders>
              <w:left w:val="dashed" w:sz="4" w:space="0" w:color="auto"/>
            </w:tcBorders>
            <w:shd w:val="clear" w:color="auto" w:fill="FFFFFF" w:themeFill="background1"/>
          </w:tcPr>
          <w:p w14:paraId="0371B497" w14:textId="56130959" w:rsidR="00F26FF7" w:rsidRPr="00452352" w:rsidRDefault="00F26FF7" w:rsidP="007A1BB7">
            <w:pPr>
              <w:widowControl w:val="0"/>
              <w:autoSpaceDE w:val="0"/>
              <w:autoSpaceDN w:val="0"/>
              <w:adjustRightInd w:val="0"/>
              <w:spacing w:after="0" w:line="240" w:lineRule="auto"/>
              <w:jc w:val="center"/>
              <w:rPr>
                <w:rFonts w:ascii="Times New Roman" w:hAnsi="Times New Roman" w:cs="Times New Roman"/>
                <w:color w:val="000000" w:themeColor="text1"/>
                <w:sz w:val="16"/>
                <w:szCs w:val="16"/>
                <w:lang w:val="en-US"/>
              </w:rPr>
            </w:pPr>
            <w:r w:rsidRPr="00452352">
              <w:rPr>
                <w:rFonts w:ascii="Times New Roman" w:hAnsi="Times New Roman" w:cs="Times New Roman"/>
                <w:color w:val="000000" w:themeColor="text1"/>
                <w:sz w:val="16"/>
                <w:szCs w:val="16"/>
                <w:lang w:val="en-US"/>
              </w:rPr>
              <w:t>20</w:t>
            </w:r>
          </w:p>
        </w:tc>
        <w:tc>
          <w:tcPr>
            <w:tcW w:w="1758" w:type="dxa"/>
            <w:gridSpan w:val="2"/>
            <w:tcBorders>
              <w:right w:val="dashed" w:sz="4" w:space="0" w:color="auto"/>
            </w:tcBorders>
            <w:shd w:val="clear" w:color="auto" w:fill="FFFFFF" w:themeFill="background1"/>
          </w:tcPr>
          <w:p w14:paraId="3C29B1AA" w14:textId="57AD66C2" w:rsidR="00F26FF7" w:rsidRPr="00452352" w:rsidRDefault="00F26FF7" w:rsidP="008C6302">
            <w:pPr>
              <w:widowControl w:val="0"/>
              <w:autoSpaceDE w:val="0"/>
              <w:autoSpaceDN w:val="0"/>
              <w:adjustRightInd w:val="0"/>
              <w:spacing w:after="0" w:line="240" w:lineRule="auto"/>
              <w:ind w:left="91"/>
              <w:rPr>
                <w:rFonts w:ascii="Times New Roman" w:hAnsi="Times New Roman" w:cs="Times New Roman"/>
                <w:color w:val="000000" w:themeColor="text1"/>
                <w:sz w:val="16"/>
                <w:szCs w:val="16"/>
                <w:lang w:val="en-US"/>
              </w:rPr>
            </w:pPr>
            <w:r w:rsidRPr="00452352">
              <w:rPr>
                <w:rFonts w:ascii="Times New Roman" w:hAnsi="Times New Roman" w:cs="Times New Roman"/>
                <w:color w:val="000000" w:themeColor="text1"/>
                <w:sz w:val="16"/>
                <w:szCs w:val="16"/>
                <w:lang w:val="en-US"/>
              </w:rPr>
              <w:t>9.2 (7.9-12.2)</w:t>
            </w:r>
          </w:p>
        </w:tc>
        <w:tc>
          <w:tcPr>
            <w:tcW w:w="386" w:type="dxa"/>
            <w:tcBorders>
              <w:left w:val="dashed" w:sz="4" w:space="0" w:color="auto"/>
            </w:tcBorders>
            <w:shd w:val="clear" w:color="auto" w:fill="FFFFFF" w:themeFill="background1"/>
          </w:tcPr>
          <w:p w14:paraId="26919210" w14:textId="1F4D8A48" w:rsidR="00F26FF7" w:rsidRPr="00452352" w:rsidRDefault="00F26FF7" w:rsidP="007A1BB7">
            <w:pPr>
              <w:widowControl w:val="0"/>
              <w:autoSpaceDE w:val="0"/>
              <w:autoSpaceDN w:val="0"/>
              <w:adjustRightInd w:val="0"/>
              <w:spacing w:after="0" w:line="240" w:lineRule="auto"/>
              <w:jc w:val="center"/>
              <w:rPr>
                <w:rFonts w:ascii="Times New Roman" w:hAnsi="Times New Roman" w:cs="Times New Roman"/>
                <w:color w:val="000000" w:themeColor="text1"/>
                <w:sz w:val="16"/>
                <w:szCs w:val="16"/>
                <w:lang w:val="en-US"/>
              </w:rPr>
            </w:pPr>
            <w:r w:rsidRPr="00452352">
              <w:rPr>
                <w:rFonts w:ascii="Times New Roman" w:hAnsi="Times New Roman" w:cs="Times New Roman"/>
                <w:color w:val="000000" w:themeColor="text1"/>
                <w:sz w:val="16"/>
                <w:szCs w:val="16"/>
                <w:lang w:val="en-US"/>
              </w:rPr>
              <w:t>22</w:t>
            </w:r>
          </w:p>
        </w:tc>
        <w:tc>
          <w:tcPr>
            <w:tcW w:w="1758" w:type="dxa"/>
            <w:gridSpan w:val="2"/>
            <w:tcBorders>
              <w:right w:val="dashed" w:sz="4" w:space="0" w:color="auto"/>
            </w:tcBorders>
            <w:shd w:val="clear" w:color="auto" w:fill="FFFFFF" w:themeFill="background1"/>
          </w:tcPr>
          <w:p w14:paraId="399D3858" w14:textId="6F7848E1" w:rsidR="00F26FF7" w:rsidRPr="00452352" w:rsidRDefault="00F26FF7" w:rsidP="008C6302">
            <w:pPr>
              <w:widowControl w:val="0"/>
              <w:autoSpaceDE w:val="0"/>
              <w:autoSpaceDN w:val="0"/>
              <w:adjustRightInd w:val="0"/>
              <w:spacing w:after="0" w:line="240" w:lineRule="auto"/>
              <w:ind w:left="73"/>
              <w:rPr>
                <w:rFonts w:ascii="Times New Roman" w:hAnsi="Times New Roman" w:cs="Times New Roman"/>
                <w:color w:val="000000" w:themeColor="text1"/>
                <w:sz w:val="16"/>
                <w:szCs w:val="16"/>
                <w:lang w:val="en-US"/>
              </w:rPr>
            </w:pPr>
            <w:r w:rsidRPr="00452352">
              <w:rPr>
                <w:rFonts w:ascii="Times New Roman" w:hAnsi="Times New Roman" w:cs="Times New Roman"/>
                <w:color w:val="000000" w:themeColor="text1"/>
                <w:sz w:val="16"/>
                <w:szCs w:val="16"/>
                <w:lang w:val="en-US"/>
              </w:rPr>
              <w:t>10.3 (8.3-14.6)</w:t>
            </w:r>
          </w:p>
        </w:tc>
        <w:tc>
          <w:tcPr>
            <w:tcW w:w="397" w:type="dxa"/>
            <w:tcBorders>
              <w:left w:val="dashed" w:sz="4" w:space="0" w:color="auto"/>
            </w:tcBorders>
            <w:shd w:val="clear" w:color="auto" w:fill="FFFFFF" w:themeFill="background1"/>
          </w:tcPr>
          <w:p w14:paraId="5F875B36" w14:textId="786FA883" w:rsidR="00F26FF7" w:rsidRPr="00452352" w:rsidRDefault="00F26FF7" w:rsidP="007A1BB7">
            <w:pPr>
              <w:widowControl w:val="0"/>
              <w:autoSpaceDE w:val="0"/>
              <w:autoSpaceDN w:val="0"/>
              <w:adjustRightInd w:val="0"/>
              <w:spacing w:after="0" w:line="240" w:lineRule="auto"/>
              <w:jc w:val="center"/>
              <w:rPr>
                <w:rFonts w:ascii="Times New Roman" w:hAnsi="Times New Roman" w:cs="Times New Roman"/>
                <w:color w:val="000000" w:themeColor="text1"/>
                <w:sz w:val="16"/>
                <w:szCs w:val="16"/>
                <w:lang w:val="en-US"/>
              </w:rPr>
            </w:pPr>
            <w:r w:rsidRPr="00452352">
              <w:rPr>
                <w:rFonts w:ascii="Times New Roman" w:hAnsi="Times New Roman" w:cs="Times New Roman"/>
                <w:color w:val="000000" w:themeColor="text1"/>
                <w:sz w:val="16"/>
                <w:szCs w:val="16"/>
                <w:lang w:val="en-US"/>
              </w:rPr>
              <w:t>19</w:t>
            </w:r>
          </w:p>
        </w:tc>
        <w:tc>
          <w:tcPr>
            <w:tcW w:w="1786" w:type="dxa"/>
            <w:gridSpan w:val="2"/>
            <w:tcBorders>
              <w:right w:val="dashed" w:sz="4" w:space="0" w:color="auto"/>
            </w:tcBorders>
            <w:shd w:val="clear" w:color="auto" w:fill="FFFFFF" w:themeFill="background1"/>
          </w:tcPr>
          <w:p w14:paraId="66C31F40" w14:textId="1917B8C9" w:rsidR="00F26FF7" w:rsidRPr="00452352" w:rsidRDefault="00F26FF7" w:rsidP="008C6302">
            <w:pPr>
              <w:widowControl w:val="0"/>
              <w:autoSpaceDE w:val="0"/>
              <w:autoSpaceDN w:val="0"/>
              <w:adjustRightInd w:val="0"/>
              <w:spacing w:after="0" w:line="240" w:lineRule="auto"/>
              <w:ind w:left="44"/>
              <w:rPr>
                <w:rFonts w:ascii="Times New Roman" w:hAnsi="Times New Roman" w:cs="Times New Roman"/>
                <w:color w:val="000000" w:themeColor="text1"/>
                <w:sz w:val="16"/>
                <w:szCs w:val="16"/>
                <w:lang w:val="en-US"/>
              </w:rPr>
            </w:pPr>
            <w:r w:rsidRPr="00452352">
              <w:rPr>
                <w:rFonts w:ascii="Times New Roman" w:hAnsi="Times New Roman" w:cs="Times New Roman"/>
                <w:color w:val="000000" w:themeColor="text1"/>
                <w:sz w:val="16"/>
                <w:szCs w:val="16"/>
                <w:lang w:val="en-US"/>
              </w:rPr>
              <w:t>10.1 (8.5-14.0)</w:t>
            </w:r>
          </w:p>
        </w:tc>
      </w:tr>
      <w:tr w:rsidR="00452352" w:rsidRPr="00452352" w14:paraId="24250766" w14:textId="77777777" w:rsidTr="0056300B">
        <w:trPr>
          <w:trHeight w:val="113"/>
          <w:jc w:val="center"/>
        </w:trPr>
        <w:tc>
          <w:tcPr>
            <w:tcW w:w="2469" w:type="dxa"/>
            <w:tcBorders>
              <w:right w:val="dashed" w:sz="4" w:space="0" w:color="auto"/>
            </w:tcBorders>
            <w:shd w:val="clear" w:color="auto" w:fill="F2F2F2" w:themeFill="background1" w:themeFillShade="F2"/>
          </w:tcPr>
          <w:p w14:paraId="66B82273" w14:textId="77777777" w:rsidR="00F26FF7" w:rsidRPr="00452352" w:rsidRDefault="00F26FF7" w:rsidP="007A1BB7">
            <w:pPr>
              <w:widowControl w:val="0"/>
              <w:autoSpaceDE w:val="0"/>
              <w:autoSpaceDN w:val="0"/>
              <w:adjustRightInd w:val="0"/>
              <w:spacing w:after="0" w:line="240" w:lineRule="auto"/>
              <w:rPr>
                <w:rFonts w:ascii="Times New Roman" w:hAnsi="Times New Roman" w:cs="Times New Roman"/>
                <w:b/>
                <w:color w:val="000000" w:themeColor="text1"/>
                <w:sz w:val="16"/>
                <w:szCs w:val="16"/>
                <w:lang w:val="en-US"/>
              </w:rPr>
            </w:pPr>
            <w:r w:rsidRPr="00452352">
              <w:rPr>
                <w:rFonts w:ascii="Times New Roman" w:hAnsi="Times New Roman" w:cs="Times New Roman"/>
                <w:b/>
                <w:color w:val="000000" w:themeColor="text1"/>
                <w:sz w:val="16"/>
                <w:szCs w:val="16"/>
                <w:lang w:val="en-US"/>
              </w:rPr>
              <w:t>Diabetes</w:t>
            </w:r>
          </w:p>
        </w:tc>
        <w:tc>
          <w:tcPr>
            <w:tcW w:w="384" w:type="dxa"/>
            <w:tcBorders>
              <w:left w:val="dashed" w:sz="4" w:space="0" w:color="auto"/>
            </w:tcBorders>
            <w:shd w:val="clear" w:color="auto" w:fill="F2F2F2" w:themeFill="background1" w:themeFillShade="F2"/>
          </w:tcPr>
          <w:p w14:paraId="410E93F5" w14:textId="77777777" w:rsidR="00F26FF7" w:rsidRPr="00452352" w:rsidRDefault="00F26FF7" w:rsidP="007A1BB7">
            <w:pPr>
              <w:widowControl w:val="0"/>
              <w:autoSpaceDE w:val="0"/>
              <w:autoSpaceDN w:val="0"/>
              <w:adjustRightInd w:val="0"/>
              <w:spacing w:after="0" w:line="240" w:lineRule="auto"/>
              <w:jc w:val="center"/>
              <w:rPr>
                <w:rFonts w:ascii="Times New Roman" w:hAnsi="Times New Roman" w:cs="Times New Roman"/>
                <w:color w:val="000000" w:themeColor="text1"/>
                <w:sz w:val="16"/>
                <w:szCs w:val="16"/>
                <w:lang w:val="en-US"/>
              </w:rPr>
            </w:pPr>
          </w:p>
        </w:tc>
        <w:tc>
          <w:tcPr>
            <w:tcW w:w="964" w:type="dxa"/>
            <w:shd w:val="clear" w:color="auto" w:fill="F2F2F2" w:themeFill="background1" w:themeFillShade="F2"/>
          </w:tcPr>
          <w:p w14:paraId="674EF358" w14:textId="77777777" w:rsidR="00F26FF7" w:rsidRPr="00452352" w:rsidRDefault="00F26FF7" w:rsidP="007A1BB7">
            <w:pPr>
              <w:widowControl w:val="0"/>
              <w:autoSpaceDE w:val="0"/>
              <w:autoSpaceDN w:val="0"/>
              <w:adjustRightInd w:val="0"/>
              <w:spacing w:after="0" w:line="240" w:lineRule="auto"/>
              <w:jc w:val="center"/>
              <w:rPr>
                <w:rFonts w:ascii="Times New Roman" w:hAnsi="Times New Roman" w:cs="Times New Roman"/>
                <w:color w:val="000000" w:themeColor="text1"/>
                <w:sz w:val="16"/>
                <w:szCs w:val="16"/>
                <w:lang w:val="en-US"/>
              </w:rPr>
            </w:pPr>
          </w:p>
        </w:tc>
        <w:tc>
          <w:tcPr>
            <w:tcW w:w="794" w:type="dxa"/>
            <w:tcBorders>
              <w:right w:val="dashed" w:sz="4" w:space="0" w:color="auto"/>
            </w:tcBorders>
            <w:shd w:val="clear" w:color="auto" w:fill="F2F2F2" w:themeFill="background1" w:themeFillShade="F2"/>
          </w:tcPr>
          <w:p w14:paraId="5ADA72E6" w14:textId="2700AF04" w:rsidR="00F26FF7" w:rsidRPr="00452352" w:rsidRDefault="00F26FF7" w:rsidP="006D71CB">
            <w:pPr>
              <w:widowControl w:val="0"/>
              <w:autoSpaceDE w:val="0"/>
              <w:autoSpaceDN w:val="0"/>
              <w:adjustRightInd w:val="0"/>
              <w:spacing w:after="0" w:line="240" w:lineRule="auto"/>
              <w:jc w:val="right"/>
              <w:rPr>
                <w:rFonts w:ascii="Times New Roman" w:hAnsi="Times New Roman" w:cs="Times New Roman"/>
                <w:color w:val="000000" w:themeColor="text1"/>
                <w:sz w:val="16"/>
                <w:szCs w:val="16"/>
                <w:lang w:val="en-US"/>
              </w:rPr>
            </w:pPr>
            <w:r w:rsidRPr="00452352">
              <w:rPr>
                <w:rFonts w:ascii="Times New Roman" w:hAnsi="Times New Roman" w:cs="Times New Roman"/>
                <w:color w:val="000000" w:themeColor="text1"/>
                <w:sz w:val="16"/>
                <w:szCs w:val="16"/>
                <w:lang w:val="en-US"/>
              </w:rPr>
              <w:t>0.533</w:t>
            </w:r>
          </w:p>
        </w:tc>
        <w:tc>
          <w:tcPr>
            <w:tcW w:w="386" w:type="dxa"/>
            <w:tcBorders>
              <w:left w:val="dashed" w:sz="4" w:space="0" w:color="auto"/>
            </w:tcBorders>
            <w:shd w:val="clear" w:color="auto" w:fill="F2F2F2" w:themeFill="background1" w:themeFillShade="F2"/>
          </w:tcPr>
          <w:p w14:paraId="0976CC08" w14:textId="77777777" w:rsidR="00F26FF7" w:rsidRPr="00452352" w:rsidRDefault="00F26FF7" w:rsidP="007A1BB7">
            <w:pPr>
              <w:widowControl w:val="0"/>
              <w:autoSpaceDE w:val="0"/>
              <w:autoSpaceDN w:val="0"/>
              <w:adjustRightInd w:val="0"/>
              <w:spacing w:after="0" w:line="240" w:lineRule="auto"/>
              <w:jc w:val="center"/>
              <w:rPr>
                <w:rFonts w:ascii="Times New Roman" w:hAnsi="Times New Roman" w:cs="Times New Roman"/>
                <w:color w:val="000000" w:themeColor="text1"/>
                <w:sz w:val="16"/>
                <w:szCs w:val="16"/>
                <w:lang w:val="en-US"/>
              </w:rPr>
            </w:pPr>
          </w:p>
        </w:tc>
        <w:tc>
          <w:tcPr>
            <w:tcW w:w="964" w:type="dxa"/>
            <w:shd w:val="clear" w:color="auto" w:fill="F2F2F2" w:themeFill="background1" w:themeFillShade="F2"/>
          </w:tcPr>
          <w:p w14:paraId="2D7E06A8" w14:textId="77777777" w:rsidR="00F26FF7" w:rsidRPr="00452352" w:rsidRDefault="00F26FF7" w:rsidP="007A1BB7">
            <w:pPr>
              <w:widowControl w:val="0"/>
              <w:autoSpaceDE w:val="0"/>
              <w:autoSpaceDN w:val="0"/>
              <w:adjustRightInd w:val="0"/>
              <w:spacing w:after="0" w:line="240" w:lineRule="auto"/>
              <w:jc w:val="center"/>
              <w:rPr>
                <w:rFonts w:ascii="Times New Roman" w:hAnsi="Times New Roman" w:cs="Times New Roman"/>
                <w:color w:val="000000" w:themeColor="text1"/>
                <w:sz w:val="16"/>
                <w:szCs w:val="16"/>
                <w:lang w:val="en-US"/>
              </w:rPr>
            </w:pPr>
          </w:p>
        </w:tc>
        <w:tc>
          <w:tcPr>
            <w:tcW w:w="794" w:type="dxa"/>
            <w:tcBorders>
              <w:right w:val="dashed" w:sz="4" w:space="0" w:color="auto"/>
            </w:tcBorders>
            <w:shd w:val="clear" w:color="auto" w:fill="F2F2F2" w:themeFill="background1" w:themeFillShade="F2"/>
          </w:tcPr>
          <w:p w14:paraId="56D213E7" w14:textId="67866186" w:rsidR="00F26FF7" w:rsidRPr="00452352" w:rsidRDefault="00F26FF7" w:rsidP="006D71CB">
            <w:pPr>
              <w:widowControl w:val="0"/>
              <w:autoSpaceDE w:val="0"/>
              <w:autoSpaceDN w:val="0"/>
              <w:adjustRightInd w:val="0"/>
              <w:spacing w:after="0" w:line="240" w:lineRule="auto"/>
              <w:jc w:val="right"/>
              <w:rPr>
                <w:rFonts w:ascii="Times New Roman" w:hAnsi="Times New Roman" w:cs="Times New Roman"/>
                <w:color w:val="000000" w:themeColor="text1"/>
                <w:sz w:val="16"/>
                <w:szCs w:val="16"/>
                <w:lang w:val="en-US"/>
              </w:rPr>
            </w:pPr>
            <w:r w:rsidRPr="00452352">
              <w:rPr>
                <w:rFonts w:ascii="Times New Roman" w:hAnsi="Times New Roman" w:cs="Times New Roman"/>
                <w:color w:val="000000" w:themeColor="text1"/>
                <w:sz w:val="16"/>
                <w:szCs w:val="16"/>
                <w:lang w:val="en-US"/>
              </w:rPr>
              <w:t>0.994</w:t>
            </w:r>
          </w:p>
        </w:tc>
        <w:tc>
          <w:tcPr>
            <w:tcW w:w="397" w:type="dxa"/>
            <w:tcBorders>
              <w:left w:val="dashed" w:sz="4" w:space="0" w:color="auto"/>
            </w:tcBorders>
            <w:shd w:val="clear" w:color="auto" w:fill="F2F2F2" w:themeFill="background1" w:themeFillShade="F2"/>
          </w:tcPr>
          <w:p w14:paraId="54525996" w14:textId="77777777" w:rsidR="00F26FF7" w:rsidRPr="00452352" w:rsidRDefault="00F26FF7" w:rsidP="007A1BB7">
            <w:pPr>
              <w:widowControl w:val="0"/>
              <w:autoSpaceDE w:val="0"/>
              <w:autoSpaceDN w:val="0"/>
              <w:adjustRightInd w:val="0"/>
              <w:spacing w:after="0" w:line="240" w:lineRule="auto"/>
              <w:jc w:val="center"/>
              <w:rPr>
                <w:rFonts w:ascii="Times New Roman" w:hAnsi="Times New Roman" w:cs="Times New Roman"/>
                <w:color w:val="000000" w:themeColor="text1"/>
                <w:sz w:val="16"/>
                <w:szCs w:val="16"/>
                <w:lang w:val="en-US"/>
              </w:rPr>
            </w:pPr>
          </w:p>
        </w:tc>
        <w:tc>
          <w:tcPr>
            <w:tcW w:w="992" w:type="dxa"/>
            <w:shd w:val="clear" w:color="auto" w:fill="F2F2F2" w:themeFill="background1" w:themeFillShade="F2"/>
          </w:tcPr>
          <w:p w14:paraId="7643B312" w14:textId="77777777" w:rsidR="00F26FF7" w:rsidRPr="00452352" w:rsidRDefault="00F26FF7" w:rsidP="007A1BB7">
            <w:pPr>
              <w:widowControl w:val="0"/>
              <w:autoSpaceDE w:val="0"/>
              <w:autoSpaceDN w:val="0"/>
              <w:adjustRightInd w:val="0"/>
              <w:spacing w:after="0" w:line="240" w:lineRule="auto"/>
              <w:jc w:val="center"/>
              <w:rPr>
                <w:rFonts w:ascii="Times New Roman" w:hAnsi="Times New Roman" w:cs="Times New Roman"/>
                <w:color w:val="000000" w:themeColor="text1"/>
                <w:sz w:val="16"/>
                <w:szCs w:val="16"/>
                <w:lang w:val="en-US"/>
              </w:rPr>
            </w:pPr>
          </w:p>
        </w:tc>
        <w:tc>
          <w:tcPr>
            <w:tcW w:w="794" w:type="dxa"/>
            <w:tcBorders>
              <w:right w:val="dashed" w:sz="4" w:space="0" w:color="auto"/>
            </w:tcBorders>
            <w:shd w:val="clear" w:color="auto" w:fill="F2F2F2" w:themeFill="background1" w:themeFillShade="F2"/>
          </w:tcPr>
          <w:p w14:paraId="1E39A2BE" w14:textId="51917075" w:rsidR="00F26FF7" w:rsidRPr="00452352" w:rsidRDefault="008C6302" w:rsidP="006D71CB">
            <w:pPr>
              <w:widowControl w:val="0"/>
              <w:autoSpaceDE w:val="0"/>
              <w:autoSpaceDN w:val="0"/>
              <w:adjustRightInd w:val="0"/>
              <w:spacing w:after="0" w:line="240" w:lineRule="auto"/>
              <w:jc w:val="right"/>
              <w:rPr>
                <w:rFonts w:ascii="Times New Roman" w:hAnsi="Times New Roman" w:cs="Times New Roman"/>
                <w:color w:val="000000" w:themeColor="text1"/>
                <w:sz w:val="16"/>
                <w:szCs w:val="16"/>
                <w:lang w:val="en-US"/>
              </w:rPr>
            </w:pPr>
            <w:r w:rsidRPr="00452352">
              <w:rPr>
                <w:rFonts w:ascii="Times New Roman" w:hAnsi="Times New Roman" w:cs="Times New Roman"/>
                <w:color w:val="000000" w:themeColor="text1"/>
                <w:sz w:val="16"/>
                <w:szCs w:val="16"/>
                <w:lang w:val="en-US"/>
              </w:rPr>
              <w:t>0.591</w:t>
            </w:r>
          </w:p>
        </w:tc>
      </w:tr>
      <w:tr w:rsidR="00452352" w:rsidRPr="00452352" w14:paraId="694A8EDE" w14:textId="77777777" w:rsidTr="0056300B">
        <w:trPr>
          <w:trHeight w:val="113"/>
          <w:jc w:val="center"/>
        </w:trPr>
        <w:tc>
          <w:tcPr>
            <w:tcW w:w="2469" w:type="dxa"/>
            <w:tcBorders>
              <w:right w:val="dashed" w:sz="4" w:space="0" w:color="auto"/>
            </w:tcBorders>
            <w:shd w:val="clear" w:color="auto" w:fill="FFFFFF" w:themeFill="background1"/>
          </w:tcPr>
          <w:p w14:paraId="006D3084" w14:textId="553184FA" w:rsidR="00F26FF7" w:rsidRPr="00452352" w:rsidRDefault="00F26FF7" w:rsidP="00513EB4">
            <w:pPr>
              <w:widowControl w:val="0"/>
              <w:autoSpaceDE w:val="0"/>
              <w:autoSpaceDN w:val="0"/>
              <w:adjustRightInd w:val="0"/>
              <w:spacing w:after="0" w:line="240" w:lineRule="auto"/>
              <w:ind w:left="676"/>
              <w:rPr>
                <w:rFonts w:ascii="Times New Roman" w:hAnsi="Times New Roman" w:cs="Times New Roman"/>
                <w:b/>
                <w:color w:val="000000" w:themeColor="text1"/>
                <w:sz w:val="16"/>
                <w:szCs w:val="16"/>
                <w:lang w:val="en-US"/>
              </w:rPr>
            </w:pPr>
            <w:r w:rsidRPr="00452352">
              <w:rPr>
                <w:rFonts w:ascii="Times New Roman" w:hAnsi="Times New Roman" w:cs="Times New Roman"/>
                <w:color w:val="000000" w:themeColor="text1"/>
                <w:sz w:val="16"/>
                <w:szCs w:val="16"/>
                <w:lang w:val="en-US"/>
              </w:rPr>
              <w:t>No</w:t>
            </w:r>
          </w:p>
        </w:tc>
        <w:tc>
          <w:tcPr>
            <w:tcW w:w="384" w:type="dxa"/>
            <w:tcBorders>
              <w:left w:val="dashed" w:sz="4" w:space="0" w:color="auto"/>
            </w:tcBorders>
            <w:shd w:val="clear" w:color="auto" w:fill="FFFFFF" w:themeFill="background1"/>
          </w:tcPr>
          <w:p w14:paraId="77EAD71F" w14:textId="289C6A31" w:rsidR="00F26FF7" w:rsidRPr="00452352" w:rsidRDefault="00F26FF7" w:rsidP="007A1BB7">
            <w:pPr>
              <w:widowControl w:val="0"/>
              <w:autoSpaceDE w:val="0"/>
              <w:autoSpaceDN w:val="0"/>
              <w:adjustRightInd w:val="0"/>
              <w:spacing w:after="0" w:line="240" w:lineRule="auto"/>
              <w:jc w:val="center"/>
              <w:rPr>
                <w:rFonts w:ascii="Times New Roman" w:hAnsi="Times New Roman" w:cs="Times New Roman"/>
                <w:color w:val="000000" w:themeColor="text1"/>
                <w:sz w:val="16"/>
                <w:szCs w:val="16"/>
                <w:lang w:val="en-US"/>
              </w:rPr>
            </w:pPr>
            <w:r w:rsidRPr="00452352">
              <w:rPr>
                <w:rFonts w:ascii="Times New Roman" w:hAnsi="Times New Roman" w:cs="Times New Roman"/>
                <w:color w:val="000000" w:themeColor="text1"/>
                <w:sz w:val="16"/>
                <w:szCs w:val="16"/>
                <w:lang w:val="en-US"/>
              </w:rPr>
              <w:t>84</w:t>
            </w:r>
          </w:p>
        </w:tc>
        <w:tc>
          <w:tcPr>
            <w:tcW w:w="1758" w:type="dxa"/>
            <w:gridSpan w:val="2"/>
            <w:tcBorders>
              <w:right w:val="dashed" w:sz="4" w:space="0" w:color="auto"/>
            </w:tcBorders>
            <w:shd w:val="clear" w:color="auto" w:fill="FFFFFF" w:themeFill="background1"/>
          </w:tcPr>
          <w:p w14:paraId="7D9F8F7B" w14:textId="348EDB47" w:rsidR="00F26FF7" w:rsidRPr="00452352" w:rsidRDefault="008C6302" w:rsidP="008C6302">
            <w:pPr>
              <w:widowControl w:val="0"/>
              <w:autoSpaceDE w:val="0"/>
              <w:autoSpaceDN w:val="0"/>
              <w:adjustRightInd w:val="0"/>
              <w:spacing w:after="0" w:line="240" w:lineRule="auto"/>
              <w:ind w:left="91"/>
              <w:rPr>
                <w:rFonts w:ascii="Times New Roman" w:hAnsi="Times New Roman" w:cs="Times New Roman"/>
                <w:color w:val="000000" w:themeColor="text1"/>
                <w:sz w:val="16"/>
                <w:szCs w:val="16"/>
                <w:lang w:val="en-US"/>
              </w:rPr>
            </w:pPr>
            <w:r w:rsidRPr="00452352">
              <w:rPr>
                <w:rFonts w:ascii="Times New Roman" w:hAnsi="Times New Roman" w:cs="Times New Roman"/>
                <w:color w:val="000000" w:themeColor="text1"/>
                <w:sz w:val="16"/>
                <w:szCs w:val="16"/>
                <w:lang w:val="en-US"/>
              </w:rPr>
              <w:t>9.2 (7.4-11.5)</w:t>
            </w:r>
          </w:p>
        </w:tc>
        <w:tc>
          <w:tcPr>
            <w:tcW w:w="386" w:type="dxa"/>
            <w:tcBorders>
              <w:left w:val="dashed" w:sz="4" w:space="0" w:color="auto"/>
            </w:tcBorders>
            <w:shd w:val="clear" w:color="auto" w:fill="FFFFFF" w:themeFill="background1"/>
          </w:tcPr>
          <w:p w14:paraId="6D5069C0" w14:textId="116B9DC0" w:rsidR="00F26FF7" w:rsidRPr="00452352" w:rsidRDefault="00F26FF7" w:rsidP="007A1BB7">
            <w:pPr>
              <w:widowControl w:val="0"/>
              <w:autoSpaceDE w:val="0"/>
              <w:autoSpaceDN w:val="0"/>
              <w:adjustRightInd w:val="0"/>
              <w:spacing w:after="0" w:line="240" w:lineRule="auto"/>
              <w:jc w:val="center"/>
              <w:rPr>
                <w:rFonts w:ascii="Times New Roman" w:hAnsi="Times New Roman" w:cs="Times New Roman"/>
                <w:color w:val="000000" w:themeColor="text1"/>
                <w:sz w:val="16"/>
                <w:szCs w:val="16"/>
                <w:lang w:val="en-US"/>
              </w:rPr>
            </w:pPr>
            <w:r w:rsidRPr="00452352">
              <w:rPr>
                <w:rFonts w:ascii="Times New Roman" w:hAnsi="Times New Roman" w:cs="Times New Roman"/>
                <w:color w:val="000000" w:themeColor="text1"/>
                <w:sz w:val="16"/>
                <w:szCs w:val="16"/>
                <w:lang w:val="en-US"/>
              </w:rPr>
              <w:t>86</w:t>
            </w:r>
          </w:p>
        </w:tc>
        <w:tc>
          <w:tcPr>
            <w:tcW w:w="1758" w:type="dxa"/>
            <w:gridSpan w:val="2"/>
            <w:tcBorders>
              <w:right w:val="dashed" w:sz="4" w:space="0" w:color="auto"/>
            </w:tcBorders>
            <w:shd w:val="clear" w:color="auto" w:fill="FFFFFF" w:themeFill="background1"/>
          </w:tcPr>
          <w:p w14:paraId="34746DB3" w14:textId="4B6FFDFD" w:rsidR="00F26FF7" w:rsidRPr="00452352" w:rsidRDefault="008C6302" w:rsidP="008C6302">
            <w:pPr>
              <w:widowControl w:val="0"/>
              <w:autoSpaceDE w:val="0"/>
              <w:autoSpaceDN w:val="0"/>
              <w:adjustRightInd w:val="0"/>
              <w:spacing w:after="0" w:line="240" w:lineRule="auto"/>
              <w:ind w:left="73"/>
              <w:rPr>
                <w:rFonts w:ascii="Times New Roman" w:hAnsi="Times New Roman" w:cs="Times New Roman"/>
                <w:color w:val="000000" w:themeColor="text1"/>
                <w:sz w:val="16"/>
                <w:szCs w:val="16"/>
                <w:lang w:val="en-US"/>
              </w:rPr>
            </w:pPr>
            <w:r w:rsidRPr="00452352">
              <w:rPr>
                <w:rFonts w:ascii="Times New Roman" w:hAnsi="Times New Roman" w:cs="Times New Roman"/>
                <w:color w:val="000000" w:themeColor="text1"/>
                <w:sz w:val="16"/>
                <w:szCs w:val="16"/>
                <w:lang w:val="en-US"/>
              </w:rPr>
              <w:t>10.2 (7.8-15.3)</w:t>
            </w:r>
          </w:p>
        </w:tc>
        <w:tc>
          <w:tcPr>
            <w:tcW w:w="397" w:type="dxa"/>
            <w:tcBorders>
              <w:left w:val="dashed" w:sz="4" w:space="0" w:color="auto"/>
            </w:tcBorders>
            <w:shd w:val="clear" w:color="auto" w:fill="FFFFFF" w:themeFill="background1"/>
          </w:tcPr>
          <w:p w14:paraId="71A14231" w14:textId="7A6367EA" w:rsidR="00F26FF7" w:rsidRPr="00452352" w:rsidRDefault="00F26FF7" w:rsidP="007A1BB7">
            <w:pPr>
              <w:widowControl w:val="0"/>
              <w:autoSpaceDE w:val="0"/>
              <w:autoSpaceDN w:val="0"/>
              <w:adjustRightInd w:val="0"/>
              <w:spacing w:after="0" w:line="240" w:lineRule="auto"/>
              <w:jc w:val="center"/>
              <w:rPr>
                <w:rFonts w:ascii="Times New Roman" w:hAnsi="Times New Roman" w:cs="Times New Roman"/>
                <w:color w:val="000000" w:themeColor="text1"/>
                <w:sz w:val="16"/>
                <w:szCs w:val="16"/>
                <w:lang w:val="en-US"/>
              </w:rPr>
            </w:pPr>
            <w:r w:rsidRPr="00452352">
              <w:rPr>
                <w:rFonts w:ascii="Times New Roman" w:hAnsi="Times New Roman" w:cs="Times New Roman"/>
                <w:color w:val="000000" w:themeColor="text1"/>
                <w:sz w:val="16"/>
                <w:szCs w:val="16"/>
                <w:lang w:val="en-US"/>
              </w:rPr>
              <w:t>62</w:t>
            </w:r>
          </w:p>
        </w:tc>
        <w:tc>
          <w:tcPr>
            <w:tcW w:w="1786" w:type="dxa"/>
            <w:gridSpan w:val="2"/>
            <w:tcBorders>
              <w:right w:val="dashed" w:sz="4" w:space="0" w:color="auto"/>
            </w:tcBorders>
            <w:shd w:val="clear" w:color="auto" w:fill="FFFFFF" w:themeFill="background1"/>
          </w:tcPr>
          <w:p w14:paraId="7931099C" w14:textId="02E370D3" w:rsidR="00F26FF7" w:rsidRPr="00452352" w:rsidRDefault="008C6302" w:rsidP="008C6302">
            <w:pPr>
              <w:widowControl w:val="0"/>
              <w:autoSpaceDE w:val="0"/>
              <w:autoSpaceDN w:val="0"/>
              <w:adjustRightInd w:val="0"/>
              <w:spacing w:after="0" w:line="240" w:lineRule="auto"/>
              <w:ind w:left="44"/>
              <w:rPr>
                <w:rFonts w:ascii="Times New Roman" w:hAnsi="Times New Roman" w:cs="Times New Roman"/>
                <w:color w:val="000000" w:themeColor="text1"/>
                <w:sz w:val="16"/>
                <w:szCs w:val="16"/>
                <w:lang w:val="en-US"/>
              </w:rPr>
            </w:pPr>
            <w:r w:rsidRPr="00452352">
              <w:rPr>
                <w:rFonts w:ascii="Times New Roman" w:hAnsi="Times New Roman" w:cs="Times New Roman"/>
                <w:color w:val="000000" w:themeColor="text1"/>
                <w:sz w:val="16"/>
                <w:szCs w:val="16"/>
                <w:lang w:val="en-US"/>
              </w:rPr>
              <w:t>9.2 (7.3-12.5)</w:t>
            </w:r>
          </w:p>
        </w:tc>
      </w:tr>
      <w:tr w:rsidR="00F26FF7" w:rsidRPr="001C61AA" w14:paraId="3C41AC5E" w14:textId="77777777" w:rsidTr="0056300B">
        <w:trPr>
          <w:trHeight w:val="113"/>
          <w:jc w:val="center"/>
        </w:trPr>
        <w:tc>
          <w:tcPr>
            <w:tcW w:w="2469" w:type="dxa"/>
            <w:tcBorders>
              <w:right w:val="dashed" w:sz="4" w:space="0" w:color="auto"/>
            </w:tcBorders>
            <w:shd w:val="clear" w:color="auto" w:fill="FFFFFF" w:themeFill="background1"/>
          </w:tcPr>
          <w:p w14:paraId="5BB57B70" w14:textId="67C75EF5" w:rsidR="00F26FF7" w:rsidRPr="00C54BE8" w:rsidRDefault="00F26FF7" w:rsidP="00513EB4">
            <w:pPr>
              <w:widowControl w:val="0"/>
              <w:autoSpaceDE w:val="0"/>
              <w:autoSpaceDN w:val="0"/>
              <w:adjustRightInd w:val="0"/>
              <w:spacing w:after="0" w:line="240" w:lineRule="auto"/>
              <w:ind w:left="676"/>
              <w:rPr>
                <w:rFonts w:ascii="Times New Roman" w:hAnsi="Times New Roman" w:cs="Times New Roman"/>
                <w:b/>
                <w:sz w:val="16"/>
                <w:szCs w:val="16"/>
                <w:lang w:val="en-US"/>
              </w:rPr>
            </w:pPr>
            <w:r w:rsidRPr="00C54BE8">
              <w:rPr>
                <w:rFonts w:ascii="Times New Roman" w:hAnsi="Times New Roman" w:cs="Times New Roman"/>
                <w:sz w:val="16"/>
                <w:szCs w:val="16"/>
                <w:lang w:val="en-US"/>
              </w:rPr>
              <w:t>Yes</w:t>
            </w:r>
          </w:p>
        </w:tc>
        <w:tc>
          <w:tcPr>
            <w:tcW w:w="384" w:type="dxa"/>
            <w:tcBorders>
              <w:left w:val="dashed" w:sz="4" w:space="0" w:color="auto"/>
            </w:tcBorders>
            <w:shd w:val="clear" w:color="auto" w:fill="FFFFFF" w:themeFill="background1"/>
          </w:tcPr>
          <w:p w14:paraId="5C4D6F92" w14:textId="1F565DA0" w:rsidR="00F26FF7" w:rsidRPr="00C54BE8" w:rsidRDefault="00F26FF7" w:rsidP="007A1BB7">
            <w:pPr>
              <w:widowControl w:val="0"/>
              <w:autoSpaceDE w:val="0"/>
              <w:autoSpaceDN w:val="0"/>
              <w:adjustRightInd w:val="0"/>
              <w:spacing w:after="0" w:line="240" w:lineRule="auto"/>
              <w:jc w:val="center"/>
              <w:rPr>
                <w:rFonts w:ascii="Times New Roman" w:hAnsi="Times New Roman" w:cs="Times New Roman"/>
                <w:sz w:val="16"/>
                <w:szCs w:val="16"/>
                <w:lang w:val="en-US"/>
              </w:rPr>
            </w:pPr>
            <w:r w:rsidRPr="00C54BE8">
              <w:rPr>
                <w:rFonts w:ascii="Times New Roman" w:hAnsi="Times New Roman" w:cs="Times New Roman"/>
                <w:sz w:val="16"/>
                <w:szCs w:val="16"/>
                <w:lang w:val="en-US"/>
              </w:rPr>
              <w:t>5</w:t>
            </w:r>
          </w:p>
        </w:tc>
        <w:tc>
          <w:tcPr>
            <w:tcW w:w="1758" w:type="dxa"/>
            <w:gridSpan w:val="2"/>
            <w:tcBorders>
              <w:right w:val="dashed" w:sz="4" w:space="0" w:color="auto"/>
            </w:tcBorders>
            <w:shd w:val="clear" w:color="auto" w:fill="FFFFFF" w:themeFill="background1"/>
          </w:tcPr>
          <w:p w14:paraId="21BE25DB" w14:textId="56AB3C00" w:rsidR="00F26FF7" w:rsidRPr="00C54BE8" w:rsidRDefault="008C6302" w:rsidP="008C6302">
            <w:pPr>
              <w:widowControl w:val="0"/>
              <w:autoSpaceDE w:val="0"/>
              <w:autoSpaceDN w:val="0"/>
              <w:adjustRightInd w:val="0"/>
              <w:spacing w:after="0" w:line="240" w:lineRule="auto"/>
              <w:ind w:left="91"/>
              <w:rPr>
                <w:rFonts w:ascii="Times New Roman" w:hAnsi="Times New Roman" w:cs="Times New Roman"/>
                <w:sz w:val="16"/>
                <w:szCs w:val="16"/>
                <w:lang w:val="en-US"/>
              </w:rPr>
            </w:pPr>
            <w:r w:rsidRPr="00C54BE8">
              <w:rPr>
                <w:rFonts w:ascii="Times New Roman" w:hAnsi="Times New Roman" w:cs="Times New Roman"/>
                <w:sz w:val="16"/>
                <w:szCs w:val="16"/>
                <w:lang w:val="en-US"/>
              </w:rPr>
              <w:t>9.1</w:t>
            </w:r>
            <w:r>
              <w:rPr>
                <w:rFonts w:ascii="Times New Roman" w:hAnsi="Times New Roman" w:cs="Times New Roman"/>
                <w:sz w:val="16"/>
                <w:szCs w:val="16"/>
                <w:lang w:val="en-US"/>
              </w:rPr>
              <w:t xml:space="preserve"> </w:t>
            </w:r>
            <w:r w:rsidRPr="00C54BE8">
              <w:rPr>
                <w:rFonts w:ascii="Times New Roman" w:hAnsi="Times New Roman" w:cs="Times New Roman"/>
                <w:sz w:val="16"/>
                <w:szCs w:val="16"/>
                <w:lang w:val="en-US"/>
              </w:rPr>
              <w:t>(6.8-9.2)</w:t>
            </w:r>
          </w:p>
        </w:tc>
        <w:tc>
          <w:tcPr>
            <w:tcW w:w="386" w:type="dxa"/>
            <w:tcBorders>
              <w:left w:val="dashed" w:sz="4" w:space="0" w:color="auto"/>
            </w:tcBorders>
            <w:shd w:val="clear" w:color="auto" w:fill="FFFFFF" w:themeFill="background1"/>
          </w:tcPr>
          <w:p w14:paraId="16BF1907" w14:textId="3C61F923" w:rsidR="00F26FF7" w:rsidRPr="00C54BE8" w:rsidRDefault="00F26FF7" w:rsidP="007A1BB7">
            <w:pPr>
              <w:widowControl w:val="0"/>
              <w:autoSpaceDE w:val="0"/>
              <w:autoSpaceDN w:val="0"/>
              <w:adjustRightInd w:val="0"/>
              <w:spacing w:after="0" w:line="240" w:lineRule="auto"/>
              <w:jc w:val="center"/>
              <w:rPr>
                <w:rFonts w:ascii="Times New Roman" w:hAnsi="Times New Roman" w:cs="Times New Roman"/>
                <w:sz w:val="16"/>
                <w:szCs w:val="16"/>
                <w:lang w:val="en-US"/>
              </w:rPr>
            </w:pPr>
            <w:r w:rsidRPr="00C54BE8">
              <w:rPr>
                <w:rFonts w:ascii="Times New Roman" w:hAnsi="Times New Roman" w:cs="Times New Roman"/>
                <w:sz w:val="16"/>
                <w:szCs w:val="16"/>
                <w:lang w:val="en-US"/>
              </w:rPr>
              <w:t>6</w:t>
            </w:r>
          </w:p>
        </w:tc>
        <w:tc>
          <w:tcPr>
            <w:tcW w:w="1758" w:type="dxa"/>
            <w:gridSpan w:val="2"/>
            <w:tcBorders>
              <w:right w:val="dashed" w:sz="4" w:space="0" w:color="auto"/>
            </w:tcBorders>
            <w:shd w:val="clear" w:color="auto" w:fill="FFFFFF" w:themeFill="background1"/>
          </w:tcPr>
          <w:p w14:paraId="3C2FEC8C" w14:textId="18BAEE6A" w:rsidR="00F26FF7" w:rsidRPr="00C54BE8" w:rsidRDefault="008C6302" w:rsidP="008C6302">
            <w:pPr>
              <w:widowControl w:val="0"/>
              <w:autoSpaceDE w:val="0"/>
              <w:autoSpaceDN w:val="0"/>
              <w:adjustRightInd w:val="0"/>
              <w:spacing w:after="0" w:line="240" w:lineRule="auto"/>
              <w:ind w:left="73"/>
              <w:rPr>
                <w:rFonts w:ascii="Times New Roman" w:hAnsi="Times New Roman" w:cs="Times New Roman"/>
                <w:sz w:val="16"/>
                <w:szCs w:val="16"/>
                <w:lang w:val="en-US"/>
              </w:rPr>
            </w:pPr>
            <w:r w:rsidRPr="00C54BE8">
              <w:rPr>
                <w:rFonts w:ascii="Times New Roman" w:hAnsi="Times New Roman" w:cs="Times New Roman"/>
                <w:sz w:val="16"/>
                <w:szCs w:val="16"/>
                <w:lang w:val="en-US"/>
              </w:rPr>
              <w:t>11.7</w:t>
            </w:r>
            <w:r>
              <w:rPr>
                <w:rFonts w:ascii="Times New Roman" w:hAnsi="Times New Roman" w:cs="Times New Roman"/>
                <w:sz w:val="16"/>
                <w:szCs w:val="16"/>
                <w:lang w:val="en-US"/>
              </w:rPr>
              <w:t xml:space="preserve"> </w:t>
            </w:r>
            <w:r w:rsidRPr="00C54BE8">
              <w:rPr>
                <w:rFonts w:ascii="Times New Roman" w:hAnsi="Times New Roman" w:cs="Times New Roman"/>
                <w:sz w:val="16"/>
                <w:szCs w:val="16"/>
                <w:lang w:val="en-US"/>
              </w:rPr>
              <w:t>(9.6-12.6)</w:t>
            </w:r>
          </w:p>
        </w:tc>
        <w:tc>
          <w:tcPr>
            <w:tcW w:w="397" w:type="dxa"/>
            <w:tcBorders>
              <w:left w:val="dashed" w:sz="4" w:space="0" w:color="auto"/>
            </w:tcBorders>
            <w:shd w:val="clear" w:color="auto" w:fill="FFFFFF" w:themeFill="background1"/>
          </w:tcPr>
          <w:p w14:paraId="159289E2" w14:textId="1BAF4ED5" w:rsidR="00F26FF7" w:rsidRPr="00C54BE8" w:rsidRDefault="00F26FF7" w:rsidP="007A1BB7">
            <w:pPr>
              <w:widowControl w:val="0"/>
              <w:autoSpaceDE w:val="0"/>
              <w:autoSpaceDN w:val="0"/>
              <w:adjustRightInd w:val="0"/>
              <w:spacing w:after="0" w:line="240" w:lineRule="auto"/>
              <w:jc w:val="center"/>
              <w:rPr>
                <w:rFonts w:ascii="Times New Roman" w:hAnsi="Times New Roman" w:cs="Times New Roman"/>
                <w:sz w:val="16"/>
                <w:szCs w:val="16"/>
                <w:lang w:val="en-US"/>
              </w:rPr>
            </w:pPr>
            <w:r w:rsidRPr="00C54BE8">
              <w:rPr>
                <w:rFonts w:ascii="Times New Roman" w:hAnsi="Times New Roman" w:cs="Times New Roman"/>
                <w:sz w:val="16"/>
                <w:szCs w:val="16"/>
                <w:lang w:val="en-US"/>
              </w:rPr>
              <w:t>4</w:t>
            </w:r>
          </w:p>
        </w:tc>
        <w:tc>
          <w:tcPr>
            <w:tcW w:w="1786" w:type="dxa"/>
            <w:gridSpan w:val="2"/>
            <w:tcBorders>
              <w:right w:val="dashed" w:sz="4" w:space="0" w:color="auto"/>
            </w:tcBorders>
            <w:shd w:val="clear" w:color="auto" w:fill="FFFFFF" w:themeFill="background1"/>
          </w:tcPr>
          <w:p w14:paraId="31C06078" w14:textId="5355DDAB" w:rsidR="00F26FF7" w:rsidRPr="00C54BE8" w:rsidRDefault="008C6302" w:rsidP="008C6302">
            <w:pPr>
              <w:widowControl w:val="0"/>
              <w:autoSpaceDE w:val="0"/>
              <w:autoSpaceDN w:val="0"/>
              <w:adjustRightInd w:val="0"/>
              <w:spacing w:after="0" w:line="240" w:lineRule="auto"/>
              <w:ind w:left="44"/>
              <w:rPr>
                <w:rFonts w:ascii="Times New Roman" w:hAnsi="Times New Roman" w:cs="Times New Roman"/>
                <w:sz w:val="16"/>
                <w:szCs w:val="16"/>
                <w:lang w:val="en-US"/>
              </w:rPr>
            </w:pPr>
            <w:r w:rsidRPr="00C54BE8">
              <w:rPr>
                <w:rFonts w:ascii="Times New Roman" w:hAnsi="Times New Roman" w:cs="Times New Roman"/>
                <w:sz w:val="16"/>
                <w:szCs w:val="16"/>
                <w:lang w:val="en-US"/>
              </w:rPr>
              <w:t>11.7</w:t>
            </w:r>
            <w:r>
              <w:rPr>
                <w:rFonts w:ascii="Times New Roman" w:hAnsi="Times New Roman" w:cs="Times New Roman"/>
                <w:sz w:val="16"/>
                <w:szCs w:val="16"/>
                <w:lang w:val="en-US"/>
              </w:rPr>
              <w:t xml:space="preserve"> </w:t>
            </w:r>
            <w:r w:rsidRPr="00C54BE8">
              <w:rPr>
                <w:rFonts w:ascii="Times New Roman" w:hAnsi="Times New Roman" w:cs="Times New Roman"/>
                <w:sz w:val="16"/>
                <w:szCs w:val="16"/>
                <w:lang w:val="en-US"/>
              </w:rPr>
              <w:t>(8.4-14.9)</w:t>
            </w:r>
          </w:p>
        </w:tc>
      </w:tr>
      <w:tr w:rsidR="00F26FF7" w:rsidRPr="001C61AA" w14:paraId="2ACA29D2" w14:textId="77777777" w:rsidTr="0056300B">
        <w:trPr>
          <w:trHeight w:val="113"/>
          <w:jc w:val="center"/>
        </w:trPr>
        <w:tc>
          <w:tcPr>
            <w:tcW w:w="2469" w:type="dxa"/>
            <w:tcBorders>
              <w:right w:val="dashed" w:sz="4" w:space="0" w:color="auto"/>
            </w:tcBorders>
            <w:shd w:val="clear" w:color="auto" w:fill="F2F2F2" w:themeFill="background1" w:themeFillShade="F2"/>
          </w:tcPr>
          <w:p w14:paraId="7EAEA777" w14:textId="77777777" w:rsidR="00F26FF7" w:rsidRPr="00C54BE8" w:rsidRDefault="00F26FF7" w:rsidP="007A1BB7">
            <w:pPr>
              <w:widowControl w:val="0"/>
              <w:autoSpaceDE w:val="0"/>
              <w:autoSpaceDN w:val="0"/>
              <w:adjustRightInd w:val="0"/>
              <w:spacing w:after="0" w:line="240" w:lineRule="auto"/>
              <w:rPr>
                <w:rFonts w:ascii="Times New Roman" w:hAnsi="Times New Roman" w:cs="Times New Roman"/>
                <w:b/>
                <w:sz w:val="16"/>
                <w:szCs w:val="16"/>
                <w:lang w:val="en-US"/>
              </w:rPr>
            </w:pPr>
            <w:r w:rsidRPr="00C54BE8">
              <w:rPr>
                <w:rFonts w:ascii="Times New Roman" w:hAnsi="Times New Roman" w:cs="Times New Roman"/>
                <w:b/>
                <w:sz w:val="16"/>
                <w:szCs w:val="16"/>
                <w:lang w:val="en-US"/>
              </w:rPr>
              <w:t>Aneurysm location</w:t>
            </w:r>
          </w:p>
        </w:tc>
        <w:tc>
          <w:tcPr>
            <w:tcW w:w="384" w:type="dxa"/>
            <w:tcBorders>
              <w:left w:val="dashed" w:sz="4" w:space="0" w:color="auto"/>
            </w:tcBorders>
            <w:shd w:val="clear" w:color="auto" w:fill="F2F2F2" w:themeFill="background1" w:themeFillShade="F2"/>
          </w:tcPr>
          <w:p w14:paraId="0D5B6DB4" w14:textId="77777777" w:rsidR="00F26FF7" w:rsidRPr="00C54BE8" w:rsidRDefault="00F26FF7" w:rsidP="007A1BB7">
            <w:pPr>
              <w:widowControl w:val="0"/>
              <w:autoSpaceDE w:val="0"/>
              <w:autoSpaceDN w:val="0"/>
              <w:adjustRightInd w:val="0"/>
              <w:spacing w:after="0" w:line="240" w:lineRule="auto"/>
              <w:jc w:val="center"/>
              <w:rPr>
                <w:rFonts w:ascii="Times New Roman" w:hAnsi="Times New Roman" w:cs="Times New Roman"/>
                <w:sz w:val="16"/>
                <w:szCs w:val="16"/>
                <w:lang w:val="en-US"/>
              </w:rPr>
            </w:pPr>
          </w:p>
        </w:tc>
        <w:tc>
          <w:tcPr>
            <w:tcW w:w="964" w:type="dxa"/>
            <w:shd w:val="clear" w:color="auto" w:fill="F2F2F2" w:themeFill="background1" w:themeFillShade="F2"/>
          </w:tcPr>
          <w:p w14:paraId="078C5468" w14:textId="77777777" w:rsidR="00F26FF7" w:rsidRPr="00C54BE8" w:rsidRDefault="00F26FF7" w:rsidP="007A1BB7">
            <w:pPr>
              <w:widowControl w:val="0"/>
              <w:autoSpaceDE w:val="0"/>
              <w:autoSpaceDN w:val="0"/>
              <w:adjustRightInd w:val="0"/>
              <w:spacing w:after="0" w:line="240" w:lineRule="auto"/>
              <w:jc w:val="center"/>
              <w:rPr>
                <w:rFonts w:ascii="Times New Roman" w:hAnsi="Times New Roman" w:cs="Times New Roman"/>
                <w:sz w:val="16"/>
                <w:szCs w:val="16"/>
                <w:lang w:val="en-US"/>
              </w:rPr>
            </w:pPr>
          </w:p>
        </w:tc>
        <w:tc>
          <w:tcPr>
            <w:tcW w:w="794" w:type="dxa"/>
            <w:tcBorders>
              <w:right w:val="dashed" w:sz="4" w:space="0" w:color="auto"/>
            </w:tcBorders>
            <w:shd w:val="clear" w:color="auto" w:fill="F2F2F2" w:themeFill="background1" w:themeFillShade="F2"/>
          </w:tcPr>
          <w:p w14:paraId="2D8ECE3C" w14:textId="551836D5" w:rsidR="00F26FF7" w:rsidRPr="00C54BE8" w:rsidRDefault="008C6302" w:rsidP="006D71CB">
            <w:pPr>
              <w:widowControl w:val="0"/>
              <w:autoSpaceDE w:val="0"/>
              <w:autoSpaceDN w:val="0"/>
              <w:adjustRightInd w:val="0"/>
              <w:spacing w:after="0" w:line="240" w:lineRule="auto"/>
              <w:jc w:val="right"/>
              <w:rPr>
                <w:rFonts w:ascii="Times New Roman" w:hAnsi="Times New Roman" w:cs="Times New Roman"/>
                <w:sz w:val="16"/>
                <w:szCs w:val="16"/>
                <w:lang w:val="en-US"/>
              </w:rPr>
            </w:pPr>
            <w:r w:rsidRPr="00C54BE8">
              <w:rPr>
                <w:rFonts w:ascii="Times New Roman" w:hAnsi="Times New Roman" w:cs="Times New Roman"/>
                <w:sz w:val="16"/>
                <w:szCs w:val="16"/>
                <w:lang w:val="en-US"/>
              </w:rPr>
              <w:t>0.125</w:t>
            </w:r>
          </w:p>
        </w:tc>
        <w:tc>
          <w:tcPr>
            <w:tcW w:w="386" w:type="dxa"/>
            <w:tcBorders>
              <w:left w:val="dashed" w:sz="4" w:space="0" w:color="auto"/>
            </w:tcBorders>
            <w:shd w:val="clear" w:color="auto" w:fill="F2F2F2" w:themeFill="background1" w:themeFillShade="F2"/>
          </w:tcPr>
          <w:p w14:paraId="5A8A8CF7" w14:textId="77777777" w:rsidR="00F26FF7" w:rsidRPr="00C54BE8" w:rsidRDefault="00F26FF7" w:rsidP="007A1BB7">
            <w:pPr>
              <w:widowControl w:val="0"/>
              <w:autoSpaceDE w:val="0"/>
              <w:autoSpaceDN w:val="0"/>
              <w:adjustRightInd w:val="0"/>
              <w:spacing w:after="0" w:line="240" w:lineRule="auto"/>
              <w:jc w:val="center"/>
              <w:rPr>
                <w:rFonts w:ascii="Times New Roman" w:hAnsi="Times New Roman" w:cs="Times New Roman"/>
                <w:sz w:val="16"/>
                <w:szCs w:val="16"/>
                <w:lang w:val="en-US"/>
              </w:rPr>
            </w:pPr>
          </w:p>
        </w:tc>
        <w:tc>
          <w:tcPr>
            <w:tcW w:w="964" w:type="dxa"/>
            <w:shd w:val="clear" w:color="auto" w:fill="F2F2F2" w:themeFill="background1" w:themeFillShade="F2"/>
          </w:tcPr>
          <w:p w14:paraId="104ED047" w14:textId="77777777" w:rsidR="00F26FF7" w:rsidRPr="00C54BE8" w:rsidRDefault="00F26FF7" w:rsidP="007A1BB7">
            <w:pPr>
              <w:widowControl w:val="0"/>
              <w:autoSpaceDE w:val="0"/>
              <w:autoSpaceDN w:val="0"/>
              <w:adjustRightInd w:val="0"/>
              <w:spacing w:after="0" w:line="240" w:lineRule="auto"/>
              <w:jc w:val="center"/>
              <w:rPr>
                <w:rFonts w:ascii="Times New Roman" w:hAnsi="Times New Roman" w:cs="Times New Roman"/>
                <w:sz w:val="16"/>
                <w:szCs w:val="16"/>
                <w:lang w:val="en-US"/>
              </w:rPr>
            </w:pPr>
          </w:p>
        </w:tc>
        <w:tc>
          <w:tcPr>
            <w:tcW w:w="794" w:type="dxa"/>
            <w:tcBorders>
              <w:right w:val="dashed" w:sz="4" w:space="0" w:color="auto"/>
            </w:tcBorders>
            <w:shd w:val="clear" w:color="auto" w:fill="F2F2F2" w:themeFill="background1" w:themeFillShade="F2"/>
          </w:tcPr>
          <w:p w14:paraId="3A98E087" w14:textId="1E9BDE2F" w:rsidR="00F26FF7" w:rsidRPr="00C54BE8" w:rsidRDefault="008C6302" w:rsidP="006D71CB">
            <w:pPr>
              <w:widowControl w:val="0"/>
              <w:autoSpaceDE w:val="0"/>
              <w:autoSpaceDN w:val="0"/>
              <w:adjustRightInd w:val="0"/>
              <w:spacing w:after="0" w:line="240" w:lineRule="auto"/>
              <w:jc w:val="right"/>
              <w:rPr>
                <w:rFonts w:ascii="Times New Roman" w:hAnsi="Times New Roman" w:cs="Times New Roman"/>
                <w:sz w:val="16"/>
                <w:szCs w:val="16"/>
                <w:lang w:val="en-US"/>
              </w:rPr>
            </w:pPr>
            <w:r w:rsidRPr="00C54BE8">
              <w:rPr>
                <w:rFonts w:ascii="Times New Roman" w:hAnsi="Times New Roman" w:cs="Times New Roman"/>
                <w:sz w:val="16"/>
                <w:szCs w:val="16"/>
                <w:lang w:val="en-US"/>
              </w:rPr>
              <w:t>0.280</w:t>
            </w:r>
          </w:p>
        </w:tc>
        <w:tc>
          <w:tcPr>
            <w:tcW w:w="397" w:type="dxa"/>
            <w:tcBorders>
              <w:left w:val="dashed" w:sz="4" w:space="0" w:color="auto"/>
            </w:tcBorders>
            <w:shd w:val="clear" w:color="auto" w:fill="F2F2F2" w:themeFill="background1" w:themeFillShade="F2"/>
          </w:tcPr>
          <w:p w14:paraId="15EA5F61" w14:textId="77777777" w:rsidR="00F26FF7" w:rsidRPr="00C54BE8" w:rsidRDefault="00F26FF7" w:rsidP="007A1BB7">
            <w:pPr>
              <w:widowControl w:val="0"/>
              <w:autoSpaceDE w:val="0"/>
              <w:autoSpaceDN w:val="0"/>
              <w:adjustRightInd w:val="0"/>
              <w:spacing w:after="0" w:line="240" w:lineRule="auto"/>
              <w:jc w:val="center"/>
              <w:rPr>
                <w:rFonts w:ascii="Times New Roman" w:hAnsi="Times New Roman" w:cs="Times New Roman"/>
                <w:sz w:val="16"/>
                <w:szCs w:val="16"/>
                <w:lang w:val="en-US"/>
              </w:rPr>
            </w:pPr>
          </w:p>
        </w:tc>
        <w:tc>
          <w:tcPr>
            <w:tcW w:w="992" w:type="dxa"/>
            <w:shd w:val="clear" w:color="auto" w:fill="F2F2F2" w:themeFill="background1" w:themeFillShade="F2"/>
          </w:tcPr>
          <w:p w14:paraId="5B59D8E3" w14:textId="77777777" w:rsidR="00F26FF7" w:rsidRPr="00C54BE8" w:rsidRDefault="00F26FF7" w:rsidP="007A1BB7">
            <w:pPr>
              <w:widowControl w:val="0"/>
              <w:autoSpaceDE w:val="0"/>
              <w:autoSpaceDN w:val="0"/>
              <w:adjustRightInd w:val="0"/>
              <w:spacing w:after="0" w:line="240" w:lineRule="auto"/>
              <w:jc w:val="center"/>
              <w:rPr>
                <w:rFonts w:ascii="Times New Roman" w:hAnsi="Times New Roman" w:cs="Times New Roman"/>
                <w:sz w:val="16"/>
                <w:szCs w:val="16"/>
                <w:lang w:val="en-US"/>
              </w:rPr>
            </w:pPr>
          </w:p>
        </w:tc>
        <w:tc>
          <w:tcPr>
            <w:tcW w:w="794" w:type="dxa"/>
            <w:tcBorders>
              <w:right w:val="dashed" w:sz="4" w:space="0" w:color="auto"/>
            </w:tcBorders>
            <w:shd w:val="clear" w:color="auto" w:fill="F2F2F2" w:themeFill="background1" w:themeFillShade="F2"/>
          </w:tcPr>
          <w:p w14:paraId="20E275B3" w14:textId="2C668A89" w:rsidR="00F26FF7" w:rsidRPr="00C54BE8" w:rsidRDefault="008C6302" w:rsidP="006D71CB">
            <w:pPr>
              <w:widowControl w:val="0"/>
              <w:autoSpaceDE w:val="0"/>
              <w:autoSpaceDN w:val="0"/>
              <w:adjustRightInd w:val="0"/>
              <w:spacing w:after="0" w:line="240" w:lineRule="auto"/>
              <w:jc w:val="right"/>
              <w:rPr>
                <w:rFonts w:ascii="Times New Roman" w:hAnsi="Times New Roman" w:cs="Times New Roman"/>
                <w:sz w:val="16"/>
                <w:szCs w:val="16"/>
                <w:lang w:val="en-US"/>
              </w:rPr>
            </w:pPr>
            <w:r w:rsidRPr="00C54BE8">
              <w:rPr>
                <w:rFonts w:ascii="Times New Roman" w:hAnsi="Times New Roman" w:cs="Times New Roman"/>
                <w:sz w:val="16"/>
                <w:szCs w:val="16"/>
                <w:lang w:val="en-US"/>
              </w:rPr>
              <w:t>0.082</w:t>
            </w:r>
          </w:p>
        </w:tc>
      </w:tr>
      <w:tr w:rsidR="008C6302" w:rsidRPr="001C61AA" w14:paraId="1BA19FA3" w14:textId="77777777" w:rsidTr="0056300B">
        <w:trPr>
          <w:trHeight w:val="113"/>
          <w:jc w:val="center"/>
        </w:trPr>
        <w:tc>
          <w:tcPr>
            <w:tcW w:w="2469" w:type="dxa"/>
            <w:tcBorders>
              <w:right w:val="dashed" w:sz="4" w:space="0" w:color="auto"/>
            </w:tcBorders>
            <w:shd w:val="clear" w:color="auto" w:fill="FFFFFF" w:themeFill="background1"/>
          </w:tcPr>
          <w:p w14:paraId="574E709C" w14:textId="52ECE61C" w:rsidR="008C6302" w:rsidRPr="00C54BE8" w:rsidRDefault="008C6302" w:rsidP="00513EB4">
            <w:pPr>
              <w:widowControl w:val="0"/>
              <w:autoSpaceDE w:val="0"/>
              <w:autoSpaceDN w:val="0"/>
              <w:adjustRightInd w:val="0"/>
              <w:spacing w:after="0" w:line="240" w:lineRule="auto"/>
              <w:ind w:left="676"/>
              <w:rPr>
                <w:rFonts w:ascii="Times New Roman" w:hAnsi="Times New Roman" w:cs="Times New Roman"/>
                <w:b/>
                <w:sz w:val="16"/>
                <w:szCs w:val="16"/>
                <w:lang w:val="en-US"/>
              </w:rPr>
            </w:pPr>
            <w:r w:rsidRPr="00C54BE8">
              <w:rPr>
                <w:rFonts w:ascii="Times New Roman" w:hAnsi="Times New Roman" w:cs="Times New Roman"/>
                <w:sz w:val="16"/>
                <w:szCs w:val="16"/>
                <w:lang w:val="en-US"/>
              </w:rPr>
              <w:t>Anterior circulation</w:t>
            </w:r>
          </w:p>
        </w:tc>
        <w:tc>
          <w:tcPr>
            <w:tcW w:w="384" w:type="dxa"/>
            <w:tcBorders>
              <w:left w:val="dashed" w:sz="4" w:space="0" w:color="auto"/>
            </w:tcBorders>
            <w:shd w:val="clear" w:color="auto" w:fill="FFFFFF" w:themeFill="background1"/>
          </w:tcPr>
          <w:p w14:paraId="7742F333" w14:textId="08E4DBBC" w:rsidR="008C6302" w:rsidRPr="00C54BE8" w:rsidRDefault="008C6302" w:rsidP="007A1BB7">
            <w:pPr>
              <w:widowControl w:val="0"/>
              <w:autoSpaceDE w:val="0"/>
              <w:autoSpaceDN w:val="0"/>
              <w:adjustRightInd w:val="0"/>
              <w:spacing w:after="0" w:line="240" w:lineRule="auto"/>
              <w:jc w:val="center"/>
              <w:rPr>
                <w:rFonts w:ascii="Times New Roman" w:hAnsi="Times New Roman" w:cs="Times New Roman"/>
                <w:sz w:val="16"/>
                <w:szCs w:val="16"/>
                <w:lang w:val="en-US"/>
              </w:rPr>
            </w:pPr>
            <w:r w:rsidRPr="00C54BE8">
              <w:rPr>
                <w:rFonts w:ascii="Times New Roman" w:hAnsi="Times New Roman" w:cs="Times New Roman"/>
                <w:sz w:val="16"/>
                <w:szCs w:val="16"/>
                <w:lang w:val="en-US"/>
              </w:rPr>
              <w:t>62</w:t>
            </w:r>
          </w:p>
        </w:tc>
        <w:tc>
          <w:tcPr>
            <w:tcW w:w="1758" w:type="dxa"/>
            <w:gridSpan w:val="2"/>
            <w:tcBorders>
              <w:right w:val="dashed" w:sz="4" w:space="0" w:color="auto"/>
            </w:tcBorders>
            <w:shd w:val="clear" w:color="auto" w:fill="FFFFFF" w:themeFill="background1"/>
          </w:tcPr>
          <w:p w14:paraId="5F266032" w14:textId="51DAC254" w:rsidR="008C6302" w:rsidRPr="00C54BE8" w:rsidRDefault="008C6302" w:rsidP="008C6302">
            <w:pPr>
              <w:widowControl w:val="0"/>
              <w:autoSpaceDE w:val="0"/>
              <w:autoSpaceDN w:val="0"/>
              <w:adjustRightInd w:val="0"/>
              <w:spacing w:after="0" w:line="240" w:lineRule="auto"/>
              <w:ind w:left="91"/>
              <w:rPr>
                <w:rFonts w:ascii="Times New Roman" w:hAnsi="Times New Roman" w:cs="Times New Roman"/>
                <w:sz w:val="16"/>
                <w:szCs w:val="16"/>
                <w:lang w:val="en-US"/>
              </w:rPr>
            </w:pPr>
            <w:r w:rsidRPr="00C54BE8">
              <w:rPr>
                <w:rFonts w:ascii="Times New Roman" w:hAnsi="Times New Roman" w:cs="Times New Roman"/>
                <w:sz w:val="16"/>
                <w:szCs w:val="16"/>
                <w:lang w:val="en-US"/>
              </w:rPr>
              <w:t>9.4</w:t>
            </w:r>
            <w:r>
              <w:rPr>
                <w:rFonts w:ascii="Times New Roman" w:hAnsi="Times New Roman" w:cs="Times New Roman"/>
                <w:sz w:val="16"/>
                <w:szCs w:val="16"/>
                <w:lang w:val="en-US"/>
              </w:rPr>
              <w:t xml:space="preserve"> </w:t>
            </w:r>
            <w:r w:rsidRPr="00C54BE8">
              <w:rPr>
                <w:rFonts w:ascii="Times New Roman" w:hAnsi="Times New Roman" w:cs="Times New Roman"/>
                <w:sz w:val="16"/>
                <w:szCs w:val="16"/>
                <w:lang w:val="en-US"/>
              </w:rPr>
              <w:t>(7.7-13.5)</w:t>
            </w:r>
          </w:p>
        </w:tc>
        <w:tc>
          <w:tcPr>
            <w:tcW w:w="386" w:type="dxa"/>
            <w:tcBorders>
              <w:left w:val="dashed" w:sz="4" w:space="0" w:color="auto"/>
            </w:tcBorders>
            <w:shd w:val="clear" w:color="auto" w:fill="FFFFFF" w:themeFill="background1"/>
          </w:tcPr>
          <w:p w14:paraId="5E453F6B" w14:textId="1F63E404" w:rsidR="008C6302" w:rsidRPr="00C54BE8" w:rsidRDefault="008C6302" w:rsidP="007A1BB7">
            <w:pPr>
              <w:widowControl w:val="0"/>
              <w:autoSpaceDE w:val="0"/>
              <w:autoSpaceDN w:val="0"/>
              <w:adjustRightInd w:val="0"/>
              <w:spacing w:after="0" w:line="240" w:lineRule="auto"/>
              <w:jc w:val="center"/>
              <w:rPr>
                <w:rFonts w:ascii="Times New Roman" w:hAnsi="Times New Roman" w:cs="Times New Roman"/>
                <w:sz w:val="16"/>
                <w:szCs w:val="16"/>
                <w:lang w:val="en-US"/>
              </w:rPr>
            </w:pPr>
            <w:r w:rsidRPr="00C54BE8">
              <w:rPr>
                <w:rFonts w:ascii="Times New Roman" w:hAnsi="Times New Roman" w:cs="Times New Roman"/>
                <w:sz w:val="16"/>
                <w:szCs w:val="16"/>
                <w:lang w:val="en-US"/>
              </w:rPr>
              <w:t>67</w:t>
            </w:r>
          </w:p>
        </w:tc>
        <w:tc>
          <w:tcPr>
            <w:tcW w:w="1758" w:type="dxa"/>
            <w:gridSpan w:val="2"/>
            <w:tcBorders>
              <w:right w:val="dashed" w:sz="4" w:space="0" w:color="auto"/>
            </w:tcBorders>
            <w:shd w:val="clear" w:color="auto" w:fill="FFFFFF" w:themeFill="background1"/>
          </w:tcPr>
          <w:p w14:paraId="678035D5" w14:textId="748C8D63" w:rsidR="008C6302" w:rsidRPr="00C54BE8" w:rsidRDefault="008C6302" w:rsidP="008C6302">
            <w:pPr>
              <w:widowControl w:val="0"/>
              <w:autoSpaceDE w:val="0"/>
              <w:autoSpaceDN w:val="0"/>
              <w:adjustRightInd w:val="0"/>
              <w:spacing w:after="0" w:line="240" w:lineRule="auto"/>
              <w:ind w:left="73"/>
              <w:rPr>
                <w:rFonts w:ascii="Times New Roman" w:hAnsi="Times New Roman" w:cs="Times New Roman"/>
                <w:sz w:val="16"/>
                <w:szCs w:val="16"/>
                <w:lang w:val="en-US"/>
              </w:rPr>
            </w:pPr>
            <w:r w:rsidRPr="00C54BE8">
              <w:rPr>
                <w:rFonts w:ascii="Times New Roman" w:hAnsi="Times New Roman" w:cs="Times New Roman"/>
                <w:sz w:val="16"/>
                <w:szCs w:val="16"/>
                <w:lang w:val="en-US"/>
              </w:rPr>
              <w:t>10.5</w:t>
            </w:r>
            <w:r>
              <w:rPr>
                <w:rFonts w:ascii="Times New Roman" w:hAnsi="Times New Roman" w:cs="Times New Roman"/>
                <w:sz w:val="16"/>
                <w:szCs w:val="16"/>
                <w:lang w:val="en-US"/>
              </w:rPr>
              <w:t xml:space="preserve"> </w:t>
            </w:r>
            <w:r w:rsidRPr="00C54BE8">
              <w:rPr>
                <w:rFonts w:ascii="Times New Roman" w:hAnsi="Times New Roman" w:cs="Times New Roman"/>
                <w:sz w:val="16"/>
                <w:szCs w:val="16"/>
                <w:lang w:val="en-US"/>
              </w:rPr>
              <w:t>(8.0-16.0)</w:t>
            </w:r>
          </w:p>
        </w:tc>
        <w:tc>
          <w:tcPr>
            <w:tcW w:w="397" w:type="dxa"/>
            <w:tcBorders>
              <w:left w:val="dashed" w:sz="4" w:space="0" w:color="auto"/>
            </w:tcBorders>
            <w:shd w:val="clear" w:color="auto" w:fill="FFFFFF" w:themeFill="background1"/>
          </w:tcPr>
          <w:p w14:paraId="3C9E1FB2" w14:textId="745BC2DE" w:rsidR="008C6302" w:rsidRPr="00C54BE8" w:rsidRDefault="008C6302" w:rsidP="007A1BB7">
            <w:pPr>
              <w:widowControl w:val="0"/>
              <w:autoSpaceDE w:val="0"/>
              <w:autoSpaceDN w:val="0"/>
              <w:adjustRightInd w:val="0"/>
              <w:spacing w:after="0" w:line="240" w:lineRule="auto"/>
              <w:jc w:val="center"/>
              <w:rPr>
                <w:rFonts w:ascii="Times New Roman" w:hAnsi="Times New Roman" w:cs="Times New Roman"/>
                <w:sz w:val="16"/>
                <w:szCs w:val="16"/>
                <w:lang w:val="en-US"/>
              </w:rPr>
            </w:pPr>
            <w:r w:rsidRPr="00C54BE8">
              <w:rPr>
                <w:rFonts w:ascii="Times New Roman" w:hAnsi="Times New Roman" w:cs="Times New Roman"/>
                <w:sz w:val="16"/>
                <w:szCs w:val="16"/>
                <w:lang w:val="en-US"/>
              </w:rPr>
              <w:t>48</w:t>
            </w:r>
          </w:p>
        </w:tc>
        <w:tc>
          <w:tcPr>
            <w:tcW w:w="1786" w:type="dxa"/>
            <w:gridSpan w:val="2"/>
            <w:tcBorders>
              <w:right w:val="dashed" w:sz="4" w:space="0" w:color="auto"/>
            </w:tcBorders>
            <w:shd w:val="clear" w:color="auto" w:fill="FFFFFF" w:themeFill="background1"/>
          </w:tcPr>
          <w:p w14:paraId="49CB69AB" w14:textId="253679A7" w:rsidR="008C6302" w:rsidRPr="00C54BE8" w:rsidRDefault="008C6302" w:rsidP="008C6302">
            <w:pPr>
              <w:widowControl w:val="0"/>
              <w:autoSpaceDE w:val="0"/>
              <w:autoSpaceDN w:val="0"/>
              <w:adjustRightInd w:val="0"/>
              <w:spacing w:after="0" w:line="240" w:lineRule="auto"/>
              <w:ind w:left="44"/>
              <w:rPr>
                <w:rFonts w:ascii="Times New Roman" w:hAnsi="Times New Roman" w:cs="Times New Roman"/>
                <w:sz w:val="16"/>
                <w:szCs w:val="16"/>
                <w:lang w:val="en-US"/>
              </w:rPr>
            </w:pPr>
            <w:r w:rsidRPr="00C54BE8">
              <w:rPr>
                <w:rFonts w:ascii="Times New Roman" w:hAnsi="Times New Roman" w:cs="Times New Roman"/>
                <w:sz w:val="16"/>
                <w:szCs w:val="16"/>
                <w:lang w:val="en-US"/>
              </w:rPr>
              <w:t>9.7</w:t>
            </w:r>
            <w:r>
              <w:rPr>
                <w:rFonts w:ascii="Times New Roman" w:hAnsi="Times New Roman" w:cs="Times New Roman"/>
                <w:sz w:val="16"/>
                <w:szCs w:val="16"/>
                <w:lang w:val="en-US"/>
              </w:rPr>
              <w:t xml:space="preserve"> </w:t>
            </w:r>
            <w:r w:rsidRPr="00C54BE8">
              <w:rPr>
                <w:rFonts w:ascii="Times New Roman" w:hAnsi="Times New Roman" w:cs="Times New Roman"/>
                <w:sz w:val="16"/>
                <w:szCs w:val="16"/>
                <w:lang w:val="en-US"/>
              </w:rPr>
              <w:t>(8.4-13.2)</w:t>
            </w:r>
          </w:p>
        </w:tc>
      </w:tr>
      <w:tr w:rsidR="008C6302" w:rsidRPr="001C61AA" w14:paraId="13A9DC12" w14:textId="77777777" w:rsidTr="0056300B">
        <w:trPr>
          <w:trHeight w:val="113"/>
          <w:jc w:val="center"/>
        </w:trPr>
        <w:tc>
          <w:tcPr>
            <w:tcW w:w="2469" w:type="dxa"/>
            <w:tcBorders>
              <w:right w:val="dashed" w:sz="4" w:space="0" w:color="auto"/>
            </w:tcBorders>
            <w:shd w:val="clear" w:color="auto" w:fill="FFFFFF" w:themeFill="background1"/>
          </w:tcPr>
          <w:p w14:paraId="7EAA955C" w14:textId="0D10F289" w:rsidR="008C6302" w:rsidRPr="00C54BE8" w:rsidRDefault="008C6302" w:rsidP="00513EB4">
            <w:pPr>
              <w:widowControl w:val="0"/>
              <w:autoSpaceDE w:val="0"/>
              <w:autoSpaceDN w:val="0"/>
              <w:adjustRightInd w:val="0"/>
              <w:spacing w:after="0" w:line="240" w:lineRule="auto"/>
              <w:ind w:left="676"/>
              <w:rPr>
                <w:rFonts w:ascii="Times New Roman" w:hAnsi="Times New Roman" w:cs="Times New Roman"/>
                <w:b/>
                <w:sz w:val="16"/>
                <w:szCs w:val="16"/>
                <w:lang w:val="en-US"/>
              </w:rPr>
            </w:pPr>
            <w:r w:rsidRPr="00C54BE8">
              <w:rPr>
                <w:rFonts w:ascii="Times New Roman" w:hAnsi="Times New Roman" w:cs="Times New Roman"/>
                <w:sz w:val="16"/>
                <w:szCs w:val="16"/>
                <w:lang w:val="en-US"/>
              </w:rPr>
              <w:t>Posterior circulation</w:t>
            </w:r>
          </w:p>
        </w:tc>
        <w:tc>
          <w:tcPr>
            <w:tcW w:w="384" w:type="dxa"/>
            <w:tcBorders>
              <w:left w:val="dashed" w:sz="4" w:space="0" w:color="auto"/>
            </w:tcBorders>
            <w:shd w:val="clear" w:color="auto" w:fill="FFFFFF" w:themeFill="background1"/>
          </w:tcPr>
          <w:p w14:paraId="7130EBE5" w14:textId="62BB59BC" w:rsidR="008C6302" w:rsidRPr="00C54BE8" w:rsidRDefault="008C6302" w:rsidP="007A1BB7">
            <w:pPr>
              <w:widowControl w:val="0"/>
              <w:autoSpaceDE w:val="0"/>
              <w:autoSpaceDN w:val="0"/>
              <w:adjustRightInd w:val="0"/>
              <w:spacing w:after="0" w:line="240" w:lineRule="auto"/>
              <w:jc w:val="center"/>
              <w:rPr>
                <w:rFonts w:ascii="Times New Roman" w:hAnsi="Times New Roman" w:cs="Times New Roman"/>
                <w:sz w:val="16"/>
                <w:szCs w:val="16"/>
                <w:lang w:val="en-US"/>
              </w:rPr>
            </w:pPr>
            <w:r w:rsidRPr="00C54BE8">
              <w:rPr>
                <w:rFonts w:ascii="Times New Roman" w:hAnsi="Times New Roman" w:cs="Times New Roman"/>
                <w:sz w:val="16"/>
                <w:szCs w:val="16"/>
                <w:lang w:val="en-US"/>
              </w:rPr>
              <w:t>26</w:t>
            </w:r>
          </w:p>
        </w:tc>
        <w:tc>
          <w:tcPr>
            <w:tcW w:w="1758" w:type="dxa"/>
            <w:gridSpan w:val="2"/>
            <w:tcBorders>
              <w:right w:val="dashed" w:sz="4" w:space="0" w:color="auto"/>
            </w:tcBorders>
            <w:shd w:val="clear" w:color="auto" w:fill="FFFFFF" w:themeFill="background1"/>
          </w:tcPr>
          <w:p w14:paraId="7CD6AB98" w14:textId="5CDA2BE5" w:rsidR="008C6302" w:rsidRPr="00C54BE8" w:rsidRDefault="008C6302" w:rsidP="008C6302">
            <w:pPr>
              <w:widowControl w:val="0"/>
              <w:autoSpaceDE w:val="0"/>
              <w:autoSpaceDN w:val="0"/>
              <w:adjustRightInd w:val="0"/>
              <w:spacing w:after="0" w:line="240" w:lineRule="auto"/>
              <w:ind w:left="91"/>
              <w:rPr>
                <w:rFonts w:ascii="Times New Roman" w:hAnsi="Times New Roman" w:cs="Times New Roman"/>
                <w:sz w:val="16"/>
                <w:szCs w:val="16"/>
                <w:lang w:val="en-US"/>
              </w:rPr>
            </w:pPr>
            <w:r w:rsidRPr="00C54BE8">
              <w:rPr>
                <w:rFonts w:ascii="Times New Roman" w:hAnsi="Times New Roman" w:cs="Times New Roman"/>
                <w:sz w:val="16"/>
                <w:szCs w:val="16"/>
                <w:lang w:val="en-US"/>
              </w:rPr>
              <w:t>9.1</w:t>
            </w:r>
            <w:r>
              <w:rPr>
                <w:rFonts w:ascii="Times New Roman" w:hAnsi="Times New Roman" w:cs="Times New Roman"/>
                <w:sz w:val="16"/>
                <w:szCs w:val="16"/>
                <w:lang w:val="en-US"/>
              </w:rPr>
              <w:t xml:space="preserve"> </w:t>
            </w:r>
            <w:r w:rsidRPr="00C54BE8">
              <w:rPr>
                <w:rFonts w:ascii="Times New Roman" w:hAnsi="Times New Roman" w:cs="Times New Roman"/>
                <w:sz w:val="16"/>
                <w:szCs w:val="16"/>
                <w:lang w:val="en-US"/>
              </w:rPr>
              <w:t>(7.1-10.1)</w:t>
            </w:r>
          </w:p>
        </w:tc>
        <w:tc>
          <w:tcPr>
            <w:tcW w:w="386" w:type="dxa"/>
            <w:tcBorders>
              <w:left w:val="dashed" w:sz="4" w:space="0" w:color="auto"/>
            </w:tcBorders>
            <w:shd w:val="clear" w:color="auto" w:fill="FFFFFF" w:themeFill="background1"/>
          </w:tcPr>
          <w:p w14:paraId="5281ECB7" w14:textId="6C1A1915" w:rsidR="008C6302" w:rsidRPr="00C54BE8" w:rsidRDefault="008C6302" w:rsidP="007A1BB7">
            <w:pPr>
              <w:widowControl w:val="0"/>
              <w:autoSpaceDE w:val="0"/>
              <w:autoSpaceDN w:val="0"/>
              <w:adjustRightInd w:val="0"/>
              <w:spacing w:after="0" w:line="240" w:lineRule="auto"/>
              <w:jc w:val="center"/>
              <w:rPr>
                <w:rFonts w:ascii="Times New Roman" w:hAnsi="Times New Roman" w:cs="Times New Roman"/>
                <w:sz w:val="16"/>
                <w:szCs w:val="16"/>
                <w:lang w:val="en-US"/>
              </w:rPr>
            </w:pPr>
            <w:r w:rsidRPr="00C54BE8">
              <w:rPr>
                <w:rFonts w:ascii="Times New Roman" w:hAnsi="Times New Roman" w:cs="Times New Roman"/>
                <w:sz w:val="16"/>
                <w:szCs w:val="16"/>
                <w:lang w:val="en-US"/>
              </w:rPr>
              <w:t>24</w:t>
            </w:r>
          </w:p>
        </w:tc>
        <w:tc>
          <w:tcPr>
            <w:tcW w:w="1758" w:type="dxa"/>
            <w:gridSpan w:val="2"/>
            <w:tcBorders>
              <w:right w:val="dashed" w:sz="4" w:space="0" w:color="auto"/>
            </w:tcBorders>
            <w:shd w:val="clear" w:color="auto" w:fill="FFFFFF" w:themeFill="background1"/>
          </w:tcPr>
          <w:p w14:paraId="5D63041E" w14:textId="39ED3EC1" w:rsidR="008C6302" w:rsidRPr="00C54BE8" w:rsidRDefault="008C6302" w:rsidP="008C6302">
            <w:pPr>
              <w:widowControl w:val="0"/>
              <w:autoSpaceDE w:val="0"/>
              <w:autoSpaceDN w:val="0"/>
              <w:adjustRightInd w:val="0"/>
              <w:spacing w:after="0" w:line="240" w:lineRule="auto"/>
              <w:ind w:left="73"/>
              <w:rPr>
                <w:rFonts w:ascii="Times New Roman" w:hAnsi="Times New Roman" w:cs="Times New Roman"/>
                <w:sz w:val="16"/>
                <w:szCs w:val="16"/>
                <w:lang w:val="en-US"/>
              </w:rPr>
            </w:pPr>
            <w:r w:rsidRPr="00C54BE8">
              <w:rPr>
                <w:rFonts w:ascii="Times New Roman" w:hAnsi="Times New Roman" w:cs="Times New Roman"/>
                <w:sz w:val="16"/>
                <w:szCs w:val="16"/>
                <w:lang w:val="en-US"/>
              </w:rPr>
              <w:t>8.9</w:t>
            </w:r>
            <w:r>
              <w:rPr>
                <w:rFonts w:ascii="Times New Roman" w:hAnsi="Times New Roman" w:cs="Times New Roman"/>
                <w:sz w:val="16"/>
                <w:szCs w:val="16"/>
                <w:lang w:val="en-US"/>
              </w:rPr>
              <w:t xml:space="preserve"> </w:t>
            </w:r>
            <w:r w:rsidRPr="00C54BE8">
              <w:rPr>
                <w:rFonts w:ascii="Times New Roman" w:hAnsi="Times New Roman" w:cs="Times New Roman"/>
                <w:sz w:val="16"/>
                <w:szCs w:val="16"/>
                <w:lang w:val="en-US"/>
              </w:rPr>
              <w:t>(7.6-11.8)</w:t>
            </w:r>
          </w:p>
        </w:tc>
        <w:tc>
          <w:tcPr>
            <w:tcW w:w="397" w:type="dxa"/>
            <w:tcBorders>
              <w:left w:val="dashed" w:sz="4" w:space="0" w:color="auto"/>
            </w:tcBorders>
            <w:shd w:val="clear" w:color="auto" w:fill="FFFFFF" w:themeFill="background1"/>
          </w:tcPr>
          <w:p w14:paraId="3AA1D25C" w14:textId="30DB08A2" w:rsidR="008C6302" w:rsidRPr="00C54BE8" w:rsidRDefault="008C6302" w:rsidP="007A1BB7">
            <w:pPr>
              <w:widowControl w:val="0"/>
              <w:autoSpaceDE w:val="0"/>
              <w:autoSpaceDN w:val="0"/>
              <w:adjustRightInd w:val="0"/>
              <w:spacing w:after="0" w:line="240" w:lineRule="auto"/>
              <w:jc w:val="center"/>
              <w:rPr>
                <w:rFonts w:ascii="Times New Roman" w:hAnsi="Times New Roman" w:cs="Times New Roman"/>
                <w:sz w:val="16"/>
                <w:szCs w:val="16"/>
                <w:lang w:val="en-US"/>
              </w:rPr>
            </w:pPr>
            <w:r w:rsidRPr="00C54BE8">
              <w:rPr>
                <w:rFonts w:ascii="Times New Roman" w:hAnsi="Times New Roman" w:cs="Times New Roman"/>
                <w:sz w:val="16"/>
                <w:szCs w:val="16"/>
                <w:lang w:val="en-US"/>
              </w:rPr>
              <w:t>17</w:t>
            </w:r>
          </w:p>
        </w:tc>
        <w:tc>
          <w:tcPr>
            <w:tcW w:w="1786" w:type="dxa"/>
            <w:gridSpan w:val="2"/>
            <w:tcBorders>
              <w:right w:val="dashed" w:sz="4" w:space="0" w:color="auto"/>
            </w:tcBorders>
            <w:shd w:val="clear" w:color="auto" w:fill="FFFFFF" w:themeFill="background1"/>
          </w:tcPr>
          <w:p w14:paraId="6D0FD6A1" w14:textId="53675881" w:rsidR="008C6302" w:rsidRPr="00C54BE8" w:rsidRDefault="008C6302" w:rsidP="008C6302">
            <w:pPr>
              <w:widowControl w:val="0"/>
              <w:autoSpaceDE w:val="0"/>
              <w:autoSpaceDN w:val="0"/>
              <w:adjustRightInd w:val="0"/>
              <w:spacing w:after="0" w:line="240" w:lineRule="auto"/>
              <w:ind w:left="44"/>
              <w:rPr>
                <w:rFonts w:ascii="Times New Roman" w:hAnsi="Times New Roman" w:cs="Times New Roman"/>
                <w:sz w:val="16"/>
                <w:szCs w:val="16"/>
                <w:lang w:val="en-US"/>
              </w:rPr>
            </w:pPr>
            <w:r w:rsidRPr="00C54BE8">
              <w:rPr>
                <w:rFonts w:ascii="Times New Roman" w:hAnsi="Times New Roman" w:cs="Times New Roman"/>
                <w:sz w:val="16"/>
                <w:szCs w:val="16"/>
                <w:lang w:val="en-US"/>
              </w:rPr>
              <w:t>8.3</w:t>
            </w:r>
            <w:r>
              <w:rPr>
                <w:rFonts w:ascii="Times New Roman" w:hAnsi="Times New Roman" w:cs="Times New Roman"/>
                <w:sz w:val="16"/>
                <w:szCs w:val="16"/>
                <w:lang w:val="en-US"/>
              </w:rPr>
              <w:t xml:space="preserve"> </w:t>
            </w:r>
            <w:r w:rsidRPr="00C54BE8">
              <w:rPr>
                <w:rFonts w:ascii="Times New Roman" w:hAnsi="Times New Roman" w:cs="Times New Roman"/>
                <w:sz w:val="16"/>
                <w:szCs w:val="16"/>
                <w:lang w:val="en-US"/>
              </w:rPr>
              <w:t>(5.8-10.4)</w:t>
            </w:r>
          </w:p>
        </w:tc>
      </w:tr>
      <w:tr w:rsidR="008C6302" w:rsidRPr="001C61AA" w14:paraId="75A4105A" w14:textId="77777777" w:rsidTr="0056300B">
        <w:trPr>
          <w:trHeight w:val="113"/>
          <w:jc w:val="center"/>
        </w:trPr>
        <w:tc>
          <w:tcPr>
            <w:tcW w:w="2469" w:type="dxa"/>
            <w:tcBorders>
              <w:right w:val="dashed" w:sz="4" w:space="0" w:color="auto"/>
            </w:tcBorders>
            <w:shd w:val="clear" w:color="auto" w:fill="F2F2F2" w:themeFill="background1" w:themeFillShade="F2"/>
          </w:tcPr>
          <w:p w14:paraId="4CB9F94E" w14:textId="77777777" w:rsidR="008C6302" w:rsidRPr="00C54BE8" w:rsidRDefault="008C6302" w:rsidP="007A1BB7">
            <w:pPr>
              <w:widowControl w:val="0"/>
              <w:autoSpaceDE w:val="0"/>
              <w:autoSpaceDN w:val="0"/>
              <w:adjustRightInd w:val="0"/>
              <w:spacing w:after="0" w:line="240" w:lineRule="auto"/>
              <w:rPr>
                <w:rFonts w:ascii="Times New Roman" w:hAnsi="Times New Roman" w:cs="Times New Roman"/>
                <w:b/>
                <w:sz w:val="16"/>
                <w:szCs w:val="16"/>
                <w:lang w:val="en-US"/>
              </w:rPr>
            </w:pPr>
            <w:r w:rsidRPr="00C54BE8">
              <w:rPr>
                <w:rFonts w:ascii="Times New Roman" w:hAnsi="Times New Roman" w:cs="Times New Roman"/>
                <w:b/>
                <w:sz w:val="16"/>
                <w:szCs w:val="16"/>
                <w:lang w:val="en-US"/>
              </w:rPr>
              <w:t>Treatment</w:t>
            </w:r>
          </w:p>
        </w:tc>
        <w:tc>
          <w:tcPr>
            <w:tcW w:w="384" w:type="dxa"/>
            <w:tcBorders>
              <w:left w:val="dashed" w:sz="4" w:space="0" w:color="auto"/>
            </w:tcBorders>
            <w:shd w:val="clear" w:color="auto" w:fill="F2F2F2" w:themeFill="background1" w:themeFillShade="F2"/>
          </w:tcPr>
          <w:p w14:paraId="159DF25D" w14:textId="77777777" w:rsidR="008C6302" w:rsidRPr="00C54BE8" w:rsidRDefault="008C6302" w:rsidP="007A1BB7">
            <w:pPr>
              <w:widowControl w:val="0"/>
              <w:autoSpaceDE w:val="0"/>
              <w:autoSpaceDN w:val="0"/>
              <w:adjustRightInd w:val="0"/>
              <w:spacing w:after="0" w:line="240" w:lineRule="auto"/>
              <w:jc w:val="center"/>
              <w:rPr>
                <w:rFonts w:ascii="Times New Roman" w:hAnsi="Times New Roman" w:cs="Times New Roman"/>
                <w:sz w:val="16"/>
                <w:szCs w:val="16"/>
                <w:lang w:val="en-US"/>
              </w:rPr>
            </w:pPr>
          </w:p>
        </w:tc>
        <w:tc>
          <w:tcPr>
            <w:tcW w:w="964" w:type="dxa"/>
            <w:shd w:val="clear" w:color="auto" w:fill="F2F2F2" w:themeFill="background1" w:themeFillShade="F2"/>
          </w:tcPr>
          <w:p w14:paraId="6767A922" w14:textId="77777777" w:rsidR="008C6302" w:rsidRPr="00C54BE8" w:rsidRDefault="008C6302" w:rsidP="007A1BB7">
            <w:pPr>
              <w:widowControl w:val="0"/>
              <w:autoSpaceDE w:val="0"/>
              <w:autoSpaceDN w:val="0"/>
              <w:adjustRightInd w:val="0"/>
              <w:spacing w:after="0" w:line="240" w:lineRule="auto"/>
              <w:jc w:val="center"/>
              <w:rPr>
                <w:rFonts w:ascii="Times New Roman" w:hAnsi="Times New Roman" w:cs="Times New Roman"/>
                <w:sz w:val="16"/>
                <w:szCs w:val="16"/>
                <w:lang w:val="en-US"/>
              </w:rPr>
            </w:pPr>
          </w:p>
        </w:tc>
        <w:tc>
          <w:tcPr>
            <w:tcW w:w="794" w:type="dxa"/>
            <w:tcBorders>
              <w:right w:val="dashed" w:sz="4" w:space="0" w:color="auto"/>
            </w:tcBorders>
            <w:shd w:val="clear" w:color="auto" w:fill="F2F2F2" w:themeFill="background1" w:themeFillShade="F2"/>
          </w:tcPr>
          <w:p w14:paraId="0ED064E8" w14:textId="35A542E7" w:rsidR="008C6302" w:rsidRPr="00C54BE8" w:rsidRDefault="00513EB4" w:rsidP="006D71CB">
            <w:pPr>
              <w:widowControl w:val="0"/>
              <w:autoSpaceDE w:val="0"/>
              <w:autoSpaceDN w:val="0"/>
              <w:adjustRightInd w:val="0"/>
              <w:spacing w:after="0" w:line="240" w:lineRule="auto"/>
              <w:jc w:val="right"/>
              <w:rPr>
                <w:rFonts w:ascii="Times New Roman" w:hAnsi="Times New Roman" w:cs="Times New Roman"/>
                <w:sz w:val="16"/>
                <w:szCs w:val="16"/>
                <w:lang w:val="en-US"/>
              </w:rPr>
            </w:pPr>
            <w:r w:rsidRPr="00C54BE8">
              <w:rPr>
                <w:rFonts w:ascii="Times New Roman" w:hAnsi="Times New Roman" w:cs="Times New Roman"/>
                <w:b/>
                <w:sz w:val="16"/>
                <w:szCs w:val="16"/>
                <w:lang w:val="en-US"/>
              </w:rPr>
              <w:t>0.008</w:t>
            </w:r>
          </w:p>
        </w:tc>
        <w:tc>
          <w:tcPr>
            <w:tcW w:w="386" w:type="dxa"/>
            <w:tcBorders>
              <w:left w:val="dashed" w:sz="4" w:space="0" w:color="auto"/>
            </w:tcBorders>
            <w:shd w:val="clear" w:color="auto" w:fill="F2F2F2" w:themeFill="background1" w:themeFillShade="F2"/>
          </w:tcPr>
          <w:p w14:paraId="6BBBCCCE" w14:textId="77777777" w:rsidR="008C6302" w:rsidRPr="00C54BE8" w:rsidRDefault="008C6302" w:rsidP="007A1BB7">
            <w:pPr>
              <w:widowControl w:val="0"/>
              <w:autoSpaceDE w:val="0"/>
              <w:autoSpaceDN w:val="0"/>
              <w:adjustRightInd w:val="0"/>
              <w:spacing w:after="0" w:line="240" w:lineRule="auto"/>
              <w:jc w:val="center"/>
              <w:rPr>
                <w:rFonts w:ascii="Times New Roman" w:hAnsi="Times New Roman" w:cs="Times New Roman"/>
                <w:sz w:val="16"/>
                <w:szCs w:val="16"/>
                <w:lang w:val="en-US"/>
              </w:rPr>
            </w:pPr>
          </w:p>
        </w:tc>
        <w:tc>
          <w:tcPr>
            <w:tcW w:w="964" w:type="dxa"/>
            <w:shd w:val="clear" w:color="auto" w:fill="F2F2F2" w:themeFill="background1" w:themeFillShade="F2"/>
          </w:tcPr>
          <w:p w14:paraId="1EACE157" w14:textId="77777777" w:rsidR="008C6302" w:rsidRPr="00C54BE8" w:rsidRDefault="008C6302" w:rsidP="007A1BB7">
            <w:pPr>
              <w:widowControl w:val="0"/>
              <w:autoSpaceDE w:val="0"/>
              <w:autoSpaceDN w:val="0"/>
              <w:adjustRightInd w:val="0"/>
              <w:spacing w:after="0" w:line="240" w:lineRule="auto"/>
              <w:jc w:val="center"/>
              <w:rPr>
                <w:rFonts w:ascii="Times New Roman" w:hAnsi="Times New Roman" w:cs="Times New Roman"/>
                <w:sz w:val="16"/>
                <w:szCs w:val="16"/>
                <w:lang w:val="en-US"/>
              </w:rPr>
            </w:pPr>
          </w:p>
        </w:tc>
        <w:tc>
          <w:tcPr>
            <w:tcW w:w="794" w:type="dxa"/>
            <w:tcBorders>
              <w:right w:val="dashed" w:sz="4" w:space="0" w:color="auto"/>
            </w:tcBorders>
            <w:shd w:val="clear" w:color="auto" w:fill="F2F2F2" w:themeFill="background1" w:themeFillShade="F2"/>
          </w:tcPr>
          <w:p w14:paraId="694D8CA9" w14:textId="593364FA" w:rsidR="008C6302" w:rsidRPr="00C54BE8" w:rsidRDefault="00513EB4" w:rsidP="006D71CB">
            <w:pPr>
              <w:widowControl w:val="0"/>
              <w:autoSpaceDE w:val="0"/>
              <w:autoSpaceDN w:val="0"/>
              <w:adjustRightInd w:val="0"/>
              <w:spacing w:after="0" w:line="240" w:lineRule="auto"/>
              <w:jc w:val="right"/>
              <w:rPr>
                <w:rFonts w:ascii="Times New Roman" w:hAnsi="Times New Roman" w:cs="Times New Roman"/>
                <w:sz w:val="16"/>
                <w:szCs w:val="16"/>
                <w:lang w:val="en-US"/>
              </w:rPr>
            </w:pPr>
            <w:r w:rsidRPr="00C54BE8">
              <w:rPr>
                <w:rFonts w:ascii="Times New Roman" w:hAnsi="Times New Roman" w:cs="Times New Roman"/>
                <w:sz w:val="16"/>
                <w:szCs w:val="16"/>
                <w:lang w:val="en-US"/>
              </w:rPr>
              <w:t>0.072</w:t>
            </w:r>
          </w:p>
        </w:tc>
        <w:tc>
          <w:tcPr>
            <w:tcW w:w="397" w:type="dxa"/>
            <w:tcBorders>
              <w:left w:val="dashed" w:sz="4" w:space="0" w:color="auto"/>
            </w:tcBorders>
            <w:shd w:val="clear" w:color="auto" w:fill="F2F2F2" w:themeFill="background1" w:themeFillShade="F2"/>
          </w:tcPr>
          <w:p w14:paraId="5F1A293A" w14:textId="77777777" w:rsidR="008C6302" w:rsidRPr="00C54BE8" w:rsidRDefault="008C6302" w:rsidP="007A1BB7">
            <w:pPr>
              <w:widowControl w:val="0"/>
              <w:autoSpaceDE w:val="0"/>
              <w:autoSpaceDN w:val="0"/>
              <w:adjustRightInd w:val="0"/>
              <w:spacing w:after="0" w:line="240" w:lineRule="auto"/>
              <w:jc w:val="center"/>
              <w:rPr>
                <w:rFonts w:ascii="Times New Roman" w:hAnsi="Times New Roman" w:cs="Times New Roman"/>
                <w:sz w:val="16"/>
                <w:szCs w:val="16"/>
                <w:lang w:val="en-US"/>
              </w:rPr>
            </w:pPr>
          </w:p>
        </w:tc>
        <w:tc>
          <w:tcPr>
            <w:tcW w:w="992" w:type="dxa"/>
            <w:shd w:val="clear" w:color="auto" w:fill="F2F2F2" w:themeFill="background1" w:themeFillShade="F2"/>
          </w:tcPr>
          <w:p w14:paraId="09AC7D40" w14:textId="77777777" w:rsidR="008C6302" w:rsidRPr="00C54BE8" w:rsidRDefault="008C6302" w:rsidP="007A1BB7">
            <w:pPr>
              <w:widowControl w:val="0"/>
              <w:autoSpaceDE w:val="0"/>
              <w:autoSpaceDN w:val="0"/>
              <w:adjustRightInd w:val="0"/>
              <w:spacing w:after="0" w:line="240" w:lineRule="auto"/>
              <w:jc w:val="center"/>
              <w:rPr>
                <w:rFonts w:ascii="Times New Roman" w:hAnsi="Times New Roman" w:cs="Times New Roman"/>
                <w:sz w:val="16"/>
                <w:szCs w:val="16"/>
                <w:lang w:val="en-US"/>
              </w:rPr>
            </w:pPr>
          </w:p>
        </w:tc>
        <w:tc>
          <w:tcPr>
            <w:tcW w:w="794" w:type="dxa"/>
            <w:tcBorders>
              <w:right w:val="dashed" w:sz="4" w:space="0" w:color="auto"/>
            </w:tcBorders>
            <w:shd w:val="clear" w:color="auto" w:fill="F2F2F2" w:themeFill="background1" w:themeFillShade="F2"/>
          </w:tcPr>
          <w:p w14:paraId="394DB84C" w14:textId="033CFD6F" w:rsidR="008C6302" w:rsidRPr="00C54BE8" w:rsidRDefault="00513EB4" w:rsidP="006D71CB">
            <w:pPr>
              <w:widowControl w:val="0"/>
              <w:autoSpaceDE w:val="0"/>
              <w:autoSpaceDN w:val="0"/>
              <w:adjustRightInd w:val="0"/>
              <w:spacing w:after="0" w:line="240" w:lineRule="auto"/>
              <w:jc w:val="right"/>
              <w:rPr>
                <w:rFonts w:ascii="Times New Roman" w:hAnsi="Times New Roman" w:cs="Times New Roman"/>
                <w:sz w:val="16"/>
                <w:szCs w:val="16"/>
                <w:lang w:val="en-US"/>
              </w:rPr>
            </w:pPr>
            <w:r w:rsidRPr="00C54BE8">
              <w:rPr>
                <w:rFonts w:ascii="Times New Roman" w:hAnsi="Times New Roman" w:cs="Times New Roman"/>
                <w:sz w:val="16"/>
                <w:szCs w:val="16"/>
                <w:lang w:val="en-US"/>
              </w:rPr>
              <w:t>0.134</w:t>
            </w:r>
          </w:p>
        </w:tc>
      </w:tr>
      <w:tr w:rsidR="00513EB4" w:rsidRPr="001C61AA" w14:paraId="1FC1E504" w14:textId="77777777" w:rsidTr="0056300B">
        <w:trPr>
          <w:trHeight w:val="113"/>
          <w:jc w:val="center"/>
        </w:trPr>
        <w:tc>
          <w:tcPr>
            <w:tcW w:w="2469" w:type="dxa"/>
            <w:tcBorders>
              <w:right w:val="dashed" w:sz="4" w:space="0" w:color="auto"/>
            </w:tcBorders>
            <w:shd w:val="clear" w:color="auto" w:fill="FFFFFF" w:themeFill="background1"/>
          </w:tcPr>
          <w:p w14:paraId="1D9F0390" w14:textId="6FEFE39C" w:rsidR="00513EB4" w:rsidRPr="00C54BE8" w:rsidRDefault="00513EB4" w:rsidP="00513EB4">
            <w:pPr>
              <w:widowControl w:val="0"/>
              <w:autoSpaceDE w:val="0"/>
              <w:autoSpaceDN w:val="0"/>
              <w:adjustRightInd w:val="0"/>
              <w:spacing w:after="0" w:line="240" w:lineRule="auto"/>
              <w:ind w:left="676"/>
              <w:rPr>
                <w:rFonts w:ascii="Times New Roman" w:hAnsi="Times New Roman" w:cs="Times New Roman"/>
                <w:b/>
                <w:sz w:val="16"/>
                <w:szCs w:val="16"/>
                <w:lang w:val="en-US"/>
              </w:rPr>
            </w:pPr>
            <w:r w:rsidRPr="00C54BE8">
              <w:rPr>
                <w:rFonts w:ascii="Times New Roman" w:hAnsi="Times New Roman" w:cs="Times New Roman"/>
                <w:sz w:val="16"/>
                <w:szCs w:val="16"/>
                <w:lang w:val="en-US"/>
              </w:rPr>
              <w:t>Clipping</w:t>
            </w:r>
          </w:p>
        </w:tc>
        <w:tc>
          <w:tcPr>
            <w:tcW w:w="384" w:type="dxa"/>
            <w:tcBorders>
              <w:left w:val="dashed" w:sz="4" w:space="0" w:color="auto"/>
            </w:tcBorders>
            <w:shd w:val="clear" w:color="auto" w:fill="FFFFFF" w:themeFill="background1"/>
          </w:tcPr>
          <w:p w14:paraId="78587D6E" w14:textId="15607AC7" w:rsidR="00513EB4" w:rsidRPr="00C54BE8" w:rsidRDefault="00513EB4" w:rsidP="007A1BB7">
            <w:pPr>
              <w:widowControl w:val="0"/>
              <w:autoSpaceDE w:val="0"/>
              <w:autoSpaceDN w:val="0"/>
              <w:adjustRightInd w:val="0"/>
              <w:spacing w:after="0" w:line="240" w:lineRule="auto"/>
              <w:jc w:val="center"/>
              <w:rPr>
                <w:rFonts w:ascii="Times New Roman" w:hAnsi="Times New Roman" w:cs="Times New Roman"/>
                <w:sz w:val="16"/>
                <w:szCs w:val="16"/>
                <w:lang w:val="en-US"/>
              </w:rPr>
            </w:pPr>
            <w:r w:rsidRPr="00C54BE8">
              <w:rPr>
                <w:rFonts w:ascii="Times New Roman" w:hAnsi="Times New Roman" w:cs="Times New Roman"/>
                <w:sz w:val="16"/>
                <w:szCs w:val="16"/>
                <w:lang w:val="en-US"/>
              </w:rPr>
              <w:t>35</w:t>
            </w:r>
          </w:p>
        </w:tc>
        <w:tc>
          <w:tcPr>
            <w:tcW w:w="1758" w:type="dxa"/>
            <w:gridSpan w:val="2"/>
            <w:tcBorders>
              <w:right w:val="dashed" w:sz="4" w:space="0" w:color="auto"/>
            </w:tcBorders>
            <w:shd w:val="clear" w:color="auto" w:fill="FFFFFF" w:themeFill="background1"/>
          </w:tcPr>
          <w:p w14:paraId="6A6748D4" w14:textId="20BA20AD" w:rsidR="00513EB4" w:rsidRPr="00C54BE8" w:rsidRDefault="00513EB4" w:rsidP="00AB5094">
            <w:pPr>
              <w:widowControl w:val="0"/>
              <w:autoSpaceDE w:val="0"/>
              <w:autoSpaceDN w:val="0"/>
              <w:adjustRightInd w:val="0"/>
              <w:spacing w:after="0" w:line="240" w:lineRule="auto"/>
              <w:ind w:left="91"/>
              <w:rPr>
                <w:rFonts w:ascii="Times New Roman" w:hAnsi="Times New Roman" w:cs="Times New Roman"/>
                <w:sz w:val="16"/>
                <w:szCs w:val="16"/>
                <w:lang w:val="en-US"/>
              </w:rPr>
            </w:pPr>
            <w:r w:rsidRPr="00C54BE8">
              <w:rPr>
                <w:rFonts w:ascii="Times New Roman" w:hAnsi="Times New Roman" w:cs="Times New Roman"/>
                <w:sz w:val="16"/>
                <w:szCs w:val="16"/>
                <w:lang w:val="en-US"/>
              </w:rPr>
              <w:t>10.3</w:t>
            </w:r>
            <w:r>
              <w:rPr>
                <w:rFonts w:ascii="Times New Roman" w:hAnsi="Times New Roman" w:cs="Times New Roman"/>
                <w:sz w:val="16"/>
                <w:szCs w:val="16"/>
                <w:lang w:val="en-US"/>
              </w:rPr>
              <w:t xml:space="preserve"> </w:t>
            </w:r>
            <w:r w:rsidRPr="00C54BE8">
              <w:rPr>
                <w:rFonts w:ascii="Times New Roman" w:hAnsi="Times New Roman" w:cs="Times New Roman"/>
                <w:sz w:val="16"/>
                <w:szCs w:val="16"/>
                <w:lang w:val="en-US"/>
              </w:rPr>
              <w:t>(8.8-13.7)</w:t>
            </w:r>
          </w:p>
        </w:tc>
        <w:tc>
          <w:tcPr>
            <w:tcW w:w="386" w:type="dxa"/>
            <w:tcBorders>
              <w:left w:val="dashed" w:sz="4" w:space="0" w:color="auto"/>
            </w:tcBorders>
            <w:shd w:val="clear" w:color="auto" w:fill="FFFFFF" w:themeFill="background1"/>
          </w:tcPr>
          <w:p w14:paraId="1761E86D" w14:textId="6C3B5F29" w:rsidR="00513EB4" w:rsidRPr="00C54BE8" w:rsidRDefault="00513EB4" w:rsidP="007A1BB7">
            <w:pPr>
              <w:widowControl w:val="0"/>
              <w:autoSpaceDE w:val="0"/>
              <w:autoSpaceDN w:val="0"/>
              <w:adjustRightInd w:val="0"/>
              <w:spacing w:after="0" w:line="240" w:lineRule="auto"/>
              <w:jc w:val="center"/>
              <w:rPr>
                <w:rFonts w:ascii="Times New Roman" w:hAnsi="Times New Roman" w:cs="Times New Roman"/>
                <w:sz w:val="16"/>
                <w:szCs w:val="16"/>
                <w:lang w:val="en-US"/>
              </w:rPr>
            </w:pPr>
            <w:r w:rsidRPr="00C54BE8">
              <w:rPr>
                <w:rFonts w:ascii="Times New Roman" w:hAnsi="Times New Roman" w:cs="Times New Roman"/>
                <w:sz w:val="16"/>
                <w:szCs w:val="16"/>
                <w:lang w:val="en-US"/>
              </w:rPr>
              <w:t>38</w:t>
            </w:r>
          </w:p>
        </w:tc>
        <w:tc>
          <w:tcPr>
            <w:tcW w:w="1758" w:type="dxa"/>
            <w:gridSpan w:val="2"/>
            <w:tcBorders>
              <w:right w:val="dashed" w:sz="4" w:space="0" w:color="auto"/>
            </w:tcBorders>
            <w:shd w:val="clear" w:color="auto" w:fill="FFFFFF" w:themeFill="background1"/>
          </w:tcPr>
          <w:p w14:paraId="0107ACD8" w14:textId="6C9BF619" w:rsidR="00513EB4" w:rsidRPr="00C54BE8" w:rsidRDefault="00513EB4" w:rsidP="00AB5094">
            <w:pPr>
              <w:widowControl w:val="0"/>
              <w:autoSpaceDE w:val="0"/>
              <w:autoSpaceDN w:val="0"/>
              <w:adjustRightInd w:val="0"/>
              <w:spacing w:after="0" w:line="240" w:lineRule="auto"/>
              <w:ind w:left="73"/>
              <w:rPr>
                <w:rFonts w:ascii="Times New Roman" w:hAnsi="Times New Roman" w:cs="Times New Roman"/>
                <w:sz w:val="16"/>
                <w:szCs w:val="16"/>
                <w:lang w:val="en-US"/>
              </w:rPr>
            </w:pPr>
            <w:r w:rsidRPr="00C54BE8">
              <w:rPr>
                <w:rFonts w:ascii="Times New Roman" w:hAnsi="Times New Roman" w:cs="Times New Roman"/>
                <w:sz w:val="16"/>
                <w:szCs w:val="16"/>
                <w:lang w:val="en-US"/>
              </w:rPr>
              <w:t>11.7</w:t>
            </w:r>
            <w:r>
              <w:rPr>
                <w:rFonts w:ascii="Times New Roman" w:hAnsi="Times New Roman" w:cs="Times New Roman"/>
                <w:sz w:val="16"/>
                <w:szCs w:val="16"/>
                <w:lang w:val="en-US"/>
              </w:rPr>
              <w:t xml:space="preserve"> </w:t>
            </w:r>
            <w:r w:rsidRPr="00C54BE8">
              <w:rPr>
                <w:rFonts w:ascii="Times New Roman" w:hAnsi="Times New Roman" w:cs="Times New Roman"/>
                <w:sz w:val="16"/>
                <w:szCs w:val="16"/>
                <w:lang w:val="en-US"/>
              </w:rPr>
              <w:t>(8.8-16.6)</w:t>
            </w:r>
          </w:p>
        </w:tc>
        <w:tc>
          <w:tcPr>
            <w:tcW w:w="397" w:type="dxa"/>
            <w:tcBorders>
              <w:left w:val="dashed" w:sz="4" w:space="0" w:color="auto"/>
            </w:tcBorders>
            <w:shd w:val="clear" w:color="auto" w:fill="FFFFFF" w:themeFill="background1"/>
          </w:tcPr>
          <w:p w14:paraId="1E7E90B8" w14:textId="1B746E41" w:rsidR="00513EB4" w:rsidRPr="00C54BE8" w:rsidRDefault="00513EB4" w:rsidP="007A1BB7">
            <w:pPr>
              <w:widowControl w:val="0"/>
              <w:autoSpaceDE w:val="0"/>
              <w:autoSpaceDN w:val="0"/>
              <w:adjustRightInd w:val="0"/>
              <w:spacing w:after="0" w:line="240" w:lineRule="auto"/>
              <w:jc w:val="center"/>
              <w:rPr>
                <w:rFonts w:ascii="Times New Roman" w:hAnsi="Times New Roman" w:cs="Times New Roman"/>
                <w:sz w:val="16"/>
                <w:szCs w:val="16"/>
                <w:lang w:val="en-US"/>
              </w:rPr>
            </w:pPr>
            <w:r w:rsidRPr="00C54BE8">
              <w:rPr>
                <w:rFonts w:ascii="Times New Roman" w:hAnsi="Times New Roman" w:cs="Times New Roman"/>
                <w:sz w:val="16"/>
                <w:szCs w:val="16"/>
                <w:lang w:val="en-US"/>
              </w:rPr>
              <w:t>27</w:t>
            </w:r>
          </w:p>
        </w:tc>
        <w:tc>
          <w:tcPr>
            <w:tcW w:w="1786" w:type="dxa"/>
            <w:gridSpan w:val="2"/>
            <w:tcBorders>
              <w:right w:val="dashed" w:sz="4" w:space="0" w:color="auto"/>
            </w:tcBorders>
            <w:shd w:val="clear" w:color="auto" w:fill="FFFFFF" w:themeFill="background1"/>
          </w:tcPr>
          <w:p w14:paraId="47B90356" w14:textId="723C9E31" w:rsidR="00513EB4" w:rsidRPr="00C54BE8" w:rsidRDefault="00513EB4" w:rsidP="00AB5094">
            <w:pPr>
              <w:widowControl w:val="0"/>
              <w:autoSpaceDE w:val="0"/>
              <w:autoSpaceDN w:val="0"/>
              <w:adjustRightInd w:val="0"/>
              <w:spacing w:after="0" w:line="240" w:lineRule="auto"/>
              <w:ind w:left="44"/>
              <w:rPr>
                <w:rFonts w:ascii="Times New Roman" w:hAnsi="Times New Roman" w:cs="Times New Roman"/>
                <w:sz w:val="16"/>
                <w:szCs w:val="16"/>
                <w:lang w:val="en-US"/>
              </w:rPr>
            </w:pPr>
            <w:r w:rsidRPr="00C54BE8">
              <w:rPr>
                <w:rFonts w:ascii="Times New Roman" w:hAnsi="Times New Roman" w:cs="Times New Roman"/>
                <w:sz w:val="16"/>
                <w:szCs w:val="16"/>
                <w:lang w:val="en-US"/>
              </w:rPr>
              <w:t>11.1</w:t>
            </w:r>
            <w:r>
              <w:rPr>
                <w:rFonts w:ascii="Times New Roman" w:hAnsi="Times New Roman" w:cs="Times New Roman"/>
                <w:sz w:val="16"/>
                <w:szCs w:val="16"/>
                <w:lang w:val="en-US"/>
              </w:rPr>
              <w:t xml:space="preserve"> </w:t>
            </w:r>
            <w:r w:rsidRPr="00C54BE8">
              <w:rPr>
                <w:rFonts w:ascii="Times New Roman" w:hAnsi="Times New Roman" w:cs="Times New Roman"/>
                <w:sz w:val="16"/>
                <w:szCs w:val="16"/>
                <w:lang w:val="en-US"/>
              </w:rPr>
              <w:t>(8.4-14.8)</w:t>
            </w:r>
          </w:p>
        </w:tc>
      </w:tr>
      <w:tr w:rsidR="00513EB4" w:rsidRPr="001C61AA" w14:paraId="311D3FBC" w14:textId="77777777" w:rsidTr="0056300B">
        <w:trPr>
          <w:trHeight w:val="113"/>
          <w:jc w:val="center"/>
        </w:trPr>
        <w:tc>
          <w:tcPr>
            <w:tcW w:w="2469" w:type="dxa"/>
            <w:tcBorders>
              <w:right w:val="dashed" w:sz="4" w:space="0" w:color="auto"/>
            </w:tcBorders>
            <w:shd w:val="clear" w:color="auto" w:fill="FFFFFF" w:themeFill="background1"/>
          </w:tcPr>
          <w:p w14:paraId="46C6736D" w14:textId="2769FEE4" w:rsidR="00513EB4" w:rsidRPr="00C54BE8" w:rsidRDefault="00513EB4" w:rsidP="00513EB4">
            <w:pPr>
              <w:widowControl w:val="0"/>
              <w:autoSpaceDE w:val="0"/>
              <w:autoSpaceDN w:val="0"/>
              <w:adjustRightInd w:val="0"/>
              <w:spacing w:after="0" w:line="240" w:lineRule="auto"/>
              <w:ind w:left="676"/>
              <w:rPr>
                <w:rFonts w:ascii="Times New Roman" w:hAnsi="Times New Roman" w:cs="Times New Roman"/>
                <w:b/>
                <w:sz w:val="16"/>
                <w:szCs w:val="16"/>
                <w:lang w:val="en-US"/>
              </w:rPr>
            </w:pPr>
            <w:r w:rsidRPr="00C54BE8">
              <w:rPr>
                <w:rFonts w:ascii="Times New Roman" w:hAnsi="Times New Roman" w:cs="Times New Roman"/>
                <w:sz w:val="16"/>
                <w:szCs w:val="16"/>
                <w:lang w:val="en-US"/>
              </w:rPr>
              <w:t>Coiling</w:t>
            </w:r>
          </w:p>
        </w:tc>
        <w:tc>
          <w:tcPr>
            <w:tcW w:w="384" w:type="dxa"/>
            <w:tcBorders>
              <w:left w:val="dashed" w:sz="4" w:space="0" w:color="auto"/>
            </w:tcBorders>
            <w:shd w:val="clear" w:color="auto" w:fill="FFFFFF" w:themeFill="background1"/>
          </w:tcPr>
          <w:p w14:paraId="4647062D" w14:textId="0C791AF5" w:rsidR="00513EB4" w:rsidRPr="00C54BE8" w:rsidRDefault="00513EB4" w:rsidP="007A1BB7">
            <w:pPr>
              <w:widowControl w:val="0"/>
              <w:autoSpaceDE w:val="0"/>
              <w:autoSpaceDN w:val="0"/>
              <w:adjustRightInd w:val="0"/>
              <w:spacing w:after="0" w:line="240" w:lineRule="auto"/>
              <w:jc w:val="center"/>
              <w:rPr>
                <w:rFonts w:ascii="Times New Roman" w:hAnsi="Times New Roman" w:cs="Times New Roman"/>
                <w:sz w:val="16"/>
                <w:szCs w:val="16"/>
                <w:lang w:val="en-US"/>
              </w:rPr>
            </w:pPr>
            <w:r w:rsidRPr="00C54BE8">
              <w:rPr>
                <w:rFonts w:ascii="Times New Roman" w:hAnsi="Times New Roman" w:cs="Times New Roman"/>
                <w:sz w:val="16"/>
                <w:szCs w:val="16"/>
                <w:lang w:val="en-US"/>
              </w:rPr>
              <w:t>52</w:t>
            </w:r>
          </w:p>
        </w:tc>
        <w:tc>
          <w:tcPr>
            <w:tcW w:w="1758" w:type="dxa"/>
            <w:gridSpan w:val="2"/>
            <w:tcBorders>
              <w:right w:val="dashed" w:sz="4" w:space="0" w:color="auto"/>
            </w:tcBorders>
            <w:shd w:val="clear" w:color="auto" w:fill="FFFFFF" w:themeFill="background1"/>
          </w:tcPr>
          <w:p w14:paraId="2DC4B435" w14:textId="1B52B103" w:rsidR="00513EB4" w:rsidRPr="00C54BE8" w:rsidRDefault="00513EB4" w:rsidP="00AB5094">
            <w:pPr>
              <w:widowControl w:val="0"/>
              <w:autoSpaceDE w:val="0"/>
              <w:autoSpaceDN w:val="0"/>
              <w:adjustRightInd w:val="0"/>
              <w:spacing w:after="0" w:line="240" w:lineRule="auto"/>
              <w:ind w:left="91"/>
              <w:rPr>
                <w:rFonts w:ascii="Times New Roman" w:hAnsi="Times New Roman" w:cs="Times New Roman"/>
                <w:sz w:val="16"/>
                <w:szCs w:val="16"/>
                <w:lang w:val="en-US"/>
              </w:rPr>
            </w:pPr>
            <w:r w:rsidRPr="00C54BE8">
              <w:rPr>
                <w:rFonts w:ascii="Times New Roman" w:hAnsi="Times New Roman" w:cs="Times New Roman"/>
                <w:sz w:val="16"/>
                <w:szCs w:val="16"/>
                <w:lang w:val="en-US"/>
              </w:rPr>
              <w:t>9.0</w:t>
            </w:r>
            <w:r>
              <w:rPr>
                <w:rFonts w:ascii="Times New Roman" w:hAnsi="Times New Roman" w:cs="Times New Roman"/>
                <w:sz w:val="16"/>
                <w:szCs w:val="16"/>
                <w:lang w:val="en-US"/>
              </w:rPr>
              <w:t xml:space="preserve"> </w:t>
            </w:r>
            <w:r w:rsidRPr="00C54BE8">
              <w:rPr>
                <w:rFonts w:ascii="Times New Roman" w:hAnsi="Times New Roman" w:cs="Times New Roman"/>
                <w:sz w:val="16"/>
                <w:szCs w:val="16"/>
                <w:lang w:val="en-US"/>
              </w:rPr>
              <w:t>(7.1-10.3)</w:t>
            </w:r>
          </w:p>
        </w:tc>
        <w:tc>
          <w:tcPr>
            <w:tcW w:w="386" w:type="dxa"/>
            <w:tcBorders>
              <w:left w:val="dashed" w:sz="4" w:space="0" w:color="auto"/>
            </w:tcBorders>
            <w:shd w:val="clear" w:color="auto" w:fill="FFFFFF" w:themeFill="background1"/>
          </w:tcPr>
          <w:p w14:paraId="6E421025" w14:textId="592323A6" w:rsidR="00513EB4" w:rsidRPr="00C54BE8" w:rsidRDefault="00513EB4" w:rsidP="007A1BB7">
            <w:pPr>
              <w:widowControl w:val="0"/>
              <w:autoSpaceDE w:val="0"/>
              <w:autoSpaceDN w:val="0"/>
              <w:adjustRightInd w:val="0"/>
              <w:spacing w:after="0" w:line="240" w:lineRule="auto"/>
              <w:jc w:val="center"/>
              <w:rPr>
                <w:rFonts w:ascii="Times New Roman" w:hAnsi="Times New Roman" w:cs="Times New Roman"/>
                <w:sz w:val="16"/>
                <w:szCs w:val="16"/>
                <w:lang w:val="en-US"/>
              </w:rPr>
            </w:pPr>
            <w:r w:rsidRPr="00C54BE8">
              <w:rPr>
                <w:rFonts w:ascii="Times New Roman" w:hAnsi="Times New Roman" w:cs="Times New Roman"/>
                <w:sz w:val="16"/>
                <w:szCs w:val="16"/>
                <w:lang w:val="en-US"/>
              </w:rPr>
              <w:t>52</w:t>
            </w:r>
          </w:p>
        </w:tc>
        <w:tc>
          <w:tcPr>
            <w:tcW w:w="1758" w:type="dxa"/>
            <w:gridSpan w:val="2"/>
            <w:tcBorders>
              <w:right w:val="dashed" w:sz="4" w:space="0" w:color="auto"/>
            </w:tcBorders>
            <w:shd w:val="clear" w:color="auto" w:fill="FFFFFF" w:themeFill="background1"/>
          </w:tcPr>
          <w:p w14:paraId="777252CD" w14:textId="5955124F" w:rsidR="00513EB4" w:rsidRPr="00C54BE8" w:rsidRDefault="00513EB4" w:rsidP="00AB5094">
            <w:pPr>
              <w:widowControl w:val="0"/>
              <w:autoSpaceDE w:val="0"/>
              <w:autoSpaceDN w:val="0"/>
              <w:adjustRightInd w:val="0"/>
              <w:spacing w:after="0" w:line="240" w:lineRule="auto"/>
              <w:ind w:left="73"/>
              <w:rPr>
                <w:rFonts w:ascii="Times New Roman" w:hAnsi="Times New Roman" w:cs="Times New Roman"/>
                <w:sz w:val="16"/>
                <w:szCs w:val="16"/>
                <w:lang w:val="en-US"/>
              </w:rPr>
            </w:pPr>
            <w:r w:rsidRPr="00C54BE8">
              <w:rPr>
                <w:rFonts w:ascii="Times New Roman" w:hAnsi="Times New Roman" w:cs="Times New Roman"/>
                <w:sz w:val="16"/>
                <w:szCs w:val="16"/>
                <w:lang w:val="en-US"/>
              </w:rPr>
              <w:t>9.5</w:t>
            </w:r>
            <w:r>
              <w:rPr>
                <w:rFonts w:ascii="Times New Roman" w:hAnsi="Times New Roman" w:cs="Times New Roman"/>
                <w:sz w:val="16"/>
                <w:szCs w:val="16"/>
                <w:lang w:val="en-US"/>
              </w:rPr>
              <w:t xml:space="preserve"> </w:t>
            </w:r>
            <w:r w:rsidRPr="00C54BE8">
              <w:rPr>
                <w:rFonts w:ascii="Times New Roman" w:hAnsi="Times New Roman" w:cs="Times New Roman"/>
                <w:sz w:val="16"/>
                <w:szCs w:val="16"/>
                <w:lang w:val="en-US"/>
              </w:rPr>
              <w:t>(7.6-12.9)</w:t>
            </w:r>
          </w:p>
        </w:tc>
        <w:tc>
          <w:tcPr>
            <w:tcW w:w="397" w:type="dxa"/>
            <w:tcBorders>
              <w:left w:val="dashed" w:sz="4" w:space="0" w:color="auto"/>
            </w:tcBorders>
            <w:shd w:val="clear" w:color="auto" w:fill="FFFFFF" w:themeFill="background1"/>
          </w:tcPr>
          <w:p w14:paraId="77DF69F2" w14:textId="1046A51A" w:rsidR="00513EB4" w:rsidRPr="00C54BE8" w:rsidRDefault="00513EB4" w:rsidP="007A1BB7">
            <w:pPr>
              <w:widowControl w:val="0"/>
              <w:autoSpaceDE w:val="0"/>
              <w:autoSpaceDN w:val="0"/>
              <w:adjustRightInd w:val="0"/>
              <w:spacing w:after="0" w:line="240" w:lineRule="auto"/>
              <w:jc w:val="center"/>
              <w:rPr>
                <w:rFonts w:ascii="Times New Roman" w:hAnsi="Times New Roman" w:cs="Times New Roman"/>
                <w:sz w:val="16"/>
                <w:szCs w:val="16"/>
                <w:lang w:val="en-US"/>
              </w:rPr>
            </w:pPr>
            <w:r w:rsidRPr="00C54BE8">
              <w:rPr>
                <w:rFonts w:ascii="Times New Roman" w:hAnsi="Times New Roman" w:cs="Times New Roman"/>
                <w:sz w:val="16"/>
                <w:szCs w:val="16"/>
                <w:lang w:val="en-US"/>
              </w:rPr>
              <w:t>37</w:t>
            </w:r>
          </w:p>
        </w:tc>
        <w:tc>
          <w:tcPr>
            <w:tcW w:w="1786" w:type="dxa"/>
            <w:gridSpan w:val="2"/>
            <w:tcBorders>
              <w:right w:val="dashed" w:sz="4" w:space="0" w:color="auto"/>
            </w:tcBorders>
            <w:shd w:val="clear" w:color="auto" w:fill="FFFFFF" w:themeFill="background1"/>
          </w:tcPr>
          <w:p w14:paraId="50F06345" w14:textId="345267F9" w:rsidR="00513EB4" w:rsidRPr="00C54BE8" w:rsidRDefault="00513EB4" w:rsidP="00AB5094">
            <w:pPr>
              <w:widowControl w:val="0"/>
              <w:autoSpaceDE w:val="0"/>
              <w:autoSpaceDN w:val="0"/>
              <w:adjustRightInd w:val="0"/>
              <w:spacing w:after="0" w:line="240" w:lineRule="auto"/>
              <w:ind w:left="44"/>
              <w:rPr>
                <w:rFonts w:ascii="Times New Roman" w:hAnsi="Times New Roman" w:cs="Times New Roman"/>
                <w:sz w:val="16"/>
                <w:szCs w:val="16"/>
                <w:lang w:val="en-US"/>
              </w:rPr>
            </w:pPr>
            <w:r w:rsidRPr="00C54BE8">
              <w:rPr>
                <w:rFonts w:ascii="Times New Roman" w:hAnsi="Times New Roman" w:cs="Times New Roman"/>
                <w:sz w:val="16"/>
                <w:szCs w:val="16"/>
                <w:lang w:val="en-US"/>
              </w:rPr>
              <w:t>8.9</w:t>
            </w:r>
            <w:r>
              <w:rPr>
                <w:rFonts w:ascii="Times New Roman" w:hAnsi="Times New Roman" w:cs="Times New Roman"/>
                <w:sz w:val="16"/>
                <w:szCs w:val="16"/>
                <w:lang w:val="en-US"/>
              </w:rPr>
              <w:t xml:space="preserve"> </w:t>
            </w:r>
            <w:r w:rsidRPr="00C54BE8">
              <w:rPr>
                <w:rFonts w:ascii="Times New Roman" w:hAnsi="Times New Roman" w:cs="Times New Roman"/>
                <w:sz w:val="16"/>
                <w:szCs w:val="16"/>
                <w:lang w:val="en-US"/>
              </w:rPr>
              <w:t>(6.9-12.2)</w:t>
            </w:r>
          </w:p>
        </w:tc>
      </w:tr>
      <w:tr w:rsidR="00513EB4" w:rsidRPr="001C61AA" w14:paraId="1F11CBB4" w14:textId="77777777" w:rsidTr="0056300B">
        <w:trPr>
          <w:trHeight w:val="113"/>
          <w:jc w:val="center"/>
        </w:trPr>
        <w:tc>
          <w:tcPr>
            <w:tcW w:w="2469" w:type="dxa"/>
            <w:tcBorders>
              <w:right w:val="dashed" w:sz="4" w:space="0" w:color="auto"/>
            </w:tcBorders>
            <w:shd w:val="clear" w:color="auto" w:fill="F2F2F2" w:themeFill="background1" w:themeFillShade="F2"/>
          </w:tcPr>
          <w:p w14:paraId="4219D35F" w14:textId="77777777" w:rsidR="00513EB4" w:rsidRPr="00C54BE8" w:rsidRDefault="00513EB4" w:rsidP="007A1BB7">
            <w:pPr>
              <w:widowControl w:val="0"/>
              <w:autoSpaceDE w:val="0"/>
              <w:autoSpaceDN w:val="0"/>
              <w:adjustRightInd w:val="0"/>
              <w:spacing w:after="0" w:line="240" w:lineRule="auto"/>
              <w:rPr>
                <w:rFonts w:ascii="Times New Roman" w:hAnsi="Times New Roman" w:cs="Times New Roman"/>
                <w:b/>
                <w:sz w:val="16"/>
                <w:szCs w:val="16"/>
                <w:lang w:val="en-US"/>
              </w:rPr>
            </w:pPr>
            <w:r w:rsidRPr="00C54BE8">
              <w:rPr>
                <w:rFonts w:ascii="Times New Roman" w:hAnsi="Times New Roman" w:cs="Times New Roman"/>
                <w:b/>
                <w:sz w:val="16"/>
                <w:szCs w:val="16"/>
                <w:lang w:val="en-US"/>
              </w:rPr>
              <w:t>Hunt &amp; Hess grade</w:t>
            </w:r>
          </w:p>
        </w:tc>
        <w:tc>
          <w:tcPr>
            <w:tcW w:w="384" w:type="dxa"/>
            <w:tcBorders>
              <w:left w:val="dashed" w:sz="4" w:space="0" w:color="auto"/>
            </w:tcBorders>
            <w:shd w:val="clear" w:color="auto" w:fill="F2F2F2" w:themeFill="background1" w:themeFillShade="F2"/>
          </w:tcPr>
          <w:p w14:paraId="73CEC478" w14:textId="77777777" w:rsidR="00513EB4" w:rsidRPr="00C54BE8" w:rsidRDefault="00513EB4" w:rsidP="007A1BB7">
            <w:pPr>
              <w:widowControl w:val="0"/>
              <w:autoSpaceDE w:val="0"/>
              <w:autoSpaceDN w:val="0"/>
              <w:adjustRightInd w:val="0"/>
              <w:spacing w:after="0" w:line="240" w:lineRule="auto"/>
              <w:jc w:val="center"/>
              <w:rPr>
                <w:rFonts w:ascii="Times New Roman" w:hAnsi="Times New Roman" w:cs="Times New Roman"/>
                <w:sz w:val="16"/>
                <w:szCs w:val="16"/>
                <w:lang w:val="en-US"/>
              </w:rPr>
            </w:pPr>
          </w:p>
        </w:tc>
        <w:tc>
          <w:tcPr>
            <w:tcW w:w="964" w:type="dxa"/>
            <w:shd w:val="clear" w:color="auto" w:fill="F2F2F2" w:themeFill="background1" w:themeFillShade="F2"/>
          </w:tcPr>
          <w:p w14:paraId="5E54168B" w14:textId="77777777" w:rsidR="00513EB4" w:rsidRPr="00C54BE8" w:rsidRDefault="00513EB4" w:rsidP="007A1BB7">
            <w:pPr>
              <w:widowControl w:val="0"/>
              <w:autoSpaceDE w:val="0"/>
              <w:autoSpaceDN w:val="0"/>
              <w:adjustRightInd w:val="0"/>
              <w:spacing w:after="0" w:line="240" w:lineRule="auto"/>
              <w:jc w:val="center"/>
              <w:rPr>
                <w:rFonts w:ascii="Times New Roman" w:hAnsi="Times New Roman" w:cs="Times New Roman"/>
                <w:sz w:val="16"/>
                <w:szCs w:val="16"/>
                <w:lang w:val="en-US"/>
              </w:rPr>
            </w:pPr>
          </w:p>
        </w:tc>
        <w:tc>
          <w:tcPr>
            <w:tcW w:w="794" w:type="dxa"/>
            <w:tcBorders>
              <w:right w:val="dashed" w:sz="4" w:space="0" w:color="auto"/>
            </w:tcBorders>
            <w:shd w:val="clear" w:color="auto" w:fill="F2F2F2" w:themeFill="background1" w:themeFillShade="F2"/>
          </w:tcPr>
          <w:p w14:paraId="5AF1C283" w14:textId="1C1468F9" w:rsidR="00513EB4" w:rsidRPr="00C54BE8" w:rsidRDefault="00513EB4" w:rsidP="006D71CB">
            <w:pPr>
              <w:widowControl w:val="0"/>
              <w:autoSpaceDE w:val="0"/>
              <w:autoSpaceDN w:val="0"/>
              <w:adjustRightInd w:val="0"/>
              <w:spacing w:after="0" w:line="240" w:lineRule="auto"/>
              <w:jc w:val="right"/>
              <w:rPr>
                <w:rFonts w:ascii="Times New Roman" w:hAnsi="Times New Roman" w:cs="Times New Roman"/>
                <w:sz w:val="16"/>
                <w:szCs w:val="16"/>
                <w:lang w:val="en-US"/>
              </w:rPr>
            </w:pPr>
            <w:r w:rsidRPr="00C54BE8">
              <w:rPr>
                <w:rFonts w:ascii="Times New Roman" w:hAnsi="Times New Roman" w:cs="Times New Roman"/>
                <w:b/>
                <w:sz w:val="16"/>
                <w:szCs w:val="16"/>
                <w:lang w:val="en-US"/>
              </w:rPr>
              <w:t>&lt;0.001</w:t>
            </w:r>
          </w:p>
        </w:tc>
        <w:tc>
          <w:tcPr>
            <w:tcW w:w="386" w:type="dxa"/>
            <w:tcBorders>
              <w:left w:val="dashed" w:sz="4" w:space="0" w:color="auto"/>
            </w:tcBorders>
            <w:shd w:val="clear" w:color="auto" w:fill="F2F2F2" w:themeFill="background1" w:themeFillShade="F2"/>
          </w:tcPr>
          <w:p w14:paraId="07C00AA3" w14:textId="77777777" w:rsidR="00513EB4" w:rsidRPr="00C54BE8" w:rsidRDefault="00513EB4" w:rsidP="007A1BB7">
            <w:pPr>
              <w:widowControl w:val="0"/>
              <w:autoSpaceDE w:val="0"/>
              <w:autoSpaceDN w:val="0"/>
              <w:adjustRightInd w:val="0"/>
              <w:spacing w:after="0" w:line="240" w:lineRule="auto"/>
              <w:jc w:val="center"/>
              <w:rPr>
                <w:rFonts w:ascii="Times New Roman" w:hAnsi="Times New Roman" w:cs="Times New Roman"/>
                <w:sz w:val="16"/>
                <w:szCs w:val="16"/>
                <w:lang w:val="en-US"/>
              </w:rPr>
            </w:pPr>
          </w:p>
        </w:tc>
        <w:tc>
          <w:tcPr>
            <w:tcW w:w="964" w:type="dxa"/>
            <w:shd w:val="clear" w:color="auto" w:fill="F2F2F2" w:themeFill="background1" w:themeFillShade="F2"/>
          </w:tcPr>
          <w:p w14:paraId="6D64CA08" w14:textId="77777777" w:rsidR="00513EB4" w:rsidRPr="00C54BE8" w:rsidRDefault="00513EB4" w:rsidP="007A1BB7">
            <w:pPr>
              <w:widowControl w:val="0"/>
              <w:autoSpaceDE w:val="0"/>
              <w:autoSpaceDN w:val="0"/>
              <w:adjustRightInd w:val="0"/>
              <w:spacing w:after="0" w:line="240" w:lineRule="auto"/>
              <w:jc w:val="center"/>
              <w:rPr>
                <w:rFonts w:ascii="Times New Roman" w:hAnsi="Times New Roman" w:cs="Times New Roman"/>
                <w:sz w:val="16"/>
                <w:szCs w:val="16"/>
                <w:lang w:val="en-US"/>
              </w:rPr>
            </w:pPr>
          </w:p>
        </w:tc>
        <w:tc>
          <w:tcPr>
            <w:tcW w:w="794" w:type="dxa"/>
            <w:tcBorders>
              <w:right w:val="dashed" w:sz="4" w:space="0" w:color="auto"/>
            </w:tcBorders>
            <w:shd w:val="clear" w:color="auto" w:fill="F2F2F2" w:themeFill="background1" w:themeFillShade="F2"/>
          </w:tcPr>
          <w:p w14:paraId="4EA7854C" w14:textId="63376FFE" w:rsidR="00513EB4" w:rsidRPr="00C54BE8" w:rsidRDefault="00513EB4" w:rsidP="006D71CB">
            <w:pPr>
              <w:widowControl w:val="0"/>
              <w:autoSpaceDE w:val="0"/>
              <w:autoSpaceDN w:val="0"/>
              <w:adjustRightInd w:val="0"/>
              <w:spacing w:after="0" w:line="240" w:lineRule="auto"/>
              <w:jc w:val="right"/>
              <w:rPr>
                <w:rFonts w:ascii="Times New Roman" w:hAnsi="Times New Roman" w:cs="Times New Roman"/>
                <w:sz w:val="16"/>
                <w:szCs w:val="16"/>
                <w:lang w:val="en-US"/>
              </w:rPr>
            </w:pPr>
            <w:r w:rsidRPr="00C54BE8">
              <w:rPr>
                <w:rFonts w:ascii="Times New Roman" w:hAnsi="Times New Roman" w:cs="Times New Roman"/>
                <w:b/>
                <w:sz w:val="16"/>
                <w:szCs w:val="16"/>
                <w:lang w:val="en-US"/>
              </w:rPr>
              <w:t>0.016</w:t>
            </w:r>
          </w:p>
        </w:tc>
        <w:tc>
          <w:tcPr>
            <w:tcW w:w="397" w:type="dxa"/>
            <w:tcBorders>
              <w:left w:val="dashed" w:sz="4" w:space="0" w:color="auto"/>
            </w:tcBorders>
            <w:shd w:val="clear" w:color="auto" w:fill="F2F2F2" w:themeFill="background1" w:themeFillShade="F2"/>
          </w:tcPr>
          <w:p w14:paraId="0BB1A023" w14:textId="77777777" w:rsidR="00513EB4" w:rsidRPr="00C54BE8" w:rsidRDefault="00513EB4" w:rsidP="007A1BB7">
            <w:pPr>
              <w:widowControl w:val="0"/>
              <w:autoSpaceDE w:val="0"/>
              <w:autoSpaceDN w:val="0"/>
              <w:adjustRightInd w:val="0"/>
              <w:spacing w:after="0" w:line="240" w:lineRule="auto"/>
              <w:jc w:val="center"/>
              <w:rPr>
                <w:rFonts w:ascii="Times New Roman" w:hAnsi="Times New Roman" w:cs="Times New Roman"/>
                <w:sz w:val="16"/>
                <w:szCs w:val="16"/>
                <w:lang w:val="en-US"/>
              </w:rPr>
            </w:pPr>
          </w:p>
        </w:tc>
        <w:tc>
          <w:tcPr>
            <w:tcW w:w="992" w:type="dxa"/>
            <w:shd w:val="clear" w:color="auto" w:fill="F2F2F2" w:themeFill="background1" w:themeFillShade="F2"/>
          </w:tcPr>
          <w:p w14:paraId="385904EE" w14:textId="77777777" w:rsidR="00513EB4" w:rsidRPr="00C54BE8" w:rsidRDefault="00513EB4" w:rsidP="007A1BB7">
            <w:pPr>
              <w:widowControl w:val="0"/>
              <w:autoSpaceDE w:val="0"/>
              <w:autoSpaceDN w:val="0"/>
              <w:adjustRightInd w:val="0"/>
              <w:spacing w:after="0" w:line="240" w:lineRule="auto"/>
              <w:jc w:val="center"/>
              <w:rPr>
                <w:rFonts w:ascii="Times New Roman" w:hAnsi="Times New Roman" w:cs="Times New Roman"/>
                <w:sz w:val="16"/>
                <w:szCs w:val="16"/>
                <w:lang w:val="en-US"/>
              </w:rPr>
            </w:pPr>
          </w:p>
        </w:tc>
        <w:tc>
          <w:tcPr>
            <w:tcW w:w="794" w:type="dxa"/>
            <w:tcBorders>
              <w:right w:val="dashed" w:sz="4" w:space="0" w:color="auto"/>
            </w:tcBorders>
            <w:shd w:val="clear" w:color="auto" w:fill="F2F2F2" w:themeFill="background1" w:themeFillShade="F2"/>
          </w:tcPr>
          <w:p w14:paraId="4A1EEA5D" w14:textId="685DF8F4" w:rsidR="00513EB4" w:rsidRPr="00C54BE8" w:rsidRDefault="006D71CB" w:rsidP="006D71CB">
            <w:pPr>
              <w:widowControl w:val="0"/>
              <w:autoSpaceDE w:val="0"/>
              <w:autoSpaceDN w:val="0"/>
              <w:adjustRightInd w:val="0"/>
              <w:spacing w:after="0" w:line="240" w:lineRule="auto"/>
              <w:jc w:val="right"/>
              <w:rPr>
                <w:rFonts w:ascii="Times New Roman" w:hAnsi="Times New Roman" w:cs="Times New Roman"/>
                <w:sz w:val="16"/>
                <w:szCs w:val="16"/>
                <w:lang w:val="en-US"/>
              </w:rPr>
            </w:pPr>
            <w:r w:rsidRPr="00C54BE8">
              <w:rPr>
                <w:rFonts w:ascii="Times New Roman" w:hAnsi="Times New Roman" w:cs="Times New Roman"/>
                <w:b/>
                <w:sz w:val="16"/>
                <w:szCs w:val="16"/>
                <w:lang w:val="en-US"/>
              </w:rPr>
              <w:t>0.033</w:t>
            </w:r>
          </w:p>
        </w:tc>
      </w:tr>
      <w:tr w:rsidR="00477660" w:rsidRPr="001C61AA" w14:paraId="17FA16D6" w14:textId="77777777" w:rsidTr="0056300B">
        <w:trPr>
          <w:trHeight w:val="113"/>
          <w:jc w:val="center"/>
        </w:trPr>
        <w:tc>
          <w:tcPr>
            <w:tcW w:w="2469" w:type="dxa"/>
            <w:tcBorders>
              <w:right w:val="dashed" w:sz="4" w:space="0" w:color="auto"/>
            </w:tcBorders>
            <w:shd w:val="clear" w:color="auto" w:fill="FFFFFF" w:themeFill="background1"/>
          </w:tcPr>
          <w:p w14:paraId="23DAD7FB" w14:textId="6E059981" w:rsidR="00477660" w:rsidRPr="00C54BE8" w:rsidRDefault="00477660" w:rsidP="00AB5094">
            <w:pPr>
              <w:widowControl w:val="0"/>
              <w:autoSpaceDE w:val="0"/>
              <w:autoSpaceDN w:val="0"/>
              <w:adjustRightInd w:val="0"/>
              <w:spacing w:after="0" w:line="240" w:lineRule="auto"/>
              <w:ind w:left="676"/>
              <w:rPr>
                <w:rFonts w:ascii="Times New Roman" w:hAnsi="Times New Roman" w:cs="Times New Roman"/>
                <w:b/>
                <w:sz w:val="16"/>
                <w:szCs w:val="16"/>
                <w:lang w:val="en-US"/>
              </w:rPr>
            </w:pPr>
            <w:r w:rsidRPr="00C54BE8">
              <w:rPr>
                <w:rFonts w:ascii="Times New Roman" w:hAnsi="Times New Roman" w:cs="Times New Roman"/>
                <w:sz w:val="16"/>
                <w:szCs w:val="16"/>
                <w:lang w:val="en-US"/>
              </w:rPr>
              <w:t>Good (HH</w:t>
            </w:r>
            <w:r w:rsidRPr="00C54BE8">
              <w:rPr>
                <w:rFonts w:ascii="Times New Roman" w:hAnsi="Times New Roman" w:cs="Times New Roman"/>
                <w:sz w:val="16"/>
                <w:szCs w:val="16"/>
                <w:vertAlign w:val="subscript"/>
                <w:lang w:val="en-US"/>
              </w:rPr>
              <w:t>1-3</w:t>
            </w:r>
            <w:r w:rsidRPr="00C54BE8">
              <w:rPr>
                <w:rFonts w:ascii="Times New Roman" w:hAnsi="Times New Roman" w:cs="Times New Roman"/>
                <w:sz w:val="16"/>
                <w:szCs w:val="16"/>
                <w:lang w:val="en-US"/>
              </w:rPr>
              <w:t>)</w:t>
            </w:r>
          </w:p>
        </w:tc>
        <w:tc>
          <w:tcPr>
            <w:tcW w:w="384" w:type="dxa"/>
            <w:tcBorders>
              <w:left w:val="dashed" w:sz="4" w:space="0" w:color="auto"/>
            </w:tcBorders>
            <w:shd w:val="clear" w:color="auto" w:fill="FFFFFF" w:themeFill="background1"/>
          </w:tcPr>
          <w:p w14:paraId="1D9C8091" w14:textId="0B73D623" w:rsidR="00477660" w:rsidRPr="00C54BE8" w:rsidRDefault="00477660" w:rsidP="007A1BB7">
            <w:pPr>
              <w:widowControl w:val="0"/>
              <w:autoSpaceDE w:val="0"/>
              <w:autoSpaceDN w:val="0"/>
              <w:adjustRightInd w:val="0"/>
              <w:spacing w:after="0" w:line="240" w:lineRule="auto"/>
              <w:jc w:val="center"/>
              <w:rPr>
                <w:rFonts w:ascii="Times New Roman" w:hAnsi="Times New Roman" w:cs="Times New Roman"/>
                <w:sz w:val="16"/>
                <w:szCs w:val="16"/>
                <w:lang w:val="en-US"/>
              </w:rPr>
            </w:pPr>
            <w:r w:rsidRPr="00C54BE8">
              <w:rPr>
                <w:rFonts w:ascii="Times New Roman" w:hAnsi="Times New Roman" w:cs="Times New Roman"/>
                <w:sz w:val="16"/>
                <w:szCs w:val="16"/>
                <w:lang w:val="en-US"/>
              </w:rPr>
              <w:t>69</w:t>
            </w:r>
          </w:p>
        </w:tc>
        <w:tc>
          <w:tcPr>
            <w:tcW w:w="1758" w:type="dxa"/>
            <w:gridSpan w:val="2"/>
            <w:tcBorders>
              <w:right w:val="dashed" w:sz="4" w:space="0" w:color="auto"/>
            </w:tcBorders>
            <w:shd w:val="clear" w:color="auto" w:fill="FFFFFF" w:themeFill="background1"/>
          </w:tcPr>
          <w:p w14:paraId="5FF5410F" w14:textId="43BFB4E8" w:rsidR="00477660" w:rsidRPr="00C54BE8" w:rsidRDefault="00477660" w:rsidP="00AB5094">
            <w:pPr>
              <w:widowControl w:val="0"/>
              <w:autoSpaceDE w:val="0"/>
              <w:autoSpaceDN w:val="0"/>
              <w:adjustRightInd w:val="0"/>
              <w:spacing w:after="0" w:line="240" w:lineRule="auto"/>
              <w:ind w:left="91"/>
              <w:rPr>
                <w:rFonts w:ascii="Times New Roman" w:hAnsi="Times New Roman" w:cs="Times New Roman"/>
                <w:sz w:val="16"/>
                <w:szCs w:val="16"/>
                <w:lang w:val="en-US"/>
              </w:rPr>
            </w:pPr>
            <w:r w:rsidRPr="00C54BE8">
              <w:rPr>
                <w:rFonts w:ascii="Times New Roman" w:hAnsi="Times New Roman" w:cs="Times New Roman"/>
                <w:sz w:val="16"/>
                <w:szCs w:val="16"/>
                <w:lang w:val="en-US"/>
              </w:rPr>
              <w:t>8.9</w:t>
            </w:r>
            <w:r>
              <w:rPr>
                <w:rFonts w:ascii="Times New Roman" w:hAnsi="Times New Roman" w:cs="Times New Roman"/>
                <w:sz w:val="16"/>
                <w:szCs w:val="16"/>
                <w:lang w:val="en-US"/>
              </w:rPr>
              <w:t xml:space="preserve"> </w:t>
            </w:r>
            <w:r w:rsidRPr="00C54BE8">
              <w:rPr>
                <w:rFonts w:ascii="Times New Roman" w:hAnsi="Times New Roman" w:cs="Times New Roman"/>
                <w:sz w:val="16"/>
                <w:szCs w:val="16"/>
                <w:lang w:val="en-US"/>
              </w:rPr>
              <w:t>(7.2-10.5)</w:t>
            </w:r>
          </w:p>
        </w:tc>
        <w:tc>
          <w:tcPr>
            <w:tcW w:w="386" w:type="dxa"/>
            <w:tcBorders>
              <w:left w:val="dashed" w:sz="4" w:space="0" w:color="auto"/>
            </w:tcBorders>
            <w:shd w:val="clear" w:color="auto" w:fill="FFFFFF" w:themeFill="background1"/>
          </w:tcPr>
          <w:p w14:paraId="5ECDC679" w14:textId="32460DA4" w:rsidR="00477660" w:rsidRPr="00C54BE8" w:rsidRDefault="00477660" w:rsidP="007A1BB7">
            <w:pPr>
              <w:widowControl w:val="0"/>
              <w:autoSpaceDE w:val="0"/>
              <w:autoSpaceDN w:val="0"/>
              <w:adjustRightInd w:val="0"/>
              <w:spacing w:after="0" w:line="240" w:lineRule="auto"/>
              <w:jc w:val="center"/>
              <w:rPr>
                <w:rFonts w:ascii="Times New Roman" w:hAnsi="Times New Roman" w:cs="Times New Roman"/>
                <w:sz w:val="16"/>
                <w:szCs w:val="16"/>
                <w:lang w:val="en-US"/>
              </w:rPr>
            </w:pPr>
            <w:r w:rsidRPr="00C54BE8">
              <w:rPr>
                <w:rFonts w:ascii="Times New Roman" w:hAnsi="Times New Roman" w:cs="Times New Roman"/>
                <w:sz w:val="16"/>
                <w:szCs w:val="16"/>
                <w:lang w:val="en-US"/>
              </w:rPr>
              <w:t>73</w:t>
            </w:r>
          </w:p>
        </w:tc>
        <w:tc>
          <w:tcPr>
            <w:tcW w:w="1758" w:type="dxa"/>
            <w:gridSpan w:val="2"/>
            <w:tcBorders>
              <w:right w:val="dashed" w:sz="4" w:space="0" w:color="auto"/>
            </w:tcBorders>
            <w:shd w:val="clear" w:color="auto" w:fill="FFFFFF" w:themeFill="background1"/>
          </w:tcPr>
          <w:p w14:paraId="238CA75C" w14:textId="2B62CFDD" w:rsidR="00477660" w:rsidRPr="00C54BE8" w:rsidRDefault="00477660" w:rsidP="00AB5094">
            <w:pPr>
              <w:widowControl w:val="0"/>
              <w:autoSpaceDE w:val="0"/>
              <w:autoSpaceDN w:val="0"/>
              <w:adjustRightInd w:val="0"/>
              <w:spacing w:after="0" w:line="240" w:lineRule="auto"/>
              <w:ind w:left="73"/>
              <w:rPr>
                <w:rFonts w:ascii="Times New Roman" w:hAnsi="Times New Roman" w:cs="Times New Roman"/>
                <w:sz w:val="16"/>
                <w:szCs w:val="16"/>
                <w:lang w:val="en-US"/>
              </w:rPr>
            </w:pPr>
            <w:r w:rsidRPr="00C54BE8">
              <w:rPr>
                <w:rFonts w:ascii="Times New Roman" w:hAnsi="Times New Roman" w:cs="Times New Roman"/>
                <w:sz w:val="16"/>
                <w:szCs w:val="16"/>
                <w:lang w:val="en-US"/>
              </w:rPr>
              <w:t>9.6</w:t>
            </w:r>
            <w:r>
              <w:rPr>
                <w:rFonts w:ascii="Times New Roman" w:hAnsi="Times New Roman" w:cs="Times New Roman"/>
                <w:sz w:val="16"/>
                <w:szCs w:val="16"/>
                <w:lang w:val="en-US"/>
              </w:rPr>
              <w:t xml:space="preserve"> </w:t>
            </w:r>
            <w:r w:rsidRPr="00C54BE8">
              <w:rPr>
                <w:rFonts w:ascii="Times New Roman" w:hAnsi="Times New Roman" w:cs="Times New Roman"/>
                <w:sz w:val="16"/>
                <w:szCs w:val="16"/>
                <w:lang w:val="en-US"/>
              </w:rPr>
              <w:t>(7.7-13.2)</w:t>
            </w:r>
          </w:p>
        </w:tc>
        <w:tc>
          <w:tcPr>
            <w:tcW w:w="397" w:type="dxa"/>
            <w:tcBorders>
              <w:left w:val="dashed" w:sz="4" w:space="0" w:color="auto"/>
            </w:tcBorders>
            <w:shd w:val="clear" w:color="auto" w:fill="FFFFFF" w:themeFill="background1"/>
          </w:tcPr>
          <w:p w14:paraId="65FD46D7" w14:textId="1272163E" w:rsidR="00477660" w:rsidRPr="00C54BE8" w:rsidRDefault="00477660" w:rsidP="007A1BB7">
            <w:pPr>
              <w:widowControl w:val="0"/>
              <w:autoSpaceDE w:val="0"/>
              <w:autoSpaceDN w:val="0"/>
              <w:adjustRightInd w:val="0"/>
              <w:spacing w:after="0" w:line="240" w:lineRule="auto"/>
              <w:jc w:val="center"/>
              <w:rPr>
                <w:rFonts w:ascii="Times New Roman" w:hAnsi="Times New Roman" w:cs="Times New Roman"/>
                <w:sz w:val="16"/>
                <w:szCs w:val="16"/>
                <w:lang w:val="en-US"/>
              </w:rPr>
            </w:pPr>
            <w:r w:rsidRPr="00C54BE8">
              <w:rPr>
                <w:rFonts w:ascii="Times New Roman" w:hAnsi="Times New Roman" w:cs="Times New Roman"/>
                <w:sz w:val="16"/>
                <w:szCs w:val="16"/>
                <w:lang w:val="en-US"/>
              </w:rPr>
              <w:t>52</w:t>
            </w:r>
          </w:p>
        </w:tc>
        <w:tc>
          <w:tcPr>
            <w:tcW w:w="1786" w:type="dxa"/>
            <w:gridSpan w:val="2"/>
            <w:tcBorders>
              <w:right w:val="dashed" w:sz="4" w:space="0" w:color="auto"/>
            </w:tcBorders>
            <w:shd w:val="clear" w:color="auto" w:fill="FFFFFF" w:themeFill="background1"/>
          </w:tcPr>
          <w:p w14:paraId="7A40834D" w14:textId="0227DF51" w:rsidR="00477660" w:rsidRPr="00C54BE8" w:rsidRDefault="00477660" w:rsidP="00AB5094">
            <w:pPr>
              <w:widowControl w:val="0"/>
              <w:autoSpaceDE w:val="0"/>
              <w:autoSpaceDN w:val="0"/>
              <w:adjustRightInd w:val="0"/>
              <w:spacing w:after="0" w:line="240" w:lineRule="auto"/>
              <w:ind w:left="44"/>
              <w:rPr>
                <w:rFonts w:ascii="Times New Roman" w:hAnsi="Times New Roman" w:cs="Times New Roman"/>
                <w:sz w:val="16"/>
                <w:szCs w:val="16"/>
                <w:lang w:val="en-US"/>
              </w:rPr>
            </w:pPr>
            <w:r w:rsidRPr="00C54BE8">
              <w:rPr>
                <w:rFonts w:ascii="Times New Roman" w:hAnsi="Times New Roman" w:cs="Times New Roman"/>
                <w:sz w:val="16"/>
                <w:szCs w:val="16"/>
                <w:lang w:val="en-US"/>
              </w:rPr>
              <w:t>8.8</w:t>
            </w:r>
            <w:r>
              <w:rPr>
                <w:rFonts w:ascii="Times New Roman" w:hAnsi="Times New Roman" w:cs="Times New Roman"/>
                <w:sz w:val="16"/>
                <w:szCs w:val="16"/>
                <w:lang w:val="en-US"/>
              </w:rPr>
              <w:t xml:space="preserve"> </w:t>
            </w:r>
            <w:r w:rsidRPr="00C54BE8">
              <w:rPr>
                <w:rFonts w:ascii="Times New Roman" w:hAnsi="Times New Roman" w:cs="Times New Roman"/>
                <w:sz w:val="16"/>
                <w:szCs w:val="16"/>
                <w:lang w:val="en-US"/>
              </w:rPr>
              <w:t>(7.0-12.2)</w:t>
            </w:r>
          </w:p>
        </w:tc>
      </w:tr>
      <w:tr w:rsidR="00477660" w:rsidRPr="001C61AA" w14:paraId="7A2CAF8A" w14:textId="77777777" w:rsidTr="0056300B">
        <w:trPr>
          <w:trHeight w:val="113"/>
          <w:jc w:val="center"/>
        </w:trPr>
        <w:tc>
          <w:tcPr>
            <w:tcW w:w="2469" w:type="dxa"/>
            <w:tcBorders>
              <w:right w:val="dashed" w:sz="4" w:space="0" w:color="auto"/>
            </w:tcBorders>
            <w:shd w:val="clear" w:color="auto" w:fill="FFFFFF" w:themeFill="background1"/>
          </w:tcPr>
          <w:p w14:paraId="749C1BDF" w14:textId="58980883" w:rsidR="00477660" w:rsidRPr="00C54BE8" w:rsidRDefault="00477660" w:rsidP="00AB5094">
            <w:pPr>
              <w:widowControl w:val="0"/>
              <w:autoSpaceDE w:val="0"/>
              <w:autoSpaceDN w:val="0"/>
              <w:adjustRightInd w:val="0"/>
              <w:spacing w:after="0" w:line="240" w:lineRule="auto"/>
              <w:ind w:left="676"/>
              <w:rPr>
                <w:rFonts w:ascii="Times New Roman" w:hAnsi="Times New Roman" w:cs="Times New Roman"/>
                <w:b/>
                <w:sz w:val="16"/>
                <w:szCs w:val="16"/>
                <w:lang w:val="en-US"/>
              </w:rPr>
            </w:pPr>
            <w:r w:rsidRPr="00C54BE8">
              <w:rPr>
                <w:rFonts w:ascii="Times New Roman" w:hAnsi="Times New Roman" w:cs="Times New Roman"/>
                <w:sz w:val="16"/>
                <w:szCs w:val="16"/>
                <w:lang w:val="en-US"/>
              </w:rPr>
              <w:t>Poor (HH</w:t>
            </w:r>
            <w:r w:rsidRPr="00C54BE8">
              <w:rPr>
                <w:rFonts w:ascii="Times New Roman" w:hAnsi="Times New Roman" w:cs="Times New Roman"/>
                <w:sz w:val="16"/>
                <w:szCs w:val="16"/>
                <w:vertAlign w:val="subscript"/>
                <w:lang w:val="en-US"/>
              </w:rPr>
              <w:t>4-5</w:t>
            </w:r>
            <w:r w:rsidRPr="00C54BE8">
              <w:rPr>
                <w:rFonts w:ascii="Times New Roman" w:hAnsi="Times New Roman" w:cs="Times New Roman"/>
                <w:sz w:val="16"/>
                <w:szCs w:val="16"/>
                <w:lang w:val="en-US"/>
              </w:rPr>
              <w:t>)</w:t>
            </w:r>
          </w:p>
        </w:tc>
        <w:tc>
          <w:tcPr>
            <w:tcW w:w="384" w:type="dxa"/>
            <w:tcBorders>
              <w:left w:val="dashed" w:sz="4" w:space="0" w:color="auto"/>
            </w:tcBorders>
            <w:shd w:val="clear" w:color="auto" w:fill="FFFFFF" w:themeFill="background1"/>
          </w:tcPr>
          <w:p w14:paraId="23E63C9D" w14:textId="62DEF17D" w:rsidR="00477660" w:rsidRPr="00C54BE8" w:rsidRDefault="00477660" w:rsidP="007A1BB7">
            <w:pPr>
              <w:widowControl w:val="0"/>
              <w:autoSpaceDE w:val="0"/>
              <w:autoSpaceDN w:val="0"/>
              <w:adjustRightInd w:val="0"/>
              <w:spacing w:after="0" w:line="240" w:lineRule="auto"/>
              <w:jc w:val="center"/>
              <w:rPr>
                <w:rFonts w:ascii="Times New Roman" w:hAnsi="Times New Roman" w:cs="Times New Roman"/>
                <w:sz w:val="16"/>
                <w:szCs w:val="16"/>
                <w:lang w:val="en-US"/>
              </w:rPr>
            </w:pPr>
            <w:r w:rsidRPr="00C54BE8">
              <w:rPr>
                <w:rFonts w:ascii="Times New Roman" w:hAnsi="Times New Roman" w:cs="Times New Roman"/>
                <w:sz w:val="16"/>
                <w:szCs w:val="16"/>
                <w:lang w:val="en-US"/>
              </w:rPr>
              <w:t>20</w:t>
            </w:r>
          </w:p>
        </w:tc>
        <w:tc>
          <w:tcPr>
            <w:tcW w:w="1758" w:type="dxa"/>
            <w:gridSpan w:val="2"/>
            <w:tcBorders>
              <w:right w:val="dashed" w:sz="4" w:space="0" w:color="auto"/>
            </w:tcBorders>
            <w:shd w:val="clear" w:color="auto" w:fill="FFFFFF" w:themeFill="background1"/>
          </w:tcPr>
          <w:p w14:paraId="52B01D97" w14:textId="61AE6A23" w:rsidR="00477660" w:rsidRPr="00C54BE8" w:rsidRDefault="00477660" w:rsidP="00AB5094">
            <w:pPr>
              <w:widowControl w:val="0"/>
              <w:autoSpaceDE w:val="0"/>
              <w:autoSpaceDN w:val="0"/>
              <w:adjustRightInd w:val="0"/>
              <w:spacing w:after="0" w:line="240" w:lineRule="auto"/>
              <w:ind w:left="91"/>
              <w:rPr>
                <w:rFonts w:ascii="Times New Roman" w:hAnsi="Times New Roman" w:cs="Times New Roman"/>
                <w:sz w:val="16"/>
                <w:szCs w:val="16"/>
                <w:lang w:val="en-US"/>
              </w:rPr>
            </w:pPr>
            <w:r w:rsidRPr="00C54BE8">
              <w:rPr>
                <w:rFonts w:ascii="Times New Roman" w:hAnsi="Times New Roman" w:cs="Times New Roman"/>
                <w:sz w:val="16"/>
                <w:szCs w:val="16"/>
                <w:lang w:val="en-US"/>
              </w:rPr>
              <w:t>11.6</w:t>
            </w:r>
            <w:r>
              <w:rPr>
                <w:rFonts w:ascii="Times New Roman" w:hAnsi="Times New Roman" w:cs="Times New Roman"/>
                <w:sz w:val="16"/>
                <w:szCs w:val="16"/>
                <w:lang w:val="en-US"/>
              </w:rPr>
              <w:t xml:space="preserve"> </w:t>
            </w:r>
            <w:r w:rsidRPr="00C54BE8">
              <w:rPr>
                <w:rFonts w:ascii="Times New Roman" w:hAnsi="Times New Roman" w:cs="Times New Roman"/>
                <w:sz w:val="16"/>
                <w:szCs w:val="16"/>
                <w:lang w:val="en-US"/>
              </w:rPr>
              <w:t>(9.5-16.8)</w:t>
            </w:r>
          </w:p>
        </w:tc>
        <w:tc>
          <w:tcPr>
            <w:tcW w:w="386" w:type="dxa"/>
            <w:tcBorders>
              <w:left w:val="dashed" w:sz="4" w:space="0" w:color="auto"/>
            </w:tcBorders>
            <w:shd w:val="clear" w:color="auto" w:fill="FFFFFF" w:themeFill="background1"/>
          </w:tcPr>
          <w:p w14:paraId="496BF96E" w14:textId="7234045A" w:rsidR="00477660" w:rsidRPr="00C54BE8" w:rsidRDefault="00477660" w:rsidP="007A1BB7">
            <w:pPr>
              <w:widowControl w:val="0"/>
              <w:autoSpaceDE w:val="0"/>
              <w:autoSpaceDN w:val="0"/>
              <w:adjustRightInd w:val="0"/>
              <w:spacing w:after="0" w:line="240" w:lineRule="auto"/>
              <w:jc w:val="center"/>
              <w:rPr>
                <w:rFonts w:ascii="Times New Roman" w:hAnsi="Times New Roman" w:cs="Times New Roman"/>
                <w:sz w:val="16"/>
                <w:szCs w:val="16"/>
                <w:lang w:val="en-US"/>
              </w:rPr>
            </w:pPr>
            <w:r w:rsidRPr="00C54BE8">
              <w:rPr>
                <w:rFonts w:ascii="Times New Roman" w:hAnsi="Times New Roman" w:cs="Times New Roman"/>
                <w:sz w:val="16"/>
                <w:szCs w:val="16"/>
                <w:lang w:val="en-US"/>
              </w:rPr>
              <w:t>19</w:t>
            </w:r>
          </w:p>
        </w:tc>
        <w:tc>
          <w:tcPr>
            <w:tcW w:w="1758" w:type="dxa"/>
            <w:gridSpan w:val="2"/>
            <w:tcBorders>
              <w:right w:val="dashed" w:sz="4" w:space="0" w:color="auto"/>
            </w:tcBorders>
            <w:shd w:val="clear" w:color="auto" w:fill="FFFFFF" w:themeFill="background1"/>
          </w:tcPr>
          <w:p w14:paraId="4E4CC70E" w14:textId="7A1807F8" w:rsidR="00477660" w:rsidRPr="00C54BE8" w:rsidRDefault="00477660" w:rsidP="00AB5094">
            <w:pPr>
              <w:widowControl w:val="0"/>
              <w:autoSpaceDE w:val="0"/>
              <w:autoSpaceDN w:val="0"/>
              <w:adjustRightInd w:val="0"/>
              <w:spacing w:after="0" w:line="240" w:lineRule="auto"/>
              <w:ind w:left="73"/>
              <w:rPr>
                <w:rFonts w:ascii="Times New Roman" w:hAnsi="Times New Roman" w:cs="Times New Roman"/>
                <w:sz w:val="16"/>
                <w:szCs w:val="16"/>
                <w:lang w:val="en-US"/>
              </w:rPr>
            </w:pPr>
            <w:r w:rsidRPr="00C54BE8">
              <w:rPr>
                <w:rFonts w:ascii="Times New Roman" w:hAnsi="Times New Roman" w:cs="Times New Roman"/>
                <w:sz w:val="16"/>
                <w:szCs w:val="16"/>
                <w:lang w:val="en-US"/>
              </w:rPr>
              <w:t>12.6</w:t>
            </w:r>
            <w:r>
              <w:rPr>
                <w:rFonts w:ascii="Times New Roman" w:hAnsi="Times New Roman" w:cs="Times New Roman"/>
                <w:sz w:val="16"/>
                <w:szCs w:val="16"/>
                <w:lang w:val="en-US"/>
              </w:rPr>
              <w:t xml:space="preserve"> </w:t>
            </w:r>
            <w:r w:rsidRPr="00C54BE8">
              <w:rPr>
                <w:rFonts w:ascii="Times New Roman" w:hAnsi="Times New Roman" w:cs="Times New Roman"/>
                <w:sz w:val="16"/>
                <w:szCs w:val="16"/>
                <w:lang w:val="en-US"/>
              </w:rPr>
              <w:t>(9.9-19.0)</w:t>
            </w:r>
          </w:p>
        </w:tc>
        <w:tc>
          <w:tcPr>
            <w:tcW w:w="397" w:type="dxa"/>
            <w:tcBorders>
              <w:left w:val="dashed" w:sz="4" w:space="0" w:color="auto"/>
            </w:tcBorders>
            <w:shd w:val="clear" w:color="auto" w:fill="FFFFFF" w:themeFill="background1"/>
          </w:tcPr>
          <w:p w14:paraId="727D329C" w14:textId="165A2CD7" w:rsidR="00477660" w:rsidRPr="00C54BE8" w:rsidRDefault="00477660" w:rsidP="007A1BB7">
            <w:pPr>
              <w:widowControl w:val="0"/>
              <w:autoSpaceDE w:val="0"/>
              <w:autoSpaceDN w:val="0"/>
              <w:adjustRightInd w:val="0"/>
              <w:spacing w:after="0" w:line="240" w:lineRule="auto"/>
              <w:jc w:val="center"/>
              <w:rPr>
                <w:rFonts w:ascii="Times New Roman" w:hAnsi="Times New Roman" w:cs="Times New Roman"/>
                <w:sz w:val="16"/>
                <w:szCs w:val="16"/>
                <w:lang w:val="en-US"/>
              </w:rPr>
            </w:pPr>
            <w:r w:rsidRPr="00C54BE8">
              <w:rPr>
                <w:rFonts w:ascii="Times New Roman" w:hAnsi="Times New Roman" w:cs="Times New Roman"/>
                <w:sz w:val="16"/>
                <w:szCs w:val="16"/>
                <w:lang w:val="en-US"/>
              </w:rPr>
              <w:t>14</w:t>
            </w:r>
          </w:p>
        </w:tc>
        <w:tc>
          <w:tcPr>
            <w:tcW w:w="1786" w:type="dxa"/>
            <w:gridSpan w:val="2"/>
            <w:tcBorders>
              <w:right w:val="dashed" w:sz="4" w:space="0" w:color="auto"/>
            </w:tcBorders>
            <w:shd w:val="clear" w:color="auto" w:fill="FFFFFF" w:themeFill="background1"/>
          </w:tcPr>
          <w:p w14:paraId="480B724C" w14:textId="5F989E0F" w:rsidR="00477660" w:rsidRPr="00C54BE8" w:rsidRDefault="00477660" w:rsidP="00AB5094">
            <w:pPr>
              <w:widowControl w:val="0"/>
              <w:autoSpaceDE w:val="0"/>
              <w:autoSpaceDN w:val="0"/>
              <w:adjustRightInd w:val="0"/>
              <w:spacing w:after="0" w:line="240" w:lineRule="auto"/>
              <w:ind w:left="44"/>
              <w:rPr>
                <w:rFonts w:ascii="Times New Roman" w:hAnsi="Times New Roman" w:cs="Times New Roman"/>
                <w:sz w:val="16"/>
                <w:szCs w:val="16"/>
                <w:lang w:val="en-US"/>
              </w:rPr>
            </w:pPr>
            <w:r w:rsidRPr="00C54BE8">
              <w:rPr>
                <w:rFonts w:ascii="Times New Roman" w:hAnsi="Times New Roman" w:cs="Times New Roman"/>
                <w:sz w:val="16"/>
                <w:szCs w:val="16"/>
                <w:lang w:val="en-US"/>
              </w:rPr>
              <w:t>12.0</w:t>
            </w:r>
            <w:r>
              <w:rPr>
                <w:rFonts w:ascii="Times New Roman" w:hAnsi="Times New Roman" w:cs="Times New Roman"/>
                <w:sz w:val="16"/>
                <w:szCs w:val="16"/>
                <w:lang w:val="en-US"/>
              </w:rPr>
              <w:t xml:space="preserve"> </w:t>
            </w:r>
            <w:r w:rsidRPr="00C54BE8">
              <w:rPr>
                <w:rFonts w:ascii="Times New Roman" w:hAnsi="Times New Roman" w:cs="Times New Roman"/>
                <w:sz w:val="16"/>
                <w:szCs w:val="16"/>
                <w:lang w:val="en-US"/>
              </w:rPr>
              <w:t>(8.9-15.3)</w:t>
            </w:r>
          </w:p>
        </w:tc>
      </w:tr>
      <w:tr w:rsidR="00477660" w:rsidRPr="001C61AA" w14:paraId="7271239E" w14:textId="77777777" w:rsidTr="0056300B">
        <w:trPr>
          <w:trHeight w:val="113"/>
          <w:jc w:val="center"/>
        </w:trPr>
        <w:tc>
          <w:tcPr>
            <w:tcW w:w="2469" w:type="dxa"/>
            <w:tcBorders>
              <w:right w:val="dashed" w:sz="4" w:space="0" w:color="auto"/>
            </w:tcBorders>
            <w:shd w:val="clear" w:color="auto" w:fill="F2F2F2" w:themeFill="background1" w:themeFillShade="F2"/>
          </w:tcPr>
          <w:p w14:paraId="70902180" w14:textId="77777777" w:rsidR="00477660" w:rsidRPr="00C54BE8" w:rsidRDefault="00477660" w:rsidP="007A1BB7">
            <w:pPr>
              <w:widowControl w:val="0"/>
              <w:autoSpaceDE w:val="0"/>
              <w:autoSpaceDN w:val="0"/>
              <w:adjustRightInd w:val="0"/>
              <w:spacing w:after="0" w:line="240" w:lineRule="auto"/>
              <w:rPr>
                <w:rFonts w:ascii="Times New Roman" w:hAnsi="Times New Roman" w:cs="Times New Roman"/>
                <w:b/>
                <w:sz w:val="16"/>
                <w:szCs w:val="16"/>
                <w:lang w:val="en-US"/>
              </w:rPr>
            </w:pPr>
            <w:r w:rsidRPr="00C54BE8">
              <w:rPr>
                <w:rFonts w:ascii="Times New Roman" w:hAnsi="Times New Roman" w:cs="Times New Roman"/>
                <w:b/>
                <w:sz w:val="16"/>
                <w:szCs w:val="16"/>
                <w:lang w:val="en-US"/>
              </w:rPr>
              <w:t>Mod. Fisher scale</w:t>
            </w:r>
          </w:p>
        </w:tc>
        <w:tc>
          <w:tcPr>
            <w:tcW w:w="384" w:type="dxa"/>
            <w:tcBorders>
              <w:left w:val="dashed" w:sz="4" w:space="0" w:color="auto"/>
            </w:tcBorders>
            <w:shd w:val="clear" w:color="auto" w:fill="F2F2F2" w:themeFill="background1" w:themeFillShade="F2"/>
          </w:tcPr>
          <w:p w14:paraId="64621107" w14:textId="77777777" w:rsidR="00477660" w:rsidRPr="00C54BE8" w:rsidRDefault="00477660" w:rsidP="007A1BB7">
            <w:pPr>
              <w:widowControl w:val="0"/>
              <w:autoSpaceDE w:val="0"/>
              <w:autoSpaceDN w:val="0"/>
              <w:adjustRightInd w:val="0"/>
              <w:spacing w:after="0" w:line="240" w:lineRule="auto"/>
              <w:jc w:val="center"/>
              <w:rPr>
                <w:rFonts w:ascii="Times New Roman" w:hAnsi="Times New Roman" w:cs="Times New Roman"/>
                <w:sz w:val="16"/>
                <w:szCs w:val="16"/>
                <w:lang w:val="en-US"/>
              </w:rPr>
            </w:pPr>
          </w:p>
        </w:tc>
        <w:tc>
          <w:tcPr>
            <w:tcW w:w="964" w:type="dxa"/>
            <w:shd w:val="clear" w:color="auto" w:fill="F2F2F2" w:themeFill="background1" w:themeFillShade="F2"/>
          </w:tcPr>
          <w:p w14:paraId="2134182E" w14:textId="77777777" w:rsidR="00477660" w:rsidRPr="00C54BE8" w:rsidRDefault="00477660" w:rsidP="007A1BB7">
            <w:pPr>
              <w:widowControl w:val="0"/>
              <w:autoSpaceDE w:val="0"/>
              <w:autoSpaceDN w:val="0"/>
              <w:adjustRightInd w:val="0"/>
              <w:spacing w:after="0" w:line="240" w:lineRule="auto"/>
              <w:jc w:val="center"/>
              <w:rPr>
                <w:rFonts w:ascii="Times New Roman" w:hAnsi="Times New Roman" w:cs="Times New Roman"/>
                <w:sz w:val="16"/>
                <w:szCs w:val="16"/>
                <w:lang w:val="en-US"/>
              </w:rPr>
            </w:pPr>
          </w:p>
        </w:tc>
        <w:tc>
          <w:tcPr>
            <w:tcW w:w="794" w:type="dxa"/>
            <w:tcBorders>
              <w:right w:val="dashed" w:sz="4" w:space="0" w:color="auto"/>
            </w:tcBorders>
            <w:shd w:val="clear" w:color="auto" w:fill="F2F2F2" w:themeFill="background1" w:themeFillShade="F2"/>
          </w:tcPr>
          <w:p w14:paraId="66905FFF" w14:textId="053E2FF5" w:rsidR="00477660" w:rsidRPr="00C54BE8" w:rsidRDefault="00477660" w:rsidP="00477660">
            <w:pPr>
              <w:widowControl w:val="0"/>
              <w:autoSpaceDE w:val="0"/>
              <w:autoSpaceDN w:val="0"/>
              <w:adjustRightInd w:val="0"/>
              <w:spacing w:after="0" w:line="240" w:lineRule="auto"/>
              <w:jc w:val="right"/>
              <w:rPr>
                <w:rFonts w:ascii="Times New Roman" w:hAnsi="Times New Roman" w:cs="Times New Roman"/>
                <w:sz w:val="16"/>
                <w:szCs w:val="16"/>
                <w:lang w:val="en-US"/>
              </w:rPr>
            </w:pPr>
            <w:r w:rsidRPr="00C54BE8">
              <w:rPr>
                <w:rFonts w:ascii="Times New Roman" w:hAnsi="Times New Roman" w:cs="Times New Roman"/>
                <w:b/>
                <w:sz w:val="16"/>
                <w:szCs w:val="16"/>
                <w:lang w:val="en-US"/>
              </w:rPr>
              <w:t>0.039</w:t>
            </w:r>
          </w:p>
        </w:tc>
        <w:tc>
          <w:tcPr>
            <w:tcW w:w="386" w:type="dxa"/>
            <w:tcBorders>
              <w:left w:val="dashed" w:sz="4" w:space="0" w:color="auto"/>
            </w:tcBorders>
            <w:shd w:val="clear" w:color="auto" w:fill="F2F2F2" w:themeFill="background1" w:themeFillShade="F2"/>
          </w:tcPr>
          <w:p w14:paraId="4BBF97D2" w14:textId="77777777" w:rsidR="00477660" w:rsidRPr="00C54BE8" w:rsidRDefault="00477660" w:rsidP="007A1BB7">
            <w:pPr>
              <w:widowControl w:val="0"/>
              <w:autoSpaceDE w:val="0"/>
              <w:autoSpaceDN w:val="0"/>
              <w:adjustRightInd w:val="0"/>
              <w:spacing w:after="0" w:line="240" w:lineRule="auto"/>
              <w:jc w:val="center"/>
              <w:rPr>
                <w:rFonts w:ascii="Times New Roman" w:hAnsi="Times New Roman" w:cs="Times New Roman"/>
                <w:sz w:val="16"/>
                <w:szCs w:val="16"/>
                <w:lang w:val="en-US"/>
              </w:rPr>
            </w:pPr>
          </w:p>
        </w:tc>
        <w:tc>
          <w:tcPr>
            <w:tcW w:w="964" w:type="dxa"/>
            <w:shd w:val="clear" w:color="auto" w:fill="F2F2F2" w:themeFill="background1" w:themeFillShade="F2"/>
          </w:tcPr>
          <w:p w14:paraId="1030397F" w14:textId="77777777" w:rsidR="00477660" w:rsidRPr="00C54BE8" w:rsidRDefault="00477660" w:rsidP="007A1BB7">
            <w:pPr>
              <w:widowControl w:val="0"/>
              <w:autoSpaceDE w:val="0"/>
              <w:autoSpaceDN w:val="0"/>
              <w:adjustRightInd w:val="0"/>
              <w:spacing w:after="0" w:line="240" w:lineRule="auto"/>
              <w:jc w:val="center"/>
              <w:rPr>
                <w:rFonts w:ascii="Times New Roman" w:hAnsi="Times New Roman" w:cs="Times New Roman"/>
                <w:sz w:val="16"/>
                <w:szCs w:val="16"/>
                <w:lang w:val="en-US"/>
              </w:rPr>
            </w:pPr>
          </w:p>
        </w:tc>
        <w:tc>
          <w:tcPr>
            <w:tcW w:w="794" w:type="dxa"/>
            <w:tcBorders>
              <w:right w:val="dashed" w:sz="4" w:space="0" w:color="auto"/>
            </w:tcBorders>
            <w:shd w:val="clear" w:color="auto" w:fill="F2F2F2" w:themeFill="background1" w:themeFillShade="F2"/>
          </w:tcPr>
          <w:p w14:paraId="251A6753" w14:textId="4AB6EE46" w:rsidR="00477660" w:rsidRPr="00C54BE8" w:rsidRDefault="00477660" w:rsidP="00477660">
            <w:pPr>
              <w:widowControl w:val="0"/>
              <w:autoSpaceDE w:val="0"/>
              <w:autoSpaceDN w:val="0"/>
              <w:adjustRightInd w:val="0"/>
              <w:spacing w:after="0" w:line="240" w:lineRule="auto"/>
              <w:jc w:val="right"/>
              <w:rPr>
                <w:rFonts w:ascii="Times New Roman" w:hAnsi="Times New Roman" w:cs="Times New Roman"/>
                <w:sz w:val="16"/>
                <w:szCs w:val="16"/>
                <w:lang w:val="en-US"/>
              </w:rPr>
            </w:pPr>
            <w:r w:rsidRPr="00C54BE8">
              <w:rPr>
                <w:rFonts w:ascii="Times New Roman" w:hAnsi="Times New Roman" w:cs="Times New Roman"/>
                <w:b/>
                <w:sz w:val="16"/>
                <w:szCs w:val="16"/>
                <w:lang w:val="en-US"/>
              </w:rPr>
              <w:t>0.012</w:t>
            </w:r>
          </w:p>
        </w:tc>
        <w:tc>
          <w:tcPr>
            <w:tcW w:w="397" w:type="dxa"/>
            <w:tcBorders>
              <w:left w:val="dashed" w:sz="4" w:space="0" w:color="auto"/>
            </w:tcBorders>
            <w:shd w:val="clear" w:color="auto" w:fill="F2F2F2" w:themeFill="background1" w:themeFillShade="F2"/>
          </w:tcPr>
          <w:p w14:paraId="00FA98BF" w14:textId="77777777" w:rsidR="00477660" w:rsidRPr="00C54BE8" w:rsidRDefault="00477660" w:rsidP="007A1BB7">
            <w:pPr>
              <w:widowControl w:val="0"/>
              <w:autoSpaceDE w:val="0"/>
              <w:autoSpaceDN w:val="0"/>
              <w:adjustRightInd w:val="0"/>
              <w:spacing w:after="0" w:line="240" w:lineRule="auto"/>
              <w:jc w:val="center"/>
              <w:rPr>
                <w:rFonts w:ascii="Times New Roman" w:hAnsi="Times New Roman" w:cs="Times New Roman"/>
                <w:sz w:val="16"/>
                <w:szCs w:val="16"/>
                <w:lang w:val="en-US"/>
              </w:rPr>
            </w:pPr>
          </w:p>
        </w:tc>
        <w:tc>
          <w:tcPr>
            <w:tcW w:w="992" w:type="dxa"/>
            <w:shd w:val="clear" w:color="auto" w:fill="F2F2F2" w:themeFill="background1" w:themeFillShade="F2"/>
          </w:tcPr>
          <w:p w14:paraId="28C296B4" w14:textId="77777777" w:rsidR="00477660" w:rsidRPr="00C54BE8" w:rsidRDefault="00477660" w:rsidP="007A1BB7">
            <w:pPr>
              <w:widowControl w:val="0"/>
              <w:autoSpaceDE w:val="0"/>
              <w:autoSpaceDN w:val="0"/>
              <w:adjustRightInd w:val="0"/>
              <w:spacing w:after="0" w:line="240" w:lineRule="auto"/>
              <w:jc w:val="center"/>
              <w:rPr>
                <w:rFonts w:ascii="Times New Roman" w:hAnsi="Times New Roman" w:cs="Times New Roman"/>
                <w:sz w:val="16"/>
                <w:szCs w:val="16"/>
                <w:lang w:val="en-US"/>
              </w:rPr>
            </w:pPr>
          </w:p>
        </w:tc>
        <w:tc>
          <w:tcPr>
            <w:tcW w:w="794" w:type="dxa"/>
            <w:tcBorders>
              <w:right w:val="dashed" w:sz="4" w:space="0" w:color="auto"/>
            </w:tcBorders>
            <w:shd w:val="clear" w:color="auto" w:fill="F2F2F2" w:themeFill="background1" w:themeFillShade="F2"/>
          </w:tcPr>
          <w:p w14:paraId="4C1C3D86" w14:textId="639E9423" w:rsidR="00477660" w:rsidRPr="00C54BE8" w:rsidRDefault="00477660" w:rsidP="00477660">
            <w:pPr>
              <w:widowControl w:val="0"/>
              <w:autoSpaceDE w:val="0"/>
              <w:autoSpaceDN w:val="0"/>
              <w:adjustRightInd w:val="0"/>
              <w:spacing w:after="0" w:line="240" w:lineRule="auto"/>
              <w:jc w:val="right"/>
              <w:rPr>
                <w:rFonts w:ascii="Times New Roman" w:hAnsi="Times New Roman" w:cs="Times New Roman"/>
                <w:sz w:val="16"/>
                <w:szCs w:val="16"/>
                <w:lang w:val="en-US"/>
              </w:rPr>
            </w:pPr>
            <w:r w:rsidRPr="00C54BE8">
              <w:rPr>
                <w:rFonts w:ascii="Times New Roman" w:hAnsi="Times New Roman" w:cs="Times New Roman"/>
                <w:sz w:val="16"/>
                <w:szCs w:val="16"/>
                <w:lang w:val="en-US"/>
              </w:rPr>
              <w:t>0.192</w:t>
            </w:r>
          </w:p>
        </w:tc>
      </w:tr>
      <w:tr w:rsidR="00477660" w:rsidRPr="001C61AA" w14:paraId="4EEFD0C9" w14:textId="77777777" w:rsidTr="0056300B">
        <w:trPr>
          <w:trHeight w:val="113"/>
          <w:jc w:val="center"/>
        </w:trPr>
        <w:tc>
          <w:tcPr>
            <w:tcW w:w="2469" w:type="dxa"/>
            <w:tcBorders>
              <w:right w:val="dashed" w:sz="4" w:space="0" w:color="auto"/>
            </w:tcBorders>
          </w:tcPr>
          <w:p w14:paraId="7C594597" w14:textId="623AFB89" w:rsidR="00477660" w:rsidRPr="00C54BE8" w:rsidRDefault="00477660" w:rsidP="00AB5094">
            <w:pPr>
              <w:widowControl w:val="0"/>
              <w:autoSpaceDE w:val="0"/>
              <w:autoSpaceDN w:val="0"/>
              <w:adjustRightInd w:val="0"/>
              <w:spacing w:after="0" w:line="240" w:lineRule="auto"/>
              <w:ind w:left="676"/>
              <w:rPr>
                <w:rFonts w:ascii="Times New Roman" w:hAnsi="Times New Roman" w:cs="Times New Roman"/>
                <w:b/>
                <w:sz w:val="16"/>
                <w:szCs w:val="16"/>
                <w:lang w:val="en-US"/>
              </w:rPr>
            </w:pPr>
            <w:r w:rsidRPr="00C54BE8">
              <w:rPr>
                <w:rFonts w:ascii="Times New Roman" w:hAnsi="Times New Roman" w:cs="Times New Roman"/>
                <w:sz w:val="16"/>
                <w:szCs w:val="16"/>
                <w:lang w:val="en-US"/>
              </w:rPr>
              <w:t>Good (mFS</w:t>
            </w:r>
            <w:r w:rsidRPr="00C54BE8">
              <w:rPr>
                <w:rFonts w:ascii="Times New Roman" w:hAnsi="Times New Roman" w:cs="Times New Roman"/>
                <w:sz w:val="16"/>
                <w:szCs w:val="16"/>
                <w:vertAlign w:val="subscript"/>
                <w:lang w:val="en-US"/>
              </w:rPr>
              <w:t>1-2</w:t>
            </w:r>
            <w:r w:rsidRPr="00C54BE8">
              <w:rPr>
                <w:rFonts w:ascii="Times New Roman" w:hAnsi="Times New Roman" w:cs="Times New Roman"/>
                <w:sz w:val="16"/>
                <w:szCs w:val="16"/>
                <w:lang w:val="en-US"/>
              </w:rPr>
              <w:t>)</w:t>
            </w:r>
          </w:p>
        </w:tc>
        <w:tc>
          <w:tcPr>
            <w:tcW w:w="384" w:type="dxa"/>
            <w:tcBorders>
              <w:left w:val="dashed" w:sz="4" w:space="0" w:color="auto"/>
            </w:tcBorders>
          </w:tcPr>
          <w:p w14:paraId="07CFA27A" w14:textId="29EEEE7A" w:rsidR="00477660" w:rsidRPr="00C54BE8" w:rsidRDefault="00477660" w:rsidP="007A1BB7">
            <w:pPr>
              <w:widowControl w:val="0"/>
              <w:autoSpaceDE w:val="0"/>
              <w:autoSpaceDN w:val="0"/>
              <w:adjustRightInd w:val="0"/>
              <w:spacing w:after="0" w:line="240" w:lineRule="auto"/>
              <w:jc w:val="center"/>
              <w:rPr>
                <w:rFonts w:ascii="Times New Roman" w:hAnsi="Times New Roman" w:cs="Times New Roman"/>
                <w:sz w:val="16"/>
                <w:szCs w:val="16"/>
                <w:lang w:val="en-US"/>
              </w:rPr>
            </w:pPr>
            <w:r w:rsidRPr="00C54BE8">
              <w:rPr>
                <w:rFonts w:ascii="Times New Roman" w:hAnsi="Times New Roman" w:cs="Times New Roman"/>
                <w:sz w:val="16"/>
                <w:szCs w:val="16"/>
                <w:lang w:val="en-US"/>
              </w:rPr>
              <w:t>38</w:t>
            </w:r>
          </w:p>
        </w:tc>
        <w:tc>
          <w:tcPr>
            <w:tcW w:w="1758" w:type="dxa"/>
            <w:gridSpan w:val="2"/>
            <w:tcBorders>
              <w:right w:val="dashed" w:sz="4" w:space="0" w:color="auto"/>
            </w:tcBorders>
          </w:tcPr>
          <w:p w14:paraId="595A4443" w14:textId="78951D48" w:rsidR="00477660" w:rsidRPr="00C54BE8" w:rsidRDefault="00477660" w:rsidP="00AB5094">
            <w:pPr>
              <w:widowControl w:val="0"/>
              <w:autoSpaceDE w:val="0"/>
              <w:autoSpaceDN w:val="0"/>
              <w:adjustRightInd w:val="0"/>
              <w:spacing w:after="0" w:line="240" w:lineRule="auto"/>
              <w:ind w:left="91"/>
              <w:rPr>
                <w:rFonts w:ascii="Times New Roman" w:hAnsi="Times New Roman" w:cs="Times New Roman"/>
                <w:sz w:val="16"/>
                <w:szCs w:val="16"/>
                <w:lang w:val="en-US"/>
              </w:rPr>
            </w:pPr>
            <w:r w:rsidRPr="00C54BE8">
              <w:rPr>
                <w:rFonts w:ascii="Times New Roman" w:hAnsi="Times New Roman" w:cs="Times New Roman"/>
                <w:sz w:val="16"/>
                <w:szCs w:val="16"/>
                <w:lang w:val="en-US"/>
              </w:rPr>
              <w:t>9.0</w:t>
            </w:r>
            <w:r>
              <w:rPr>
                <w:rFonts w:ascii="Times New Roman" w:hAnsi="Times New Roman" w:cs="Times New Roman"/>
                <w:sz w:val="16"/>
                <w:szCs w:val="16"/>
                <w:lang w:val="en-US"/>
              </w:rPr>
              <w:t xml:space="preserve"> </w:t>
            </w:r>
            <w:r w:rsidRPr="00C54BE8">
              <w:rPr>
                <w:rFonts w:ascii="Times New Roman" w:hAnsi="Times New Roman" w:cs="Times New Roman"/>
                <w:sz w:val="16"/>
                <w:szCs w:val="16"/>
                <w:lang w:val="en-US"/>
              </w:rPr>
              <w:t>(6.8-10.2)</w:t>
            </w:r>
          </w:p>
        </w:tc>
        <w:tc>
          <w:tcPr>
            <w:tcW w:w="386" w:type="dxa"/>
            <w:tcBorders>
              <w:left w:val="dashed" w:sz="4" w:space="0" w:color="auto"/>
            </w:tcBorders>
          </w:tcPr>
          <w:p w14:paraId="76F9AD9B" w14:textId="7DBD6A16" w:rsidR="00477660" w:rsidRPr="00C54BE8" w:rsidRDefault="00477660" w:rsidP="007A1BB7">
            <w:pPr>
              <w:widowControl w:val="0"/>
              <w:autoSpaceDE w:val="0"/>
              <w:autoSpaceDN w:val="0"/>
              <w:adjustRightInd w:val="0"/>
              <w:spacing w:after="0" w:line="240" w:lineRule="auto"/>
              <w:jc w:val="center"/>
              <w:rPr>
                <w:rFonts w:ascii="Times New Roman" w:hAnsi="Times New Roman" w:cs="Times New Roman"/>
                <w:sz w:val="16"/>
                <w:szCs w:val="16"/>
                <w:lang w:val="en-US"/>
              </w:rPr>
            </w:pPr>
            <w:r w:rsidRPr="00C54BE8">
              <w:rPr>
                <w:rFonts w:ascii="Times New Roman" w:hAnsi="Times New Roman" w:cs="Times New Roman"/>
                <w:sz w:val="16"/>
                <w:szCs w:val="16"/>
                <w:lang w:val="en-US"/>
              </w:rPr>
              <w:t>41</w:t>
            </w:r>
          </w:p>
        </w:tc>
        <w:tc>
          <w:tcPr>
            <w:tcW w:w="1758" w:type="dxa"/>
            <w:gridSpan w:val="2"/>
            <w:tcBorders>
              <w:right w:val="dashed" w:sz="4" w:space="0" w:color="auto"/>
            </w:tcBorders>
          </w:tcPr>
          <w:p w14:paraId="28234BB9" w14:textId="6AFAB05E" w:rsidR="00477660" w:rsidRPr="00C54BE8" w:rsidRDefault="00477660" w:rsidP="00AB5094">
            <w:pPr>
              <w:widowControl w:val="0"/>
              <w:autoSpaceDE w:val="0"/>
              <w:autoSpaceDN w:val="0"/>
              <w:adjustRightInd w:val="0"/>
              <w:spacing w:after="0" w:line="240" w:lineRule="auto"/>
              <w:ind w:left="73"/>
              <w:rPr>
                <w:rFonts w:ascii="Times New Roman" w:hAnsi="Times New Roman" w:cs="Times New Roman"/>
                <w:sz w:val="16"/>
                <w:szCs w:val="16"/>
                <w:lang w:val="en-US"/>
              </w:rPr>
            </w:pPr>
            <w:r w:rsidRPr="00C54BE8">
              <w:rPr>
                <w:rFonts w:ascii="Times New Roman" w:hAnsi="Times New Roman" w:cs="Times New Roman"/>
                <w:sz w:val="16"/>
                <w:szCs w:val="16"/>
                <w:lang w:val="en-US"/>
              </w:rPr>
              <w:t>9.0</w:t>
            </w:r>
            <w:r>
              <w:rPr>
                <w:rFonts w:ascii="Times New Roman" w:hAnsi="Times New Roman" w:cs="Times New Roman"/>
                <w:sz w:val="16"/>
                <w:szCs w:val="16"/>
                <w:lang w:val="en-US"/>
              </w:rPr>
              <w:t xml:space="preserve"> </w:t>
            </w:r>
            <w:r w:rsidRPr="00C54BE8">
              <w:rPr>
                <w:rFonts w:ascii="Times New Roman" w:hAnsi="Times New Roman" w:cs="Times New Roman"/>
                <w:sz w:val="16"/>
                <w:szCs w:val="16"/>
                <w:lang w:val="en-US"/>
              </w:rPr>
              <w:t>(7.8-11.5)</w:t>
            </w:r>
          </w:p>
        </w:tc>
        <w:tc>
          <w:tcPr>
            <w:tcW w:w="397" w:type="dxa"/>
            <w:tcBorders>
              <w:left w:val="dashed" w:sz="4" w:space="0" w:color="auto"/>
            </w:tcBorders>
          </w:tcPr>
          <w:p w14:paraId="6D1CBE7D" w14:textId="564C02C7" w:rsidR="00477660" w:rsidRPr="00C54BE8" w:rsidRDefault="00477660" w:rsidP="007A1BB7">
            <w:pPr>
              <w:widowControl w:val="0"/>
              <w:autoSpaceDE w:val="0"/>
              <w:autoSpaceDN w:val="0"/>
              <w:adjustRightInd w:val="0"/>
              <w:spacing w:after="0" w:line="240" w:lineRule="auto"/>
              <w:jc w:val="center"/>
              <w:rPr>
                <w:rFonts w:ascii="Times New Roman" w:hAnsi="Times New Roman" w:cs="Times New Roman"/>
                <w:sz w:val="16"/>
                <w:szCs w:val="16"/>
                <w:lang w:val="en-US"/>
              </w:rPr>
            </w:pPr>
            <w:r w:rsidRPr="00C54BE8">
              <w:rPr>
                <w:rFonts w:ascii="Times New Roman" w:hAnsi="Times New Roman" w:cs="Times New Roman"/>
                <w:sz w:val="16"/>
                <w:szCs w:val="16"/>
                <w:lang w:val="en-US"/>
              </w:rPr>
              <w:t>27</w:t>
            </w:r>
          </w:p>
        </w:tc>
        <w:tc>
          <w:tcPr>
            <w:tcW w:w="1786" w:type="dxa"/>
            <w:gridSpan w:val="2"/>
            <w:tcBorders>
              <w:right w:val="dashed" w:sz="4" w:space="0" w:color="auto"/>
            </w:tcBorders>
          </w:tcPr>
          <w:p w14:paraId="4DB25EE8" w14:textId="77A93D1B" w:rsidR="00477660" w:rsidRPr="00C54BE8" w:rsidRDefault="00477660" w:rsidP="00AB5094">
            <w:pPr>
              <w:widowControl w:val="0"/>
              <w:autoSpaceDE w:val="0"/>
              <w:autoSpaceDN w:val="0"/>
              <w:adjustRightInd w:val="0"/>
              <w:spacing w:after="0" w:line="240" w:lineRule="auto"/>
              <w:ind w:left="44"/>
              <w:rPr>
                <w:rFonts w:ascii="Times New Roman" w:hAnsi="Times New Roman" w:cs="Times New Roman"/>
                <w:sz w:val="16"/>
                <w:szCs w:val="16"/>
                <w:lang w:val="en-US"/>
              </w:rPr>
            </w:pPr>
            <w:r w:rsidRPr="00C54BE8">
              <w:rPr>
                <w:rFonts w:ascii="Times New Roman" w:hAnsi="Times New Roman" w:cs="Times New Roman"/>
                <w:sz w:val="16"/>
                <w:szCs w:val="16"/>
                <w:lang w:val="en-US"/>
              </w:rPr>
              <w:t>8.8</w:t>
            </w:r>
            <w:r>
              <w:rPr>
                <w:rFonts w:ascii="Times New Roman" w:hAnsi="Times New Roman" w:cs="Times New Roman"/>
                <w:sz w:val="16"/>
                <w:szCs w:val="16"/>
                <w:lang w:val="en-US"/>
              </w:rPr>
              <w:t xml:space="preserve"> </w:t>
            </w:r>
            <w:r w:rsidRPr="00C54BE8">
              <w:rPr>
                <w:rFonts w:ascii="Times New Roman" w:hAnsi="Times New Roman" w:cs="Times New Roman"/>
                <w:sz w:val="16"/>
                <w:szCs w:val="16"/>
                <w:lang w:val="en-US"/>
              </w:rPr>
              <w:t>(7.0-11.1)</w:t>
            </w:r>
          </w:p>
        </w:tc>
      </w:tr>
      <w:tr w:rsidR="00477660" w:rsidRPr="001C61AA" w14:paraId="586BE495" w14:textId="77777777" w:rsidTr="0056300B">
        <w:trPr>
          <w:trHeight w:val="113"/>
          <w:jc w:val="center"/>
        </w:trPr>
        <w:tc>
          <w:tcPr>
            <w:tcW w:w="2469" w:type="dxa"/>
            <w:tcBorders>
              <w:right w:val="dashed" w:sz="4" w:space="0" w:color="auto"/>
            </w:tcBorders>
          </w:tcPr>
          <w:p w14:paraId="290032C3" w14:textId="53DBD38F" w:rsidR="00477660" w:rsidRPr="00C54BE8" w:rsidRDefault="00477660" w:rsidP="00AB5094">
            <w:pPr>
              <w:widowControl w:val="0"/>
              <w:autoSpaceDE w:val="0"/>
              <w:autoSpaceDN w:val="0"/>
              <w:adjustRightInd w:val="0"/>
              <w:spacing w:after="0" w:line="240" w:lineRule="auto"/>
              <w:ind w:left="676"/>
              <w:rPr>
                <w:rFonts w:ascii="Times New Roman" w:hAnsi="Times New Roman" w:cs="Times New Roman"/>
                <w:b/>
                <w:sz w:val="16"/>
                <w:szCs w:val="16"/>
                <w:lang w:val="en-US"/>
              </w:rPr>
            </w:pPr>
            <w:r w:rsidRPr="00C54BE8">
              <w:rPr>
                <w:rFonts w:ascii="Times New Roman" w:hAnsi="Times New Roman" w:cs="Times New Roman"/>
                <w:sz w:val="16"/>
                <w:szCs w:val="16"/>
                <w:lang w:val="en-US"/>
              </w:rPr>
              <w:t>Poor</w:t>
            </w:r>
            <w:r w:rsidRPr="00C54BE8">
              <w:rPr>
                <w:rFonts w:ascii="Times New Roman" w:hAnsi="Times New Roman" w:cs="Times New Roman"/>
                <w:color w:val="FF0000"/>
                <w:sz w:val="16"/>
                <w:szCs w:val="16"/>
                <w:lang w:val="en-US"/>
              </w:rPr>
              <w:t xml:space="preserve"> </w:t>
            </w:r>
            <w:r w:rsidRPr="00C54BE8">
              <w:rPr>
                <w:rFonts w:ascii="Times New Roman" w:hAnsi="Times New Roman" w:cs="Times New Roman"/>
                <w:sz w:val="16"/>
                <w:szCs w:val="16"/>
                <w:lang w:val="en-US"/>
              </w:rPr>
              <w:t>(mFS</w:t>
            </w:r>
            <w:r w:rsidRPr="00C54BE8">
              <w:rPr>
                <w:rFonts w:ascii="Times New Roman" w:hAnsi="Times New Roman" w:cs="Times New Roman"/>
                <w:sz w:val="16"/>
                <w:szCs w:val="16"/>
                <w:vertAlign w:val="subscript"/>
                <w:lang w:val="en-US"/>
              </w:rPr>
              <w:t>3-4</w:t>
            </w:r>
            <w:r w:rsidRPr="00C54BE8">
              <w:rPr>
                <w:rFonts w:ascii="Times New Roman" w:hAnsi="Times New Roman" w:cs="Times New Roman"/>
                <w:sz w:val="16"/>
                <w:szCs w:val="16"/>
                <w:lang w:val="en-US"/>
              </w:rPr>
              <w:t>)</w:t>
            </w:r>
          </w:p>
        </w:tc>
        <w:tc>
          <w:tcPr>
            <w:tcW w:w="384" w:type="dxa"/>
            <w:tcBorders>
              <w:left w:val="dashed" w:sz="4" w:space="0" w:color="auto"/>
            </w:tcBorders>
          </w:tcPr>
          <w:p w14:paraId="07A82515" w14:textId="4E3F7B29" w:rsidR="00477660" w:rsidRPr="00C54BE8" w:rsidRDefault="00477660" w:rsidP="007A1BB7">
            <w:pPr>
              <w:widowControl w:val="0"/>
              <w:autoSpaceDE w:val="0"/>
              <w:autoSpaceDN w:val="0"/>
              <w:adjustRightInd w:val="0"/>
              <w:spacing w:after="0" w:line="240" w:lineRule="auto"/>
              <w:jc w:val="center"/>
              <w:rPr>
                <w:rFonts w:ascii="Times New Roman" w:hAnsi="Times New Roman" w:cs="Times New Roman"/>
                <w:sz w:val="16"/>
                <w:szCs w:val="16"/>
                <w:lang w:val="en-US"/>
              </w:rPr>
            </w:pPr>
            <w:r w:rsidRPr="00C54BE8">
              <w:rPr>
                <w:rFonts w:ascii="Times New Roman" w:hAnsi="Times New Roman" w:cs="Times New Roman"/>
                <w:sz w:val="16"/>
                <w:szCs w:val="16"/>
                <w:lang w:val="en-US"/>
              </w:rPr>
              <w:t>51</w:t>
            </w:r>
          </w:p>
        </w:tc>
        <w:tc>
          <w:tcPr>
            <w:tcW w:w="1758" w:type="dxa"/>
            <w:gridSpan w:val="2"/>
            <w:tcBorders>
              <w:right w:val="dashed" w:sz="4" w:space="0" w:color="auto"/>
            </w:tcBorders>
          </w:tcPr>
          <w:p w14:paraId="58A3399F" w14:textId="7E5501C8" w:rsidR="00477660" w:rsidRPr="00C54BE8" w:rsidRDefault="00477660" w:rsidP="00AB5094">
            <w:pPr>
              <w:widowControl w:val="0"/>
              <w:autoSpaceDE w:val="0"/>
              <w:autoSpaceDN w:val="0"/>
              <w:adjustRightInd w:val="0"/>
              <w:spacing w:after="0" w:line="240" w:lineRule="auto"/>
              <w:ind w:left="91"/>
              <w:rPr>
                <w:rFonts w:ascii="Times New Roman" w:hAnsi="Times New Roman" w:cs="Times New Roman"/>
                <w:sz w:val="16"/>
                <w:szCs w:val="16"/>
                <w:lang w:val="en-US"/>
              </w:rPr>
            </w:pPr>
            <w:r w:rsidRPr="00C54BE8">
              <w:rPr>
                <w:rFonts w:ascii="Times New Roman" w:hAnsi="Times New Roman" w:cs="Times New Roman"/>
                <w:sz w:val="16"/>
                <w:szCs w:val="16"/>
                <w:lang w:val="en-US"/>
              </w:rPr>
              <w:t>9.3</w:t>
            </w:r>
            <w:r>
              <w:rPr>
                <w:rFonts w:ascii="Times New Roman" w:hAnsi="Times New Roman" w:cs="Times New Roman"/>
                <w:sz w:val="16"/>
                <w:szCs w:val="16"/>
                <w:lang w:val="en-US"/>
              </w:rPr>
              <w:t xml:space="preserve"> </w:t>
            </w:r>
            <w:r w:rsidRPr="00C54BE8">
              <w:rPr>
                <w:rFonts w:ascii="Times New Roman" w:hAnsi="Times New Roman" w:cs="Times New Roman"/>
                <w:sz w:val="16"/>
                <w:szCs w:val="16"/>
                <w:lang w:val="en-US"/>
              </w:rPr>
              <w:t>(8.0-13.9)</w:t>
            </w:r>
          </w:p>
        </w:tc>
        <w:tc>
          <w:tcPr>
            <w:tcW w:w="386" w:type="dxa"/>
            <w:tcBorders>
              <w:left w:val="dashed" w:sz="4" w:space="0" w:color="auto"/>
            </w:tcBorders>
          </w:tcPr>
          <w:p w14:paraId="08E65BF0" w14:textId="669BC86C" w:rsidR="00477660" w:rsidRPr="00C54BE8" w:rsidRDefault="00477660" w:rsidP="007A1BB7">
            <w:pPr>
              <w:widowControl w:val="0"/>
              <w:autoSpaceDE w:val="0"/>
              <w:autoSpaceDN w:val="0"/>
              <w:adjustRightInd w:val="0"/>
              <w:spacing w:after="0" w:line="240" w:lineRule="auto"/>
              <w:jc w:val="center"/>
              <w:rPr>
                <w:rFonts w:ascii="Times New Roman" w:hAnsi="Times New Roman" w:cs="Times New Roman"/>
                <w:sz w:val="16"/>
                <w:szCs w:val="16"/>
                <w:lang w:val="en-US"/>
              </w:rPr>
            </w:pPr>
            <w:r w:rsidRPr="00C54BE8">
              <w:rPr>
                <w:rFonts w:ascii="Times New Roman" w:hAnsi="Times New Roman" w:cs="Times New Roman"/>
                <w:sz w:val="16"/>
                <w:szCs w:val="16"/>
                <w:lang w:val="en-US"/>
              </w:rPr>
              <w:t>51</w:t>
            </w:r>
          </w:p>
        </w:tc>
        <w:tc>
          <w:tcPr>
            <w:tcW w:w="1758" w:type="dxa"/>
            <w:gridSpan w:val="2"/>
            <w:tcBorders>
              <w:right w:val="dashed" w:sz="4" w:space="0" w:color="auto"/>
            </w:tcBorders>
          </w:tcPr>
          <w:p w14:paraId="0861AB22" w14:textId="5A8BD2E3" w:rsidR="00477660" w:rsidRPr="00C54BE8" w:rsidRDefault="00477660" w:rsidP="00AB5094">
            <w:pPr>
              <w:widowControl w:val="0"/>
              <w:autoSpaceDE w:val="0"/>
              <w:autoSpaceDN w:val="0"/>
              <w:adjustRightInd w:val="0"/>
              <w:spacing w:after="0" w:line="240" w:lineRule="auto"/>
              <w:ind w:left="73"/>
              <w:rPr>
                <w:rFonts w:ascii="Times New Roman" w:hAnsi="Times New Roman" w:cs="Times New Roman"/>
                <w:sz w:val="16"/>
                <w:szCs w:val="16"/>
                <w:lang w:val="en-US"/>
              </w:rPr>
            </w:pPr>
            <w:r w:rsidRPr="00C54BE8">
              <w:rPr>
                <w:rFonts w:ascii="Times New Roman" w:hAnsi="Times New Roman" w:cs="Times New Roman"/>
                <w:sz w:val="16"/>
                <w:szCs w:val="16"/>
                <w:lang w:val="en-US"/>
              </w:rPr>
              <w:t>11.5</w:t>
            </w:r>
            <w:r>
              <w:rPr>
                <w:rFonts w:ascii="Times New Roman" w:hAnsi="Times New Roman" w:cs="Times New Roman"/>
                <w:sz w:val="16"/>
                <w:szCs w:val="16"/>
                <w:lang w:val="en-US"/>
              </w:rPr>
              <w:t xml:space="preserve"> </w:t>
            </w:r>
            <w:r w:rsidRPr="00C54BE8">
              <w:rPr>
                <w:rFonts w:ascii="Times New Roman" w:hAnsi="Times New Roman" w:cs="Times New Roman"/>
                <w:sz w:val="16"/>
                <w:szCs w:val="16"/>
                <w:lang w:val="en-US"/>
              </w:rPr>
              <w:t>(7.9-18.2)</w:t>
            </w:r>
          </w:p>
        </w:tc>
        <w:tc>
          <w:tcPr>
            <w:tcW w:w="397" w:type="dxa"/>
            <w:tcBorders>
              <w:left w:val="dashed" w:sz="4" w:space="0" w:color="auto"/>
            </w:tcBorders>
          </w:tcPr>
          <w:p w14:paraId="25EED985" w14:textId="3D137651" w:rsidR="00477660" w:rsidRPr="00C54BE8" w:rsidRDefault="00477660" w:rsidP="007A1BB7">
            <w:pPr>
              <w:widowControl w:val="0"/>
              <w:autoSpaceDE w:val="0"/>
              <w:autoSpaceDN w:val="0"/>
              <w:adjustRightInd w:val="0"/>
              <w:spacing w:after="0" w:line="240" w:lineRule="auto"/>
              <w:jc w:val="center"/>
              <w:rPr>
                <w:rFonts w:ascii="Times New Roman" w:hAnsi="Times New Roman" w:cs="Times New Roman"/>
                <w:sz w:val="16"/>
                <w:szCs w:val="16"/>
                <w:lang w:val="en-US"/>
              </w:rPr>
            </w:pPr>
            <w:r w:rsidRPr="00C54BE8">
              <w:rPr>
                <w:rFonts w:ascii="Times New Roman" w:hAnsi="Times New Roman" w:cs="Times New Roman"/>
                <w:sz w:val="16"/>
                <w:szCs w:val="16"/>
                <w:lang w:val="en-US"/>
              </w:rPr>
              <w:t>39</w:t>
            </w:r>
          </w:p>
        </w:tc>
        <w:tc>
          <w:tcPr>
            <w:tcW w:w="1786" w:type="dxa"/>
            <w:gridSpan w:val="2"/>
            <w:tcBorders>
              <w:right w:val="dashed" w:sz="4" w:space="0" w:color="auto"/>
            </w:tcBorders>
          </w:tcPr>
          <w:p w14:paraId="571B9690" w14:textId="0502D072" w:rsidR="00477660" w:rsidRPr="00C54BE8" w:rsidRDefault="00477660" w:rsidP="00AB5094">
            <w:pPr>
              <w:widowControl w:val="0"/>
              <w:autoSpaceDE w:val="0"/>
              <w:autoSpaceDN w:val="0"/>
              <w:adjustRightInd w:val="0"/>
              <w:spacing w:after="0" w:line="240" w:lineRule="auto"/>
              <w:ind w:left="44"/>
              <w:rPr>
                <w:rFonts w:ascii="Times New Roman" w:hAnsi="Times New Roman" w:cs="Times New Roman"/>
                <w:sz w:val="16"/>
                <w:szCs w:val="16"/>
                <w:lang w:val="en-US"/>
              </w:rPr>
            </w:pPr>
            <w:r w:rsidRPr="00C54BE8">
              <w:rPr>
                <w:rFonts w:ascii="Times New Roman" w:hAnsi="Times New Roman" w:cs="Times New Roman"/>
                <w:sz w:val="16"/>
                <w:szCs w:val="16"/>
                <w:lang w:val="en-US"/>
              </w:rPr>
              <w:t>9.7</w:t>
            </w:r>
            <w:r>
              <w:rPr>
                <w:rFonts w:ascii="Times New Roman" w:hAnsi="Times New Roman" w:cs="Times New Roman"/>
                <w:sz w:val="16"/>
                <w:szCs w:val="16"/>
                <w:lang w:val="en-US"/>
              </w:rPr>
              <w:t xml:space="preserve"> </w:t>
            </w:r>
            <w:r w:rsidRPr="00C54BE8">
              <w:rPr>
                <w:rFonts w:ascii="Times New Roman" w:hAnsi="Times New Roman" w:cs="Times New Roman"/>
                <w:sz w:val="16"/>
                <w:szCs w:val="16"/>
                <w:lang w:val="en-US"/>
              </w:rPr>
              <w:t>(8.1-14.8)</w:t>
            </w:r>
          </w:p>
        </w:tc>
      </w:tr>
      <w:tr w:rsidR="00477660" w:rsidRPr="001C61AA" w14:paraId="31D2D050" w14:textId="77777777" w:rsidTr="0056300B">
        <w:trPr>
          <w:trHeight w:val="113"/>
          <w:jc w:val="center"/>
        </w:trPr>
        <w:tc>
          <w:tcPr>
            <w:tcW w:w="2469" w:type="dxa"/>
            <w:tcBorders>
              <w:right w:val="dashed" w:sz="4" w:space="0" w:color="auto"/>
            </w:tcBorders>
            <w:shd w:val="clear" w:color="auto" w:fill="F2F2F2" w:themeFill="background1" w:themeFillShade="F2"/>
          </w:tcPr>
          <w:p w14:paraId="2B3A4962" w14:textId="77777777" w:rsidR="00477660" w:rsidRPr="00C54BE8" w:rsidRDefault="00477660" w:rsidP="007A1BB7">
            <w:pPr>
              <w:widowControl w:val="0"/>
              <w:autoSpaceDE w:val="0"/>
              <w:autoSpaceDN w:val="0"/>
              <w:adjustRightInd w:val="0"/>
              <w:spacing w:after="0" w:line="240" w:lineRule="auto"/>
              <w:rPr>
                <w:rFonts w:ascii="Times New Roman" w:hAnsi="Times New Roman" w:cs="Times New Roman"/>
                <w:b/>
                <w:sz w:val="16"/>
                <w:szCs w:val="16"/>
                <w:lang w:val="en-US"/>
              </w:rPr>
            </w:pPr>
            <w:r w:rsidRPr="00C54BE8">
              <w:rPr>
                <w:rFonts w:ascii="Times New Roman" w:hAnsi="Times New Roman" w:cs="Times New Roman"/>
                <w:b/>
                <w:sz w:val="16"/>
                <w:szCs w:val="16"/>
                <w:lang w:val="en-US"/>
              </w:rPr>
              <w:t>DCI</w:t>
            </w:r>
          </w:p>
        </w:tc>
        <w:tc>
          <w:tcPr>
            <w:tcW w:w="384" w:type="dxa"/>
            <w:tcBorders>
              <w:left w:val="dashed" w:sz="4" w:space="0" w:color="auto"/>
            </w:tcBorders>
            <w:shd w:val="clear" w:color="auto" w:fill="F2F2F2" w:themeFill="background1" w:themeFillShade="F2"/>
          </w:tcPr>
          <w:p w14:paraId="761DF4AA" w14:textId="77777777" w:rsidR="00477660" w:rsidRPr="00C54BE8" w:rsidRDefault="00477660" w:rsidP="007A1BB7">
            <w:pPr>
              <w:widowControl w:val="0"/>
              <w:autoSpaceDE w:val="0"/>
              <w:autoSpaceDN w:val="0"/>
              <w:adjustRightInd w:val="0"/>
              <w:spacing w:after="0" w:line="240" w:lineRule="auto"/>
              <w:jc w:val="center"/>
              <w:rPr>
                <w:rFonts w:ascii="Times New Roman" w:hAnsi="Times New Roman" w:cs="Times New Roman"/>
                <w:sz w:val="16"/>
                <w:szCs w:val="16"/>
                <w:lang w:val="en-US"/>
              </w:rPr>
            </w:pPr>
          </w:p>
        </w:tc>
        <w:tc>
          <w:tcPr>
            <w:tcW w:w="964" w:type="dxa"/>
            <w:shd w:val="clear" w:color="auto" w:fill="F2F2F2" w:themeFill="background1" w:themeFillShade="F2"/>
          </w:tcPr>
          <w:p w14:paraId="76400335" w14:textId="77777777" w:rsidR="00477660" w:rsidRPr="00C54BE8" w:rsidRDefault="00477660" w:rsidP="007A1BB7">
            <w:pPr>
              <w:widowControl w:val="0"/>
              <w:autoSpaceDE w:val="0"/>
              <w:autoSpaceDN w:val="0"/>
              <w:adjustRightInd w:val="0"/>
              <w:spacing w:after="0" w:line="240" w:lineRule="auto"/>
              <w:jc w:val="center"/>
              <w:rPr>
                <w:rFonts w:ascii="Times New Roman" w:hAnsi="Times New Roman" w:cs="Times New Roman"/>
                <w:sz w:val="16"/>
                <w:szCs w:val="16"/>
                <w:lang w:val="en-US"/>
              </w:rPr>
            </w:pPr>
          </w:p>
        </w:tc>
        <w:tc>
          <w:tcPr>
            <w:tcW w:w="794" w:type="dxa"/>
            <w:tcBorders>
              <w:right w:val="dashed" w:sz="4" w:space="0" w:color="auto"/>
            </w:tcBorders>
            <w:shd w:val="clear" w:color="auto" w:fill="F2F2F2" w:themeFill="background1" w:themeFillShade="F2"/>
          </w:tcPr>
          <w:p w14:paraId="10C8065D" w14:textId="4E35655F" w:rsidR="00477660" w:rsidRPr="00C54BE8" w:rsidRDefault="00477660" w:rsidP="00477660">
            <w:pPr>
              <w:widowControl w:val="0"/>
              <w:autoSpaceDE w:val="0"/>
              <w:autoSpaceDN w:val="0"/>
              <w:adjustRightInd w:val="0"/>
              <w:spacing w:after="0" w:line="240" w:lineRule="auto"/>
              <w:jc w:val="right"/>
              <w:rPr>
                <w:rFonts w:ascii="Times New Roman" w:hAnsi="Times New Roman" w:cs="Times New Roman"/>
                <w:sz w:val="16"/>
                <w:szCs w:val="16"/>
                <w:lang w:val="en-US"/>
              </w:rPr>
            </w:pPr>
            <w:r w:rsidRPr="00C54BE8">
              <w:rPr>
                <w:rFonts w:ascii="Times New Roman" w:hAnsi="Times New Roman" w:cs="Times New Roman"/>
                <w:b/>
                <w:sz w:val="16"/>
                <w:szCs w:val="16"/>
                <w:lang w:val="en-US"/>
              </w:rPr>
              <w:t>0.001</w:t>
            </w:r>
          </w:p>
        </w:tc>
        <w:tc>
          <w:tcPr>
            <w:tcW w:w="386" w:type="dxa"/>
            <w:tcBorders>
              <w:left w:val="dashed" w:sz="4" w:space="0" w:color="auto"/>
            </w:tcBorders>
            <w:shd w:val="clear" w:color="auto" w:fill="F2F2F2" w:themeFill="background1" w:themeFillShade="F2"/>
          </w:tcPr>
          <w:p w14:paraId="64A8C5DF" w14:textId="77777777" w:rsidR="00477660" w:rsidRPr="00C54BE8" w:rsidRDefault="00477660" w:rsidP="007A1BB7">
            <w:pPr>
              <w:widowControl w:val="0"/>
              <w:autoSpaceDE w:val="0"/>
              <w:autoSpaceDN w:val="0"/>
              <w:adjustRightInd w:val="0"/>
              <w:spacing w:after="0" w:line="240" w:lineRule="auto"/>
              <w:jc w:val="center"/>
              <w:rPr>
                <w:rFonts w:ascii="Times New Roman" w:hAnsi="Times New Roman" w:cs="Times New Roman"/>
                <w:sz w:val="16"/>
                <w:szCs w:val="16"/>
                <w:lang w:val="en-US"/>
              </w:rPr>
            </w:pPr>
          </w:p>
        </w:tc>
        <w:tc>
          <w:tcPr>
            <w:tcW w:w="964" w:type="dxa"/>
            <w:shd w:val="clear" w:color="auto" w:fill="F2F2F2" w:themeFill="background1" w:themeFillShade="F2"/>
          </w:tcPr>
          <w:p w14:paraId="39BBDCAC" w14:textId="77777777" w:rsidR="00477660" w:rsidRPr="00C54BE8" w:rsidRDefault="00477660" w:rsidP="007A1BB7">
            <w:pPr>
              <w:widowControl w:val="0"/>
              <w:autoSpaceDE w:val="0"/>
              <w:autoSpaceDN w:val="0"/>
              <w:adjustRightInd w:val="0"/>
              <w:spacing w:after="0" w:line="240" w:lineRule="auto"/>
              <w:jc w:val="center"/>
              <w:rPr>
                <w:rFonts w:ascii="Times New Roman" w:hAnsi="Times New Roman" w:cs="Times New Roman"/>
                <w:sz w:val="16"/>
                <w:szCs w:val="16"/>
                <w:lang w:val="en-US"/>
              </w:rPr>
            </w:pPr>
          </w:p>
        </w:tc>
        <w:tc>
          <w:tcPr>
            <w:tcW w:w="794" w:type="dxa"/>
            <w:tcBorders>
              <w:right w:val="dashed" w:sz="4" w:space="0" w:color="auto"/>
            </w:tcBorders>
            <w:shd w:val="clear" w:color="auto" w:fill="F2F2F2" w:themeFill="background1" w:themeFillShade="F2"/>
          </w:tcPr>
          <w:p w14:paraId="770D7218" w14:textId="2326C803" w:rsidR="00477660" w:rsidRPr="00C54BE8" w:rsidRDefault="00477660" w:rsidP="00477660">
            <w:pPr>
              <w:widowControl w:val="0"/>
              <w:autoSpaceDE w:val="0"/>
              <w:autoSpaceDN w:val="0"/>
              <w:adjustRightInd w:val="0"/>
              <w:spacing w:after="0" w:line="240" w:lineRule="auto"/>
              <w:jc w:val="right"/>
              <w:rPr>
                <w:rFonts w:ascii="Times New Roman" w:hAnsi="Times New Roman" w:cs="Times New Roman"/>
                <w:sz w:val="16"/>
                <w:szCs w:val="16"/>
                <w:lang w:val="en-US"/>
              </w:rPr>
            </w:pPr>
            <w:r w:rsidRPr="00C54BE8">
              <w:rPr>
                <w:rFonts w:ascii="Times New Roman" w:hAnsi="Times New Roman" w:cs="Times New Roman"/>
                <w:b/>
                <w:sz w:val="16"/>
                <w:szCs w:val="16"/>
                <w:lang w:val="en-US"/>
              </w:rPr>
              <w:t>&lt;0.001</w:t>
            </w:r>
          </w:p>
        </w:tc>
        <w:tc>
          <w:tcPr>
            <w:tcW w:w="397" w:type="dxa"/>
            <w:tcBorders>
              <w:left w:val="dashed" w:sz="4" w:space="0" w:color="auto"/>
            </w:tcBorders>
            <w:shd w:val="clear" w:color="auto" w:fill="F2F2F2" w:themeFill="background1" w:themeFillShade="F2"/>
          </w:tcPr>
          <w:p w14:paraId="59DF0B16" w14:textId="77777777" w:rsidR="00477660" w:rsidRPr="00C54BE8" w:rsidRDefault="00477660" w:rsidP="007A1BB7">
            <w:pPr>
              <w:widowControl w:val="0"/>
              <w:autoSpaceDE w:val="0"/>
              <w:autoSpaceDN w:val="0"/>
              <w:adjustRightInd w:val="0"/>
              <w:spacing w:after="0" w:line="240" w:lineRule="auto"/>
              <w:jc w:val="center"/>
              <w:rPr>
                <w:rFonts w:ascii="Times New Roman" w:hAnsi="Times New Roman" w:cs="Times New Roman"/>
                <w:sz w:val="16"/>
                <w:szCs w:val="16"/>
                <w:lang w:val="en-US"/>
              </w:rPr>
            </w:pPr>
          </w:p>
        </w:tc>
        <w:tc>
          <w:tcPr>
            <w:tcW w:w="992" w:type="dxa"/>
            <w:shd w:val="clear" w:color="auto" w:fill="F2F2F2" w:themeFill="background1" w:themeFillShade="F2"/>
          </w:tcPr>
          <w:p w14:paraId="5CB93B4F" w14:textId="77777777" w:rsidR="00477660" w:rsidRPr="00C54BE8" w:rsidRDefault="00477660" w:rsidP="007A1BB7">
            <w:pPr>
              <w:widowControl w:val="0"/>
              <w:autoSpaceDE w:val="0"/>
              <w:autoSpaceDN w:val="0"/>
              <w:adjustRightInd w:val="0"/>
              <w:spacing w:after="0" w:line="240" w:lineRule="auto"/>
              <w:jc w:val="center"/>
              <w:rPr>
                <w:rFonts w:ascii="Times New Roman" w:hAnsi="Times New Roman" w:cs="Times New Roman"/>
                <w:sz w:val="16"/>
                <w:szCs w:val="16"/>
                <w:lang w:val="en-US"/>
              </w:rPr>
            </w:pPr>
          </w:p>
        </w:tc>
        <w:tc>
          <w:tcPr>
            <w:tcW w:w="794" w:type="dxa"/>
            <w:tcBorders>
              <w:right w:val="dashed" w:sz="4" w:space="0" w:color="auto"/>
            </w:tcBorders>
            <w:shd w:val="clear" w:color="auto" w:fill="F2F2F2" w:themeFill="background1" w:themeFillShade="F2"/>
          </w:tcPr>
          <w:p w14:paraId="49252A41" w14:textId="7274FE06" w:rsidR="00477660" w:rsidRPr="00C54BE8" w:rsidRDefault="00477660" w:rsidP="00477660">
            <w:pPr>
              <w:widowControl w:val="0"/>
              <w:autoSpaceDE w:val="0"/>
              <w:autoSpaceDN w:val="0"/>
              <w:adjustRightInd w:val="0"/>
              <w:spacing w:after="0" w:line="240" w:lineRule="auto"/>
              <w:jc w:val="right"/>
              <w:rPr>
                <w:rFonts w:ascii="Times New Roman" w:hAnsi="Times New Roman" w:cs="Times New Roman"/>
                <w:sz w:val="16"/>
                <w:szCs w:val="16"/>
                <w:lang w:val="en-US"/>
              </w:rPr>
            </w:pPr>
            <w:r w:rsidRPr="00C54BE8">
              <w:rPr>
                <w:rFonts w:ascii="Times New Roman" w:hAnsi="Times New Roman" w:cs="Times New Roman"/>
                <w:b/>
                <w:sz w:val="16"/>
                <w:szCs w:val="16"/>
                <w:lang w:val="en-US"/>
              </w:rPr>
              <w:t>&lt;0.001</w:t>
            </w:r>
          </w:p>
        </w:tc>
      </w:tr>
      <w:tr w:rsidR="00477660" w:rsidRPr="001C61AA" w14:paraId="073EEBF4" w14:textId="77777777" w:rsidTr="0056300B">
        <w:trPr>
          <w:trHeight w:val="113"/>
          <w:jc w:val="center"/>
        </w:trPr>
        <w:tc>
          <w:tcPr>
            <w:tcW w:w="2469" w:type="dxa"/>
            <w:tcBorders>
              <w:right w:val="dashed" w:sz="4" w:space="0" w:color="auto"/>
            </w:tcBorders>
          </w:tcPr>
          <w:p w14:paraId="640FC382" w14:textId="753C22EA" w:rsidR="00477660" w:rsidRPr="00C54BE8" w:rsidRDefault="00477660" w:rsidP="00AB5094">
            <w:pPr>
              <w:widowControl w:val="0"/>
              <w:autoSpaceDE w:val="0"/>
              <w:autoSpaceDN w:val="0"/>
              <w:adjustRightInd w:val="0"/>
              <w:spacing w:after="0" w:line="240" w:lineRule="auto"/>
              <w:ind w:left="676"/>
              <w:rPr>
                <w:rFonts w:ascii="Times New Roman" w:hAnsi="Times New Roman" w:cs="Times New Roman"/>
                <w:b/>
                <w:sz w:val="16"/>
                <w:szCs w:val="16"/>
                <w:lang w:val="en-US"/>
              </w:rPr>
            </w:pPr>
            <w:r w:rsidRPr="00C54BE8">
              <w:rPr>
                <w:rFonts w:ascii="Times New Roman" w:hAnsi="Times New Roman" w:cs="Times New Roman"/>
                <w:sz w:val="16"/>
                <w:szCs w:val="16"/>
                <w:lang w:val="en-US"/>
              </w:rPr>
              <w:t>no DCI</w:t>
            </w:r>
          </w:p>
        </w:tc>
        <w:tc>
          <w:tcPr>
            <w:tcW w:w="384" w:type="dxa"/>
            <w:tcBorders>
              <w:left w:val="dashed" w:sz="4" w:space="0" w:color="auto"/>
            </w:tcBorders>
          </w:tcPr>
          <w:p w14:paraId="4BCC41F2" w14:textId="34F9AE46" w:rsidR="00477660" w:rsidRPr="00C54BE8" w:rsidRDefault="00477660" w:rsidP="007A1BB7">
            <w:pPr>
              <w:widowControl w:val="0"/>
              <w:autoSpaceDE w:val="0"/>
              <w:autoSpaceDN w:val="0"/>
              <w:adjustRightInd w:val="0"/>
              <w:spacing w:after="0" w:line="240" w:lineRule="auto"/>
              <w:jc w:val="center"/>
              <w:rPr>
                <w:rFonts w:ascii="Times New Roman" w:hAnsi="Times New Roman" w:cs="Times New Roman"/>
                <w:sz w:val="16"/>
                <w:szCs w:val="16"/>
                <w:lang w:val="en-US"/>
              </w:rPr>
            </w:pPr>
            <w:r w:rsidRPr="00C54BE8">
              <w:rPr>
                <w:rFonts w:ascii="Times New Roman" w:hAnsi="Times New Roman" w:cs="Times New Roman"/>
                <w:sz w:val="16"/>
                <w:szCs w:val="16"/>
                <w:lang w:val="en-US"/>
              </w:rPr>
              <w:t>46</w:t>
            </w:r>
          </w:p>
        </w:tc>
        <w:tc>
          <w:tcPr>
            <w:tcW w:w="1758" w:type="dxa"/>
            <w:gridSpan w:val="2"/>
            <w:tcBorders>
              <w:right w:val="dashed" w:sz="4" w:space="0" w:color="auto"/>
            </w:tcBorders>
          </w:tcPr>
          <w:p w14:paraId="13AB7B4C" w14:textId="348A7C05" w:rsidR="00477660" w:rsidRPr="00C54BE8" w:rsidRDefault="00477660" w:rsidP="00AB5094">
            <w:pPr>
              <w:widowControl w:val="0"/>
              <w:autoSpaceDE w:val="0"/>
              <w:autoSpaceDN w:val="0"/>
              <w:adjustRightInd w:val="0"/>
              <w:spacing w:after="0" w:line="240" w:lineRule="auto"/>
              <w:ind w:left="91"/>
              <w:rPr>
                <w:rFonts w:ascii="Times New Roman" w:hAnsi="Times New Roman" w:cs="Times New Roman"/>
                <w:sz w:val="16"/>
                <w:szCs w:val="16"/>
                <w:lang w:val="en-US"/>
              </w:rPr>
            </w:pPr>
            <w:r w:rsidRPr="00C54BE8">
              <w:rPr>
                <w:rFonts w:ascii="Times New Roman" w:hAnsi="Times New Roman" w:cs="Times New Roman"/>
                <w:sz w:val="16"/>
                <w:szCs w:val="16"/>
                <w:lang w:val="en-US"/>
              </w:rPr>
              <w:t>8.8</w:t>
            </w:r>
            <w:r>
              <w:rPr>
                <w:rFonts w:ascii="Times New Roman" w:hAnsi="Times New Roman" w:cs="Times New Roman"/>
                <w:sz w:val="16"/>
                <w:szCs w:val="16"/>
                <w:lang w:val="en-US"/>
              </w:rPr>
              <w:t xml:space="preserve"> </w:t>
            </w:r>
            <w:r w:rsidRPr="00C54BE8">
              <w:rPr>
                <w:rFonts w:ascii="Times New Roman" w:hAnsi="Times New Roman" w:cs="Times New Roman"/>
                <w:sz w:val="16"/>
                <w:szCs w:val="16"/>
                <w:lang w:val="en-US"/>
              </w:rPr>
              <w:t>(6.9-9.5)</w:t>
            </w:r>
          </w:p>
        </w:tc>
        <w:tc>
          <w:tcPr>
            <w:tcW w:w="386" w:type="dxa"/>
            <w:tcBorders>
              <w:left w:val="dashed" w:sz="4" w:space="0" w:color="auto"/>
            </w:tcBorders>
          </w:tcPr>
          <w:p w14:paraId="34A5DB37" w14:textId="5ED9A9FB" w:rsidR="00477660" w:rsidRPr="00C54BE8" w:rsidRDefault="00477660" w:rsidP="007A1BB7">
            <w:pPr>
              <w:widowControl w:val="0"/>
              <w:autoSpaceDE w:val="0"/>
              <w:autoSpaceDN w:val="0"/>
              <w:adjustRightInd w:val="0"/>
              <w:spacing w:after="0" w:line="240" w:lineRule="auto"/>
              <w:jc w:val="center"/>
              <w:rPr>
                <w:rFonts w:ascii="Times New Roman" w:hAnsi="Times New Roman" w:cs="Times New Roman"/>
                <w:sz w:val="16"/>
                <w:szCs w:val="16"/>
                <w:lang w:val="en-US"/>
              </w:rPr>
            </w:pPr>
            <w:r w:rsidRPr="00C54BE8">
              <w:rPr>
                <w:rFonts w:ascii="Times New Roman" w:hAnsi="Times New Roman" w:cs="Times New Roman"/>
                <w:sz w:val="16"/>
                <w:szCs w:val="16"/>
                <w:lang w:val="en-US"/>
              </w:rPr>
              <w:t>47</w:t>
            </w:r>
          </w:p>
        </w:tc>
        <w:tc>
          <w:tcPr>
            <w:tcW w:w="1758" w:type="dxa"/>
            <w:gridSpan w:val="2"/>
            <w:tcBorders>
              <w:right w:val="dashed" w:sz="4" w:space="0" w:color="auto"/>
            </w:tcBorders>
          </w:tcPr>
          <w:p w14:paraId="4135F751" w14:textId="62B8D3E9" w:rsidR="00477660" w:rsidRPr="00C54BE8" w:rsidRDefault="00477660" w:rsidP="00AB5094">
            <w:pPr>
              <w:widowControl w:val="0"/>
              <w:autoSpaceDE w:val="0"/>
              <w:autoSpaceDN w:val="0"/>
              <w:adjustRightInd w:val="0"/>
              <w:spacing w:after="0" w:line="240" w:lineRule="auto"/>
              <w:ind w:left="73"/>
              <w:rPr>
                <w:rFonts w:ascii="Times New Roman" w:hAnsi="Times New Roman" w:cs="Times New Roman"/>
                <w:sz w:val="16"/>
                <w:szCs w:val="16"/>
                <w:lang w:val="en-US"/>
              </w:rPr>
            </w:pPr>
            <w:r w:rsidRPr="00C54BE8">
              <w:rPr>
                <w:rFonts w:ascii="Times New Roman" w:hAnsi="Times New Roman" w:cs="Times New Roman"/>
                <w:sz w:val="16"/>
                <w:szCs w:val="16"/>
                <w:lang w:val="en-US"/>
              </w:rPr>
              <w:t>8.9</w:t>
            </w:r>
            <w:r>
              <w:rPr>
                <w:rFonts w:ascii="Times New Roman" w:hAnsi="Times New Roman" w:cs="Times New Roman"/>
                <w:sz w:val="16"/>
                <w:szCs w:val="16"/>
                <w:lang w:val="en-US"/>
              </w:rPr>
              <w:t xml:space="preserve"> </w:t>
            </w:r>
            <w:r w:rsidRPr="00C54BE8">
              <w:rPr>
                <w:rFonts w:ascii="Times New Roman" w:hAnsi="Times New Roman" w:cs="Times New Roman"/>
                <w:sz w:val="16"/>
                <w:szCs w:val="16"/>
                <w:lang w:val="en-US"/>
              </w:rPr>
              <w:t>(6.9-11.2)</w:t>
            </w:r>
          </w:p>
        </w:tc>
        <w:tc>
          <w:tcPr>
            <w:tcW w:w="397" w:type="dxa"/>
            <w:tcBorders>
              <w:left w:val="dashed" w:sz="4" w:space="0" w:color="auto"/>
            </w:tcBorders>
          </w:tcPr>
          <w:p w14:paraId="4E5DA336" w14:textId="7BCD810F" w:rsidR="00477660" w:rsidRPr="00C54BE8" w:rsidRDefault="00477660" w:rsidP="007A1BB7">
            <w:pPr>
              <w:widowControl w:val="0"/>
              <w:autoSpaceDE w:val="0"/>
              <w:autoSpaceDN w:val="0"/>
              <w:adjustRightInd w:val="0"/>
              <w:spacing w:after="0" w:line="240" w:lineRule="auto"/>
              <w:jc w:val="center"/>
              <w:rPr>
                <w:rFonts w:ascii="Times New Roman" w:hAnsi="Times New Roman" w:cs="Times New Roman"/>
                <w:sz w:val="16"/>
                <w:szCs w:val="16"/>
                <w:lang w:val="en-US"/>
              </w:rPr>
            </w:pPr>
            <w:r w:rsidRPr="00C54BE8">
              <w:rPr>
                <w:rFonts w:ascii="Times New Roman" w:hAnsi="Times New Roman" w:cs="Times New Roman"/>
                <w:sz w:val="16"/>
                <w:szCs w:val="16"/>
                <w:lang w:val="en-US"/>
              </w:rPr>
              <w:t>34</w:t>
            </w:r>
          </w:p>
        </w:tc>
        <w:tc>
          <w:tcPr>
            <w:tcW w:w="1786" w:type="dxa"/>
            <w:gridSpan w:val="2"/>
            <w:tcBorders>
              <w:right w:val="dashed" w:sz="4" w:space="0" w:color="auto"/>
            </w:tcBorders>
          </w:tcPr>
          <w:p w14:paraId="51E632FD" w14:textId="3524924C" w:rsidR="00477660" w:rsidRPr="00C54BE8" w:rsidRDefault="00477660" w:rsidP="00AB5094">
            <w:pPr>
              <w:widowControl w:val="0"/>
              <w:autoSpaceDE w:val="0"/>
              <w:autoSpaceDN w:val="0"/>
              <w:adjustRightInd w:val="0"/>
              <w:spacing w:after="0" w:line="240" w:lineRule="auto"/>
              <w:ind w:left="44"/>
              <w:rPr>
                <w:rFonts w:ascii="Times New Roman" w:hAnsi="Times New Roman" w:cs="Times New Roman"/>
                <w:sz w:val="16"/>
                <w:szCs w:val="16"/>
                <w:lang w:val="en-US"/>
              </w:rPr>
            </w:pPr>
            <w:r w:rsidRPr="00C54BE8">
              <w:rPr>
                <w:rFonts w:ascii="Times New Roman" w:hAnsi="Times New Roman" w:cs="Times New Roman"/>
                <w:sz w:val="16"/>
                <w:szCs w:val="16"/>
                <w:lang w:val="en-US"/>
              </w:rPr>
              <w:t>8.4</w:t>
            </w:r>
            <w:r>
              <w:rPr>
                <w:rFonts w:ascii="Times New Roman" w:hAnsi="Times New Roman" w:cs="Times New Roman"/>
                <w:sz w:val="16"/>
                <w:szCs w:val="16"/>
                <w:lang w:val="en-US"/>
              </w:rPr>
              <w:t xml:space="preserve"> </w:t>
            </w:r>
            <w:r w:rsidRPr="00C54BE8">
              <w:rPr>
                <w:rFonts w:ascii="Times New Roman" w:hAnsi="Times New Roman" w:cs="Times New Roman"/>
                <w:sz w:val="16"/>
                <w:szCs w:val="16"/>
                <w:lang w:val="en-US"/>
              </w:rPr>
              <w:t>(6.8-9.4)</w:t>
            </w:r>
          </w:p>
        </w:tc>
      </w:tr>
      <w:tr w:rsidR="00477660" w:rsidRPr="001C61AA" w14:paraId="7F2184EC" w14:textId="77777777" w:rsidTr="0056300B">
        <w:trPr>
          <w:trHeight w:val="113"/>
          <w:jc w:val="center"/>
        </w:trPr>
        <w:tc>
          <w:tcPr>
            <w:tcW w:w="2469" w:type="dxa"/>
            <w:tcBorders>
              <w:right w:val="dashed" w:sz="4" w:space="0" w:color="auto"/>
            </w:tcBorders>
          </w:tcPr>
          <w:p w14:paraId="0C2BC6D0" w14:textId="30257E6F" w:rsidR="00477660" w:rsidRPr="00C54BE8" w:rsidRDefault="00477660" w:rsidP="00AB5094">
            <w:pPr>
              <w:widowControl w:val="0"/>
              <w:autoSpaceDE w:val="0"/>
              <w:autoSpaceDN w:val="0"/>
              <w:adjustRightInd w:val="0"/>
              <w:spacing w:after="0" w:line="240" w:lineRule="auto"/>
              <w:ind w:left="676"/>
              <w:rPr>
                <w:rFonts w:ascii="Times New Roman" w:hAnsi="Times New Roman" w:cs="Times New Roman"/>
                <w:b/>
                <w:sz w:val="16"/>
                <w:szCs w:val="16"/>
                <w:lang w:val="en-US"/>
              </w:rPr>
            </w:pPr>
            <w:r w:rsidRPr="00C54BE8">
              <w:rPr>
                <w:rFonts w:ascii="Times New Roman" w:hAnsi="Times New Roman" w:cs="Times New Roman"/>
                <w:sz w:val="16"/>
                <w:szCs w:val="16"/>
                <w:lang w:val="en-US"/>
              </w:rPr>
              <w:t>DCI</w:t>
            </w:r>
          </w:p>
        </w:tc>
        <w:tc>
          <w:tcPr>
            <w:tcW w:w="384" w:type="dxa"/>
            <w:tcBorders>
              <w:left w:val="dashed" w:sz="4" w:space="0" w:color="auto"/>
            </w:tcBorders>
          </w:tcPr>
          <w:p w14:paraId="0676D80E" w14:textId="699F83FA" w:rsidR="00477660" w:rsidRPr="00C54BE8" w:rsidRDefault="00477660" w:rsidP="007A1BB7">
            <w:pPr>
              <w:widowControl w:val="0"/>
              <w:autoSpaceDE w:val="0"/>
              <w:autoSpaceDN w:val="0"/>
              <w:adjustRightInd w:val="0"/>
              <w:spacing w:after="0" w:line="240" w:lineRule="auto"/>
              <w:jc w:val="center"/>
              <w:rPr>
                <w:rFonts w:ascii="Times New Roman" w:hAnsi="Times New Roman" w:cs="Times New Roman"/>
                <w:sz w:val="16"/>
                <w:szCs w:val="16"/>
                <w:lang w:val="en-US"/>
              </w:rPr>
            </w:pPr>
            <w:r w:rsidRPr="00C54BE8">
              <w:rPr>
                <w:rFonts w:ascii="Times New Roman" w:hAnsi="Times New Roman" w:cs="Times New Roman"/>
                <w:sz w:val="16"/>
                <w:szCs w:val="16"/>
                <w:lang w:val="en-US"/>
              </w:rPr>
              <w:t>43</w:t>
            </w:r>
          </w:p>
        </w:tc>
        <w:tc>
          <w:tcPr>
            <w:tcW w:w="1758" w:type="dxa"/>
            <w:gridSpan w:val="2"/>
            <w:tcBorders>
              <w:right w:val="dashed" w:sz="4" w:space="0" w:color="auto"/>
            </w:tcBorders>
          </w:tcPr>
          <w:p w14:paraId="184B574C" w14:textId="6559BE00" w:rsidR="00477660" w:rsidRPr="00C54BE8" w:rsidRDefault="00477660" w:rsidP="00AB5094">
            <w:pPr>
              <w:widowControl w:val="0"/>
              <w:autoSpaceDE w:val="0"/>
              <w:autoSpaceDN w:val="0"/>
              <w:adjustRightInd w:val="0"/>
              <w:spacing w:after="0" w:line="240" w:lineRule="auto"/>
              <w:ind w:left="91"/>
              <w:rPr>
                <w:rFonts w:ascii="Times New Roman" w:hAnsi="Times New Roman" w:cs="Times New Roman"/>
                <w:sz w:val="16"/>
                <w:szCs w:val="16"/>
                <w:lang w:val="en-US"/>
              </w:rPr>
            </w:pPr>
            <w:r w:rsidRPr="00C54BE8">
              <w:rPr>
                <w:rFonts w:ascii="Times New Roman" w:hAnsi="Times New Roman" w:cs="Times New Roman"/>
                <w:sz w:val="16"/>
                <w:szCs w:val="16"/>
                <w:lang w:val="en-US"/>
              </w:rPr>
              <w:t>10.5</w:t>
            </w:r>
            <w:r>
              <w:rPr>
                <w:rFonts w:ascii="Times New Roman" w:hAnsi="Times New Roman" w:cs="Times New Roman"/>
                <w:sz w:val="16"/>
                <w:szCs w:val="16"/>
                <w:lang w:val="en-US"/>
              </w:rPr>
              <w:t xml:space="preserve"> </w:t>
            </w:r>
            <w:r w:rsidRPr="00C54BE8">
              <w:rPr>
                <w:rFonts w:ascii="Times New Roman" w:hAnsi="Times New Roman" w:cs="Times New Roman"/>
                <w:sz w:val="16"/>
                <w:szCs w:val="16"/>
                <w:lang w:val="en-US"/>
              </w:rPr>
              <w:t>(8.4-14.0)</w:t>
            </w:r>
          </w:p>
        </w:tc>
        <w:tc>
          <w:tcPr>
            <w:tcW w:w="386" w:type="dxa"/>
            <w:tcBorders>
              <w:left w:val="dashed" w:sz="4" w:space="0" w:color="auto"/>
            </w:tcBorders>
          </w:tcPr>
          <w:p w14:paraId="1D60B9A8" w14:textId="5F5AF712" w:rsidR="00477660" w:rsidRPr="00C54BE8" w:rsidRDefault="00477660" w:rsidP="007A1BB7">
            <w:pPr>
              <w:widowControl w:val="0"/>
              <w:autoSpaceDE w:val="0"/>
              <w:autoSpaceDN w:val="0"/>
              <w:adjustRightInd w:val="0"/>
              <w:spacing w:after="0" w:line="240" w:lineRule="auto"/>
              <w:jc w:val="center"/>
              <w:rPr>
                <w:rFonts w:ascii="Times New Roman" w:hAnsi="Times New Roman" w:cs="Times New Roman"/>
                <w:sz w:val="16"/>
                <w:szCs w:val="16"/>
                <w:lang w:val="en-US"/>
              </w:rPr>
            </w:pPr>
            <w:r w:rsidRPr="00C54BE8">
              <w:rPr>
                <w:rFonts w:ascii="Times New Roman" w:hAnsi="Times New Roman" w:cs="Times New Roman"/>
                <w:sz w:val="16"/>
                <w:szCs w:val="16"/>
                <w:lang w:val="en-US"/>
              </w:rPr>
              <w:t>46</w:t>
            </w:r>
          </w:p>
        </w:tc>
        <w:tc>
          <w:tcPr>
            <w:tcW w:w="1758" w:type="dxa"/>
            <w:gridSpan w:val="2"/>
            <w:tcBorders>
              <w:right w:val="dashed" w:sz="4" w:space="0" w:color="auto"/>
            </w:tcBorders>
          </w:tcPr>
          <w:p w14:paraId="22BF1A9B" w14:textId="2B39015D" w:rsidR="00477660" w:rsidRPr="00C54BE8" w:rsidRDefault="00477660" w:rsidP="00AB5094">
            <w:pPr>
              <w:widowControl w:val="0"/>
              <w:autoSpaceDE w:val="0"/>
              <w:autoSpaceDN w:val="0"/>
              <w:adjustRightInd w:val="0"/>
              <w:spacing w:after="0" w:line="240" w:lineRule="auto"/>
              <w:ind w:left="73"/>
              <w:rPr>
                <w:rFonts w:ascii="Times New Roman" w:hAnsi="Times New Roman" w:cs="Times New Roman"/>
                <w:sz w:val="16"/>
                <w:szCs w:val="16"/>
                <w:lang w:val="en-US"/>
              </w:rPr>
            </w:pPr>
            <w:r w:rsidRPr="00C54BE8">
              <w:rPr>
                <w:rFonts w:ascii="Times New Roman" w:hAnsi="Times New Roman" w:cs="Times New Roman"/>
                <w:sz w:val="16"/>
                <w:szCs w:val="16"/>
                <w:lang w:val="en-US"/>
              </w:rPr>
              <w:t>12.7</w:t>
            </w:r>
            <w:r>
              <w:rPr>
                <w:rFonts w:ascii="Times New Roman" w:hAnsi="Times New Roman" w:cs="Times New Roman"/>
                <w:sz w:val="16"/>
                <w:szCs w:val="16"/>
                <w:lang w:val="en-US"/>
              </w:rPr>
              <w:t xml:space="preserve"> </w:t>
            </w:r>
            <w:r w:rsidRPr="00C54BE8">
              <w:rPr>
                <w:rFonts w:ascii="Times New Roman" w:hAnsi="Times New Roman" w:cs="Times New Roman"/>
                <w:sz w:val="16"/>
                <w:szCs w:val="16"/>
                <w:lang w:val="en-US"/>
              </w:rPr>
              <w:t>(9.1-18.3)</w:t>
            </w:r>
          </w:p>
        </w:tc>
        <w:tc>
          <w:tcPr>
            <w:tcW w:w="397" w:type="dxa"/>
            <w:tcBorders>
              <w:left w:val="dashed" w:sz="4" w:space="0" w:color="auto"/>
            </w:tcBorders>
          </w:tcPr>
          <w:p w14:paraId="186C651B" w14:textId="15DD28A5" w:rsidR="00477660" w:rsidRPr="00C54BE8" w:rsidRDefault="00477660" w:rsidP="007A1BB7">
            <w:pPr>
              <w:widowControl w:val="0"/>
              <w:autoSpaceDE w:val="0"/>
              <w:autoSpaceDN w:val="0"/>
              <w:adjustRightInd w:val="0"/>
              <w:spacing w:after="0" w:line="240" w:lineRule="auto"/>
              <w:jc w:val="center"/>
              <w:rPr>
                <w:rFonts w:ascii="Times New Roman" w:hAnsi="Times New Roman" w:cs="Times New Roman"/>
                <w:sz w:val="16"/>
                <w:szCs w:val="16"/>
                <w:lang w:val="en-US"/>
              </w:rPr>
            </w:pPr>
            <w:r w:rsidRPr="00C54BE8">
              <w:rPr>
                <w:rFonts w:ascii="Times New Roman" w:hAnsi="Times New Roman" w:cs="Times New Roman"/>
                <w:sz w:val="16"/>
                <w:szCs w:val="16"/>
                <w:lang w:val="en-US"/>
              </w:rPr>
              <w:t>32</w:t>
            </w:r>
          </w:p>
        </w:tc>
        <w:tc>
          <w:tcPr>
            <w:tcW w:w="1786" w:type="dxa"/>
            <w:gridSpan w:val="2"/>
            <w:tcBorders>
              <w:right w:val="dashed" w:sz="4" w:space="0" w:color="auto"/>
            </w:tcBorders>
          </w:tcPr>
          <w:p w14:paraId="116F8A83" w14:textId="32E76C8C" w:rsidR="00477660" w:rsidRPr="00C54BE8" w:rsidRDefault="00477660" w:rsidP="00AB5094">
            <w:pPr>
              <w:widowControl w:val="0"/>
              <w:autoSpaceDE w:val="0"/>
              <w:autoSpaceDN w:val="0"/>
              <w:adjustRightInd w:val="0"/>
              <w:spacing w:after="0" w:line="240" w:lineRule="auto"/>
              <w:ind w:left="44"/>
              <w:rPr>
                <w:rFonts w:ascii="Times New Roman" w:hAnsi="Times New Roman" w:cs="Times New Roman"/>
                <w:sz w:val="16"/>
                <w:szCs w:val="16"/>
                <w:lang w:val="en-US"/>
              </w:rPr>
            </w:pPr>
            <w:r w:rsidRPr="00C54BE8">
              <w:rPr>
                <w:rFonts w:ascii="Times New Roman" w:hAnsi="Times New Roman" w:cs="Times New Roman"/>
                <w:sz w:val="16"/>
                <w:szCs w:val="16"/>
                <w:lang w:val="en-US"/>
              </w:rPr>
              <w:t>12.2</w:t>
            </w:r>
            <w:r>
              <w:rPr>
                <w:rFonts w:ascii="Times New Roman" w:hAnsi="Times New Roman" w:cs="Times New Roman"/>
                <w:sz w:val="16"/>
                <w:szCs w:val="16"/>
                <w:lang w:val="en-US"/>
              </w:rPr>
              <w:t xml:space="preserve"> </w:t>
            </w:r>
            <w:r w:rsidRPr="00C54BE8">
              <w:rPr>
                <w:rFonts w:ascii="Times New Roman" w:hAnsi="Times New Roman" w:cs="Times New Roman"/>
                <w:sz w:val="16"/>
                <w:szCs w:val="16"/>
                <w:lang w:val="en-US"/>
              </w:rPr>
              <w:t>(9.3-15.9)</w:t>
            </w:r>
          </w:p>
        </w:tc>
      </w:tr>
      <w:tr w:rsidR="00477660" w:rsidRPr="001C61AA" w14:paraId="2940051D" w14:textId="77777777" w:rsidTr="0056300B">
        <w:trPr>
          <w:trHeight w:val="113"/>
          <w:jc w:val="center"/>
        </w:trPr>
        <w:tc>
          <w:tcPr>
            <w:tcW w:w="2469" w:type="dxa"/>
            <w:tcBorders>
              <w:right w:val="dashed" w:sz="4" w:space="0" w:color="auto"/>
            </w:tcBorders>
            <w:shd w:val="clear" w:color="auto" w:fill="F2F2F2" w:themeFill="background1" w:themeFillShade="F2"/>
          </w:tcPr>
          <w:p w14:paraId="0EB3F5AF" w14:textId="77777777" w:rsidR="00477660" w:rsidRPr="00C54BE8" w:rsidRDefault="00477660" w:rsidP="007A1BB7">
            <w:pPr>
              <w:widowControl w:val="0"/>
              <w:autoSpaceDE w:val="0"/>
              <w:autoSpaceDN w:val="0"/>
              <w:adjustRightInd w:val="0"/>
              <w:spacing w:after="0" w:line="240" w:lineRule="auto"/>
              <w:rPr>
                <w:rFonts w:ascii="Times New Roman" w:hAnsi="Times New Roman" w:cs="Times New Roman"/>
                <w:b/>
                <w:sz w:val="16"/>
                <w:szCs w:val="16"/>
                <w:lang w:val="en-US"/>
              </w:rPr>
            </w:pPr>
            <w:r w:rsidRPr="00C54BE8">
              <w:rPr>
                <w:rFonts w:ascii="Times New Roman" w:hAnsi="Times New Roman" w:cs="Times New Roman"/>
                <w:b/>
                <w:sz w:val="16"/>
                <w:szCs w:val="16"/>
                <w:lang w:val="en-US"/>
              </w:rPr>
              <w:t>DCI-rel. infarction</w:t>
            </w:r>
          </w:p>
        </w:tc>
        <w:tc>
          <w:tcPr>
            <w:tcW w:w="384" w:type="dxa"/>
            <w:tcBorders>
              <w:left w:val="dashed" w:sz="4" w:space="0" w:color="auto"/>
            </w:tcBorders>
            <w:shd w:val="clear" w:color="auto" w:fill="F2F2F2" w:themeFill="background1" w:themeFillShade="F2"/>
          </w:tcPr>
          <w:p w14:paraId="28E506A1" w14:textId="77777777" w:rsidR="00477660" w:rsidRPr="00C54BE8" w:rsidRDefault="00477660" w:rsidP="007A1BB7">
            <w:pPr>
              <w:widowControl w:val="0"/>
              <w:autoSpaceDE w:val="0"/>
              <w:autoSpaceDN w:val="0"/>
              <w:adjustRightInd w:val="0"/>
              <w:spacing w:after="0" w:line="240" w:lineRule="auto"/>
              <w:jc w:val="center"/>
              <w:rPr>
                <w:rFonts w:ascii="Times New Roman" w:hAnsi="Times New Roman" w:cs="Times New Roman"/>
                <w:sz w:val="16"/>
                <w:szCs w:val="16"/>
                <w:lang w:val="en-US"/>
              </w:rPr>
            </w:pPr>
          </w:p>
        </w:tc>
        <w:tc>
          <w:tcPr>
            <w:tcW w:w="964" w:type="dxa"/>
            <w:shd w:val="clear" w:color="auto" w:fill="F2F2F2" w:themeFill="background1" w:themeFillShade="F2"/>
          </w:tcPr>
          <w:p w14:paraId="753C0FF9" w14:textId="77777777" w:rsidR="00477660" w:rsidRPr="00C54BE8" w:rsidRDefault="00477660" w:rsidP="007A1BB7">
            <w:pPr>
              <w:widowControl w:val="0"/>
              <w:autoSpaceDE w:val="0"/>
              <w:autoSpaceDN w:val="0"/>
              <w:adjustRightInd w:val="0"/>
              <w:spacing w:after="0" w:line="240" w:lineRule="auto"/>
              <w:jc w:val="center"/>
              <w:rPr>
                <w:rFonts w:ascii="Times New Roman" w:hAnsi="Times New Roman" w:cs="Times New Roman"/>
                <w:sz w:val="16"/>
                <w:szCs w:val="16"/>
                <w:lang w:val="en-US"/>
              </w:rPr>
            </w:pPr>
          </w:p>
        </w:tc>
        <w:tc>
          <w:tcPr>
            <w:tcW w:w="794" w:type="dxa"/>
            <w:tcBorders>
              <w:right w:val="dashed" w:sz="4" w:space="0" w:color="auto"/>
            </w:tcBorders>
            <w:shd w:val="clear" w:color="auto" w:fill="F2F2F2" w:themeFill="background1" w:themeFillShade="F2"/>
          </w:tcPr>
          <w:p w14:paraId="1C3DBA39" w14:textId="619E6B0E" w:rsidR="00477660" w:rsidRPr="00C54BE8" w:rsidRDefault="00450603" w:rsidP="00450603">
            <w:pPr>
              <w:widowControl w:val="0"/>
              <w:autoSpaceDE w:val="0"/>
              <w:autoSpaceDN w:val="0"/>
              <w:adjustRightInd w:val="0"/>
              <w:spacing w:after="0" w:line="240" w:lineRule="auto"/>
              <w:jc w:val="right"/>
              <w:rPr>
                <w:rFonts w:ascii="Times New Roman" w:hAnsi="Times New Roman" w:cs="Times New Roman"/>
                <w:sz w:val="16"/>
                <w:szCs w:val="16"/>
                <w:lang w:val="en-US"/>
              </w:rPr>
            </w:pPr>
            <w:r w:rsidRPr="00C54BE8">
              <w:rPr>
                <w:rFonts w:ascii="Times New Roman" w:hAnsi="Times New Roman" w:cs="Times New Roman"/>
                <w:b/>
                <w:sz w:val="16"/>
                <w:szCs w:val="16"/>
                <w:lang w:val="en-US"/>
              </w:rPr>
              <w:t>0.007</w:t>
            </w:r>
          </w:p>
        </w:tc>
        <w:tc>
          <w:tcPr>
            <w:tcW w:w="386" w:type="dxa"/>
            <w:tcBorders>
              <w:left w:val="dashed" w:sz="4" w:space="0" w:color="auto"/>
            </w:tcBorders>
            <w:shd w:val="clear" w:color="auto" w:fill="F2F2F2" w:themeFill="background1" w:themeFillShade="F2"/>
          </w:tcPr>
          <w:p w14:paraId="071DCC71" w14:textId="77777777" w:rsidR="00477660" w:rsidRPr="00C54BE8" w:rsidRDefault="00477660" w:rsidP="007A1BB7">
            <w:pPr>
              <w:widowControl w:val="0"/>
              <w:autoSpaceDE w:val="0"/>
              <w:autoSpaceDN w:val="0"/>
              <w:adjustRightInd w:val="0"/>
              <w:spacing w:after="0" w:line="240" w:lineRule="auto"/>
              <w:jc w:val="center"/>
              <w:rPr>
                <w:rFonts w:ascii="Times New Roman" w:hAnsi="Times New Roman" w:cs="Times New Roman"/>
                <w:sz w:val="16"/>
                <w:szCs w:val="16"/>
                <w:lang w:val="en-US"/>
              </w:rPr>
            </w:pPr>
          </w:p>
        </w:tc>
        <w:tc>
          <w:tcPr>
            <w:tcW w:w="964" w:type="dxa"/>
            <w:shd w:val="clear" w:color="auto" w:fill="F2F2F2" w:themeFill="background1" w:themeFillShade="F2"/>
          </w:tcPr>
          <w:p w14:paraId="1D38B337" w14:textId="77777777" w:rsidR="00477660" w:rsidRPr="00C54BE8" w:rsidRDefault="00477660" w:rsidP="007A1BB7">
            <w:pPr>
              <w:widowControl w:val="0"/>
              <w:autoSpaceDE w:val="0"/>
              <w:autoSpaceDN w:val="0"/>
              <w:adjustRightInd w:val="0"/>
              <w:spacing w:after="0" w:line="240" w:lineRule="auto"/>
              <w:jc w:val="center"/>
              <w:rPr>
                <w:rFonts w:ascii="Times New Roman" w:hAnsi="Times New Roman" w:cs="Times New Roman"/>
                <w:sz w:val="16"/>
                <w:szCs w:val="16"/>
                <w:lang w:val="en-US"/>
              </w:rPr>
            </w:pPr>
          </w:p>
        </w:tc>
        <w:tc>
          <w:tcPr>
            <w:tcW w:w="794" w:type="dxa"/>
            <w:tcBorders>
              <w:right w:val="dashed" w:sz="4" w:space="0" w:color="auto"/>
            </w:tcBorders>
            <w:shd w:val="clear" w:color="auto" w:fill="F2F2F2" w:themeFill="background1" w:themeFillShade="F2"/>
          </w:tcPr>
          <w:p w14:paraId="2340063F" w14:textId="2872CD39" w:rsidR="00477660" w:rsidRPr="00C54BE8" w:rsidRDefault="00450603" w:rsidP="00450603">
            <w:pPr>
              <w:widowControl w:val="0"/>
              <w:autoSpaceDE w:val="0"/>
              <w:autoSpaceDN w:val="0"/>
              <w:adjustRightInd w:val="0"/>
              <w:spacing w:after="0" w:line="240" w:lineRule="auto"/>
              <w:jc w:val="right"/>
              <w:rPr>
                <w:rFonts w:ascii="Times New Roman" w:hAnsi="Times New Roman" w:cs="Times New Roman"/>
                <w:sz w:val="16"/>
                <w:szCs w:val="16"/>
                <w:lang w:val="en-US"/>
              </w:rPr>
            </w:pPr>
            <w:r w:rsidRPr="00C54BE8">
              <w:rPr>
                <w:rFonts w:ascii="Times New Roman" w:hAnsi="Times New Roman" w:cs="Times New Roman"/>
                <w:b/>
                <w:sz w:val="16"/>
                <w:szCs w:val="16"/>
                <w:lang w:val="en-US"/>
              </w:rPr>
              <w:t>0.002</w:t>
            </w:r>
          </w:p>
        </w:tc>
        <w:tc>
          <w:tcPr>
            <w:tcW w:w="397" w:type="dxa"/>
            <w:tcBorders>
              <w:left w:val="dashed" w:sz="4" w:space="0" w:color="auto"/>
            </w:tcBorders>
            <w:shd w:val="clear" w:color="auto" w:fill="F2F2F2" w:themeFill="background1" w:themeFillShade="F2"/>
          </w:tcPr>
          <w:p w14:paraId="6A3C5A61" w14:textId="77777777" w:rsidR="00477660" w:rsidRPr="00C54BE8" w:rsidRDefault="00477660" w:rsidP="007A1BB7">
            <w:pPr>
              <w:widowControl w:val="0"/>
              <w:autoSpaceDE w:val="0"/>
              <w:autoSpaceDN w:val="0"/>
              <w:adjustRightInd w:val="0"/>
              <w:spacing w:after="0" w:line="240" w:lineRule="auto"/>
              <w:jc w:val="center"/>
              <w:rPr>
                <w:rFonts w:ascii="Times New Roman" w:hAnsi="Times New Roman" w:cs="Times New Roman"/>
                <w:sz w:val="16"/>
                <w:szCs w:val="16"/>
                <w:lang w:val="en-US"/>
              </w:rPr>
            </w:pPr>
          </w:p>
        </w:tc>
        <w:tc>
          <w:tcPr>
            <w:tcW w:w="992" w:type="dxa"/>
            <w:shd w:val="clear" w:color="auto" w:fill="F2F2F2" w:themeFill="background1" w:themeFillShade="F2"/>
          </w:tcPr>
          <w:p w14:paraId="28641D9F" w14:textId="77777777" w:rsidR="00477660" w:rsidRPr="00C54BE8" w:rsidRDefault="00477660" w:rsidP="007A1BB7">
            <w:pPr>
              <w:widowControl w:val="0"/>
              <w:autoSpaceDE w:val="0"/>
              <w:autoSpaceDN w:val="0"/>
              <w:adjustRightInd w:val="0"/>
              <w:spacing w:after="0" w:line="240" w:lineRule="auto"/>
              <w:jc w:val="center"/>
              <w:rPr>
                <w:rFonts w:ascii="Times New Roman" w:hAnsi="Times New Roman" w:cs="Times New Roman"/>
                <w:sz w:val="16"/>
                <w:szCs w:val="16"/>
                <w:lang w:val="en-US"/>
              </w:rPr>
            </w:pPr>
          </w:p>
        </w:tc>
        <w:tc>
          <w:tcPr>
            <w:tcW w:w="794" w:type="dxa"/>
            <w:tcBorders>
              <w:right w:val="dashed" w:sz="4" w:space="0" w:color="auto"/>
            </w:tcBorders>
            <w:shd w:val="clear" w:color="auto" w:fill="F2F2F2" w:themeFill="background1" w:themeFillShade="F2"/>
          </w:tcPr>
          <w:p w14:paraId="23D12332" w14:textId="24DFE3FE" w:rsidR="00477660" w:rsidRPr="00C54BE8" w:rsidRDefault="00450603" w:rsidP="00450603">
            <w:pPr>
              <w:widowControl w:val="0"/>
              <w:autoSpaceDE w:val="0"/>
              <w:autoSpaceDN w:val="0"/>
              <w:adjustRightInd w:val="0"/>
              <w:spacing w:after="0" w:line="240" w:lineRule="auto"/>
              <w:jc w:val="right"/>
              <w:rPr>
                <w:rFonts w:ascii="Times New Roman" w:hAnsi="Times New Roman" w:cs="Times New Roman"/>
                <w:sz w:val="16"/>
                <w:szCs w:val="16"/>
                <w:lang w:val="en-US"/>
              </w:rPr>
            </w:pPr>
            <w:r w:rsidRPr="00C54BE8">
              <w:rPr>
                <w:rFonts w:ascii="Times New Roman" w:hAnsi="Times New Roman" w:cs="Times New Roman"/>
                <w:b/>
                <w:sz w:val="16"/>
                <w:szCs w:val="16"/>
                <w:lang w:val="en-US"/>
              </w:rPr>
              <w:t>0.006</w:t>
            </w:r>
          </w:p>
        </w:tc>
      </w:tr>
      <w:tr w:rsidR="00450603" w:rsidRPr="001C61AA" w14:paraId="52402952" w14:textId="77777777" w:rsidTr="0056300B">
        <w:trPr>
          <w:trHeight w:val="113"/>
          <w:jc w:val="center"/>
        </w:trPr>
        <w:tc>
          <w:tcPr>
            <w:tcW w:w="2469" w:type="dxa"/>
            <w:tcBorders>
              <w:right w:val="dashed" w:sz="4" w:space="0" w:color="auto"/>
            </w:tcBorders>
          </w:tcPr>
          <w:p w14:paraId="5DB964A1" w14:textId="3B742C81" w:rsidR="00450603" w:rsidRPr="00C54BE8" w:rsidRDefault="00450603" w:rsidP="00AB5094">
            <w:pPr>
              <w:widowControl w:val="0"/>
              <w:autoSpaceDE w:val="0"/>
              <w:autoSpaceDN w:val="0"/>
              <w:adjustRightInd w:val="0"/>
              <w:spacing w:after="0" w:line="240" w:lineRule="auto"/>
              <w:ind w:left="676"/>
              <w:rPr>
                <w:rFonts w:ascii="Times New Roman" w:hAnsi="Times New Roman" w:cs="Times New Roman"/>
                <w:b/>
                <w:sz w:val="16"/>
                <w:szCs w:val="16"/>
                <w:lang w:val="en-US"/>
              </w:rPr>
            </w:pPr>
            <w:r w:rsidRPr="00C54BE8">
              <w:rPr>
                <w:rFonts w:ascii="Times New Roman" w:hAnsi="Times New Roman" w:cs="Times New Roman"/>
                <w:sz w:val="16"/>
                <w:szCs w:val="16"/>
                <w:lang w:val="en-US"/>
              </w:rPr>
              <w:t>DCI only</w:t>
            </w:r>
          </w:p>
        </w:tc>
        <w:tc>
          <w:tcPr>
            <w:tcW w:w="384" w:type="dxa"/>
            <w:tcBorders>
              <w:left w:val="dashed" w:sz="4" w:space="0" w:color="auto"/>
            </w:tcBorders>
          </w:tcPr>
          <w:p w14:paraId="2C564E8E" w14:textId="70FF48AE" w:rsidR="00450603" w:rsidRPr="00C54BE8" w:rsidRDefault="00450603" w:rsidP="007A1BB7">
            <w:pPr>
              <w:widowControl w:val="0"/>
              <w:autoSpaceDE w:val="0"/>
              <w:autoSpaceDN w:val="0"/>
              <w:adjustRightInd w:val="0"/>
              <w:spacing w:after="0" w:line="240" w:lineRule="auto"/>
              <w:jc w:val="center"/>
              <w:rPr>
                <w:rFonts w:ascii="Times New Roman" w:hAnsi="Times New Roman" w:cs="Times New Roman"/>
                <w:sz w:val="16"/>
                <w:szCs w:val="16"/>
                <w:lang w:val="en-US"/>
              </w:rPr>
            </w:pPr>
            <w:r w:rsidRPr="00C54BE8">
              <w:rPr>
                <w:rFonts w:ascii="Times New Roman" w:hAnsi="Times New Roman" w:cs="Times New Roman"/>
                <w:sz w:val="16"/>
                <w:szCs w:val="16"/>
                <w:lang w:val="en-US"/>
              </w:rPr>
              <w:t>35</w:t>
            </w:r>
          </w:p>
        </w:tc>
        <w:tc>
          <w:tcPr>
            <w:tcW w:w="1758" w:type="dxa"/>
            <w:gridSpan w:val="2"/>
            <w:tcBorders>
              <w:right w:val="dashed" w:sz="4" w:space="0" w:color="auto"/>
            </w:tcBorders>
          </w:tcPr>
          <w:p w14:paraId="3CEB4E80" w14:textId="64F29D89" w:rsidR="00450603" w:rsidRPr="00C54BE8" w:rsidRDefault="00450603" w:rsidP="00AB5094">
            <w:pPr>
              <w:widowControl w:val="0"/>
              <w:autoSpaceDE w:val="0"/>
              <w:autoSpaceDN w:val="0"/>
              <w:adjustRightInd w:val="0"/>
              <w:spacing w:after="0" w:line="240" w:lineRule="auto"/>
              <w:ind w:left="91"/>
              <w:rPr>
                <w:rFonts w:ascii="Times New Roman" w:hAnsi="Times New Roman" w:cs="Times New Roman"/>
                <w:sz w:val="16"/>
                <w:szCs w:val="16"/>
                <w:lang w:val="en-US"/>
              </w:rPr>
            </w:pPr>
            <w:r w:rsidRPr="00C54BE8">
              <w:rPr>
                <w:rFonts w:ascii="Times New Roman" w:hAnsi="Times New Roman" w:cs="Times New Roman"/>
                <w:sz w:val="16"/>
                <w:szCs w:val="16"/>
                <w:lang w:val="en-US"/>
              </w:rPr>
              <w:t>10.3</w:t>
            </w:r>
            <w:r>
              <w:rPr>
                <w:rFonts w:ascii="Times New Roman" w:hAnsi="Times New Roman" w:cs="Times New Roman"/>
                <w:sz w:val="16"/>
                <w:szCs w:val="16"/>
                <w:lang w:val="en-US"/>
              </w:rPr>
              <w:t xml:space="preserve"> </w:t>
            </w:r>
            <w:r w:rsidRPr="00C54BE8">
              <w:rPr>
                <w:rFonts w:ascii="Times New Roman" w:hAnsi="Times New Roman" w:cs="Times New Roman"/>
                <w:sz w:val="16"/>
                <w:szCs w:val="16"/>
                <w:lang w:val="en-US"/>
              </w:rPr>
              <w:t>(8.0-13.7)</w:t>
            </w:r>
          </w:p>
        </w:tc>
        <w:tc>
          <w:tcPr>
            <w:tcW w:w="386" w:type="dxa"/>
            <w:tcBorders>
              <w:left w:val="dashed" w:sz="4" w:space="0" w:color="auto"/>
            </w:tcBorders>
          </w:tcPr>
          <w:p w14:paraId="2A2F53DA" w14:textId="6CDAB57F" w:rsidR="00450603" w:rsidRPr="00C54BE8" w:rsidRDefault="00450603" w:rsidP="007A1BB7">
            <w:pPr>
              <w:widowControl w:val="0"/>
              <w:autoSpaceDE w:val="0"/>
              <w:autoSpaceDN w:val="0"/>
              <w:adjustRightInd w:val="0"/>
              <w:spacing w:after="0" w:line="240" w:lineRule="auto"/>
              <w:jc w:val="center"/>
              <w:rPr>
                <w:rFonts w:ascii="Times New Roman" w:hAnsi="Times New Roman" w:cs="Times New Roman"/>
                <w:sz w:val="16"/>
                <w:szCs w:val="16"/>
                <w:lang w:val="en-US"/>
              </w:rPr>
            </w:pPr>
            <w:r w:rsidRPr="00C54BE8">
              <w:rPr>
                <w:rFonts w:ascii="Times New Roman" w:hAnsi="Times New Roman" w:cs="Times New Roman"/>
                <w:sz w:val="16"/>
                <w:szCs w:val="16"/>
                <w:lang w:val="en-US"/>
              </w:rPr>
              <w:t>37</w:t>
            </w:r>
          </w:p>
        </w:tc>
        <w:tc>
          <w:tcPr>
            <w:tcW w:w="1758" w:type="dxa"/>
            <w:gridSpan w:val="2"/>
            <w:tcBorders>
              <w:right w:val="dashed" w:sz="4" w:space="0" w:color="auto"/>
            </w:tcBorders>
          </w:tcPr>
          <w:p w14:paraId="3512F17E" w14:textId="504B35A6" w:rsidR="00450603" w:rsidRPr="00C54BE8" w:rsidRDefault="00450603" w:rsidP="00AB5094">
            <w:pPr>
              <w:widowControl w:val="0"/>
              <w:autoSpaceDE w:val="0"/>
              <w:autoSpaceDN w:val="0"/>
              <w:adjustRightInd w:val="0"/>
              <w:spacing w:after="0" w:line="240" w:lineRule="auto"/>
              <w:ind w:left="73"/>
              <w:rPr>
                <w:rFonts w:ascii="Times New Roman" w:hAnsi="Times New Roman" w:cs="Times New Roman"/>
                <w:sz w:val="16"/>
                <w:szCs w:val="16"/>
                <w:lang w:val="en-US"/>
              </w:rPr>
            </w:pPr>
            <w:r w:rsidRPr="00C54BE8">
              <w:rPr>
                <w:rFonts w:ascii="Times New Roman" w:hAnsi="Times New Roman" w:cs="Times New Roman"/>
                <w:sz w:val="16"/>
                <w:szCs w:val="16"/>
                <w:lang w:val="en-US"/>
              </w:rPr>
              <w:t>11.5</w:t>
            </w:r>
            <w:r>
              <w:rPr>
                <w:rFonts w:ascii="Times New Roman" w:hAnsi="Times New Roman" w:cs="Times New Roman"/>
                <w:sz w:val="16"/>
                <w:szCs w:val="16"/>
                <w:lang w:val="en-US"/>
              </w:rPr>
              <w:t xml:space="preserve"> </w:t>
            </w:r>
            <w:r w:rsidRPr="00C54BE8">
              <w:rPr>
                <w:rFonts w:ascii="Times New Roman" w:hAnsi="Times New Roman" w:cs="Times New Roman"/>
                <w:sz w:val="16"/>
                <w:szCs w:val="16"/>
                <w:lang w:val="en-US"/>
              </w:rPr>
              <w:t>(8.7-16.5)</w:t>
            </w:r>
          </w:p>
        </w:tc>
        <w:tc>
          <w:tcPr>
            <w:tcW w:w="397" w:type="dxa"/>
            <w:tcBorders>
              <w:left w:val="dashed" w:sz="4" w:space="0" w:color="auto"/>
            </w:tcBorders>
          </w:tcPr>
          <w:p w14:paraId="32C72EFD" w14:textId="4D5F57E7" w:rsidR="00450603" w:rsidRPr="00C54BE8" w:rsidRDefault="00450603" w:rsidP="007A1BB7">
            <w:pPr>
              <w:widowControl w:val="0"/>
              <w:autoSpaceDE w:val="0"/>
              <w:autoSpaceDN w:val="0"/>
              <w:adjustRightInd w:val="0"/>
              <w:spacing w:after="0" w:line="240" w:lineRule="auto"/>
              <w:jc w:val="center"/>
              <w:rPr>
                <w:rFonts w:ascii="Times New Roman" w:hAnsi="Times New Roman" w:cs="Times New Roman"/>
                <w:sz w:val="16"/>
                <w:szCs w:val="16"/>
                <w:lang w:val="en-US"/>
              </w:rPr>
            </w:pPr>
            <w:r w:rsidRPr="00C54BE8">
              <w:rPr>
                <w:rFonts w:ascii="Times New Roman" w:hAnsi="Times New Roman" w:cs="Times New Roman"/>
                <w:sz w:val="16"/>
                <w:szCs w:val="16"/>
                <w:lang w:val="en-US"/>
              </w:rPr>
              <w:t>28</w:t>
            </w:r>
          </w:p>
        </w:tc>
        <w:tc>
          <w:tcPr>
            <w:tcW w:w="1786" w:type="dxa"/>
            <w:gridSpan w:val="2"/>
            <w:tcBorders>
              <w:right w:val="dashed" w:sz="4" w:space="0" w:color="auto"/>
            </w:tcBorders>
          </w:tcPr>
          <w:p w14:paraId="40FA0289" w14:textId="30170DE0" w:rsidR="00450603" w:rsidRPr="00C54BE8" w:rsidRDefault="00450603" w:rsidP="00AB5094">
            <w:pPr>
              <w:widowControl w:val="0"/>
              <w:autoSpaceDE w:val="0"/>
              <w:autoSpaceDN w:val="0"/>
              <w:adjustRightInd w:val="0"/>
              <w:spacing w:after="0" w:line="240" w:lineRule="auto"/>
              <w:ind w:left="44"/>
              <w:rPr>
                <w:rFonts w:ascii="Times New Roman" w:hAnsi="Times New Roman" w:cs="Times New Roman"/>
                <w:sz w:val="16"/>
                <w:szCs w:val="16"/>
                <w:lang w:val="en-US"/>
              </w:rPr>
            </w:pPr>
            <w:r w:rsidRPr="00C54BE8">
              <w:rPr>
                <w:rFonts w:ascii="Times New Roman" w:hAnsi="Times New Roman" w:cs="Times New Roman"/>
                <w:sz w:val="16"/>
                <w:szCs w:val="16"/>
                <w:lang w:val="en-US"/>
              </w:rPr>
              <w:t>11.6</w:t>
            </w:r>
            <w:r>
              <w:rPr>
                <w:rFonts w:ascii="Times New Roman" w:hAnsi="Times New Roman" w:cs="Times New Roman"/>
                <w:sz w:val="16"/>
                <w:szCs w:val="16"/>
                <w:lang w:val="en-US"/>
              </w:rPr>
              <w:t xml:space="preserve"> </w:t>
            </w:r>
            <w:r w:rsidRPr="00C54BE8">
              <w:rPr>
                <w:rFonts w:ascii="Times New Roman" w:hAnsi="Times New Roman" w:cs="Times New Roman"/>
                <w:sz w:val="16"/>
                <w:szCs w:val="16"/>
                <w:lang w:val="en-US"/>
              </w:rPr>
              <w:t>(8.8-14.9)</w:t>
            </w:r>
          </w:p>
        </w:tc>
      </w:tr>
      <w:tr w:rsidR="00450603" w:rsidRPr="001C61AA" w14:paraId="7D79EC27" w14:textId="77777777" w:rsidTr="0056300B">
        <w:trPr>
          <w:trHeight w:val="113"/>
          <w:jc w:val="center"/>
        </w:trPr>
        <w:tc>
          <w:tcPr>
            <w:tcW w:w="2469" w:type="dxa"/>
            <w:tcBorders>
              <w:right w:val="dashed" w:sz="4" w:space="0" w:color="auto"/>
            </w:tcBorders>
          </w:tcPr>
          <w:p w14:paraId="1D47FDC3" w14:textId="76B618F8" w:rsidR="00450603" w:rsidRPr="00C54BE8" w:rsidRDefault="00450603" w:rsidP="00AB5094">
            <w:pPr>
              <w:widowControl w:val="0"/>
              <w:autoSpaceDE w:val="0"/>
              <w:autoSpaceDN w:val="0"/>
              <w:adjustRightInd w:val="0"/>
              <w:spacing w:after="0" w:line="240" w:lineRule="auto"/>
              <w:ind w:left="676"/>
              <w:rPr>
                <w:rFonts w:ascii="Times New Roman" w:hAnsi="Times New Roman" w:cs="Times New Roman"/>
                <w:b/>
                <w:sz w:val="16"/>
                <w:szCs w:val="16"/>
                <w:lang w:val="en-US"/>
              </w:rPr>
            </w:pPr>
            <w:r w:rsidRPr="00C54BE8">
              <w:rPr>
                <w:rFonts w:ascii="Times New Roman" w:hAnsi="Times New Roman" w:cs="Times New Roman"/>
                <w:sz w:val="16"/>
                <w:szCs w:val="16"/>
                <w:lang w:val="en-US"/>
              </w:rPr>
              <w:t>DCI-rel. infarction</w:t>
            </w:r>
          </w:p>
        </w:tc>
        <w:tc>
          <w:tcPr>
            <w:tcW w:w="384" w:type="dxa"/>
            <w:tcBorders>
              <w:left w:val="dashed" w:sz="4" w:space="0" w:color="auto"/>
            </w:tcBorders>
          </w:tcPr>
          <w:p w14:paraId="6DDEEE0A" w14:textId="0C9424F0" w:rsidR="00450603" w:rsidRPr="00C54BE8" w:rsidRDefault="00450603" w:rsidP="007A1BB7">
            <w:pPr>
              <w:widowControl w:val="0"/>
              <w:autoSpaceDE w:val="0"/>
              <w:autoSpaceDN w:val="0"/>
              <w:adjustRightInd w:val="0"/>
              <w:spacing w:after="0" w:line="240" w:lineRule="auto"/>
              <w:jc w:val="center"/>
              <w:rPr>
                <w:rFonts w:ascii="Times New Roman" w:hAnsi="Times New Roman" w:cs="Times New Roman"/>
                <w:sz w:val="16"/>
                <w:szCs w:val="16"/>
                <w:lang w:val="en-US"/>
              </w:rPr>
            </w:pPr>
            <w:r w:rsidRPr="00C54BE8">
              <w:rPr>
                <w:rFonts w:ascii="Times New Roman" w:hAnsi="Times New Roman" w:cs="Times New Roman"/>
                <w:sz w:val="16"/>
                <w:szCs w:val="16"/>
                <w:lang w:val="en-US"/>
              </w:rPr>
              <w:t>8</w:t>
            </w:r>
          </w:p>
        </w:tc>
        <w:tc>
          <w:tcPr>
            <w:tcW w:w="1758" w:type="dxa"/>
            <w:gridSpan w:val="2"/>
            <w:tcBorders>
              <w:right w:val="dashed" w:sz="4" w:space="0" w:color="auto"/>
            </w:tcBorders>
          </w:tcPr>
          <w:p w14:paraId="1C5EEB6C" w14:textId="72AB3F51" w:rsidR="00450603" w:rsidRPr="00C54BE8" w:rsidRDefault="00450603" w:rsidP="00AB5094">
            <w:pPr>
              <w:widowControl w:val="0"/>
              <w:autoSpaceDE w:val="0"/>
              <w:autoSpaceDN w:val="0"/>
              <w:adjustRightInd w:val="0"/>
              <w:spacing w:after="0" w:line="240" w:lineRule="auto"/>
              <w:ind w:left="91"/>
              <w:rPr>
                <w:rFonts w:ascii="Times New Roman" w:hAnsi="Times New Roman" w:cs="Times New Roman"/>
                <w:sz w:val="16"/>
                <w:szCs w:val="16"/>
                <w:lang w:val="en-US"/>
              </w:rPr>
            </w:pPr>
            <w:r w:rsidRPr="00C54BE8">
              <w:rPr>
                <w:rFonts w:ascii="Times New Roman" w:hAnsi="Times New Roman" w:cs="Times New Roman"/>
                <w:sz w:val="16"/>
                <w:szCs w:val="16"/>
                <w:lang w:val="en-US"/>
              </w:rPr>
              <w:t>12.4</w:t>
            </w:r>
            <w:r>
              <w:rPr>
                <w:rFonts w:ascii="Times New Roman" w:hAnsi="Times New Roman" w:cs="Times New Roman"/>
                <w:sz w:val="16"/>
                <w:szCs w:val="16"/>
                <w:lang w:val="en-US"/>
              </w:rPr>
              <w:t xml:space="preserve"> </w:t>
            </w:r>
            <w:r w:rsidRPr="00C54BE8">
              <w:rPr>
                <w:rFonts w:ascii="Times New Roman" w:hAnsi="Times New Roman" w:cs="Times New Roman"/>
                <w:sz w:val="16"/>
                <w:szCs w:val="16"/>
                <w:lang w:val="en-US"/>
              </w:rPr>
              <w:t>(10.2-19.8)</w:t>
            </w:r>
          </w:p>
        </w:tc>
        <w:tc>
          <w:tcPr>
            <w:tcW w:w="386" w:type="dxa"/>
            <w:tcBorders>
              <w:left w:val="dashed" w:sz="4" w:space="0" w:color="auto"/>
            </w:tcBorders>
          </w:tcPr>
          <w:p w14:paraId="007A5665" w14:textId="1D71A839" w:rsidR="00450603" w:rsidRPr="00C54BE8" w:rsidRDefault="00450603" w:rsidP="007A1BB7">
            <w:pPr>
              <w:widowControl w:val="0"/>
              <w:autoSpaceDE w:val="0"/>
              <w:autoSpaceDN w:val="0"/>
              <w:adjustRightInd w:val="0"/>
              <w:spacing w:after="0" w:line="240" w:lineRule="auto"/>
              <w:jc w:val="center"/>
              <w:rPr>
                <w:rFonts w:ascii="Times New Roman" w:hAnsi="Times New Roman" w:cs="Times New Roman"/>
                <w:sz w:val="16"/>
                <w:szCs w:val="16"/>
                <w:lang w:val="en-US"/>
              </w:rPr>
            </w:pPr>
            <w:r w:rsidRPr="00C54BE8">
              <w:rPr>
                <w:rFonts w:ascii="Times New Roman" w:hAnsi="Times New Roman" w:cs="Times New Roman"/>
                <w:sz w:val="16"/>
                <w:szCs w:val="16"/>
                <w:lang w:val="en-US"/>
              </w:rPr>
              <w:t>9</w:t>
            </w:r>
          </w:p>
        </w:tc>
        <w:tc>
          <w:tcPr>
            <w:tcW w:w="1758" w:type="dxa"/>
            <w:gridSpan w:val="2"/>
            <w:tcBorders>
              <w:right w:val="dashed" w:sz="4" w:space="0" w:color="auto"/>
            </w:tcBorders>
          </w:tcPr>
          <w:p w14:paraId="70511118" w14:textId="2F7C1600" w:rsidR="00450603" w:rsidRPr="00C54BE8" w:rsidRDefault="00450603" w:rsidP="00AB5094">
            <w:pPr>
              <w:widowControl w:val="0"/>
              <w:autoSpaceDE w:val="0"/>
              <w:autoSpaceDN w:val="0"/>
              <w:adjustRightInd w:val="0"/>
              <w:spacing w:after="0" w:line="240" w:lineRule="auto"/>
              <w:ind w:left="73"/>
              <w:rPr>
                <w:rFonts w:ascii="Times New Roman" w:hAnsi="Times New Roman" w:cs="Times New Roman"/>
                <w:sz w:val="16"/>
                <w:szCs w:val="16"/>
                <w:lang w:val="en-US"/>
              </w:rPr>
            </w:pPr>
            <w:r w:rsidRPr="00C54BE8">
              <w:rPr>
                <w:rFonts w:ascii="Times New Roman" w:hAnsi="Times New Roman" w:cs="Times New Roman"/>
                <w:sz w:val="16"/>
                <w:szCs w:val="16"/>
                <w:lang w:val="en-US"/>
              </w:rPr>
              <w:t>20.2</w:t>
            </w:r>
            <w:r>
              <w:rPr>
                <w:rFonts w:ascii="Times New Roman" w:hAnsi="Times New Roman" w:cs="Times New Roman"/>
                <w:sz w:val="16"/>
                <w:szCs w:val="16"/>
                <w:lang w:val="en-US"/>
              </w:rPr>
              <w:t xml:space="preserve"> </w:t>
            </w:r>
            <w:r w:rsidRPr="00C54BE8">
              <w:rPr>
                <w:rFonts w:ascii="Times New Roman" w:hAnsi="Times New Roman" w:cs="Times New Roman"/>
                <w:sz w:val="16"/>
                <w:szCs w:val="16"/>
                <w:lang w:val="en-US"/>
              </w:rPr>
              <w:t>(13.2-20.5)</w:t>
            </w:r>
          </w:p>
        </w:tc>
        <w:tc>
          <w:tcPr>
            <w:tcW w:w="397" w:type="dxa"/>
            <w:tcBorders>
              <w:left w:val="dashed" w:sz="4" w:space="0" w:color="auto"/>
            </w:tcBorders>
          </w:tcPr>
          <w:p w14:paraId="7109AC98" w14:textId="5DBC1B13" w:rsidR="00450603" w:rsidRPr="00C54BE8" w:rsidRDefault="00450603" w:rsidP="007A1BB7">
            <w:pPr>
              <w:widowControl w:val="0"/>
              <w:autoSpaceDE w:val="0"/>
              <w:autoSpaceDN w:val="0"/>
              <w:adjustRightInd w:val="0"/>
              <w:spacing w:after="0" w:line="240" w:lineRule="auto"/>
              <w:jc w:val="center"/>
              <w:rPr>
                <w:rFonts w:ascii="Times New Roman" w:hAnsi="Times New Roman" w:cs="Times New Roman"/>
                <w:sz w:val="16"/>
                <w:szCs w:val="16"/>
                <w:lang w:val="en-US"/>
              </w:rPr>
            </w:pPr>
            <w:r w:rsidRPr="00C54BE8">
              <w:rPr>
                <w:rFonts w:ascii="Times New Roman" w:hAnsi="Times New Roman" w:cs="Times New Roman"/>
                <w:sz w:val="16"/>
                <w:szCs w:val="16"/>
                <w:lang w:val="en-US"/>
              </w:rPr>
              <w:t>4</w:t>
            </w:r>
          </w:p>
        </w:tc>
        <w:tc>
          <w:tcPr>
            <w:tcW w:w="1786" w:type="dxa"/>
            <w:gridSpan w:val="2"/>
            <w:tcBorders>
              <w:right w:val="dashed" w:sz="4" w:space="0" w:color="auto"/>
            </w:tcBorders>
          </w:tcPr>
          <w:p w14:paraId="1B2F37BC" w14:textId="566C9BD6" w:rsidR="00450603" w:rsidRPr="00C54BE8" w:rsidRDefault="00450603" w:rsidP="00AB5094">
            <w:pPr>
              <w:widowControl w:val="0"/>
              <w:autoSpaceDE w:val="0"/>
              <w:autoSpaceDN w:val="0"/>
              <w:adjustRightInd w:val="0"/>
              <w:spacing w:after="0" w:line="240" w:lineRule="auto"/>
              <w:ind w:left="44"/>
              <w:rPr>
                <w:rFonts w:ascii="Times New Roman" w:hAnsi="Times New Roman" w:cs="Times New Roman"/>
                <w:sz w:val="16"/>
                <w:szCs w:val="16"/>
                <w:lang w:val="en-US"/>
              </w:rPr>
            </w:pPr>
            <w:r w:rsidRPr="00C54BE8">
              <w:rPr>
                <w:rFonts w:ascii="Times New Roman" w:hAnsi="Times New Roman" w:cs="Times New Roman"/>
                <w:sz w:val="16"/>
                <w:szCs w:val="16"/>
                <w:lang w:val="en-US"/>
              </w:rPr>
              <w:t>25.3</w:t>
            </w:r>
            <w:r>
              <w:rPr>
                <w:rFonts w:ascii="Times New Roman" w:hAnsi="Times New Roman" w:cs="Times New Roman"/>
                <w:sz w:val="16"/>
                <w:szCs w:val="16"/>
                <w:lang w:val="en-US"/>
              </w:rPr>
              <w:t xml:space="preserve"> </w:t>
            </w:r>
            <w:r w:rsidRPr="00C54BE8">
              <w:rPr>
                <w:rFonts w:ascii="Times New Roman" w:hAnsi="Times New Roman" w:cs="Times New Roman"/>
                <w:sz w:val="16"/>
                <w:szCs w:val="16"/>
                <w:lang w:val="en-US"/>
              </w:rPr>
              <w:t>(21.6-26.1)</w:t>
            </w:r>
          </w:p>
        </w:tc>
      </w:tr>
      <w:tr w:rsidR="00450603" w:rsidRPr="001C61AA" w14:paraId="30B08B3F" w14:textId="77777777" w:rsidTr="0056300B">
        <w:trPr>
          <w:trHeight w:val="113"/>
          <w:jc w:val="center"/>
        </w:trPr>
        <w:tc>
          <w:tcPr>
            <w:tcW w:w="2469" w:type="dxa"/>
            <w:tcBorders>
              <w:right w:val="dashed" w:sz="4" w:space="0" w:color="auto"/>
            </w:tcBorders>
            <w:shd w:val="clear" w:color="auto" w:fill="F2F2F2" w:themeFill="background1" w:themeFillShade="F2"/>
          </w:tcPr>
          <w:p w14:paraId="7D09CB30" w14:textId="77777777" w:rsidR="00450603" w:rsidRPr="00C54BE8" w:rsidRDefault="00450603" w:rsidP="007A1BB7">
            <w:pPr>
              <w:widowControl w:val="0"/>
              <w:autoSpaceDE w:val="0"/>
              <w:autoSpaceDN w:val="0"/>
              <w:adjustRightInd w:val="0"/>
              <w:spacing w:after="0" w:line="240" w:lineRule="auto"/>
              <w:rPr>
                <w:rFonts w:ascii="Times New Roman" w:hAnsi="Times New Roman" w:cs="Times New Roman"/>
                <w:b/>
                <w:sz w:val="16"/>
                <w:szCs w:val="16"/>
                <w:lang w:val="en-US"/>
              </w:rPr>
            </w:pPr>
            <w:r w:rsidRPr="00C54BE8">
              <w:rPr>
                <w:rFonts w:ascii="Times New Roman" w:hAnsi="Times New Roman" w:cs="Times New Roman"/>
                <w:b/>
                <w:sz w:val="16"/>
                <w:szCs w:val="16"/>
                <w:lang w:val="en-US"/>
              </w:rPr>
              <w:t>Outcome</w:t>
            </w:r>
          </w:p>
        </w:tc>
        <w:tc>
          <w:tcPr>
            <w:tcW w:w="384" w:type="dxa"/>
            <w:tcBorders>
              <w:left w:val="dashed" w:sz="4" w:space="0" w:color="auto"/>
            </w:tcBorders>
            <w:shd w:val="clear" w:color="auto" w:fill="F2F2F2" w:themeFill="background1" w:themeFillShade="F2"/>
          </w:tcPr>
          <w:p w14:paraId="7BC4F009" w14:textId="77777777" w:rsidR="00450603" w:rsidRPr="00C54BE8" w:rsidRDefault="00450603" w:rsidP="007A1BB7">
            <w:pPr>
              <w:widowControl w:val="0"/>
              <w:autoSpaceDE w:val="0"/>
              <w:autoSpaceDN w:val="0"/>
              <w:adjustRightInd w:val="0"/>
              <w:spacing w:after="0" w:line="240" w:lineRule="auto"/>
              <w:jc w:val="center"/>
              <w:rPr>
                <w:rFonts w:ascii="Times New Roman" w:hAnsi="Times New Roman" w:cs="Times New Roman"/>
                <w:sz w:val="16"/>
                <w:szCs w:val="16"/>
                <w:lang w:val="en-US"/>
              </w:rPr>
            </w:pPr>
          </w:p>
        </w:tc>
        <w:tc>
          <w:tcPr>
            <w:tcW w:w="964" w:type="dxa"/>
            <w:shd w:val="clear" w:color="auto" w:fill="F2F2F2" w:themeFill="background1" w:themeFillShade="F2"/>
          </w:tcPr>
          <w:p w14:paraId="4D39965C" w14:textId="77777777" w:rsidR="00450603" w:rsidRPr="00C54BE8" w:rsidRDefault="00450603" w:rsidP="007A1BB7">
            <w:pPr>
              <w:widowControl w:val="0"/>
              <w:autoSpaceDE w:val="0"/>
              <w:autoSpaceDN w:val="0"/>
              <w:adjustRightInd w:val="0"/>
              <w:spacing w:after="0" w:line="240" w:lineRule="auto"/>
              <w:jc w:val="center"/>
              <w:rPr>
                <w:rFonts w:ascii="Times New Roman" w:hAnsi="Times New Roman" w:cs="Times New Roman"/>
                <w:sz w:val="16"/>
                <w:szCs w:val="16"/>
                <w:lang w:val="en-US"/>
              </w:rPr>
            </w:pPr>
          </w:p>
        </w:tc>
        <w:tc>
          <w:tcPr>
            <w:tcW w:w="794" w:type="dxa"/>
            <w:tcBorders>
              <w:right w:val="dashed" w:sz="4" w:space="0" w:color="auto"/>
            </w:tcBorders>
            <w:shd w:val="clear" w:color="auto" w:fill="F2F2F2" w:themeFill="background1" w:themeFillShade="F2"/>
          </w:tcPr>
          <w:p w14:paraId="354A2276" w14:textId="4CF7D695" w:rsidR="00450603" w:rsidRPr="00C54BE8" w:rsidRDefault="00AB5094" w:rsidP="00AB5094">
            <w:pPr>
              <w:widowControl w:val="0"/>
              <w:autoSpaceDE w:val="0"/>
              <w:autoSpaceDN w:val="0"/>
              <w:adjustRightInd w:val="0"/>
              <w:spacing w:after="0" w:line="240" w:lineRule="auto"/>
              <w:jc w:val="right"/>
              <w:rPr>
                <w:rFonts w:ascii="Times New Roman" w:hAnsi="Times New Roman" w:cs="Times New Roman"/>
                <w:sz w:val="16"/>
                <w:szCs w:val="16"/>
                <w:lang w:val="en-US"/>
              </w:rPr>
            </w:pPr>
            <w:r w:rsidRPr="00C54BE8">
              <w:rPr>
                <w:rFonts w:ascii="Times New Roman" w:hAnsi="Times New Roman" w:cs="Times New Roman"/>
                <w:b/>
                <w:sz w:val="16"/>
                <w:szCs w:val="16"/>
                <w:lang w:val="en-US"/>
              </w:rPr>
              <w:t>0.007</w:t>
            </w:r>
          </w:p>
        </w:tc>
        <w:tc>
          <w:tcPr>
            <w:tcW w:w="386" w:type="dxa"/>
            <w:tcBorders>
              <w:left w:val="dashed" w:sz="4" w:space="0" w:color="auto"/>
            </w:tcBorders>
            <w:shd w:val="clear" w:color="auto" w:fill="F2F2F2" w:themeFill="background1" w:themeFillShade="F2"/>
          </w:tcPr>
          <w:p w14:paraId="7818D6F0" w14:textId="77777777" w:rsidR="00450603" w:rsidRPr="00C54BE8" w:rsidRDefault="00450603" w:rsidP="007A1BB7">
            <w:pPr>
              <w:widowControl w:val="0"/>
              <w:autoSpaceDE w:val="0"/>
              <w:autoSpaceDN w:val="0"/>
              <w:adjustRightInd w:val="0"/>
              <w:spacing w:after="0" w:line="240" w:lineRule="auto"/>
              <w:jc w:val="center"/>
              <w:rPr>
                <w:rFonts w:ascii="Times New Roman" w:hAnsi="Times New Roman" w:cs="Times New Roman"/>
                <w:sz w:val="16"/>
                <w:szCs w:val="16"/>
                <w:lang w:val="en-US"/>
              </w:rPr>
            </w:pPr>
          </w:p>
        </w:tc>
        <w:tc>
          <w:tcPr>
            <w:tcW w:w="964" w:type="dxa"/>
            <w:shd w:val="clear" w:color="auto" w:fill="F2F2F2" w:themeFill="background1" w:themeFillShade="F2"/>
          </w:tcPr>
          <w:p w14:paraId="6BFABFBA" w14:textId="77777777" w:rsidR="00450603" w:rsidRPr="00C54BE8" w:rsidRDefault="00450603" w:rsidP="007A1BB7">
            <w:pPr>
              <w:widowControl w:val="0"/>
              <w:autoSpaceDE w:val="0"/>
              <w:autoSpaceDN w:val="0"/>
              <w:adjustRightInd w:val="0"/>
              <w:spacing w:after="0" w:line="240" w:lineRule="auto"/>
              <w:jc w:val="center"/>
              <w:rPr>
                <w:rFonts w:ascii="Times New Roman" w:hAnsi="Times New Roman" w:cs="Times New Roman"/>
                <w:sz w:val="16"/>
                <w:szCs w:val="16"/>
                <w:lang w:val="en-US"/>
              </w:rPr>
            </w:pPr>
          </w:p>
        </w:tc>
        <w:tc>
          <w:tcPr>
            <w:tcW w:w="794" w:type="dxa"/>
            <w:tcBorders>
              <w:right w:val="dashed" w:sz="4" w:space="0" w:color="auto"/>
            </w:tcBorders>
            <w:shd w:val="clear" w:color="auto" w:fill="F2F2F2" w:themeFill="background1" w:themeFillShade="F2"/>
          </w:tcPr>
          <w:p w14:paraId="0D9A3D3B" w14:textId="0C402719" w:rsidR="00450603" w:rsidRPr="00C54BE8" w:rsidRDefault="00AB5094" w:rsidP="00AB5094">
            <w:pPr>
              <w:widowControl w:val="0"/>
              <w:autoSpaceDE w:val="0"/>
              <w:autoSpaceDN w:val="0"/>
              <w:adjustRightInd w:val="0"/>
              <w:spacing w:after="0" w:line="240" w:lineRule="auto"/>
              <w:jc w:val="right"/>
              <w:rPr>
                <w:rFonts w:ascii="Times New Roman" w:hAnsi="Times New Roman" w:cs="Times New Roman"/>
                <w:sz w:val="16"/>
                <w:szCs w:val="16"/>
                <w:lang w:val="en-US"/>
              </w:rPr>
            </w:pPr>
            <w:r w:rsidRPr="00C54BE8">
              <w:rPr>
                <w:rFonts w:ascii="Times New Roman" w:hAnsi="Times New Roman" w:cs="Times New Roman"/>
                <w:b/>
                <w:sz w:val="16"/>
                <w:szCs w:val="16"/>
                <w:lang w:val="en-US"/>
              </w:rPr>
              <w:t>0.008</w:t>
            </w:r>
          </w:p>
        </w:tc>
        <w:tc>
          <w:tcPr>
            <w:tcW w:w="397" w:type="dxa"/>
            <w:tcBorders>
              <w:left w:val="dashed" w:sz="4" w:space="0" w:color="auto"/>
            </w:tcBorders>
            <w:shd w:val="clear" w:color="auto" w:fill="F2F2F2" w:themeFill="background1" w:themeFillShade="F2"/>
          </w:tcPr>
          <w:p w14:paraId="712BC13E" w14:textId="77777777" w:rsidR="00450603" w:rsidRPr="00C54BE8" w:rsidRDefault="00450603" w:rsidP="007A1BB7">
            <w:pPr>
              <w:widowControl w:val="0"/>
              <w:autoSpaceDE w:val="0"/>
              <w:autoSpaceDN w:val="0"/>
              <w:adjustRightInd w:val="0"/>
              <w:spacing w:after="0" w:line="240" w:lineRule="auto"/>
              <w:jc w:val="center"/>
              <w:rPr>
                <w:rFonts w:ascii="Times New Roman" w:hAnsi="Times New Roman" w:cs="Times New Roman"/>
                <w:sz w:val="16"/>
                <w:szCs w:val="16"/>
                <w:lang w:val="en-US"/>
              </w:rPr>
            </w:pPr>
          </w:p>
        </w:tc>
        <w:tc>
          <w:tcPr>
            <w:tcW w:w="992" w:type="dxa"/>
            <w:shd w:val="clear" w:color="auto" w:fill="F2F2F2" w:themeFill="background1" w:themeFillShade="F2"/>
          </w:tcPr>
          <w:p w14:paraId="36A16C4C" w14:textId="77777777" w:rsidR="00450603" w:rsidRPr="00C54BE8" w:rsidRDefault="00450603" w:rsidP="007A1BB7">
            <w:pPr>
              <w:widowControl w:val="0"/>
              <w:autoSpaceDE w:val="0"/>
              <w:autoSpaceDN w:val="0"/>
              <w:adjustRightInd w:val="0"/>
              <w:spacing w:after="0" w:line="240" w:lineRule="auto"/>
              <w:jc w:val="center"/>
              <w:rPr>
                <w:rFonts w:ascii="Times New Roman" w:hAnsi="Times New Roman" w:cs="Times New Roman"/>
                <w:sz w:val="16"/>
                <w:szCs w:val="16"/>
                <w:lang w:val="en-US"/>
              </w:rPr>
            </w:pPr>
          </w:p>
        </w:tc>
        <w:tc>
          <w:tcPr>
            <w:tcW w:w="794" w:type="dxa"/>
            <w:tcBorders>
              <w:right w:val="dashed" w:sz="4" w:space="0" w:color="auto"/>
            </w:tcBorders>
            <w:shd w:val="clear" w:color="auto" w:fill="F2F2F2" w:themeFill="background1" w:themeFillShade="F2"/>
          </w:tcPr>
          <w:p w14:paraId="69C4745A" w14:textId="261BE69B" w:rsidR="00450603" w:rsidRPr="00C54BE8" w:rsidRDefault="00AB5094" w:rsidP="00AB5094">
            <w:pPr>
              <w:widowControl w:val="0"/>
              <w:autoSpaceDE w:val="0"/>
              <w:autoSpaceDN w:val="0"/>
              <w:adjustRightInd w:val="0"/>
              <w:spacing w:after="0" w:line="240" w:lineRule="auto"/>
              <w:jc w:val="right"/>
              <w:rPr>
                <w:rFonts w:ascii="Times New Roman" w:hAnsi="Times New Roman" w:cs="Times New Roman"/>
                <w:sz w:val="16"/>
                <w:szCs w:val="16"/>
                <w:lang w:val="en-US"/>
              </w:rPr>
            </w:pPr>
            <w:r w:rsidRPr="00C54BE8">
              <w:rPr>
                <w:rFonts w:ascii="Times New Roman" w:hAnsi="Times New Roman" w:cs="Times New Roman"/>
                <w:b/>
                <w:sz w:val="16"/>
                <w:szCs w:val="16"/>
                <w:lang w:val="en-US"/>
              </w:rPr>
              <w:t>0.019</w:t>
            </w:r>
          </w:p>
        </w:tc>
      </w:tr>
      <w:tr w:rsidR="00AB5094" w:rsidRPr="001C61AA" w14:paraId="3BD4FCE5" w14:textId="77777777" w:rsidTr="0056300B">
        <w:trPr>
          <w:trHeight w:val="113"/>
          <w:jc w:val="center"/>
        </w:trPr>
        <w:tc>
          <w:tcPr>
            <w:tcW w:w="2469" w:type="dxa"/>
            <w:tcBorders>
              <w:right w:val="dashed" w:sz="4" w:space="0" w:color="auto"/>
            </w:tcBorders>
          </w:tcPr>
          <w:p w14:paraId="35FBF966" w14:textId="475E0537" w:rsidR="00AB5094" w:rsidRPr="00C54BE8" w:rsidRDefault="00AB5094" w:rsidP="00AB5094">
            <w:pPr>
              <w:widowControl w:val="0"/>
              <w:autoSpaceDE w:val="0"/>
              <w:autoSpaceDN w:val="0"/>
              <w:adjustRightInd w:val="0"/>
              <w:spacing w:after="0" w:line="240" w:lineRule="auto"/>
              <w:ind w:left="676"/>
              <w:rPr>
                <w:rFonts w:ascii="Times New Roman" w:hAnsi="Times New Roman" w:cs="Times New Roman"/>
                <w:b/>
                <w:sz w:val="16"/>
                <w:szCs w:val="16"/>
                <w:lang w:val="en-US"/>
              </w:rPr>
            </w:pPr>
            <w:r w:rsidRPr="00C54BE8">
              <w:rPr>
                <w:rFonts w:ascii="Times New Roman" w:hAnsi="Times New Roman" w:cs="Times New Roman"/>
                <w:sz w:val="16"/>
                <w:szCs w:val="16"/>
                <w:lang w:val="en-US"/>
              </w:rPr>
              <w:t>Favorable (GOS-E</w:t>
            </w:r>
            <w:r w:rsidRPr="00C54BE8">
              <w:rPr>
                <w:rFonts w:ascii="Times New Roman" w:hAnsi="Times New Roman" w:cs="Times New Roman"/>
                <w:sz w:val="16"/>
                <w:szCs w:val="16"/>
                <w:vertAlign w:val="subscript"/>
                <w:lang w:val="en-US"/>
              </w:rPr>
              <w:t>5-8</w:t>
            </w:r>
            <w:r w:rsidRPr="00C54BE8">
              <w:rPr>
                <w:rFonts w:ascii="Times New Roman" w:hAnsi="Times New Roman" w:cs="Times New Roman"/>
                <w:sz w:val="16"/>
                <w:szCs w:val="16"/>
                <w:lang w:val="en-US"/>
              </w:rPr>
              <w:t>)</w:t>
            </w:r>
          </w:p>
        </w:tc>
        <w:tc>
          <w:tcPr>
            <w:tcW w:w="384" w:type="dxa"/>
            <w:tcBorders>
              <w:left w:val="dashed" w:sz="4" w:space="0" w:color="auto"/>
            </w:tcBorders>
          </w:tcPr>
          <w:p w14:paraId="1E9B95F3" w14:textId="1F2F295D" w:rsidR="00AB5094" w:rsidRPr="00C54BE8" w:rsidRDefault="00AB5094" w:rsidP="007A1BB7">
            <w:pPr>
              <w:widowControl w:val="0"/>
              <w:autoSpaceDE w:val="0"/>
              <w:autoSpaceDN w:val="0"/>
              <w:adjustRightInd w:val="0"/>
              <w:spacing w:after="0" w:line="240" w:lineRule="auto"/>
              <w:jc w:val="center"/>
              <w:rPr>
                <w:rFonts w:ascii="Times New Roman" w:hAnsi="Times New Roman" w:cs="Times New Roman"/>
                <w:sz w:val="16"/>
                <w:szCs w:val="16"/>
                <w:lang w:val="en-US"/>
              </w:rPr>
            </w:pPr>
            <w:r w:rsidRPr="00C54BE8">
              <w:rPr>
                <w:rFonts w:ascii="Times New Roman" w:hAnsi="Times New Roman" w:cs="Times New Roman"/>
                <w:sz w:val="16"/>
                <w:szCs w:val="16"/>
                <w:lang w:val="en-US"/>
              </w:rPr>
              <w:t>61</w:t>
            </w:r>
          </w:p>
        </w:tc>
        <w:tc>
          <w:tcPr>
            <w:tcW w:w="1758" w:type="dxa"/>
            <w:gridSpan w:val="2"/>
            <w:tcBorders>
              <w:right w:val="dashed" w:sz="4" w:space="0" w:color="auto"/>
            </w:tcBorders>
          </w:tcPr>
          <w:p w14:paraId="56D71F84" w14:textId="6279C502" w:rsidR="00AB5094" w:rsidRPr="00C54BE8" w:rsidRDefault="00AB5094" w:rsidP="00AB5094">
            <w:pPr>
              <w:widowControl w:val="0"/>
              <w:autoSpaceDE w:val="0"/>
              <w:autoSpaceDN w:val="0"/>
              <w:adjustRightInd w:val="0"/>
              <w:spacing w:after="0" w:line="240" w:lineRule="auto"/>
              <w:ind w:left="91"/>
              <w:rPr>
                <w:rFonts w:ascii="Times New Roman" w:hAnsi="Times New Roman" w:cs="Times New Roman"/>
                <w:sz w:val="16"/>
                <w:szCs w:val="16"/>
                <w:lang w:val="en-US"/>
              </w:rPr>
            </w:pPr>
            <w:r w:rsidRPr="00C54BE8">
              <w:rPr>
                <w:rFonts w:ascii="Times New Roman" w:hAnsi="Times New Roman" w:cs="Times New Roman"/>
                <w:sz w:val="16"/>
                <w:szCs w:val="16"/>
                <w:lang w:val="en-US"/>
              </w:rPr>
              <w:t>8.9</w:t>
            </w:r>
            <w:r>
              <w:rPr>
                <w:rFonts w:ascii="Times New Roman" w:hAnsi="Times New Roman" w:cs="Times New Roman"/>
                <w:sz w:val="16"/>
                <w:szCs w:val="16"/>
                <w:lang w:val="en-US"/>
              </w:rPr>
              <w:t xml:space="preserve"> </w:t>
            </w:r>
            <w:r w:rsidRPr="00C54BE8">
              <w:rPr>
                <w:rFonts w:ascii="Times New Roman" w:hAnsi="Times New Roman" w:cs="Times New Roman"/>
                <w:sz w:val="16"/>
                <w:szCs w:val="16"/>
                <w:lang w:val="en-US"/>
              </w:rPr>
              <w:t>(7.0-10.3)</w:t>
            </w:r>
          </w:p>
        </w:tc>
        <w:tc>
          <w:tcPr>
            <w:tcW w:w="386" w:type="dxa"/>
            <w:tcBorders>
              <w:left w:val="dashed" w:sz="4" w:space="0" w:color="auto"/>
            </w:tcBorders>
          </w:tcPr>
          <w:p w14:paraId="15E0F5CE" w14:textId="1B4ABC58" w:rsidR="00AB5094" w:rsidRPr="00C54BE8" w:rsidRDefault="00AB5094" w:rsidP="007A1BB7">
            <w:pPr>
              <w:widowControl w:val="0"/>
              <w:autoSpaceDE w:val="0"/>
              <w:autoSpaceDN w:val="0"/>
              <w:adjustRightInd w:val="0"/>
              <w:spacing w:after="0" w:line="240" w:lineRule="auto"/>
              <w:jc w:val="center"/>
              <w:rPr>
                <w:rFonts w:ascii="Times New Roman" w:hAnsi="Times New Roman" w:cs="Times New Roman"/>
                <w:sz w:val="16"/>
                <w:szCs w:val="16"/>
                <w:lang w:val="en-US"/>
              </w:rPr>
            </w:pPr>
            <w:r w:rsidRPr="00C54BE8">
              <w:rPr>
                <w:rFonts w:ascii="Times New Roman" w:hAnsi="Times New Roman" w:cs="Times New Roman"/>
                <w:sz w:val="16"/>
                <w:szCs w:val="16"/>
                <w:lang w:val="en-US"/>
              </w:rPr>
              <w:t>62</w:t>
            </w:r>
          </w:p>
        </w:tc>
        <w:tc>
          <w:tcPr>
            <w:tcW w:w="1758" w:type="dxa"/>
            <w:gridSpan w:val="2"/>
            <w:tcBorders>
              <w:right w:val="dashed" w:sz="4" w:space="0" w:color="auto"/>
            </w:tcBorders>
          </w:tcPr>
          <w:p w14:paraId="7F36F470" w14:textId="54E68300" w:rsidR="00AB5094" w:rsidRPr="00C54BE8" w:rsidRDefault="00AB5094" w:rsidP="00AB5094">
            <w:pPr>
              <w:widowControl w:val="0"/>
              <w:autoSpaceDE w:val="0"/>
              <w:autoSpaceDN w:val="0"/>
              <w:adjustRightInd w:val="0"/>
              <w:spacing w:after="0" w:line="240" w:lineRule="auto"/>
              <w:ind w:left="73"/>
              <w:rPr>
                <w:rFonts w:ascii="Times New Roman" w:hAnsi="Times New Roman" w:cs="Times New Roman"/>
                <w:sz w:val="16"/>
                <w:szCs w:val="16"/>
                <w:lang w:val="en-US"/>
              </w:rPr>
            </w:pPr>
            <w:r w:rsidRPr="00C54BE8">
              <w:rPr>
                <w:rFonts w:ascii="Times New Roman" w:hAnsi="Times New Roman" w:cs="Times New Roman"/>
                <w:sz w:val="16"/>
                <w:szCs w:val="16"/>
                <w:lang w:val="en-US"/>
              </w:rPr>
              <w:t>9.7</w:t>
            </w:r>
            <w:r>
              <w:rPr>
                <w:rFonts w:ascii="Times New Roman" w:hAnsi="Times New Roman" w:cs="Times New Roman"/>
                <w:sz w:val="16"/>
                <w:szCs w:val="16"/>
                <w:lang w:val="en-US"/>
              </w:rPr>
              <w:t xml:space="preserve"> </w:t>
            </w:r>
            <w:r w:rsidRPr="00C54BE8">
              <w:rPr>
                <w:rFonts w:ascii="Times New Roman" w:hAnsi="Times New Roman" w:cs="Times New Roman"/>
                <w:sz w:val="16"/>
                <w:szCs w:val="16"/>
                <w:lang w:val="en-US"/>
              </w:rPr>
              <w:t>(7.5-12.8)</w:t>
            </w:r>
          </w:p>
        </w:tc>
        <w:tc>
          <w:tcPr>
            <w:tcW w:w="397" w:type="dxa"/>
            <w:tcBorders>
              <w:left w:val="dashed" w:sz="4" w:space="0" w:color="auto"/>
            </w:tcBorders>
          </w:tcPr>
          <w:p w14:paraId="7A4C6997" w14:textId="61477D3E" w:rsidR="00AB5094" w:rsidRPr="00C54BE8" w:rsidRDefault="00AB5094" w:rsidP="007A1BB7">
            <w:pPr>
              <w:widowControl w:val="0"/>
              <w:autoSpaceDE w:val="0"/>
              <w:autoSpaceDN w:val="0"/>
              <w:adjustRightInd w:val="0"/>
              <w:spacing w:after="0" w:line="240" w:lineRule="auto"/>
              <w:jc w:val="center"/>
              <w:rPr>
                <w:rFonts w:ascii="Times New Roman" w:hAnsi="Times New Roman" w:cs="Times New Roman"/>
                <w:sz w:val="16"/>
                <w:szCs w:val="16"/>
                <w:lang w:val="en-US"/>
              </w:rPr>
            </w:pPr>
            <w:r w:rsidRPr="00C54BE8">
              <w:rPr>
                <w:rFonts w:ascii="Times New Roman" w:hAnsi="Times New Roman" w:cs="Times New Roman"/>
                <w:sz w:val="16"/>
                <w:szCs w:val="16"/>
                <w:lang w:val="en-US"/>
              </w:rPr>
              <w:t>45</w:t>
            </w:r>
          </w:p>
        </w:tc>
        <w:tc>
          <w:tcPr>
            <w:tcW w:w="1786" w:type="dxa"/>
            <w:gridSpan w:val="2"/>
            <w:tcBorders>
              <w:right w:val="dashed" w:sz="4" w:space="0" w:color="auto"/>
            </w:tcBorders>
          </w:tcPr>
          <w:p w14:paraId="063F0CA6" w14:textId="63EAF024" w:rsidR="00AB5094" w:rsidRPr="00C54BE8" w:rsidRDefault="00AB5094" w:rsidP="00AB5094">
            <w:pPr>
              <w:widowControl w:val="0"/>
              <w:autoSpaceDE w:val="0"/>
              <w:autoSpaceDN w:val="0"/>
              <w:adjustRightInd w:val="0"/>
              <w:spacing w:after="0" w:line="240" w:lineRule="auto"/>
              <w:ind w:left="44"/>
              <w:rPr>
                <w:rFonts w:ascii="Times New Roman" w:hAnsi="Times New Roman" w:cs="Times New Roman"/>
                <w:sz w:val="16"/>
                <w:szCs w:val="16"/>
                <w:lang w:val="en-US"/>
              </w:rPr>
            </w:pPr>
            <w:r w:rsidRPr="00C54BE8">
              <w:rPr>
                <w:rFonts w:ascii="Times New Roman" w:hAnsi="Times New Roman" w:cs="Times New Roman"/>
                <w:sz w:val="16"/>
                <w:szCs w:val="16"/>
                <w:lang w:val="en-US"/>
              </w:rPr>
              <w:t>8.9</w:t>
            </w:r>
            <w:r>
              <w:rPr>
                <w:rFonts w:ascii="Times New Roman" w:hAnsi="Times New Roman" w:cs="Times New Roman"/>
                <w:sz w:val="16"/>
                <w:szCs w:val="16"/>
                <w:lang w:val="en-US"/>
              </w:rPr>
              <w:t xml:space="preserve"> </w:t>
            </w:r>
            <w:r w:rsidRPr="00C54BE8">
              <w:rPr>
                <w:rFonts w:ascii="Times New Roman" w:hAnsi="Times New Roman" w:cs="Times New Roman"/>
                <w:sz w:val="16"/>
                <w:szCs w:val="16"/>
                <w:lang w:val="en-US"/>
              </w:rPr>
              <w:t>(7.0-11.1)</w:t>
            </w:r>
          </w:p>
        </w:tc>
      </w:tr>
      <w:tr w:rsidR="00AB5094" w:rsidRPr="00452352" w14:paraId="05F5AE39" w14:textId="77777777" w:rsidTr="0056300B">
        <w:trPr>
          <w:trHeight w:val="113"/>
          <w:jc w:val="center"/>
        </w:trPr>
        <w:tc>
          <w:tcPr>
            <w:tcW w:w="2469" w:type="dxa"/>
            <w:tcBorders>
              <w:bottom w:val="single" w:sz="4" w:space="0" w:color="auto"/>
              <w:right w:val="dashed" w:sz="4" w:space="0" w:color="auto"/>
            </w:tcBorders>
          </w:tcPr>
          <w:p w14:paraId="26FA40DB" w14:textId="3116B316" w:rsidR="00AB5094" w:rsidRPr="00452352" w:rsidRDefault="00AB5094" w:rsidP="00AB5094">
            <w:pPr>
              <w:widowControl w:val="0"/>
              <w:autoSpaceDE w:val="0"/>
              <w:autoSpaceDN w:val="0"/>
              <w:adjustRightInd w:val="0"/>
              <w:spacing w:after="0" w:line="240" w:lineRule="auto"/>
              <w:ind w:left="676"/>
              <w:rPr>
                <w:rFonts w:ascii="Times New Roman" w:hAnsi="Times New Roman" w:cs="Times New Roman"/>
                <w:b/>
                <w:sz w:val="16"/>
                <w:szCs w:val="16"/>
                <w:lang w:val="en-US"/>
              </w:rPr>
            </w:pPr>
            <w:proofErr w:type="gramStart"/>
            <w:r w:rsidRPr="00452352">
              <w:rPr>
                <w:rFonts w:ascii="Times New Roman" w:hAnsi="Times New Roman" w:cs="Times New Roman"/>
                <w:sz w:val="16"/>
                <w:szCs w:val="16"/>
                <w:lang w:val="en-US"/>
              </w:rPr>
              <w:t>Unfavorable(</w:t>
            </w:r>
            <w:proofErr w:type="gramEnd"/>
            <w:r w:rsidRPr="00452352">
              <w:rPr>
                <w:rFonts w:ascii="Times New Roman" w:hAnsi="Times New Roman" w:cs="Times New Roman"/>
                <w:sz w:val="16"/>
                <w:szCs w:val="16"/>
                <w:lang w:val="en-US"/>
              </w:rPr>
              <w:t>GOS-E</w:t>
            </w:r>
            <w:r w:rsidRPr="00452352">
              <w:rPr>
                <w:rFonts w:ascii="Times New Roman" w:hAnsi="Times New Roman" w:cs="Times New Roman"/>
                <w:sz w:val="16"/>
                <w:szCs w:val="16"/>
                <w:vertAlign w:val="subscript"/>
                <w:lang w:val="en-US"/>
              </w:rPr>
              <w:t>1-4</w:t>
            </w:r>
            <w:r w:rsidRPr="00452352">
              <w:rPr>
                <w:rFonts w:ascii="Times New Roman" w:hAnsi="Times New Roman" w:cs="Times New Roman"/>
                <w:sz w:val="16"/>
                <w:szCs w:val="16"/>
                <w:lang w:val="en-US"/>
              </w:rPr>
              <w:t>)</w:t>
            </w:r>
          </w:p>
        </w:tc>
        <w:tc>
          <w:tcPr>
            <w:tcW w:w="384" w:type="dxa"/>
            <w:tcBorders>
              <w:left w:val="dashed" w:sz="4" w:space="0" w:color="auto"/>
              <w:bottom w:val="single" w:sz="4" w:space="0" w:color="auto"/>
            </w:tcBorders>
          </w:tcPr>
          <w:p w14:paraId="6996D0B9" w14:textId="6F529260" w:rsidR="00AB5094" w:rsidRPr="00452352" w:rsidRDefault="00AB5094" w:rsidP="007A1BB7">
            <w:pPr>
              <w:widowControl w:val="0"/>
              <w:autoSpaceDE w:val="0"/>
              <w:autoSpaceDN w:val="0"/>
              <w:adjustRightInd w:val="0"/>
              <w:spacing w:after="0" w:line="240" w:lineRule="auto"/>
              <w:jc w:val="center"/>
              <w:rPr>
                <w:rFonts w:ascii="Times New Roman" w:hAnsi="Times New Roman" w:cs="Times New Roman"/>
                <w:sz w:val="16"/>
                <w:szCs w:val="16"/>
                <w:lang w:val="en-US"/>
              </w:rPr>
            </w:pPr>
            <w:r w:rsidRPr="00452352">
              <w:rPr>
                <w:rFonts w:ascii="Times New Roman" w:hAnsi="Times New Roman" w:cs="Times New Roman"/>
                <w:sz w:val="16"/>
                <w:szCs w:val="16"/>
                <w:lang w:val="en-US"/>
              </w:rPr>
              <w:t>24</w:t>
            </w:r>
          </w:p>
        </w:tc>
        <w:tc>
          <w:tcPr>
            <w:tcW w:w="1758" w:type="dxa"/>
            <w:gridSpan w:val="2"/>
            <w:tcBorders>
              <w:bottom w:val="single" w:sz="4" w:space="0" w:color="auto"/>
              <w:right w:val="dashed" w:sz="4" w:space="0" w:color="auto"/>
            </w:tcBorders>
          </w:tcPr>
          <w:p w14:paraId="59D227C4" w14:textId="42B2777F" w:rsidR="00AB5094" w:rsidRPr="00452352" w:rsidRDefault="00AB5094" w:rsidP="00AB5094">
            <w:pPr>
              <w:widowControl w:val="0"/>
              <w:autoSpaceDE w:val="0"/>
              <w:autoSpaceDN w:val="0"/>
              <w:adjustRightInd w:val="0"/>
              <w:spacing w:after="0" w:line="240" w:lineRule="auto"/>
              <w:ind w:left="91"/>
              <w:rPr>
                <w:rFonts w:ascii="Times New Roman" w:hAnsi="Times New Roman" w:cs="Times New Roman"/>
                <w:sz w:val="16"/>
                <w:szCs w:val="16"/>
                <w:lang w:val="en-US"/>
              </w:rPr>
            </w:pPr>
            <w:r w:rsidRPr="00452352">
              <w:rPr>
                <w:rFonts w:ascii="Times New Roman" w:hAnsi="Times New Roman" w:cs="Times New Roman"/>
                <w:sz w:val="16"/>
                <w:szCs w:val="16"/>
                <w:lang w:val="en-US"/>
              </w:rPr>
              <w:t>10.7 (8.5-14.5)</w:t>
            </w:r>
          </w:p>
        </w:tc>
        <w:tc>
          <w:tcPr>
            <w:tcW w:w="386" w:type="dxa"/>
            <w:tcBorders>
              <w:left w:val="dashed" w:sz="4" w:space="0" w:color="auto"/>
              <w:bottom w:val="single" w:sz="4" w:space="0" w:color="auto"/>
            </w:tcBorders>
          </w:tcPr>
          <w:p w14:paraId="6E4C6CE2" w14:textId="1D2839F0" w:rsidR="00AB5094" w:rsidRPr="00452352" w:rsidRDefault="00AB5094" w:rsidP="007A1BB7">
            <w:pPr>
              <w:widowControl w:val="0"/>
              <w:autoSpaceDE w:val="0"/>
              <w:autoSpaceDN w:val="0"/>
              <w:adjustRightInd w:val="0"/>
              <w:spacing w:after="0" w:line="240" w:lineRule="auto"/>
              <w:jc w:val="center"/>
              <w:rPr>
                <w:rFonts w:ascii="Times New Roman" w:hAnsi="Times New Roman" w:cs="Times New Roman"/>
                <w:sz w:val="16"/>
                <w:szCs w:val="16"/>
                <w:lang w:val="en-US"/>
              </w:rPr>
            </w:pPr>
            <w:r w:rsidRPr="00452352">
              <w:rPr>
                <w:rFonts w:ascii="Times New Roman" w:hAnsi="Times New Roman" w:cs="Times New Roman"/>
                <w:sz w:val="16"/>
                <w:szCs w:val="16"/>
                <w:lang w:val="en-US"/>
              </w:rPr>
              <w:t>25</w:t>
            </w:r>
          </w:p>
        </w:tc>
        <w:tc>
          <w:tcPr>
            <w:tcW w:w="1758" w:type="dxa"/>
            <w:gridSpan w:val="2"/>
            <w:tcBorders>
              <w:bottom w:val="single" w:sz="4" w:space="0" w:color="auto"/>
              <w:right w:val="dashed" w:sz="4" w:space="0" w:color="auto"/>
            </w:tcBorders>
          </w:tcPr>
          <w:p w14:paraId="04F9FC69" w14:textId="0FA519C5" w:rsidR="00AB5094" w:rsidRPr="00452352" w:rsidRDefault="00AB5094" w:rsidP="00AB5094">
            <w:pPr>
              <w:widowControl w:val="0"/>
              <w:autoSpaceDE w:val="0"/>
              <w:autoSpaceDN w:val="0"/>
              <w:adjustRightInd w:val="0"/>
              <w:spacing w:after="0" w:line="240" w:lineRule="auto"/>
              <w:ind w:left="73"/>
              <w:rPr>
                <w:rFonts w:ascii="Times New Roman" w:hAnsi="Times New Roman" w:cs="Times New Roman"/>
                <w:sz w:val="16"/>
                <w:szCs w:val="16"/>
                <w:lang w:val="en-US"/>
              </w:rPr>
            </w:pPr>
            <w:r w:rsidRPr="00452352">
              <w:rPr>
                <w:rFonts w:ascii="Times New Roman" w:hAnsi="Times New Roman" w:cs="Times New Roman"/>
                <w:sz w:val="16"/>
                <w:szCs w:val="16"/>
                <w:lang w:val="en-US"/>
              </w:rPr>
              <w:t>15.1 (9.5-20.5)</w:t>
            </w:r>
          </w:p>
        </w:tc>
        <w:tc>
          <w:tcPr>
            <w:tcW w:w="397" w:type="dxa"/>
            <w:tcBorders>
              <w:left w:val="dashed" w:sz="4" w:space="0" w:color="auto"/>
              <w:bottom w:val="single" w:sz="4" w:space="0" w:color="auto"/>
            </w:tcBorders>
          </w:tcPr>
          <w:p w14:paraId="0555079D" w14:textId="0E9CA724" w:rsidR="00AB5094" w:rsidRPr="00452352" w:rsidRDefault="00AB5094" w:rsidP="007A1BB7">
            <w:pPr>
              <w:widowControl w:val="0"/>
              <w:autoSpaceDE w:val="0"/>
              <w:autoSpaceDN w:val="0"/>
              <w:adjustRightInd w:val="0"/>
              <w:spacing w:after="0" w:line="240" w:lineRule="auto"/>
              <w:jc w:val="center"/>
              <w:rPr>
                <w:rFonts w:ascii="Times New Roman" w:hAnsi="Times New Roman" w:cs="Times New Roman"/>
                <w:sz w:val="16"/>
                <w:szCs w:val="16"/>
                <w:lang w:val="en-US"/>
              </w:rPr>
            </w:pPr>
            <w:r w:rsidRPr="00452352">
              <w:rPr>
                <w:rFonts w:ascii="Times New Roman" w:hAnsi="Times New Roman" w:cs="Times New Roman"/>
                <w:sz w:val="16"/>
                <w:szCs w:val="16"/>
                <w:lang w:val="en-US"/>
              </w:rPr>
              <w:t>20</w:t>
            </w:r>
          </w:p>
        </w:tc>
        <w:tc>
          <w:tcPr>
            <w:tcW w:w="1786" w:type="dxa"/>
            <w:gridSpan w:val="2"/>
            <w:tcBorders>
              <w:bottom w:val="single" w:sz="4" w:space="0" w:color="auto"/>
              <w:right w:val="dashed" w:sz="4" w:space="0" w:color="auto"/>
            </w:tcBorders>
          </w:tcPr>
          <w:p w14:paraId="2A11BFBE" w14:textId="3AE87FDF" w:rsidR="00AB5094" w:rsidRPr="00452352" w:rsidRDefault="00AB5094" w:rsidP="00AB5094">
            <w:pPr>
              <w:widowControl w:val="0"/>
              <w:autoSpaceDE w:val="0"/>
              <w:autoSpaceDN w:val="0"/>
              <w:adjustRightInd w:val="0"/>
              <w:spacing w:after="0" w:line="240" w:lineRule="auto"/>
              <w:ind w:left="44"/>
              <w:rPr>
                <w:rFonts w:ascii="Times New Roman" w:hAnsi="Times New Roman" w:cs="Times New Roman"/>
                <w:sz w:val="16"/>
                <w:szCs w:val="16"/>
                <w:lang w:val="en-US"/>
              </w:rPr>
            </w:pPr>
            <w:r w:rsidRPr="00452352">
              <w:rPr>
                <w:rFonts w:ascii="Times New Roman" w:hAnsi="Times New Roman" w:cs="Times New Roman"/>
                <w:sz w:val="16"/>
                <w:szCs w:val="16"/>
                <w:lang w:val="en-US"/>
              </w:rPr>
              <w:t>11.9 (8.4-15.9)</w:t>
            </w:r>
          </w:p>
        </w:tc>
      </w:tr>
    </w:tbl>
    <w:p w14:paraId="06D3A8FB" w14:textId="049BD660" w:rsidR="002B5C5C" w:rsidRPr="00452352" w:rsidRDefault="008C695E" w:rsidP="002B5C5C">
      <w:pPr>
        <w:ind w:left="142"/>
        <w:rPr>
          <w:rFonts w:ascii="Times New Roman" w:hAnsi="Times New Roman" w:cs="Times New Roman"/>
          <w:bCs/>
          <w:color w:val="000000" w:themeColor="text1"/>
          <w:sz w:val="16"/>
          <w:szCs w:val="16"/>
          <w:lang w:val="en-US"/>
        </w:rPr>
      </w:pPr>
      <w:r w:rsidRPr="00717073">
        <w:rPr>
          <w:rFonts w:ascii="Times New Roman" w:hAnsi="Times New Roman" w:cs="Times New Roman"/>
          <w:sz w:val="16"/>
          <w:lang w:val="en-US"/>
        </w:rPr>
        <w:t xml:space="preserve">Abbreviations: DCI, delayed cerebral ischemia; GOS-E, Glasgow outcome scale - extended; HH, Hunt and Hess grading scale; </w:t>
      </w:r>
      <w:proofErr w:type="spellStart"/>
      <w:r w:rsidRPr="00717073">
        <w:rPr>
          <w:rFonts w:ascii="Times New Roman" w:hAnsi="Times New Roman" w:cs="Times New Roman"/>
          <w:sz w:val="16"/>
          <w:lang w:val="en-US"/>
        </w:rPr>
        <w:t>mFS</w:t>
      </w:r>
      <w:proofErr w:type="spellEnd"/>
      <w:r w:rsidRPr="00717073">
        <w:rPr>
          <w:rFonts w:ascii="Times New Roman" w:hAnsi="Times New Roman" w:cs="Times New Roman"/>
          <w:sz w:val="16"/>
          <w:lang w:val="en-US"/>
        </w:rPr>
        <w:t>, modified Fischer scale</w:t>
      </w:r>
      <w:r w:rsidR="00852491" w:rsidRPr="00717073">
        <w:rPr>
          <w:rFonts w:ascii="Times New Roman" w:hAnsi="Times New Roman" w:cs="Times New Roman"/>
          <w:sz w:val="16"/>
          <w:lang w:val="en-US"/>
        </w:rPr>
        <w:t xml:space="preserve">; </w:t>
      </w:r>
      <w:r w:rsidR="00852491" w:rsidRPr="00717073">
        <w:rPr>
          <w:rFonts w:ascii="Times New Roman" w:hAnsi="Times New Roman" w:cs="Times New Roman"/>
          <w:bCs/>
          <w:sz w:val="16"/>
          <w:szCs w:val="16"/>
          <w:lang w:val="en-US"/>
        </w:rPr>
        <w:t>1q, first quartile; 3q, third quartile</w:t>
      </w:r>
      <w:r w:rsidRPr="00717073">
        <w:rPr>
          <w:rFonts w:ascii="Times New Roman" w:hAnsi="Times New Roman" w:cs="Times New Roman"/>
          <w:sz w:val="16"/>
          <w:lang w:val="en-US"/>
        </w:rPr>
        <w:t xml:space="preserve">. </w:t>
      </w:r>
      <w:r w:rsidR="002B5C5C" w:rsidRPr="00717073">
        <w:rPr>
          <w:rFonts w:ascii="Times New Roman" w:hAnsi="Times New Roman" w:cs="Times New Roman"/>
          <w:bCs/>
          <w:sz w:val="16"/>
          <w:szCs w:val="16"/>
          <w:vertAlign w:val="superscript"/>
          <w:lang w:val="en-US"/>
        </w:rPr>
        <w:t>a</w:t>
      </w:r>
      <w:r w:rsidR="002B5C5C" w:rsidRPr="00717073">
        <w:rPr>
          <w:rFonts w:ascii="Times New Roman" w:hAnsi="Times New Roman" w:cs="Times New Roman"/>
          <w:bCs/>
          <w:sz w:val="16"/>
          <w:szCs w:val="16"/>
          <w:lang w:val="en-US"/>
        </w:rPr>
        <w:t xml:space="preserve"> total number of </w:t>
      </w:r>
      <w:r w:rsidR="002B5C5C" w:rsidRPr="00452352">
        <w:rPr>
          <w:rFonts w:ascii="Times New Roman" w:hAnsi="Times New Roman" w:cs="Times New Roman"/>
          <w:bCs/>
          <w:color w:val="000000" w:themeColor="text1"/>
          <w:sz w:val="16"/>
          <w:szCs w:val="16"/>
          <w:lang w:val="en-US"/>
        </w:rPr>
        <w:t>patients from which samples were available</w:t>
      </w:r>
    </w:p>
    <w:p w14:paraId="0C7E457D" w14:textId="77777777" w:rsidR="00117631" w:rsidRDefault="00117631" w:rsidP="00366104">
      <w:pPr>
        <w:widowControl w:val="0"/>
        <w:autoSpaceDE w:val="0"/>
        <w:autoSpaceDN w:val="0"/>
        <w:adjustRightInd w:val="0"/>
        <w:spacing w:line="240" w:lineRule="auto"/>
        <w:rPr>
          <w:lang w:val="en-US"/>
        </w:rPr>
      </w:pPr>
    </w:p>
    <w:p w14:paraId="633C964A" w14:textId="77777777" w:rsidR="0094693C" w:rsidRDefault="0094693C" w:rsidP="00B440BC">
      <w:pPr>
        <w:widowControl w:val="0"/>
        <w:autoSpaceDE w:val="0"/>
        <w:autoSpaceDN w:val="0"/>
        <w:adjustRightInd w:val="0"/>
        <w:spacing w:line="240" w:lineRule="auto"/>
        <w:ind w:left="480" w:hanging="480"/>
        <w:rPr>
          <w:lang w:val="en-US"/>
        </w:rPr>
      </w:pPr>
      <w:bookmarkStart w:id="0" w:name="_GoBack"/>
      <w:bookmarkEnd w:id="0"/>
    </w:p>
    <w:p w14:paraId="15EB42B8" w14:textId="03D22261" w:rsidR="00253E4E" w:rsidRPr="00452352" w:rsidRDefault="006508C8" w:rsidP="00253E4E">
      <w:pPr>
        <w:rPr>
          <w:rFonts w:ascii="Times New Roman" w:hAnsi="Times New Roman" w:cs="Times New Roman"/>
          <w:bCs/>
          <w:color w:val="000000" w:themeColor="text1"/>
          <w:lang w:val="en-US"/>
        </w:rPr>
      </w:pPr>
      <w:r>
        <w:rPr>
          <w:rFonts w:ascii="Times New Roman" w:hAnsi="Times New Roman" w:cs="Times New Roman"/>
          <w:b/>
          <w:bCs/>
          <w:color w:val="000000" w:themeColor="text1"/>
          <w:sz w:val="20"/>
          <w:szCs w:val="20"/>
          <w:lang w:val="en-US"/>
        </w:rPr>
        <w:br w:type="column"/>
      </w:r>
      <w:r w:rsidR="00253E4E" w:rsidRPr="00452352">
        <w:rPr>
          <w:rFonts w:ascii="Times New Roman" w:hAnsi="Times New Roman" w:cs="Times New Roman"/>
          <w:b/>
          <w:bCs/>
          <w:color w:val="000000" w:themeColor="text1"/>
          <w:lang w:val="en-US"/>
        </w:rPr>
        <w:lastRenderedPageBreak/>
        <w:t xml:space="preserve">Table 4. </w:t>
      </w:r>
      <w:r w:rsidR="00253E4E" w:rsidRPr="00452352">
        <w:rPr>
          <w:rFonts w:ascii="Times New Roman" w:hAnsi="Times New Roman" w:cs="Times New Roman"/>
          <w:bCs/>
          <w:color w:val="000000" w:themeColor="text1"/>
          <w:lang w:val="en-US"/>
        </w:rPr>
        <w:t>Results from univariate and multivariate logistic regression</w:t>
      </w:r>
      <w:r w:rsidR="006823AF" w:rsidRPr="00452352">
        <w:rPr>
          <w:rFonts w:ascii="Times New Roman" w:hAnsi="Times New Roman" w:cs="Times New Roman"/>
          <w:bCs/>
          <w:color w:val="000000" w:themeColor="text1"/>
          <w:lang w:val="en-US"/>
        </w:rPr>
        <w:t xml:space="preserve"> </w:t>
      </w:r>
      <w:r w:rsidR="006823AF" w:rsidRPr="00452352">
        <w:rPr>
          <w:rFonts w:ascii="Times New Roman" w:hAnsi="Times New Roman" w:cs="Times New Roman"/>
          <w:color w:val="000000" w:themeColor="text1"/>
          <w:lang w:val="en-US"/>
        </w:rPr>
        <w:t>regarding the occurrence of DCI-related infarcts</w:t>
      </w:r>
      <w:r w:rsidR="00253E4E" w:rsidRPr="00452352">
        <w:rPr>
          <w:rFonts w:ascii="Times New Roman" w:hAnsi="Times New Roman" w:cs="Times New Roman"/>
          <w:bCs/>
          <w:color w:val="000000" w:themeColor="text1"/>
          <w:lang w:val="en-US"/>
        </w:rPr>
        <w:t xml:space="preserve">. </w:t>
      </w:r>
    </w:p>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87"/>
        <w:gridCol w:w="1134"/>
        <w:gridCol w:w="1132"/>
        <w:gridCol w:w="639"/>
        <w:gridCol w:w="1134"/>
        <w:gridCol w:w="814"/>
        <w:gridCol w:w="603"/>
        <w:gridCol w:w="1134"/>
        <w:gridCol w:w="851"/>
      </w:tblGrid>
      <w:tr w:rsidR="00452352" w:rsidRPr="00452352" w14:paraId="639086DA" w14:textId="77777777" w:rsidTr="00BD714C">
        <w:trPr>
          <w:trHeight w:val="113"/>
        </w:trPr>
        <w:tc>
          <w:tcPr>
            <w:tcW w:w="1587" w:type="dxa"/>
            <w:tcBorders>
              <w:top w:val="single" w:sz="4" w:space="0" w:color="auto"/>
            </w:tcBorders>
          </w:tcPr>
          <w:p w14:paraId="7D6B470F" w14:textId="77777777" w:rsidR="00253E4E" w:rsidRPr="00452352" w:rsidRDefault="00253E4E" w:rsidP="00BD714C">
            <w:pPr>
              <w:spacing w:after="0" w:line="240" w:lineRule="auto"/>
              <w:rPr>
                <w:rFonts w:ascii="Times New Roman" w:hAnsi="Times New Roman" w:cs="Times New Roman"/>
                <w:color w:val="000000" w:themeColor="text1"/>
                <w:sz w:val="16"/>
                <w:szCs w:val="16"/>
                <w:lang w:val="en-US"/>
              </w:rPr>
            </w:pPr>
          </w:p>
        </w:tc>
        <w:tc>
          <w:tcPr>
            <w:tcW w:w="2266" w:type="dxa"/>
            <w:gridSpan w:val="2"/>
            <w:tcBorders>
              <w:top w:val="single" w:sz="4" w:space="0" w:color="auto"/>
            </w:tcBorders>
          </w:tcPr>
          <w:p w14:paraId="17920FD3" w14:textId="77777777" w:rsidR="00253E4E" w:rsidRPr="00452352" w:rsidRDefault="00253E4E" w:rsidP="00BD714C">
            <w:pPr>
              <w:spacing w:after="0" w:line="240" w:lineRule="auto"/>
              <w:jc w:val="center"/>
              <w:rPr>
                <w:rFonts w:ascii="Times New Roman" w:hAnsi="Times New Roman" w:cs="Times New Roman"/>
                <w:b/>
                <w:color w:val="000000" w:themeColor="text1"/>
                <w:sz w:val="16"/>
                <w:szCs w:val="16"/>
                <w:u w:val="single"/>
                <w:lang w:val="en-US"/>
              </w:rPr>
            </w:pPr>
            <w:r w:rsidRPr="00452352">
              <w:rPr>
                <w:rFonts w:ascii="Times New Roman" w:hAnsi="Times New Roman" w:cs="Times New Roman"/>
                <w:b/>
                <w:color w:val="000000" w:themeColor="text1"/>
                <w:sz w:val="16"/>
                <w:szCs w:val="16"/>
                <w:u w:val="single"/>
                <w:lang w:val="en-US"/>
              </w:rPr>
              <w:t>n (%) or Median (1.q-</w:t>
            </w:r>
            <w:proofErr w:type="gramStart"/>
            <w:r w:rsidRPr="00452352">
              <w:rPr>
                <w:rFonts w:ascii="Times New Roman" w:hAnsi="Times New Roman" w:cs="Times New Roman"/>
                <w:b/>
                <w:color w:val="000000" w:themeColor="text1"/>
                <w:sz w:val="16"/>
                <w:szCs w:val="16"/>
                <w:u w:val="single"/>
                <w:lang w:val="en-US"/>
              </w:rPr>
              <w:t>3.q</w:t>
            </w:r>
            <w:proofErr w:type="gramEnd"/>
            <w:r w:rsidRPr="00452352">
              <w:rPr>
                <w:rFonts w:ascii="Times New Roman" w:hAnsi="Times New Roman" w:cs="Times New Roman"/>
                <w:b/>
                <w:color w:val="000000" w:themeColor="text1"/>
                <w:sz w:val="16"/>
                <w:szCs w:val="16"/>
                <w:u w:val="single"/>
                <w:lang w:val="en-US"/>
              </w:rPr>
              <w:t>)</w:t>
            </w:r>
          </w:p>
        </w:tc>
        <w:tc>
          <w:tcPr>
            <w:tcW w:w="2587" w:type="dxa"/>
            <w:gridSpan w:val="3"/>
            <w:tcBorders>
              <w:top w:val="single" w:sz="4" w:space="0" w:color="auto"/>
            </w:tcBorders>
          </w:tcPr>
          <w:p w14:paraId="5975D16A" w14:textId="77777777" w:rsidR="00253E4E" w:rsidRPr="00452352" w:rsidRDefault="00253E4E" w:rsidP="00BD714C">
            <w:pPr>
              <w:spacing w:after="0" w:line="240" w:lineRule="auto"/>
              <w:jc w:val="center"/>
              <w:rPr>
                <w:rFonts w:ascii="Times New Roman" w:hAnsi="Times New Roman" w:cs="Times New Roman"/>
                <w:b/>
                <w:color w:val="000000" w:themeColor="text1"/>
                <w:sz w:val="16"/>
                <w:szCs w:val="16"/>
                <w:u w:val="single"/>
                <w:lang w:val="en-US"/>
              </w:rPr>
            </w:pPr>
            <w:r w:rsidRPr="00452352">
              <w:rPr>
                <w:rFonts w:ascii="Times New Roman" w:hAnsi="Times New Roman" w:cs="Times New Roman"/>
                <w:b/>
                <w:color w:val="000000" w:themeColor="text1"/>
                <w:sz w:val="16"/>
                <w:szCs w:val="16"/>
                <w:u w:val="single"/>
                <w:lang w:val="en-US"/>
              </w:rPr>
              <w:t>Univariate logistic regression</w:t>
            </w:r>
          </w:p>
        </w:tc>
        <w:tc>
          <w:tcPr>
            <w:tcW w:w="2588" w:type="dxa"/>
            <w:gridSpan w:val="3"/>
            <w:tcBorders>
              <w:top w:val="single" w:sz="4" w:space="0" w:color="auto"/>
            </w:tcBorders>
          </w:tcPr>
          <w:p w14:paraId="17EFBF74" w14:textId="77777777" w:rsidR="00253E4E" w:rsidRPr="00452352" w:rsidRDefault="00253E4E" w:rsidP="00BD714C">
            <w:pPr>
              <w:spacing w:after="0" w:line="240" w:lineRule="auto"/>
              <w:jc w:val="center"/>
              <w:rPr>
                <w:rFonts w:ascii="Times New Roman" w:hAnsi="Times New Roman" w:cs="Times New Roman"/>
                <w:b/>
                <w:color w:val="000000" w:themeColor="text1"/>
                <w:sz w:val="16"/>
                <w:szCs w:val="16"/>
                <w:u w:val="single"/>
                <w:lang w:val="en-US"/>
              </w:rPr>
            </w:pPr>
            <w:r w:rsidRPr="00452352">
              <w:rPr>
                <w:rFonts w:ascii="Times New Roman" w:hAnsi="Times New Roman" w:cs="Times New Roman"/>
                <w:b/>
                <w:color w:val="000000" w:themeColor="text1"/>
                <w:sz w:val="16"/>
                <w:szCs w:val="16"/>
                <w:u w:val="single"/>
                <w:lang w:val="en-US"/>
              </w:rPr>
              <w:t>Multivariate logistic regression</w:t>
            </w:r>
          </w:p>
        </w:tc>
      </w:tr>
      <w:tr w:rsidR="00452352" w:rsidRPr="00452352" w14:paraId="45B50FB7" w14:textId="77777777" w:rsidTr="00BD714C">
        <w:trPr>
          <w:trHeight w:val="113"/>
        </w:trPr>
        <w:tc>
          <w:tcPr>
            <w:tcW w:w="1587" w:type="dxa"/>
            <w:tcBorders>
              <w:bottom w:val="single" w:sz="4" w:space="0" w:color="auto"/>
              <w:right w:val="dashed" w:sz="4" w:space="0" w:color="auto"/>
            </w:tcBorders>
          </w:tcPr>
          <w:p w14:paraId="3A923E80" w14:textId="77777777" w:rsidR="00253E4E" w:rsidRPr="00452352" w:rsidRDefault="00253E4E" w:rsidP="00BD714C">
            <w:pPr>
              <w:spacing w:after="0" w:line="240" w:lineRule="auto"/>
              <w:rPr>
                <w:rFonts w:ascii="Times New Roman" w:hAnsi="Times New Roman" w:cs="Times New Roman"/>
                <w:color w:val="000000" w:themeColor="text1"/>
                <w:sz w:val="16"/>
                <w:szCs w:val="16"/>
              </w:rPr>
            </w:pPr>
          </w:p>
        </w:tc>
        <w:tc>
          <w:tcPr>
            <w:tcW w:w="1134" w:type="dxa"/>
            <w:tcBorders>
              <w:left w:val="dashed" w:sz="4" w:space="0" w:color="auto"/>
              <w:bottom w:val="single" w:sz="4" w:space="0" w:color="auto"/>
            </w:tcBorders>
          </w:tcPr>
          <w:p w14:paraId="17747E28" w14:textId="77777777" w:rsidR="00253E4E" w:rsidRPr="00452352" w:rsidRDefault="00253E4E" w:rsidP="00BD714C">
            <w:pPr>
              <w:spacing w:after="0" w:line="240" w:lineRule="auto"/>
              <w:jc w:val="center"/>
              <w:rPr>
                <w:rFonts w:ascii="Times New Roman" w:hAnsi="Times New Roman" w:cs="Times New Roman"/>
                <w:color w:val="000000" w:themeColor="text1"/>
                <w:sz w:val="16"/>
                <w:szCs w:val="16"/>
                <w:lang w:val="en-US"/>
              </w:rPr>
            </w:pPr>
            <w:proofErr w:type="spellStart"/>
            <w:r w:rsidRPr="00452352">
              <w:rPr>
                <w:rFonts w:ascii="Times New Roman" w:hAnsi="Times New Roman" w:cs="Times New Roman"/>
                <w:b/>
                <w:color w:val="000000" w:themeColor="text1"/>
                <w:sz w:val="16"/>
                <w:szCs w:val="16"/>
              </w:rPr>
              <w:t>No</w:t>
            </w:r>
            <w:proofErr w:type="spellEnd"/>
            <w:r w:rsidRPr="00452352">
              <w:rPr>
                <w:rFonts w:ascii="Times New Roman" w:hAnsi="Times New Roman" w:cs="Times New Roman"/>
                <w:b/>
                <w:color w:val="000000" w:themeColor="text1"/>
                <w:sz w:val="16"/>
                <w:szCs w:val="16"/>
              </w:rPr>
              <w:t xml:space="preserve"> </w:t>
            </w:r>
            <w:proofErr w:type="spellStart"/>
            <w:r w:rsidRPr="00452352">
              <w:rPr>
                <w:rFonts w:ascii="Times New Roman" w:hAnsi="Times New Roman" w:cs="Times New Roman"/>
                <w:b/>
                <w:color w:val="000000" w:themeColor="text1"/>
                <w:sz w:val="16"/>
                <w:szCs w:val="16"/>
              </w:rPr>
              <w:t>infarcts</w:t>
            </w:r>
            <w:proofErr w:type="spellEnd"/>
          </w:p>
        </w:tc>
        <w:tc>
          <w:tcPr>
            <w:tcW w:w="1132" w:type="dxa"/>
            <w:tcBorders>
              <w:bottom w:val="single" w:sz="4" w:space="0" w:color="auto"/>
              <w:right w:val="dashed" w:sz="4" w:space="0" w:color="auto"/>
            </w:tcBorders>
          </w:tcPr>
          <w:p w14:paraId="6B188D36" w14:textId="77777777" w:rsidR="00253E4E" w:rsidRPr="00452352" w:rsidRDefault="00253E4E" w:rsidP="00BD714C">
            <w:pPr>
              <w:spacing w:after="0" w:line="240" w:lineRule="auto"/>
              <w:jc w:val="center"/>
              <w:rPr>
                <w:rFonts w:ascii="Times New Roman" w:hAnsi="Times New Roman" w:cs="Times New Roman"/>
                <w:color w:val="000000" w:themeColor="text1"/>
                <w:sz w:val="16"/>
                <w:szCs w:val="16"/>
                <w:lang w:val="en-US"/>
              </w:rPr>
            </w:pPr>
            <w:r w:rsidRPr="00452352">
              <w:rPr>
                <w:rFonts w:ascii="Times New Roman" w:hAnsi="Times New Roman" w:cs="Times New Roman"/>
                <w:b/>
                <w:color w:val="000000" w:themeColor="text1"/>
                <w:sz w:val="16"/>
                <w:szCs w:val="16"/>
                <w:lang w:val="en-US"/>
              </w:rPr>
              <w:t>DCI-rel. inf.</w:t>
            </w:r>
          </w:p>
        </w:tc>
        <w:tc>
          <w:tcPr>
            <w:tcW w:w="639" w:type="dxa"/>
            <w:tcBorders>
              <w:left w:val="dashed" w:sz="4" w:space="0" w:color="auto"/>
              <w:bottom w:val="single" w:sz="4" w:space="0" w:color="auto"/>
            </w:tcBorders>
          </w:tcPr>
          <w:p w14:paraId="27EE31CD" w14:textId="77777777" w:rsidR="00253E4E" w:rsidRPr="00452352" w:rsidRDefault="00253E4E" w:rsidP="00BD714C">
            <w:pPr>
              <w:spacing w:after="0" w:line="240" w:lineRule="auto"/>
              <w:jc w:val="center"/>
              <w:rPr>
                <w:rFonts w:ascii="Times New Roman" w:hAnsi="Times New Roman" w:cs="Times New Roman"/>
                <w:color w:val="000000" w:themeColor="text1"/>
                <w:sz w:val="16"/>
                <w:szCs w:val="16"/>
              </w:rPr>
            </w:pPr>
            <w:r w:rsidRPr="00452352">
              <w:rPr>
                <w:rFonts w:ascii="Times New Roman" w:hAnsi="Times New Roman" w:cs="Times New Roman"/>
                <w:b/>
                <w:color w:val="000000" w:themeColor="text1"/>
                <w:sz w:val="16"/>
                <w:szCs w:val="16"/>
                <w:lang w:val="en-US"/>
              </w:rPr>
              <w:t>OR</w:t>
            </w:r>
          </w:p>
        </w:tc>
        <w:tc>
          <w:tcPr>
            <w:tcW w:w="1134" w:type="dxa"/>
            <w:tcBorders>
              <w:bottom w:val="single" w:sz="4" w:space="0" w:color="auto"/>
            </w:tcBorders>
          </w:tcPr>
          <w:p w14:paraId="77F94F93" w14:textId="77777777" w:rsidR="00253E4E" w:rsidRPr="00452352" w:rsidRDefault="00253E4E" w:rsidP="00BD714C">
            <w:pPr>
              <w:spacing w:after="0" w:line="240" w:lineRule="auto"/>
              <w:jc w:val="center"/>
              <w:rPr>
                <w:rFonts w:ascii="Times New Roman" w:hAnsi="Times New Roman" w:cs="Times New Roman"/>
                <w:color w:val="000000" w:themeColor="text1"/>
                <w:sz w:val="16"/>
                <w:szCs w:val="16"/>
              </w:rPr>
            </w:pPr>
            <w:r w:rsidRPr="00452352">
              <w:rPr>
                <w:rFonts w:ascii="Times New Roman" w:hAnsi="Times New Roman" w:cs="Times New Roman"/>
                <w:b/>
                <w:color w:val="000000" w:themeColor="text1"/>
                <w:sz w:val="16"/>
                <w:szCs w:val="16"/>
                <w:lang w:val="en-US"/>
              </w:rPr>
              <w:t>95% CI</w:t>
            </w:r>
          </w:p>
        </w:tc>
        <w:tc>
          <w:tcPr>
            <w:tcW w:w="814" w:type="dxa"/>
            <w:tcBorders>
              <w:bottom w:val="single" w:sz="4" w:space="0" w:color="auto"/>
              <w:right w:val="dashed" w:sz="4" w:space="0" w:color="auto"/>
            </w:tcBorders>
          </w:tcPr>
          <w:p w14:paraId="326EACE5" w14:textId="77777777" w:rsidR="00253E4E" w:rsidRPr="00452352" w:rsidRDefault="00253E4E" w:rsidP="00BD714C">
            <w:pPr>
              <w:spacing w:after="0" w:line="240" w:lineRule="auto"/>
              <w:jc w:val="center"/>
              <w:rPr>
                <w:rFonts w:ascii="Times New Roman" w:hAnsi="Times New Roman" w:cs="Times New Roman"/>
                <w:color w:val="000000" w:themeColor="text1"/>
                <w:sz w:val="16"/>
                <w:szCs w:val="16"/>
              </w:rPr>
            </w:pPr>
            <w:r w:rsidRPr="00452352">
              <w:rPr>
                <w:rFonts w:ascii="Times New Roman" w:hAnsi="Times New Roman" w:cs="Times New Roman"/>
                <w:b/>
                <w:color w:val="000000" w:themeColor="text1"/>
                <w:sz w:val="16"/>
                <w:szCs w:val="16"/>
                <w:lang w:val="en-US"/>
              </w:rPr>
              <w:t>p-value</w:t>
            </w:r>
          </w:p>
        </w:tc>
        <w:tc>
          <w:tcPr>
            <w:tcW w:w="603" w:type="dxa"/>
            <w:tcBorders>
              <w:left w:val="dashed" w:sz="4" w:space="0" w:color="auto"/>
              <w:bottom w:val="single" w:sz="4" w:space="0" w:color="auto"/>
            </w:tcBorders>
          </w:tcPr>
          <w:p w14:paraId="5AEB95A5" w14:textId="77777777" w:rsidR="00253E4E" w:rsidRPr="00452352" w:rsidRDefault="00253E4E" w:rsidP="00BD714C">
            <w:pPr>
              <w:spacing w:after="0" w:line="240" w:lineRule="auto"/>
              <w:jc w:val="center"/>
              <w:rPr>
                <w:rFonts w:ascii="Times New Roman" w:hAnsi="Times New Roman" w:cs="Times New Roman"/>
                <w:color w:val="000000" w:themeColor="text1"/>
                <w:sz w:val="16"/>
                <w:szCs w:val="16"/>
              </w:rPr>
            </w:pPr>
            <w:r w:rsidRPr="00452352">
              <w:rPr>
                <w:rFonts w:ascii="Times New Roman" w:hAnsi="Times New Roman" w:cs="Times New Roman"/>
                <w:b/>
                <w:color w:val="000000" w:themeColor="text1"/>
                <w:sz w:val="16"/>
                <w:szCs w:val="16"/>
                <w:lang w:val="en-US"/>
              </w:rPr>
              <w:t>OR</w:t>
            </w:r>
          </w:p>
        </w:tc>
        <w:tc>
          <w:tcPr>
            <w:tcW w:w="1134" w:type="dxa"/>
            <w:tcBorders>
              <w:bottom w:val="single" w:sz="4" w:space="0" w:color="auto"/>
            </w:tcBorders>
          </w:tcPr>
          <w:p w14:paraId="1AD8CD96" w14:textId="77777777" w:rsidR="00253E4E" w:rsidRPr="00452352" w:rsidRDefault="00253E4E" w:rsidP="00BD714C">
            <w:pPr>
              <w:spacing w:after="0" w:line="240" w:lineRule="auto"/>
              <w:jc w:val="center"/>
              <w:rPr>
                <w:rFonts w:ascii="Times New Roman" w:hAnsi="Times New Roman" w:cs="Times New Roman"/>
                <w:color w:val="000000" w:themeColor="text1"/>
                <w:sz w:val="16"/>
                <w:szCs w:val="16"/>
              </w:rPr>
            </w:pPr>
            <w:r w:rsidRPr="00452352">
              <w:rPr>
                <w:rFonts w:ascii="Times New Roman" w:hAnsi="Times New Roman" w:cs="Times New Roman"/>
                <w:b/>
                <w:color w:val="000000" w:themeColor="text1"/>
                <w:sz w:val="16"/>
                <w:szCs w:val="16"/>
                <w:lang w:val="en-US"/>
              </w:rPr>
              <w:t>95% CI</w:t>
            </w:r>
          </w:p>
        </w:tc>
        <w:tc>
          <w:tcPr>
            <w:tcW w:w="851" w:type="dxa"/>
            <w:tcBorders>
              <w:bottom w:val="single" w:sz="4" w:space="0" w:color="auto"/>
              <w:right w:val="dashed" w:sz="4" w:space="0" w:color="auto"/>
            </w:tcBorders>
          </w:tcPr>
          <w:p w14:paraId="0A53A386" w14:textId="77777777" w:rsidR="00253E4E" w:rsidRPr="00452352" w:rsidRDefault="00253E4E" w:rsidP="00BD714C">
            <w:pPr>
              <w:spacing w:after="0" w:line="240" w:lineRule="auto"/>
              <w:jc w:val="center"/>
              <w:rPr>
                <w:rFonts w:ascii="Times New Roman" w:hAnsi="Times New Roman" w:cs="Times New Roman"/>
                <w:color w:val="000000" w:themeColor="text1"/>
                <w:sz w:val="16"/>
                <w:szCs w:val="16"/>
              </w:rPr>
            </w:pPr>
            <w:r w:rsidRPr="00452352">
              <w:rPr>
                <w:rFonts w:ascii="Times New Roman" w:hAnsi="Times New Roman" w:cs="Times New Roman"/>
                <w:b/>
                <w:color w:val="000000" w:themeColor="text1"/>
                <w:sz w:val="16"/>
                <w:szCs w:val="16"/>
                <w:lang w:val="en-US"/>
              </w:rPr>
              <w:t>p-</w:t>
            </w:r>
            <w:proofErr w:type="spellStart"/>
            <w:r w:rsidRPr="00452352">
              <w:rPr>
                <w:rFonts w:ascii="Times New Roman" w:hAnsi="Times New Roman" w:cs="Times New Roman"/>
                <w:b/>
                <w:color w:val="000000" w:themeColor="text1"/>
                <w:sz w:val="16"/>
                <w:szCs w:val="16"/>
                <w:lang w:val="en-US"/>
              </w:rPr>
              <w:t>valu</w:t>
            </w:r>
            <w:proofErr w:type="spellEnd"/>
            <w:r w:rsidRPr="00452352">
              <w:rPr>
                <w:rFonts w:ascii="Times New Roman" w:hAnsi="Times New Roman" w:cs="Times New Roman"/>
                <w:b/>
                <w:color w:val="000000" w:themeColor="text1"/>
                <w:sz w:val="16"/>
                <w:szCs w:val="16"/>
              </w:rPr>
              <w:t>e</w:t>
            </w:r>
          </w:p>
        </w:tc>
      </w:tr>
      <w:tr w:rsidR="00452352" w:rsidRPr="00452352" w14:paraId="3126C09A" w14:textId="77777777" w:rsidTr="00BD714C">
        <w:trPr>
          <w:trHeight w:val="113"/>
        </w:trPr>
        <w:tc>
          <w:tcPr>
            <w:tcW w:w="1587" w:type="dxa"/>
            <w:tcBorders>
              <w:top w:val="single" w:sz="4" w:space="0" w:color="auto"/>
              <w:right w:val="dashed" w:sz="4" w:space="0" w:color="auto"/>
            </w:tcBorders>
          </w:tcPr>
          <w:p w14:paraId="4E28B69F" w14:textId="77777777" w:rsidR="00253E4E" w:rsidRPr="00452352" w:rsidRDefault="00253E4E" w:rsidP="00BD714C">
            <w:pPr>
              <w:spacing w:after="0" w:line="240" w:lineRule="auto"/>
              <w:rPr>
                <w:rFonts w:ascii="Times New Roman" w:hAnsi="Times New Roman" w:cs="Times New Roman"/>
                <w:color w:val="000000" w:themeColor="text1"/>
                <w:sz w:val="16"/>
                <w:szCs w:val="16"/>
              </w:rPr>
            </w:pPr>
            <w:r w:rsidRPr="00452352">
              <w:rPr>
                <w:rFonts w:ascii="Times New Roman" w:hAnsi="Times New Roman" w:cs="Times New Roman"/>
                <w:color w:val="000000" w:themeColor="text1"/>
                <w:sz w:val="16"/>
                <w:szCs w:val="16"/>
              </w:rPr>
              <w:t>Total, n=96</w:t>
            </w:r>
          </w:p>
        </w:tc>
        <w:tc>
          <w:tcPr>
            <w:tcW w:w="1134" w:type="dxa"/>
            <w:tcBorders>
              <w:top w:val="single" w:sz="4" w:space="0" w:color="auto"/>
              <w:left w:val="dashed" w:sz="4" w:space="0" w:color="auto"/>
            </w:tcBorders>
          </w:tcPr>
          <w:p w14:paraId="0AF2D51F" w14:textId="77777777" w:rsidR="00253E4E" w:rsidRPr="00452352" w:rsidRDefault="00253E4E" w:rsidP="00BD714C">
            <w:pPr>
              <w:spacing w:after="0" w:line="240" w:lineRule="auto"/>
              <w:jc w:val="center"/>
              <w:rPr>
                <w:rFonts w:ascii="Times New Roman" w:hAnsi="Times New Roman" w:cs="Times New Roman"/>
                <w:color w:val="000000" w:themeColor="text1"/>
                <w:sz w:val="16"/>
                <w:szCs w:val="16"/>
              </w:rPr>
            </w:pPr>
            <w:r w:rsidRPr="00452352">
              <w:rPr>
                <w:rFonts w:ascii="Times New Roman" w:hAnsi="Times New Roman" w:cs="Times New Roman"/>
                <w:color w:val="000000" w:themeColor="text1"/>
                <w:sz w:val="16"/>
                <w:szCs w:val="16"/>
              </w:rPr>
              <w:t>86</w:t>
            </w:r>
          </w:p>
        </w:tc>
        <w:tc>
          <w:tcPr>
            <w:tcW w:w="1132" w:type="dxa"/>
            <w:tcBorders>
              <w:top w:val="single" w:sz="4" w:space="0" w:color="auto"/>
              <w:right w:val="dashed" w:sz="4" w:space="0" w:color="auto"/>
            </w:tcBorders>
          </w:tcPr>
          <w:p w14:paraId="20E6B432" w14:textId="77777777" w:rsidR="00253E4E" w:rsidRPr="00452352" w:rsidRDefault="00253E4E" w:rsidP="00BD714C">
            <w:pPr>
              <w:spacing w:after="0" w:line="240" w:lineRule="auto"/>
              <w:jc w:val="center"/>
              <w:rPr>
                <w:rFonts w:ascii="Times New Roman" w:hAnsi="Times New Roman" w:cs="Times New Roman"/>
                <w:color w:val="000000" w:themeColor="text1"/>
                <w:sz w:val="16"/>
                <w:szCs w:val="16"/>
              </w:rPr>
            </w:pPr>
            <w:r w:rsidRPr="00452352">
              <w:rPr>
                <w:rFonts w:ascii="Times New Roman" w:hAnsi="Times New Roman" w:cs="Times New Roman"/>
                <w:color w:val="000000" w:themeColor="text1"/>
                <w:sz w:val="16"/>
                <w:szCs w:val="16"/>
              </w:rPr>
              <w:t>10</w:t>
            </w:r>
          </w:p>
        </w:tc>
        <w:tc>
          <w:tcPr>
            <w:tcW w:w="639" w:type="dxa"/>
            <w:tcBorders>
              <w:top w:val="single" w:sz="4" w:space="0" w:color="auto"/>
              <w:left w:val="dashed" w:sz="4" w:space="0" w:color="auto"/>
            </w:tcBorders>
          </w:tcPr>
          <w:p w14:paraId="4D9BA2E7" w14:textId="77777777" w:rsidR="00253E4E" w:rsidRPr="00452352" w:rsidRDefault="00253E4E" w:rsidP="00BD714C">
            <w:pPr>
              <w:spacing w:after="0" w:line="240" w:lineRule="auto"/>
              <w:rPr>
                <w:rFonts w:ascii="Times New Roman" w:hAnsi="Times New Roman" w:cs="Times New Roman"/>
                <w:color w:val="000000" w:themeColor="text1"/>
                <w:sz w:val="16"/>
                <w:szCs w:val="16"/>
              </w:rPr>
            </w:pPr>
          </w:p>
        </w:tc>
        <w:tc>
          <w:tcPr>
            <w:tcW w:w="1134" w:type="dxa"/>
            <w:tcBorders>
              <w:top w:val="single" w:sz="4" w:space="0" w:color="auto"/>
            </w:tcBorders>
          </w:tcPr>
          <w:p w14:paraId="66C54F5B" w14:textId="77777777" w:rsidR="00253E4E" w:rsidRPr="00452352" w:rsidRDefault="00253E4E" w:rsidP="00BD714C">
            <w:pPr>
              <w:spacing w:after="0" w:line="240" w:lineRule="auto"/>
              <w:rPr>
                <w:rFonts w:ascii="Times New Roman" w:hAnsi="Times New Roman" w:cs="Times New Roman"/>
                <w:color w:val="000000" w:themeColor="text1"/>
                <w:sz w:val="16"/>
                <w:szCs w:val="16"/>
              </w:rPr>
            </w:pPr>
          </w:p>
        </w:tc>
        <w:tc>
          <w:tcPr>
            <w:tcW w:w="814" w:type="dxa"/>
            <w:tcBorders>
              <w:top w:val="single" w:sz="4" w:space="0" w:color="auto"/>
              <w:right w:val="dashed" w:sz="4" w:space="0" w:color="auto"/>
            </w:tcBorders>
          </w:tcPr>
          <w:p w14:paraId="3A82554A" w14:textId="77777777" w:rsidR="00253E4E" w:rsidRPr="00452352" w:rsidRDefault="00253E4E" w:rsidP="00BD714C">
            <w:pPr>
              <w:spacing w:after="0" w:line="240" w:lineRule="auto"/>
              <w:rPr>
                <w:rFonts w:ascii="Times New Roman" w:hAnsi="Times New Roman" w:cs="Times New Roman"/>
                <w:color w:val="000000" w:themeColor="text1"/>
                <w:sz w:val="16"/>
                <w:szCs w:val="16"/>
              </w:rPr>
            </w:pPr>
          </w:p>
        </w:tc>
        <w:tc>
          <w:tcPr>
            <w:tcW w:w="603" w:type="dxa"/>
            <w:tcBorders>
              <w:top w:val="single" w:sz="4" w:space="0" w:color="auto"/>
              <w:left w:val="dashed" w:sz="4" w:space="0" w:color="auto"/>
            </w:tcBorders>
          </w:tcPr>
          <w:p w14:paraId="350EBBB2" w14:textId="77777777" w:rsidR="00253E4E" w:rsidRPr="00452352" w:rsidRDefault="00253E4E" w:rsidP="00BD714C">
            <w:pPr>
              <w:spacing w:after="0" w:line="240" w:lineRule="auto"/>
              <w:rPr>
                <w:rFonts w:ascii="Times New Roman" w:hAnsi="Times New Roman" w:cs="Times New Roman"/>
                <w:color w:val="000000" w:themeColor="text1"/>
                <w:sz w:val="16"/>
                <w:szCs w:val="16"/>
              </w:rPr>
            </w:pPr>
          </w:p>
        </w:tc>
        <w:tc>
          <w:tcPr>
            <w:tcW w:w="1134" w:type="dxa"/>
            <w:tcBorders>
              <w:top w:val="single" w:sz="4" w:space="0" w:color="auto"/>
            </w:tcBorders>
          </w:tcPr>
          <w:p w14:paraId="11435DE7" w14:textId="77777777" w:rsidR="00253E4E" w:rsidRPr="00452352" w:rsidRDefault="00253E4E" w:rsidP="00BD714C">
            <w:pPr>
              <w:spacing w:after="0" w:line="240" w:lineRule="auto"/>
              <w:rPr>
                <w:rFonts w:ascii="Times New Roman" w:hAnsi="Times New Roman" w:cs="Times New Roman"/>
                <w:color w:val="000000" w:themeColor="text1"/>
                <w:sz w:val="16"/>
                <w:szCs w:val="16"/>
              </w:rPr>
            </w:pPr>
          </w:p>
        </w:tc>
        <w:tc>
          <w:tcPr>
            <w:tcW w:w="851" w:type="dxa"/>
            <w:tcBorders>
              <w:top w:val="single" w:sz="4" w:space="0" w:color="auto"/>
              <w:right w:val="dashed" w:sz="4" w:space="0" w:color="auto"/>
            </w:tcBorders>
          </w:tcPr>
          <w:p w14:paraId="60763045" w14:textId="77777777" w:rsidR="00253E4E" w:rsidRPr="00452352" w:rsidRDefault="00253E4E" w:rsidP="00BD714C">
            <w:pPr>
              <w:spacing w:after="0" w:line="240" w:lineRule="auto"/>
              <w:rPr>
                <w:rFonts w:ascii="Times New Roman" w:hAnsi="Times New Roman" w:cs="Times New Roman"/>
                <w:color w:val="000000" w:themeColor="text1"/>
                <w:sz w:val="16"/>
                <w:szCs w:val="16"/>
              </w:rPr>
            </w:pPr>
          </w:p>
        </w:tc>
      </w:tr>
      <w:tr w:rsidR="00452352" w:rsidRPr="00452352" w14:paraId="55814AFB" w14:textId="77777777" w:rsidTr="00BD714C">
        <w:trPr>
          <w:trHeight w:val="113"/>
        </w:trPr>
        <w:tc>
          <w:tcPr>
            <w:tcW w:w="1587" w:type="dxa"/>
            <w:tcBorders>
              <w:right w:val="dashed" w:sz="4" w:space="0" w:color="auto"/>
            </w:tcBorders>
            <w:shd w:val="clear" w:color="auto" w:fill="F2F2F2" w:themeFill="background1" w:themeFillShade="F2"/>
          </w:tcPr>
          <w:p w14:paraId="36B79F40" w14:textId="77777777" w:rsidR="00253E4E" w:rsidRPr="00452352" w:rsidRDefault="00253E4E" w:rsidP="00BD714C">
            <w:pPr>
              <w:spacing w:after="0" w:line="240" w:lineRule="auto"/>
              <w:rPr>
                <w:rFonts w:ascii="Times New Roman" w:hAnsi="Times New Roman" w:cs="Times New Roman"/>
                <w:b/>
                <w:color w:val="000000" w:themeColor="text1"/>
                <w:sz w:val="16"/>
                <w:szCs w:val="16"/>
              </w:rPr>
            </w:pPr>
            <w:r w:rsidRPr="00452352">
              <w:rPr>
                <w:rFonts w:ascii="Times New Roman" w:hAnsi="Times New Roman" w:cs="Times New Roman"/>
                <w:b/>
                <w:color w:val="000000" w:themeColor="text1"/>
                <w:sz w:val="16"/>
                <w:szCs w:val="16"/>
              </w:rPr>
              <w:t>Gender</w:t>
            </w:r>
          </w:p>
          <w:p w14:paraId="3D6522C8" w14:textId="77777777" w:rsidR="00253E4E" w:rsidRPr="00452352" w:rsidRDefault="00253E4E" w:rsidP="00BD714C">
            <w:pPr>
              <w:spacing w:after="0" w:line="240" w:lineRule="auto"/>
              <w:rPr>
                <w:rFonts w:ascii="Times New Roman" w:hAnsi="Times New Roman" w:cs="Times New Roman"/>
                <w:bCs/>
                <w:color w:val="000000" w:themeColor="text1"/>
                <w:sz w:val="16"/>
                <w:szCs w:val="16"/>
              </w:rPr>
            </w:pPr>
            <w:proofErr w:type="spellStart"/>
            <w:proofErr w:type="gramStart"/>
            <w:r w:rsidRPr="00452352">
              <w:rPr>
                <w:rFonts w:ascii="Times New Roman" w:hAnsi="Times New Roman" w:cs="Times New Roman"/>
                <w:bCs/>
                <w:color w:val="000000" w:themeColor="text1"/>
                <w:sz w:val="16"/>
                <w:szCs w:val="16"/>
              </w:rPr>
              <w:t>Female</w:t>
            </w:r>
            <w:proofErr w:type="spellEnd"/>
            <w:r w:rsidRPr="00452352">
              <w:rPr>
                <w:rFonts w:ascii="Times New Roman" w:hAnsi="Times New Roman" w:cs="Times New Roman"/>
                <w:bCs/>
                <w:color w:val="000000" w:themeColor="text1"/>
                <w:sz w:val="16"/>
                <w:szCs w:val="16"/>
              </w:rPr>
              <w:t xml:space="preserve"> :</w:t>
            </w:r>
            <w:proofErr w:type="gramEnd"/>
            <w:r w:rsidRPr="00452352">
              <w:rPr>
                <w:rFonts w:ascii="Times New Roman" w:hAnsi="Times New Roman" w:cs="Times New Roman"/>
                <w:bCs/>
                <w:color w:val="000000" w:themeColor="text1"/>
                <w:sz w:val="16"/>
                <w:szCs w:val="16"/>
              </w:rPr>
              <w:t xml:space="preserve"> Male</w:t>
            </w:r>
          </w:p>
        </w:tc>
        <w:tc>
          <w:tcPr>
            <w:tcW w:w="1134" w:type="dxa"/>
            <w:tcBorders>
              <w:left w:val="dashed" w:sz="4" w:space="0" w:color="auto"/>
            </w:tcBorders>
            <w:shd w:val="clear" w:color="auto" w:fill="F2F2F2" w:themeFill="background1" w:themeFillShade="F2"/>
          </w:tcPr>
          <w:p w14:paraId="6BF425E6" w14:textId="77777777" w:rsidR="00253E4E" w:rsidRPr="00452352" w:rsidRDefault="00253E4E" w:rsidP="00BD714C">
            <w:pPr>
              <w:spacing w:after="0" w:line="240" w:lineRule="auto"/>
              <w:jc w:val="center"/>
              <w:rPr>
                <w:rFonts w:ascii="Times New Roman" w:hAnsi="Times New Roman" w:cs="Times New Roman"/>
                <w:color w:val="000000" w:themeColor="text1"/>
                <w:sz w:val="16"/>
                <w:szCs w:val="16"/>
              </w:rPr>
            </w:pPr>
            <w:proofErr w:type="gramStart"/>
            <w:r w:rsidRPr="00452352">
              <w:rPr>
                <w:rFonts w:ascii="Times New Roman" w:hAnsi="Times New Roman" w:cs="Times New Roman"/>
                <w:color w:val="000000" w:themeColor="text1"/>
                <w:sz w:val="16"/>
                <w:szCs w:val="16"/>
              </w:rPr>
              <w:t>64 :</w:t>
            </w:r>
            <w:proofErr w:type="gramEnd"/>
            <w:r w:rsidRPr="00452352">
              <w:rPr>
                <w:rFonts w:ascii="Times New Roman" w:hAnsi="Times New Roman" w:cs="Times New Roman"/>
                <w:color w:val="000000" w:themeColor="text1"/>
                <w:sz w:val="16"/>
                <w:szCs w:val="16"/>
              </w:rPr>
              <w:t xml:space="preserve"> 22</w:t>
            </w:r>
          </w:p>
          <w:p w14:paraId="105EE131" w14:textId="77777777" w:rsidR="00253E4E" w:rsidRPr="00452352" w:rsidRDefault="00253E4E" w:rsidP="00BD714C">
            <w:pPr>
              <w:spacing w:after="0" w:line="240" w:lineRule="auto"/>
              <w:jc w:val="center"/>
              <w:rPr>
                <w:rFonts w:ascii="Times New Roman" w:hAnsi="Times New Roman" w:cs="Times New Roman"/>
                <w:color w:val="000000" w:themeColor="text1"/>
                <w:sz w:val="16"/>
                <w:szCs w:val="16"/>
              </w:rPr>
            </w:pPr>
            <w:r w:rsidRPr="00452352">
              <w:rPr>
                <w:rFonts w:ascii="Times New Roman" w:hAnsi="Times New Roman" w:cs="Times New Roman"/>
                <w:color w:val="000000" w:themeColor="text1"/>
                <w:sz w:val="16"/>
                <w:szCs w:val="16"/>
              </w:rPr>
              <w:t>(74</w:t>
            </w:r>
            <w:proofErr w:type="gramStart"/>
            <w:r w:rsidRPr="00452352">
              <w:rPr>
                <w:rFonts w:ascii="Times New Roman" w:hAnsi="Times New Roman" w:cs="Times New Roman"/>
                <w:color w:val="000000" w:themeColor="text1"/>
                <w:sz w:val="16"/>
                <w:szCs w:val="16"/>
              </w:rPr>
              <w:t>% :</w:t>
            </w:r>
            <w:proofErr w:type="gramEnd"/>
            <w:r w:rsidRPr="00452352">
              <w:rPr>
                <w:rFonts w:ascii="Times New Roman" w:hAnsi="Times New Roman" w:cs="Times New Roman"/>
                <w:color w:val="000000" w:themeColor="text1"/>
                <w:sz w:val="16"/>
                <w:szCs w:val="16"/>
              </w:rPr>
              <w:t xml:space="preserve"> 26%)</w:t>
            </w:r>
          </w:p>
        </w:tc>
        <w:tc>
          <w:tcPr>
            <w:tcW w:w="1132" w:type="dxa"/>
            <w:tcBorders>
              <w:right w:val="dashed" w:sz="4" w:space="0" w:color="auto"/>
            </w:tcBorders>
            <w:shd w:val="clear" w:color="auto" w:fill="F2F2F2" w:themeFill="background1" w:themeFillShade="F2"/>
          </w:tcPr>
          <w:p w14:paraId="22F1D95D" w14:textId="77777777" w:rsidR="00253E4E" w:rsidRPr="00452352" w:rsidRDefault="00253E4E" w:rsidP="00BD714C">
            <w:pPr>
              <w:spacing w:after="0" w:line="240" w:lineRule="auto"/>
              <w:jc w:val="center"/>
              <w:rPr>
                <w:rFonts w:ascii="Times New Roman" w:hAnsi="Times New Roman" w:cs="Times New Roman"/>
                <w:color w:val="000000" w:themeColor="text1"/>
                <w:sz w:val="16"/>
                <w:szCs w:val="16"/>
              </w:rPr>
            </w:pPr>
            <w:proofErr w:type="gramStart"/>
            <w:r w:rsidRPr="00452352">
              <w:rPr>
                <w:rFonts w:ascii="Times New Roman" w:hAnsi="Times New Roman" w:cs="Times New Roman"/>
                <w:color w:val="000000" w:themeColor="text1"/>
                <w:sz w:val="16"/>
                <w:szCs w:val="16"/>
              </w:rPr>
              <w:t>7 :</w:t>
            </w:r>
            <w:proofErr w:type="gramEnd"/>
            <w:r w:rsidRPr="00452352">
              <w:rPr>
                <w:rFonts w:ascii="Times New Roman" w:hAnsi="Times New Roman" w:cs="Times New Roman"/>
                <w:color w:val="000000" w:themeColor="text1"/>
                <w:sz w:val="16"/>
                <w:szCs w:val="16"/>
              </w:rPr>
              <w:t xml:space="preserve"> 3</w:t>
            </w:r>
          </w:p>
          <w:p w14:paraId="332C7FFB" w14:textId="77777777" w:rsidR="00253E4E" w:rsidRPr="00452352" w:rsidRDefault="00253E4E" w:rsidP="00BD714C">
            <w:pPr>
              <w:spacing w:after="0" w:line="240" w:lineRule="auto"/>
              <w:jc w:val="center"/>
              <w:rPr>
                <w:rFonts w:ascii="Times New Roman" w:hAnsi="Times New Roman" w:cs="Times New Roman"/>
                <w:color w:val="000000" w:themeColor="text1"/>
                <w:sz w:val="16"/>
                <w:szCs w:val="16"/>
              </w:rPr>
            </w:pPr>
            <w:r w:rsidRPr="00452352">
              <w:rPr>
                <w:rFonts w:ascii="Times New Roman" w:hAnsi="Times New Roman" w:cs="Times New Roman"/>
                <w:color w:val="000000" w:themeColor="text1"/>
                <w:sz w:val="16"/>
                <w:szCs w:val="16"/>
              </w:rPr>
              <w:t>(70</w:t>
            </w:r>
            <w:proofErr w:type="gramStart"/>
            <w:r w:rsidRPr="00452352">
              <w:rPr>
                <w:rFonts w:ascii="Times New Roman" w:hAnsi="Times New Roman" w:cs="Times New Roman"/>
                <w:color w:val="000000" w:themeColor="text1"/>
                <w:sz w:val="16"/>
                <w:szCs w:val="16"/>
              </w:rPr>
              <w:t>% :</w:t>
            </w:r>
            <w:proofErr w:type="gramEnd"/>
            <w:r w:rsidRPr="00452352">
              <w:rPr>
                <w:rFonts w:ascii="Times New Roman" w:hAnsi="Times New Roman" w:cs="Times New Roman"/>
                <w:color w:val="000000" w:themeColor="text1"/>
                <w:sz w:val="16"/>
                <w:szCs w:val="16"/>
              </w:rPr>
              <w:t xml:space="preserve"> 30%)</w:t>
            </w:r>
          </w:p>
        </w:tc>
        <w:tc>
          <w:tcPr>
            <w:tcW w:w="639" w:type="dxa"/>
            <w:tcBorders>
              <w:left w:val="dashed" w:sz="4" w:space="0" w:color="auto"/>
            </w:tcBorders>
            <w:shd w:val="clear" w:color="auto" w:fill="F2F2F2" w:themeFill="background1" w:themeFillShade="F2"/>
          </w:tcPr>
          <w:p w14:paraId="4D3686B1" w14:textId="77777777" w:rsidR="00253E4E" w:rsidRPr="00452352" w:rsidRDefault="00253E4E" w:rsidP="00BD714C">
            <w:pPr>
              <w:spacing w:before="80" w:after="0" w:line="240" w:lineRule="auto"/>
              <w:jc w:val="center"/>
              <w:rPr>
                <w:rFonts w:ascii="Times New Roman" w:hAnsi="Times New Roman" w:cs="Times New Roman"/>
                <w:color w:val="000000" w:themeColor="text1"/>
                <w:sz w:val="16"/>
                <w:szCs w:val="16"/>
              </w:rPr>
            </w:pPr>
            <w:r w:rsidRPr="00452352">
              <w:rPr>
                <w:rFonts w:ascii="Times New Roman" w:hAnsi="Times New Roman" w:cs="Times New Roman"/>
                <w:color w:val="000000" w:themeColor="text1"/>
                <w:sz w:val="16"/>
                <w:szCs w:val="16"/>
              </w:rPr>
              <w:t>1.247</w:t>
            </w:r>
          </w:p>
        </w:tc>
        <w:tc>
          <w:tcPr>
            <w:tcW w:w="1134" w:type="dxa"/>
            <w:shd w:val="clear" w:color="auto" w:fill="F2F2F2" w:themeFill="background1" w:themeFillShade="F2"/>
          </w:tcPr>
          <w:p w14:paraId="3FDA0B38" w14:textId="77777777" w:rsidR="00253E4E" w:rsidRPr="00452352" w:rsidRDefault="00253E4E" w:rsidP="00BD714C">
            <w:pPr>
              <w:spacing w:before="80" w:after="0" w:line="240" w:lineRule="auto"/>
              <w:jc w:val="center"/>
              <w:rPr>
                <w:rFonts w:ascii="Times New Roman" w:hAnsi="Times New Roman" w:cs="Times New Roman"/>
                <w:color w:val="000000" w:themeColor="text1"/>
                <w:sz w:val="16"/>
                <w:szCs w:val="16"/>
              </w:rPr>
            </w:pPr>
            <w:r w:rsidRPr="00452352">
              <w:rPr>
                <w:rFonts w:ascii="Times New Roman" w:hAnsi="Times New Roman" w:cs="Times New Roman"/>
                <w:color w:val="000000" w:themeColor="text1"/>
                <w:sz w:val="16"/>
                <w:szCs w:val="16"/>
              </w:rPr>
              <w:t>0.296-5.244</w:t>
            </w:r>
          </w:p>
        </w:tc>
        <w:tc>
          <w:tcPr>
            <w:tcW w:w="814" w:type="dxa"/>
            <w:tcBorders>
              <w:right w:val="dashed" w:sz="4" w:space="0" w:color="auto"/>
            </w:tcBorders>
            <w:shd w:val="clear" w:color="auto" w:fill="F2F2F2" w:themeFill="background1" w:themeFillShade="F2"/>
          </w:tcPr>
          <w:p w14:paraId="2AED31CC" w14:textId="77777777" w:rsidR="00253E4E" w:rsidRPr="00452352" w:rsidRDefault="00253E4E" w:rsidP="00BD714C">
            <w:pPr>
              <w:spacing w:before="80" w:after="0" w:line="240" w:lineRule="auto"/>
              <w:jc w:val="center"/>
              <w:rPr>
                <w:rFonts w:ascii="Times New Roman" w:hAnsi="Times New Roman" w:cs="Times New Roman"/>
                <w:color w:val="000000" w:themeColor="text1"/>
                <w:sz w:val="16"/>
                <w:szCs w:val="16"/>
              </w:rPr>
            </w:pPr>
            <w:r w:rsidRPr="00452352">
              <w:rPr>
                <w:rFonts w:ascii="Times New Roman" w:hAnsi="Times New Roman" w:cs="Times New Roman"/>
                <w:color w:val="000000" w:themeColor="text1"/>
                <w:sz w:val="16"/>
                <w:szCs w:val="16"/>
              </w:rPr>
              <w:t>0.764</w:t>
            </w:r>
          </w:p>
        </w:tc>
        <w:tc>
          <w:tcPr>
            <w:tcW w:w="603" w:type="dxa"/>
            <w:tcBorders>
              <w:left w:val="dashed" w:sz="4" w:space="0" w:color="auto"/>
            </w:tcBorders>
            <w:shd w:val="clear" w:color="auto" w:fill="F2F2F2" w:themeFill="background1" w:themeFillShade="F2"/>
          </w:tcPr>
          <w:p w14:paraId="689C1967" w14:textId="77777777" w:rsidR="00253E4E" w:rsidRPr="00452352" w:rsidRDefault="00253E4E" w:rsidP="00BD714C">
            <w:pPr>
              <w:spacing w:before="80" w:after="0" w:line="240" w:lineRule="auto"/>
              <w:jc w:val="center"/>
              <w:rPr>
                <w:rFonts w:ascii="Times New Roman" w:hAnsi="Times New Roman" w:cs="Times New Roman"/>
                <w:color w:val="000000" w:themeColor="text1"/>
                <w:sz w:val="16"/>
                <w:szCs w:val="16"/>
              </w:rPr>
            </w:pPr>
          </w:p>
        </w:tc>
        <w:tc>
          <w:tcPr>
            <w:tcW w:w="1134" w:type="dxa"/>
            <w:shd w:val="clear" w:color="auto" w:fill="F2F2F2" w:themeFill="background1" w:themeFillShade="F2"/>
          </w:tcPr>
          <w:p w14:paraId="47876A65" w14:textId="77777777" w:rsidR="00253E4E" w:rsidRPr="00452352" w:rsidRDefault="00253E4E" w:rsidP="00BD714C">
            <w:pPr>
              <w:spacing w:before="80" w:after="0" w:line="240" w:lineRule="auto"/>
              <w:jc w:val="center"/>
              <w:rPr>
                <w:rFonts w:ascii="Times New Roman" w:hAnsi="Times New Roman" w:cs="Times New Roman"/>
                <w:color w:val="000000" w:themeColor="text1"/>
                <w:sz w:val="16"/>
                <w:szCs w:val="16"/>
              </w:rPr>
            </w:pPr>
          </w:p>
        </w:tc>
        <w:tc>
          <w:tcPr>
            <w:tcW w:w="851" w:type="dxa"/>
            <w:tcBorders>
              <w:right w:val="dashed" w:sz="4" w:space="0" w:color="auto"/>
            </w:tcBorders>
            <w:shd w:val="clear" w:color="auto" w:fill="F2F2F2" w:themeFill="background1" w:themeFillShade="F2"/>
          </w:tcPr>
          <w:p w14:paraId="310986B3" w14:textId="77777777" w:rsidR="00253E4E" w:rsidRPr="00452352" w:rsidRDefault="00253E4E" w:rsidP="00BD714C">
            <w:pPr>
              <w:spacing w:before="80" w:after="0" w:line="240" w:lineRule="auto"/>
              <w:jc w:val="center"/>
              <w:rPr>
                <w:rFonts w:ascii="Times New Roman" w:hAnsi="Times New Roman" w:cs="Times New Roman"/>
                <w:color w:val="000000" w:themeColor="text1"/>
                <w:sz w:val="16"/>
                <w:szCs w:val="16"/>
              </w:rPr>
            </w:pPr>
          </w:p>
        </w:tc>
      </w:tr>
      <w:tr w:rsidR="00452352" w:rsidRPr="00452352" w14:paraId="34F43425" w14:textId="77777777" w:rsidTr="00BD714C">
        <w:trPr>
          <w:trHeight w:val="113"/>
        </w:trPr>
        <w:tc>
          <w:tcPr>
            <w:tcW w:w="1587" w:type="dxa"/>
            <w:tcBorders>
              <w:right w:val="dashed" w:sz="4" w:space="0" w:color="auto"/>
            </w:tcBorders>
          </w:tcPr>
          <w:p w14:paraId="5C2663BC" w14:textId="77777777" w:rsidR="00253E4E" w:rsidRPr="00452352" w:rsidRDefault="00253E4E" w:rsidP="00BD714C">
            <w:pPr>
              <w:spacing w:after="0" w:line="240" w:lineRule="auto"/>
              <w:rPr>
                <w:rFonts w:ascii="Times New Roman" w:hAnsi="Times New Roman" w:cs="Times New Roman"/>
                <w:b/>
                <w:color w:val="000000" w:themeColor="text1"/>
                <w:sz w:val="16"/>
                <w:szCs w:val="16"/>
              </w:rPr>
            </w:pPr>
            <w:r w:rsidRPr="00452352">
              <w:rPr>
                <w:rFonts w:ascii="Times New Roman" w:hAnsi="Times New Roman" w:cs="Times New Roman"/>
                <w:b/>
                <w:color w:val="000000" w:themeColor="text1"/>
                <w:sz w:val="16"/>
                <w:szCs w:val="16"/>
              </w:rPr>
              <w:t>Age</w:t>
            </w:r>
          </w:p>
          <w:p w14:paraId="47CD1A5C" w14:textId="77777777" w:rsidR="00253E4E" w:rsidRPr="00452352" w:rsidRDefault="00253E4E" w:rsidP="00BD714C">
            <w:pPr>
              <w:spacing w:after="0" w:line="240" w:lineRule="auto"/>
              <w:rPr>
                <w:rFonts w:ascii="Times New Roman" w:hAnsi="Times New Roman" w:cs="Times New Roman"/>
                <w:b/>
                <w:color w:val="000000" w:themeColor="text1"/>
                <w:sz w:val="16"/>
                <w:szCs w:val="16"/>
              </w:rPr>
            </w:pPr>
            <w:r w:rsidRPr="00452352">
              <w:rPr>
                <w:rFonts w:ascii="Times New Roman" w:hAnsi="Times New Roman" w:cs="Times New Roman"/>
                <w:color w:val="000000" w:themeColor="text1"/>
                <w:sz w:val="16"/>
                <w:szCs w:val="16"/>
              </w:rPr>
              <w:t xml:space="preserve">≤52 </w:t>
            </w:r>
            <w:proofErr w:type="spellStart"/>
            <w:proofErr w:type="gramStart"/>
            <w:r w:rsidRPr="00452352">
              <w:rPr>
                <w:rFonts w:ascii="Times New Roman" w:hAnsi="Times New Roman" w:cs="Times New Roman"/>
                <w:color w:val="000000" w:themeColor="text1"/>
                <w:sz w:val="16"/>
                <w:szCs w:val="16"/>
              </w:rPr>
              <w:t>yrs</w:t>
            </w:r>
            <w:proofErr w:type="spellEnd"/>
            <w:r w:rsidRPr="00452352">
              <w:rPr>
                <w:rFonts w:ascii="Times New Roman" w:hAnsi="Times New Roman" w:cs="Times New Roman"/>
                <w:color w:val="000000" w:themeColor="text1"/>
                <w:sz w:val="16"/>
                <w:szCs w:val="16"/>
              </w:rPr>
              <w:t xml:space="preserve"> :</w:t>
            </w:r>
            <w:proofErr w:type="gramEnd"/>
            <w:r w:rsidRPr="00452352">
              <w:rPr>
                <w:rFonts w:ascii="Times New Roman" w:hAnsi="Times New Roman" w:cs="Times New Roman"/>
                <w:color w:val="000000" w:themeColor="text1"/>
                <w:sz w:val="16"/>
                <w:szCs w:val="16"/>
              </w:rPr>
              <w:t xml:space="preserve"> &gt;52 </w:t>
            </w:r>
            <w:proofErr w:type="spellStart"/>
            <w:r w:rsidRPr="00452352">
              <w:rPr>
                <w:rFonts w:ascii="Times New Roman" w:hAnsi="Times New Roman" w:cs="Times New Roman"/>
                <w:color w:val="000000" w:themeColor="text1"/>
                <w:sz w:val="16"/>
                <w:szCs w:val="16"/>
              </w:rPr>
              <w:t>yrs</w:t>
            </w:r>
            <w:proofErr w:type="spellEnd"/>
          </w:p>
        </w:tc>
        <w:tc>
          <w:tcPr>
            <w:tcW w:w="1134" w:type="dxa"/>
            <w:tcBorders>
              <w:left w:val="dashed" w:sz="4" w:space="0" w:color="auto"/>
            </w:tcBorders>
          </w:tcPr>
          <w:p w14:paraId="227906F4" w14:textId="77777777" w:rsidR="00253E4E" w:rsidRPr="00452352" w:rsidRDefault="00253E4E" w:rsidP="00BD714C">
            <w:pPr>
              <w:spacing w:after="0" w:line="240" w:lineRule="auto"/>
              <w:jc w:val="center"/>
              <w:rPr>
                <w:rFonts w:ascii="Times New Roman" w:hAnsi="Times New Roman" w:cs="Times New Roman"/>
                <w:color w:val="000000" w:themeColor="text1"/>
                <w:sz w:val="16"/>
                <w:szCs w:val="16"/>
              </w:rPr>
            </w:pPr>
            <w:proofErr w:type="gramStart"/>
            <w:r w:rsidRPr="00452352">
              <w:rPr>
                <w:rFonts w:ascii="Times New Roman" w:hAnsi="Times New Roman" w:cs="Times New Roman"/>
                <w:color w:val="000000" w:themeColor="text1"/>
                <w:sz w:val="16"/>
                <w:szCs w:val="16"/>
              </w:rPr>
              <w:t>45 :</w:t>
            </w:r>
            <w:proofErr w:type="gramEnd"/>
            <w:r w:rsidRPr="00452352">
              <w:rPr>
                <w:rFonts w:ascii="Times New Roman" w:hAnsi="Times New Roman" w:cs="Times New Roman"/>
                <w:color w:val="000000" w:themeColor="text1"/>
                <w:sz w:val="16"/>
                <w:szCs w:val="16"/>
              </w:rPr>
              <w:t xml:space="preserve"> 41</w:t>
            </w:r>
          </w:p>
          <w:p w14:paraId="180C75B7" w14:textId="77777777" w:rsidR="00253E4E" w:rsidRPr="00452352" w:rsidRDefault="00253E4E" w:rsidP="00BD714C">
            <w:pPr>
              <w:spacing w:after="0" w:line="240" w:lineRule="auto"/>
              <w:jc w:val="center"/>
              <w:rPr>
                <w:rFonts w:ascii="Times New Roman" w:hAnsi="Times New Roman" w:cs="Times New Roman"/>
                <w:color w:val="000000" w:themeColor="text1"/>
                <w:sz w:val="16"/>
                <w:szCs w:val="16"/>
              </w:rPr>
            </w:pPr>
            <w:r w:rsidRPr="00452352">
              <w:rPr>
                <w:rFonts w:ascii="Times New Roman" w:hAnsi="Times New Roman" w:cs="Times New Roman"/>
                <w:color w:val="000000" w:themeColor="text1"/>
                <w:sz w:val="16"/>
                <w:szCs w:val="16"/>
              </w:rPr>
              <w:t>(52</w:t>
            </w:r>
            <w:proofErr w:type="gramStart"/>
            <w:r w:rsidRPr="00452352">
              <w:rPr>
                <w:rFonts w:ascii="Times New Roman" w:hAnsi="Times New Roman" w:cs="Times New Roman"/>
                <w:color w:val="000000" w:themeColor="text1"/>
                <w:sz w:val="16"/>
                <w:szCs w:val="16"/>
              </w:rPr>
              <w:t>% :</w:t>
            </w:r>
            <w:proofErr w:type="gramEnd"/>
            <w:r w:rsidRPr="00452352">
              <w:rPr>
                <w:rFonts w:ascii="Times New Roman" w:hAnsi="Times New Roman" w:cs="Times New Roman"/>
                <w:color w:val="000000" w:themeColor="text1"/>
                <w:sz w:val="16"/>
                <w:szCs w:val="16"/>
              </w:rPr>
              <w:t xml:space="preserve"> 48%)</w:t>
            </w:r>
          </w:p>
        </w:tc>
        <w:tc>
          <w:tcPr>
            <w:tcW w:w="1132" w:type="dxa"/>
            <w:tcBorders>
              <w:right w:val="dashed" w:sz="4" w:space="0" w:color="auto"/>
            </w:tcBorders>
          </w:tcPr>
          <w:p w14:paraId="310CB45D" w14:textId="77777777" w:rsidR="00253E4E" w:rsidRPr="00452352" w:rsidRDefault="00253E4E" w:rsidP="00BD714C">
            <w:pPr>
              <w:spacing w:after="0" w:line="240" w:lineRule="auto"/>
              <w:jc w:val="center"/>
              <w:rPr>
                <w:rFonts w:ascii="Times New Roman" w:hAnsi="Times New Roman" w:cs="Times New Roman"/>
                <w:color w:val="000000" w:themeColor="text1"/>
                <w:sz w:val="16"/>
                <w:szCs w:val="16"/>
              </w:rPr>
            </w:pPr>
            <w:proofErr w:type="gramStart"/>
            <w:r w:rsidRPr="00452352">
              <w:rPr>
                <w:rFonts w:ascii="Times New Roman" w:hAnsi="Times New Roman" w:cs="Times New Roman"/>
                <w:color w:val="000000" w:themeColor="text1"/>
                <w:sz w:val="16"/>
                <w:szCs w:val="16"/>
              </w:rPr>
              <w:t>3 :</w:t>
            </w:r>
            <w:proofErr w:type="gramEnd"/>
            <w:r w:rsidRPr="00452352">
              <w:rPr>
                <w:rFonts w:ascii="Times New Roman" w:hAnsi="Times New Roman" w:cs="Times New Roman"/>
                <w:color w:val="000000" w:themeColor="text1"/>
                <w:sz w:val="16"/>
                <w:szCs w:val="16"/>
              </w:rPr>
              <w:t xml:space="preserve"> 7</w:t>
            </w:r>
          </w:p>
          <w:p w14:paraId="4F70272E" w14:textId="77777777" w:rsidR="00253E4E" w:rsidRPr="00452352" w:rsidRDefault="00253E4E" w:rsidP="00BD714C">
            <w:pPr>
              <w:spacing w:after="0" w:line="240" w:lineRule="auto"/>
              <w:jc w:val="center"/>
              <w:rPr>
                <w:rFonts w:ascii="Times New Roman" w:hAnsi="Times New Roman" w:cs="Times New Roman"/>
                <w:color w:val="000000" w:themeColor="text1"/>
                <w:sz w:val="16"/>
                <w:szCs w:val="16"/>
              </w:rPr>
            </w:pPr>
            <w:r w:rsidRPr="00452352">
              <w:rPr>
                <w:rFonts w:ascii="Times New Roman" w:hAnsi="Times New Roman" w:cs="Times New Roman"/>
                <w:color w:val="000000" w:themeColor="text1"/>
                <w:sz w:val="16"/>
                <w:szCs w:val="16"/>
              </w:rPr>
              <w:t>(30</w:t>
            </w:r>
            <w:proofErr w:type="gramStart"/>
            <w:r w:rsidRPr="00452352">
              <w:rPr>
                <w:rFonts w:ascii="Times New Roman" w:hAnsi="Times New Roman" w:cs="Times New Roman"/>
                <w:color w:val="000000" w:themeColor="text1"/>
                <w:sz w:val="16"/>
                <w:szCs w:val="16"/>
              </w:rPr>
              <w:t>% :</w:t>
            </w:r>
            <w:proofErr w:type="gramEnd"/>
            <w:r w:rsidRPr="00452352">
              <w:rPr>
                <w:rFonts w:ascii="Times New Roman" w:hAnsi="Times New Roman" w:cs="Times New Roman"/>
                <w:color w:val="000000" w:themeColor="text1"/>
                <w:sz w:val="16"/>
                <w:szCs w:val="16"/>
              </w:rPr>
              <w:t xml:space="preserve"> 70%)</w:t>
            </w:r>
          </w:p>
        </w:tc>
        <w:tc>
          <w:tcPr>
            <w:tcW w:w="639" w:type="dxa"/>
            <w:tcBorders>
              <w:left w:val="dashed" w:sz="4" w:space="0" w:color="auto"/>
            </w:tcBorders>
          </w:tcPr>
          <w:p w14:paraId="1C9BEFEC" w14:textId="77777777" w:rsidR="00253E4E" w:rsidRPr="00452352" w:rsidRDefault="00253E4E" w:rsidP="00BD714C">
            <w:pPr>
              <w:spacing w:before="80" w:after="0" w:line="240" w:lineRule="auto"/>
              <w:jc w:val="center"/>
              <w:rPr>
                <w:rFonts w:ascii="Times New Roman" w:hAnsi="Times New Roman" w:cs="Times New Roman"/>
                <w:color w:val="000000" w:themeColor="text1"/>
                <w:sz w:val="16"/>
                <w:szCs w:val="16"/>
              </w:rPr>
            </w:pPr>
            <w:r w:rsidRPr="00452352">
              <w:rPr>
                <w:rFonts w:ascii="Times New Roman" w:hAnsi="Times New Roman" w:cs="Times New Roman"/>
                <w:color w:val="000000" w:themeColor="text1"/>
                <w:sz w:val="16"/>
                <w:szCs w:val="16"/>
              </w:rPr>
              <w:t>0.390</w:t>
            </w:r>
          </w:p>
        </w:tc>
        <w:tc>
          <w:tcPr>
            <w:tcW w:w="1134" w:type="dxa"/>
          </w:tcPr>
          <w:p w14:paraId="254FECE7" w14:textId="77777777" w:rsidR="00253E4E" w:rsidRPr="00452352" w:rsidRDefault="00253E4E" w:rsidP="00BD714C">
            <w:pPr>
              <w:spacing w:before="80" w:after="0" w:line="240" w:lineRule="auto"/>
              <w:jc w:val="center"/>
              <w:rPr>
                <w:rFonts w:ascii="Times New Roman" w:hAnsi="Times New Roman" w:cs="Times New Roman"/>
                <w:color w:val="000000" w:themeColor="text1"/>
                <w:sz w:val="16"/>
                <w:szCs w:val="16"/>
              </w:rPr>
            </w:pPr>
            <w:r w:rsidRPr="00452352">
              <w:rPr>
                <w:rFonts w:ascii="Times New Roman" w:hAnsi="Times New Roman" w:cs="Times New Roman"/>
                <w:color w:val="000000" w:themeColor="text1"/>
                <w:sz w:val="16"/>
                <w:szCs w:val="16"/>
              </w:rPr>
              <w:t>0.095-1.611</w:t>
            </w:r>
          </w:p>
        </w:tc>
        <w:tc>
          <w:tcPr>
            <w:tcW w:w="814" w:type="dxa"/>
            <w:tcBorders>
              <w:right w:val="dashed" w:sz="4" w:space="0" w:color="auto"/>
            </w:tcBorders>
          </w:tcPr>
          <w:p w14:paraId="06402E4B" w14:textId="77777777" w:rsidR="00253E4E" w:rsidRPr="00452352" w:rsidRDefault="00253E4E" w:rsidP="00BD714C">
            <w:pPr>
              <w:spacing w:before="80" w:after="0" w:line="240" w:lineRule="auto"/>
              <w:jc w:val="center"/>
              <w:rPr>
                <w:rFonts w:ascii="Times New Roman" w:hAnsi="Times New Roman" w:cs="Times New Roman"/>
                <w:color w:val="000000" w:themeColor="text1"/>
                <w:sz w:val="16"/>
                <w:szCs w:val="16"/>
              </w:rPr>
            </w:pPr>
            <w:r w:rsidRPr="00452352">
              <w:rPr>
                <w:rFonts w:ascii="Times New Roman" w:hAnsi="Times New Roman" w:cs="Times New Roman"/>
                <w:color w:val="000000" w:themeColor="text1"/>
                <w:sz w:val="16"/>
                <w:szCs w:val="16"/>
              </w:rPr>
              <w:t>0.193</w:t>
            </w:r>
          </w:p>
        </w:tc>
        <w:tc>
          <w:tcPr>
            <w:tcW w:w="603" w:type="dxa"/>
            <w:tcBorders>
              <w:left w:val="dashed" w:sz="4" w:space="0" w:color="auto"/>
            </w:tcBorders>
          </w:tcPr>
          <w:p w14:paraId="673C9496" w14:textId="77777777" w:rsidR="00253E4E" w:rsidRPr="00452352" w:rsidRDefault="00253E4E" w:rsidP="00BD714C">
            <w:pPr>
              <w:spacing w:before="80" w:after="0" w:line="240" w:lineRule="auto"/>
              <w:jc w:val="center"/>
              <w:rPr>
                <w:rFonts w:ascii="Times New Roman" w:hAnsi="Times New Roman" w:cs="Times New Roman"/>
                <w:color w:val="000000" w:themeColor="text1"/>
                <w:sz w:val="16"/>
                <w:szCs w:val="16"/>
              </w:rPr>
            </w:pPr>
          </w:p>
        </w:tc>
        <w:tc>
          <w:tcPr>
            <w:tcW w:w="1134" w:type="dxa"/>
          </w:tcPr>
          <w:p w14:paraId="1A1D382E" w14:textId="77777777" w:rsidR="00253E4E" w:rsidRPr="00452352" w:rsidRDefault="00253E4E" w:rsidP="00BD714C">
            <w:pPr>
              <w:spacing w:before="80" w:after="0" w:line="240" w:lineRule="auto"/>
              <w:jc w:val="center"/>
              <w:rPr>
                <w:rFonts w:ascii="Times New Roman" w:hAnsi="Times New Roman" w:cs="Times New Roman"/>
                <w:color w:val="000000" w:themeColor="text1"/>
                <w:sz w:val="16"/>
                <w:szCs w:val="16"/>
              </w:rPr>
            </w:pPr>
          </w:p>
        </w:tc>
        <w:tc>
          <w:tcPr>
            <w:tcW w:w="851" w:type="dxa"/>
            <w:tcBorders>
              <w:right w:val="dashed" w:sz="4" w:space="0" w:color="auto"/>
            </w:tcBorders>
          </w:tcPr>
          <w:p w14:paraId="6E00EF96" w14:textId="77777777" w:rsidR="00253E4E" w:rsidRPr="00452352" w:rsidRDefault="00253E4E" w:rsidP="00BD714C">
            <w:pPr>
              <w:spacing w:before="80" w:after="0" w:line="240" w:lineRule="auto"/>
              <w:jc w:val="center"/>
              <w:rPr>
                <w:rFonts w:ascii="Times New Roman" w:hAnsi="Times New Roman" w:cs="Times New Roman"/>
                <w:color w:val="000000" w:themeColor="text1"/>
                <w:sz w:val="16"/>
                <w:szCs w:val="16"/>
              </w:rPr>
            </w:pPr>
          </w:p>
        </w:tc>
      </w:tr>
      <w:tr w:rsidR="00452352" w:rsidRPr="00452352" w14:paraId="00A6B2C8" w14:textId="77777777" w:rsidTr="00BD714C">
        <w:trPr>
          <w:trHeight w:val="113"/>
        </w:trPr>
        <w:tc>
          <w:tcPr>
            <w:tcW w:w="1587" w:type="dxa"/>
            <w:tcBorders>
              <w:right w:val="dashed" w:sz="4" w:space="0" w:color="auto"/>
            </w:tcBorders>
            <w:shd w:val="clear" w:color="auto" w:fill="F2F2F2" w:themeFill="background1" w:themeFillShade="F2"/>
          </w:tcPr>
          <w:p w14:paraId="17814397" w14:textId="6C2CEFBB" w:rsidR="00253E4E" w:rsidRPr="00452352" w:rsidRDefault="00852491" w:rsidP="00BD714C">
            <w:pPr>
              <w:spacing w:after="0" w:line="240" w:lineRule="auto"/>
              <w:rPr>
                <w:rFonts w:ascii="Times New Roman" w:hAnsi="Times New Roman" w:cs="Times New Roman"/>
                <w:b/>
                <w:bCs/>
                <w:color w:val="000000" w:themeColor="text1"/>
                <w:sz w:val="16"/>
                <w:szCs w:val="16"/>
              </w:rPr>
            </w:pPr>
            <w:r w:rsidRPr="00452352">
              <w:rPr>
                <w:rFonts w:ascii="Times New Roman" w:hAnsi="Times New Roman" w:cs="Times New Roman"/>
                <w:b/>
                <w:bCs/>
                <w:color w:val="000000" w:themeColor="text1"/>
                <w:sz w:val="16"/>
                <w:szCs w:val="16"/>
              </w:rPr>
              <w:t xml:space="preserve">Art. </w:t>
            </w:r>
            <w:proofErr w:type="spellStart"/>
            <w:r w:rsidR="00253E4E" w:rsidRPr="00452352">
              <w:rPr>
                <w:rFonts w:ascii="Times New Roman" w:hAnsi="Times New Roman" w:cs="Times New Roman"/>
                <w:b/>
                <w:bCs/>
                <w:color w:val="000000" w:themeColor="text1"/>
                <w:sz w:val="16"/>
                <w:szCs w:val="16"/>
              </w:rPr>
              <w:t>hypertension</w:t>
            </w:r>
            <w:proofErr w:type="spellEnd"/>
          </w:p>
          <w:p w14:paraId="550AAAA8" w14:textId="77777777" w:rsidR="00253E4E" w:rsidRPr="00452352" w:rsidRDefault="00253E4E" w:rsidP="00BD714C">
            <w:pPr>
              <w:spacing w:after="0" w:line="240" w:lineRule="auto"/>
              <w:rPr>
                <w:rFonts w:ascii="Times New Roman" w:hAnsi="Times New Roman" w:cs="Times New Roman"/>
                <w:bCs/>
                <w:color w:val="000000" w:themeColor="text1"/>
                <w:sz w:val="16"/>
                <w:szCs w:val="16"/>
              </w:rPr>
            </w:pPr>
            <w:proofErr w:type="gramStart"/>
            <w:r w:rsidRPr="00452352">
              <w:rPr>
                <w:rFonts w:ascii="Times New Roman" w:hAnsi="Times New Roman" w:cs="Times New Roman"/>
                <w:bCs/>
                <w:color w:val="000000" w:themeColor="text1"/>
                <w:sz w:val="16"/>
                <w:szCs w:val="16"/>
              </w:rPr>
              <w:t>Yes :</w:t>
            </w:r>
            <w:proofErr w:type="gramEnd"/>
            <w:r w:rsidRPr="00452352">
              <w:rPr>
                <w:rFonts w:ascii="Times New Roman" w:hAnsi="Times New Roman" w:cs="Times New Roman"/>
                <w:bCs/>
                <w:color w:val="000000" w:themeColor="text1"/>
                <w:sz w:val="16"/>
                <w:szCs w:val="16"/>
              </w:rPr>
              <w:t xml:space="preserve"> </w:t>
            </w:r>
            <w:proofErr w:type="spellStart"/>
            <w:r w:rsidRPr="00452352">
              <w:rPr>
                <w:rFonts w:ascii="Times New Roman" w:hAnsi="Times New Roman" w:cs="Times New Roman"/>
                <w:bCs/>
                <w:color w:val="000000" w:themeColor="text1"/>
                <w:sz w:val="16"/>
                <w:szCs w:val="16"/>
              </w:rPr>
              <w:t>No</w:t>
            </w:r>
            <w:proofErr w:type="spellEnd"/>
          </w:p>
        </w:tc>
        <w:tc>
          <w:tcPr>
            <w:tcW w:w="1134" w:type="dxa"/>
            <w:tcBorders>
              <w:left w:val="dashed" w:sz="4" w:space="0" w:color="auto"/>
            </w:tcBorders>
            <w:shd w:val="clear" w:color="auto" w:fill="F2F2F2" w:themeFill="background1" w:themeFillShade="F2"/>
          </w:tcPr>
          <w:p w14:paraId="18A41A99" w14:textId="77777777" w:rsidR="00253E4E" w:rsidRPr="00452352" w:rsidRDefault="00253E4E" w:rsidP="00BD714C">
            <w:pPr>
              <w:spacing w:after="0" w:line="240" w:lineRule="auto"/>
              <w:jc w:val="center"/>
              <w:rPr>
                <w:rFonts w:ascii="Times New Roman" w:hAnsi="Times New Roman" w:cs="Times New Roman"/>
                <w:color w:val="000000" w:themeColor="text1"/>
                <w:sz w:val="16"/>
                <w:szCs w:val="16"/>
              </w:rPr>
            </w:pPr>
            <w:proofErr w:type="gramStart"/>
            <w:r w:rsidRPr="00452352">
              <w:rPr>
                <w:rFonts w:ascii="Times New Roman" w:hAnsi="Times New Roman" w:cs="Times New Roman"/>
                <w:color w:val="000000" w:themeColor="text1"/>
                <w:sz w:val="16"/>
                <w:szCs w:val="16"/>
              </w:rPr>
              <w:t>30 :</w:t>
            </w:r>
            <w:proofErr w:type="gramEnd"/>
            <w:r w:rsidRPr="00452352">
              <w:rPr>
                <w:rFonts w:ascii="Times New Roman" w:hAnsi="Times New Roman" w:cs="Times New Roman"/>
                <w:color w:val="000000" w:themeColor="text1"/>
                <w:sz w:val="16"/>
                <w:szCs w:val="16"/>
              </w:rPr>
              <w:t xml:space="preserve"> 56</w:t>
            </w:r>
          </w:p>
          <w:p w14:paraId="6A9D2A6F" w14:textId="77777777" w:rsidR="00253E4E" w:rsidRPr="00452352" w:rsidRDefault="00253E4E" w:rsidP="00BD714C">
            <w:pPr>
              <w:spacing w:after="0" w:line="240" w:lineRule="auto"/>
              <w:jc w:val="center"/>
              <w:rPr>
                <w:rFonts w:ascii="Times New Roman" w:hAnsi="Times New Roman" w:cs="Times New Roman"/>
                <w:color w:val="000000" w:themeColor="text1"/>
                <w:sz w:val="16"/>
                <w:szCs w:val="16"/>
              </w:rPr>
            </w:pPr>
            <w:r w:rsidRPr="00452352">
              <w:rPr>
                <w:rFonts w:ascii="Times New Roman" w:hAnsi="Times New Roman" w:cs="Times New Roman"/>
                <w:color w:val="000000" w:themeColor="text1"/>
                <w:sz w:val="16"/>
                <w:szCs w:val="16"/>
              </w:rPr>
              <w:t>(35</w:t>
            </w:r>
            <w:proofErr w:type="gramStart"/>
            <w:r w:rsidRPr="00452352">
              <w:rPr>
                <w:rFonts w:ascii="Times New Roman" w:hAnsi="Times New Roman" w:cs="Times New Roman"/>
                <w:color w:val="000000" w:themeColor="text1"/>
                <w:sz w:val="16"/>
                <w:szCs w:val="16"/>
              </w:rPr>
              <w:t>% :</w:t>
            </w:r>
            <w:proofErr w:type="gramEnd"/>
            <w:r w:rsidRPr="00452352">
              <w:rPr>
                <w:rFonts w:ascii="Times New Roman" w:hAnsi="Times New Roman" w:cs="Times New Roman"/>
                <w:color w:val="000000" w:themeColor="text1"/>
                <w:sz w:val="16"/>
                <w:szCs w:val="16"/>
              </w:rPr>
              <w:t xml:space="preserve"> 65.%)</w:t>
            </w:r>
          </w:p>
        </w:tc>
        <w:tc>
          <w:tcPr>
            <w:tcW w:w="1132" w:type="dxa"/>
            <w:tcBorders>
              <w:right w:val="dashed" w:sz="4" w:space="0" w:color="auto"/>
            </w:tcBorders>
            <w:shd w:val="clear" w:color="auto" w:fill="F2F2F2" w:themeFill="background1" w:themeFillShade="F2"/>
          </w:tcPr>
          <w:p w14:paraId="6B3CA489" w14:textId="77777777" w:rsidR="00253E4E" w:rsidRPr="00452352" w:rsidRDefault="00253E4E" w:rsidP="00BD714C">
            <w:pPr>
              <w:spacing w:after="0" w:line="240" w:lineRule="auto"/>
              <w:jc w:val="center"/>
              <w:rPr>
                <w:rFonts w:ascii="Times New Roman" w:hAnsi="Times New Roman" w:cs="Times New Roman"/>
                <w:color w:val="000000" w:themeColor="text1"/>
                <w:sz w:val="16"/>
                <w:szCs w:val="16"/>
              </w:rPr>
            </w:pPr>
            <w:proofErr w:type="gramStart"/>
            <w:r w:rsidRPr="00452352">
              <w:rPr>
                <w:rFonts w:ascii="Times New Roman" w:hAnsi="Times New Roman" w:cs="Times New Roman"/>
                <w:color w:val="000000" w:themeColor="text1"/>
                <w:sz w:val="16"/>
                <w:szCs w:val="16"/>
              </w:rPr>
              <w:t>5 :</w:t>
            </w:r>
            <w:proofErr w:type="gramEnd"/>
            <w:r w:rsidRPr="00452352">
              <w:rPr>
                <w:rFonts w:ascii="Times New Roman" w:hAnsi="Times New Roman" w:cs="Times New Roman"/>
                <w:color w:val="000000" w:themeColor="text1"/>
                <w:sz w:val="16"/>
                <w:szCs w:val="16"/>
              </w:rPr>
              <w:t xml:space="preserve"> 5</w:t>
            </w:r>
          </w:p>
          <w:p w14:paraId="10811229" w14:textId="77777777" w:rsidR="00253E4E" w:rsidRPr="00452352" w:rsidRDefault="00253E4E" w:rsidP="00BD714C">
            <w:pPr>
              <w:spacing w:after="0" w:line="240" w:lineRule="auto"/>
              <w:jc w:val="center"/>
              <w:rPr>
                <w:rFonts w:ascii="Times New Roman" w:hAnsi="Times New Roman" w:cs="Times New Roman"/>
                <w:color w:val="000000" w:themeColor="text1"/>
                <w:sz w:val="16"/>
                <w:szCs w:val="16"/>
              </w:rPr>
            </w:pPr>
            <w:r w:rsidRPr="00452352">
              <w:rPr>
                <w:rFonts w:ascii="Times New Roman" w:hAnsi="Times New Roman" w:cs="Times New Roman"/>
                <w:color w:val="000000" w:themeColor="text1"/>
                <w:sz w:val="16"/>
                <w:szCs w:val="16"/>
              </w:rPr>
              <w:t>(50</w:t>
            </w:r>
            <w:proofErr w:type="gramStart"/>
            <w:r w:rsidRPr="00452352">
              <w:rPr>
                <w:rFonts w:ascii="Times New Roman" w:hAnsi="Times New Roman" w:cs="Times New Roman"/>
                <w:color w:val="000000" w:themeColor="text1"/>
                <w:sz w:val="16"/>
                <w:szCs w:val="16"/>
              </w:rPr>
              <w:t>% :</w:t>
            </w:r>
            <w:proofErr w:type="gramEnd"/>
            <w:r w:rsidRPr="00452352">
              <w:rPr>
                <w:rFonts w:ascii="Times New Roman" w:hAnsi="Times New Roman" w:cs="Times New Roman"/>
                <w:color w:val="000000" w:themeColor="text1"/>
                <w:sz w:val="16"/>
                <w:szCs w:val="16"/>
              </w:rPr>
              <w:t xml:space="preserve"> 50%)</w:t>
            </w:r>
          </w:p>
        </w:tc>
        <w:tc>
          <w:tcPr>
            <w:tcW w:w="639" w:type="dxa"/>
            <w:tcBorders>
              <w:left w:val="dashed" w:sz="4" w:space="0" w:color="auto"/>
            </w:tcBorders>
            <w:shd w:val="clear" w:color="auto" w:fill="F2F2F2" w:themeFill="background1" w:themeFillShade="F2"/>
            <w:vAlign w:val="center"/>
          </w:tcPr>
          <w:p w14:paraId="42A26212" w14:textId="77777777" w:rsidR="00253E4E" w:rsidRPr="00452352" w:rsidRDefault="00253E4E" w:rsidP="00BD714C">
            <w:pPr>
              <w:spacing w:before="80" w:after="0" w:line="240" w:lineRule="auto"/>
              <w:jc w:val="center"/>
              <w:rPr>
                <w:rFonts w:ascii="Times New Roman" w:hAnsi="Times New Roman" w:cs="Times New Roman"/>
                <w:color w:val="000000" w:themeColor="text1"/>
                <w:sz w:val="16"/>
                <w:szCs w:val="16"/>
              </w:rPr>
            </w:pPr>
            <w:r w:rsidRPr="00452352">
              <w:rPr>
                <w:rFonts w:ascii="Times New Roman" w:hAnsi="Times New Roman" w:cs="Times New Roman"/>
                <w:color w:val="000000" w:themeColor="text1"/>
                <w:sz w:val="16"/>
                <w:szCs w:val="16"/>
              </w:rPr>
              <w:t>0.536</w:t>
            </w:r>
          </w:p>
        </w:tc>
        <w:tc>
          <w:tcPr>
            <w:tcW w:w="1134" w:type="dxa"/>
            <w:shd w:val="clear" w:color="auto" w:fill="F2F2F2" w:themeFill="background1" w:themeFillShade="F2"/>
            <w:vAlign w:val="center"/>
          </w:tcPr>
          <w:p w14:paraId="6A9928B3" w14:textId="77777777" w:rsidR="00253E4E" w:rsidRPr="00452352" w:rsidRDefault="00253E4E" w:rsidP="00BD714C">
            <w:pPr>
              <w:spacing w:before="80" w:after="0" w:line="240" w:lineRule="auto"/>
              <w:jc w:val="center"/>
              <w:rPr>
                <w:rFonts w:ascii="Times New Roman" w:hAnsi="Times New Roman" w:cs="Times New Roman"/>
                <w:color w:val="000000" w:themeColor="text1"/>
                <w:sz w:val="16"/>
                <w:szCs w:val="16"/>
              </w:rPr>
            </w:pPr>
            <w:r w:rsidRPr="00452352">
              <w:rPr>
                <w:rFonts w:ascii="Times New Roman" w:hAnsi="Times New Roman" w:cs="Times New Roman"/>
                <w:color w:val="000000" w:themeColor="text1"/>
                <w:sz w:val="16"/>
                <w:szCs w:val="16"/>
              </w:rPr>
              <w:t>0.144-1.998</w:t>
            </w:r>
          </w:p>
        </w:tc>
        <w:tc>
          <w:tcPr>
            <w:tcW w:w="814" w:type="dxa"/>
            <w:tcBorders>
              <w:right w:val="dashed" w:sz="4" w:space="0" w:color="auto"/>
            </w:tcBorders>
            <w:shd w:val="clear" w:color="auto" w:fill="F2F2F2" w:themeFill="background1" w:themeFillShade="F2"/>
            <w:vAlign w:val="center"/>
          </w:tcPr>
          <w:p w14:paraId="10BB44E7" w14:textId="77777777" w:rsidR="00253E4E" w:rsidRPr="00452352" w:rsidRDefault="00253E4E" w:rsidP="00BD714C">
            <w:pPr>
              <w:spacing w:before="80" w:after="0" w:line="240" w:lineRule="auto"/>
              <w:jc w:val="center"/>
              <w:rPr>
                <w:rFonts w:ascii="Times New Roman" w:hAnsi="Times New Roman" w:cs="Times New Roman"/>
                <w:color w:val="000000" w:themeColor="text1"/>
                <w:sz w:val="16"/>
                <w:szCs w:val="16"/>
              </w:rPr>
            </w:pPr>
            <w:r w:rsidRPr="00452352">
              <w:rPr>
                <w:rFonts w:ascii="Times New Roman" w:hAnsi="Times New Roman" w:cs="Times New Roman"/>
                <w:color w:val="000000" w:themeColor="text1"/>
                <w:sz w:val="16"/>
                <w:szCs w:val="16"/>
              </w:rPr>
              <w:t>0.353</w:t>
            </w:r>
          </w:p>
        </w:tc>
        <w:tc>
          <w:tcPr>
            <w:tcW w:w="603" w:type="dxa"/>
            <w:tcBorders>
              <w:left w:val="dashed" w:sz="4" w:space="0" w:color="auto"/>
            </w:tcBorders>
            <w:shd w:val="clear" w:color="auto" w:fill="F2F2F2" w:themeFill="background1" w:themeFillShade="F2"/>
          </w:tcPr>
          <w:p w14:paraId="7B4F1EA4" w14:textId="77777777" w:rsidR="00253E4E" w:rsidRPr="00452352" w:rsidRDefault="00253E4E" w:rsidP="00BD714C">
            <w:pPr>
              <w:spacing w:before="80" w:after="0" w:line="240" w:lineRule="auto"/>
              <w:jc w:val="center"/>
              <w:rPr>
                <w:rFonts w:ascii="Times New Roman" w:hAnsi="Times New Roman" w:cs="Times New Roman"/>
                <w:color w:val="000000" w:themeColor="text1"/>
                <w:sz w:val="16"/>
                <w:szCs w:val="16"/>
              </w:rPr>
            </w:pPr>
          </w:p>
        </w:tc>
        <w:tc>
          <w:tcPr>
            <w:tcW w:w="1134" w:type="dxa"/>
            <w:shd w:val="clear" w:color="auto" w:fill="F2F2F2" w:themeFill="background1" w:themeFillShade="F2"/>
          </w:tcPr>
          <w:p w14:paraId="255779C8" w14:textId="77777777" w:rsidR="00253E4E" w:rsidRPr="00452352" w:rsidRDefault="00253E4E" w:rsidP="00BD714C">
            <w:pPr>
              <w:spacing w:before="80" w:after="0" w:line="240" w:lineRule="auto"/>
              <w:jc w:val="center"/>
              <w:rPr>
                <w:rFonts w:ascii="Times New Roman" w:hAnsi="Times New Roman" w:cs="Times New Roman"/>
                <w:color w:val="000000" w:themeColor="text1"/>
                <w:sz w:val="16"/>
                <w:szCs w:val="16"/>
              </w:rPr>
            </w:pPr>
          </w:p>
        </w:tc>
        <w:tc>
          <w:tcPr>
            <w:tcW w:w="851" w:type="dxa"/>
            <w:tcBorders>
              <w:right w:val="dashed" w:sz="4" w:space="0" w:color="auto"/>
            </w:tcBorders>
            <w:shd w:val="clear" w:color="auto" w:fill="F2F2F2" w:themeFill="background1" w:themeFillShade="F2"/>
          </w:tcPr>
          <w:p w14:paraId="27E7BF68" w14:textId="77777777" w:rsidR="00253E4E" w:rsidRPr="00452352" w:rsidRDefault="00253E4E" w:rsidP="00BD714C">
            <w:pPr>
              <w:spacing w:before="80" w:after="0" w:line="240" w:lineRule="auto"/>
              <w:jc w:val="center"/>
              <w:rPr>
                <w:rFonts w:ascii="Times New Roman" w:hAnsi="Times New Roman" w:cs="Times New Roman"/>
                <w:color w:val="000000" w:themeColor="text1"/>
                <w:sz w:val="16"/>
                <w:szCs w:val="16"/>
              </w:rPr>
            </w:pPr>
          </w:p>
        </w:tc>
      </w:tr>
      <w:tr w:rsidR="00452352" w:rsidRPr="00452352" w14:paraId="76BBBE15" w14:textId="77777777" w:rsidTr="00BD714C">
        <w:trPr>
          <w:trHeight w:val="113"/>
        </w:trPr>
        <w:tc>
          <w:tcPr>
            <w:tcW w:w="1587" w:type="dxa"/>
            <w:tcBorders>
              <w:right w:val="dashed" w:sz="4" w:space="0" w:color="auto"/>
            </w:tcBorders>
          </w:tcPr>
          <w:p w14:paraId="16254666" w14:textId="77777777" w:rsidR="00253E4E" w:rsidRPr="00452352" w:rsidRDefault="00253E4E" w:rsidP="00BD714C">
            <w:pPr>
              <w:spacing w:after="0" w:line="240" w:lineRule="auto"/>
              <w:rPr>
                <w:rFonts w:ascii="Times New Roman" w:hAnsi="Times New Roman" w:cs="Times New Roman"/>
                <w:b/>
                <w:color w:val="000000" w:themeColor="text1"/>
                <w:sz w:val="16"/>
                <w:szCs w:val="16"/>
              </w:rPr>
            </w:pPr>
            <w:r w:rsidRPr="00452352">
              <w:rPr>
                <w:rFonts w:ascii="Times New Roman" w:hAnsi="Times New Roman" w:cs="Times New Roman"/>
                <w:b/>
                <w:color w:val="000000" w:themeColor="text1"/>
                <w:sz w:val="16"/>
                <w:szCs w:val="16"/>
              </w:rPr>
              <w:t>Smoking</w:t>
            </w:r>
          </w:p>
          <w:p w14:paraId="2F0A832F" w14:textId="77777777" w:rsidR="00253E4E" w:rsidRPr="00452352" w:rsidRDefault="00253E4E" w:rsidP="00BD714C">
            <w:pPr>
              <w:spacing w:after="0" w:line="240" w:lineRule="auto"/>
              <w:rPr>
                <w:rFonts w:ascii="Times New Roman" w:hAnsi="Times New Roman" w:cs="Times New Roman"/>
                <w:color w:val="000000" w:themeColor="text1"/>
                <w:sz w:val="16"/>
                <w:szCs w:val="16"/>
              </w:rPr>
            </w:pPr>
            <w:proofErr w:type="gramStart"/>
            <w:r w:rsidRPr="00452352">
              <w:rPr>
                <w:rFonts w:ascii="Times New Roman" w:hAnsi="Times New Roman" w:cs="Times New Roman"/>
                <w:color w:val="000000" w:themeColor="text1"/>
                <w:sz w:val="16"/>
                <w:szCs w:val="16"/>
              </w:rPr>
              <w:t>Yes :</w:t>
            </w:r>
            <w:proofErr w:type="gramEnd"/>
            <w:r w:rsidRPr="00452352">
              <w:rPr>
                <w:rFonts w:ascii="Times New Roman" w:hAnsi="Times New Roman" w:cs="Times New Roman"/>
                <w:color w:val="000000" w:themeColor="text1"/>
                <w:sz w:val="16"/>
                <w:szCs w:val="16"/>
              </w:rPr>
              <w:t xml:space="preserve"> </w:t>
            </w:r>
            <w:proofErr w:type="spellStart"/>
            <w:r w:rsidRPr="00452352">
              <w:rPr>
                <w:rFonts w:ascii="Times New Roman" w:hAnsi="Times New Roman" w:cs="Times New Roman"/>
                <w:color w:val="000000" w:themeColor="text1"/>
                <w:sz w:val="16"/>
                <w:szCs w:val="16"/>
              </w:rPr>
              <w:t>No</w:t>
            </w:r>
            <w:proofErr w:type="spellEnd"/>
          </w:p>
        </w:tc>
        <w:tc>
          <w:tcPr>
            <w:tcW w:w="1134" w:type="dxa"/>
            <w:tcBorders>
              <w:left w:val="dashed" w:sz="4" w:space="0" w:color="auto"/>
            </w:tcBorders>
          </w:tcPr>
          <w:p w14:paraId="41577608" w14:textId="77777777" w:rsidR="00253E4E" w:rsidRPr="00452352" w:rsidRDefault="00253E4E" w:rsidP="00BD714C">
            <w:pPr>
              <w:spacing w:after="0" w:line="240" w:lineRule="auto"/>
              <w:jc w:val="center"/>
              <w:rPr>
                <w:rFonts w:ascii="Times New Roman" w:hAnsi="Times New Roman" w:cs="Times New Roman"/>
                <w:color w:val="000000" w:themeColor="text1"/>
                <w:sz w:val="16"/>
                <w:szCs w:val="16"/>
              </w:rPr>
            </w:pPr>
            <w:proofErr w:type="gramStart"/>
            <w:r w:rsidRPr="00452352">
              <w:rPr>
                <w:rFonts w:ascii="Times New Roman" w:hAnsi="Times New Roman" w:cs="Times New Roman"/>
                <w:color w:val="000000" w:themeColor="text1"/>
                <w:sz w:val="16"/>
                <w:szCs w:val="16"/>
              </w:rPr>
              <w:t>21 :</w:t>
            </w:r>
            <w:proofErr w:type="gramEnd"/>
            <w:r w:rsidRPr="00452352">
              <w:rPr>
                <w:rFonts w:ascii="Times New Roman" w:hAnsi="Times New Roman" w:cs="Times New Roman"/>
                <w:color w:val="000000" w:themeColor="text1"/>
                <w:sz w:val="16"/>
                <w:szCs w:val="16"/>
              </w:rPr>
              <w:t xml:space="preserve"> 64 </w:t>
            </w:r>
            <w:r w:rsidRPr="00452352">
              <w:rPr>
                <w:rFonts w:ascii="Times New Roman" w:hAnsi="Times New Roman" w:cs="Times New Roman"/>
                <w:color w:val="000000" w:themeColor="text1"/>
                <w:sz w:val="16"/>
                <w:szCs w:val="16"/>
                <w:vertAlign w:val="superscript"/>
              </w:rPr>
              <w:t>a</w:t>
            </w:r>
          </w:p>
          <w:p w14:paraId="5357EBD5" w14:textId="77777777" w:rsidR="00253E4E" w:rsidRPr="00452352" w:rsidRDefault="00253E4E" w:rsidP="00BD714C">
            <w:pPr>
              <w:spacing w:after="0" w:line="240" w:lineRule="auto"/>
              <w:jc w:val="center"/>
              <w:rPr>
                <w:rFonts w:ascii="Times New Roman" w:hAnsi="Times New Roman" w:cs="Times New Roman"/>
                <w:color w:val="000000" w:themeColor="text1"/>
                <w:sz w:val="16"/>
                <w:szCs w:val="16"/>
              </w:rPr>
            </w:pPr>
            <w:r w:rsidRPr="00452352">
              <w:rPr>
                <w:rFonts w:ascii="Times New Roman" w:hAnsi="Times New Roman" w:cs="Times New Roman"/>
                <w:color w:val="000000" w:themeColor="text1"/>
                <w:sz w:val="16"/>
                <w:szCs w:val="16"/>
              </w:rPr>
              <w:t>(25</w:t>
            </w:r>
            <w:proofErr w:type="gramStart"/>
            <w:r w:rsidRPr="00452352">
              <w:rPr>
                <w:rFonts w:ascii="Times New Roman" w:hAnsi="Times New Roman" w:cs="Times New Roman"/>
                <w:color w:val="000000" w:themeColor="text1"/>
                <w:sz w:val="16"/>
                <w:szCs w:val="16"/>
              </w:rPr>
              <w:t>% :</w:t>
            </w:r>
            <w:proofErr w:type="gramEnd"/>
            <w:r w:rsidRPr="00452352">
              <w:rPr>
                <w:rFonts w:ascii="Times New Roman" w:hAnsi="Times New Roman" w:cs="Times New Roman"/>
                <w:color w:val="000000" w:themeColor="text1"/>
                <w:sz w:val="16"/>
                <w:szCs w:val="16"/>
              </w:rPr>
              <w:t xml:space="preserve"> 75%)</w:t>
            </w:r>
          </w:p>
        </w:tc>
        <w:tc>
          <w:tcPr>
            <w:tcW w:w="1132" w:type="dxa"/>
            <w:tcBorders>
              <w:right w:val="dashed" w:sz="4" w:space="0" w:color="auto"/>
            </w:tcBorders>
          </w:tcPr>
          <w:p w14:paraId="6EFF2125" w14:textId="77777777" w:rsidR="00253E4E" w:rsidRPr="00452352" w:rsidRDefault="00253E4E" w:rsidP="00BD714C">
            <w:pPr>
              <w:spacing w:after="0" w:line="240" w:lineRule="auto"/>
              <w:jc w:val="center"/>
              <w:rPr>
                <w:rFonts w:ascii="Times New Roman" w:hAnsi="Times New Roman" w:cs="Times New Roman"/>
                <w:color w:val="000000" w:themeColor="text1"/>
                <w:sz w:val="16"/>
                <w:szCs w:val="16"/>
              </w:rPr>
            </w:pPr>
            <w:proofErr w:type="gramStart"/>
            <w:r w:rsidRPr="00452352">
              <w:rPr>
                <w:rFonts w:ascii="Times New Roman" w:hAnsi="Times New Roman" w:cs="Times New Roman"/>
                <w:color w:val="000000" w:themeColor="text1"/>
                <w:sz w:val="16"/>
                <w:szCs w:val="16"/>
              </w:rPr>
              <w:t>1 :</w:t>
            </w:r>
            <w:proofErr w:type="gramEnd"/>
            <w:r w:rsidRPr="00452352">
              <w:rPr>
                <w:rFonts w:ascii="Times New Roman" w:hAnsi="Times New Roman" w:cs="Times New Roman"/>
                <w:color w:val="000000" w:themeColor="text1"/>
                <w:sz w:val="16"/>
                <w:szCs w:val="16"/>
              </w:rPr>
              <w:t xml:space="preserve"> 9</w:t>
            </w:r>
          </w:p>
          <w:p w14:paraId="4CA76F51" w14:textId="77777777" w:rsidR="00253E4E" w:rsidRPr="00452352" w:rsidRDefault="00253E4E" w:rsidP="00BD714C">
            <w:pPr>
              <w:spacing w:after="0" w:line="240" w:lineRule="auto"/>
              <w:jc w:val="center"/>
              <w:rPr>
                <w:rFonts w:ascii="Times New Roman" w:hAnsi="Times New Roman" w:cs="Times New Roman"/>
                <w:color w:val="000000" w:themeColor="text1"/>
                <w:sz w:val="16"/>
                <w:szCs w:val="16"/>
              </w:rPr>
            </w:pPr>
            <w:r w:rsidRPr="00452352">
              <w:rPr>
                <w:rFonts w:ascii="Times New Roman" w:hAnsi="Times New Roman" w:cs="Times New Roman"/>
                <w:color w:val="000000" w:themeColor="text1"/>
                <w:sz w:val="16"/>
                <w:szCs w:val="16"/>
              </w:rPr>
              <w:t>(10</w:t>
            </w:r>
            <w:proofErr w:type="gramStart"/>
            <w:r w:rsidRPr="00452352">
              <w:rPr>
                <w:rFonts w:ascii="Times New Roman" w:hAnsi="Times New Roman" w:cs="Times New Roman"/>
                <w:color w:val="000000" w:themeColor="text1"/>
                <w:sz w:val="16"/>
                <w:szCs w:val="16"/>
              </w:rPr>
              <w:t>% :</w:t>
            </w:r>
            <w:proofErr w:type="gramEnd"/>
            <w:r w:rsidRPr="00452352">
              <w:rPr>
                <w:rFonts w:ascii="Times New Roman" w:hAnsi="Times New Roman" w:cs="Times New Roman"/>
                <w:color w:val="000000" w:themeColor="text1"/>
                <w:sz w:val="16"/>
                <w:szCs w:val="16"/>
              </w:rPr>
              <w:t xml:space="preserve"> 90%)</w:t>
            </w:r>
          </w:p>
        </w:tc>
        <w:tc>
          <w:tcPr>
            <w:tcW w:w="639" w:type="dxa"/>
            <w:tcBorders>
              <w:left w:val="dashed" w:sz="4" w:space="0" w:color="auto"/>
            </w:tcBorders>
          </w:tcPr>
          <w:p w14:paraId="4E665F66" w14:textId="77777777" w:rsidR="00253E4E" w:rsidRPr="00452352" w:rsidRDefault="00253E4E" w:rsidP="00BD714C">
            <w:pPr>
              <w:spacing w:before="80" w:after="0" w:line="240" w:lineRule="auto"/>
              <w:jc w:val="center"/>
              <w:rPr>
                <w:rFonts w:ascii="Times New Roman" w:hAnsi="Times New Roman" w:cs="Times New Roman"/>
                <w:color w:val="000000" w:themeColor="text1"/>
                <w:sz w:val="16"/>
                <w:szCs w:val="16"/>
              </w:rPr>
            </w:pPr>
            <w:r w:rsidRPr="00452352">
              <w:rPr>
                <w:rFonts w:ascii="Times New Roman" w:hAnsi="Times New Roman" w:cs="Times New Roman"/>
                <w:color w:val="000000" w:themeColor="text1"/>
                <w:sz w:val="16"/>
                <w:szCs w:val="16"/>
              </w:rPr>
              <w:t>2.908</w:t>
            </w:r>
          </w:p>
        </w:tc>
        <w:tc>
          <w:tcPr>
            <w:tcW w:w="1134" w:type="dxa"/>
          </w:tcPr>
          <w:p w14:paraId="4866B840" w14:textId="77777777" w:rsidR="00253E4E" w:rsidRPr="00452352" w:rsidRDefault="00253E4E" w:rsidP="00BD714C">
            <w:pPr>
              <w:spacing w:before="80" w:after="0" w:line="240" w:lineRule="auto"/>
              <w:jc w:val="center"/>
              <w:rPr>
                <w:rFonts w:ascii="Times New Roman" w:hAnsi="Times New Roman" w:cs="Times New Roman"/>
                <w:color w:val="000000" w:themeColor="text1"/>
                <w:sz w:val="16"/>
                <w:szCs w:val="16"/>
              </w:rPr>
            </w:pPr>
            <w:r w:rsidRPr="00452352">
              <w:rPr>
                <w:rFonts w:ascii="Times New Roman" w:hAnsi="Times New Roman" w:cs="Times New Roman"/>
                <w:color w:val="000000" w:themeColor="text1"/>
                <w:sz w:val="16"/>
                <w:szCs w:val="16"/>
              </w:rPr>
              <w:t>0.348-24.315</w:t>
            </w:r>
          </w:p>
        </w:tc>
        <w:tc>
          <w:tcPr>
            <w:tcW w:w="814" w:type="dxa"/>
            <w:tcBorders>
              <w:right w:val="dashed" w:sz="4" w:space="0" w:color="auto"/>
            </w:tcBorders>
          </w:tcPr>
          <w:p w14:paraId="27B7542E" w14:textId="77777777" w:rsidR="00253E4E" w:rsidRPr="00452352" w:rsidRDefault="00253E4E" w:rsidP="00BD714C">
            <w:pPr>
              <w:spacing w:before="80" w:after="0" w:line="240" w:lineRule="auto"/>
              <w:jc w:val="center"/>
              <w:rPr>
                <w:rFonts w:ascii="Times New Roman" w:hAnsi="Times New Roman" w:cs="Times New Roman"/>
                <w:color w:val="000000" w:themeColor="text1"/>
                <w:sz w:val="16"/>
                <w:szCs w:val="16"/>
              </w:rPr>
            </w:pPr>
            <w:r w:rsidRPr="00452352">
              <w:rPr>
                <w:rFonts w:ascii="Times New Roman" w:hAnsi="Times New Roman" w:cs="Times New Roman"/>
                <w:color w:val="000000" w:themeColor="text1"/>
                <w:sz w:val="16"/>
                <w:szCs w:val="16"/>
              </w:rPr>
              <w:t>0.325</w:t>
            </w:r>
          </w:p>
        </w:tc>
        <w:tc>
          <w:tcPr>
            <w:tcW w:w="603" w:type="dxa"/>
            <w:tcBorders>
              <w:left w:val="dashed" w:sz="4" w:space="0" w:color="auto"/>
            </w:tcBorders>
          </w:tcPr>
          <w:p w14:paraId="3F2535E3" w14:textId="77777777" w:rsidR="00253E4E" w:rsidRPr="00452352" w:rsidRDefault="00253E4E" w:rsidP="00BD714C">
            <w:pPr>
              <w:spacing w:before="80" w:after="0" w:line="240" w:lineRule="auto"/>
              <w:jc w:val="center"/>
              <w:rPr>
                <w:rFonts w:ascii="Times New Roman" w:hAnsi="Times New Roman" w:cs="Times New Roman"/>
                <w:color w:val="000000" w:themeColor="text1"/>
                <w:sz w:val="16"/>
                <w:szCs w:val="16"/>
              </w:rPr>
            </w:pPr>
          </w:p>
        </w:tc>
        <w:tc>
          <w:tcPr>
            <w:tcW w:w="1134" w:type="dxa"/>
          </w:tcPr>
          <w:p w14:paraId="119122C1" w14:textId="77777777" w:rsidR="00253E4E" w:rsidRPr="00452352" w:rsidRDefault="00253E4E" w:rsidP="00BD714C">
            <w:pPr>
              <w:spacing w:before="80" w:after="0" w:line="240" w:lineRule="auto"/>
              <w:jc w:val="center"/>
              <w:rPr>
                <w:rFonts w:ascii="Times New Roman" w:hAnsi="Times New Roman" w:cs="Times New Roman"/>
                <w:color w:val="000000" w:themeColor="text1"/>
                <w:sz w:val="16"/>
                <w:szCs w:val="16"/>
              </w:rPr>
            </w:pPr>
          </w:p>
        </w:tc>
        <w:tc>
          <w:tcPr>
            <w:tcW w:w="851" w:type="dxa"/>
            <w:tcBorders>
              <w:right w:val="dashed" w:sz="4" w:space="0" w:color="auto"/>
            </w:tcBorders>
          </w:tcPr>
          <w:p w14:paraId="07EEFF10" w14:textId="77777777" w:rsidR="00253E4E" w:rsidRPr="00452352" w:rsidRDefault="00253E4E" w:rsidP="00BD714C">
            <w:pPr>
              <w:spacing w:before="80" w:after="0" w:line="240" w:lineRule="auto"/>
              <w:jc w:val="center"/>
              <w:rPr>
                <w:rFonts w:ascii="Times New Roman" w:hAnsi="Times New Roman" w:cs="Times New Roman"/>
                <w:color w:val="000000" w:themeColor="text1"/>
                <w:sz w:val="16"/>
                <w:szCs w:val="16"/>
              </w:rPr>
            </w:pPr>
          </w:p>
        </w:tc>
      </w:tr>
      <w:tr w:rsidR="00452352" w:rsidRPr="00452352" w14:paraId="0F7AC84B" w14:textId="77777777" w:rsidTr="00BD714C">
        <w:trPr>
          <w:trHeight w:val="113"/>
        </w:trPr>
        <w:tc>
          <w:tcPr>
            <w:tcW w:w="1587" w:type="dxa"/>
            <w:tcBorders>
              <w:right w:val="dashed" w:sz="4" w:space="0" w:color="auto"/>
            </w:tcBorders>
            <w:shd w:val="clear" w:color="auto" w:fill="F2F2F2" w:themeFill="background1" w:themeFillShade="F2"/>
          </w:tcPr>
          <w:p w14:paraId="1B783174" w14:textId="77777777" w:rsidR="00253E4E" w:rsidRPr="00452352" w:rsidRDefault="00253E4E" w:rsidP="00BD714C">
            <w:pPr>
              <w:spacing w:after="0" w:line="240" w:lineRule="auto"/>
              <w:rPr>
                <w:rFonts w:ascii="Times New Roman" w:hAnsi="Times New Roman" w:cs="Times New Roman"/>
                <w:b/>
                <w:color w:val="000000" w:themeColor="text1"/>
                <w:sz w:val="16"/>
                <w:szCs w:val="16"/>
              </w:rPr>
            </w:pPr>
            <w:r w:rsidRPr="00452352">
              <w:rPr>
                <w:rFonts w:ascii="Times New Roman" w:hAnsi="Times New Roman" w:cs="Times New Roman"/>
                <w:b/>
                <w:color w:val="000000" w:themeColor="text1"/>
                <w:sz w:val="16"/>
                <w:szCs w:val="16"/>
              </w:rPr>
              <w:t>Diabetes</w:t>
            </w:r>
          </w:p>
          <w:p w14:paraId="6D0DF280" w14:textId="77777777" w:rsidR="00253E4E" w:rsidRPr="00452352" w:rsidRDefault="00253E4E" w:rsidP="00BD714C">
            <w:pPr>
              <w:spacing w:after="0" w:line="240" w:lineRule="auto"/>
              <w:rPr>
                <w:rFonts w:ascii="Times New Roman" w:hAnsi="Times New Roman" w:cs="Times New Roman"/>
                <w:color w:val="000000" w:themeColor="text1"/>
                <w:sz w:val="16"/>
                <w:szCs w:val="16"/>
              </w:rPr>
            </w:pPr>
            <w:proofErr w:type="gramStart"/>
            <w:r w:rsidRPr="00452352">
              <w:rPr>
                <w:rFonts w:ascii="Times New Roman" w:hAnsi="Times New Roman" w:cs="Times New Roman"/>
                <w:color w:val="000000" w:themeColor="text1"/>
                <w:sz w:val="16"/>
                <w:szCs w:val="16"/>
              </w:rPr>
              <w:t>Yes :</w:t>
            </w:r>
            <w:proofErr w:type="gramEnd"/>
            <w:r w:rsidRPr="00452352">
              <w:rPr>
                <w:rFonts w:ascii="Times New Roman" w:hAnsi="Times New Roman" w:cs="Times New Roman"/>
                <w:color w:val="000000" w:themeColor="text1"/>
                <w:sz w:val="16"/>
                <w:szCs w:val="16"/>
              </w:rPr>
              <w:t xml:space="preserve"> </w:t>
            </w:r>
            <w:proofErr w:type="spellStart"/>
            <w:r w:rsidRPr="00452352">
              <w:rPr>
                <w:rFonts w:ascii="Times New Roman" w:hAnsi="Times New Roman" w:cs="Times New Roman"/>
                <w:color w:val="000000" w:themeColor="text1"/>
                <w:sz w:val="16"/>
                <w:szCs w:val="16"/>
              </w:rPr>
              <w:t>No</w:t>
            </w:r>
            <w:proofErr w:type="spellEnd"/>
          </w:p>
        </w:tc>
        <w:tc>
          <w:tcPr>
            <w:tcW w:w="1134" w:type="dxa"/>
            <w:tcBorders>
              <w:left w:val="dashed" w:sz="4" w:space="0" w:color="auto"/>
            </w:tcBorders>
            <w:shd w:val="clear" w:color="auto" w:fill="F2F2F2" w:themeFill="background1" w:themeFillShade="F2"/>
          </w:tcPr>
          <w:p w14:paraId="4B1CFDA7" w14:textId="77777777" w:rsidR="00253E4E" w:rsidRPr="00452352" w:rsidRDefault="00253E4E" w:rsidP="00BD714C">
            <w:pPr>
              <w:spacing w:after="0" w:line="240" w:lineRule="auto"/>
              <w:jc w:val="center"/>
              <w:rPr>
                <w:rFonts w:ascii="Times New Roman" w:hAnsi="Times New Roman" w:cs="Times New Roman"/>
                <w:color w:val="000000" w:themeColor="text1"/>
                <w:sz w:val="16"/>
                <w:szCs w:val="16"/>
              </w:rPr>
            </w:pPr>
            <w:proofErr w:type="gramStart"/>
            <w:r w:rsidRPr="00452352">
              <w:rPr>
                <w:rFonts w:ascii="Times New Roman" w:hAnsi="Times New Roman" w:cs="Times New Roman"/>
                <w:color w:val="000000" w:themeColor="text1"/>
                <w:sz w:val="16"/>
                <w:szCs w:val="16"/>
              </w:rPr>
              <w:t>6 :</w:t>
            </w:r>
            <w:proofErr w:type="gramEnd"/>
            <w:r w:rsidRPr="00452352">
              <w:rPr>
                <w:rFonts w:ascii="Times New Roman" w:hAnsi="Times New Roman" w:cs="Times New Roman"/>
                <w:color w:val="000000" w:themeColor="text1"/>
                <w:sz w:val="16"/>
                <w:szCs w:val="16"/>
              </w:rPr>
              <w:t xml:space="preserve"> 80</w:t>
            </w:r>
          </w:p>
          <w:p w14:paraId="323BD1E6" w14:textId="77777777" w:rsidR="00253E4E" w:rsidRPr="00452352" w:rsidRDefault="00253E4E" w:rsidP="00BD714C">
            <w:pPr>
              <w:spacing w:after="0" w:line="240" w:lineRule="auto"/>
              <w:jc w:val="center"/>
              <w:rPr>
                <w:rFonts w:ascii="Times New Roman" w:hAnsi="Times New Roman" w:cs="Times New Roman"/>
                <w:color w:val="000000" w:themeColor="text1"/>
                <w:sz w:val="16"/>
                <w:szCs w:val="16"/>
              </w:rPr>
            </w:pPr>
            <w:r w:rsidRPr="00452352">
              <w:rPr>
                <w:rFonts w:ascii="Times New Roman" w:hAnsi="Times New Roman" w:cs="Times New Roman"/>
                <w:color w:val="000000" w:themeColor="text1"/>
                <w:sz w:val="16"/>
                <w:szCs w:val="16"/>
              </w:rPr>
              <w:t>(7</w:t>
            </w:r>
            <w:proofErr w:type="gramStart"/>
            <w:r w:rsidRPr="00452352">
              <w:rPr>
                <w:rFonts w:ascii="Times New Roman" w:hAnsi="Times New Roman" w:cs="Times New Roman"/>
                <w:color w:val="000000" w:themeColor="text1"/>
                <w:sz w:val="16"/>
                <w:szCs w:val="16"/>
              </w:rPr>
              <w:t>% :</w:t>
            </w:r>
            <w:proofErr w:type="gramEnd"/>
            <w:r w:rsidRPr="00452352">
              <w:rPr>
                <w:rFonts w:ascii="Times New Roman" w:hAnsi="Times New Roman" w:cs="Times New Roman"/>
                <w:color w:val="000000" w:themeColor="text1"/>
                <w:sz w:val="16"/>
                <w:szCs w:val="16"/>
              </w:rPr>
              <w:t xml:space="preserve"> 93%)</w:t>
            </w:r>
          </w:p>
        </w:tc>
        <w:tc>
          <w:tcPr>
            <w:tcW w:w="1132" w:type="dxa"/>
            <w:tcBorders>
              <w:right w:val="dashed" w:sz="4" w:space="0" w:color="auto"/>
            </w:tcBorders>
            <w:shd w:val="clear" w:color="auto" w:fill="F2F2F2" w:themeFill="background1" w:themeFillShade="F2"/>
          </w:tcPr>
          <w:p w14:paraId="3BF0436A" w14:textId="77777777" w:rsidR="00253E4E" w:rsidRPr="00452352" w:rsidRDefault="00253E4E" w:rsidP="00BD714C">
            <w:pPr>
              <w:spacing w:after="0" w:line="240" w:lineRule="auto"/>
              <w:jc w:val="center"/>
              <w:rPr>
                <w:rFonts w:ascii="Times New Roman" w:hAnsi="Times New Roman" w:cs="Times New Roman"/>
                <w:color w:val="000000" w:themeColor="text1"/>
                <w:sz w:val="16"/>
                <w:szCs w:val="16"/>
              </w:rPr>
            </w:pPr>
            <w:proofErr w:type="gramStart"/>
            <w:r w:rsidRPr="00452352">
              <w:rPr>
                <w:rFonts w:ascii="Times New Roman" w:hAnsi="Times New Roman" w:cs="Times New Roman"/>
                <w:color w:val="000000" w:themeColor="text1"/>
                <w:sz w:val="16"/>
                <w:szCs w:val="16"/>
              </w:rPr>
              <w:t>0 :</w:t>
            </w:r>
            <w:proofErr w:type="gramEnd"/>
            <w:r w:rsidRPr="00452352">
              <w:rPr>
                <w:rFonts w:ascii="Times New Roman" w:hAnsi="Times New Roman" w:cs="Times New Roman"/>
                <w:color w:val="000000" w:themeColor="text1"/>
                <w:sz w:val="16"/>
                <w:szCs w:val="16"/>
              </w:rPr>
              <w:t xml:space="preserve"> 10</w:t>
            </w:r>
          </w:p>
          <w:p w14:paraId="0B5711B4" w14:textId="77777777" w:rsidR="00253E4E" w:rsidRPr="00452352" w:rsidRDefault="00253E4E" w:rsidP="00BD714C">
            <w:pPr>
              <w:spacing w:after="0" w:line="240" w:lineRule="auto"/>
              <w:jc w:val="center"/>
              <w:rPr>
                <w:rFonts w:ascii="Times New Roman" w:hAnsi="Times New Roman" w:cs="Times New Roman"/>
                <w:color w:val="000000" w:themeColor="text1"/>
                <w:sz w:val="16"/>
                <w:szCs w:val="16"/>
              </w:rPr>
            </w:pPr>
            <w:r w:rsidRPr="00452352">
              <w:rPr>
                <w:rFonts w:ascii="Times New Roman" w:hAnsi="Times New Roman" w:cs="Times New Roman"/>
                <w:color w:val="000000" w:themeColor="text1"/>
                <w:sz w:val="16"/>
                <w:szCs w:val="16"/>
              </w:rPr>
              <w:t>(0</w:t>
            </w:r>
            <w:proofErr w:type="gramStart"/>
            <w:r w:rsidRPr="00452352">
              <w:rPr>
                <w:rFonts w:ascii="Times New Roman" w:hAnsi="Times New Roman" w:cs="Times New Roman"/>
                <w:color w:val="000000" w:themeColor="text1"/>
                <w:sz w:val="16"/>
                <w:szCs w:val="16"/>
              </w:rPr>
              <w:t>% :</w:t>
            </w:r>
            <w:proofErr w:type="gramEnd"/>
            <w:r w:rsidRPr="00452352">
              <w:rPr>
                <w:rFonts w:ascii="Times New Roman" w:hAnsi="Times New Roman" w:cs="Times New Roman"/>
                <w:color w:val="000000" w:themeColor="text1"/>
                <w:sz w:val="16"/>
                <w:szCs w:val="16"/>
              </w:rPr>
              <w:t xml:space="preserve"> 100%)</w:t>
            </w:r>
          </w:p>
        </w:tc>
        <w:tc>
          <w:tcPr>
            <w:tcW w:w="639" w:type="dxa"/>
            <w:tcBorders>
              <w:left w:val="dashed" w:sz="4" w:space="0" w:color="auto"/>
            </w:tcBorders>
            <w:shd w:val="clear" w:color="auto" w:fill="F2F2F2" w:themeFill="background1" w:themeFillShade="F2"/>
          </w:tcPr>
          <w:p w14:paraId="264ED1DA" w14:textId="77777777" w:rsidR="00253E4E" w:rsidRPr="00452352" w:rsidRDefault="00253E4E" w:rsidP="00BD714C">
            <w:pPr>
              <w:spacing w:before="80" w:after="0" w:line="240" w:lineRule="auto"/>
              <w:jc w:val="center"/>
              <w:rPr>
                <w:rFonts w:ascii="Times New Roman" w:hAnsi="Times New Roman" w:cs="Times New Roman"/>
                <w:color w:val="000000" w:themeColor="text1"/>
                <w:sz w:val="16"/>
                <w:szCs w:val="16"/>
              </w:rPr>
            </w:pPr>
            <w:r w:rsidRPr="00452352">
              <w:rPr>
                <w:rFonts w:ascii="Times New Roman" w:hAnsi="Times New Roman" w:cs="Times New Roman"/>
                <w:color w:val="000000" w:themeColor="text1"/>
                <w:sz w:val="16"/>
                <w:szCs w:val="16"/>
              </w:rPr>
              <w:t>-</w:t>
            </w:r>
          </w:p>
        </w:tc>
        <w:tc>
          <w:tcPr>
            <w:tcW w:w="1134" w:type="dxa"/>
            <w:shd w:val="clear" w:color="auto" w:fill="F2F2F2" w:themeFill="background1" w:themeFillShade="F2"/>
          </w:tcPr>
          <w:p w14:paraId="38D55929" w14:textId="77777777" w:rsidR="00253E4E" w:rsidRPr="00452352" w:rsidRDefault="00253E4E" w:rsidP="00BD714C">
            <w:pPr>
              <w:spacing w:before="80" w:after="0" w:line="240" w:lineRule="auto"/>
              <w:jc w:val="center"/>
              <w:rPr>
                <w:rFonts w:ascii="Times New Roman" w:hAnsi="Times New Roman" w:cs="Times New Roman"/>
                <w:color w:val="000000" w:themeColor="text1"/>
                <w:sz w:val="16"/>
                <w:szCs w:val="16"/>
              </w:rPr>
            </w:pPr>
            <w:r w:rsidRPr="00452352">
              <w:rPr>
                <w:rFonts w:ascii="Times New Roman" w:hAnsi="Times New Roman" w:cs="Times New Roman"/>
                <w:color w:val="000000" w:themeColor="text1"/>
                <w:sz w:val="16"/>
                <w:szCs w:val="16"/>
              </w:rPr>
              <w:t>-</w:t>
            </w:r>
          </w:p>
        </w:tc>
        <w:tc>
          <w:tcPr>
            <w:tcW w:w="814" w:type="dxa"/>
            <w:tcBorders>
              <w:right w:val="dashed" w:sz="4" w:space="0" w:color="auto"/>
            </w:tcBorders>
            <w:shd w:val="clear" w:color="auto" w:fill="F2F2F2" w:themeFill="background1" w:themeFillShade="F2"/>
          </w:tcPr>
          <w:p w14:paraId="6BCA3FE0" w14:textId="77777777" w:rsidR="00253E4E" w:rsidRPr="00452352" w:rsidRDefault="00253E4E" w:rsidP="00BD714C">
            <w:pPr>
              <w:spacing w:before="80" w:after="0" w:line="240" w:lineRule="auto"/>
              <w:jc w:val="center"/>
              <w:rPr>
                <w:rFonts w:ascii="Times New Roman" w:hAnsi="Times New Roman" w:cs="Times New Roman"/>
                <w:color w:val="000000" w:themeColor="text1"/>
                <w:sz w:val="16"/>
                <w:szCs w:val="16"/>
              </w:rPr>
            </w:pPr>
            <w:r w:rsidRPr="00452352">
              <w:rPr>
                <w:rFonts w:ascii="Times New Roman" w:hAnsi="Times New Roman" w:cs="Times New Roman"/>
                <w:color w:val="000000" w:themeColor="text1"/>
                <w:sz w:val="16"/>
                <w:szCs w:val="16"/>
              </w:rPr>
              <w:t>0.999</w:t>
            </w:r>
          </w:p>
        </w:tc>
        <w:tc>
          <w:tcPr>
            <w:tcW w:w="603" w:type="dxa"/>
            <w:tcBorders>
              <w:left w:val="dashed" w:sz="4" w:space="0" w:color="auto"/>
            </w:tcBorders>
            <w:shd w:val="clear" w:color="auto" w:fill="F2F2F2" w:themeFill="background1" w:themeFillShade="F2"/>
          </w:tcPr>
          <w:p w14:paraId="4901673D" w14:textId="77777777" w:rsidR="00253E4E" w:rsidRPr="00452352" w:rsidRDefault="00253E4E" w:rsidP="00BD714C">
            <w:pPr>
              <w:spacing w:before="80" w:after="0" w:line="240" w:lineRule="auto"/>
              <w:jc w:val="center"/>
              <w:rPr>
                <w:rFonts w:ascii="Times New Roman" w:hAnsi="Times New Roman" w:cs="Times New Roman"/>
                <w:color w:val="000000" w:themeColor="text1"/>
                <w:sz w:val="16"/>
                <w:szCs w:val="16"/>
              </w:rPr>
            </w:pPr>
          </w:p>
        </w:tc>
        <w:tc>
          <w:tcPr>
            <w:tcW w:w="1134" w:type="dxa"/>
            <w:shd w:val="clear" w:color="auto" w:fill="F2F2F2" w:themeFill="background1" w:themeFillShade="F2"/>
          </w:tcPr>
          <w:p w14:paraId="55E27A88" w14:textId="77777777" w:rsidR="00253E4E" w:rsidRPr="00452352" w:rsidRDefault="00253E4E" w:rsidP="00BD714C">
            <w:pPr>
              <w:spacing w:before="80" w:after="0" w:line="240" w:lineRule="auto"/>
              <w:jc w:val="center"/>
              <w:rPr>
                <w:rFonts w:ascii="Times New Roman" w:hAnsi="Times New Roman" w:cs="Times New Roman"/>
                <w:color w:val="000000" w:themeColor="text1"/>
                <w:sz w:val="16"/>
                <w:szCs w:val="16"/>
              </w:rPr>
            </w:pPr>
          </w:p>
        </w:tc>
        <w:tc>
          <w:tcPr>
            <w:tcW w:w="851" w:type="dxa"/>
            <w:tcBorders>
              <w:right w:val="dashed" w:sz="4" w:space="0" w:color="auto"/>
            </w:tcBorders>
            <w:shd w:val="clear" w:color="auto" w:fill="F2F2F2" w:themeFill="background1" w:themeFillShade="F2"/>
          </w:tcPr>
          <w:p w14:paraId="6C839868" w14:textId="77777777" w:rsidR="00253E4E" w:rsidRPr="00452352" w:rsidRDefault="00253E4E" w:rsidP="00BD714C">
            <w:pPr>
              <w:spacing w:before="80" w:after="0" w:line="240" w:lineRule="auto"/>
              <w:jc w:val="center"/>
              <w:rPr>
                <w:rFonts w:ascii="Times New Roman" w:hAnsi="Times New Roman" w:cs="Times New Roman"/>
                <w:color w:val="000000" w:themeColor="text1"/>
                <w:sz w:val="16"/>
                <w:szCs w:val="16"/>
              </w:rPr>
            </w:pPr>
          </w:p>
        </w:tc>
      </w:tr>
      <w:tr w:rsidR="00452352" w:rsidRPr="00452352" w14:paraId="23AF5B60" w14:textId="77777777" w:rsidTr="00BD714C">
        <w:trPr>
          <w:trHeight w:val="113"/>
        </w:trPr>
        <w:tc>
          <w:tcPr>
            <w:tcW w:w="1587" w:type="dxa"/>
            <w:tcBorders>
              <w:right w:val="dashed" w:sz="4" w:space="0" w:color="auto"/>
            </w:tcBorders>
          </w:tcPr>
          <w:p w14:paraId="7462981F" w14:textId="77777777" w:rsidR="00253E4E" w:rsidRPr="00452352" w:rsidRDefault="00253E4E" w:rsidP="00BD714C">
            <w:pPr>
              <w:spacing w:after="0" w:line="240" w:lineRule="auto"/>
              <w:rPr>
                <w:rFonts w:ascii="Times New Roman" w:hAnsi="Times New Roman" w:cs="Times New Roman"/>
                <w:b/>
                <w:color w:val="000000" w:themeColor="text1"/>
                <w:sz w:val="16"/>
                <w:szCs w:val="16"/>
              </w:rPr>
            </w:pPr>
            <w:proofErr w:type="spellStart"/>
            <w:r w:rsidRPr="00452352">
              <w:rPr>
                <w:rFonts w:ascii="Times New Roman" w:hAnsi="Times New Roman" w:cs="Times New Roman"/>
                <w:b/>
                <w:color w:val="000000" w:themeColor="text1"/>
                <w:sz w:val="16"/>
                <w:szCs w:val="16"/>
              </w:rPr>
              <w:t>Aneurysm</w:t>
            </w:r>
            <w:proofErr w:type="spellEnd"/>
            <w:r w:rsidRPr="00452352">
              <w:rPr>
                <w:rFonts w:ascii="Times New Roman" w:hAnsi="Times New Roman" w:cs="Times New Roman"/>
                <w:b/>
                <w:color w:val="000000" w:themeColor="text1"/>
                <w:sz w:val="16"/>
                <w:szCs w:val="16"/>
              </w:rPr>
              <w:t xml:space="preserve"> </w:t>
            </w:r>
            <w:proofErr w:type="spellStart"/>
            <w:r w:rsidRPr="00452352">
              <w:rPr>
                <w:rFonts w:ascii="Times New Roman" w:hAnsi="Times New Roman" w:cs="Times New Roman"/>
                <w:b/>
                <w:color w:val="000000" w:themeColor="text1"/>
                <w:sz w:val="16"/>
                <w:szCs w:val="16"/>
              </w:rPr>
              <w:t>location</w:t>
            </w:r>
            <w:proofErr w:type="spellEnd"/>
          </w:p>
          <w:p w14:paraId="0572C3EB" w14:textId="77777777" w:rsidR="00253E4E" w:rsidRPr="00452352" w:rsidRDefault="00253E4E" w:rsidP="00BD714C">
            <w:pPr>
              <w:spacing w:after="0" w:line="240" w:lineRule="auto"/>
              <w:rPr>
                <w:rFonts w:ascii="Times New Roman" w:hAnsi="Times New Roman" w:cs="Times New Roman"/>
                <w:color w:val="000000" w:themeColor="text1"/>
                <w:sz w:val="16"/>
                <w:szCs w:val="16"/>
              </w:rPr>
            </w:pPr>
            <w:proofErr w:type="gramStart"/>
            <w:r w:rsidRPr="00452352">
              <w:rPr>
                <w:rFonts w:ascii="Times New Roman" w:hAnsi="Times New Roman" w:cs="Times New Roman"/>
                <w:color w:val="000000" w:themeColor="text1"/>
                <w:sz w:val="16"/>
                <w:szCs w:val="16"/>
              </w:rPr>
              <w:t>Anterior :</w:t>
            </w:r>
            <w:proofErr w:type="gramEnd"/>
            <w:r w:rsidRPr="00452352">
              <w:rPr>
                <w:rFonts w:ascii="Times New Roman" w:hAnsi="Times New Roman" w:cs="Times New Roman"/>
                <w:color w:val="000000" w:themeColor="text1"/>
                <w:sz w:val="16"/>
                <w:szCs w:val="16"/>
              </w:rPr>
              <w:t xml:space="preserve"> </w:t>
            </w:r>
            <w:proofErr w:type="spellStart"/>
            <w:r w:rsidRPr="00452352">
              <w:rPr>
                <w:rFonts w:ascii="Times New Roman" w:hAnsi="Times New Roman" w:cs="Times New Roman"/>
                <w:color w:val="000000" w:themeColor="text1"/>
                <w:sz w:val="16"/>
                <w:szCs w:val="16"/>
              </w:rPr>
              <w:t>Posterior</w:t>
            </w:r>
            <w:proofErr w:type="spellEnd"/>
          </w:p>
        </w:tc>
        <w:tc>
          <w:tcPr>
            <w:tcW w:w="1134" w:type="dxa"/>
            <w:tcBorders>
              <w:left w:val="dashed" w:sz="4" w:space="0" w:color="auto"/>
            </w:tcBorders>
          </w:tcPr>
          <w:p w14:paraId="1ED2BC28" w14:textId="77777777" w:rsidR="00253E4E" w:rsidRPr="00452352" w:rsidRDefault="00253E4E" w:rsidP="00BD714C">
            <w:pPr>
              <w:spacing w:after="0" w:line="240" w:lineRule="auto"/>
              <w:jc w:val="center"/>
              <w:rPr>
                <w:rFonts w:ascii="Times New Roman" w:hAnsi="Times New Roman" w:cs="Times New Roman"/>
                <w:color w:val="000000" w:themeColor="text1"/>
                <w:sz w:val="16"/>
                <w:szCs w:val="16"/>
              </w:rPr>
            </w:pPr>
            <w:proofErr w:type="gramStart"/>
            <w:r w:rsidRPr="00452352">
              <w:rPr>
                <w:rFonts w:ascii="Times New Roman" w:hAnsi="Times New Roman" w:cs="Times New Roman"/>
                <w:color w:val="000000" w:themeColor="text1"/>
                <w:sz w:val="16"/>
                <w:szCs w:val="16"/>
              </w:rPr>
              <w:t>60 :</w:t>
            </w:r>
            <w:proofErr w:type="gramEnd"/>
            <w:r w:rsidRPr="00452352">
              <w:rPr>
                <w:rFonts w:ascii="Times New Roman" w:hAnsi="Times New Roman" w:cs="Times New Roman"/>
                <w:color w:val="000000" w:themeColor="text1"/>
                <w:sz w:val="16"/>
                <w:szCs w:val="16"/>
              </w:rPr>
              <w:t xml:space="preserve"> 25 </w:t>
            </w:r>
            <w:r w:rsidRPr="00452352">
              <w:rPr>
                <w:rFonts w:ascii="Times New Roman" w:hAnsi="Times New Roman" w:cs="Times New Roman"/>
                <w:color w:val="000000" w:themeColor="text1"/>
                <w:sz w:val="16"/>
                <w:szCs w:val="16"/>
                <w:vertAlign w:val="superscript"/>
              </w:rPr>
              <w:t>b</w:t>
            </w:r>
          </w:p>
          <w:p w14:paraId="1588FD56" w14:textId="77777777" w:rsidR="00253E4E" w:rsidRPr="00452352" w:rsidRDefault="00253E4E" w:rsidP="00BD714C">
            <w:pPr>
              <w:spacing w:after="0" w:line="240" w:lineRule="auto"/>
              <w:jc w:val="center"/>
              <w:rPr>
                <w:rFonts w:ascii="Times New Roman" w:hAnsi="Times New Roman" w:cs="Times New Roman"/>
                <w:color w:val="000000" w:themeColor="text1"/>
                <w:sz w:val="16"/>
                <w:szCs w:val="16"/>
              </w:rPr>
            </w:pPr>
            <w:r w:rsidRPr="00452352">
              <w:rPr>
                <w:rFonts w:ascii="Times New Roman" w:hAnsi="Times New Roman" w:cs="Times New Roman"/>
                <w:color w:val="000000" w:themeColor="text1"/>
                <w:sz w:val="16"/>
                <w:szCs w:val="16"/>
              </w:rPr>
              <w:t>(71</w:t>
            </w:r>
            <w:proofErr w:type="gramStart"/>
            <w:r w:rsidRPr="00452352">
              <w:rPr>
                <w:rFonts w:ascii="Times New Roman" w:hAnsi="Times New Roman" w:cs="Times New Roman"/>
                <w:color w:val="000000" w:themeColor="text1"/>
                <w:sz w:val="16"/>
                <w:szCs w:val="16"/>
              </w:rPr>
              <w:t>% :</w:t>
            </w:r>
            <w:proofErr w:type="gramEnd"/>
            <w:r w:rsidRPr="00452352">
              <w:rPr>
                <w:rFonts w:ascii="Times New Roman" w:hAnsi="Times New Roman" w:cs="Times New Roman"/>
                <w:color w:val="000000" w:themeColor="text1"/>
                <w:sz w:val="16"/>
                <w:szCs w:val="16"/>
              </w:rPr>
              <w:t xml:space="preserve"> 29%)</w:t>
            </w:r>
          </w:p>
        </w:tc>
        <w:tc>
          <w:tcPr>
            <w:tcW w:w="1132" w:type="dxa"/>
            <w:tcBorders>
              <w:right w:val="dashed" w:sz="4" w:space="0" w:color="auto"/>
            </w:tcBorders>
          </w:tcPr>
          <w:p w14:paraId="436B8590" w14:textId="77777777" w:rsidR="00253E4E" w:rsidRPr="00452352" w:rsidRDefault="00253E4E" w:rsidP="00BD714C">
            <w:pPr>
              <w:spacing w:after="0" w:line="240" w:lineRule="auto"/>
              <w:jc w:val="center"/>
              <w:rPr>
                <w:rFonts w:ascii="Times New Roman" w:hAnsi="Times New Roman" w:cs="Times New Roman"/>
                <w:color w:val="000000" w:themeColor="text1"/>
                <w:sz w:val="16"/>
                <w:szCs w:val="16"/>
              </w:rPr>
            </w:pPr>
            <w:proofErr w:type="gramStart"/>
            <w:r w:rsidRPr="00452352">
              <w:rPr>
                <w:rFonts w:ascii="Times New Roman" w:hAnsi="Times New Roman" w:cs="Times New Roman"/>
                <w:color w:val="000000" w:themeColor="text1"/>
                <w:sz w:val="16"/>
                <w:szCs w:val="16"/>
              </w:rPr>
              <w:t>8 :</w:t>
            </w:r>
            <w:proofErr w:type="gramEnd"/>
            <w:r w:rsidRPr="00452352">
              <w:rPr>
                <w:rFonts w:ascii="Times New Roman" w:hAnsi="Times New Roman" w:cs="Times New Roman"/>
                <w:color w:val="000000" w:themeColor="text1"/>
                <w:sz w:val="16"/>
                <w:szCs w:val="16"/>
              </w:rPr>
              <w:t xml:space="preserve"> 2</w:t>
            </w:r>
          </w:p>
          <w:p w14:paraId="0EEFBD6E" w14:textId="77777777" w:rsidR="00253E4E" w:rsidRPr="00452352" w:rsidRDefault="00253E4E" w:rsidP="00BD714C">
            <w:pPr>
              <w:spacing w:after="0" w:line="240" w:lineRule="auto"/>
              <w:jc w:val="center"/>
              <w:rPr>
                <w:rFonts w:ascii="Times New Roman" w:hAnsi="Times New Roman" w:cs="Times New Roman"/>
                <w:color w:val="000000" w:themeColor="text1"/>
                <w:sz w:val="16"/>
                <w:szCs w:val="16"/>
              </w:rPr>
            </w:pPr>
            <w:r w:rsidRPr="00452352">
              <w:rPr>
                <w:rFonts w:ascii="Times New Roman" w:hAnsi="Times New Roman" w:cs="Times New Roman"/>
                <w:color w:val="000000" w:themeColor="text1"/>
                <w:sz w:val="16"/>
                <w:szCs w:val="16"/>
              </w:rPr>
              <w:t>(80</w:t>
            </w:r>
            <w:proofErr w:type="gramStart"/>
            <w:r w:rsidRPr="00452352">
              <w:rPr>
                <w:rFonts w:ascii="Times New Roman" w:hAnsi="Times New Roman" w:cs="Times New Roman"/>
                <w:color w:val="000000" w:themeColor="text1"/>
                <w:sz w:val="16"/>
                <w:szCs w:val="16"/>
              </w:rPr>
              <w:t>% :</w:t>
            </w:r>
            <w:proofErr w:type="gramEnd"/>
            <w:r w:rsidRPr="00452352">
              <w:rPr>
                <w:rFonts w:ascii="Times New Roman" w:hAnsi="Times New Roman" w:cs="Times New Roman"/>
                <w:color w:val="000000" w:themeColor="text1"/>
                <w:sz w:val="16"/>
                <w:szCs w:val="16"/>
              </w:rPr>
              <w:t xml:space="preserve"> 20%)</w:t>
            </w:r>
          </w:p>
        </w:tc>
        <w:tc>
          <w:tcPr>
            <w:tcW w:w="639" w:type="dxa"/>
            <w:tcBorders>
              <w:left w:val="dashed" w:sz="4" w:space="0" w:color="auto"/>
            </w:tcBorders>
          </w:tcPr>
          <w:p w14:paraId="1E42EFD1" w14:textId="77777777" w:rsidR="00253E4E" w:rsidRPr="00452352" w:rsidRDefault="00253E4E" w:rsidP="00BD714C">
            <w:pPr>
              <w:spacing w:before="80" w:after="0" w:line="240" w:lineRule="auto"/>
              <w:jc w:val="center"/>
              <w:rPr>
                <w:rFonts w:ascii="Times New Roman" w:hAnsi="Times New Roman" w:cs="Times New Roman"/>
                <w:color w:val="000000" w:themeColor="text1"/>
                <w:sz w:val="16"/>
                <w:szCs w:val="16"/>
              </w:rPr>
            </w:pPr>
            <w:r w:rsidRPr="00452352">
              <w:rPr>
                <w:rFonts w:ascii="Times New Roman" w:hAnsi="Times New Roman" w:cs="Times New Roman"/>
                <w:color w:val="000000" w:themeColor="text1"/>
                <w:sz w:val="16"/>
                <w:szCs w:val="16"/>
              </w:rPr>
              <w:t>0.567</w:t>
            </w:r>
          </w:p>
        </w:tc>
        <w:tc>
          <w:tcPr>
            <w:tcW w:w="1134" w:type="dxa"/>
          </w:tcPr>
          <w:p w14:paraId="08F6EA03" w14:textId="77777777" w:rsidR="00253E4E" w:rsidRPr="00452352" w:rsidRDefault="00253E4E" w:rsidP="00BD714C">
            <w:pPr>
              <w:spacing w:before="80" w:after="0" w:line="240" w:lineRule="auto"/>
              <w:jc w:val="center"/>
              <w:rPr>
                <w:rFonts w:ascii="Times New Roman" w:hAnsi="Times New Roman" w:cs="Times New Roman"/>
                <w:color w:val="000000" w:themeColor="text1"/>
                <w:sz w:val="16"/>
                <w:szCs w:val="16"/>
              </w:rPr>
            </w:pPr>
            <w:r w:rsidRPr="00452352">
              <w:rPr>
                <w:rFonts w:ascii="Times New Roman" w:hAnsi="Times New Roman" w:cs="Times New Roman"/>
                <w:color w:val="000000" w:themeColor="text1"/>
                <w:sz w:val="16"/>
                <w:szCs w:val="16"/>
              </w:rPr>
              <w:t>0.113-2.857</w:t>
            </w:r>
          </w:p>
        </w:tc>
        <w:tc>
          <w:tcPr>
            <w:tcW w:w="814" w:type="dxa"/>
            <w:tcBorders>
              <w:right w:val="dashed" w:sz="4" w:space="0" w:color="auto"/>
            </w:tcBorders>
          </w:tcPr>
          <w:p w14:paraId="037C3AB4" w14:textId="77777777" w:rsidR="00253E4E" w:rsidRPr="00452352" w:rsidRDefault="00253E4E" w:rsidP="00BD714C">
            <w:pPr>
              <w:spacing w:before="80" w:after="0" w:line="240" w:lineRule="auto"/>
              <w:jc w:val="center"/>
              <w:rPr>
                <w:rFonts w:ascii="Times New Roman" w:hAnsi="Times New Roman" w:cs="Times New Roman"/>
                <w:color w:val="000000" w:themeColor="text1"/>
                <w:sz w:val="16"/>
                <w:szCs w:val="16"/>
              </w:rPr>
            </w:pPr>
            <w:r w:rsidRPr="00452352">
              <w:rPr>
                <w:rFonts w:ascii="Times New Roman" w:hAnsi="Times New Roman" w:cs="Times New Roman"/>
                <w:color w:val="000000" w:themeColor="text1"/>
                <w:sz w:val="16"/>
                <w:szCs w:val="16"/>
              </w:rPr>
              <w:t>0.492</w:t>
            </w:r>
          </w:p>
        </w:tc>
        <w:tc>
          <w:tcPr>
            <w:tcW w:w="603" w:type="dxa"/>
            <w:tcBorders>
              <w:left w:val="dashed" w:sz="4" w:space="0" w:color="auto"/>
            </w:tcBorders>
          </w:tcPr>
          <w:p w14:paraId="4FE4B50D" w14:textId="77777777" w:rsidR="00253E4E" w:rsidRPr="00452352" w:rsidRDefault="00253E4E" w:rsidP="00BD714C">
            <w:pPr>
              <w:spacing w:before="80" w:after="0" w:line="240" w:lineRule="auto"/>
              <w:jc w:val="center"/>
              <w:rPr>
                <w:rFonts w:ascii="Times New Roman" w:hAnsi="Times New Roman" w:cs="Times New Roman"/>
                <w:color w:val="000000" w:themeColor="text1"/>
                <w:sz w:val="16"/>
                <w:szCs w:val="16"/>
              </w:rPr>
            </w:pPr>
          </w:p>
        </w:tc>
        <w:tc>
          <w:tcPr>
            <w:tcW w:w="1134" w:type="dxa"/>
          </w:tcPr>
          <w:p w14:paraId="14028D44" w14:textId="77777777" w:rsidR="00253E4E" w:rsidRPr="00452352" w:rsidRDefault="00253E4E" w:rsidP="00BD714C">
            <w:pPr>
              <w:spacing w:before="80" w:after="0" w:line="240" w:lineRule="auto"/>
              <w:jc w:val="center"/>
              <w:rPr>
                <w:rFonts w:ascii="Times New Roman" w:hAnsi="Times New Roman" w:cs="Times New Roman"/>
                <w:color w:val="000000" w:themeColor="text1"/>
                <w:sz w:val="16"/>
                <w:szCs w:val="16"/>
              </w:rPr>
            </w:pPr>
          </w:p>
        </w:tc>
        <w:tc>
          <w:tcPr>
            <w:tcW w:w="851" w:type="dxa"/>
            <w:tcBorders>
              <w:right w:val="dashed" w:sz="4" w:space="0" w:color="auto"/>
            </w:tcBorders>
          </w:tcPr>
          <w:p w14:paraId="40F21F80" w14:textId="77777777" w:rsidR="00253E4E" w:rsidRPr="00452352" w:rsidRDefault="00253E4E" w:rsidP="00BD714C">
            <w:pPr>
              <w:spacing w:before="80" w:after="0" w:line="240" w:lineRule="auto"/>
              <w:jc w:val="center"/>
              <w:rPr>
                <w:rFonts w:ascii="Times New Roman" w:hAnsi="Times New Roman" w:cs="Times New Roman"/>
                <w:color w:val="000000" w:themeColor="text1"/>
                <w:sz w:val="16"/>
                <w:szCs w:val="16"/>
              </w:rPr>
            </w:pPr>
          </w:p>
        </w:tc>
      </w:tr>
      <w:tr w:rsidR="00452352" w:rsidRPr="00452352" w14:paraId="58CAED89" w14:textId="77777777" w:rsidTr="00BD714C">
        <w:trPr>
          <w:trHeight w:val="113"/>
        </w:trPr>
        <w:tc>
          <w:tcPr>
            <w:tcW w:w="1587" w:type="dxa"/>
            <w:tcBorders>
              <w:right w:val="dashed" w:sz="4" w:space="0" w:color="auto"/>
            </w:tcBorders>
            <w:shd w:val="clear" w:color="auto" w:fill="F2F2F2" w:themeFill="background1" w:themeFillShade="F2"/>
          </w:tcPr>
          <w:p w14:paraId="19513E9B" w14:textId="77777777" w:rsidR="00253E4E" w:rsidRPr="00452352" w:rsidRDefault="00253E4E" w:rsidP="00BD714C">
            <w:pPr>
              <w:spacing w:after="0" w:line="240" w:lineRule="auto"/>
              <w:rPr>
                <w:rFonts w:ascii="Times New Roman" w:hAnsi="Times New Roman" w:cs="Times New Roman"/>
                <w:b/>
                <w:color w:val="000000" w:themeColor="text1"/>
                <w:sz w:val="16"/>
                <w:szCs w:val="16"/>
              </w:rPr>
            </w:pPr>
            <w:r w:rsidRPr="00452352">
              <w:rPr>
                <w:rFonts w:ascii="Times New Roman" w:hAnsi="Times New Roman" w:cs="Times New Roman"/>
                <w:b/>
                <w:color w:val="000000" w:themeColor="text1"/>
                <w:sz w:val="16"/>
                <w:szCs w:val="16"/>
              </w:rPr>
              <w:t>Treatment</w:t>
            </w:r>
          </w:p>
          <w:p w14:paraId="5CDB73C8" w14:textId="77777777" w:rsidR="00253E4E" w:rsidRPr="00452352" w:rsidRDefault="00253E4E" w:rsidP="00BD714C">
            <w:pPr>
              <w:spacing w:after="0" w:line="240" w:lineRule="auto"/>
              <w:rPr>
                <w:rFonts w:ascii="Times New Roman" w:hAnsi="Times New Roman" w:cs="Times New Roman"/>
                <w:color w:val="000000" w:themeColor="text1"/>
                <w:sz w:val="16"/>
                <w:szCs w:val="16"/>
              </w:rPr>
            </w:pPr>
            <w:proofErr w:type="gramStart"/>
            <w:r w:rsidRPr="00452352">
              <w:rPr>
                <w:rFonts w:ascii="Times New Roman" w:hAnsi="Times New Roman" w:cs="Times New Roman"/>
                <w:color w:val="000000" w:themeColor="text1"/>
                <w:sz w:val="16"/>
                <w:szCs w:val="16"/>
              </w:rPr>
              <w:t>Clipping :</w:t>
            </w:r>
            <w:proofErr w:type="gramEnd"/>
            <w:r w:rsidRPr="00452352">
              <w:rPr>
                <w:rFonts w:ascii="Times New Roman" w:hAnsi="Times New Roman" w:cs="Times New Roman"/>
                <w:color w:val="000000" w:themeColor="text1"/>
                <w:sz w:val="16"/>
                <w:szCs w:val="16"/>
              </w:rPr>
              <w:t xml:space="preserve"> </w:t>
            </w:r>
            <w:proofErr w:type="spellStart"/>
            <w:r w:rsidRPr="00452352">
              <w:rPr>
                <w:rFonts w:ascii="Times New Roman" w:hAnsi="Times New Roman" w:cs="Times New Roman"/>
                <w:color w:val="000000" w:themeColor="text1"/>
                <w:sz w:val="16"/>
                <w:szCs w:val="16"/>
              </w:rPr>
              <w:t>Coiling</w:t>
            </w:r>
            <w:proofErr w:type="spellEnd"/>
          </w:p>
        </w:tc>
        <w:tc>
          <w:tcPr>
            <w:tcW w:w="1134" w:type="dxa"/>
            <w:tcBorders>
              <w:left w:val="dashed" w:sz="4" w:space="0" w:color="auto"/>
            </w:tcBorders>
            <w:shd w:val="clear" w:color="auto" w:fill="F2F2F2" w:themeFill="background1" w:themeFillShade="F2"/>
          </w:tcPr>
          <w:p w14:paraId="69F5B7B0" w14:textId="77777777" w:rsidR="00253E4E" w:rsidRPr="00452352" w:rsidRDefault="00253E4E" w:rsidP="00BD714C">
            <w:pPr>
              <w:spacing w:after="0" w:line="240" w:lineRule="auto"/>
              <w:jc w:val="center"/>
              <w:rPr>
                <w:rFonts w:ascii="Times New Roman" w:hAnsi="Times New Roman" w:cs="Times New Roman"/>
                <w:color w:val="000000" w:themeColor="text1"/>
                <w:sz w:val="16"/>
                <w:szCs w:val="16"/>
              </w:rPr>
            </w:pPr>
            <w:proofErr w:type="gramStart"/>
            <w:r w:rsidRPr="00452352">
              <w:rPr>
                <w:rFonts w:ascii="Times New Roman" w:hAnsi="Times New Roman" w:cs="Times New Roman"/>
                <w:color w:val="000000" w:themeColor="text1"/>
                <w:sz w:val="16"/>
                <w:szCs w:val="16"/>
              </w:rPr>
              <w:t>32 :</w:t>
            </w:r>
            <w:proofErr w:type="gramEnd"/>
            <w:r w:rsidRPr="00452352">
              <w:rPr>
                <w:rFonts w:ascii="Times New Roman" w:hAnsi="Times New Roman" w:cs="Times New Roman"/>
                <w:color w:val="000000" w:themeColor="text1"/>
                <w:sz w:val="16"/>
                <w:szCs w:val="16"/>
              </w:rPr>
              <w:t xml:space="preserve"> 52 </w:t>
            </w:r>
            <w:r w:rsidRPr="00452352">
              <w:rPr>
                <w:rFonts w:ascii="Times New Roman" w:hAnsi="Times New Roman" w:cs="Times New Roman"/>
                <w:color w:val="000000" w:themeColor="text1"/>
                <w:sz w:val="16"/>
                <w:szCs w:val="16"/>
                <w:vertAlign w:val="superscript"/>
              </w:rPr>
              <w:t>c</w:t>
            </w:r>
          </w:p>
          <w:p w14:paraId="1294DAB1" w14:textId="77777777" w:rsidR="00253E4E" w:rsidRPr="00452352" w:rsidRDefault="00253E4E" w:rsidP="00BD714C">
            <w:pPr>
              <w:spacing w:after="0" w:line="240" w:lineRule="auto"/>
              <w:jc w:val="center"/>
              <w:rPr>
                <w:rFonts w:ascii="Times New Roman" w:hAnsi="Times New Roman" w:cs="Times New Roman"/>
                <w:color w:val="000000" w:themeColor="text1"/>
                <w:sz w:val="16"/>
                <w:szCs w:val="16"/>
              </w:rPr>
            </w:pPr>
            <w:r w:rsidRPr="00452352">
              <w:rPr>
                <w:rFonts w:ascii="Times New Roman" w:hAnsi="Times New Roman" w:cs="Times New Roman"/>
                <w:color w:val="000000" w:themeColor="text1"/>
                <w:sz w:val="16"/>
                <w:szCs w:val="16"/>
              </w:rPr>
              <w:t>(38</w:t>
            </w:r>
            <w:proofErr w:type="gramStart"/>
            <w:r w:rsidRPr="00452352">
              <w:rPr>
                <w:rFonts w:ascii="Times New Roman" w:hAnsi="Times New Roman" w:cs="Times New Roman"/>
                <w:color w:val="000000" w:themeColor="text1"/>
                <w:sz w:val="16"/>
                <w:szCs w:val="16"/>
              </w:rPr>
              <w:t>% :</w:t>
            </w:r>
            <w:proofErr w:type="gramEnd"/>
            <w:r w:rsidRPr="00452352">
              <w:rPr>
                <w:rFonts w:ascii="Times New Roman" w:hAnsi="Times New Roman" w:cs="Times New Roman"/>
                <w:color w:val="000000" w:themeColor="text1"/>
                <w:sz w:val="16"/>
                <w:szCs w:val="16"/>
              </w:rPr>
              <w:t xml:space="preserve"> 62%)</w:t>
            </w:r>
          </w:p>
        </w:tc>
        <w:tc>
          <w:tcPr>
            <w:tcW w:w="1132" w:type="dxa"/>
            <w:tcBorders>
              <w:right w:val="dashed" w:sz="4" w:space="0" w:color="auto"/>
            </w:tcBorders>
            <w:shd w:val="clear" w:color="auto" w:fill="F2F2F2" w:themeFill="background1" w:themeFillShade="F2"/>
          </w:tcPr>
          <w:p w14:paraId="73968686" w14:textId="77777777" w:rsidR="00253E4E" w:rsidRPr="00452352" w:rsidRDefault="00253E4E" w:rsidP="00BD714C">
            <w:pPr>
              <w:spacing w:after="0" w:line="240" w:lineRule="auto"/>
              <w:jc w:val="center"/>
              <w:rPr>
                <w:rFonts w:ascii="Times New Roman" w:hAnsi="Times New Roman" w:cs="Times New Roman"/>
                <w:color w:val="000000" w:themeColor="text1"/>
                <w:sz w:val="16"/>
                <w:szCs w:val="16"/>
              </w:rPr>
            </w:pPr>
            <w:proofErr w:type="gramStart"/>
            <w:r w:rsidRPr="00452352">
              <w:rPr>
                <w:rFonts w:ascii="Times New Roman" w:hAnsi="Times New Roman" w:cs="Times New Roman"/>
                <w:color w:val="000000" w:themeColor="text1"/>
                <w:sz w:val="16"/>
                <w:szCs w:val="16"/>
              </w:rPr>
              <w:t>7 :</w:t>
            </w:r>
            <w:proofErr w:type="gramEnd"/>
            <w:r w:rsidRPr="00452352">
              <w:rPr>
                <w:rFonts w:ascii="Times New Roman" w:hAnsi="Times New Roman" w:cs="Times New Roman"/>
                <w:color w:val="000000" w:themeColor="text1"/>
                <w:sz w:val="16"/>
                <w:szCs w:val="16"/>
              </w:rPr>
              <w:t xml:space="preserve"> 3</w:t>
            </w:r>
          </w:p>
          <w:p w14:paraId="70B3B4CB" w14:textId="77777777" w:rsidR="00253E4E" w:rsidRPr="00452352" w:rsidRDefault="00253E4E" w:rsidP="00BD714C">
            <w:pPr>
              <w:spacing w:after="0" w:line="240" w:lineRule="auto"/>
              <w:jc w:val="center"/>
              <w:rPr>
                <w:rFonts w:ascii="Times New Roman" w:hAnsi="Times New Roman" w:cs="Times New Roman"/>
                <w:color w:val="000000" w:themeColor="text1"/>
                <w:sz w:val="16"/>
                <w:szCs w:val="16"/>
              </w:rPr>
            </w:pPr>
            <w:r w:rsidRPr="00452352">
              <w:rPr>
                <w:rFonts w:ascii="Times New Roman" w:hAnsi="Times New Roman" w:cs="Times New Roman"/>
                <w:color w:val="000000" w:themeColor="text1"/>
                <w:sz w:val="16"/>
                <w:szCs w:val="16"/>
              </w:rPr>
              <w:t>(70</w:t>
            </w:r>
            <w:proofErr w:type="gramStart"/>
            <w:r w:rsidRPr="00452352">
              <w:rPr>
                <w:rFonts w:ascii="Times New Roman" w:hAnsi="Times New Roman" w:cs="Times New Roman"/>
                <w:color w:val="000000" w:themeColor="text1"/>
                <w:sz w:val="16"/>
                <w:szCs w:val="16"/>
              </w:rPr>
              <w:t>% :</w:t>
            </w:r>
            <w:proofErr w:type="gramEnd"/>
            <w:r w:rsidRPr="00452352">
              <w:rPr>
                <w:rFonts w:ascii="Times New Roman" w:hAnsi="Times New Roman" w:cs="Times New Roman"/>
                <w:color w:val="000000" w:themeColor="text1"/>
                <w:sz w:val="16"/>
                <w:szCs w:val="16"/>
              </w:rPr>
              <w:t xml:space="preserve"> 30%)</w:t>
            </w:r>
          </w:p>
        </w:tc>
        <w:tc>
          <w:tcPr>
            <w:tcW w:w="639" w:type="dxa"/>
            <w:tcBorders>
              <w:left w:val="dashed" w:sz="4" w:space="0" w:color="auto"/>
            </w:tcBorders>
            <w:shd w:val="clear" w:color="auto" w:fill="F2F2F2" w:themeFill="background1" w:themeFillShade="F2"/>
          </w:tcPr>
          <w:p w14:paraId="392BC22A" w14:textId="77777777" w:rsidR="00253E4E" w:rsidRPr="00452352" w:rsidRDefault="00253E4E" w:rsidP="00BD714C">
            <w:pPr>
              <w:spacing w:before="80" w:after="0" w:line="240" w:lineRule="auto"/>
              <w:jc w:val="center"/>
              <w:rPr>
                <w:rFonts w:ascii="Times New Roman" w:hAnsi="Times New Roman" w:cs="Times New Roman"/>
                <w:color w:val="000000" w:themeColor="text1"/>
                <w:sz w:val="16"/>
                <w:szCs w:val="16"/>
              </w:rPr>
            </w:pPr>
            <w:r w:rsidRPr="00452352">
              <w:rPr>
                <w:rFonts w:ascii="Times New Roman" w:hAnsi="Times New Roman" w:cs="Times New Roman"/>
                <w:color w:val="000000" w:themeColor="text1"/>
                <w:sz w:val="16"/>
                <w:szCs w:val="16"/>
              </w:rPr>
              <w:t>0.259</w:t>
            </w:r>
          </w:p>
        </w:tc>
        <w:tc>
          <w:tcPr>
            <w:tcW w:w="1134" w:type="dxa"/>
            <w:shd w:val="clear" w:color="auto" w:fill="F2F2F2" w:themeFill="background1" w:themeFillShade="F2"/>
          </w:tcPr>
          <w:p w14:paraId="5EC486D2" w14:textId="77777777" w:rsidR="00253E4E" w:rsidRPr="00452352" w:rsidRDefault="00253E4E" w:rsidP="00BD714C">
            <w:pPr>
              <w:spacing w:before="80" w:after="0" w:line="240" w:lineRule="auto"/>
              <w:jc w:val="center"/>
              <w:rPr>
                <w:rFonts w:ascii="Times New Roman" w:hAnsi="Times New Roman" w:cs="Times New Roman"/>
                <w:color w:val="000000" w:themeColor="text1"/>
                <w:sz w:val="16"/>
                <w:szCs w:val="16"/>
              </w:rPr>
            </w:pPr>
            <w:r w:rsidRPr="00452352">
              <w:rPr>
                <w:rFonts w:ascii="Times New Roman" w:hAnsi="Times New Roman" w:cs="Times New Roman"/>
                <w:color w:val="000000" w:themeColor="text1"/>
                <w:sz w:val="16"/>
                <w:szCs w:val="16"/>
              </w:rPr>
              <w:t>0.062-1.073</w:t>
            </w:r>
          </w:p>
        </w:tc>
        <w:tc>
          <w:tcPr>
            <w:tcW w:w="814" w:type="dxa"/>
            <w:tcBorders>
              <w:right w:val="dashed" w:sz="4" w:space="0" w:color="auto"/>
            </w:tcBorders>
            <w:shd w:val="clear" w:color="auto" w:fill="F2F2F2" w:themeFill="background1" w:themeFillShade="F2"/>
          </w:tcPr>
          <w:p w14:paraId="3474FDA8" w14:textId="77777777" w:rsidR="00253E4E" w:rsidRPr="00452352" w:rsidRDefault="00253E4E" w:rsidP="00BD714C">
            <w:pPr>
              <w:spacing w:before="80" w:after="0" w:line="240" w:lineRule="auto"/>
              <w:jc w:val="center"/>
              <w:rPr>
                <w:rFonts w:ascii="Times New Roman" w:hAnsi="Times New Roman" w:cs="Times New Roman"/>
                <w:b/>
                <w:color w:val="000000" w:themeColor="text1"/>
                <w:sz w:val="16"/>
                <w:szCs w:val="16"/>
              </w:rPr>
            </w:pPr>
            <w:r w:rsidRPr="00452352">
              <w:rPr>
                <w:rFonts w:ascii="Times New Roman" w:hAnsi="Times New Roman" w:cs="Times New Roman"/>
                <w:color w:val="000000" w:themeColor="text1"/>
                <w:sz w:val="16"/>
                <w:szCs w:val="16"/>
              </w:rPr>
              <w:t>0.062</w:t>
            </w:r>
          </w:p>
        </w:tc>
        <w:tc>
          <w:tcPr>
            <w:tcW w:w="603" w:type="dxa"/>
            <w:tcBorders>
              <w:left w:val="dashed" w:sz="4" w:space="0" w:color="auto"/>
            </w:tcBorders>
            <w:shd w:val="clear" w:color="auto" w:fill="F2F2F2" w:themeFill="background1" w:themeFillShade="F2"/>
          </w:tcPr>
          <w:p w14:paraId="0733E7EF" w14:textId="77777777" w:rsidR="00253E4E" w:rsidRPr="00452352" w:rsidRDefault="00253E4E" w:rsidP="00BD714C">
            <w:pPr>
              <w:spacing w:before="80" w:after="0" w:line="240" w:lineRule="auto"/>
              <w:jc w:val="center"/>
              <w:rPr>
                <w:rFonts w:ascii="Times New Roman" w:hAnsi="Times New Roman" w:cs="Times New Roman"/>
                <w:color w:val="000000" w:themeColor="text1"/>
                <w:sz w:val="16"/>
                <w:szCs w:val="16"/>
              </w:rPr>
            </w:pPr>
          </w:p>
        </w:tc>
        <w:tc>
          <w:tcPr>
            <w:tcW w:w="1134" w:type="dxa"/>
            <w:shd w:val="clear" w:color="auto" w:fill="F2F2F2" w:themeFill="background1" w:themeFillShade="F2"/>
          </w:tcPr>
          <w:p w14:paraId="6D555D64" w14:textId="77777777" w:rsidR="00253E4E" w:rsidRPr="00452352" w:rsidRDefault="00253E4E" w:rsidP="00BD714C">
            <w:pPr>
              <w:spacing w:before="80" w:after="0" w:line="240" w:lineRule="auto"/>
              <w:jc w:val="center"/>
              <w:rPr>
                <w:rFonts w:ascii="Times New Roman" w:hAnsi="Times New Roman" w:cs="Times New Roman"/>
                <w:color w:val="000000" w:themeColor="text1"/>
                <w:sz w:val="16"/>
                <w:szCs w:val="16"/>
              </w:rPr>
            </w:pPr>
          </w:p>
        </w:tc>
        <w:tc>
          <w:tcPr>
            <w:tcW w:w="851" w:type="dxa"/>
            <w:tcBorders>
              <w:right w:val="dashed" w:sz="4" w:space="0" w:color="auto"/>
            </w:tcBorders>
            <w:shd w:val="clear" w:color="auto" w:fill="F2F2F2" w:themeFill="background1" w:themeFillShade="F2"/>
          </w:tcPr>
          <w:p w14:paraId="7EECAD8D" w14:textId="77777777" w:rsidR="00253E4E" w:rsidRPr="00452352" w:rsidRDefault="00253E4E" w:rsidP="00BD714C">
            <w:pPr>
              <w:spacing w:before="80" w:after="0" w:line="240" w:lineRule="auto"/>
              <w:jc w:val="center"/>
              <w:rPr>
                <w:rFonts w:ascii="Times New Roman" w:hAnsi="Times New Roman" w:cs="Times New Roman"/>
                <w:color w:val="000000" w:themeColor="text1"/>
                <w:sz w:val="16"/>
                <w:szCs w:val="16"/>
              </w:rPr>
            </w:pPr>
          </w:p>
        </w:tc>
      </w:tr>
      <w:tr w:rsidR="00452352" w:rsidRPr="00452352" w14:paraId="3D659789" w14:textId="77777777" w:rsidTr="00BD714C">
        <w:trPr>
          <w:trHeight w:val="113"/>
        </w:trPr>
        <w:tc>
          <w:tcPr>
            <w:tcW w:w="1587" w:type="dxa"/>
            <w:tcBorders>
              <w:right w:val="dashed" w:sz="4" w:space="0" w:color="auto"/>
            </w:tcBorders>
          </w:tcPr>
          <w:p w14:paraId="7C078F96" w14:textId="77777777" w:rsidR="00253E4E" w:rsidRPr="00452352" w:rsidRDefault="00253E4E" w:rsidP="00BD714C">
            <w:pPr>
              <w:spacing w:after="0" w:line="240" w:lineRule="auto"/>
              <w:rPr>
                <w:rFonts w:ascii="Times New Roman" w:hAnsi="Times New Roman" w:cs="Times New Roman"/>
                <w:b/>
                <w:color w:val="000000" w:themeColor="text1"/>
                <w:sz w:val="16"/>
                <w:szCs w:val="16"/>
              </w:rPr>
            </w:pPr>
            <w:proofErr w:type="spellStart"/>
            <w:r w:rsidRPr="00452352">
              <w:rPr>
                <w:rFonts w:ascii="Times New Roman" w:hAnsi="Times New Roman" w:cs="Times New Roman"/>
                <w:b/>
                <w:color w:val="000000" w:themeColor="text1"/>
                <w:sz w:val="16"/>
                <w:szCs w:val="16"/>
              </w:rPr>
              <w:t>Hunt</w:t>
            </w:r>
            <w:proofErr w:type="spellEnd"/>
            <w:r w:rsidRPr="00452352">
              <w:rPr>
                <w:rFonts w:ascii="Times New Roman" w:hAnsi="Times New Roman" w:cs="Times New Roman"/>
                <w:b/>
                <w:color w:val="000000" w:themeColor="text1"/>
                <w:sz w:val="16"/>
                <w:szCs w:val="16"/>
              </w:rPr>
              <w:t xml:space="preserve"> &amp; Hess grade</w:t>
            </w:r>
          </w:p>
          <w:p w14:paraId="491C6022" w14:textId="77777777" w:rsidR="00253E4E" w:rsidRPr="00452352" w:rsidRDefault="00253E4E" w:rsidP="00BD714C">
            <w:pPr>
              <w:spacing w:after="0" w:line="240" w:lineRule="auto"/>
              <w:rPr>
                <w:rFonts w:ascii="Times New Roman" w:hAnsi="Times New Roman" w:cs="Times New Roman"/>
                <w:color w:val="000000" w:themeColor="text1"/>
                <w:sz w:val="16"/>
                <w:szCs w:val="16"/>
                <w:lang w:val="en-US"/>
              </w:rPr>
            </w:pPr>
            <w:r w:rsidRPr="00452352">
              <w:rPr>
                <w:rFonts w:ascii="Times New Roman" w:hAnsi="Times New Roman" w:cs="Times New Roman"/>
                <w:color w:val="000000" w:themeColor="text1"/>
                <w:sz w:val="16"/>
                <w:szCs w:val="16"/>
              </w:rPr>
              <w:t>HH</w:t>
            </w:r>
            <w:r w:rsidRPr="00452352">
              <w:rPr>
                <w:rFonts w:ascii="Times New Roman" w:hAnsi="Times New Roman" w:cs="Times New Roman"/>
                <w:color w:val="000000" w:themeColor="text1"/>
                <w:sz w:val="16"/>
                <w:szCs w:val="16"/>
                <w:vertAlign w:val="subscript"/>
              </w:rPr>
              <w:t>1-</w:t>
            </w:r>
            <w:proofErr w:type="gramStart"/>
            <w:r w:rsidRPr="00452352">
              <w:rPr>
                <w:rFonts w:ascii="Times New Roman" w:hAnsi="Times New Roman" w:cs="Times New Roman"/>
                <w:color w:val="000000" w:themeColor="text1"/>
                <w:sz w:val="16"/>
                <w:szCs w:val="16"/>
                <w:vertAlign w:val="subscript"/>
              </w:rPr>
              <w:t>3</w:t>
            </w:r>
            <w:r w:rsidRPr="00452352">
              <w:rPr>
                <w:rFonts w:ascii="Times New Roman" w:hAnsi="Times New Roman" w:cs="Times New Roman"/>
                <w:color w:val="000000" w:themeColor="text1"/>
                <w:sz w:val="16"/>
                <w:szCs w:val="16"/>
              </w:rPr>
              <w:t xml:space="preserve"> :</w:t>
            </w:r>
            <w:proofErr w:type="gramEnd"/>
            <w:r w:rsidRPr="00452352">
              <w:rPr>
                <w:rFonts w:ascii="Times New Roman" w:hAnsi="Times New Roman" w:cs="Times New Roman"/>
                <w:color w:val="000000" w:themeColor="text1"/>
                <w:sz w:val="16"/>
                <w:szCs w:val="16"/>
              </w:rPr>
              <w:t xml:space="preserve"> HH</w:t>
            </w:r>
            <w:r w:rsidRPr="00452352">
              <w:rPr>
                <w:rFonts w:ascii="Times New Roman" w:hAnsi="Times New Roman" w:cs="Times New Roman"/>
                <w:color w:val="000000" w:themeColor="text1"/>
                <w:sz w:val="16"/>
                <w:szCs w:val="16"/>
                <w:vertAlign w:val="subscript"/>
              </w:rPr>
              <w:t>4-5</w:t>
            </w:r>
          </w:p>
        </w:tc>
        <w:tc>
          <w:tcPr>
            <w:tcW w:w="1134" w:type="dxa"/>
            <w:tcBorders>
              <w:left w:val="dashed" w:sz="4" w:space="0" w:color="auto"/>
            </w:tcBorders>
          </w:tcPr>
          <w:p w14:paraId="60A0CEE4" w14:textId="77777777" w:rsidR="00253E4E" w:rsidRPr="00452352" w:rsidRDefault="00253E4E" w:rsidP="00BD714C">
            <w:pPr>
              <w:spacing w:after="0" w:line="240" w:lineRule="auto"/>
              <w:jc w:val="center"/>
              <w:rPr>
                <w:rFonts w:ascii="Times New Roman" w:hAnsi="Times New Roman" w:cs="Times New Roman"/>
                <w:color w:val="000000" w:themeColor="text1"/>
                <w:sz w:val="16"/>
                <w:szCs w:val="16"/>
              </w:rPr>
            </w:pPr>
            <w:proofErr w:type="gramStart"/>
            <w:r w:rsidRPr="00452352">
              <w:rPr>
                <w:rFonts w:ascii="Times New Roman" w:hAnsi="Times New Roman" w:cs="Times New Roman"/>
                <w:color w:val="000000" w:themeColor="text1"/>
                <w:sz w:val="16"/>
                <w:szCs w:val="16"/>
              </w:rPr>
              <w:t>70 :</w:t>
            </w:r>
            <w:proofErr w:type="gramEnd"/>
            <w:r w:rsidRPr="00452352">
              <w:rPr>
                <w:rFonts w:ascii="Times New Roman" w:hAnsi="Times New Roman" w:cs="Times New Roman"/>
                <w:color w:val="000000" w:themeColor="text1"/>
                <w:sz w:val="16"/>
                <w:szCs w:val="16"/>
              </w:rPr>
              <w:t xml:space="preserve"> 16</w:t>
            </w:r>
          </w:p>
          <w:p w14:paraId="142DF92A" w14:textId="77777777" w:rsidR="00253E4E" w:rsidRPr="00452352" w:rsidRDefault="00253E4E" w:rsidP="00BD714C">
            <w:pPr>
              <w:spacing w:after="0" w:line="240" w:lineRule="auto"/>
              <w:jc w:val="center"/>
              <w:rPr>
                <w:rFonts w:ascii="Times New Roman" w:hAnsi="Times New Roman" w:cs="Times New Roman"/>
                <w:color w:val="000000" w:themeColor="text1"/>
                <w:sz w:val="16"/>
                <w:szCs w:val="16"/>
              </w:rPr>
            </w:pPr>
            <w:r w:rsidRPr="00452352">
              <w:rPr>
                <w:rFonts w:ascii="Times New Roman" w:hAnsi="Times New Roman" w:cs="Times New Roman"/>
                <w:color w:val="000000" w:themeColor="text1"/>
                <w:sz w:val="16"/>
                <w:szCs w:val="16"/>
              </w:rPr>
              <w:t>(81</w:t>
            </w:r>
            <w:proofErr w:type="gramStart"/>
            <w:r w:rsidRPr="00452352">
              <w:rPr>
                <w:rFonts w:ascii="Times New Roman" w:hAnsi="Times New Roman" w:cs="Times New Roman"/>
                <w:color w:val="000000" w:themeColor="text1"/>
                <w:sz w:val="16"/>
                <w:szCs w:val="16"/>
              </w:rPr>
              <w:t>% :</w:t>
            </w:r>
            <w:proofErr w:type="gramEnd"/>
            <w:r w:rsidRPr="00452352">
              <w:rPr>
                <w:rFonts w:ascii="Times New Roman" w:hAnsi="Times New Roman" w:cs="Times New Roman"/>
                <w:color w:val="000000" w:themeColor="text1"/>
                <w:sz w:val="16"/>
                <w:szCs w:val="16"/>
              </w:rPr>
              <w:t xml:space="preserve"> 19%)</w:t>
            </w:r>
          </w:p>
        </w:tc>
        <w:tc>
          <w:tcPr>
            <w:tcW w:w="1132" w:type="dxa"/>
            <w:tcBorders>
              <w:right w:val="dashed" w:sz="4" w:space="0" w:color="auto"/>
            </w:tcBorders>
          </w:tcPr>
          <w:p w14:paraId="42BC8F28" w14:textId="77777777" w:rsidR="00253E4E" w:rsidRPr="00452352" w:rsidRDefault="00253E4E" w:rsidP="00BD714C">
            <w:pPr>
              <w:spacing w:after="0" w:line="240" w:lineRule="auto"/>
              <w:jc w:val="center"/>
              <w:rPr>
                <w:rFonts w:ascii="Times New Roman" w:hAnsi="Times New Roman" w:cs="Times New Roman"/>
                <w:color w:val="000000" w:themeColor="text1"/>
                <w:sz w:val="16"/>
                <w:szCs w:val="16"/>
              </w:rPr>
            </w:pPr>
            <w:proofErr w:type="gramStart"/>
            <w:r w:rsidRPr="00452352">
              <w:rPr>
                <w:rFonts w:ascii="Times New Roman" w:hAnsi="Times New Roman" w:cs="Times New Roman"/>
                <w:color w:val="000000" w:themeColor="text1"/>
                <w:sz w:val="16"/>
                <w:szCs w:val="16"/>
              </w:rPr>
              <w:t>5 :</w:t>
            </w:r>
            <w:proofErr w:type="gramEnd"/>
            <w:r w:rsidRPr="00452352">
              <w:rPr>
                <w:rFonts w:ascii="Times New Roman" w:hAnsi="Times New Roman" w:cs="Times New Roman"/>
                <w:color w:val="000000" w:themeColor="text1"/>
                <w:sz w:val="16"/>
                <w:szCs w:val="16"/>
              </w:rPr>
              <w:t xml:space="preserve"> 5</w:t>
            </w:r>
          </w:p>
          <w:p w14:paraId="56CCD5A2" w14:textId="77777777" w:rsidR="00253E4E" w:rsidRPr="00452352" w:rsidRDefault="00253E4E" w:rsidP="00BD714C">
            <w:pPr>
              <w:spacing w:after="0" w:line="240" w:lineRule="auto"/>
              <w:jc w:val="center"/>
              <w:rPr>
                <w:rFonts w:ascii="Times New Roman" w:hAnsi="Times New Roman" w:cs="Times New Roman"/>
                <w:color w:val="000000" w:themeColor="text1"/>
                <w:sz w:val="16"/>
                <w:szCs w:val="16"/>
              </w:rPr>
            </w:pPr>
            <w:r w:rsidRPr="00452352">
              <w:rPr>
                <w:rFonts w:ascii="Times New Roman" w:hAnsi="Times New Roman" w:cs="Times New Roman"/>
                <w:color w:val="000000" w:themeColor="text1"/>
                <w:sz w:val="16"/>
                <w:szCs w:val="16"/>
              </w:rPr>
              <w:t>(50</w:t>
            </w:r>
            <w:proofErr w:type="gramStart"/>
            <w:r w:rsidRPr="00452352">
              <w:rPr>
                <w:rFonts w:ascii="Times New Roman" w:hAnsi="Times New Roman" w:cs="Times New Roman"/>
                <w:color w:val="000000" w:themeColor="text1"/>
                <w:sz w:val="16"/>
                <w:szCs w:val="16"/>
              </w:rPr>
              <w:t>% :</w:t>
            </w:r>
            <w:proofErr w:type="gramEnd"/>
            <w:r w:rsidRPr="00452352">
              <w:rPr>
                <w:rFonts w:ascii="Times New Roman" w:hAnsi="Times New Roman" w:cs="Times New Roman"/>
                <w:color w:val="000000" w:themeColor="text1"/>
                <w:sz w:val="16"/>
                <w:szCs w:val="16"/>
              </w:rPr>
              <w:t xml:space="preserve"> 50%)</w:t>
            </w:r>
          </w:p>
        </w:tc>
        <w:tc>
          <w:tcPr>
            <w:tcW w:w="639" w:type="dxa"/>
            <w:tcBorders>
              <w:left w:val="dashed" w:sz="4" w:space="0" w:color="auto"/>
            </w:tcBorders>
          </w:tcPr>
          <w:p w14:paraId="0B2C9B78" w14:textId="77777777" w:rsidR="00253E4E" w:rsidRPr="00452352" w:rsidRDefault="00253E4E" w:rsidP="00BD714C">
            <w:pPr>
              <w:spacing w:before="80" w:after="0" w:line="240" w:lineRule="auto"/>
              <w:jc w:val="center"/>
              <w:rPr>
                <w:rFonts w:ascii="Times New Roman" w:hAnsi="Times New Roman" w:cs="Times New Roman"/>
                <w:color w:val="000000" w:themeColor="text1"/>
                <w:sz w:val="16"/>
                <w:szCs w:val="16"/>
              </w:rPr>
            </w:pPr>
            <w:r w:rsidRPr="00452352">
              <w:rPr>
                <w:rFonts w:ascii="Times New Roman" w:hAnsi="Times New Roman" w:cs="Times New Roman"/>
                <w:color w:val="000000" w:themeColor="text1"/>
                <w:sz w:val="16"/>
                <w:szCs w:val="16"/>
              </w:rPr>
              <w:t>4.375</w:t>
            </w:r>
          </w:p>
        </w:tc>
        <w:tc>
          <w:tcPr>
            <w:tcW w:w="1134" w:type="dxa"/>
          </w:tcPr>
          <w:p w14:paraId="4955087C" w14:textId="77777777" w:rsidR="00253E4E" w:rsidRPr="00452352" w:rsidRDefault="00253E4E" w:rsidP="00BD714C">
            <w:pPr>
              <w:spacing w:before="80" w:after="0" w:line="240" w:lineRule="auto"/>
              <w:jc w:val="center"/>
              <w:rPr>
                <w:rFonts w:ascii="Times New Roman" w:hAnsi="Times New Roman" w:cs="Times New Roman"/>
                <w:color w:val="000000" w:themeColor="text1"/>
                <w:sz w:val="16"/>
                <w:szCs w:val="16"/>
              </w:rPr>
            </w:pPr>
            <w:r w:rsidRPr="00452352">
              <w:rPr>
                <w:rFonts w:ascii="Times New Roman" w:hAnsi="Times New Roman" w:cs="Times New Roman"/>
                <w:color w:val="000000" w:themeColor="text1"/>
                <w:sz w:val="16"/>
                <w:szCs w:val="16"/>
              </w:rPr>
              <w:t>1.130-16.933</w:t>
            </w:r>
          </w:p>
        </w:tc>
        <w:tc>
          <w:tcPr>
            <w:tcW w:w="814" w:type="dxa"/>
            <w:tcBorders>
              <w:right w:val="dashed" w:sz="4" w:space="0" w:color="auto"/>
            </w:tcBorders>
          </w:tcPr>
          <w:p w14:paraId="5E33583C" w14:textId="77777777" w:rsidR="00253E4E" w:rsidRPr="00452352" w:rsidRDefault="00253E4E" w:rsidP="00BD714C">
            <w:pPr>
              <w:spacing w:before="80" w:after="0" w:line="240" w:lineRule="auto"/>
              <w:jc w:val="center"/>
              <w:rPr>
                <w:rFonts w:ascii="Times New Roman" w:hAnsi="Times New Roman" w:cs="Times New Roman"/>
                <w:color w:val="000000" w:themeColor="text1"/>
                <w:sz w:val="16"/>
                <w:szCs w:val="16"/>
              </w:rPr>
            </w:pPr>
            <w:r w:rsidRPr="00452352">
              <w:rPr>
                <w:rFonts w:ascii="Times New Roman" w:hAnsi="Times New Roman" w:cs="Times New Roman"/>
                <w:b/>
                <w:color w:val="000000" w:themeColor="text1"/>
                <w:sz w:val="16"/>
                <w:szCs w:val="16"/>
              </w:rPr>
              <w:t>0.033</w:t>
            </w:r>
          </w:p>
        </w:tc>
        <w:tc>
          <w:tcPr>
            <w:tcW w:w="603" w:type="dxa"/>
            <w:tcBorders>
              <w:left w:val="dashed" w:sz="4" w:space="0" w:color="auto"/>
            </w:tcBorders>
          </w:tcPr>
          <w:p w14:paraId="72CCD1CE" w14:textId="77777777" w:rsidR="00253E4E" w:rsidRPr="00452352" w:rsidRDefault="00253E4E" w:rsidP="00BD714C">
            <w:pPr>
              <w:spacing w:before="80" w:after="0" w:line="240" w:lineRule="auto"/>
              <w:jc w:val="center"/>
              <w:rPr>
                <w:rFonts w:ascii="Times New Roman" w:hAnsi="Times New Roman" w:cs="Times New Roman"/>
                <w:color w:val="000000" w:themeColor="text1"/>
                <w:sz w:val="16"/>
                <w:szCs w:val="16"/>
              </w:rPr>
            </w:pPr>
            <w:r w:rsidRPr="00452352">
              <w:rPr>
                <w:rFonts w:ascii="Times New Roman" w:hAnsi="Times New Roman" w:cs="Times New Roman"/>
                <w:color w:val="000000" w:themeColor="text1"/>
                <w:sz w:val="16"/>
                <w:szCs w:val="16"/>
              </w:rPr>
              <w:t>4.732</w:t>
            </w:r>
          </w:p>
        </w:tc>
        <w:tc>
          <w:tcPr>
            <w:tcW w:w="1134" w:type="dxa"/>
          </w:tcPr>
          <w:p w14:paraId="3699CE23" w14:textId="77777777" w:rsidR="00253E4E" w:rsidRPr="00452352" w:rsidRDefault="00253E4E" w:rsidP="00BD714C">
            <w:pPr>
              <w:spacing w:before="80" w:after="0" w:line="240" w:lineRule="auto"/>
              <w:jc w:val="center"/>
              <w:rPr>
                <w:rFonts w:ascii="Times New Roman" w:hAnsi="Times New Roman" w:cs="Times New Roman"/>
                <w:color w:val="000000" w:themeColor="text1"/>
                <w:sz w:val="16"/>
                <w:szCs w:val="16"/>
              </w:rPr>
            </w:pPr>
            <w:r w:rsidRPr="00452352">
              <w:rPr>
                <w:rFonts w:ascii="Times New Roman" w:hAnsi="Times New Roman" w:cs="Times New Roman"/>
                <w:color w:val="000000" w:themeColor="text1"/>
                <w:sz w:val="16"/>
                <w:szCs w:val="16"/>
              </w:rPr>
              <w:t>0.934-23.973</w:t>
            </w:r>
          </w:p>
        </w:tc>
        <w:tc>
          <w:tcPr>
            <w:tcW w:w="851" w:type="dxa"/>
            <w:tcBorders>
              <w:right w:val="dashed" w:sz="4" w:space="0" w:color="auto"/>
            </w:tcBorders>
          </w:tcPr>
          <w:p w14:paraId="4585E9C2" w14:textId="77777777" w:rsidR="00253E4E" w:rsidRPr="00452352" w:rsidRDefault="00253E4E" w:rsidP="00BD714C">
            <w:pPr>
              <w:spacing w:before="80" w:after="0" w:line="240" w:lineRule="auto"/>
              <w:jc w:val="center"/>
              <w:rPr>
                <w:rFonts w:ascii="Times New Roman" w:hAnsi="Times New Roman" w:cs="Times New Roman"/>
                <w:color w:val="000000" w:themeColor="text1"/>
                <w:sz w:val="16"/>
                <w:szCs w:val="16"/>
              </w:rPr>
            </w:pPr>
            <w:r w:rsidRPr="00452352">
              <w:rPr>
                <w:rFonts w:ascii="Times New Roman" w:hAnsi="Times New Roman" w:cs="Times New Roman"/>
                <w:color w:val="000000" w:themeColor="text1"/>
                <w:sz w:val="16"/>
                <w:szCs w:val="16"/>
              </w:rPr>
              <w:t>0.060</w:t>
            </w:r>
          </w:p>
        </w:tc>
      </w:tr>
      <w:tr w:rsidR="00452352" w:rsidRPr="00452352" w14:paraId="31F26F7E" w14:textId="77777777" w:rsidTr="00BD714C">
        <w:trPr>
          <w:trHeight w:val="113"/>
        </w:trPr>
        <w:tc>
          <w:tcPr>
            <w:tcW w:w="1587" w:type="dxa"/>
            <w:tcBorders>
              <w:right w:val="dashed" w:sz="4" w:space="0" w:color="auto"/>
            </w:tcBorders>
            <w:shd w:val="clear" w:color="auto" w:fill="F2F2F2" w:themeFill="background1" w:themeFillShade="F2"/>
          </w:tcPr>
          <w:p w14:paraId="7D73375C" w14:textId="77777777" w:rsidR="00253E4E" w:rsidRPr="00452352" w:rsidRDefault="00253E4E" w:rsidP="00BD714C">
            <w:pPr>
              <w:spacing w:after="0" w:line="240" w:lineRule="auto"/>
              <w:rPr>
                <w:rFonts w:ascii="Times New Roman" w:hAnsi="Times New Roman" w:cs="Times New Roman"/>
                <w:b/>
                <w:color w:val="000000" w:themeColor="text1"/>
                <w:sz w:val="16"/>
                <w:szCs w:val="16"/>
                <w:lang w:val="en-US"/>
              </w:rPr>
            </w:pPr>
            <w:r w:rsidRPr="00452352">
              <w:rPr>
                <w:rFonts w:ascii="Times New Roman" w:hAnsi="Times New Roman" w:cs="Times New Roman"/>
                <w:b/>
                <w:color w:val="000000" w:themeColor="text1"/>
                <w:sz w:val="16"/>
                <w:szCs w:val="16"/>
                <w:lang w:val="en-US"/>
              </w:rPr>
              <w:t>Mod. Fisher scale</w:t>
            </w:r>
          </w:p>
          <w:p w14:paraId="481FC765" w14:textId="77777777" w:rsidR="00253E4E" w:rsidRPr="00452352" w:rsidRDefault="00253E4E" w:rsidP="00BD714C">
            <w:pPr>
              <w:spacing w:after="0" w:line="240" w:lineRule="auto"/>
              <w:rPr>
                <w:rFonts w:ascii="Times New Roman" w:hAnsi="Times New Roman" w:cs="Times New Roman"/>
                <w:color w:val="000000" w:themeColor="text1"/>
                <w:sz w:val="16"/>
                <w:szCs w:val="16"/>
                <w:lang w:val="en-US"/>
              </w:rPr>
            </w:pPr>
            <w:r w:rsidRPr="00452352">
              <w:rPr>
                <w:rFonts w:ascii="Times New Roman" w:hAnsi="Times New Roman" w:cs="Times New Roman"/>
                <w:color w:val="000000" w:themeColor="text1"/>
                <w:sz w:val="16"/>
                <w:szCs w:val="16"/>
                <w:lang w:val="en-US"/>
              </w:rPr>
              <w:t>mFS</w:t>
            </w:r>
            <w:r w:rsidRPr="00452352">
              <w:rPr>
                <w:rFonts w:ascii="Times New Roman" w:hAnsi="Times New Roman" w:cs="Times New Roman"/>
                <w:color w:val="000000" w:themeColor="text1"/>
                <w:sz w:val="16"/>
                <w:szCs w:val="16"/>
                <w:vertAlign w:val="subscript"/>
                <w:lang w:val="en-US"/>
              </w:rPr>
              <w:t>1-</w:t>
            </w:r>
            <w:proofErr w:type="gramStart"/>
            <w:r w:rsidRPr="00452352">
              <w:rPr>
                <w:rFonts w:ascii="Times New Roman" w:hAnsi="Times New Roman" w:cs="Times New Roman"/>
                <w:color w:val="000000" w:themeColor="text1"/>
                <w:sz w:val="16"/>
                <w:szCs w:val="16"/>
                <w:vertAlign w:val="subscript"/>
                <w:lang w:val="en-US"/>
              </w:rPr>
              <w:t>2</w:t>
            </w:r>
            <w:r w:rsidRPr="00452352">
              <w:rPr>
                <w:rFonts w:ascii="Times New Roman" w:hAnsi="Times New Roman" w:cs="Times New Roman"/>
                <w:color w:val="000000" w:themeColor="text1"/>
                <w:sz w:val="16"/>
                <w:szCs w:val="16"/>
                <w:lang w:val="en-US"/>
              </w:rPr>
              <w:t xml:space="preserve"> :</w:t>
            </w:r>
            <w:proofErr w:type="gramEnd"/>
            <w:r w:rsidRPr="00452352">
              <w:rPr>
                <w:rFonts w:ascii="Times New Roman" w:hAnsi="Times New Roman" w:cs="Times New Roman"/>
                <w:color w:val="000000" w:themeColor="text1"/>
                <w:sz w:val="16"/>
                <w:szCs w:val="16"/>
                <w:lang w:val="en-US"/>
              </w:rPr>
              <w:t xml:space="preserve"> mFS</w:t>
            </w:r>
            <w:r w:rsidRPr="00452352">
              <w:rPr>
                <w:rFonts w:ascii="Times New Roman" w:hAnsi="Times New Roman" w:cs="Times New Roman"/>
                <w:color w:val="000000" w:themeColor="text1"/>
                <w:sz w:val="16"/>
                <w:szCs w:val="16"/>
                <w:vertAlign w:val="subscript"/>
                <w:lang w:val="en-US"/>
              </w:rPr>
              <w:t>3-4</w:t>
            </w:r>
          </w:p>
        </w:tc>
        <w:tc>
          <w:tcPr>
            <w:tcW w:w="1134" w:type="dxa"/>
            <w:tcBorders>
              <w:left w:val="dashed" w:sz="4" w:space="0" w:color="auto"/>
            </w:tcBorders>
            <w:shd w:val="clear" w:color="auto" w:fill="F2F2F2" w:themeFill="background1" w:themeFillShade="F2"/>
          </w:tcPr>
          <w:p w14:paraId="06315B04" w14:textId="77777777" w:rsidR="00253E4E" w:rsidRPr="00452352" w:rsidRDefault="00253E4E" w:rsidP="00BD714C">
            <w:pPr>
              <w:spacing w:after="0" w:line="240" w:lineRule="auto"/>
              <w:jc w:val="center"/>
              <w:rPr>
                <w:rFonts w:ascii="Times New Roman" w:hAnsi="Times New Roman" w:cs="Times New Roman"/>
                <w:color w:val="000000" w:themeColor="text1"/>
                <w:sz w:val="16"/>
                <w:szCs w:val="16"/>
              </w:rPr>
            </w:pPr>
            <w:proofErr w:type="gramStart"/>
            <w:r w:rsidRPr="00452352">
              <w:rPr>
                <w:rFonts w:ascii="Times New Roman" w:hAnsi="Times New Roman" w:cs="Times New Roman"/>
                <w:color w:val="000000" w:themeColor="text1"/>
                <w:sz w:val="16"/>
                <w:szCs w:val="16"/>
              </w:rPr>
              <w:t>39 :</w:t>
            </w:r>
            <w:proofErr w:type="gramEnd"/>
            <w:r w:rsidRPr="00452352">
              <w:rPr>
                <w:rFonts w:ascii="Times New Roman" w:hAnsi="Times New Roman" w:cs="Times New Roman"/>
                <w:color w:val="000000" w:themeColor="text1"/>
                <w:sz w:val="16"/>
                <w:szCs w:val="16"/>
              </w:rPr>
              <w:t xml:space="preserve"> 47</w:t>
            </w:r>
          </w:p>
          <w:p w14:paraId="2E7D5C74" w14:textId="77777777" w:rsidR="00253E4E" w:rsidRPr="00452352" w:rsidRDefault="00253E4E" w:rsidP="00BD714C">
            <w:pPr>
              <w:spacing w:after="0" w:line="240" w:lineRule="auto"/>
              <w:jc w:val="center"/>
              <w:rPr>
                <w:rFonts w:ascii="Times New Roman" w:hAnsi="Times New Roman" w:cs="Times New Roman"/>
                <w:color w:val="000000" w:themeColor="text1"/>
                <w:sz w:val="16"/>
                <w:szCs w:val="16"/>
              </w:rPr>
            </w:pPr>
            <w:r w:rsidRPr="00452352">
              <w:rPr>
                <w:rFonts w:ascii="Times New Roman" w:hAnsi="Times New Roman" w:cs="Times New Roman"/>
                <w:color w:val="000000" w:themeColor="text1"/>
                <w:sz w:val="16"/>
                <w:szCs w:val="16"/>
              </w:rPr>
              <w:t>(45</w:t>
            </w:r>
            <w:proofErr w:type="gramStart"/>
            <w:r w:rsidRPr="00452352">
              <w:rPr>
                <w:rFonts w:ascii="Times New Roman" w:hAnsi="Times New Roman" w:cs="Times New Roman"/>
                <w:color w:val="000000" w:themeColor="text1"/>
                <w:sz w:val="16"/>
                <w:szCs w:val="16"/>
              </w:rPr>
              <w:t>% :</w:t>
            </w:r>
            <w:proofErr w:type="gramEnd"/>
            <w:r w:rsidRPr="00452352">
              <w:rPr>
                <w:rFonts w:ascii="Times New Roman" w:hAnsi="Times New Roman" w:cs="Times New Roman"/>
                <w:color w:val="000000" w:themeColor="text1"/>
                <w:sz w:val="16"/>
                <w:szCs w:val="16"/>
              </w:rPr>
              <w:t xml:space="preserve"> 55%)</w:t>
            </w:r>
          </w:p>
        </w:tc>
        <w:tc>
          <w:tcPr>
            <w:tcW w:w="1132" w:type="dxa"/>
            <w:tcBorders>
              <w:right w:val="dashed" w:sz="4" w:space="0" w:color="auto"/>
            </w:tcBorders>
            <w:shd w:val="clear" w:color="auto" w:fill="F2F2F2" w:themeFill="background1" w:themeFillShade="F2"/>
          </w:tcPr>
          <w:p w14:paraId="1A50AA3B" w14:textId="77777777" w:rsidR="00253E4E" w:rsidRPr="00452352" w:rsidRDefault="00253E4E" w:rsidP="00BD714C">
            <w:pPr>
              <w:spacing w:after="0" w:line="240" w:lineRule="auto"/>
              <w:jc w:val="center"/>
              <w:rPr>
                <w:rFonts w:ascii="Times New Roman" w:hAnsi="Times New Roman" w:cs="Times New Roman"/>
                <w:color w:val="000000" w:themeColor="text1"/>
                <w:sz w:val="16"/>
                <w:szCs w:val="16"/>
              </w:rPr>
            </w:pPr>
            <w:proofErr w:type="gramStart"/>
            <w:r w:rsidRPr="00452352">
              <w:rPr>
                <w:rFonts w:ascii="Times New Roman" w:hAnsi="Times New Roman" w:cs="Times New Roman"/>
                <w:color w:val="000000" w:themeColor="text1"/>
                <w:sz w:val="16"/>
                <w:szCs w:val="16"/>
              </w:rPr>
              <w:t>2 :</w:t>
            </w:r>
            <w:proofErr w:type="gramEnd"/>
            <w:r w:rsidRPr="00452352">
              <w:rPr>
                <w:rFonts w:ascii="Times New Roman" w:hAnsi="Times New Roman" w:cs="Times New Roman"/>
                <w:color w:val="000000" w:themeColor="text1"/>
                <w:sz w:val="16"/>
                <w:szCs w:val="16"/>
              </w:rPr>
              <w:t xml:space="preserve"> 8</w:t>
            </w:r>
          </w:p>
          <w:p w14:paraId="239F55FA" w14:textId="77777777" w:rsidR="00253E4E" w:rsidRPr="00452352" w:rsidRDefault="00253E4E" w:rsidP="00BD714C">
            <w:pPr>
              <w:spacing w:after="0" w:line="240" w:lineRule="auto"/>
              <w:jc w:val="center"/>
              <w:rPr>
                <w:rFonts w:ascii="Times New Roman" w:hAnsi="Times New Roman" w:cs="Times New Roman"/>
                <w:color w:val="000000" w:themeColor="text1"/>
                <w:sz w:val="16"/>
                <w:szCs w:val="16"/>
              </w:rPr>
            </w:pPr>
            <w:r w:rsidRPr="00452352">
              <w:rPr>
                <w:rFonts w:ascii="Times New Roman" w:hAnsi="Times New Roman" w:cs="Times New Roman"/>
                <w:color w:val="000000" w:themeColor="text1"/>
                <w:sz w:val="16"/>
                <w:szCs w:val="16"/>
              </w:rPr>
              <w:t>(20</w:t>
            </w:r>
            <w:proofErr w:type="gramStart"/>
            <w:r w:rsidRPr="00452352">
              <w:rPr>
                <w:rFonts w:ascii="Times New Roman" w:hAnsi="Times New Roman" w:cs="Times New Roman"/>
                <w:color w:val="000000" w:themeColor="text1"/>
                <w:sz w:val="16"/>
                <w:szCs w:val="16"/>
              </w:rPr>
              <w:t>% :</w:t>
            </w:r>
            <w:proofErr w:type="gramEnd"/>
            <w:r w:rsidRPr="00452352">
              <w:rPr>
                <w:rFonts w:ascii="Times New Roman" w:hAnsi="Times New Roman" w:cs="Times New Roman"/>
                <w:color w:val="000000" w:themeColor="text1"/>
                <w:sz w:val="16"/>
                <w:szCs w:val="16"/>
              </w:rPr>
              <w:t xml:space="preserve"> 80%)</w:t>
            </w:r>
          </w:p>
        </w:tc>
        <w:tc>
          <w:tcPr>
            <w:tcW w:w="639" w:type="dxa"/>
            <w:tcBorders>
              <w:left w:val="dashed" w:sz="4" w:space="0" w:color="auto"/>
            </w:tcBorders>
            <w:shd w:val="clear" w:color="auto" w:fill="F2F2F2" w:themeFill="background1" w:themeFillShade="F2"/>
          </w:tcPr>
          <w:p w14:paraId="32B228AB" w14:textId="77777777" w:rsidR="00253E4E" w:rsidRPr="00452352" w:rsidRDefault="00253E4E" w:rsidP="00BD714C">
            <w:pPr>
              <w:spacing w:before="80" w:after="0" w:line="240" w:lineRule="auto"/>
              <w:jc w:val="center"/>
              <w:rPr>
                <w:rFonts w:ascii="Times New Roman" w:hAnsi="Times New Roman" w:cs="Times New Roman"/>
                <w:color w:val="000000" w:themeColor="text1"/>
                <w:sz w:val="16"/>
                <w:szCs w:val="16"/>
              </w:rPr>
            </w:pPr>
            <w:r w:rsidRPr="00452352">
              <w:rPr>
                <w:rFonts w:ascii="Times New Roman" w:hAnsi="Times New Roman" w:cs="Times New Roman"/>
                <w:color w:val="000000" w:themeColor="text1"/>
                <w:sz w:val="16"/>
                <w:szCs w:val="16"/>
              </w:rPr>
              <w:t>0.301</w:t>
            </w:r>
          </w:p>
        </w:tc>
        <w:tc>
          <w:tcPr>
            <w:tcW w:w="1134" w:type="dxa"/>
            <w:shd w:val="clear" w:color="auto" w:fill="F2F2F2" w:themeFill="background1" w:themeFillShade="F2"/>
          </w:tcPr>
          <w:p w14:paraId="77CF0195" w14:textId="77777777" w:rsidR="00253E4E" w:rsidRPr="00452352" w:rsidRDefault="00253E4E" w:rsidP="00BD714C">
            <w:pPr>
              <w:spacing w:before="80" w:after="0" w:line="240" w:lineRule="auto"/>
              <w:jc w:val="center"/>
              <w:rPr>
                <w:rFonts w:ascii="Times New Roman" w:hAnsi="Times New Roman" w:cs="Times New Roman"/>
                <w:color w:val="000000" w:themeColor="text1"/>
                <w:sz w:val="16"/>
                <w:szCs w:val="16"/>
              </w:rPr>
            </w:pPr>
            <w:r w:rsidRPr="00452352">
              <w:rPr>
                <w:rFonts w:ascii="Times New Roman" w:hAnsi="Times New Roman" w:cs="Times New Roman"/>
                <w:color w:val="000000" w:themeColor="text1"/>
                <w:sz w:val="16"/>
                <w:szCs w:val="16"/>
              </w:rPr>
              <w:t>0.060-1.502</w:t>
            </w:r>
          </w:p>
        </w:tc>
        <w:tc>
          <w:tcPr>
            <w:tcW w:w="814" w:type="dxa"/>
            <w:tcBorders>
              <w:right w:val="dashed" w:sz="4" w:space="0" w:color="auto"/>
            </w:tcBorders>
            <w:shd w:val="clear" w:color="auto" w:fill="F2F2F2" w:themeFill="background1" w:themeFillShade="F2"/>
          </w:tcPr>
          <w:p w14:paraId="5B7CACAF" w14:textId="77777777" w:rsidR="00253E4E" w:rsidRPr="00452352" w:rsidRDefault="00253E4E" w:rsidP="00BD714C">
            <w:pPr>
              <w:spacing w:before="80" w:after="0" w:line="240" w:lineRule="auto"/>
              <w:jc w:val="center"/>
              <w:rPr>
                <w:rFonts w:ascii="Times New Roman" w:hAnsi="Times New Roman" w:cs="Times New Roman"/>
                <w:b/>
                <w:color w:val="000000" w:themeColor="text1"/>
                <w:sz w:val="16"/>
                <w:szCs w:val="16"/>
              </w:rPr>
            </w:pPr>
            <w:r w:rsidRPr="00452352">
              <w:rPr>
                <w:rFonts w:ascii="Times New Roman" w:hAnsi="Times New Roman" w:cs="Times New Roman"/>
                <w:color w:val="000000" w:themeColor="text1"/>
                <w:sz w:val="16"/>
                <w:szCs w:val="16"/>
              </w:rPr>
              <w:t>0.143</w:t>
            </w:r>
          </w:p>
        </w:tc>
        <w:tc>
          <w:tcPr>
            <w:tcW w:w="603" w:type="dxa"/>
            <w:tcBorders>
              <w:left w:val="dashed" w:sz="4" w:space="0" w:color="auto"/>
            </w:tcBorders>
            <w:shd w:val="clear" w:color="auto" w:fill="F2F2F2" w:themeFill="background1" w:themeFillShade="F2"/>
          </w:tcPr>
          <w:p w14:paraId="58F9A3A5" w14:textId="77777777" w:rsidR="00253E4E" w:rsidRPr="00452352" w:rsidRDefault="00253E4E" w:rsidP="00BD714C">
            <w:pPr>
              <w:spacing w:before="80" w:after="0" w:line="240" w:lineRule="auto"/>
              <w:jc w:val="center"/>
              <w:rPr>
                <w:rFonts w:ascii="Times New Roman" w:hAnsi="Times New Roman" w:cs="Times New Roman"/>
                <w:color w:val="000000" w:themeColor="text1"/>
                <w:sz w:val="16"/>
                <w:szCs w:val="16"/>
              </w:rPr>
            </w:pPr>
          </w:p>
        </w:tc>
        <w:tc>
          <w:tcPr>
            <w:tcW w:w="1134" w:type="dxa"/>
            <w:shd w:val="clear" w:color="auto" w:fill="F2F2F2" w:themeFill="background1" w:themeFillShade="F2"/>
          </w:tcPr>
          <w:p w14:paraId="7C07C442" w14:textId="77777777" w:rsidR="00253E4E" w:rsidRPr="00452352" w:rsidRDefault="00253E4E" w:rsidP="00BD714C">
            <w:pPr>
              <w:spacing w:before="80" w:after="0" w:line="240" w:lineRule="auto"/>
              <w:jc w:val="center"/>
              <w:rPr>
                <w:rFonts w:ascii="Times New Roman" w:hAnsi="Times New Roman" w:cs="Times New Roman"/>
                <w:color w:val="000000" w:themeColor="text1"/>
                <w:sz w:val="16"/>
                <w:szCs w:val="16"/>
              </w:rPr>
            </w:pPr>
          </w:p>
        </w:tc>
        <w:tc>
          <w:tcPr>
            <w:tcW w:w="851" w:type="dxa"/>
            <w:tcBorders>
              <w:right w:val="dashed" w:sz="4" w:space="0" w:color="auto"/>
            </w:tcBorders>
            <w:shd w:val="clear" w:color="auto" w:fill="F2F2F2" w:themeFill="background1" w:themeFillShade="F2"/>
          </w:tcPr>
          <w:p w14:paraId="51011794" w14:textId="77777777" w:rsidR="00253E4E" w:rsidRPr="00452352" w:rsidRDefault="00253E4E" w:rsidP="00BD714C">
            <w:pPr>
              <w:spacing w:before="80" w:after="0" w:line="240" w:lineRule="auto"/>
              <w:jc w:val="center"/>
              <w:rPr>
                <w:rFonts w:ascii="Times New Roman" w:hAnsi="Times New Roman" w:cs="Times New Roman"/>
                <w:color w:val="000000" w:themeColor="text1"/>
                <w:sz w:val="16"/>
                <w:szCs w:val="16"/>
              </w:rPr>
            </w:pPr>
          </w:p>
        </w:tc>
      </w:tr>
      <w:tr w:rsidR="00253E4E" w:rsidRPr="00452352" w14:paraId="30C7A03D" w14:textId="77777777" w:rsidTr="00BD714C">
        <w:trPr>
          <w:trHeight w:val="113"/>
        </w:trPr>
        <w:tc>
          <w:tcPr>
            <w:tcW w:w="1587" w:type="dxa"/>
            <w:tcBorders>
              <w:right w:val="dashed" w:sz="4" w:space="0" w:color="auto"/>
            </w:tcBorders>
          </w:tcPr>
          <w:p w14:paraId="3CAC0FBD" w14:textId="23146128" w:rsidR="00253E4E" w:rsidRPr="00452352" w:rsidRDefault="00253E4E" w:rsidP="00BD714C">
            <w:pPr>
              <w:spacing w:after="0" w:line="240" w:lineRule="auto"/>
              <w:rPr>
                <w:rFonts w:ascii="Times New Roman" w:hAnsi="Times New Roman" w:cs="Times New Roman"/>
                <w:b/>
                <w:color w:val="000000" w:themeColor="text1"/>
                <w:sz w:val="16"/>
                <w:szCs w:val="16"/>
              </w:rPr>
            </w:pPr>
            <w:r w:rsidRPr="00452352">
              <w:rPr>
                <w:rFonts w:ascii="Times New Roman" w:hAnsi="Times New Roman" w:cs="Times New Roman"/>
                <w:b/>
                <w:color w:val="000000" w:themeColor="text1"/>
                <w:sz w:val="16"/>
                <w:szCs w:val="16"/>
              </w:rPr>
              <w:t>cDPP3</w:t>
            </w:r>
            <w:r w:rsidR="00852491" w:rsidRPr="00452352">
              <w:rPr>
                <w:rFonts w:ascii="Times New Roman" w:hAnsi="Times New Roman" w:cs="Times New Roman"/>
                <w:b/>
                <w:color w:val="000000" w:themeColor="text1"/>
                <w:sz w:val="16"/>
                <w:szCs w:val="16"/>
              </w:rPr>
              <w:t xml:space="preserve"> [</w:t>
            </w:r>
            <w:proofErr w:type="spellStart"/>
            <w:r w:rsidRPr="00452352">
              <w:rPr>
                <w:rFonts w:ascii="Times New Roman" w:hAnsi="Times New Roman" w:cs="Times New Roman"/>
                <w:b/>
                <w:color w:val="000000" w:themeColor="text1"/>
                <w:sz w:val="16"/>
                <w:szCs w:val="16"/>
              </w:rPr>
              <w:t>ng</w:t>
            </w:r>
            <w:proofErr w:type="spellEnd"/>
            <w:r w:rsidRPr="00452352">
              <w:rPr>
                <w:rFonts w:ascii="Times New Roman" w:hAnsi="Times New Roman" w:cs="Times New Roman"/>
                <w:b/>
                <w:color w:val="000000" w:themeColor="text1"/>
                <w:sz w:val="16"/>
                <w:szCs w:val="16"/>
              </w:rPr>
              <w:t>/ml</w:t>
            </w:r>
            <w:r w:rsidR="00852491" w:rsidRPr="00452352">
              <w:rPr>
                <w:rFonts w:ascii="Times New Roman" w:hAnsi="Times New Roman" w:cs="Times New Roman"/>
                <w:b/>
                <w:color w:val="000000" w:themeColor="text1"/>
                <w:sz w:val="16"/>
                <w:szCs w:val="16"/>
              </w:rPr>
              <w:t>]</w:t>
            </w:r>
          </w:p>
          <w:p w14:paraId="2FE48CC5" w14:textId="77777777" w:rsidR="00253E4E" w:rsidRPr="00452352" w:rsidRDefault="00253E4E" w:rsidP="00BD714C">
            <w:pPr>
              <w:spacing w:after="0" w:line="240" w:lineRule="auto"/>
              <w:rPr>
                <w:rFonts w:ascii="Times New Roman" w:hAnsi="Times New Roman" w:cs="Times New Roman"/>
                <w:color w:val="000000" w:themeColor="text1"/>
                <w:sz w:val="16"/>
                <w:szCs w:val="16"/>
              </w:rPr>
            </w:pPr>
            <w:r w:rsidRPr="00452352">
              <w:rPr>
                <w:rFonts w:ascii="Times New Roman" w:hAnsi="Times New Roman" w:cs="Times New Roman"/>
                <w:color w:val="000000" w:themeColor="text1"/>
                <w:sz w:val="16"/>
                <w:szCs w:val="16"/>
              </w:rPr>
              <w:t>d5-8 (n=89)</w:t>
            </w:r>
          </w:p>
        </w:tc>
        <w:tc>
          <w:tcPr>
            <w:tcW w:w="1134" w:type="dxa"/>
            <w:tcBorders>
              <w:left w:val="dashed" w:sz="4" w:space="0" w:color="auto"/>
            </w:tcBorders>
          </w:tcPr>
          <w:p w14:paraId="6DF92380" w14:textId="77777777" w:rsidR="00253E4E" w:rsidRPr="00452352" w:rsidRDefault="00253E4E" w:rsidP="00BD714C">
            <w:pPr>
              <w:spacing w:after="0" w:line="240" w:lineRule="auto"/>
              <w:jc w:val="center"/>
              <w:rPr>
                <w:rFonts w:ascii="Times New Roman" w:hAnsi="Times New Roman" w:cs="Times New Roman"/>
                <w:color w:val="000000" w:themeColor="text1"/>
                <w:sz w:val="16"/>
                <w:szCs w:val="16"/>
                <w:lang w:val="en-US"/>
              </w:rPr>
            </w:pPr>
            <w:r w:rsidRPr="00452352">
              <w:rPr>
                <w:rFonts w:ascii="Times New Roman" w:hAnsi="Times New Roman" w:cs="Times New Roman"/>
                <w:color w:val="000000" w:themeColor="text1"/>
                <w:sz w:val="16"/>
                <w:szCs w:val="16"/>
                <w:lang w:val="en-US"/>
              </w:rPr>
              <w:t>9.02</w:t>
            </w:r>
          </w:p>
          <w:p w14:paraId="09D3DFB6" w14:textId="77777777" w:rsidR="00253E4E" w:rsidRPr="00452352" w:rsidRDefault="00253E4E" w:rsidP="00BD714C">
            <w:pPr>
              <w:spacing w:after="0" w:line="240" w:lineRule="auto"/>
              <w:jc w:val="center"/>
              <w:rPr>
                <w:rFonts w:ascii="Times New Roman" w:hAnsi="Times New Roman" w:cs="Times New Roman"/>
                <w:color w:val="000000" w:themeColor="text1"/>
                <w:sz w:val="16"/>
                <w:szCs w:val="16"/>
              </w:rPr>
            </w:pPr>
            <w:r w:rsidRPr="00452352">
              <w:rPr>
                <w:rFonts w:ascii="Times New Roman" w:hAnsi="Times New Roman" w:cs="Times New Roman"/>
                <w:color w:val="000000" w:themeColor="text1"/>
                <w:sz w:val="16"/>
                <w:szCs w:val="16"/>
                <w:lang w:val="en-US"/>
              </w:rPr>
              <w:t>(7.3-11.0)</w:t>
            </w:r>
          </w:p>
        </w:tc>
        <w:tc>
          <w:tcPr>
            <w:tcW w:w="1132" w:type="dxa"/>
            <w:tcBorders>
              <w:right w:val="dashed" w:sz="4" w:space="0" w:color="auto"/>
            </w:tcBorders>
          </w:tcPr>
          <w:p w14:paraId="203A067C" w14:textId="77777777" w:rsidR="00253E4E" w:rsidRPr="00452352" w:rsidRDefault="00253E4E" w:rsidP="00BD714C">
            <w:pPr>
              <w:spacing w:after="0" w:line="240" w:lineRule="auto"/>
              <w:jc w:val="center"/>
              <w:rPr>
                <w:rFonts w:ascii="Times New Roman" w:hAnsi="Times New Roman" w:cs="Times New Roman"/>
                <w:color w:val="000000" w:themeColor="text1"/>
                <w:sz w:val="16"/>
                <w:szCs w:val="16"/>
                <w:lang w:val="en-US"/>
              </w:rPr>
            </w:pPr>
            <w:r w:rsidRPr="00452352">
              <w:rPr>
                <w:rFonts w:ascii="Times New Roman" w:hAnsi="Times New Roman" w:cs="Times New Roman"/>
                <w:color w:val="000000" w:themeColor="text1"/>
                <w:sz w:val="16"/>
                <w:szCs w:val="16"/>
                <w:lang w:val="en-US"/>
              </w:rPr>
              <w:t>12.4</w:t>
            </w:r>
          </w:p>
          <w:p w14:paraId="6D1793D1" w14:textId="77777777" w:rsidR="00253E4E" w:rsidRPr="00452352" w:rsidRDefault="00253E4E" w:rsidP="00BD714C">
            <w:pPr>
              <w:spacing w:after="0" w:line="240" w:lineRule="auto"/>
              <w:jc w:val="center"/>
              <w:rPr>
                <w:rFonts w:ascii="Times New Roman" w:hAnsi="Times New Roman" w:cs="Times New Roman"/>
                <w:color w:val="000000" w:themeColor="text1"/>
                <w:sz w:val="16"/>
                <w:szCs w:val="16"/>
              </w:rPr>
            </w:pPr>
            <w:r w:rsidRPr="00452352">
              <w:rPr>
                <w:rFonts w:ascii="Times New Roman" w:hAnsi="Times New Roman" w:cs="Times New Roman"/>
                <w:color w:val="000000" w:themeColor="text1"/>
                <w:sz w:val="16"/>
                <w:szCs w:val="16"/>
                <w:lang w:val="en-US"/>
              </w:rPr>
              <w:t>(10.2-19.8)</w:t>
            </w:r>
          </w:p>
        </w:tc>
        <w:tc>
          <w:tcPr>
            <w:tcW w:w="639" w:type="dxa"/>
            <w:tcBorders>
              <w:left w:val="dashed" w:sz="4" w:space="0" w:color="auto"/>
            </w:tcBorders>
          </w:tcPr>
          <w:p w14:paraId="3C8EB1C9" w14:textId="77777777" w:rsidR="00253E4E" w:rsidRPr="00452352" w:rsidRDefault="00253E4E" w:rsidP="00BD714C">
            <w:pPr>
              <w:spacing w:before="80" w:after="0" w:line="240" w:lineRule="auto"/>
              <w:jc w:val="center"/>
              <w:rPr>
                <w:rFonts w:ascii="Times New Roman" w:hAnsi="Times New Roman" w:cs="Times New Roman"/>
                <w:color w:val="000000" w:themeColor="text1"/>
                <w:sz w:val="16"/>
                <w:szCs w:val="16"/>
              </w:rPr>
            </w:pPr>
            <w:r w:rsidRPr="00452352">
              <w:rPr>
                <w:rFonts w:ascii="Times New Roman" w:hAnsi="Times New Roman" w:cs="Times New Roman"/>
                <w:color w:val="000000" w:themeColor="text1"/>
                <w:sz w:val="16"/>
                <w:szCs w:val="16"/>
                <w:lang w:val="en-US"/>
              </w:rPr>
              <w:t>1.174</w:t>
            </w:r>
          </w:p>
        </w:tc>
        <w:tc>
          <w:tcPr>
            <w:tcW w:w="1134" w:type="dxa"/>
          </w:tcPr>
          <w:p w14:paraId="49474569" w14:textId="77777777" w:rsidR="00253E4E" w:rsidRPr="00452352" w:rsidRDefault="00253E4E" w:rsidP="00BD714C">
            <w:pPr>
              <w:spacing w:before="80" w:after="0" w:line="240" w:lineRule="auto"/>
              <w:jc w:val="center"/>
              <w:rPr>
                <w:rFonts w:ascii="Times New Roman" w:hAnsi="Times New Roman" w:cs="Times New Roman"/>
                <w:color w:val="000000" w:themeColor="text1"/>
                <w:sz w:val="16"/>
                <w:szCs w:val="16"/>
              </w:rPr>
            </w:pPr>
            <w:r w:rsidRPr="00452352">
              <w:rPr>
                <w:rFonts w:ascii="Times New Roman" w:hAnsi="Times New Roman" w:cs="Times New Roman"/>
                <w:color w:val="000000" w:themeColor="text1"/>
                <w:sz w:val="16"/>
                <w:szCs w:val="16"/>
                <w:lang w:val="en-US"/>
              </w:rPr>
              <w:t>1.045-1.320</w:t>
            </w:r>
          </w:p>
        </w:tc>
        <w:tc>
          <w:tcPr>
            <w:tcW w:w="814" w:type="dxa"/>
            <w:tcBorders>
              <w:right w:val="dashed" w:sz="4" w:space="0" w:color="auto"/>
            </w:tcBorders>
          </w:tcPr>
          <w:p w14:paraId="4E3E9B5E" w14:textId="77777777" w:rsidR="00253E4E" w:rsidRPr="00452352" w:rsidRDefault="00253E4E" w:rsidP="00BD714C">
            <w:pPr>
              <w:spacing w:before="80" w:after="0" w:line="240" w:lineRule="auto"/>
              <w:jc w:val="center"/>
              <w:rPr>
                <w:rFonts w:ascii="Times New Roman" w:hAnsi="Times New Roman" w:cs="Times New Roman"/>
                <w:color w:val="000000" w:themeColor="text1"/>
                <w:sz w:val="16"/>
                <w:szCs w:val="16"/>
              </w:rPr>
            </w:pPr>
            <w:r w:rsidRPr="00452352">
              <w:rPr>
                <w:rFonts w:ascii="Times New Roman" w:hAnsi="Times New Roman" w:cs="Times New Roman"/>
                <w:b/>
                <w:color w:val="000000" w:themeColor="text1"/>
                <w:sz w:val="16"/>
                <w:szCs w:val="16"/>
                <w:lang w:val="en-US"/>
              </w:rPr>
              <w:t>0.007</w:t>
            </w:r>
          </w:p>
        </w:tc>
        <w:tc>
          <w:tcPr>
            <w:tcW w:w="603" w:type="dxa"/>
            <w:tcBorders>
              <w:left w:val="dashed" w:sz="4" w:space="0" w:color="auto"/>
            </w:tcBorders>
          </w:tcPr>
          <w:p w14:paraId="52DB5743" w14:textId="77777777" w:rsidR="00253E4E" w:rsidRPr="00452352" w:rsidRDefault="00253E4E" w:rsidP="00BD714C">
            <w:pPr>
              <w:spacing w:before="80" w:after="0" w:line="240" w:lineRule="auto"/>
              <w:jc w:val="center"/>
              <w:rPr>
                <w:rFonts w:ascii="Times New Roman" w:hAnsi="Times New Roman" w:cs="Times New Roman"/>
                <w:color w:val="000000" w:themeColor="text1"/>
                <w:sz w:val="16"/>
                <w:szCs w:val="16"/>
              </w:rPr>
            </w:pPr>
            <w:r w:rsidRPr="00452352">
              <w:rPr>
                <w:rFonts w:ascii="Times New Roman" w:hAnsi="Times New Roman" w:cs="Times New Roman"/>
                <w:color w:val="000000" w:themeColor="text1"/>
                <w:sz w:val="16"/>
                <w:szCs w:val="16"/>
                <w:lang w:val="en-US"/>
              </w:rPr>
              <w:t>1.145</w:t>
            </w:r>
          </w:p>
        </w:tc>
        <w:tc>
          <w:tcPr>
            <w:tcW w:w="1134" w:type="dxa"/>
          </w:tcPr>
          <w:p w14:paraId="43AF97AE" w14:textId="77777777" w:rsidR="00253E4E" w:rsidRPr="00452352" w:rsidRDefault="00253E4E" w:rsidP="00BD714C">
            <w:pPr>
              <w:spacing w:before="80" w:after="0" w:line="240" w:lineRule="auto"/>
              <w:jc w:val="center"/>
              <w:rPr>
                <w:rFonts w:ascii="Times New Roman" w:hAnsi="Times New Roman" w:cs="Times New Roman"/>
                <w:color w:val="000000" w:themeColor="text1"/>
                <w:sz w:val="16"/>
                <w:szCs w:val="16"/>
              </w:rPr>
            </w:pPr>
            <w:r w:rsidRPr="00452352">
              <w:rPr>
                <w:rFonts w:ascii="Times New Roman" w:hAnsi="Times New Roman" w:cs="Times New Roman"/>
                <w:color w:val="000000" w:themeColor="text1"/>
                <w:sz w:val="16"/>
                <w:szCs w:val="16"/>
                <w:lang w:val="en-US"/>
              </w:rPr>
              <w:t>1.007-1.302</w:t>
            </w:r>
          </w:p>
        </w:tc>
        <w:tc>
          <w:tcPr>
            <w:tcW w:w="851" w:type="dxa"/>
            <w:tcBorders>
              <w:right w:val="dashed" w:sz="4" w:space="0" w:color="auto"/>
            </w:tcBorders>
          </w:tcPr>
          <w:p w14:paraId="425ACF18" w14:textId="77777777" w:rsidR="00253E4E" w:rsidRPr="00452352" w:rsidRDefault="00253E4E" w:rsidP="00BD714C">
            <w:pPr>
              <w:spacing w:before="80" w:after="0" w:line="240" w:lineRule="auto"/>
              <w:jc w:val="center"/>
              <w:rPr>
                <w:rFonts w:ascii="Times New Roman" w:hAnsi="Times New Roman" w:cs="Times New Roman"/>
                <w:color w:val="000000" w:themeColor="text1"/>
                <w:sz w:val="16"/>
                <w:szCs w:val="16"/>
              </w:rPr>
            </w:pPr>
            <w:r w:rsidRPr="00452352">
              <w:rPr>
                <w:rFonts w:ascii="Times New Roman" w:hAnsi="Times New Roman" w:cs="Times New Roman"/>
                <w:b/>
                <w:color w:val="000000" w:themeColor="text1"/>
                <w:sz w:val="16"/>
                <w:szCs w:val="16"/>
                <w:lang w:val="en-US"/>
              </w:rPr>
              <w:t>0.038</w:t>
            </w:r>
          </w:p>
        </w:tc>
      </w:tr>
    </w:tbl>
    <w:p w14:paraId="755B19CD" w14:textId="77777777" w:rsidR="00253E4E" w:rsidRPr="00452352" w:rsidRDefault="00253E4E" w:rsidP="00253E4E">
      <w:pPr>
        <w:rPr>
          <w:rFonts w:ascii="Times New Roman" w:hAnsi="Times New Roman" w:cs="Times New Roman"/>
          <w:color w:val="000000" w:themeColor="text1"/>
          <w:sz w:val="16"/>
          <w:lang w:val="en-US"/>
        </w:rPr>
      </w:pPr>
    </w:p>
    <w:p w14:paraId="42F9BEEA" w14:textId="2D9EA8DD" w:rsidR="00253E4E" w:rsidRPr="00452352" w:rsidRDefault="00253E4E" w:rsidP="00253E4E">
      <w:pPr>
        <w:spacing w:after="0" w:line="240" w:lineRule="auto"/>
        <w:rPr>
          <w:rFonts w:ascii="Times New Roman" w:hAnsi="Times New Roman" w:cs="Times New Roman"/>
          <w:color w:val="000000" w:themeColor="text1"/>
          <w:sz w:val="16"/>
          <w:lang w:val="en-US"/>
        </w:rPr>
      </w:pPr>
      <w:r w:rsidRPr="00452352">
        <w:rPr>
          <w:rFonts w:ascii="Times New Roman" w:hAnsi="Times New Roman" w:cs="Times New Roman"/>
          <w:color w:val="000000" w:themeColor="text1"/>
          <w:sz w:val="16"/>
          <w:lang w:val="en-US"/>
        </w:rPr>
        <w:t xml:space="preserve">Abbreviations: </w:t>
      </w:r>
      <w:r w:rsidR="00852491" w:rsidRPr="00452352">
        <w:rPr>
          <w:rFonts w:ascii="Times New Roman" w:hAnsi="Times New Roman" w:cs="Times New Roman"/>
          <w:color w:val="000000" w:themeColor="text1"/>
          <w:sz w:val="16"/>
          <w:lang w:val="en-US"/>
        </w:rPr>
        <w:t xml:space="preserve">Art. Hypertension, arterial hypertension; </w:t>
      </w:r>
      <w:r w:rsidRPr="00452352">
        <w:rPr>
          <w:rFonts w:ascii="Times New Roman" w:hAnsi="Times New Roman" w:cs="Times New Roman"/>
          <w:bCs/>
          <w:color w:val="000000" w:themeColor="text1"/>
          <w:sz w:val="16"/>
          <w:lang w:val="en-US"/>
        </w:rPr>
        <w:t>CI, confidence intervals;</w:t>
      </w:r>
      <w:r w:rsidRPr="00452352">
        <w:rPr>
          <w:rFonts w:ascii="Times New Roman" w:hAnsi="Times New Roman" w:cs="Times New Roman"/>
          <w:color w:val="000000" w:themeColor="text1"/>
          <w:sz w:val="16"/>
          <w:lang w:val="en-US"/>
        </w:rPr>
        <w:t xml:space="preserve"> DCI, delayed cerebral ischemia; HH, Hunt and Hess grading scale; </w:t>
      </w:r>
      <w:proofErr w:type="spellStart"/>
      <w:r w:rsidRPr="00452352">
        <w:rPr>
          <w:rFonts w:ascii="Times New Roman" w:hAnsi="Times New Roman" w:cs="Times New Roman"/>
          <w:color w:val="000000" w:themeColor="text1"/>
          <w:sz w:val="16"/>
          <w:lang w:val="en-US"/>
        </w:rPr>
        <w:t>mFS</w:t>
      </w:r>
      <w:proofErr w:type="spellEnd"/>
      <w:r w:rsidRPr="00452352">
        <w:rPr>
          <w:rFonts w:ascii="Times New Roman" w:hAnsi="Times New Roman" w:cs="Times New Roman"/>
          <w:color w:val="000000" w:themeColor="text1"/>
          <w:sz w:val="16"/>
          <w:lang w:val="en-US"/>
        </w:rPr>
        <w:t>, modified Fischer scale</w:t>
      </w:r>
      <w:r w:rsidR="007D3643" w:rsidRPr="00452352">
        <w:rPr>
          <w:rFonts w:ascii="Times New Roman" w:hAnsi="Times New Roman" w:cs="Times New Roman"/>
          <w:color w:val="000000" w:themeColor="text1"/>
          <w:sz w:val="16"/>
          <w:lang w:val="en-US"/>
        </w:rPr>
        <w:t xml:space="preserve">; </w:t>
      </w:r>
      <w:r w:rsidRPr="00452352">
        <w:rPr>
          <w:rFonts w:ascii="Times New Roman" w:hAnsi="Times New Roman" w:cs="Times New Roman"/>
          <w:bCs/>
          <w:color w:val="000000" w:themeColor="text1"/>
          <w:sz w:val="16"/>
          <w:lang w:val="en-US"/>
        </w:rPr>
        <w:t>OR, odds ratio</w:t>
      </w:r>
      <w:r w:rsidR="007D3643" w:rsidRPr="00452352">
        <w:rPr>
          <w:rFonts w:ascii="Times New Roman" w:hAnsi="Times New Roman" w:cs="Times New Roman"/>
          <w:color w:val="000000" w:themeColor="text1"/>
          <w:sz w:val="16"/>
          <w:lang w:val="en-US"/>
        </w:rPr>
        <w:t xml:space="preserve">. </w:t>
      </w:r>
    </w:p>
    <w:p w14:paraId="021DF127" w14:textId="77777777" w:rsidR="00253E4E" w:rsidRPr="00452352" w:rsidRDefault="00253E4E" w:rsidP="00253E4E">
      <w:pPr>
        <w:spacing w:after="0" w:line="240" w:lineRule="auto"/>
        <w:rPr>
          <w:rFonts w:ascii="Times New Roman" w:hAnsi="Times New Roman" w:cs="Times New Roman"/>
          <w:color w:val="000000" w:themeColor="text1"/>
          <w:sz w:val="18"/>
          <w:lang w:val="en-US"/>
        </w:rPr>
      </w:pPr>
      <w:r w:rsidRPr="00452352">
        <w:rPr>
          <w:rFonts w:ascii="Times New Roman" w:hAnsi="Times New Roman" w:cs="Times New Roman"/>
          <w:color w:val="000000" w:themeColor="text1"/>
          <w:sz w:val="18"/>
          <w:vertAlign w:val="superscript"/>
          <w:lang w:val="en-US"/>
        </w:rPr>
        <w:t>a</w:t>
      </w:r>
      <w:r w:rsidRPr="00452352">
        <w:rPr>
          <w:rFonts w:ascii="Times New Roman" w:hAnsi="Times New Roman" w:cs="Times New Roman"/>
          <w:color w:val="000000" w:themeColor="text1"/>
          <w:sz w:val="18"/>
          <w:lang w:val="en-US"/>
        </w:rPr>
        <w:t xml:space="preserve"> one patient for which information was unavailable was excluded</w:t>
      </w:r>
    </w:p>
    <w:p w14:paraId="51B905FC" w14:textId="77777777" w:rsidR="00253E4E" w:rsidRPr="00452352" w:rsidRDefault="00253E4E" w:rsidP="00253E4E">
      <w:pPr>
        <w:contextualSpacing/>
        <w:rPr>
          <w:rFonts w:ascii="Times New Roman" w:hAnsi="Times New Roman" w:cs="Times New Roman"/>
          <w:color w:val="000000" w:themeColor="text1"/>
          <w:sz w:val="18"/>
          <w:lang w:val="en-US"/>
        </w:rPr>
      </w:pPr>
      <w:r w:rsidRPr="00452352">
        <w:rPr>
          <w:rFonts w:ascii="Times New Roman" w:hAnsi="Times New Roman" w:cs="Times New Roman"/>
          <w:color w:val="000000" w:themeColor="text1"/>
          <w:sz w:val="18"/>
          <w:vertAlign w:val="superscript"/>
          <w:lang w:val="en-US"/>
        </w:rPr>
        <w:t>b</w:t>
      </w:r>
      <w:r w:rsidRPr="00452352">
        <w:rPr>
          <w:rFonts w:ascii="Times New Roman" w:hAnsi="Times New Roman" w:cs="Times New Roman"/>
          <w:color w:val="000000" w:themeColor="text1"/>
          <w:sz w:val="18"/>
          <w:lang w:val="en-US"/>
        </w:rPr>
        <w:t xml:space="preserve"> one patient with aneurysms in anterior and posterior circulation was excluded</w:t>
      </w:r>
    </w:p>
    <w:p w14:paraId="422783D1" w14:textId="77777777" w:rsidR="00253E4E" w:rsidRPr="00452352" w:rsidRDefault="00253E4E" w:rsidP="00253E4E">
      <w:pPr>
        <w:rPr>
          <w:rFonts w:ascii="Times New Roman" w:hAnsi="Times New Roman" w:cs="Times New Roman"/>
          <w:color w:val="000000" w:themeColor="text1"/>
          <w:sz w:val="18"/>
          <w:lang w:val="en-US"/>
        </w:rPr>
      </w:pPr>
      <w:r w:rsidRPr="00452352">
        <w:rPr>
          <w:rFonts w:ascii="Times New Roman" w:hAnsi="Times New Roman" w:cs="Times New Roman"/>
          <w:color w:val="000000" w:themeColor="text1"/>
          <w:sz w:val="18"/>
          <w:vertAlign w:val="superscript"/>
          <w:lang w:val="en-US"/>
        </w:rPr>
        <w:t>c</w:t>
      </w:r>
      <w:r w:rsidRPr="00452352">
        <w:rPr>
          <w:rFonts w:ascii="Times New Roman" w:hAnsi="Times New Roman" w:cs="Times New Roman"/>
          <w:color w:val="000000" w:themeColor="text1"/>
          <w:sz w:val="18"/>
          <w:lang w:val="en-US"/>
        </w:rPr>
        <w:t xml:space="preserve"> two patients treated by clipping and coiling were excluded</w:t>
      </w:r>
    </w:p>
    <w:p w14:paraId="265E7278" w14:textId="77777777" w:rsidR="0094693C" w:rsidRDefault="0094693C" w:rsidP="00B440BC">
      <w:pPr>
        <w:widowControl w:val="0"/>
        <w:autoSpaceDE w:val="0"/>
        <w:autoSpaceDN w:val="0"/>
        <w:adjustRightInd w:val="0"/>
        <w:spacing w:line="240" w:lineRule="auto"/>
        <w:ind w:left="480" w:hanging="480"/>
        <w:rPr>
          <w:lang w:val="en-US"/>
        </w:rPr>
      </w:pPr>
    </w:p>
    <w:p w14:paraId="03B55102" w14:textId="68B103AB" w:rsidR="0094693C" w:rsidRDefault="00764E67" w:rsidP="00D163A6">
      <w:pPr>
        <w:widowControl w:val="0"/>
        <w:autoSpaceDE w:val="0"/>
        <w:autoSpaceDN w:val="0"/>
        <w:adjustRightInd w:val="0"/>
        <w:spacing w:line="240" w:lineRule="auto"/>
        <w:jc w:val="center"/>
        <w:rPr>
          <w:lang w:val="en-US"/>
        </w:rPr>
      </w:pPr>
      <w:r w:rsidRPr="00764E67">
        <w:rPr>
          <w:noProof/>
          <w:lang w:eastAsia="de-DE"/>
        </w:rPr>
        <w:lastRenderedPageBreak/>
        <w:drawing>
          <wp:inline distT="0" distB="0" distL="0" distR="0" wp14:anchorId="6FC9487E" wp14:editId="5CE42124">
            <wp:extent cx="5194800" cy="5421600"/>
            <wp:effectExtent l="0" t="0" r="0" b="0"/>
            <wp:docPr id="16" name="Grafik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194800" cy="5421600"/>
                    </a:xfrm>
                    <a:prstGeom prst="rect">
                      <a:avLst/>
                    </a:prstGeom>
                    <a:noFill/>
                    <a:ln>
                      <a:noFill/>
                    </a:ln>
                  </pic:spPr>
                </pic:pic>
              </a:graphicData>
            </a:graphic>
          </wp:inline>
        </w:drawing>
      </w:r>
    </w:p>
    <w:p w14:paraId="5DF1731F" w14:textId="7852B2DF" w:rsidR="0094693C" w:rsidRPr="003F7A4F" w:rsidRDefault="0094693C" w:rsidP="0094693C">
      <w:pPr>
        <w:widowControl w:val="0"/>
        <w:autoSpaceDE w:val="0"/>
        <w:autoSpaceDN w:val="0"/>
        <w:adjustRightInd w:val="0"/>
        <w:spacing w:after="0" w:line="240" w:lineRule="auto"/>
        <w:ind w:left="482" w:hanging="482"/>
        <w:rPr>
          <w:rFonts w:ascii="Times New Roman" w:hAnsi="Times New Roman" w:cs="Times New Roman"/>
          <w:u w:val="single"/>
          <w:lang w:val="en-US"/>
        </w:rPr>
      </w:pPr>
      <w:r w:rsidRPr="003F7A4F">
        <w:rPr>
          <w:rFonts w:ascii="Times New Roman" w:hAnsi="Times New Roman" w:cs="Times New Roman"/>
          <w:b/>
          <w:u w:val="single"/>
          <w:lang w:val="en-US"/>
        </w:rPr>
        <w:t>Suppl. Figure 1.</w:t>
      </w:r>
      <w:r w:rsidR="006F1AF1" w:rsidRPr="006F1AF1">
        <w:rPr>
          <w:rFonts w:ascii="Times New Roman" w:hAnsi="Times New Roman" w:cs="Times New Roman"/>
          <w:lang w:val="en-US"/>
        </w:rPr>
        <w:t xml:space="preserve"> </w:t>
      </w:r>
      <w:r w:rsidR="00F56EED">
        <w:rPr>
          <w:rFonts w:ascii="Times New Roman" w:hAnsi="Times New Roman" w:cs="Times New Roman"/>
          <w:lang w:val="en-US"/>
        </w:rPr>
        <w:t>cDPP3 and s</w:t>
      </w:r>
      <w:r w:rsidR="006F1AF1" w:rsidRPr="003F7A4F">
        <w:rPr>
          <w:rFonts w:ascii="Times New Roman" w:hAnsi="Times New Roman" w:cs="Times New Roman"/>
          <w:lang w:val="en-US"/>
        </w:rPr>
        <w:t>ubgroup comparisons</w:t>
      </w:r>
      <w:r w:rsidRPr="00173E02">
        <w:rPr>
          <w:rFonts w:ascii="Times New Roman" w:hAnsi="Times New Roman" w:cs="Times New Roman"/>
          <w:lang w:val="en-US"/>
        </w:rPr>
        <w:t>.</w:t>
      </w:r>
    </w:p>
    <w:p w14:paraId="12DA4B59" w14:textId="6C75150D" w:rsidR="0094693C" w:rsidRPr="003F7A4F" w:rsidRDefault="003F7A4F" w:rsidP="0094693C">
      <w:pPr>
        <w:widowControl w:val="0"/>
        <w:autoSpaceDE w:val="0"/>
        <w:autoSpaceDN w:val="0"/>
        <w:adjustRightInd w:val="0"/>
        <w:spacing w:line="240" w:lineRule="auto"/>
        <w:jc w:val="both"/>
        <w:rPr>
          <w:rFonts w:ascii="Times New Roman" w:hAnsi="Times New Roman" w:cs="Times New Roman"/>
          <w:lang w:val="en-US"/>
        </w:rPr>
      </w:pPr>
      <w:r w:rsidRPr="003F7A4F">
        <w:rPr>
          <w:rFonts w:ascii="Times New Roman" w:hAnsi="Times New Roman" w:cs="Times New Roman"/>
          <w:lang w:val="en-US"/>
        </w:rPr>
        <w:t xml:space="preserve">Shown are subgroup comparisons for patients stratified according to </w:t>
      </w:r>
      <w:r w:rsidR="0094693C" w:rsidRPr="003F7A4F">
        <w:rPr>
          <w:rFonts w:ascii="Times New Roman" w:hAnsi="Times New Roman" w:cs="Times New Roman"/>
          <w:lang w:val="en-US"/>
        </w:rPr>
        <w:t>(</w:t>
      </w:r>
      <w:r w:rsidR="0094693C" w:rsidRPr="003F7A4F">
        <w:rPr>
          <w:rFonts w:ascii="Times New Roman" w:hAnsi="Times New Roman" w:cs="Times New Roman"/>
          <w:b/>
          <w:lang w:val="en-US"/>
        </w:rPr>
        <w:t>A</w:t>
      </w:r>
      <w:r w:rsidR="0094693C" w:rsidRPr="003F7A4F">
        <w:rPr>
          <w:rFonts w:ascii="Times New Roman" w:hAnsi="Times New Roman" w:cs="Times New Roman"/>
          <w:lang w:val="en-US"/>
        </w:rPr>
        <w:t xml:space="preserve">) </w:t>
      </w:r>
      <w:r w:rsidRPr="003F7A4F">
        <w:rPr>
          <w:rFonts w:ascii="Times New Roman" w:hAnsi="Times New Roman" w:cs="Times New Roman"/>
          <w:lang w:val="en-US"/>
        </w:rPr>
        <w:t>gender,</w:t>
      </w:r>
      <w:r w:rsidR="0094693C" w:rsidRPr="003F7A4F">
        <w:rPr>
          <w:rFonts w:ascii="Times New Roman" w:hAnsi="Times New Roman" w:cs="Times New Roman"/>
          <w:lang w:val="en-US"/>
        </w:rPr>
        <w:t xml:space="preserve"> (</w:t>
      </w:r>
      <w:r w:rsidR="0094693C" w:rsidRPr="003F7A4F">
        <w:rPr>
          <w:rFonts w:ascii="Times New Roman" w:hAnsi="Times New Roman" w:cs="Times New Roman"/>
          <w:b/>
          <w:lang w:val="en-US"/>
        </w:rPr>
        <w:t>B</w:t>
      </w:r>
      <w:r w:rsidR="0094693C" w:rsidRPr="003F7A4F">
        <w:rPr>
          <w:rFonts w:ascii="Times New Roman" w:hAnsi="Times New Roman" w:cs="Times New Roman"/>
          <w:lang w:val="en-US"/>
        </w:rPr>
        <w:t xml:space="preserve">) </w:t>
      </w:r>
      <w:r w:rsidRPr="003F7A4F">
        <w:rPr>
          <w:rFonts w:ascii="Times New Roman" w:hAnsi="Times New Roman" w:cs="Times New Roman"/>
          <w:lang w:val="en-US"/>
        </w:rPr>
        <w:t>age,</w:t>
      </w:r>
      <w:r w:rsidR="0094693C" w:rsidRPr="003F7A4F">
        <w:rPr>
          <w:rFonts w:ascii="Times New Roman" w:hAnsi="Times New Roman" w:cs="Times New Roman"/>
          <w:lang w:val="en-US"/>
        </w:rPr>
        <w:t xml:space="preserve"> (</w:t>
      </w:r>
      <w:r w:rsidR="0094693C" w:rsidRPr="003F7A4F">
        <w:rPr>
          <w:rFonts w:ascii="Times New Roman" w:hAnsi="Times New Roman" w:cs="Times New Roman"/>
          <w:b/>
          <w:lang w:val="en-US"/>
        </w:rPr>
        <w:t>C</w:t>
      </w:r>
      <w:r w:rsidR="0094693C" w:rsidRPr="003F7A4F">
        <w:rPr>
          <w:rFonts w:ascii="Times New Roman" w:hAnsi="Times New Roman" w:cs="Times New Roman"/>
          <w:lang w:val="en-US"/>
        </w:rPr>
        <w:t>)</w:t>
      </w:r>
      <w:r w:rsidRPr="003F7A4F">
        <w:rPr>
          <w:rFonts w:ascii="Times New Roman" w:hAnsi="Times New Roman" w:cs="Times New Roman"/>
          <w:lang w:val="en-US"/>
        </w:rPr>
        <w:t xml:space="preserve"> smoking habits</w:t>
      </w:r>
      <w:r w:rsidR="0094693C" w:rsidRPr="003F7A4F">
        <w:rPr>
          <w:rFonts w:ascii="Times New Roman" w:hAnsi="Times New Roman" w:cs="Times New Roman"/>
          <w:lang w:val="en-US"/>
        </w:rPr>
        <w:t xml:space="preserve"> (</w:t>
      </w:r>
      <w:r w:rsidR="0094693C" w:rsidRPr="003F7A4F">
        <w:rPr>
          <w:rFonts w:ascii="Times New Roman" w:hAnsi="Times New Roman" w:cs="Times New Roman"/>
          <w:b/>
          <w:lang w:val="en-US"/>
        </w:rPr>
        <w:t>D</w:t>
      </w:r>
      <w:r w:rsidR="0094693C" w:rsidRPr="003F7A4F">
        <w:rPr>
          <w:rFonts w:ascii="Times New Roman" w:hAnsi="Times New Roman" w:cs="Times New Roman"/>
          <w:lang w:val="en-US"/>
        </w:rPr>
        <w:t xml:space="preserve">) </w:t>
      </w:r>
      <w:r w:rsidRPr="003F7A4F">
        <w:rPr>
          <w:rFonts w:ascii="Times New Roman" w:hAnsi="Times New Roman" w:cs="Times New Roman"/>
          <w:lang w:val="en-US"/>
        </w:rPr>
        <w:t>pre-existing diabetes, (</w:t>
      </w:r>
      <w:r w:rsidRPr="003F7A4F">
        <w:rPr>
          <w:rFonts w:ascii="Times New Roman" w:hAnsi="Times New Roman" w:cs="Times New Roman"/>
          <w:b/>
          <w:lang w:val="en-US"/>
        </w:rPr>
        <w:t>E</w:t>
      </w:r>
      <w:r w:rsidRPr="003F7A4F">
        <w:rPr>
          <w:rFonts w:ascii="Times New Roman" w:hAnsi="Times New Roman" w:cs="Times New Roman"/>
          <w:lang w:val="en-US"/>
        </w:rPr>
        <w:t>) aneurysm location and (</w:t>
      </w:r>
      <w:r w:rsidRPr="003F7A4F">
        <w:rPr>
          <w:rFonts w:ascii="Times New Roman" w:hAnsi="Times New Roman" w:cs="Times New Roman"/>
          <w:b/>
          <w:lang w:val="en-US"/>
        </w:rPr>
        <w:t>F</w:t>
      </w:r>
      <w:r w:rsidRPr="003F7A4F">
        <w:rPr>
          <w:rFonts w:ascii="Times New Roman" w:hAnsi="Times New Roman" w:cs="Times New Roman"/>
          <w:lang w:val="en-US"/>
        </w:rPr>
        <w:t>) treatment modality</w:t>
      </w:r>
      <w:r w:rsidR="0094693C" w:rsidRPr="003F7A4F">
        <w:rPr>
          <w:rFonts w:ascii="Times New Roman" w:hAnsi="Times New Roman" w:cs="Times New Roman"/>
          <w:lang w:val="en-US"/>
        </w:rPr>
        <w:t>.</w:t>
      </w:r>
      <w:r w:rsidRPr="003F7A4F">
        <w:rPr>
          <w:rFonts w:ascii="Times New Roman" w:hAnsi="Times New Roman" w:cs="Times New Roman"/>
          <w:lang w:val="en-US"/>
        </w:rPr>
        <w:t xml:space="preserve"> Significant differences between groups are indicated by arrows (for details see Tab. 2 &amp; 3). </w:t>
      </w:r>
    </w:p>
    <w:p w14:paraId="2180D84E" w14:textId="44F88E52" w:rsidR="00D163A6" w:rsidRDefault="00D163A6" w:rsidP="003F7A4F">
      <w:pPr>
        <w:widowControl w:val="0"/>
        <w:autoSpaceDE w:val="0"/>
        <w:autoSpaceDN w:val="0"/>
        <w:adjustRightInd w:val="0"/>
        <w:spacing w:line="240" w:lineRule="auto"/>
        <w:ind w:left="480" w:hanging="480"/>
        <w:rPr>
          <w:lang w:val="en-US"/>
        </w:rPr>
      </w:pPr>
    </w:p>
    <w:p w14:paraId="0E78B7E8" w14:textId="77777777" w:rsidR="003F7A4F" w:rsidRDefault="003F7A4F" w:rsidP="003F7A4F">
      <w:pPr>
        <w:widowControl w:val="0"/>
        <w:autoSpaceDE w:val="0"/>
        <w:autoSpaceDN w:val="0"/>
        <w:adjustRightInd w:val="0"/>
        <w:spacing w:line="240" w:lineRule="auto"/>
        <w:ind w:left="480" w:hanging="480"/>
        <w:rPr>
          <w:lang w:val="en-US"/>
        </w:rPr>
      </w:pPr>
    </w:p>
    <w:p w14:paraId="48340A22" w14:textId="77777777" w:rsidR="003F7A4F" w:rsidRDefault="003F7A4F" w:rsidP="003F7A4F">
      <w:pPr>
        <w:widowControl w:val="0"/>
        <w:autoSpaceDE w:val="0"/>
        <w:autoSpaceDN w:val="0"/>
        <w:adjustRightInd w:val="0"/>
        <w:spacing w:line="240" w:lineRule="auto"/>
        <w:ind w:left="480" w:hanging="480"/>
        <w:rPr>
          <w:lang w:val="en-US"/>
        </w:rPr>
      </w:pPr>
    </w:p>
    <w:p w14:paraId="0F75A5CD" w14:textId="77777777" w:rsidR="003F7A4F" w:rsidRDefault="003F7A4F" w:rsidP="003F7A4F">
      <w:pPr>
        <w:widowControl w:val="0"/>
        <w:autoSpaceDE w:val="0"/>
        <w:autoSpaceDN w:val="0"/>
        <w:adjustRightInd w:val="0"/>
        <w:spacing w:line="240" w:lineRule="auto"/>
        <w:ind w:left="480" w:hanging="480"/>
        <w:rPr>
          <w:lang w:val="en-US"/>
        </w:rPr>
      </w:pPr>
    </w:p>
    <w:p w14:paraId="2F666F15" w14:textId="77777777" w:rsidR="003F7A4F" w:rsidRDefault="003F7A4F" w:rsidP="003F7A4F">
      <w:pPr>
        <w:widowControl w:val="0"/>
        <w:autoSpaceDE w:val="0"/>
        <w:autoSpaceDN w:val="0"/>
        <w:adjustRightInd w:val="0"/>
        <w:spacing w:line="240" w:lineRule="auto"/>
        <w:ind w:left="480" w:hanging="480"/>
        <w:rPr>
          <w:lang w:val="en-US"/>
        </w:rPr>
      </w:pPr>
    </w:p>
    <w:p w14:paraId="07C048A8" w14:textId="77777777" w:rsidR="003F7A4F" w:rsidRDefault="003F7A4F" w:rsidP="003F7A4F">
      <w:pPr>
        <w:widowControl w:val="0"/>
        <w:autoSpaceDE w:val="0"/>
        <w:autoSpaceDN w:val="0"/>
        <w:adjustRightInd w:val="0"/>
        <w:spacing w:line="240" w:lineRule="auto"/>
        <w:ind w:left="480" w:hanging="480"/>
        <w:rPr>
          <w:lang w:val="en-US"/>
        </w:rPr>
      </w:pPr>
    </w:p>
    <w:p w14:paraId="76B00834" w14:textId="77777777" w:rsidR="003F7A4F" w:rsidRDefault="003F7A4F" w:rsidP="003F7A4F">
      <w:pPr>
        <w:widowControl w:val="0"/>
        <w:autoSpaceDE w:val="0"/>
        <w:autoSpaceDN w:val="0"/>
        <w:adjustRightInd w:val="0"/>
        <w:spacing w:line="240" w:lineRule="auto"/>
        <w:ind w:left="480" w:hanging="480"/>
        <w:rPr>
          <w:lang w:val="en-US"/>
        </w:rPr>
      </w:pPr>
    </w:p>
    <w:p w14:paraId="5A37B56A" w14:textId="77777777" w:rsidR="003F7A4F" w:rsidRDefault="003F7A4F" w:rsidP="003F7A4F">
      <w:pPr>
        <w:widowControl w:val="0"/>
        <w:autoSpaceDE w:val="0"/>
        <w:autoSpaceDN w:val="0"/>
        <w:adjustRightInd w:val="0"/>
        <w:spacing w:line="240" w:lineRule="auto"/>
        <w:ind w:left="480" w:hanging="480"/>
        <w:rPr>
          <w:lang w:val="en-US"/>
        </w:rPr>
      </w:pPr>
    </w:p>
    <w:p w14:paraId="27478B99" w14:textId="77777777" w:rsidR="00D163A6" w:rsidRDefault="00D163A6" w:rsidP="00D163A6">
      <w:pPr>
        <w:widowControl w:val="0"/>
        <w:autoSpaceDE w:val="0"/>
        <w:autoSpaceDN w:val="0"/>
        <w:adjustRightInd w:val="0"/>
        <w:spacing w:line="240" w:lineRule="auto"/>
        <w:ind w:left="480" w:hanging="480"/>
        <w:jc w:val="center"/>
        <w:rPr>
          <w:lang w:val="en-US"/>
        </w:rPr>
      </w:pPr>
    </w:p>
    <w:p w14:paraId="256DCCE9" w14:textId="77777777" w:rsidR="00AB19A6" w:rsidRDefault="00AB19A6" w:rsidP="00AB19A6">
      <w:pPr>
        <w:widowControl w:val="0"/>
        <w:autoSpaceDE w:val="0"/>
        <w:autoSpaceDN w:val="0"/>
        <w:adjustRightInd w:val="0"/>
        <w:spacing w:line="240" w:lineRule="auto"/>
        <w:ind w:left="480" w:hanging="480"/>
        <w:rPr>
          <w:rFonts w:ascii="Times New Roman" w:hAnsi="Times New Roman" w:cs="Times New Roman"/>
          <w:b/>
          <w:lang w:val="en-US"/>
        </w:rPr>
      </w:pPr>
    </w:p>
    <w:p w14:paraId="73C82683" w14:textId="1922DF55" w:rsidR="00AB19A6" w:rsidRPr="00C54BE8" w:rsidRDefault="00AB19A6" w:rsidP="00AB19A6">
      <w:pPr>
        <w:widowControl w:val="0"/>
        <w:autoSpaceDE w:val="0"/>
        <w:autoSpaceDN w:val="0"/>
        <w:adjustRightInd w:val="0"/>
        <w:spacing w:line="240" w:lineRule="auto"/>
        <w:ind w:left="480" w:hanging="480"/>
        <w:rPr>
          <w:rFonts w:ascii="Times New Roman" w:hAnsi="Times New Roman" w:cs="Times New Roman"/>
          <w:lang w:val="en-US"/>
        </w:rPr>
      </w:pPr>
      <w:r w:rsidRPr="00C54BE8">
        <w:rPr>
          <w:rFonts w:ascii="Times New Roman" w:hAnsi="Times New Roman" w:cs="Times New Roman"/>
          <w:b/>
          <w:lang w:val="en-US"/>
        </w:rPr>
        <w:lastRenderedPageBreak/>
        <w:t>Suppl. Tab</w:t>
      </w:r>
      <w:r w:rsidR="006F1AF1">
        <w:rPr>
          <w:rFonts w:ascii="Times New Roman" w:hAnsi="Times New Roman" w:cs="Times New Roman"/>
          <w:b/>
          <w:lang w:val="en-US"/>
        </w:rPr>
        <w:t>le</w:t>
      </w:r>
      <w:r w:rsidRPr="00C54BE8">
        <w:rPr>
          <w:rFonts w:ascii="Times New Roman" w:hAnsi="Times New Roman" w:cs="Times New Roman"/>
          <w:b/>
          <w:lang w:val="en-US"/>
        </w:rPr>
        <w:t xml:space="preserve"> 1.</w:t>
      </w:r>
      <w:r w:rsidRPr="00C54BE8">
        <w:rPr>
          <w:rFonts w:ascii="Times New Roman" w:hAnsi="Times New Roman" w:cs="Times New Roman"/>
          <w:lang w:val="en-US"/>
        </w:rPr>
        <w:t xml:space="preserve"> Results from correlation analysis.</w:t>
      </w:r>
    </w:p>
    <w:tbl>
      <w:tblPr>
        <w:tblW w:w="3232" w:type="dxa"/>
        <w:jc w:val="center"/>
        <w:tblCellMar>
          <w:left w:w="70" w:type="dxa"/>
          <w:right w:w="70" w:type="dxa"/>
        </w:tblCellMar>
        <w:tblLook w:val="04A0" w:firstRow="1" w:lastRow="0" w:firstColumn="1" w:lastColumn="0" w:noHBand="0" w:noVBand="1"/>
      </w:tblPr>
      <w:tblGrid>
        <w:gridCol w:w="1361"/>
        <w:gridCol w:w="964"/>
        <w:gridCol w:w="907"/>
      </w:tblGrid>
      <w:tr w:rsidR="00AB19A6" w:rsidRPr="00AC25E6" w14:paraId="090D4895" w14:textId="77777777" w:rsidTr="00136B38">
        <w:trPr>
          <w:trHeight w:val="43"/>
          <w:jc w:val="center"/>
        </w:trPr>
        <w:tc>
          <w:tcPr>
            <w:tcW w:w="1361" w:type="dxa"/>
            <w:tcBorders>
              <w:top w:val="single" w:sz="4" w:space="0" w:color="auto"/>
              <w:bottom w:val="single" w:sz="4" w:space="0" w:color="auto"/>
            </w:tcBorders>
            <w:shd w:val="clear" w:color="auto" w:fill="auto"/>
            <w:noWrap/>
            <w:vAlign w:val="center"/>
            <w:hideMark/>
          </w:tcPr>
          <w:p w14:paraId="607A709D" w14:textId="77777777" w:rsidR="00AB19A6" w:rsidRPr="00AB5A38" w:rsidRDefault="00AB19A6" w:rsidP="0039403A">
            <w:pPr>
              <w:spacing w:after="0" w:line="240" w:lineRule="auto"/>
              <w:rPr>
                <w:rFonts w:ascii="Times New Roman" w:eastAsia="Times New Roman" w:hAnsi="Times New Roman" w:cs="Times New Roman"/>
                <w:b/>
                <w:bCs/>
                <w:color w:val="000000"/>
                <w:sz w:val="16"/>
                <w:szCs w:val="16"/>
                <w:lang w:val="en-US" w:eastAsia="de-DE"/>
              </w:rPr>
            </w:pPr>
          </w:p>
        </w:tc>
        <w:tc>
          <w:tcPr>
            <w:tcW w:w="964" w:type="dxa"/>
            <w:tcBorders>
              <w:top w:val="single" w:sz="4" w:space="0" w:color="auto"/>
              <w:bottom w:val="single" w:sz="4" w:space="0" w:color="auto"/>
            </w:tcBorders>
            <w:shd w:val="clear" w:color="auto" w:fill="auto"/>
            <w:noWrap/>
            <w:vAlign w:val="bottom"/>
            <w:hideMark/>
          </w:tcPr>
          <w:p w14:paraId="543F2F25" w14:textId="77777777" w:rsidR="00AB19A6" w:rsidRPr="00136B38" w:rsidRDefault="00AB19A6" w:rsidP="0039403A">
            <w:pPr>
              <w:spacing w:after="0" w:line="240" w:lineRule="auto"/>
              <w:jc w:val="center"/>
              <w:rPr>
                <w:rFonts w:ascii="Times New Roman" w:eastAsia="Times New Roman" w:hAnsi="Times New Roman" w:cs="Times New Roman"/>
                <w:b/>
                <w:color w:val="000000"/>
                <w:sz w:val="16"/>
                <w:szCs w:val="16"/>
                <w:lang w:val="en-US" w:eastAsia="de-DE"/>
              </w:rPr>
            </w:pPr>
            <w:r w:rsidRPr="00136B38">
              <w:rPr>
                <w:rFonts w:ascii="Times New Roman" w:eastAsia="Times New Roman" w:hAnsi="Times New Roman" w:cs="Times New Roman"/>
                <w:b/>
                <w:color w:val="000000"/>
                <w:sz w:val="16"/>
                <w:szCs w:val="16"/>
                <w:lang w:val="en-US" w:eastAsia="de-DE"/>
              </w:rPr>
              <w:t>Spearman r</w:t>
            </w:r>
          </w:p>
        </w:tc>
        <w:tc>
          <w:tcPr>
            <w:tcW w:w="907" w:type="dxa"/>
            <w:tcBorders>
              <w:top w:val="single" w:sz="4" w:space="0" w:color="auto"/>
              <w:bottom w:val="single" w:sz="4" w:space="0" w:color="auto"/>
            </w:tcBorders>
          </w:tcPr>
          <w:p w14:paraId="17007ECD" w14:textId="77777777" w:rsidR="00AB19A6" w:rsidRPr="00136B38" w:rsidRDefault="00AB19A6" w:rsidP="0039403A">
            <w:pPr>
              <w:spacing w:after="0" w:line="240" w:lineRule="auto"/>
              <w:jc w:val="center"/>
              <w:rPr>
                <w:rFonts w:ascii="Times New Roman" w:eastAsia="Times New Roman" w:hAnsi="Times New Roman" w:cs="Times New Roman"/>
                <w:b/>
                <w:color w:val="000000"/>
                <w:sz w:val="16"/>
                <w:szCs w:val="16"/>
                <w:lang w:val="en-US" w:eastAsia="de-DE"/>
              </w:rPr>
            </w:pPr>
            <w:r w:rsidRPr="00136B38">
              <w:rPr>
                <w:rFonts w:ascii="Times New Roman" w:eastAsia="Times New Roman" w:hAnsi="Times New Roman" w:cs="Times New Roman"/>
                <w:b/>
                <w:color w:val="000000"/>
                <w:sz w:val="16"/>
                <w:szCs w:val="16"/>
                <w:lang w:val="en-US" w:eastAsia="de-DE"/>
              </w:rPr>
              <w:t>p-value</w:t>
            </w:r>
          </w:p>
        </w:tc>
      </w:tr>
      <w:tr w:rsidR="00AB19A6" w:rsidRPr="00AC25E6" w14:paraId="24D0EC86" w14:textId="77777777" w:rsidTr="00136B38">
        <w:trPr>
          <w:trHeight w:val="33"/>
          <w:jc w:val="center"/>
        </w:trPr>
        <w:tc>
          <w:tcPr>
            <w:tcW w:w="1361" w:type="dxa"/>
            <w:tcBorders>
              <w:top w:val="single" w:sz="4" w:space="0" w:color="auto"/>
            </w:tcBorders>
            <w:shd w:val="clear" w:color="auto" w:fill="auto"/>
            <w:noWrap/>
            <w:vAlign w:val="center"/>
          </w:tcPr>
          <w:p w14:paraId="5DA621E4" w14:textId="2BAB202F" w:rsidR="00AB19A6" w:rsidRPr="00AB5A38" w:rsidRDefault="00AB19A6" w:rsidP="0039403A">
            <w:pPr>
              <w:spacing w:before="20" w:after="0" w:line="240" w:lineRule="auto"/>
              <w:rPr>
                <w:rFonts w:ascii="Times New Roman" w:eastAsia="Times New Roman" w:hAnsi="Times New Roman" w:cs="Times New Roman"/>
                <w:b/>
                <w:bCs/>
                <w:color w:val="000000"/>
                <w:sz w:val="16"/>
                <w:szCs w:val="16"/>
                <w:u w:val="single"/>
                <w:lang w:val="en-US" w:eastAsia="de-DE"/>
              </w:rPr>
            </w:pPr>
            <w:r w:rsidRPr="00AB5A38">
              <w:rPr>
                <w:rFonts w:ascii="Times New Roman" w:eastAsia="Times New Roman" w:hAnsi="Times New Roman" w:cs="Times New Roman"/>
                <w:b/>
                <w:bCs/>
                <w:color w:val="000000"/>
                <w:sz w:val="16"/>
                <w:szCs w:val="16"/>
                <w:u w:val="single"/>
                <w:lang w:val="en-US" w:eastAsia="de-DE"/>
              </w:rPr>
              <w:t xml:space="preserve">GOS-E vs </w:t>
            </w:r>
            <w:r w:rsidR="00120035">
              <w:rPr>
                <w:rFonts w:ascii="Times New Roman" w:eastAsia="Times New Roman" w:hAnsi="Times New Roman" w:cs="Times New Roman"/>
                <w:b/>
                <w:bCs/>
                <w:color w:val="000000"/>
                <w:sz w:val="16"/>
                <w:szCs w:val="16"/>
                <w:u w:val="single"/>
                <w:lang w:val="en-US" w:eastAsia="de-DE"/>
              </w:rPr>
              <w:t>c</w:t>
            </w:r>
            <w:r w:rsidRPr="00AB5A38">
              <w:rPr>
                <w:rFonts w:ascii="Times New Roman" w:eastAsia="Times New Roman" w:hAnsi="Times New Roman" w:cs="Times New Roman"/>
                <w:b/>
                <w:bCs/>
                <w:color w:val="000000"/>
                <w:sz w:val="16"/>
                <w:szCs w:val="16"/>
                <w:u w:val="single"/>
                <w:lang w:val="en-US" w:eastAsia="de-DE"/>
              </w:rPr>
              <w:t>DPP3</w:t>
            </w:r>
          </w:p>
        </w:tc>
        <w:tc>
          <w:tcPr>
            <w:tcW w:w="964" w:type="dxa"/>
            <w:tcBorders>
              <w:top w:val="single" w:sz="4" w:space="0" w:color="auto"/>
            </w:tcBorders>
            <w:shd w:val="clear" w:color="auto" w:fill="auto"/>
            <w:noWrap/>
            <w:vAlign w:val="bottom"/>
          </w:tcPr>
          <w:p w14:paraId="496F16A6" w14:textId="77777777" w:rsidR="00AB19A6" w:rsidRPr="00AB5A38" w:rsidRDefault="00AB19A6" w:rsidP="0039403A">
            <w:pPr>
              <w:spacing w:after="0" w:line="240" w:lineRule="auto"/>
              <w:jc w:val="center"/>
              <w:rPr>
                <w:rFonts w:ascii="Times New Roman" w:eastAsia="Times New Roman" w:hAnsi="Times New Roman" w:cs="Times New Roman"/>
                <w:color w:val="000000"/>
                <w:sz w:val="16"/>
                <w:szCs w:val="16"/>
                <w:lang w:val="en-US" w:eastAsia="de-DE"/>
              </w:rPr>
            </w:pPr>
          </w:p>
        </w:tc>
        <w:tc>
          <w:tcPr>
            <w:tcW w:w="907" w:type="dxa"/>
            <w:tcBorders>
              <w:top w:val="single" w:sz="4" w:space="0" w:color="auto"/>
            </w:tcBorders>
          </w:tcPr>
          <w:p w14:paraId="45C4AA95" w14:textId="77777777" w:rsidR="00AB19A6" w:rsidRPr="00AB5A38" w:rsidRDefault="00AB19A6" w:rsidP="0039403A">
            <w:pPr>
              <w:spacing w:after="0" w:line="240" w:lineRule="auto"/>
              <w:jc w:val="center"/>
              <w:rPr>
                <w:rFonts w:ascii="Times New Roman" w:eastAsia="Times New Roman" w:hAnsi="Times New Roman" w:cs="Times New Roman"/>
                <w:color w:val="000000"/>
                <w:sz w:val="16"/>
                <w:szCs w:val="16"/>
                <w:lang w:val="en-US" w:eastAsia="de-DE"/>
              </w:rPr>
            </w:pPr>
          </w:p>
        </w:tc>
      </w:tr>
      <w:tr w:rsidR="00AB19A6" w:rsidRPr="00AC25E6" w14:paraId="49912D10" w14:textId="77777777" w:rsidTr="00136B38">
        <w:trPr>
          <w:trHeight w:val="33"/>
          <w:jc w:val="center"/>
        </w:trPr>
        <w:tc>
          <w:tcPr>
            <w:tcW w:w="1361" w:type="dxa"/>
            <w:shd w:val="clear" w:color="auto" w:fill="auto"/>
            <w:noWrap/>
            <w:vAlign w:val="center"/>
          </w:tcPr>
          <w:p w14:paraId="7E0E94B6" w14:textId="77777777" w:rsidR="00AB19A6" w:rsidRPr="00AB5A38" w:rsidRDefault="00AB19A6" w:rsidP="0039403A">
            <w:pPr>
              <w:spacing w:after="0" w:line="240" w:lineRule="auto"/>
              <w:jc w:val="right"/>
              <w:rPr>
                <w:rFonts w:ascii="Times New Roman" w:eastAsia="Times New Roman" w:hAnsi="Times New Roman" w:cs="Times New Roman"/>
                <w:b/>
                <w:bCs/>
                <w:color w:val="000000"/>
                <w:sz w:val="16"/>
                <w:szCs w:val="16"/>
                <w:lang w:val="en-US" w:eastAsia="de-DE"/>
              </w:rPr>
            </w:pPr>
            <w:r w:rsidRPr="00AB5A38">
              <w:rPr>
                <w:rFonts w:ascii="Times New Roman" w:eastAsia="Times New Roman" w:hAnsi="Times New Roman" w:cs="Times New Roman"/>
                <w:bCs/>
                <w:color w:val="000000"/>
                <w:sz w:val="16"/>
                <w:szCs w:val="16"/>
                <w:lang w:val="en-US" w:eastAsia="de-DE"/>
              </w:rPr>
              <w:t>Day 1-4</w:t>
            </w:r>
          </w:p>
        </w:tc>
        <w:tc>
          <w:tcPr>
            <w:tcW w:w="964" w:type="dxa"/>
            <w:shd w:val="clear" w:color="auto" w:fill="auto"/>
            <w:noWrap/>
            <w:vAlign w:val="bottom"/>
          </w:tcPr>
          <w:p w14:paraId="106C07A0" w14:textId="77777777" w:rsidR="00AB19A6" w:rsidRPr="00AB5A38" w:rsidRDefault="00AB19A6" w:rsidP="0039403A">
            <w:pPr>
              <w:spacing w:after="0" w:line="240" w:lineRule="auto"/>
              <w:jc w:val="center"/>
              <w:rPr>
                <w:rFonts w:ascii="Times New Roman" w:eastAsia="Times New Roman" w:hAnsi="Times New Roman" w:cs="Times New Roman"/>
                <w:color w:val="000000"/>
                <w:sz w:val="16"/>
                <w:szCs w:val="16"/>
                <w:lang w:val="en-US" w:eastAsia="de-DE"/>
              </w:rPr>
            </w:pPr>
            <w:r w:rsidRPr="00AB5A38">
              <w:rPr>
                <w:rFonts w:ascii="Times New Roman" w:eastAsia="Times New Roman" w:hAnsi="Times New Roman" w:cs="Times New Roman"/>
                <w:color w:val="000000"/>
                <w:sz w:val="16"/>
                <w:szCs w:val="16"/>
                <w:lang w:val="en-US" w:eastAsia="de-DE"/>
              </w:rPr>
              <w:t>-0.117</w:t>
            </w:r>
          </w:p>
        </w:tc>
        <w:tc>
          <w:tcPr>
            <w:tcW w:w="907" w:type="dxa"/>
          </w:tcPr>
          <w:p w14:paraId="1B6D4232" w14:textId="77777777" w:rsidR="00AB19A6" w:rsidRPr="00AB5A38" w:rsidRDefault="00AB19A6" w:rsidP="0039403A">
            <w:pPr>
              <w:spacing w:after="0" w:line="240" w:lineRule="auto"/>
              <w:jc w:val="center"/>
              <w:rPr>
                <w:rFonts w:ascii="Times New Roman" w:eastAsia="Times New Roman" w:hAnsi="Times New Roman" w:cs="Times New Roman"/>
                <w:color w:val="000000"/>
                <w:sz w:val="16"/>
                <w:szCs w:val="16"/>
                <w:lang w:val="en-US" w:eastAsia="de-DE"/>
              </w:rPr>
            </w:pPr>
            <w:r w:rsidRPr="00AB5A38">
              <w:rPr>
                <w:rFonts w:ascii="Times New Roman" w:eastAsia="Times New Roman" w:hAnsi="Times New Roman" w:cs="Times New Roman"/>
                <w:color w:val="000000"/>
                <w:sz w:val="16"/>
                <w:szCs w:val="16"/>
                <w:lang w:val="en-US" w:eastAsia="de-DE"/>
              </w:rPr>
              <w:t>0.303</w:t>
            </w:r>
          </w:p>
        </w:tc>
      </w:tr>
      <w:tr w:rsidR="00AB19A6" w:rsidRPr="00AC25E6" w14:paraId="3CD7E79A" w14:textId="77777777" w:rsidTr="00136B38">
        <w:trPr>
          <w:trHeight w:val="33"/>
          <w:jc w:val="center"/>
        </w:trPr>
        <w:tc>
          <w:tcPr>
            <w:tcW w:w="1361" w:type="dxa"/>
            <w:shd w:val="clear" w:color="auto" w:fill="auto"/>
            <w:noWrap/>
            <w:vAlign w:val="center"/>
          </w:tcPr>
          <w:p w14:paraId="617AA1CB" w14:textId="77777777" w:rsidR="00AB19A6" w:rsidRPr="00AB5A38" w:rsidRDefault="00AB19A6" w:rsidP="0039403A">
            <w:pPr>
              <w:spacing w:after="0" w:line="240" w:lineRule="auto"/>
              <w:jc w:val="right"/>
              <w:rPr>
                <w:rFonts w:ascii="Times New Roman" w:eastAsia="Times New Roman" w:hAnsi="Times New Roman" w:cs="Times New Roman"/>
                <w:b/>
                <w:bCs/>
                <w:color w:val="000000"/>
                <w:sz w:val="16"/>
                <w:szCs w:val="16"/>
                <w:lang w:val="en-US" w:eastAsia="de-DE"/>
              </w:rPr>
            </w:pPr>
            <w:r w:rsidRPr="00AB5A38">
              <w:rPr>
                <w:rFonts w:ascii="Times New Roman" w:eastAsia="Times New Roman" w:hAnsi="Times New Roman" w:cs="Times New Roman"/>
                <w:bCs/>
                <w:color w:val="000000"/>
                <w:sz w:val="16"/>
                <w:szCs w:val="16"/>
                <w:lang w:val="en-US" w:eastAsia="de-DE"/>
              </w:rPr>
              <w:t>Day 5-8</w:t>
            </w:r>
          </w:p>
        </w:tc>
        <w:tc>
          <w:tcPr>
            <w:tcW w:w="964" w:type="dxa"/>
            <w:shd w:val="clear" w:color="auto" w:fill="auto"/>
            <w:noWrap/>
            <w:vAlign w:val="bottom"/>
          </w:tcPr>
          <w:p w14:paraId="389DC090" w14:textId="77777777" w:rsidR="00AB19A6" w:rsidRPr="00AB5A38" w:rsidRDefault="00AB19A6" w:rsidP="0039403A">
            <w:pPr>
              <w:spacing w:after="0" w:line="240" w:lineRule="auto"/>
              <w:jc w:val="center"/>
              <w:rPr>
                <w:rFonts w:ascii="Times New Roman" w:eastAsia="Times New Roman" w:hAnsi="Times New Roman" w:cs="Times New Roman"/>
                <w:color w:val="000000"/>
                <w:sz w:val="16"/>
                <w:szCs w:val="16"/>
                <w:lang w:val="en-US" w:eastAsia="de-DE"/>
              </w:rPr>
            </w:pPr>
            <w:r w:rsidRPr="00AB5A38">
              <w:rPr>
                <w:rFonts w:ascii="Times New Roman" w:eastAsia="Times New Roman" w:hAnsi="Times New Roman" w:cs="Times New Roman"/>
                <w:color w:val="000000"/>
                <w:sz w:val="16"/>
                <w:szCs w:val="16"/>
                <w:lang w:val="en-US" w:eastAsia="de-DE"/>
              </w:rPr>
              <w:t>-0.316</w:t>
            </w:r>
          </w:p>
        </w:tc>
        <w:tc>
          <w:tcPr>
            <w:tcW w:w="907" w:type="dxa"/>
          </w:tcPr>
          <w:p w14:paraId="16F129A9" w14:textId="77777777" w:rsidR="00AB19A6" w:rsidRPr="00AB5A38" w:rsidRDefault="00AB19A6" w:rsidP="0039403A">
            <w:pPr>
              <w:spacing w:after="0" w:line="240" w:lineRule="auto"/>
              <w:jc w:val="center"/>
              <w:rPr>
                <w:rFonts w:ascii="Times New Roman" w:eastAsia="Times New Roman" w:hAnsi="Times New Roman" w:cs="Times New Roman"/>
                <w:b/>
                <w:color w:val="000000"/>
                <w:sz w:val="16"/>
                <w:szCs w:val="16"/>
                <w:lang w:val="en-US" w:eastAsia="de-DE"/>
              </w:rPr>
            </w:pPr>
            <w:r w:rsidRPr="00AB5A38">
              <w:rPr>
                <w:rFonts w:ascii="Times New Roman" w:eastAsia="Times New Roman" w:hAnsi="Times New Roman" w:cs="Times New Roman"/>
                <w:b/>
                <w:color w:val="000000"/>
                <w:sz w:val="16"/>
                <w:szCs w:val="16"/>
                <w:lang w:val="en-US" w:eastAsia="de-DE"/>
              </w:rPr>
              <w:t>0.003</w:t>
            </w:r>
          </w:p>
        </w:tc>
      </w:tr>
      <w:tr w:rsidR="00AB19A6" w:rsidRPr="00641DEF" w14:paraId="0612A4BA" w14:textId="77777777" w:rsidTr="00136B38">
        <w:trPr>
          <w:trHeight w:val="63"/>
          <w:jc w:val="center"/>
        </w:trPr>
        <w:tc>
          <w:tcPr>
            <w:tcW w:w="1361" w:type="dxa"/>
            <w:shd w:val="clear" w:color="auto" w:fill="auto"/>
            <w:noWrap/>
            <w:vAlign w:val="center"/>
          </w:tcPr>
          <w:p w14:paraId="41DCC30E" w14:textId="77777777" w:rsidR="00AB19A6" w:rsidRPr="00AB5A38" w:rsidRDefault="00AB19A6" w:rsidP="0039403A">
            <w:pPr>
              <w:spacing w:after="0" w:line="240" w:lineRule="auto"/>
              <w:jc w:val="right"/>
              <w:rPr>
                <w:rFonts w:ascii="Times New Roman" w:eastAsia="Times New Roman" w:hAnsi="Times New Roman" w:cs="Times New Roman"/>
                <w:color w:val="000000"/>
                <w:sz w:val="16"/>
                <w:szCs w:val="16"/>
                <w:lang w:val="en-US" w:eastAsia="de-DE"/>
              </w:rPr>
            </w:pPr>
            <w:r w:rsidRPr="00AB5A38">
              <w:rPr>
                <w:rFonts w:ascii="Times New Roman" w:eastAsia="Times New Roman" w:hAnsi="Times New Roman" w:cs="Times New Roman"/>
                <w:color w:val="000000"/>
                <w:sz w:val="16"/>
                <w:szCs w:val="16"/>
                <w:lang w:val="en-US" w:eastAsia="de-DE"/>
              </w:rPr>
              <w:t>Day 9-12</w:t>
            </w:r>
          </w:p>
        </w:tc>
        <w:tc>
          <w:tcPr>
            <w:tcW w:w="964" w:type="dxa"/>
            <w:shd w:val="clear" w:color="auto" w:fill="auto"/>
            <w:noWrap/>
            <w:vAlign w:val="bottom"/>
          </w:tcPr>
          <w:p w14:paraId="4D33CE32" w14:textId="77777777" w:rsidR="00AB19A6" w:rsidRPr="00AB5A38" w:rsidRDefault="00AB19A6" w:rsidP="0039403A">
            <w:pPr>
              <w:spacing w:after="0" w:line="240" w:lineRule="auto"/>
              <w:jc w:val="center"/>
              <w:rPr>
                <w:rFonts w:ascii="Times New Roman" w:eastAsia="Times New Roman" w:hAnsi="Times New Roman" w:cs="Times New Roman"/>
                <w:color w:val="000000"/>
                <w:sz w:val="16"/>
                <w:szCs w:val="16"/>
                <w:lang w:val="en-US" w:eastAsia="de-DE"/>
              </w:rPr>
            </w:pPr>
            <w:r w:rsidRPr="00AB5A38">
              <w:rPr>
                <w:rFonts w:ascii="Times New Roman" w:eastAsia="Times New Roman" w:hAnsi="Times New Roman" w:cs="Times New Roman"/>
                <w:color w:val="000000"/>
                <w:sz w:val="16"/>
                <w:szCs w:val="16"/>
                <w:lang w:val="en-US" w:eastAsia="de-DE"/>
              </w:rPr>
              <w:t>-0.335</w:t>
            </w:r>
          </w:p>
        </w:tc>
        <w:tc>
          <w:tcPr>
            <w:tcW w:w="907" w:type="dxa"/>
          </w:tcPr>
          <w:p w14:paraId="577A3366" w14:textId="77777777" w:rsidR="00AB19A6" w:rsidRPr="00AB5A38" w:rsidRDefault="00AB19A6" w:rsidP="0039403A">
            <w:pPr>
              <w:spacing w:after="0" w:line="240" w:lineRule="auto"/>
              <w:jc w:val="center"/>
              <w:rPr>
                <w:rFonts w:ascii="Times New Roman" w:eastAsia="Times New Roman" w:hAnsi="Times New Roman" w:cs="Times New Roman"/>
                <w:b/>
                <w:color w:val="000000"/>
                <w:sz w:val="16"/>
                <w:szCs w:val="16"/>
                <w:lang w:val="en-US" w:eastAsia="de-DE"/>
              </w:rPr>
            </w:pPr>
            <w:r w:rsidRPr="00AB5A38">
              <w:rPr>
                <w:rFonts w:ascii="Times New Roman" w:eastAsia="Times New Roman" w:hAnsi="Times New Roman" w:cs="Times New Roman"/>
                <w:b/>
                <w:color w:val="000000"/>
                <w:sz w:val="16"/>
                <w:szCs w:val="16"/>
                <w:lang w:val="en-US" w:eastAsia="de-DE"/>
              </w:rPr>
              <w:t>0.002</w:t>
            </w:r>
          </w:p>
        </w:tc>
      </w:tr>
      <w:tr w:rsidR="00AB19A6" w:rsidRPr="00641DEF" w14:paraId="75B21931" w14:textId="77777777" w:rsidTr="00136B38">
        <w:trPr>
          <w:trHeight w:val="63"/>
          <w:jc w:val="center"/>
        </w:trPr>
        <w:tc>
          <w:tcPr>
            <w:tcW w:w="1361" w:type="dxa"/>
            <w:shd w:val="clear" w:color="auto" w:fill="auto"/>
            <w:noWrap/>
            <w:vAlign w:val="center"/>
          </w:tcPr>
          <w:p w14:paraId="144630CA" w14:textId="77777777" w:rsidR="00AB19A6" w:rsidRPr="00AB5A38" w:rsidRDefault="00AB19A6" w:rsidP="0039403A">
            <w:pPr>
              <w:spacing w:after="0" w:line="240" w:lineRule="auto"/>
              <w:jc w:val="right"/>
              <w:rPr>
                <w:rFonts w:ascii="Times New Roman" w:eastAsia="Times New Roman" w:hAnsi="Times New Roman" w:cs="Times New Roman"/>
                <w:color w:val="000000"/>
                <w:sz w:val="16"/>
                <w:szCs w:val="16"/>
                <w:lang w:val="en-US" w:eastAsia="de-DE"/>
              </w:rPr>
            </w:pPr>
            <w:r w:rsidRPr="00AB5A38">
              <w:rPr>
                <w:rFonts w:ascii="Times New Roman" w:eastAsia="Times New Roman" w:hAnsi="Times New Roman" w:cs="Times New Roman"/>
                <w:color w:val="000000"/>
                <w:sz w:val="16"/>
                <w:szCs w:val="16"/>
                <w:lang w:val="en-US" w:eastAsia="de-DE"/>
              </w:rPr>
              <w:t>Day 13-15</w:t>
            </w:r>
          </w:p>
        </w:tc>
        <w:tc>
          <w:tcPr>
            <w:tcW w:w="964" w:type="dxa"/>
            <w:shd w:val="clear" w:color="auto" w:fill="auto"/>
            <w:noWrap/>
            <w:vAlign w:val="bottom"/>
          </w:tcPr>
          <w:p w14:paraId="63CA7838" w14:textId="77777777" w:rsidR="00AB19A6" w:rsidRPr="00AB5A38" w:rsidRDefault="00AB19A6" w:rsidP="0039403A">
            <w:pPr>
              <w:spacing w:after="0" w:line="240" w:lineRule="auto"/>
              <w:jc w:val="center"/>
              <w:rPr>
                <w:rFonts w:ascii="Times New Roman" w:eastAsia="Times New Roman" w:hAnsi="Times New Roman" w:cs="Times New Roman"/>
                <w:color w:val="000000"/>
                <w:sz w:val="16"/>
                <w:szCs w:val="16"/>
                <w:lang w:val="en-US" w:eastAsia="de-DE"/>
              </w:rPr>
            </w:pPr>
            <w:r w:rsidRPr="00AB5A38">
              <w:rPr>
                <w:rFonts w:ascii="Times New Roman" w:eastAsia="Times New Roman" w:hAnsi="Times New Roman" w:cs="Times New Roman"/>
                <w:color w:val="000000"/>
                <w:sz w:val="16"/>
                <w:szCs w:val="16"/>
                <w:lang w:val="en-US" w:eastAsia="de-DE"/>
              </w:rPr>
              <w:t>-0.396</w:t>
            </w:r>
          </w:p>
        </w:tc>
        <w:tc>
          <w:tcPr>
            <w:tcW w:w="907" w:type="dxa"/>
          </w:tcPr>
          <w:p w14:paraId="6972D714" w14:textId="77777777" w:rsidR="00AB19A6" w:rsidRPr="00AB5A38" w:rsidRDefault="00AB19A6" w:rsidP="0039403A">
            <w:pPr>
              <w:spacing w:after="0" w:line="240" w:lineRule="auto"/>
              <w:jc w:val="center"/>
              <w:rPr>
                <w:rFonts w:ascii="Times New Roman" w:eastAsia="Times New Roman" w:hAnsi="Times New Roman" w:cs="Times New Roman"/>
                <w:b/>
                <w:color w:val="000000"/>
                <w:sz w:val="16"/>
                <w:szCs w:val="16"/>
                <w:lang w:val="en-US" w:eastAsia="de-DE"/>
              </w:rPr>
            </w:pPr>
            <w:r w:rsidRPr="00AB5A38">
              <w:rPr>
                <w:rFonts w:ascii="Times New Roman" w:eastAsia="Times New Roman" w:hAnsi="Times New Roman" w:cs="Times New Roman"/>
                <w:b/>
                <w:color w:val="000000"/>
                <w:sz w:val="16"/>
                <w:szCs w:val="16"/>
                <w:lang w:val="en-US" w:eastAsia="de-DE"/>
              </w:rPr>
              <w:t>0.001</w:t>
            </w:r>
          </w:p>
        </w:tc>
      </w:tr>
      <w:tr w:rsidR="00AB19A6" w:rsidRPr="00641DEF" w14:paraId="27FA4F4A" w14:textId="77777777" w:rsidTr="00136B38">
        <w:trPr>
          <w:trHeight w:val="63"/>
          <w:jc w:val="center"/>
        </w:trPr>
        <w:tc>
          <w:tcPr>
            <w:tcW w:w="1361" w:type="dxa"/>
            <w:shd w:val="clear" w:color="auto" w:fill="auto"/>
            <w:noWrap/>
            <w:vAlign w:val="center"/>
          </w:tcPr>
          <w:p w14:paraId="4C7D6177" w14:textId="77777777" w:rsidR="00AB19A6" w:rsidRPr="00AB5A38" w:rsidRDefault="00AB19A6" w:rsidP="0039403A">
            <w:pPr>
              <w:spacing w:after="0" w:line="240" w:lineRule="auto"/>
              <w:jc w:val="right"/>
              <w:rPr>
                <w:rFonts w:ascii="Times New Roman" w:eastAsia="Times New Roman" w:hAnsi="Times New Roman" w:cs="Times New Roman"/>
                <w:color w:val="000000"/>
                <w:sz w:val="16"/>
                <w:szCs w:val="16"/>
                <w:lang w:val="en-US" w:eastAsia="de-DE"/>
              </w:rPr>
            </w:pPr>
            <w:r w:rsidRPr="00AB5A38">
              <w:rPr>
                <w:rFonts w:ascii="Times New Roman" w:eastAsia="Times New Roman" w:hAnsi="Times New Roman" w:cs="Times New Roman"/>
                <w:color w:val="000000"/>
                <w:sz w:val="16"/>
                <w:szCs w:val="16"/>
                <w:lang w:val="en-US" w:eastAsia="de-DE"/>
              </w:rPr>
              <w:t>Day 16-21</w:t>
            </w:r>
          </w:p>
        </w:tc>
        <w:tc>
          <w:tcPr>
            <w:tcW w:w="964" w:type="dxa"/>
            <w:shd w:val="clear" w:color="auto" w:fill="auto"/>
            <w:noWrap/>
            <w:vAlign w:val="bottom"/>
          </w:tcPr>
          <w:p w14:paraId="0110E508" w14:textId="77777777" w:rsidR="00AB19A6" w:rsidRPr="00AB5A38" w:rsidRDefault="00AB19A6" w:rsidP="0039403A">
            <w:pPr>
              <w:spacing w:after="0" w:line="240" w:lineRule="auto"/>
              <w:jc w:val="center"/>
              <w:rPr>
                <w:rFonts w:ascii="Times New Roman" w:eastAsia="Times New Roman" w:hAnsi="Times New Roman" w:cs="Times New Roman"/>
                <w:color w:val="000000"/>
                <w:sz w:val="16"/>
                <w:szCs w:val="16"/>
                <w:lang w:val="en-US" w:eastAsia="de-DE"/>
              </w:rPr>
            </w:pPr>
            <w:r w:rsidRPr="00AB5A38">
              <w:rPr>
                <w:rFonts w:ascii="Times New Roman" w:eastAsia="Times New Roman" w:hAnsi="Times New Roman" w:cs="Times New Roman"/>
                <w:color w:val="000000"/>
                <w:sz w:val="16"/>
                <w:szCs w:val="16"/>
                <w:lang w:val="en-US" w:eastAsia="de-DE"/>
              </w:rPr>
              <w:t>-0.388</w:t>
            </w:r>
          </w:p>
        </w:tc>
        <w:tc>
          <w:tcPr>
            <w:tcW w:w="907" w:type="dxa"/>
          </w:tcPr>
          <w:p w14:paraId="002F0C5F" w14:textId="77777777" w:rsidR="00AB19A6" w:rsidRPr="00AB5A38" w:rsidRDefault="00AB19A6" w:rsidP="0039403A">
            <w:pPr>
              <w:spacing w:after="0" w:line="240" w:lineRule="auto"/>
              <w:jc w:val="center"/>
              <w:rPr>
                <w:rFonts w:ascii="Times New Roman" w:eastAsia="Times New Roman" w:hAnsi="Times New Roman" w:cs="Times New Roman"/>
                <w:b/>
                <w:color w:val="000000"/>
                <w:sz w:val="16"/>
                <w:szCs w:val="16"/>
                <w:lang w:val="en-US" w:eastAsia="de-DE"/>
              </w:rPr>
            </w:pPr>
            <w:r w:rsidRPr="00AB5A38">
              <w:rPr>
                <w:rFonts w:ascii="Times New Roman" w:eastAsia="Times New Roman" w:hAnsi="Times New Roman" w:cs="Times New Roman"/>
                <w:b/>
                <w:color w:val="000000"/>
                <w:sz w:val="16"/>
                <w:szCs w:val="16"/>
                <w:lang w:val="en-US" w:eastAsia="de-DE"/>
              </w:rPr>
              <w:t>0.002</w:t>
            </w:r>
          </w:p>
        </w:tc>
      </w:tr>
      <w:tr w:rsidR="00AB19A6" w:rsidRPr="00AC25E6" w14:paraId="636C2EF7" w14:textId="77777777" w:rsidTr="00136B38">
        <w:trPr>
          <w:trHeight w:val="63"/>
          <w:jc w:val="center"/>
        </w:trPr>
        <w:tc>
          <w:tcPr>
            <w:tcW w:w="1361" w:type="dxa"/>
            <w:shd w:val="clear" w:color="auto" w:fill="auto"/>
            <w:noWrap/>
            <w:vAlign w:val="center"/>
          </w:tcPr>
          <w:p w14:paraId="48C08064" w14:textId="5EFE812B" w:rsidR="00AB19A6" w:rsidRPr="00AB5A38" w:rsidRDefault="00AB19A6" w:rsidP="0039403A">
            <w:pPr>
              <w:spacing w:after="0" w:line="240" w:lineRule="auto"/>
              <w:rPr>
                <w:rFonts w:ascii="Times New Roman" w:eastAsia="Times New Roman" w:hAnsi="Times New Roman" w:cs="Times New Roman"/>
                <w:b/>
                <w:color w:val="000000"/>
                <w:sz w:val="16"/>
                <w:szCs w:val="16"/>
                <w:u w:val="single"/>
                <w:lang w:eastAsia="de-DE"/>
              </w:rPr>
            </w:pPr>
            <w:r w:rsidRPr="00AB5A38">
              <w:rPr>
                <w:rFonts w:ascii="Times New Roman" w:eastAsia="Times New Roman" w:hAnsi="Times New Roman" w:cs="Times New Roman"/>
                <w:b/>
                <w:color w:val="000000"/>
                <w:sz w:val="16"/>
                <w:szCs w:val="16"/>
                <w:u w:val="single"/>
                <w:lang w:eastAsia="de-DE"/>
              </w:rPr>
              <w:t xml:space="preserve">HH </w:t>
            </w:r>
            <w:proofErr w:type="spellStart"/>
            <w:r w:rsidRPr="00AB5A38">
              <w:rPr>
                <w:rFonts w:ascii="Times New Roman" w:eastAsia="Times New Roman" w:hAnsi="Times New Roman" w:cs="Times New Roman"/>
                <w:b/>
                <w:color w:val="000000"/>
                <w:sz w:val="16"/>
                <w:szCs w:val="16"/>
                <w:u w:val="single"/>
                <w:lang w:eastAsia="de-DE"/>
              </w:rPr>
              <w:t>vs</w:t>
            </w:r>
            <w:proofErr w:type="spellEnd"/>
            <w:r w:rsidRPr="00AB5A38">
              <w:rPr>
                <w:rFonts w:ascii="Times New Roman" w:eastAsia="Times New Roman" w:hAnsi="Times New Roman" w:cs="Times New Roman"/>
                <w:b/>
                <w:color w:val="000000"/>
                <w:sz w:val="16"/>
                <w:szCs w:val="16"/>
                <w:u w:val="single"/>
                <w:lang w:eastAsia="de-DE"/>
              </w:rPr>
              <w:t xml:space="preserve"> </w:t>
            </w:r>
            <w:r w:rsidR="00120035">
              <w:rPr>
                <w:rFonts w:ascii="Times New Roman" w:eastAsia="Times New Roman" w:hAnsi="Times New Roman" w:cs="Times New Roman"/>
                <w:b/>
                <w:color w:val="000000"/>
                <w:sz w:val="16"/>
                <w:szCs w:val="16"/>
                <w:u w:val="single"/>
                <w:lang w:eastAsia="de-DE"/>
              </w:rPr>
              <w:t>c</w:t>
            </w:r>
            <w:r w:rsidRPr="00AB5A38">
              <w:rPr>
                <w:rFonts w:ascii="Times New Roman" w:eastAsia="Times New Roman" w:hAnsi="Times New Roman" w:cs="Times New Roman"/>
                <w:b/>
                <w:color w:val="000000"/>
                <w:sz w:val="16"/>
                <w:szCs w:val="16"/>
                <w:u w:val="single"/>
                <w:lang w:eastAsia="de-DE"/>
              </w:rPr>
              <w:t>DPP3</w:t>
            </w:r>
          </w:p>
        </w:tc>
        <w:tc>
          <w:tcPr>
            <w:tcW w:w="964" w:type="dxa"/>
            <w:shd w:val="clear" w:color="auto" w:fill="auto"/>
            <w:noWrap/>
            <w:vAlign w:val="bottom"/>
          </w:tcPr>
          <w:p w14:paraId="1C0A5ABE" w14:textId="77777777" w:rsidR="00AB19A6" w:rsidRPr="00AB5A38" w:rsidRDefault="00AB19A6" w:rsidP="0039403A">
            <w:pPr>
              <w:spacing w:after="0" w:line="240" w:lineRule="auto"/>
              <w:jc w:val="center"/>
              <w:rPr>
                <w:rFonts w:ascii="Times New Roman" w:eastAsia="Times New Roman" w:hAnsi="Times New Roman" w:cs="Times New Roman"/>
                <w:color w:val="000000"/>
                <w:sz w:val="16"/>
                <w:szCs w:val="16"/>
                <w:lang w:val="en-US" w:eastAsia="de-DE"/>
              </w:rPr>
            </w:pPr>
          </w:p>
        </w:tc>
        <w:tc>
          <w:tcPr>
            <w:tcW w:w="907" w:type="dxa"/>
          </w:tcPr>
          <w:p w14:paraId="5447D967" w14:textId="77777777" w:rsidR="00AB19A6" w:rsidRPr="00AB5A38" w:rsidRDefault="00AB19A6" w:rsidP="0039403A">
            <w:pPr>
              <w:spacing w:after="0" w:line="240" w:lineRule="auto"/>
              <w:jc w:val="center"/>
              <w:rPr>
                <w:rFonts w:ascii="Times New Roman" w:eastAsia="Times New Roman" w:hAnsi="Times New Roman" w:cs="Times New Roman"/>
                <w:color w:val="000000"/>
                <w:sz w:val="16"/>
                <w:szCs w:val="16"/>
                <w:lang w:val="en-US" w:eastAsia="de-DE"/>
              </w:rPr>
            </w:pPr>
          </w:p>
        </w:tc>
      </w:tr>
      <w:tr w:rsidR="00AB19A6" w:rsidRPr="00AC25E6" w14:paraId="2B212BDE" w14:textId="77777777" w:rsidTr="00136B38">
        <w:trPr>
          <w:trHeight w:val="63"/>
          <w:jc w:val="center"/>
        </w:trPr>
        <w:tc>
          <w:tcPr>
            <w:tcW w:w="1361" w:type="dxa"/>
            <w:shd w:val="clear" w:color="auto" w:fill="auto"/>
            <w:noWrap/>
            <w:vAlign w:val="center"/>
          </w:tcPr>
          <w:p w14:paraId="48529ECF" w14:textId="77777777" w:rsidR="00AB19A6" w:rsidRPr="00AB5A38" w:rsidRDefault="00AB19A6" w:rsidP="0039403A">
            <w:pPr>
              <w:spacing w:after="0" w:line="240" w:lineRule="auto"/>
              <w:jc w:val="right"/>
              <w:rPr>
                <w:rFonts w:ascii="Times New Roman" w:eastAsia="Times New Roman" w:hAnsi="Times New Roman" w:cs="Times New Roman"/>
                <w:b/>
                <w:bCs/>
                <w:color w:val="000000"/>
                <w:sz w:val="16"/>
                <w:szCs w:val="16"/>
                <w:lang w:val="en-US" w:eastAsia="de-DE"/>
              </w:rPr>
            </w:pPr>
            <w:r w:rsidRPr="00AB5A38">
              <w:rPr>
                <w:rFonts w:ascii="Times New Roman" w:eastAsia="Times New Roman" w:hAnsi="Times New Roman" w:cs="Times New Roman"/>
                <w:bCs/>
                <w:color w:val="000000"/>
                <w:sz w:val="16"/>
                <w:szCs w:val="16"/>
                <w:lang w:val="en-US" w:eastAsia="de-DE"/>
              </w:rPr>
              <w:t>Day 1-4</w:t>
            </w:r>
          </w:p>
        </w:tc>
        <w:tc>
          <w:tcPr>
            <w:tcW w:w="964" w:type="dxa"/>
            <w:shd w:val="clear" w:color="auto" w:fill="auto"/>
            <w:noWrap/>
            <w:vAlign w:val="bottom"/>
          </w:tcPr>
          <w:p w14:paraId="24A34650" w14:textId="77777777" w:rsidR="00AB19A6" w:rsidRPr="00AB5A38" w:rsidRDefault="00AB19A6" w:rsidP="0039403A">
            <w:pPr>
              <w:spacing w:after="0" w:line="240" w:lineRule="auto"/>
              <w:jc w:val="center"/>
              <w:rPr>
                <w:rFonts w:ascii="Times New Roman" w:eastAsia="Times New Roman" w:hAnsi="Times New Roman" w:cs="Times New Roman"/>
                <w:color w:val="000000"/>
                <w:sz w:val="16"/>
                <w:szCs w:val="16"/>
                <w:lang w:val="en-US" w:eastAsia="de-DE"/>
              </w:rPr>
            </w:pPr>
            <w:r w:rsidRPr="00AB5A38">
              <w:rPr>
                <w:rFonts w:ascii="Times New Roman" w:eastAsia="Times New Roman" w:hAnsi="Times New Roman" w:cs="Times New Roman"/>
                <w:color w:val="000000"/>
                <w:sz w:val="16"/>
                <w:szCs w:val="16"/>
                <w:lang w:val="en-US" w:eastAsia="de-DE"/>
              </w:rPr>
              <w:t>0.175</w:t>
            </w:r>
          </w:p>
        </w:tc>
        <w:tc>
          <w:tcPr>
            <w:tcW w:w="907" w:type="dxa"/>
          </w:tcPr>
          <w:p w14:paraId="26CD401C" w14:textId="77777777" w:rsidR="00AB19A6" w:rsidRPr="00AB5A38" w:rsidRDefault="00AB19A6" w:rsidP="0039403A">
            <w:pPr>
              <w:spacing w:after="0" w:line="240" w:lineRule="auto"/>
              <w:jc w:val="center"/>
              <w:rPr>
                <w:rFonts w:ascii="Times New Roman" w:eastAsia="Times New Roman" w:hAnsi="Times New Roman" w:cs="Times New Roman"/>
                <w:color w:val="000000"/>
                <w:sz w:val="16"/>
                <w:szCs w:val="16"/>
                <w:lang w:val="en-US" w:eastAsia="de-DE"/>
              </w:rPr>
            </w:pPr>
            <w:r w:rsidRPr="00AB5A38">
              <w:rPr>
                <w:rFonts w:ascii="Times New Roman" w:eastAsia="Times New Roman" w:hAnsi="Times New Roman" w:cs="Times New Roman"/>
                <w:color w:val="000000"/>
                <w:sz w:val="16"/>
                <w:szCs w:val="16"/>
                <w:lang w:val="en-US" w:eastAsia="de-DE"/>
              </w:rPr>
              <w:t>0.114</w:t>
            </w:r>
          </w:p>
        </w:tc>
      </w:tr>
      <w:tr w:rsidR="00AB19A6" w:rsidRPr="00AC25E6" w14:paraId="6A6FA8D8" w14:textId="77777777" w:rsidTr="00136B38">
        <w:trPr>
          <w:trHeight w:val="63"/>
          <w:jc w:val="center"/>
        </w:trPr>
        <w:tc>
          <w:tcPr>
            <w:tcW w:w="1361" w:type="dxa"/>
            <w:shd w:val="clear" w:color="auto" w:fill="auto"/>
            <w:noWrap/>
            <w:vAlign w:val="center"/>
          </w:tcPr>
          <w:p w14:paraId="329CB83E" w14:textId="77777777" w:rsidR="00AB19A6" w:rsidRPr="00AB5A38" w:rsidRDefault="00AB19A6" w:rsidP="0039403A">
            <w:pPr>
              <w:spacing w:after="0" w:line="240" w:lineRule="auto"/>
              <w:jc w:val="right"/>
              <w:rPr>
                <w:rFonts w:ascii="Times New Roman" w:eastAsia="Times New Roman" w:hAnsi="Times New Roman" w:cs="Times New Roman"/>
                <w:b/>
                <w:bCs/>
                <w:color w:val="000000"/>
                <w:sz w:val="16"/>
                <w:szCs w:val="16"/>
                <w:lang w:val="en-US" w:eastAsia="de-DE"/>
              </w:rPr>
            </w:pPr>
            <w:r w:rsidRPr="00AB5A38">
              <w:rPr>
                <w:rFonts w:ascii="Times New Roman" w:eastAsia="Times New Roman" w:hAnsi="Times New Roman" w:cs="Times New Roman"/>
                <w:bCs/>
                <w:color w:val="000000"/>
                <w:sz w:val="16"/>
                <w:szCs w:val="16"/>
                <w:lang w:val="en-US" w:eastAsia="de-DE"/>
              </w:rPr>
              <w:t>Day 5-8</w:t>
            </w:r>
          </w:p>
        </w:tc>
        <w:tc>
          <w:tcPr>
            <w:tcW w:w="964" w:type="dxa"/>
            <w:shd w:val="clear" w:color="auto" w:fill="auto"/>
            <w:noWrap/>
            <w:vAlign w:val="bottom"/>
          </w:tcPr>
          <w:p w14:paraId="4154FF23" w14:textId="77777777" w:rsidR="00AB19A6" w:rsidRPr="00AB5A38" w:rsidRDefault="00AB19A6" w:rsidP="0039403A">
            <w:pPr>
              <w:spacing w:after="0" w:line="240" w:lineRule="auto"/>
              <w:jc w:val="center"/>
              <w:rPr>
                <w:rFonts w:ascii="Times New Roman" w:eastAsia="Times New Roman" w:hAnsi="Times New Roman" w:cs="Times New Roman"/>
                <w:color w:val="000000"/>
                <w:sz w:val="16"/>
                <w:szCs w:val="16"/>
                <w:lang w:val="en-US" w:eastAsia="de-DE"/>
              </w:rPr>
            </w:pPr>
            <w:r w:rsidRPr="00AB5A38">
              <w:rPr>
                <w:rFonts w:ascii="Times New Roman" w:eastAsia="Times New Roman" w:hAnsi="Times New Roman" w:cs="Times New Roman"/>
                <w:color w:val="000000"/>
                <w:sz w:val="16"/>
                <w:szCs w:val="16"/>
                <w:lang w:val="en-US" w:eastAsia="de-DE"/>
              </w:rPr>
              <w:t>0.369</w:t>
            </w:r>
          </w:p>
        </w:tc>
        <w:tc>
          <w:tcPr>
            <w:tcW w:w="907" w:type="dxa"/>
          </w:tcPr>
          <w:p w14:paraId="74CCA8AB" w14:textId="77777777" w:rsidR="00AB19A6" w:rsidRPr="00AB5A38" w:rsidRDefault="00AB19A6" w:rsidP="0039403A">
            <w:pPr>
              <w:spacing w:after="0" w:line="240" w:lineRule="auto"/>
              <w:jc w:val="center"/>
              <w:rPr>
                <w:rFonts w:ascii="Times New Roman" w:eastAsia="Times New Roman" w:hAnsi="Times New Roman" w:cs="Times New Roman"/>
                <w:b/>
                <w:color w:val="000000"/>
                <w:sz w:val="16"/>
                <w:szCs w:val="16"/>
                <w:lang w:val="en-US" w:eastAsia="de-DE"/>
              </w:rPr>
            </w:pPr>
            <w:r w:rsidRPr="00AB5A38">
              <w:rPr>
                <w:rFonts w:ascii="Times New Roman" w:eastAsia="Times New Roman" w:hAnsi="Times New Roman" w:cs="Times New Roman"/>
                <w:b/>
                <w:color w:val="000000"/>
                <w:sz w:val="16"/>
                <w:szCs w:val="16"/>
                <w:lang w:val="en-US" w:eastAsia="de-DE"/>
              </w:rPr>
              <w:t>&lt;0.001</w:t>
            </w:r>
          </w:p>
        </w:tc>
      </w:tr>
      <w:tr w:rsidR="00AB19A6" w:rsidRPr="00AC25E6" w14:paraId="2314A373" w14:textId="77777777" w:rsidTr="00136B38">
        <w:trPr>
          <w:trHeight w:val="63"/>
          <w:jc w:val="center"/>
        </w:trPr>
        <w:tc>
          <w:tcPr>
            <w:tcW w:w="1361" w:type="dxa"/>
            <w:shd w:val="clear" w:color="auto" w:fill="auto"/>
            <w:noWrap/>
            <w:vAlign w:val="center"/>
          </w:tcPr>
          <w:p w14:paraId="58AD6911" w14:textId="77777777" w:rsidR="00AB19A6" w:rsidRPr="00AB5A38" w:rsidRDefault="00AB19A6" w:rsidP="0039403A">
            <w:pPr>
              <w:spacing w:after="0" w:line="240" w:lineRule="auto"/>
              <w:jc w:val="right"/>
              <w:rPr>
                <w:rFonts w:ascii="Times New Roman" w:eastAsia="Times New Roman" w:hAnsi="Times New Roman" w:cs="Times New Roman"/>
                <w:color w:val="000000"/>
                <w:sz w:val="16"/>
                <w:szCs w:val="16"/>
                <w:lang w:val="en-US" w:eastAsia="de-DE"/>
              </w:rPr>
            </w:pPr>
            <w:r w:rsidRPr="00AB5A38">
              <w:rPr>
                <w:rFonts w:ascii="Times New Roman" w:eastAsia="Times New Roman" w:hAnsi="Times New Roman" w:cs="Times New Roman"/>
                <w:color w:val="000000"/>
                <w:sz w:val="16"/>
                <w:szCs w:val="16"/>
                <w:lang w:val="en-US" w:eastAsia="de-DE"/>
              </w:rPr>
              <w:t>Day 9-12</w:t>
            </w:r>
          </w:p>
        </w:tc>
        <w:tc>
          <w:tcPr>
            <w:tcW w:w="964" w:type="dxa"/>
            <w:shd w:val="clear" w:color="auto" w:fill="auto"/>
            <w:noWrap/>
            <w:vAlign w:val="bottom"/>
          </w:tcPr>
          <w:p w14:paraId="0FA4A205" w14:textId="77777777" w:rsidR="00AB19A6" w:rsidRPr="00AB5A38" w:rsidRDefault="00AB19A6" w:rsidP="0039403A">
            <w:pPr>
              <w:spacing w:after="0" w:line="240" w:lineRule="auto"/>
              <w:jc w:val="center"/>
              <w:rPr>
                <w:rFonts w:ascii="Times New Roman" w:eastAsia="Times New Roman" w:hAnsi="Times New Roman" w:cs="Times New Roman"/>
                <w:color w:val="000000"/>
                <w:sz w:val="16"/>
                <w:szCs w:val="16"/>
                <w:lang w:val="en-US" w:eastAsia="de-DE"/>
              </w:rPr>
            </w:pPr>
            <w:r w:rsidRPr="00AB5A38">
              <w:rPr>
                <w:rFonts w:ascii="Times New Roman" w:eastAsia="Times New Roman" w:hAnsi="Times New Roman" w:cs="Times New Roman"/>
                <w:color w:val="000000"/>
                <w:sz w:val="16"/>
                <w:szCs w:val="16"/>
                <w:lang w:val="en-US" w:eastAsia="de-DE"/>
              </w:rPr>
              <w:t>0.192</w:t>
            </w:r>
          </w:p>
        </w:tc>
        <w:tc>
          <w:tcPr>
            <w:tcW w:w="907" w:type="dxa"/>
          </w:tcPr>
          <w:p w14:paraId="39E8626C" w14:textId="77777777" w:rsidR="00AB19A6" w:rsidRPr="00AB5A38" w:rsidRDefault="00AB19A6" w:rsidP="0039403A">
            <w:pPr>
              <w:spacing w:after="0" w:line="240" w:lineRule="auto"/>
              <w:jc w:val="center"/>
              <w:rPr>
                <w:rFonts w:ascii="Times New Roman" w:eastAsia="Times New Roman" w:hAnsi="Times New Roman" w:cs="Times New Roman"/>
                <w:color w:val="000000"/>
                <w:sz w:val="16"/>
                <w:szCs w:val="16"/>
                <w:lang w:val="en-US" w:eastAsia="de-DE"/>
              </w:rPr>
            </w:pPr>
            <w:r w:rsidRPr="00AB5A38">
              <w:rPr>
                <w:rFonts w:ascii="Times New Roman" w:eastAsia="Times New Roman" w:hAnsi="Times New Roman" w:cs="Times New Roman"/>
                <w:color w:val="000000"/>
                <w:sz w:val="16"/>
                <w:szCs w:val="16"/>
                <w:lang w:val="en-US" w:eastAsia="de-DE"/>
              </w:rPr>
              <w:t>0.067</w:t>
            </w:r>
          </w:p>
        </w:tc>
      </w:tr>
      <w:tr w:rsidR="00AB19A6" w:rsidRPr="00AC25E6" w14:paraId="66CE4B0D" w14:textId="77777777" w:rsidTr="00136B38">
        <w:trPr>
          <w:trHeight w:val="63"/>
          <w:jc w:val="center"/>
        </w:trPr>
        <w:tc>
          <w:tcPr>
            <w:tcW w:w="1361" w:type="dxa"/>
            <w:shd w:val="clear" w:color="auto" w:fill="auto"/>
            <w:noWrap/>
            <w:vAlign w:val="center"/>
          </w:tcPr>
          <w:p w14:paraId="69CF40ED" w14:textId="77777777" w:rsidR="00AB19A6" w:rsidRPr="00AB5A38" w:rsidRDefault="00AB19A6" w:rsidP="0039403A">
            <w:pPr>
              <w:spacing w:after="0" w:line="240" w:lineRule="auto"/>
              <w:jc w:val="right"/>
              <w:rPr>
                <w:rFonts w:ascii="Times New Roman" w:eastAsia="Times New Roman" w:hAnsi="Times New Roman" w:cs="Times New Roman"/>
                <w:color w:val="000000"/>
                <w:sz w:val="16"/>
                <w:szCs w:val="16"/>
                <w:lang w:val="en-US" w:eastAsia="de-DE"/>
              </w:rPr>
            </w:pPr>
            <w:r w:rsidRPr="00AB5A38">
              <w:rPr>
                <w:rFonts w:ascii="Times New Roman" w:eastAsia="Times New Roman" w:hAnsi="Times New Roman" w:cs="Times New Roman"/>
                <w:color w:val="000000"/>
                <w:sz w:val="16"/>
                <w:szCs w:val="16"/>
                <w:lang w:val="en-US" w:eastAsia="de-DE"/>
              </w:rPr>
              <w:t>Day 13-15</w:t>
            </w:r>
          </w:p>
        </w:tc>
        <w:tc>
          <w:tcPr>
            <w:tcW w:w="964" w:type="dxa"/>
            <w:shd w:val="clear" w:color="auto" w:fill="auto"/>
            <w:noWrap/>
            <w:vAlign w:val="bottom"/>
          </w:tcPr>
          <w:p w14:paraId="4EFAAF3F" w14:textId="77777777" w:rsidR="00AB19A6" w:rsidRPr="00AB5A38" w:rsidRDefault="00AB19A6" w:rsidP="0039403A">
            <w:pPr>
              <w:spacing w:after="0" w:line="240" w:lineRule="auto"/>
              <w:jc w:val="center"/>
              <w:rPr>
                <w:rFonts w:ascii="Times New Roman" w:eastAsia="Times New Roman" w:hAnsi="Times New Roman" w:cs="Times New Roman"/>
                <w:color w:val="000000"/>
                <w:sz w:val="16"/>
                <w:szCs w:val="16"/>
                <w:lang w:val="en-US" w:eastAsia="de-DE"/>
              </w:rPr>
            </w:pPr>
            <w:r w:rsidRPr="00AB5A38">
              <w:rPr>
                <w:rFonts w:ascii="Times New Roman" w:eastAsia="Times New Roman" w:hAnsi="Times New Roman" w:cs="Times New Roman"/>
                <w:color w:val="000000"/>
                <w:sz w:val="16"/>
                <w:szCs w:val="16"/>
                <w:lang w:val="en-US" w:eastAsia="de-DE"/>
              </w:rPr>
              <w:t>0.268</w:t>
            </w:r>
          </w:p>
        </w:tc>
        <w:tc>
          <w:tcPr>
            <w:tcW w:w="907" w:type="dxa"/>
          </w:tcPr>
          <w:p w14:paraId="0221D3FD" w14:textId="77777777" w:rsidR="00AB19A6" w:rsidRPr="00AB5A38" w:rsidRDefault="00AB19A6" w:rsidP="0039403A">
            <w:pPr>
              <w:spacing w:after="0" w:line="240" w:lineRule="auto"/>
              <w:jc w:val="center"/>
              <w:rPr>
                <w:rFonts w:ascii="Times New Roman" w:eastAsia="Times New Roman" w:hAnsi="Times New Roman" w:cs="Times New Roman"/>
                <w:b/>
                <w:color w:val="000000"/>
                <w:sz w:val="16"/>
                <w:szCs w:val="16"/>
                <w:lang w:val="en-US" w:eastAsia="de-DE"/>
              </w:rPr>
            </w:pPr>
            <w:r w:rsidRPr="00AB5A38">
              <w:rPr>
                <w:rFonts w:ascii="Times New Roman" w:eastAsia="Times New Roman" w:hAnsi="Times New Roman" w:cs="Times New Roman"/>
                <w:b/>
                <w:color w:val="000000"/>
                <w:sz w:val="16"/>
                <w:szCs w:val="16"/>
                <w:lang w:val="en-US" w:eastAsia="de-DE"/>
              </w:rPr>
              <w:t>0.029</w:t>
            </w:r>
          </w:p>
        </w:tc>
      </w:tr>
      <w:tr w:rsidR="00AB19A6" w:rsidRPr="00AC25E6" w14:paraId="1E79D4CC" w14:textId="77777777" w:rsidTr="00136B38">
        <w:trPr>
          <w:trHeight w:val="63"/>
          <w:jc w:val="center"/>
        </w:trPr>
        <w:tc>
          <w:tcPr>
            <w:tcW w:w="1361" w:type="dxa"/>
            <w:shd w:val="clear" w:color="auto" w:fill="auto"/>
            <w:noWrap/>
            <w:vAlign w:val="center"/>
          </w:tcPr>
          <w:p w14:paraId="13223022" w14:textId="77777777" w:rsidR="00AB19A6" w:rsidRPr="00AB5A38" w:rsidRDefault="00AB19A6" w:rsidP="0039403A">
            <w:pPr>
              <w:spacing w:after="0" w:line="240" w:lineRule="auto"/>
              <w:jc w:val="right"/>
              <w:rPr>
                <w:rFonts w:ascii="Times New Roman" w:eastAsia="Times New Roman" w:hAnsi="Times New Roman" w:cs="Times New Roman"/>
                <w:color w:val="000000"/>
                <w:sz w:val="16"/>
                <w:szCs w:val="16"/>
                <w:lang w:val="en-US" w:eastAsia="de-DE"/>
              </w:rPr>
            </w:pPr>
            <w:r w:rsidRPr="00AB5A38">
              <w:rPr>
                <w:rFonts w:ascii="Times New Roman" w:eastAsia="Times New Roman" w:hAnsi="Times New Roman" w:cs="Times New Roman"/>
                <w:color w:val="000000"/>
                <w:sz w:val="16"/>
                <w:szCs w:val="16"/>
                <w:lang w:val="en-US" w:eastAsia="de-DE"/>
              </w:rPr>
              <w:t>Day 16-21</w:t>
            </w:r>
          </w:p>
        </w:tc>
        <w:tc>
          <w:tcPr>
            <w:tcW w:w="964" w:type="dxa"/>
            <w:shd w:val="clear" w:color="auto" w:fill="auto"/>
            <w:noWrap/>
            <w:vAlign w:val="bottom"/>
          </w:tcPr>
          <w:p w14:paraId="219D3CE1" w14:textId="77777777" w:rsidR="00AB19A6" w:rsidRPr="00AB5A38" w:rsidRDefault="00AB19A6" w:rsidP="0039403A">
            <w:pPr>
              <w:spacing w:after="0" w:line="240" w:lineRule="auto"/>
              <w:jc w:val="center"/>
              <w:rPr>
                <w:rFonts w:ascii="Times New Roman" w:eastAsia="Times New Roman" w:hAnsi="Times New Roman" w:cs="Times New Roman"/>
                <w:color w:val="000000"/>
                <w:sz w:val="16"/>
                <w:szCs w:val="16"/>
                <w:lang w:val="en-US" w:eastAsia="de-DE"/>
              </w:rPr>
            </w:pPr>
            <w:r w:rsidRPr="00AB5A38">
              <w:rPr>
                <w:rFonts w:ascii="Times New Roman" w:eastAsia="Times New Roman" w:hAnsi="Times New Roman" w:cs="Times New Roman"/>
                <w:color w:val="000000"/>
                <w:sz w:val="16"/>
                <w:szCs w:val="16"/>
                <w:lang w:val="en-US" w:eastAsia="de-DE"/>
              </w:rPr>
              <w:t>0.285</w:t>
            </w:r>
          </w:p>
        </w:tc>
        <w:tc>
          <w:tcPr>
            <w:tcW w:w="907" w:type="dxa"/>
          </w:tcPr>
          <w:p w14:paraId="283543E1" w14:textId="77777777" w:rsidR="00AB19A6" w:rsidRPr="00AB5A38" w:rsidRDefault="00AB19A6" w:rsidP="0039403A">
            <w:pPr>
              <w:spacing w:after="0" w:line="240" w:lineRule="auto"/>
              <w:jc w:val="center"/>
              <w:rPr>
                <w:rFonts w:ascii="Times New Roman" w:eastAsia="Times New Roman" w:hAnsi="Times New Roman" w:cs="Times New Roman"/>
                <w:b/>
                <w:color w:val="000000"/>
                <w:sz w:val="16"/>
                <w:szCs w:val="16"/>
                <w:lang w:val="en-US" w:eastAsia="de-DE"/>
              </w:rPr>
            </w:pPr>
            <w:r w:rsidRPr="00AB5A38">
              <w:rPr>
                <w:rFonts w:ascii="Times New Roman" w:eastAsia="Times New Roman" w:hAnsi="Times New Roman" w:cs="Times New Roman"/>
                <w:b/>
                <w:color w:val="000000"/>
                <w:sz w:val="16"/>
                <w:szCs w:val="16"/>
                <w:lang w:val="en-US" w:eastAsia="de-DE"/>
              </w:rPr>
              <w:t>0.019</w:t>
            </w:r>
          </w:p>
        </w:tc>
      </w:tr>
      <w:tr w:rsidR="00AB19A6" w:rsidRPr="00AC25E6" w14:paraId="7510A21C" w14:textId="77777777" w:rsidTr="00136B38">
        <w:trPr>
          <w:trHeight w:val="63"/>
          <w:jc w:val="center"/>
        </w:trPr>
        <w:tc>
          <w:tcPr>
            <w:tcW w:w="1361" w:type="dxa"/>
            <w:shd w:val="clear" w:color="auto" w:fill="auto"/>
            <w:noWrap/>
            <w:vAlign w:val="center"/>
          </w:tcPr>
          <w:p w14:paraId="42E56994" w14:textId="64AE2B88" w:rsidR="00AB19A6" w:rsidRPr="00AB5A38" w:rsidRDefault="00AB19A6" w:rsidP="0039403A">
            <w:pPr>
              <w:spacing w:after="0" w:line="240" w:lineRule="auto"/>
              <w:rPr>
                <w:rFonts w:ascii="Times New Roman" w:eastAsia="Times New Roman" w:hAnsi="Times New Roman" w:cs="Times New Roman"/>
                <w:b/>
                <w:color w:val="000000"/>
                <w:sz w:val="16"/>
                <w:szCs w:val="16"/>
                <w:u w:val="single"/>
                <w:lang w:eastAsia="de-DE"/>
              </w:rPr>
            </w:pPr>
            <w:proofErr w:type="spellStart"/>
            <w:r w:rsidRPr="00AB5A38">
              <w:rPr>
                <w:rFonts w:ascii="Times New Roman" w:eastAsia="Times New Roman" w:hAnsi="Times New Roman" w:cs="Times New Roman"/>
                <w:b/>
                <w:color w:val="000000"/>
                <w:sz w:val="16"/>
                <w:szCs w:val="16"/>
                <w:u w:val="single"/>
                <w:lang w:eastAsia="de-DE"/>
              </w:rPr>
              <w:t>mFS</w:t>
            </w:r>
            <w:proofErr w:type="spellEnd"/>
            <w:r w:rsidRPr="00AB5A38">
              <w:rPr>
                <w:rFonts w:ascii="Times New Roman" w:eastAsia="Times New Roman" w:hAnsi="Times New Roman" w:cs="Times New Roman"/>
                <w:b/>
                <w:color w:val="000000"/>
                <w:sz w:val="16"/>
                <w:szCs w:val="16"/>
                <w:u w:val="single"/>
                <w:lang w:eastAsia="de-DE"/>
              </w:rPr>
              <w:t xml:space="preserve"> </w:t>
            </w:r>
            <w:proofErr w:type="spellStart"/>
            <w:r w:rsidRPr="00AB5A38">
              <w:rPr>
                <w:rFonts w:ascii="Times New Roman" w:eastAsia="Times New Roman" w:hAnsi="Times New Roman" w:cs="Times New Roman"/>
                <w:b/>
                <w:color w:val="000000"/>
                <w:sz w:val="16"/>
                <w:szCs w:val="16"/>
                <w:u w:val="single"/>
                <w:lang w:eastAsia="de-DE"/>
              </w:rPr>
              <w:t>vs</w:t>
            </w:r>
            <w:proofErr w:type="spellEnd"/>
            <w:r w:rsidRPr="00AB5A38">
              <w:rPr>
                <w:rFonts w:ascii="Times New Roman" w:eastAsia="Times New Roman" w:hAnsi="Times New Roman" w:cs="Times New Roman"/>
                <w:b/>
                <w:color w:val="000000"/>
                <w:sz w:val="16"/>
                <w:szCs w:val="16"/>
                <w:u w:val="single"/>
                <w:lang w:eastAsia="de-DE"/>
              </w:rPr>
              <w:t xml:space="preserve"> </w:t>
            </w:r>
            <w:r w:rsidR="00120035">
              <w:rPr>
                <w:rFonts w:ascii="Times New Roman" w:eastAsia="Times New Roman" w:hAnsi="Times New Roman" w:cs="Times New Roman"/>
                <w:b/>
                <w:color w:val="000000"/>
                <w:sz w:val="16"/>
                <w:szCs w:val="16"/>
                <w:u w:val="single"/>
                <w:lang w:eastAsia="de-DE"/>
              </w:rPr>
              <w:t>c</w:t>
            </w:r>
            <w:r w:rsidRPr="00AB5A38">
              <w:rPr>
                <w:rFonts w:ascii="Times New Roman" w:eastAsia="Times New Roman" w:hAnsi="Times New Roman" w:cs="Times New Roman"/>
                <w:b/>
                <w:color w:val="000000"/>
                <w:sz w:val="16"/>
                <w:szCs w:val="16"/>
                <w:u w:val="single"/>
                <w:lang w:eastAsia="de-DE"/>
              </w:rPr>
              <w:t>DPP3</w:t>
            </w:r>
          </w:p>
        </w:tc>
        <w:tc>
          <w:tcPr>
            <w:tcW w:w="964" w:type="dxa"/>
            <w:shd w:val="clear" w:color="auto" w:fill="auto"/>
            <w:noWrap/>
            <w:vAlign w:val="bottom"/>
          </w:tcPr>
          <w:p w14:paraId="761039F0" w14:textId="77777777" w:rsidR="00AB19A6" w:rsidRPr="00AB5A38" w:rsidRDefault="00AB19A6" w:rsidP="0039403A">
            <w:pPr>
              <w:spacing w:after="0" w:line="240" w:lineRule="auto"/>
              <w:jc w:val="center"/>
              <w:rPr>
                <w:rFonts w:ascii="Times New Roman" w:eastAsia="Times New Roman" w:hAnsi="Times New Roman" w:cs="Times New Roman"/>
                <w:color w:val="000000"/>
                <w:sz w:val="16"/>
                <w:szCs w:val="16"/>
                <w:lang w:val="en-US" w:eastAsia="de-DE"/>
              </w:rPr>
            </w:pPr>
          </w:p>
        </w:tc>
        <w:tc>
          <w:tcPr>
            <w:tcW w:w="907" w:type="dxa"/>
          </w:tcPr>
          <w:p w14:paraId="678BB0F5" w14:textId="77777777" w:rsidR="00AB19A6" w:rsidRPr="0068053B" w:rsidRDefault="00AB19A6" w:rsidP="0039403A">
            <w:pPr>
              <w:spacing w:after="0" w:line="240" w:lineRule="auto"/>
              <w:jc w:val="center"/>
              <w:rPr>
                <w:rFonts w:ascii="Times New Roman" w:eastAsia="Times New Roman" w:hAnsi="Times New Roman" w:cs="Times New Roman"/>
                <w:color w:val="000000"/>
                <w:sz w:val="16"/>
                <w:szCs w:val="16"/>
                <w:lang w:val="en-US" w:eastAsia="de-DE"/>
              </w:rPr>
            </w:pPr>
          </w:p>
        </w:tc>
      </w:tr>
      <w:tr w:rsidR="00AB19A6" w:rsidRPr="00AC25E6" w14:paraId="7926C2A7" w14:textId="77777777" w:rsidTr="00136B38">
        <w:trPr>
          <w:trHeight w:val="63"/>
          <w:jc w:val="center"/>
        </w:trPr>
        <w:tc>
          <w:tcPr>
            <w:tcW w:w="1361" w:type="dxa"/>
            <w:shd w:val="clear" w:color="auto" w:fill="auto"/>
            <w:noWrap/>
            <w:vAlign w:val="center"/>
          </w:tcPr>
          <w:p w14:paraId="1A27F6B9" w14:textId="77777777" w:rsidR="00AB19A6" w:rsidRPr="00AB5A38" w:rsidRDefault="00AB19A6" w:rsidP="0039403A">
            <w:pPr>
              <w:spacing w:after="0" w:line="240" w:lineRule="auto"/>
              <w:jc w:val="right"/>
              <w:rPr>
                <w:rFonts w:ascii="Times New Roman" w:eastAsia="Times New Roman" w:hAnsi="Times New Roman" w:cs="Times New Roman"/>
                <w:b/>
                <w:bCs/>
                <w:color w:val="000000"/>
                <w:sz w:val="16"/>
                <w:szCs w:val="16"/>
                <w:lang w:val="en-US" w:eastAsia="de-DE"/>
              </w:rPr>
            </w:pPr>
            <w:r w:rsidRPr="00AB5A38">
              <w:rPr>
                <w:rFonts w:ascii="Times New Roman" w:eastAsia="Times New Roman" w:hAnsi="Times New Roman" w:cs="Times New Roman"/>
                <w:bCs/>
                <w:color w:val="000000"/>
                <w:sz w:val="16"/>
                <w:szCs w:val="16"/>
                <w:lang w:val="en-US" w:eastAsia="de-DE"/>
              </w:rPr>
              <w:t>Day 1-4</w:t>
            </w:r>
          </w:p>
        </w:tc>
        <w:tc>
          <w:tcPr>
            <w:tcW w:w="964" w:type="dxa"/>
            <w:shd w:val="clear" w:color="auto" w:fill="auto"/>
            <w:noWrap/>
            <w:vAlign w:val="bottom"/>
          </w:tcPr>
          <w:p w14:paraId="0A30D613" w14:textId="77777777" w:rsidR="00AB19A6" w:rsidRPr="00AB5A38" w:rsidRDefault="00AB19A6" w:rsidP="0039403A">
            <w:pPr>
              <w:spacing w:after="0" w:line="240" w:lineRule="auto"/>
              <w:jc w:val="center"/>
              <w:rPr>
                <w:rFonts w:ascii="Times New Roman" w:eastAsia="Times New Roman" w:hAnsi="Times New Roman" w:cs="Times New Roman"/>
                <w:color w:val="000000"/>
                <w:sz w:val="16"/>
                <w:szCs w:val="16"/>
                <w:lang w:val="en-US" w:eastAsia="de-DE"/>
              </w:rPr>
            </w:pPr>
            <w:r w:rsidRPr="00AB5A38">
              <w:rPr>
                <w:rFonts w:ascii="Times New Roman" w:eastAsia="Times New Roman" w:hAnsi="Times New Roman" w:cs="Times New Roman"/>
                <w:color w:val="000000"/>
                <w:sz w:val="16"/>
                <w:szCs w:val="16"/>
                <w:lang w:val="en-US" w:eastAsia="de-DE"/>
              </w:rPr>
              <w:t>0.179</w:t>
            </w:r>
          </w:p>
        </w:tc>
        <w:tc>
          <w:tcPr>
            <w:tcW w:w="907" w:type="dxa"/>
          </w:tcPr>
          <w:p w14:paraId="0E915998" w14:textId="77777777" w:rsidR="00AB19A6" w:rsidRPr="00AB5A38" w:rsidRDefault="00AB19A6" w:rsidP="0039403A">
            <w:pPr>
              <w:spacing w:after="0" w:line="240" w:lineRule="auto"/>
              <w:jc w:val="center"/>
              <w:rPr>
                <w:rFonts w:ascii="Times New Roman" w:eastAsia="Times New Roman" w:hAnsi="Times New Roman" w:cs="Times New Roman"/>
                <w:color w:val="000000"/>
                <w:sz w:val="16"/>
                <w:szCs w:val="16"/>
                <w:lang w:val="en-US" w:eastAsia="de-DE"/>
              </w:rPr>
            </w:pPr>
            <w:r w:rsidRPr="00AB5A38">
              <w:rPr>
                <w:rFonts w:ascii="Times New Roman" w:eastAsia="Times New Roman" w:hAnsi="Times New Roman" w:cs="Times New Roman"/>
                <w:color w:val="000000"/>
                <w:sz w:val="16"/>
                <w:szCs w:val="16"/>
                <w:lang w:val="en-US" w:eastAsia="de-DE"/>
              </w:rPr>
              <w:t>0.106</w:t>
            </w:r>
          </w:p>
        </w:tc>
      </w:tr>
      <w:tr w:rsidR="00AB19A6" w:rsidRPr="00AC25E6" w14:paraId="24821AD1" w14:textId="77777777" w:rsidTr="00136B38">
        <w:trPr>
          <w:trHeight w:val="63"/>
          <w:jc w:val="center"/>
        </w:trPr>
        <w:tc>
          <w:tcPr>
            <w:tcW w:w="1361" w:type="dxa"/>
            <w:shd w:val="clear" w:color="auto" w:fill="auto"/>
            <w:noWrap/>
            <w:vAlign w:val="center"/>
          </w:tcPr>
          <w:p w14:paraId="5F0687D6" w14:textId="77777777" w:rsidR="00AB19A6" w:rsidRPr="00AB5A38" w:rsidRDefault="00AB19A6" w:rsidP="0039403A">
            <w:pPr>
              <w:spacing w:after="0" w:line="240" w:lineRule="auto"/>
              <w:jc w:val="right"/>
              <w:rPr>
                <w:rFonts w:ascii="Times New Roman" w:eastAsia="Times New Roman" w:hAnsi="Times New Roman" w:cs="Times New Roman"/>
                <w:b/>
                <w:bCs/>
                <w:color w:val="000000"/>
                <w:sz w:val="16"/>
                <w:szCs w:val="16"/>
                <w:lang w:val="en-US" w:eastAsia="de-DE"/>
              </w:rPr>
            </w:pPr>
            <w:r w:rsidRPr="00AB5A38">
              <w:rPr>
                <w:rFonts w:ascii="Times New Roman" w:eastAsia="Times New Roman" w:hAnsi="Times New Roman" w:cs="Times New Roman"/>
                <w:bCs/>
                <w:color w:val="000000"/>
                <w:sz w:val="16"/>
                <w:szCs w:val="16"/>
                <w:lang w:val="en-US" w:eastAsia="de-DE"/>
              </w:rPr>
              <w:t>Day 5-8</w:t>
            </w:r>
          </w:p>
        </w:tc>
        <w:tc>
          <w:tcPr>
            <w:tcW w:w="964" w:type="dxa"/>
            <w:shd w:val="clear" w:color="auto" w:fill="auto"/>
            <w:noWrap/>
            <w:vAlign w:val="bottom"/>
          </w:tcPr>
          <w:p w14:paraId="189610A9" w14:textId="77777777" w:rsidR="00AB19A6" w:rsidRPr="00AB5A38" w:rsidRDefault="00AB19A6" w:rsidP="0039403A">
            <w:pPr>
              <w:spacing w:after="0" w:line="240" w:lineRule="auto"/>
              <w:jc w:val="center"/>
              <w:rPr>
                <w:rFonts w:ascii="Times New Roman" w:eastAsia="Times New Roman" w:hAnsi="Times New Roman" w:cs="Times New Roman"/>
                <w:color w:val="000000"/>
                <w:sz w:val="16"/>
                <w:szCs w:val="16"/>
                <w:lang w:val="en-US" w:eastAsia="de-DE"/>
              </w:rPr>
            </w:pPr>
            <w:r w:rsidRPr="00AB5A38">
              <w:rPr>
                <w:rFonts w:ascii="Times New Roman" w:eastAsia="Times New Roman" w:hAnsi="Times New Roman" w:cs="Times New Roman"/>
                <w:color w:val="000000"/>
                <w:sz w:val="16"/>
                <w:szCs w:val="16"/>
                <w:lang w:val="en-US" w:eastAsia="de-DE"/>
              </w:rPr>
              <w:t>0.165</w:t>
            </w:r>
          </w:p>
        </w:tc>
        <w:tc>
          <w:tcPr>
            <w:tcW w:w="907" w:type="dxa"/>
          </w:tcPr>
          <w:p w14:paraId="5009D6CB" w14:textId="77777777" w:rsidR="00AB19A6" w:rsidRPr="00AB5A38" w:rsidRDefault="00AB19A6" w:rsidP="0039403A">
            <w:pPr>
              <w:spacing w:after="0" w:line="240" w:lineRule="auto"/>
              <w:jc w:val="center"/>
              <w:rPr>
                <w:rFonts w:ascii="Times New Roman" w:eastAsia="Times New Roman" w:hAnsi="Times New Roman" w:cs="Times New Roman"/>
                <w:color w:val="000000"/>
                <w:sz w:val="16"/>
                <w:szCs w:val="16"/>
                <w:lang w:val="en-US" w:eastAsia="de-DE"/>
              </w:rPr>
            </w:pPr>
            <w:r w:rsidRPr="00AB5A38">
              <w:rPr>
                <w:rFonts w:ascii="Times New Roman" w:eastAsia="Times New Roman" w:hAnsi="Times New Roman" w:cs="Times New Roman"/>
                <w:color w:val="000000"/>
                <w:sz w:val="16"/>
                <w:szCs w:val="16"/>
                <w:lang w:val="en-US" w:eastAsia="de-DE"/>
              </w:rPr>
              <w:t>0.122</w:t>
            </w:r>
          </w:p>
        </w:tc>
      </w:tr>
      <w:tr w:rsidR="00AB19A6" w:rsidRPr="00AC25E6" w14:paraId="126F628D" w14:textId="77777777" w:rsidTr="00136B38">
        <w:trPr>
          <w:trHeight w:val="63"/>
          <w:jc w:val="center"/>
        </w:trPr>
        <w:tc>
          <w:tcPr>
            <w:tcW w:w="1361" w:type="dxa"/>
            <w:shd w:val="clear" w:color="auto" w:fill="auto"/>
            <w:noWrap/>
            <w:vAlign w:val="center"/>
          </w:tcPr>
          <w:p w14:paraId="2E4B7B13" w14:textId="77777777" w:rsidR="00AB19A6" w:rsidRPr="00AB5A38" w:rsidRDefault="00AB19A6" w:rsidP="0039403A">
            <w:pPr>
              <w:spacing w:after="0" w:line="240" w:lineRule="auto"/>
              <w:jc w:val="right"/>
              <w:rPr>
                <w:rFonts w:ascii="Times New Roman" w:eastAsia="Times New Roman" w:hAnsi="Times New Roman" w:cs="Times New Roman"/>
                <w:color w:val="000000"/>
                <w:sz w:val="16"/>
                <w:szCs w:val="16"/>
                <w:lang w:val="en-US" w:eastAsia="de-DE"/>
              </w:rPr>
            </w:pPr>
            <w:r w:rsidRPr="00AB5A38">
              <w:rPr>
                <w:rFonts w:ascii="Times New Roman" w:eastAsia="Times New Roman" w:hAnsi="Times New Roman" w:cs="Times New Roman"/>
                <w:color w:val="000000"/>
                <w:sz w:val="16"/>
                <w:szCs w:val="16"/>
                <w:lang w:val="en-US" w:eastAsia="de-DE"/>
              </w:rPr>
              <w:t>Day 9-12</w:t>
            </w:r>
          </w:p>
        </w:tc>
        <w:tc>
          <w:tcPr>
            <w:tcW w:w="964" w:type="dxa"/>
            <w:shd w:val="clear" w:color="auto" w:fill="auto"/>
            <w:noWrap/>
            <w:vAlign w:val="bottom"/>
          </w:tcPr>
          <w:p w14:paraId="20BD55C1" w14:textId="77777777" w:rsidR="00AB19A6" w:rsidRPr="00AB5A38" w:rsidRDefault="00AB19A6" w:rsidP="0039403A">
            <w:pPr>
              <w:spacing w:after="0" w:line="240" w:lineRule="auto"/>
              <w:jc w:val="center"/>
              <w:rPr>
                <w:rFonts w:ascii="Times New Roman" w:eastAsia="Times New Roman" w:hAnsi="Times New Roman" w:cs="Times New Roman"/>
                <w:color w:val="000000"/>
                <w:sz w:val="16"/>
                <w:szCs w:val="16"/>
                <w:lang w:val="en-US" w:eastAsia="de-DE"/>
              </w:rPr>
            </w:pPr>
            <w:r w:rsidRPr="00AB5A38">
              <w:rPr>
                <w:rFonts w:ascii="Times New Roman" w:eastAsia="Times New Roman" w:hAnsi="Times New Roman" w:cs="Times New Roman"/>
                <w:color w:val="000000"/>
                <w:sz w:val="16"/>
                <w:szCs w:val="16"/>
                <w:lang w:val="en-US" w:eastAsia="de-DE"/>
              </w:rPr>
              <w:t>0.194</w:t>
            </w:r>
          </w:p>
        </w:tc>
        <w:tc>
          <w:tcPr>
            <w:tcW w:w="907" w:type="dxa"/>
          </w:tcPr>
          <w:p w14:paraId="1A8F9C64" w14:textId="77777777" w:rsidR="00AB19A6" w:rsidRPr="0068053B" w:rsidRDefault="00AB19A6" w:rsidP="0039403A">
            <w:pPr>
              <w:spacing w:after="0" w:line="240" w:lineRule="auto"/>
              <w:jc w:val="center"/>
              <w:rPr>
                <w:rFonts w:ascii="Times New Roman" w:eastAsia="Times New Roman" w:hAnsi="Times New Roman" w:cs="Times New Roman"/>
                <w:color w:val="000000"/>
                <w:sz w:val="16"/>
                <w:szCs w:val="16"/>
                <w:lang w:val="en-US" w:eastAsia="de-DE"/>
              </w:rPr>
            </w:pPr>
            <w:r w:rsidRPr="0068053B">
              <w:rPr>
                <w:rFonts w:ascii="Times New Roman" w:eastAsia="Times New Roman" w:hAnsi="Times New Roman" w:cs="Times New Roman"/>
                <w:color w:val="000000"/>
                <w:sz w:val="16"/>
                <w:szCs w:val="16"/>
                <w:lang w:val="en-US" w:eastAsia="de-DE"/>
              </w:rPr>
              <w:t>0.064</w:t>
            </w:r>
          </w:p>
        </w:tc>
      </w:tr>
      <w:tr w:rsidR="00AB19A6" w:rsidRPr="00AC25E6" w14:paraId="0079DB17" w14:textId="77777777" w:rsidTr="00136B38">
        <w:trPr>
          <w:trHeight w:val="63"/>
          <w:jc w:val="center"/>
        </w:trPr>
        <w:tc>
          <w:tcPr>
            <w:tcW w:w="1361" w:type="dxa"/>
            <w:shd w:val="clear" w:color="auto" w:fill="auto"/>
            <w:noWrap/>
            <w:vAlign w:val="center"/>
          </w:tcPr>
          <w:p w14:paraId="562473DE" w14:textId="77777777" w:rsidR="00AB19A6" w:rsidRPr="00AB5A38" w:rsidRDefault="00AB19A6" w:rsidP="0039403A">
            <w:pPr>
              <w:spacing w:after="0" w:line="240" w:lineRule="auto"/>
              <w:jc w:val="right"/>
              <w:rPr>
                <w:rFonts w:ascii="Times New Roman" w:eastAsia="Times New Roman" w:hAnsi="Times New Roman" w:cs="Times New Roman"/>
                <w:color w:val="000000"/>
                <w:sz w:val="16"/>
                <w:szCs w:val="16"/>
                <w:lang w:val="en-US" w:eastAsia="de-DE"/>
              </w:rPr>
            </w:pPr>
            <w:r w:rsidRPr="00AB5A38">
              <w:rPr>
                <w:rFonts w:ascii="Times New Roman" w:eastAsia="Times New Roman" w:hAnsi="Times New Roman" w:cs="Times New Roman"/>
                <w:color w:val="000000"/>
                <w:sz w:val="16"/>
                <w:szCs w:val="16"/>
                <w:lang w:val="en-US" w:eastAsia="de-DE"/>
              </w:rPr>
              <w:t>Day 13-15</w:t>
            </w:r>
          </w:p>
        </w:tc>
        <w:tc>
          <w:tcPr>
            <w:tcW w:w="964" w:type="dxa"/>
            <w:shd w:val="clear" w:color="auto" w:fill="auto"/>
            <w:noWrap/>
            <w:vAlign w:val="bottom"/>
          </w:tcPr>
          <w:p w14:paraId="4F7DF1C6" w14:textId="77777777" w:rsidR="00AB19A6" w:rsidRPr="00AB5A38" w:rsidRDefault="00AB19A6" w:rsidP="0039403A">
            <w:pPr>
              <w:spacing w:after="0" w:line="240" w:lineRule="auto"/>
              <w:jc w:val="center"/>
              <w:rPr>
                <w:rFonts w:ascii="Times New Roman" w:eastAsia="Times New Roman" w:hAnsi="Times New Roman" w:cs="Times New Roman"/>
                <w:color w:val="000000"/>
                <w:sz w:val="16"/>
                <w:szCs w:val="16"/>
                <w:lang w:val="en-US" w:eastAsia="de-DE"/>
              </w:rPr>
            </w:pPr>
            <w:r w:rsidRPr="00AB5A38">
              <w:rPr>
                <w:rFonts w:ascii="Times New Roman" w:eastAsia="Times New Roman" w:hAnsi="Times New Roman" w:cs="Times New Roman"/>
                <w:color w:val="000000"/>
                <w:sz w:val="16"/>
                <w:szCs w:val="16"/>
                <w:lang w:val="en-US" w:eastAsia="de-DE"/>
              </w:rPr>
              <w:t>0.200</w:t>
            </w:r>
          </w:p>
        </w:tc>
        <w:tc>
          <w:tcPr>
            <w:tcW w:w="907" w:type="dxa"/>
          </w:tcPr>
          <w:p w14:paraId="2DB128E0" w14:textId="77777777" w:rsidR="00AB19A6" w:rsidRPr="0068053B" w:rsidRDefault="00AB19A6" w:rsidP="0039403A">
            <w:pPr>
              <w:spacing w:after="0" w:line="240" w:lineRule="auto"/>
              <w:jc w:val="center"/>
              <w:rPr>
                <w:rFonts w:ascii="Times New Roman" w:eastAsia="Times New Roman" w:hAnsi="Times New Roman" w:cs="Times New Roman"/>
                <w:color w:val="000000"/>
                <w:sz w:val="16"/>
                <w:szCs w:val="16"/>
                <w:lang w:val="en-US" w:eastAsia="de-DE"/>
              </w:rPr>
            </w:pPr>
            <w:r w:rsidRPr="0068053B">
              <w:rPr>
                <w:rFonts w:ascii="Times New Roman" w:eastAsia="Times New Roman" w:hAnsi="Times New Roman" w:cs="Times New Roman"/>
                <w:color w:val="000000"/>
                <w:sz w:val="16"/>
                <w:szCs w:val="16"/>
                <w:lang w:val="en-US" w:eastAsia="de-DE"/>
              </w:rPr>
              <w:t>0.107</w:t>
            </w:r>
          </w:p>
        </w:tc>
      </w:tr>
      <w:tr w:rsidR="00AB19A6" w:rsidRPr="00AC25E6" w14:paraId="6A87E6FF" w14:textId="77777777" w:rsidTr="00136B38">
        <w:trPr>
          <w:trHeight w:val="63"/>
          <w:jc w:val="center"/>
        </w:trPr>
        <w:tc>
          <w:tcPr>
            <w:tcW w:w="1361" w:type="dxa"/>
            <w:tcBorders>
              <w:bottom w:val="single" w:sz="4" w:space="0" w:color="auto"/>
            </w:tcBorders>
            <w:shd w:val="clear" w:color="auto" w:fill="auto"/>
            <w:noWrap/>
            <w:vAlign w:val="center"/>
          </w:tcPr>
          <w:p w14:paraId="5DD6C04B" w14:textId="77777777" w:rsidR="00AB19A6" w:rsidRPr="00AB5A38" w:rsidRDefault="00AB19A6" w:rsidP="0039403A">
            <w:pPr>
              <w:spacing w:after="0" w:line="240" w:lineRule="auto"/>
              <w:jc w:val="right"/>
              <w:rPr>
                <w:rFonts w:ascii="Times New Roman" w:eastAsia="Times New Roman" w:hAnsi="Times New Roman" w:cs="Times New Roman"/>
                <w:color w:val="000000"/>
                <w:sz w:val="16"/>
                <w:szCs w:val="16"/>
                <w:lang w:val="en-US" w:eastAsia="de-DE"/>
              </w:rPr>
            </w:pPr>
            <w:r w:rsidRPr="00AB5A38">
              <w:rPr>
                <w:rFonts w:ascii="Times New Roman" w:eastAsia="Times New Roman" w:hAnsi="Times New Roman" w:cs="Times New Roman"/>
                <w:color w:val="000000"/>
                <w:sz w:val="16"/>
                <w:szCs w:val="16"/>
                <w:lang w:val="en-US" w:eastAsia="de-DE"/>
              </w:rPr>
              <w:t>Day 16-21</w:t>
            </w:r>
          </w:p>
        </w:tc>
        <w:tc>
          <w:tcPr>
            <w:tcW w:w="964" w:type="dxa"/>
            <w:tcBorders>
              <w:bottom w:val="single" w:sz="4" w:space="0" w:color="auto"/>
            </w:tcBorders>
            <w:shd w:val="clear" w:color="auto" w:fill="auto"/>
            <w:noWrap/>
            <w:vAlign w:val="bottom"/>
          </w:tcPr>
          <w:p w14:paraId="129BED45" w14:textId="77777777" w:rsidR="00AB19A6" w:rsidRPr="00AB5A38" w:rsidRDefault="00AB19A6" w:rsidP="0039403A">
            <w:pPr>
              <w:spacing w:after="0" w:line="240" w:lineRule="auto"/>
              <w:jc w:val="center"/>
              <w:rPr>
                <w:rFonts w:ascii="Times New Roman" w:eastAsia="Times New Roman" w:hAnsi="Times New Roman" w:cs="Times New Roman"/>
                <w:color w:val="000000"/>
                <w:sz w:val="16"/>
                <w:szCs w:val="16"/>
                <w:lang w:val="en-US" w:eastAsia="de-DE"/>
              </w:rPr>
            </w:pPr>
            <w:r w:rsidRPr="00AB5A38">
              <w:rPr>
                <w:rFonts w:ascii="Times New Roman" w:eastAsia="Times New Roman" w:hAnsi="Times New Roman" w:cs="Times New Roman"/>
                <w:color w:val="000000"/>
                <w:sz w:val="16"/>
                <w:szCs w:val="16"/>
                <w:lang w:val="en-US" w:eastAsia="de-DE"/>
              </w:rPr>
              <w:t>0.021</w:t>
            </w:r>
          </w:p>
        </w:tc>
        <w:tc>
          <w:tcPr>
            <w:tcW w:w="907" w:type="dxa"/>
            <w:tcBorders>
              <w:bottom w:val="single" w:sz="4" w:space="0" w:color="auto"/>
            </w:tcBorders>
          </w:tcPr>
          <w:p w14:paraId="02EA1DDA" w14:textId="77777777" w:rsidR="00AB19A6" w:rsidRPr="0068053B" w:rsidRDefault="00AB19A6" w:rsidP="0039403A">
            <w:pPr>
              <w:spacing w:after="0" w:line="240" w:lineRule="auto"/>
              <w:jc w:val="center"/>
              <w:rPr>
                <w:rFonts w:ascii="Times New Roman" w:eastAsia="Times New Roman" w:hAnsi="Times New Roman" w:cs="Times New Roman"/>
                <w:color w:val="000000"/>
                <w:sz w:val="16"/>
                <w:szCs w:val="16"/>
                <w:lang w:val="en-US" w:eastAsia="de-DE"/>
              </w:rPr>
            </w:pPr>
            <w:r w:rsidRPr="0068053B">
              <w:rPr>
                <w:rFonts w:ascii="Times New Roman" w:eastAsia="Times New Roman" w:hAnsi="Times New Roman" w:cs="Times New Roman"/>
                <w:color w:val="000000"/>
                <w:sz w:val="16"/>
                <w:szCs w:val="16"/>
                <w:lang w:val="en-US" w:eastAsia="de-DE"/>
              </w:rPr>
              <w:t>0.863</w:t>
            </w:r>
          </w:p>
        </w:tc>
      </w:tr>
    </w:tbl>
    <w:p w14:paraId="7AB5A452" w14:textId="327EA4B9" w:rsidR="00AB19A6" w:rsidRPr="007774D5" w:rsidRDefault="007774D5" w:rsidP="007774D5">
      <w:pPr>
        <w:ind w:left="2977" w:right="2976"/>
        <w:rPr>
          <w:lang w:val="en-US"/>
        </w:rPr>
      </w:pPr>
      <w:r w:rsidRPr="008C695E">
        <w:rPr>
          <w:rFonts w:ascii="Times New Roman" w:hAnsi="Times New Roman" w:cs="Times New Roman"/>
          <w:sz w:val="16"/>
          <w:lang w:val="en-US"/>
        </w:rPr>
        <w:t xml:space="preserve">Abbreviations: </w:t>
      </w:r>
      <w:r>
        <w:rPr>
          <w:rFonts w:ascii="Times New Roman" w:hAnsi="Times New Roman" w:cs="Times New Roman"/>
          <w:sz w:val="16"/>
          <w:lang w:val="en-US"/>
        </w:rPr>
        <w:t xml:space="preserve">cDPP3, circulatory DPP3; </w:t>
      </w:r>
      <w:r w:rsidRPr="008C695E">
        <w:rPr>
          <w:rFonts w:ascii="Times New Roman" w:hAnsi="Times New Roman" w:cs="Times New Roman"/>
          <w:sz w:val="16"/>
          <w:lang w:val="en-US"/>
        </w:rPr>
        <w:t xml:space="preserve">GOS-E, Glasgow outcome scale - extended; HH, Hunt and Hess grading scale; </w:t>
      </w:r>
      <w:proofErr w:type="spellStart"/>
      <w:r w:rsidRPr="008C695E">
        <w:rPr>
          <w:rFonts w:ascii="Times New Roman" w:hAnsi="Times New Roman" w:cs="Times New Roman"/>
          <w:sz w:val="16"/>
          <w:lang w:val="en-US"/>
        </w:rPr>
        <w:t>mFS</w:t>
      </w:r>
      <w:proofErr w:type="spellEnd"/>
      <w:r w:rsidRPr="008C695E">
        <w:rPr>
          <w:rFonts w:ascii="Times New Roman" w:hAnsi="Times New Roman" w:cs="Times New Roman"/>
          <w:sz w:val="16"/>
          <w:lang w:val="en-US"/>
        </w:rPr>
        <w:t>, modified Fischer scale</w:t>
      </w:r>
      <w:r>
        <w:rPr>
          <w:rFonts w:ascii="Times New Roman" w:hAnsi="Times New Roman" w:cs="Times New Roman"/>
          <w:sz w:val="16"/>
          <w:lang w:val="en-US"/>
        </w:rPr>
        <w:t>.</w:t>
      </w:r>
    </w:p>
    <w:p w14:paraId="7EC33C27" w14:textId="01465E14" w:rsidR="00D163A6" w:rsidRDefault="00D163A6" w:rsidP="00D163A6">
      <w:pPr>
        <w:widowControl w:val="0"/>
        <w:autoSpaceDE w:val="0"/>
        <w:autoSpaceDN w:val="0"/>
        <w:adjustRightInd w:val="0"/>
        <w:spacing w:line="240" w:lineRule="auto"/>
        <w:ind w:left="480" w:hanging="480"/>
        <w:jc w:val="center"/>
        <w:rPr>
          <w:lang w:val="en-US"/>
        </w:rPr>
      </w:pPr>
    </w:p>
    <w:sectPr w:rsidR="00D163A6">
      <w:footerReference w:type="even" r:id="rId13"/>
      <w:footerReference w:type="default" r:id="rId14"/>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4931D3C" w14:textId="77777777" w:rsidR="001F0DB4" w:rsidRDefault="001F0DB4" w:rsidP="00D94743">
      <w:pPr>
        <w:spacing w:after="0" w:line="240" w:lineRule="auto"/>
      </w:pPr>
      <w:r>
        <w:separator/>
      </w:r>
    </w:p>
  </w:endnote>
  <w:endnote w:type="continuationSeparator" w:id="0">
    <w:p w14:paraId="675C19B6" w14:textId="77777777" w:rsidR="001F0DB4" w:rsidRDefault="001F0DB4" w:rsidP="00D9474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auto"/>
    <w:pitch w:val="variable"/>
    <w:sig w:usb0="E00002FF" w:usb1="5000785B"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TimesNewRoman">
    <w:altName w:val="Times New Roman"/>
    <w:panose1 w:val="00000000000000000000"/>
    <w:charset w:val="00"/>
    <w:family w:val="roman"/>
    <w:notTrueType/>
    <w:pitch w:val="default"/>
  </w:font>
  <w:font w:name="OTNEJMQuadraat">
    <w:altName w:val="MS Mincho"/>
    <w:panose1 w:val="00000000000000000000"/>
    <w:charset w:val="80"/>
    <w:family w:val="roman"/>
    <w:notTrueType/>
    <w:pitch w:val="default"/>
    <w:sig w:usb0="20000001" w:usb1="08070000" w:usb2="00000010" w:usb3="00000000" w:csb0="000201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Seitenzahl"/>
      </w:rPr>
      <w:id w:val="2008250750"/>
      <w:docPartObj>
        <w:docPartGallery w:val="Page Numbers (Bottom of Page)"/>
        <w:docPartUnique/>
      </w:docPartObj>
    </w:sdtPr>
    <w:sdtEndPr>
      <w:rPr>
        <w:rStyle w:val="Seitenzahl"/>
      </w:rPr>
    </w:sdtEndPr>
    <w:sdtContent>
      <w:p w14:paraId="6EC2AF08" w14:textId="49CC40AE" w:rsidR="000E12B4" w:rsidRDefault="000E12B4" w:rsidP="00A2541B">
        <w:pPr>
          <w:pStyle w:val="Fuzeile"/>
          <w:framePr w:wrap="none" w:vAnchor="text" w:hAnchor="margin" w:xAlign="center" w:y="1"/>
          <w:rPr>
            <w:rStyle w:val="Seitenzahl"/>
          </w:rPr>
        </w:pPr>
        <w:r>
          <w:rPr>
            <w:rStyle w:val="Seitenzahl"/>
          </w:rPr>
          <w:fldChar w:fldCharType="begin"/>
        </w:r>
        <w:r>
          <w:rPr>
            <w:rStyle w:val="Seitenzahl"/>
          </w:rPr>
          <w:instrText xml:space="preserve"> PAGE </w:instrText>
        </w:r>
        <w:r>
          <w:rPr>
            <w:rStyle w:val="Seitenzahl"/>
          </w:rPr>
          <w:fldChar w:fldCharType="end"/>
        </w:r>
      </w:p>
    </w:sdtContent>
  </w:sdt>
  <w:p w14:paraId="4A838C9D" w14:textId="77777777" w:rsidR="000E12B4" w:rsidRDefault="000E12B4">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Seitenzahl"/>
      </w:rPr>
      <w:id w:val="-1140029994"/>
      <w:docPartObj>
        <w:docPartGallery w:val="Page Numbers (Bottom of Page)"/>
        <w:docPartUnique/>
      </w:docPartObj>
    </w:sdtPr>
    <w:sdtEndPr>
      <w:rPr>
        <w:rStyle w:val="Seitenzahl"/>
        <w:rFonts w:ascii="Times New Roman" w:hAnsi="Times New Roman" w:cs="Times New Roman"/>
      </w:rPr>
    </w:sdtEndPr>
    <w:sdtContent>
      <w:p w14:paraId="21853BC2" w14:textId="4519360E" w:rsidR="000E12B4" w:rsidRDefault="000E12B4" w:rsidP="00A2541B">
        <w:pPr>
          <w:pStyle w:val="Fuzeile"/>
          <w:framePr w:wrap="none" w:vAnchor="text" w:hAnchor="margin" w:xAlign="center" w:y="1"/>
          <w:rPr>
            <w:rStyle w:val="Seitenzahl"/>
          </w:rPr>
        </w:pPr>
        <w:r>
          <w:rPr>
            <w:rStyle w:val="Seitenzahl"/>
          </w:rPr>
          <w:fldChar w:fldCharType="begin"/>
        </w:r>
        <w:r>
          <w:rPr>
            <w:rStyle w:val="Seitenzahl"/>
          </w:rPr>
          <w:instrText xml:space="preserve"> PAGE </w:instrText>
        </w:r>
        <w:r>
          <w:rPr>
            <w:rStyle w:val="Seitenzahl"/>
          </w:rPr>
          <w:fldChar w:fldCharType="separate"/>
        </w:r>
        <w:r>
          <w:rPr>
            <w:rStyle w:val="Seitenzahl"/>
            <w:noProof/>
          </w:rPr>
          <w:t>4</w:t>
        </w:r>
        <w:r>
          <w:rPr>
            <w:rStyle w:val="Seitenzahl"/>
          </w:rPr>
          <w:fldChar w:fldCharType="end"/>
        </w:r>
      </w:p>
    </w:sdtContent>
  </w:sdt>
  <w:p w14:paraId="727241B9" w14:textId="77777777" w:rsidR="000E12B4" w:rsidRDefault="000E12B4">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7EAD315" w14:textId="77777777" w:rsidR="001F0DB4" w:rsidRDefault="001F0DB4" w:rsidP="00D94743">
      <w:pPr>
        <w:spacing w:after="0" w:line="240" w:lineRule="auto"/>
      </w:pPr>
      <w:r>
        <w:separator/>
      </w:r>
    </w:p>
  </w:footnote>
  <w:footnote w:type="continuationSeparator" w:id="0">
    <w:p w14:paraId="358CB1A0" w14:textId="77777777" w:rsidR="001F0DB4" w:rsidRDefault="001F0DB4" w:rsidP="00D94743">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Numbered&lt;/Style&gt;&lt;LeftDelim&gt;{&lt;/LeftDelim&gt;&lt;RightDelim&gt;}&lt;/RightDelim&gt;&lt;FontName&gt;Calibri&lt;/FontName&gt;&lt;FontSize&gt;11&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s5evwsd2as50aieatdqvaxsnts055dv9dd0r&quot;&gt;20170721 Datenbank-Converted&lt;record-ids&gt;&lt;item&gt;2064&lt;/item&gt;&lt;/record-ids&gt;&lt;/item&gt;&lt;/Libraries&gt;"/>
  </w:docVars>
  <w:rsids>
    <w:rsidRoot w:val="00A538F0"/>
    <w:rsid w:val="00001FD3"/>
    <w:rsid w:val="00004044"/>
    <w:rsid w:val="00004A6E"/>
    <w:rsid w:val="00005D1E"/>
    <w:rsid w:val="0000652C"/>
    <w:rsid w:val="00011662"/>
    <w:rsid w:val="000131C7"/>
    <w:rsid w:val="000135BB"/>
    <w:rsid w:val="00013CC1"/>
    <w:rsid w:val="00015F03"/>
    <w:rsid w:val="000164C7"/>
    <w:rsid w:val="00016BEE"/>
    <w:rsid w:val="00017F8B"/>
    <w:rsid w:val="00022F72"/>
    <w:rsid w:val="000241E5"/>
    <w:rsid w:val="00024A59"/>
    <w:rsid w:val="00024E54"/>
    <w:rsid w:val="00024EB7"/>
    <w:rsid w:val="00025AF0"/>
    <w:rsid w:val="0002600D"/>
    <w:rsid w:val="00027D65"/>
    <w:rsid w:val="00030A65"/>
    <w:rsid w:val="00032642"/>
    <w:rsid w:val="00033CE3"/>
    <w:rsid w:val="000349FE"/>
    <w:rsid w:val="000406D7"/>
    <w:rsid w:val="00041257"/>
    <w:rsid w:val="00042097"/>
    <w:rsid w:val="000438EE"/>
    <w:rsid w:val="00044D79"/>
    <w:rsid w:val="000474B4"/>
    <w:rsid w:val="00047CDC"/>
    <w:rsid w:val="00051887"/>
    <w:rsid w:val="000521A6"/>
    <w:rsid w:val="000526B3"/>
    <w:rsid w:val="0005690F"/>
    <w:rsid w:val="000602C2"/>
    <w:rsid w:val="00063F9F"/>
    <w:rsid w:val="000649D9"/>
    <w:rsid w:val="000703FA"/>
    <w:rsid w:val="0007242D"/>
    <w:rsid w:val="00072A86"/>
    <w:rsid w:val="00073B80"/>
    <w:rsid w:val="00073D2D"/>
    <w:rsid w:val="00074E8E"/>
    <w:rsid w:val="00074EF5"/>
    <w:rsid w:val="000755DD"/>
    <w:rsid w:val="00076717"/>
    <w:rsid w:val="000768CD"/>
    <w:rsid w:val="00076F65"/>
    <w:rsid w:val="00077831"/>
    <w:rsid w:val="00081B1C"/>
    <w:rsid w:val="0008350D"/>
    <w:rsid w:val="00084DA8"/>
    <w:rsid w:val="000852A4"/>
    <w:rsid w:val="000871BE"/>
    <w:rsid w:val="000906A2"/>
    <w:rsid w:val="000923C7"/>
    <w:rsid w:val="000948A4"/>
    <w:rsid w:val="000A05A5"/>
    <w:rsid w:val="000A1B13"/>
    <w:rsid w:val="000A476E"/>
    <w:rsid w:val="000A5C2E"/>
    <w:rsid w:val="000A63E3"/>
    <w:rsid w:val="000A745F"/>
    <w:rsid w:val="000B2234"/>
    <w:rsid w:val="000B2547"/>
    <w:rsid w:val="000B2996"/>
    <w:rsid w:val="000B2A56"/>
    <w:rsid w:val="000B3AAA"/>
    <w:rsid w:val="000B4DE3"/>
    <w:rsid w:val="000B6C54"/>
    <w:rsid w:val="000C11A6"/>
    <w:rsid w:val="000C1F3C"/>
    <w:rsid w:val="000C23A4"/>
    <w:rsid w:val="000C3F93"/>
    <w:rsid w:val="000C4E8B"/>
    <w:rsid w:val="000C5EE0"/>
    <w:rsid w:val="000C6633"/>
    <w:rsid w:val="000C72EA"/>
    <w:rsid w:val="000D16F3"/>
    <w:rsid w:val="000D1FDB"/>
    <w:rsid w:val="000D3656"/>
    <w:rsid w:val="000D6BB4"/>
    <w:rsid w:val="000E12B4"/>
    <w:rsid w:val="000E1366"/>
    <w:rsid w:val="000E2707"/>
    <w:rsid w:val="000E5F8F"/>
    <w:rsid w:val="000E72D0"/>
    <w:rsid w:val="000E7486"/>
    <w:rsid w:val="000F0A90"/>
    <w:rsid w:val="000F0DF9"/>
    <w:rsid w:val="000F15C2"/>
    <w:rsid w:val="000F165E"/>
    <w:rsid w:val="000F2903"/>
    <w:rsid w:val="000F4EDB"/>
    <w:rsid w:val="000F5E6B"/>
    <w:rsid w:val="000F7D1B"/>
    <w:rsid w:val="0010081A"/>
    <w:rsid w:val="0010252C"/>
    <w:rsid w:val="001056E3"/>
    <w:rsid w:val="00107C34"/>
    <w:rsid w:val="00107C3B"/>
    <w:rsid w:val="00110B38"/>
    <w:rsid w:val="00112874"/>
    <w:rsid w:val="00113F1C"/>
    <w:rsid w:val="001149B0"/>
    <w:rsid w:val="001172B7"/>
    <w:rsid w:val="00117631"/>
    <w:rsid w:val="00120035"/>
    <w:rsid w:val="0012065D"/>
    <w:rsid w:val="001241A7"/>
    <w:rsid w:val="00124A1D"/>
    <w:rsid w:val="00126878"/>
    <w:rsid w:val="00127C81"/>
    <w:rsid w:val="00136105"/>
    <w:rsid w:val="00136B38"/>
    <w:rsid w:val="00137046"/>
    <w:rsid w:val="001405DB"/>
    <w:rsid w:val="0014136A"/>
    <w:rsid w:val="001423B3"/>
    <w:rsid w:val="00146506"/>
    <w:rsid w:val="00146BA6"/>
    <w:rsid w:val="00147000"/>
    <w:rsid w:val="0014793C"/>
    <w:rsid w:val="00147952"/>
    <w:rsid w:val="00150A4C"/>
    <w:rsid w:val="00154FEF"/>
    <w:rsid w:val="001602ED"/>
    <w:rsid w:val="001635E8"/>
    <w:rsid w:val="0016360E"/>
    <w:rsid w:val="00165040"/>
    <w:rsid w:val="00165164"/>
    <w:rsid w:val="00165A8E"/>
    <w:rsid w:val="00165E0B"/>
    <w:rsid w:val="001661C4"/>
    <w:rsid w:val="00170926"/>
    <w:rsid w:val="00173E02"/>
    <w:rsid w:val="0017756C"/>
    <w:rsid w:val="00177F4A"/>
    <w:rsid w:val="00180442"/>
    <w:rsid w:val="00180663"/>
    <w:rsid w:val="00181AE5"/>
    <w:rsid w:val="00182820"/>
    <w:rsid w:val="00182C19"/>
    <w:rsid w:val="0018542B"/>
    <w:rsid w:val="001861FC"/>
    <w:rsid w:val="0018693A"/>
    <w:rsid w:val="00191369"/>
    <w:rsid w:val="0019291E"/>
    <w:rsid w:val="00195263"/>
    <w:rsid w:val="001974AE"/>
    <w:rsid w:val="00197F03"/>
    <w:rsid w:val="001A1BF2"/>
    <w:rsid w:val="001A31DC"/>
    <w:rsid w:val="001A36CF"/>
    <w:rsid w:val="001A3A16"/>
    <w:rsid w:val="001A74C2"/>
    <w:rsid w:val="001A7D3E"/>
    <w:rsid w:val="001A7EB5"/>
    <w:rsid w:val="001B173D"/>
    <w:rsid w:val="001B1AA0"/>
    <w:rsid w:val="001B40FD"/>
    <w:rsid w:val="001B78F8"/>
    <w:rsid w:val="001C0194"/>
    <w:rsid w:val="001C2392"/>
    <w:rsid w:val="001C47F4"/>
    <w:rsid w:val="001C5E02"/>
    <w:rsid w:val="001C61AA"/>
    <w:rsid w:val="001C654D"/>
    <w:rsid w:val="001D2663"/>
    <w:rsid w:val="001D512F"/>
    <w:rsid w:val="001D6013"/>
    <w:rsid w:val="001D6E2E"/>
    <w:rsid w:val="001D78A4"/>
    <w:rsid w:val="001D78D2"/>
    <w:rsid w:val="001E077A"/>
    <w:rsid w:val="001E10A6"/>
    <w:rsid w:val="001E1897"/>
    <w:rsid w:val="001E484A"/>
    <w:rsid w:val="001E6115"/>
    <w:rsid w:val="001F0DB4"/>
    <w:rsid w:val="001F2AF2"/>
    <w:rsid w:val="001F608D"/>
    <w:rsid w:val="001F6F2E"/>
    <w:rsid w:val="001F758D"/>
    <w:rsid w:val="00202BC6"/>
    <w:rsid w:val="0020415E"/>
    <w:rsid w:val="002047EC"/>
    <w:rsid w:val="00205C8A"/>
    <w:rsid w:val="00205D44"/>
    <w:rsid w:val="00205D74"/>
    <w:rsid w:val="00206392"/>
    <w:rsid w:val="00210B84"/>
    <w:rsid w:val="0021240B"/>
    <w:rsid w:val="00213D10"/>
    <w:rsid w:val="002167B3"/>
    <w:rsid w:val="002174DB"/>
    <w:rsid w:val="00222E4F"/>
    <w:rsid w:val="00222F8F"/>
    <w:rsid w:val="002238EC"/>
    <w:rsid w:val="00223C03"/>
    <w:rsid w:val="00224888"/>
    <w:rsid w:val="00226A96"/>
    <w:rsid w:val="00226D72"/>
    <w:rsid w:val="002307F3"/>
    <w:rsid w:val="00230ADA"/>
    <w:rsid w:val="00231762"/>
    <w:rsid w:val="00232D5A"/>
    <w:rsid w:val="00232D79"/>
    <w:rsid w:val="00235BF3"/>
    <w:rsid w:val="0023638C"/>
    <w:rsid w:val="00236453"/>
    <w:rsid w:val="00237082"/>
    <w:rsid w:val="00237DBD"/>
    <w:rsid w:val="00240B35"/>
    <w:rsid w:val="00241F3A"/>
    <w:rsid w:val="00243529"/>
    <w:rsid w:val="00243B27"/>
    <w:rsid w:val="002457EF"/>
    <w:rsid w:val="00246563"/>
    <w:rsid w:val="00246C1F"/>
    <w:rsid w:val="00250918"/>
    <w:rsid w:val="002513DF"/>
    <w:rsid w:val="00251B5B"/>
    <w:rsid w:val="002530B6"/>
    <w:rsid w:val="00253637"/>
    <w:rsid w:val="00253E4E"/>
    <w:rsid w:val="002600DC"/>
    <w:rsid w:val="00261499"/>
    <w:rsid w:val="0026575B"/>
    <w:rsid w:val="002678E3"/>
    <w:rsid w:val="0027232F"/>
    <w:rsid w:val="00273657"/>
    <w:rsid w:val="00277BB6"/>
    <w:rsid w:val="00277D4F"/>
    <w:rsid w:val="00281E2C"/>
    <w:rsid w:val="00282F60"/>
    <w:rsid w:val="00287EA1"/>
    <w:rsid w:val="00287EA2"/>
    <w:rsid w:val="00291D5D"/>
    <w:rsid w:val="00292B30"/>
    <w:rsid w:val="00292D30"/>
    <w:rsid w:val="0029324F"/>
    <w:rsid w:val="0029410B"/>
    <w:rsid w:val="00294170"/>
    <w:rsid w:val="00295845"/>
    <w:rsid w:val="00295B26"/>
    <w:rsid w:val="002A4192"/>
    <w:rsid w:val="002A4BD7"/>
    <w:rsid w:val="002A5E88"/>
    <w:rsid w:val="002A6704"/>
    <w:rsid w:val="002B05A7"/>
    <w:rsid w:val="002B5C5C"/>
    <w:rsid w:val="002B72CB"/>
    <w:rsid w:val="002C4964"/>
    <w:rsid w:val="002C5F14"/>
    <w:rsid w:val="002C701F"/>
    <w:rsid w:val="002C7AA9"/>
    <w:rsid w:val="002D13D8"/>
    <w:rsid w:val="002D2D48"/>
    <w:rsid w:val="002D4A58"/>
    <w:rsid w:val="002D54EA"/>
    <w:rsid w:val="002D61EE"/>
    <w:rsid w:val="002D6993"/>
    <w:rsid w:val="002E2D67"/>
    <w:rsid w:val="002E40DE"/>
    <w:rsid w:val="002E54F0"/>
    <w:rsid w:val="002E71FC"/>
    <w:rsid w:val="002F2A8A"/>
    <w:rsid w:val="002F2E1A"/>
    <w:rsid w:val="002F3531"/>
    <w:rsid w:val="002F408C"/>
    <w:rsid w:val="002F432C"/>
    <w:rsid w:val="002F49C5"/>
    <w:rsid w:val="002F5695"/>
    <w:rsid w:val="002F6436"/>
    <w:rsid w:val="002F73A6"/>
    <w:rsid w:val="003009A8"/>
    <w:rsid w:val="00301214"/>
    <w:rsid w:val="0030152D"/>
    <w:rsid w:val="003015FC"/>
    <w:rsid w:val="00302035"/>
    <w:rsid w:val="00303878"/>
    <w:rsid w:val="0030490B"/>
    <w:rsid w:val="00305280"/>
    <w:rsid w:val="00305711"/>
    <w:rsid w:val="00305A4F"/>
    <w:rsid w:val="003104A6"/>
    <w:rsid w:val="00310B17"/>
    <w:rsid w:val="00311C3C"/>
    <w:rsid w:val="00313064"/>
    <w:rsid w:val="00313476"/>
    <w:rsid w:val="00314419"/>
    <w:rsid w:val="003166F7"/>
    <w:rsid w:val="00316944"/>
    <w:rsid w:val="00316980"/>
    <w:rsid w:val="0031772A"/>
    <w:rsid w:val="00323E16"/>
    <w:rsid w:val="00325394"/>
    <w:rsid w:val="00326EBF"/>
    <w:rsid w:val="0032736E"/>
    <w:rsid w:val="00327BB7"/>
    <w:rsid w:val="00331A35"/>
    <w:rsid w:val="00331C9A"/>
    <w:rsid w:val="00333939"/>
    <w:rsid w:val="003351F2"/>
    <w:rsid w:val="003409C4"/>
    <w:rsid w:val="003425E2"/>
    <w:rsid w:val="003462FD"/>
    <w:rsid w:val="0034746F"/>
    <w:rsid w:val="00350FE7"/>
    <w:rsid w:val="003510E7"/>
    <w:rsid w:val="00354A9E"/>
    <w:rsid w:val="00354C50"/>
    <w:rsid w:val="003550BA"/>
    <w:rsid w:val="00356E08"/>
    <w:rsid w:val="0036006F"/>
    <w:rsid w:val="003629AA"/>
    <w:rsid w:val="00364B63"/>
    <w:rsid w:val="003653C7"/>
    <w:rsid w:val="0036585D"/>
    <w:rsid w:val="00366104"/>
    <w:rsid w:val="003718A8"/>
    <w:rsid w:val="0037295E"/>
    <w:rsid w:val="0037491A"/>
    <w:rsid w:val="0037684F"/>
    <w:rsid w:val="00376A87"/>
    <w:rsid w:val="00377C06"/>
    <w:rsid w:val="00380DCE"/>
    <w:rsid w:val="003812DE"/>
    <w:rsid w:val="003831AF"/>
    <w:rsid w:val="00385093"/>
    <w:rsid w:val="00386641"/>
    <w:rsid w:val="00390168"/>
    <w:rsid w:val="00390B85"/>
    <w:rsid w:val="00391472"/>
    <w:rsid w:val="0039403A"/>
    <w:rsid w:val="00396297"/>
    <w:rsid w:val="00396E0B"/>
    <w:rsid w:val="00397617"/>
    <w:rsid w:val="003A0746"/>
    <w:rsid w:val="003A07B6"/>
    <w:rsid w:val="003A7812"/>
    <w:rsid w:val="003A7E99"/>
    <w:rsid w:val="003B023A"/>
    <w:rsid w:val="003B1785"/>
    <w:rsid w:val="003B2DBE"/>
    <w:rsid w:val="003B2EF9"/>
    <w:rsid w:val="003B7AF7"/>
    <w:rsid w:val="003C3060"/>
    <w:rsid w:val="003C321E"/>
    <w:rsid w:val="003D025E"/>
    <w:rsid w:val="003D2762"/>
    <w:rsid w:val="003D2B24"/>
    <w:rsid w:val="003D3C69"/>
    <w:rsid w:val="003E2446"/>
    <w:rsid w:val="003E3AC5"/>
    <w:rsid w:val="003E4225"/>
    <w:rsid w:val="003E4FF4"/>
    <w:rsid w:val="003F2DD3"/>
    <w:rsid w:val="003F3C9B"/>
    <w:rsid w:val="003F4BC7"/>
    <w:rsid w:val="003F7071"/>
    <w:rsid w:val="003F7A4F"/>
    <w:rsid w:val="00401AE6"/>
    <w:rsid w:val="004036C8"/>
    <w:rsid w:val="00403B20"/>
    <w:rsid w:val="00404143"/>
    <w:rsid w:val="00404DAC"/>
    <w:rsid w:val="0040533A"/>
    <w:rsid w:val="0041098A"/>
    <w:rsid w:val="004109FB"/>
    <w:rsid w:val="00412AC0"/>
    <w:rsid w:val="0041662A"/>
    <w:rsid w:val="00416D10"/>
    <w:rsid w:val="00416F99"/>
    <w:rsid w:val="00420E1A"/>
    <w:rsid w:val="00421BD2"/>
    <w:rsid w:val="004249B3"/>
    <w:rsid w:val="00427BCB"/>
    <w:rsid w:val="00427C97"/>
    <w:rsid w:val="004303B0"/>
    <w:rsid w:val="00432CBC"/>
    <w:rsid w:val="00433E8A"/>
    <w:rsid w:val="0043425A"/>
    <w:rsid w:val="004347D6"/>
    <w:rsid w:val="00440B55"/>
    <w:rsid w:val="004412E5"/>
    <w:rsid w:val="00446130"/>
    <w:rsid w:val="00446CCA"/>
    <w:rsid w:val="00450603"/>
    <w:rsid w:val="0045175F"/>
    <w:rsid w:val="00452352"/>
    <w:rsid w:val="00455185"/>
    <w:rsid w:val="004568CD"/>
    <w:rsid w:val="00457E4B"/>
    <w:rsid w:val="004610A1"/>
    <w:rsid w:val="0046148B"/>
    <w:rsid w:val="00463CC9"/>
    <w:rsid w:val="004644FE"/>
    <w:rsid w:val="00467924"/>
    <w:rsid w:val="00467B42"/>
    <w:rsid w:val="0047373E"/>
    <w:rsid w:val="00477660"/>
    <w:rsid w:val="004779A9"/>
    <w:rsid w:val="004817DA"/>
    <w:rsid w:val="004879E2"/>
    <w:rsid w:val="00487B77"/>
    <w:rsid w:val="00487D32"/>
    <w:rsid w:val="004907E8"/>
    <w:rsid w:val="00490AD4"/>
    <w:rsid w:val="00491A4A"/>
    <w:rsid w:val="00491F43"/>
    <w:rsid w:val="00492560"/>
    <w:rsid w:val="0049379E"/>
    <w:rsid w:val="004A0F62"/>
    <w:rsid w:val="004B239E"/>
    <w:rsid w:val="004B2647"/>
    <w:rsid w:val="004B2AAF"/>
    <w:rsid w:val="004B3D8F"/>
    <w:rsid w:val="004B4982"/>
    <w:rsid w:val="004B4D72"/>
    <w:rsid w:val="004B5A39"/>
    <w:rsid w:val="004B5CE9"/>
    <w:rsid w:val="004B5E45"/>
    <w:rsid w:val="004B5EBC"/>
    <w:rsid w:val="004B62F4"/>
    <w:rsid w:val="004B6F39"/>
    <w:rsid w:val="004B76D9"/>
    <w:rsid w:val="004C06B1"/>
    <w:rsid w:val="004C0FC9"/>
    <w:rsid w:val="004C1E92"/>
    <w:rsid w:val="004C273B"/>
    <w:rsid w:val="004C41AD"/>
    <w:rsid w:val="004C69ED"/>
    <w:rsid w:val="004C7027"/>
    <w:rsid w:val="004D06B5"/>
    <w:rsid w:val="004D3474"/>
    <w:rsid w:val="004D37D5"/>
    <w:rsid w:val="004D5345"/>
    <w:rsid w:val="004D7953"/>
    <w:rsid w:val="004D79C7"/>
    <w:rsid w:val="004E1CF4"/>
    <w:rsid w:val="004E274B"/>
    <w:rsid w:val="004E2F04"/>
    <w:rsid w:val="004E4CD3"/>
    <w:rsid w:val="004E5CA0"/>
    <w:rsid w:val="004F2E4D"/>
    <w:rsid w:val="004F640C"/>
    <w:rsid w:val="00500A5E"/>
    <w:rsid w:val="00503C54"/>
    <w:rsid w:val="0050580A"/>
    <w:rsid w:val="005065FC"/>
    <w:rsid w:val="00506BE2"/>
    <w:rsid w:val="00507201"/>
    <w:rsid w:val="00511A6C"/>
    <w:rsid w:val="00511FD4"/>
    <w:rsid w:val="00513EB4"/>
    <w:rsid w:val="00513FB4"/>
    <w:rsid w:val="00516237"/>
    <w:rsid w:val="00517564"/>
    <w:rsid w:val="00522B7C"/>
    <w:rsid w:val="00523A2E"/>
    <w:rsid w:val="00524298"/>
    <w:rsid w:val="0052534B"/>
    <w:rsid w:val="00527BA2"/>
    <w:rsid w:val="00527D6F"/>
    <w:rsid w:val="0053088D"/>
    <w:rsid w:val="00533D29"/>
    <w:rsid w:val="00535488"/>
    <w:rsid w:val="00541043"/>
    <w:rsid w:val="00543012"/>
    <w:rsid w:val="005441F3"/>
    <w:rsid w:val="00545896"/>
    <w:rsid w:val="005479DC"/>
    <w:rsid w:val="00552875"/>
    <w:rsid w:val="0055391A"/>
    <w:rsid w:val="0055482E"/>
    <w:rsid w:val="0055634F"/>
    <w:rsid w:val="00557D9D"/>
    <w:rsid w:val="0056068D"/>
    <w:rsid w:val="00562ED8"/>
    <w:rsid w:val="0056300B"/>
    <w:rsid w:val="00570B9B"/>
    <w:rsid w:val="0057261B"/>
    <w:rsid w:val="00572866"/>
    <w:rsid w:val="00573400"/>
    <w:rsid w:val="00577925"/>
    <w:rsid w:val="00580887"/>
    <w:rsid w:val="00582B12"/>
    <w:rsid w:val="0058561E"/>
    <w:rsid w:val="0059359C"/>
    <w:rsid w:val="00596687"/>
    <w:rsid w:val="005A150B"/>
    <w:rsid w:val="005A45C6"/>
    <w:rsid w:val="005A7643"/>
    <w:rsid w:val="005A7F8C"/>
    <w:rsid w:val="005B0070"/>
    <w:rsid w:val="005B5478"/>
    <w:rsid w:val="005B690B"/>
    <w:rsid w:val="005B76EE"/>
    <w:rsid w:val="005B7BD6"/>
    <w:rsid w:val="005C098C"/>
    <w:rsid w:val="005C38AE"/>
    <w:rsid w:val="005C6645"/>
    <w:rsid w:val="005C7B5E"/>
    <w:rsid w:val="005D02F3"/>
    <w:rsid w:val="005D1287"/>
    <w:rsid w:val="005D151A"/>
    <w:rsid w:val="005D1A1E"/>
    <w:rsid w:val="005D2CEC"/>
    <w:rsid w:val="005D390D"/>
    <w:rsid w:val="005D44DB"/>
    <w:rsid w:val="005D5034"/>
    <w:rsid w:val="005E03E6"/>
    <w:rsid w:val="005E50F7"/>
    <w:rsid w:val="005E558F"/>
    <w:rsid w:val="005E7AE7"/>
    <w:rsid w:val="005F1E0C"/>
    <w:rsid w:val="005F5319"/>
    <w:rsid w:val="005F6E18"/>
    <w:rsid w:val="00600E1D"/>
    <w:rsid w:val="00601431"/>
    <w:rsid w:val="00601B29"/>
    <w:rsid w:val="00604654"/>
    <w:rsid w:val="006056B4"/>
    <w:rsid w:val="006061C2"/>
    <w:rsid w:val="0060670C"/>
    <w:rsid w:val="00607B41"/>
    <w:rsid w:val="00610809"/>
    <w:rsid w:val="0061124D"/>
    <w:rsid w:val="00611BA9"/>
    <w:rsid w:val="00612FC4"/>
    <w:rsid w:val="00613238"/>
    <w:rsid w:val="006134F0"/>
    <w:rsid w:val="0061430D"/>
    <w:rsid w:val="00614D47"/>
    <w:rsid w:val="00620C79"/>
    <w:rsid w:val="00622073"/>
    <w:rsid w:val="00622627"/>
    <w:rsid w:val="006234A3"/>
    <w:rsid w:val="006235B1"/>
    <w:rsid w:val="00625351"/>
    <w:rsid w:val="006253D9"/>
    <w:rsid w:val="00627868"/>
    <w:rsid w:val="006303A4"/>
    <w:rsid w:val="00631BB0"/>
    <w:rsid w:val="00632206"/>
    <w:rsid w:val="00632295"/>
    <w:rsid w:val="00634836"/>
    <w:rsid w:val="006351BF"/>
    <w:rsid w:val="00636681"/>
    <w:rsid w:val="006379B5"/>
    <w:rsid w:val="00641DEF"/>
    <w:rsid w:val="006445CD"/>
    <w:rsid w:val="00645B2C"/>
    <w:rsid w:val="006471CE"/>
    <w:rsid w:val="006476EE"/>
    <w:rsid w:val="006508C8"/>
    <w:rsid w:val="00655322"/>
    <w:rsid w:val="006611AE"/>
    <w:rsid w:val="00661B32"/>
    <w:rsid w:val="00662B12"/>
    <w:rsid w:val="00664013"/>
    <w:rsid w:val="00664565"/>
    <w:rsid w:val="006707E1"/>
    <w:rsid w:val="0067228F"/>
    <w:rsid w:val="00675E19"/>
    <w:rsid w:val="0067736E"/>
    <w:rsid w:val="0068053B"/>
    <w:rsid w:val="00680584"/>
    <w:rsid w:val="006805A5"/>
    <w:rsid w:val="006823AF"/>
    <w:rsid w:val="00684BB3"/>
    <w:rsid w:val="0069001A"/>
    <w:rsid w:val="00692910"/>
    <w:rsid w:val="006978FD"/>
    <w:rsid w:val="006A05D8"/>
    <w:rsid w:val="006A1448"/>
    <w:rsid w:val="006A2B00"/>
    <w:rsid w:val="006A49AD"/>
    <w:rsid w:val="006A4E02"/>
    <w:rsid w:val="006A6A76"/>
    <w:rsid w:val="006A77B7"/>
    <w:rsid w:val="006B0E05"/>
    <w:rsid w:val="006B6942"/>
    <w:rsid w:val="006C0DE5"/>
    <w:rsid w:val="006C1139"/>
    <w:rsid w:val="006C42F5"/>
    <w:rsid w:val="006C6F77"/>
    <w:rsid w:val="006C7210"/>
    <w:rsid w:val="006C721D"/>
    <w:rsid w:val="006D1D3D"/>
    <w:rsid w:val="006D2AC6"/>
    <w:rsid w:val="006D2FA3"/>
    <w:rsid w:val="006D42DB"/>
    <w:rsid w:val="006D6D5C"/>
    <w:rsid w:val="006D71CB"/>
    <w:rsid w:val="006D7A89"/>
    <w:rsid w:val="006E147C"/>
    <w:rsid w:val="006E1BA3"/>
    <w:rsid w:val="006E2B12"/>
    <w:rsid w:val="006E2FD0"/>
    <w:rsid w:val="006E3D79"/>
    <w:rsid w:val="006E6103"/>
    <w:rsid w:val="006E6511"/>
    <w:rsid w:val="006F1AF1"/>
    <w:rsid w:val="006F20BA"/>
    <w:rsid w:val="006F2373"/>
    <w:rsid w:val="006F697B"/>
    <w:rsid w:val="0070153E"/>
    <w:rsid w:val="007019BE"/>
    <w:rsid w:val="00701EA5"/>
    <w:rsid w:val="00704748"/>
    <w:rsid w:val="007053F3"/>
    <w:rsid w:val="00707E30"/>
    <w:rsid w:val="007106EC"/>
    <w:rsid w:val="00710A02"/>
    <w:rsid w:val="00712DF6"/>
    <w:rsid w:val="0071409F"/>
    <w:rsid w:val="00717073"/>
    <w:rsid w:val="007214CB"/>
    <w:rsid w:val="007233EA"/>
    <w:rsid w:val="007241FA"/>
    <w:rsid w:val="00725303"/>
    <w:rsid w:val="0072583F"/>
    <w:rsid w:val="0072709C"/>
    <w:rsid w:val="00730509"/>
    <w:rsid w:val="007313BF"/>
    <w:rsid w:val="007367E6"/>
    <w:rsid w:val="00740602"/>
    <w:rsid w:val="00740A27"/>
    <w:rsid w:val="007433B8"/>
    <w:rsid w:val="0074380C"/>
    <w:rsid w:val="007439B3"/>
    <w:rsid w:val="00744BDF"/>
    <w:rsid w:val="00746181"/>
    <w:rsid w:val="007464E1"/>
    <w:rsid w:val="00747B02"/>
    <w:rsid w:val="007517F6"/>
    <w:rsid w:val="00751CCC"/>
    <w:rsid w:val="00752034"/>
    <w:rsid w:val="007523FB"/>
    <w:rsid w:val="00752856"/>
    <w:rsid w:val="00753676"/>
    <w:rsid w:val="007541C1"/>
    <w:rsid w:val="00754729"/>
    <w:rsid w:val="007560D3"/>
    <w:rsid w:val="007566AC"/>
    <w:rsid w:val="0075724C"/>
    <w:rsid w:val="00757DB0"/>
    <w:rsid w:val="0076051E"/>
    <w:rsid w:val="007639B5"/>
    <w:rsid w:val="00764BF8"/>
    <w:rsid w:val="00764E67"/>
    <w:rsid w:val="007744E9"/>
    <w:rsid w:val="007774D5"/>
    <w:rsid w:val="00777818"/>
    <w:rsid w:val="00780A33"/>
    <w:rsid w:val="007819EB"/>
    <w:rsid w:val="00782420"/>
    <w:rsid w:val="007832A6"/>
    <w:rsid w:val="007853E1"/>
    <w:rsid w:val="00787266"/>
    <w:rsid w:val="007876C9"/>
    <w:rsid w:val="00790C0F"/>
    <w:rsid w:val="00790C7A"/>
    <w:rsid w:val="00790EAE"/>
    <w:rsid w:val="0079175B"/>
    <w:rsid w:val="00792AA6"/>
    <w:rsid w:val="007A07A1"/>
    <w:rsid w:val="007A1BA9"/>
    <w:rsid w:val="007A1BB7"/>
    <w:rsid w:val="007A4630"/>
    <w:rsid w:val="007A5B10"/>
    <w:rsid w:val="007B2959"/>
    <w:rsid w:val="007C105A"/>
    <w:rsid w:val="007C11FB"/>
    <w:rsid w:val="007C152A"/>
    <w:rsid w:val="007C1C8B"/>
    <w:rsid w:val="007C1DF6"/>
    <w:rsid w:val="007C369E"/>
    <w:rsid w:val="007C38BB"/>
    <w:rsid w:val="007C44AF"/>
    <w:rsid w:val="007C7697"/>
    <w:rsid w:val="007C79CE"/>
    <w:rsid w:val="007D0E5D"/>
    <w:rsid w:val="007D1FFB"/>
    <w:rsid w:val="007D2C88"/>
    <w:rsid w:val="007D3643"/>
    <w:rsid w:val="007D3E1A"/>
    <w:rsid w:val="007D5CF3"/>
    <w:rsid w:val="007D778D"/>
    <w:rsid w:val="007E12EF"/>
    <w:rsid w:val="007E1A94"/>
    <w:rsid w:val="007E268B"/>
    <w:rsid w:val="007E44BD"/>
    <w:rsid w:val="007E79AA"/>
    <w:rsid w:val="007F1285"/>
    <w:rsid w:val="007F1677"/>
    <w:rsid w:val="007F3997"/>
    <w:rsid w:val="007F3A57"/>
    <w:rsid w:val="007F434A"/>
    <w:rsid w:val="007F44FC"/>
    <w:rsid w:val="007F47A2"/>
    <w:rsid w:val="007F5438"/>
    <w:rsid w:val="008004CA"/>
    <w:rsid w:val="0080076A"/>
    <w:rsid w:val="00800F35"/>
    <w:rsid w:val="00801BA9"/>
    <w:rsid w:val="00802CA2"/>
    <w:rsid w:val="00802E76"/>
    <w:rsid w:val="00804EAC"/>
    <w:rsid w:val="00807685"/>
    <w:rsid w:val="0081214E"/>
    <w:rsid w:val="00814A83"/>
    <w:rsid w:val="00816BCE"/>
    <w:rsid w:val="008224AE"/>
    <w:rsid w:val="008226D4"/>
    <w:rsid w:val="008232FB"/>
    <w:rsid w:val="008236D8"/>
    <w:rsid w:val="00823DC8"/>
    <w:rsid w:val="008242D0"/>
    <w:rsid w:val="00825F42"/>
    <w:rsid w:val="00826486"/>
    <w:rsid w:val="00826547"/>
    <w:rsid w:val="008320A2"/>
    <w:rsid w:val="00833462"/>
    <w:rsid w:val="00840C22"/>
    <w:rsid w:val="00842AFE"/>
    <w:rsid w:val="00845589"/>
    <w:rsid w:val="00846DD4"/>
    <w:rsid w:val="00847B3F"/>
    <w:rsid w:val="008505D9"/>
    <w:rsid w:val="00850F0C"/>
    <w:rsid w:val="00852491"/>
    <w:rsid w:val="00853344"/>
    <w:rsid w:val="008543CC"/>
    <w:rsid w:val="008553B7"/>
    <w:rsid w:val="008555DE"/>
    <w:rsid w:val="00856325"/>
    <w:rsid w:val="008569C8"/>
    <w:rsid w:val="00863225"/>
    <w:rsid w:val="00864BDC"/>
    <w:rsid w:val="00865A10"/>
    <w:rsid w:val="00865A17"/>
    <w:rsid w:val="008702DC"/>
    <w:rsid w:val="00870506"/>
    <w:rsid w:val="00870573"/>
    <w:rsid w:val="00871939"/>
    <w:rsid w:val="0087567F"/>
    <w:rsid w:val="0088136F"/>
    <w:rsid w:val="00884193"/>
    <w:rsid w:val="00884B5A"/>
    <w:rsid w:val="00884F28"/>
    <w:rsid w:val="00885FAB"/>
    <w:rsid w:val="00886284"/>
    <w:rsid w:val="00893187"/>
    <w:rsid w:val="008933F2"/>
    <w:rsid w:val="00894D0F"/>
    <w:rsid w:val="00896919"/>
    <w:rsid w:val="008A38CB"/>
    <w:rsid w:val="008B0C5A"/>
    <w:rsid w:val="008B4918"/>
    <w:rsid w:val="008B4E58"/>
    <w:rsid w:val="008B70E4"/>
    <w:rsid w:val="008B77DB"/>
    <w:rsid w:val="008B7EEF"/>
    <w:rsid w:val="008C41F0"/>
    <w:rsid w:val="008C55B1"/>
    <w:rsid w:val="008C6302"/>
    <w:rsid w:val="008C695E"/>
    <w:rsid w:val="008D3EF0"/>
    <w:rsid w:val="008D4663"/>
    <w:rsid w:val="008E02F7"/>
    <w:rsid w:val="008E030E"/>
    <w:rsid w:val="008E09BA"/>
    <w:rsid w:val="008E1B74"/>
    <w:rsid w:val="008E480F"/>
    <w:rsid w:val="008E4FD8"/>
    <w:rsid w:val="008E5AB9"/>
    <w:rsid w:val="008E5C56"/>
    <w:rsid w:val="008E6679"/>
    <w:rsid w:val="008F12C0"/>
    <w:rsid w:val="008F29D5"/>
    <w:rsid w:val="008F2C98"/>
    <w:rsid w:val="008F4538"/>
    <w:rsid w:val="008F7A67"/>
    <w:rsid w:val="00901AD6"/>
    <w:rsid w:val="00903FD6"/>
    <w:rsid w:val="009053C5"/>
    <w:rsid w:val="00907B5C"/>
    <w:rsid w:val="00907F0F"/>
    <w:rsid w:val="00911393"/>
    <w:rsid w:val="009126C2"/>
    <w:rsid w:val="00913B0C"/>
    <w:rsid w:val="00915994"/>
    <w:rsid w:val="00915B32"/>
    <w:rsid w:val="009177DB"/>
    <w:rsid w:val="0093206F"/>
    <w:rsid w:val="00932D49"/>
    <w:rsid w:val="00933015"/>
    <w:rsid w:val="00934E86"/>
    <w:rsid w:val="00935741"/>
    <w:rsid w:val="00935795"/>
    <w:rsid w:val="009359B4"/>
    <w:rsid w:val="00937ED1"/>
    <w:rsid w:val="0094082E"/>
    <w:rsid w:val="009418A0"/>
    <w:rsid w:val="0094222D"/>
    <w:rsid w:val="00943868"/>
    <w:rsid w:val="00944090"/>
    <w:rsid w:val="00944F90"/>
    <w:rsid w:val="0094693C"/>
    <w:rsid w:val="0095107D"/>
    <w:rsid w:val="00951618"/>
    <w:rsid w:val="00952691"/>
    <w:rsid w:val="00955D01"/>
    <w:rsid w:val="009561A3"/>
    <w:rsid w:val="0096120A"/>
    <w:rsid w:val="009640C9"/>
    <w:rsid w:val="00964E65"/>
    <w:rsid w:val="00965254"/>
    <w:rsid w:val="0096625F"/>
    <w:rsid w:val="009665B5"/>
    <w:rsid w:val="009665C2"/>
    <w:rsid w:val="0097060B"/>
    <w:rsid w:val="0097285B"/>
    <w:rsid w:val="009740C3"/>
    <w:rsid w:val="009769C4"/>
    <w:rsid w:val="00977404"/>
    <w:rsid w:val="00982CDE"/>
    <w:rsid w:val="009843B5"/>
    <w:rsid w:val="00984F95"/>
    <w:rsid w:val="0098668A"/>
    <w:rsid w:val="0099040E"/>
    <w:rsid w:val="009907BA"/>
    <w:rsid w:val="00990AF5"/>
    <w:rsid w:val="0099242C"/>
    <w:rsid w:val="009925DB"/>
    <w:rsid w:val="0099324A"/>
    <w:rsid w:val="0099371B"/>
    <w:rsid w:val="009A11AA"/>
    <w:rsid w:val="009A1AC7"/>
    <w:rsid w:val="009A3DC2"/>
    <w:rsid w:val="009A5BCC"/>
    <w:rsid w:val="009B0B12"/>
    <w:rsid w:val="009B19A0"/>
    <w:rsid w:val="009B2BCE"/>
    <w:rsid w:val="009B3580"/>
    <w:rsid w:val="009B5C5C"/>
    <w:rsid w:val="009B6A69"/>
    <w:rsid w:val="009C22DB"/>
    <w:rsid w:val="009C461E"/>
    <w:rsid w:val="009C610D"/>
    <w:rsid w:val="009C70FD"/>
    <w:rsid w:val="009C7623"/>
    <w:rsid w:val="009C7E7A"/>
    <w:rsid w:val="009D0D32"/>
    <w:rsid w:val="009D29B9"/>
    <w:rsid w:val="009D2A20"/>
    <w:rsid w:val="009D398E"/>
    <w:rsid w:val="009D7D1C"/>
    <w:rsid w:val="009E1737"/>
    <w:rsid w:val="009E1B66"/>
    <w:rsid w:val="009E3446"/>
    <w:rsid w:val="009E37AE"/>
    <w:rsid w:val="009E392F"/>
    <w:rsid w:val="009E5ACD"/>
    <w:rsid w:val="009E672A"/>
    <w:rsid w:val="009E6785"/>
    <w:rsid w:val="009F09E0"/>
    <w:rsid w:val="009F25A0"/>
    <w:rsid w:val="009F3FEA"/>
    <w:rsid w:val="009F4919"/>
    <w:rsid w:val="009F5E3C"/>
    <w:rsid w:val="009F63F2"/>
    <w:rsid w:val="009F6D6E"/>
    <w:rsid w:val="009F714F"/>
    <w:rsid w:val="00A00E77"/>
    <w:rsid w:val="00A020B2"/>
    <w:rsid w:val="00A058ED"/>
    <w:rsid w:val="00A06E4B"/>
    <w:rsid w:val="00A10497"/>
    <w:rsid w:val="00A16256"/>
    <w:rsid w:val="00A216A5"/>
    <w:rsid w:val="00A25E71"/>
    <w:rsid w:val="00A26097"/>
    <w:rsid w:val="00A26E40"/>
    <w:rsid w:val="00A2706D"/>
    <w:rsid w:val="00A2748A"/>
    <w:rsid w:val="00A279D1"/>
    <w:rsid w:val="00A27AAF"/>
    <w:rsid w:val="00A367D2"/>
    <w:rsid w:val="00A37F2E"/>
    <w:rsid w:val="00A4008B"/>
    <w:rsid w:val="00A405D4"/>
    <w:rsid w:val="00A419A7"/>
    <w:rsid w:val="00A42418"/>
    <w:rsid w:val="00A43413"/>
    <w:rsid w:val="00A4630E"/>
    <w:rsid w:val="00A470D6"/>
    <w:rsid w:val="00A47456"/>
    <w:rsid w:val="00A50C9E"/>
    <w:rsid w:val="00A53588"/>
    <w:rsid w:val="00A538F0"/>
    <w:rsid w:val="00A540EF"/>
    <w:rsid w:val="00A54487"/>
    <w:rsid w:val="00A55559"/>
    <w:rsid w:val="00A56789"/>
    <w:rsid w:val="00A60BD4"/>
    <w:rsid w:val="00A615A2"/>
    <w:rsid w:val="00A61748"/>
    <w:rsid w:val="00A669BE"/>
    <w:rsid w:val="00A67EF0"/>
    <w:rsid w:val="00A70FF8"/>
    <w:rsid w:val="00A71319"/>
    <w:rsid w:val="00A736DA"/>
    <w:rsid w:val="00A764E0"/>
    <w:rsid w:val="00A81EF2"/>
    <w:rsid w:val="00A83B98"/>
    <w:rsid w:val="00A84BF5"/>
    <w:rsid w:val="00A85405"/>
    <w:rsid w:val="00A866EF"/>
    <w:rsid w:val="00A90EBD"/>
    <w:rsid w:val="00A9123D"/>
    <w:rsid w:val="00A94025"/>
    <w:rsid w:val="00A975C7"/>
    <w:rsid w:val="00A97F90"/>
    <w:rsid w:val="00AA07CF"/>
    <w:rsid w:val="00AA45B4"/>
    <w:rsid w:val="00AA4FE6"/>
    <w:rsid w:val="00AA5B0D"/>
    <w:rsid w:val="00AA5F0A"/>
    <w:rsid w:val="00AA69E0"/>
    <w:rsid w:val="00AB19A6"/>
    <w:rsid w:val="00AB5094"/>
    <w:rsid w:val="00AB582C"/>
    <w:rsid w:val="00AB5905"/>
    <w:rsid w:val="00AB5A38"/>
    <w:rsid w:val="00AC4651"/>
    <w:rsid w:val="00AC55D9"/>
    <w:rsid w:val="00AC58F0"/>
    <w:rsid w:val="00AD06F7"/>
    <w:rsid w:val="00AD221E"/>
    <w:rsid w:val="00AD4D9B"/>
    <w:rsid w:val="00AD5E6E"/>
    <w:rsid w:val="00AD61A3"/>
    <w:rsid w:val="00AD6298"/>
    <w:rsid w:val="00AD6495"/>
    <w:rsid w:val="00AE0A83"/>
    <w:rsid w:val="00AE25E2"/>
    <w:rsid w:val="00AE4B22"/>
    <w:rsid w:val="00AE68BB"/>
    <w:rsid w:val="00AE7035"/>
    <w:rsid w:val="00AF0F5E"/>
    <w:rsid w:val="00AF1E7D"/>
    <w:rsid w:val="00AF3BD8"/>
    <w:rsid w:val="00AF7F96"/>
    <w:rsid w:val="00B00221"/>
    <w:rsid w:val="00B03609"/>
    <w:rsid w:val="00B03627"/>
    <w:rsid w:val="00B03BC4"/>
    <w:rsid w:val="00B05DAC"/>
    <w:rsid w:val="00B110E4"/>
    <w:rsid w:val="00B1275E"/>
    <w:rsid w:val="00B13708"/>
    <w:rsid w:val="00B16B98"/>
    <w:rsid w:val="00B264B4"/>
    <w:rsid w:val="00B31540"/>
    <w:rsid w:val="00B31F54"/>
    <w:rsid w:val="00B323A4"/>
    <w:rsid w:val="00B32F98"/>
    <w:rsid w:val="00B36BF7"/>
    <w:rsid w:val="00B374AE"/>
    <w:rsid w:val="00B37D59"/>
    <w:rsid w:val="00B4122D"/>
    <w:rsid w:val="00B41F9E"/>
    <w:rsid w:val="00B42765"/>
    <w:rsid w:val="00B440BC"/>
    <w:rsid w:val="00B4473C"/>
    <w:rsid w:val="00B44C8D"/>
    <w:rsid w:val="00B46136"/>
    <w:rsid w:val="00B540DD"/>
    <w:rsid w:val="00B55B94"/>
    <w:rsid w:val="00B56DBF"/>
    <w:rsid w:val="00B57A1E"/>
    <w:rsid w:val="00B606E4"/>
    <w:rsid w:val="00B643E2"/>
    <w:rsid w:val="00B64B75"/>
    <w:rsid w:val="00B66165"/>
    <w:rsid w:val="00B674A0"/>
    <w:rsid w:val="00B70646"/>
    <w:rsid w:val="00B708DA"/>
    <w:rsid w:val="00B7144C"/>
    <w:rsid w:val="00B714D7"/>
    <w:rsid w:val="00B72FC5"/>
    <w:rsid w:val="00B73114"/>
    <w:rsid w:val="00B80E51"/>
    <w:rsid w:val="00B81005"/>
    <w:rsid w:val="00B84C61"/>
    <w:rsid w:val="00B8510B"/>
    <w:rsid w:val="00B8697C"/>
    <w:rsid w:val="00B86B09"/>
    <w:rsid w:val="00B91520"/>
    <w:rsid w:val="00B9152C"/>
    <w:rsid w:val="00B92035"/>
    <w:rsid w:val="00B93478"/>
    <w:rsid w:val="00B960D4"/>
    <w:rsid w:val="00BA1717"/>
    <w:rsid w:val="00BA2F75"/>
    <w:rsid w:val="00BA4349"/>
    <w:rsid w:val="00BA46F0"/>
    <w:rsid w:val="00BA7781"/>
    <w:rsid w:val="00BB15A5"/>
    <w:rsid w:val="00BB1746"/>
    <w:rsid w:val="00BB189C"/>
    <w:rsid w:val="00BB5316"/>
    <w:rsid w:val="00BB5A33"/>
    <w:rsid w:val="00BB5B9A"/>
    <w:rsid w:val="00BB6588"/>
    <w:rsid w:val="00BC0368"/>
    <w:rsid w:val="00BC1642"/>
    <w:rsid w:val="00BC1D15"/>
    <w:rsid w:val="00BC549B"/>
    <w:rsid w:val="00BC7EB6"/>
    <w:rsid w:val="00BD072C"/>
    <w:rsid w:val="00BD1191"/>
    <w:rsid w:val="00BD33B7"/>
    <w:rsid w:val="00BD65BA"/>
    <w:rsid w:val="00BD714C"/>
    <w:rsid w:val="00BD7570"/>
    <w:rsid w:val="00BE1B4D"/>
    <w:rsid w:val="00BE2D6A"/>
    <w:rsid w:val="00BE4950"/>
    <w:rsid w:val="00BE78E8"/>
    <w:rsid w:val="00BE7AF5"/>
    <w:rsid w:val="00BF074B"/>
    <w:rsid w:val="00BF6C3B"/>
    <w:rsid w:val="00BF793C"/>
    <w:rsid w:val="00C01CE4"/>
    <w:rsid w:val="00C02A10"/>
    <w:rsid w:val="00C04900"/>
    <w:rsid w:val="00C04935"/>
    <w:rsid w:val="00C05B8D"/>
    <w:rsid w:val="00C10511"/>
    <w:rsid w:val="00C112FA"/>
    <w:rsid w:val="00C1308A"/>
    <w:rsid w:val="00C13383"/>
    <w:rsid w:val="00C13627"/>
    <w:rsid w:val="00C14673"/>
    <w:rsid w:val="00C14BD4"/>
    <w:rsid w:val="00C17F7A"/>
    <w:rsid w:val="00C20F83"/>
    <w:rsid w:val="00C20FD9"/>
    <w:rsid w:val="00C229D9"/>
    <w:rsid w:val="00C23976"/>
    <w:rsid w:val="00C24010"/>
    <w:rsid w:val="00C24E06"/>
    <w:rsid w:val="00C26F7C"/>
    <w:rsid w:val="00C27CAB"/>
    <w:rsid w:val="00C27EA8"/>
    <w:rsid w:val="00C30DF5"/>
    <w:rsid w:val="00C332A1"/>
    <w:rsid w:val="00C332BE"/>
    <w:rsid w:val="00C34F0F"/>
    <w:rsid w:val="00C365D8"/>
    <w:rsid w:val="00C374E3"/>
    <w:rsid w:val="00C4001F"/>
    <w:rsid w:val="00C40DF6"/>
    <w:rsid w:val="00C41CBB"/>
    <w:rsid w:val="00C425BE"/>
    <w:rsid w:val="00C428E4"/>
    <w:rsid w:val="00C439EF"/>
    <w:rsid w:val="00C46ED3"/>
    <w:rsid w:val="00C46FB3"/>
    <w:rsid w:val="00C52A41"/>
    <w:rsid w:val="00C53B43"/>
    <w:rsid w:val="00C54BE8"/>
    <w:rsid w:val="00C5533E"/>
    <w:rsid w:val="00C56367"/>
    <w:rsid w:val="00C56A9E"/>
    <w:rsid w:val="00C56E97"/>
    <w:rsid w:val="00C616DE"/>
    <w:rsid w:val="00C617BA"/>
    <w:rsid w:val="00C617EF"/>
    <w:rsid w:val="00C63197"/>
    <w:rsid w:val="00C656CD"/>
    <w:rsid w:val="00C7246A"/>
    <w:rsid w:val="00C83011"/>
    <w:rsid w:val="00C831B5"/>
    <w:rsid w:val="00C852FB"/>
    <w:rsid w:val="00C855F3"/>
    <w:rsid w:val="00C866A7"/>
    <w:rsid w:val="00C87A87"/>
    <w:rsid w:val="00C911E4"/>
    <w:rsid w:val="00C937FD"/>
    <w:rsid w:val="00C9468F"/>
    <w:rsid w:val="00C94691"/>
    <w:rsid w:val="00C96327"/>
    <w:rsid w:val="00CA49EB"/>
    <w:rsid w:val="00CA503E"/>
    <w:rsid w:val="00CB15AE"/>
    <w:rsid w:val="00CB1AE9"/>
    <w:rsid w:val="00CB2C5F"/>
    <w:rsid w:val="00CB2C7D"/>
    <w:rsid w:val="00CB51DF"/>
    <w:rsid w:val="00CB650E"/>
    <w:rsid w:val="00CB697F"/>
    <w:rsid w:val="00CC01F9"/>
    <w:rsid w:val="00CC166B"/>
    <w:rsid w:val="00CC2B7A"/>
    <w:rsid w:val="00CC3588"/>
    <w:rsid w:val="00CC3F3A"/>
    <w:rsid w:val="00CC447A"/>
    <w:rsid w:val="00CD137F"/>
    <w:rsid w:val="00CD6594"/>
    <w:rsid w:val="00CE0A6A"/>
    <w:rsid w:val="00CE143D"/>
    <w:rsid w:val="00CE1FC1"/>
    <w:rsid w:val="00CE2D84"/>
    <w:rsid w:val="00CE3C92"/>
    <w:rsid w:val="00CE75C3"/>
    <w:rsid w:val="00CE7AAF"/>
    <w:rsid w:val="00CF0086"/>
    <w:rsid w:val="00CF1911"/>
    <w:rsid w:val="00CF3334"/>
    <w:rsid w:val="00CF4681"/>
    <w:rsid w:val="00CF782F"/>
    <w:rsid w:val="00CF79D3"/>
    <w:rsid w:val="00D0206F"/>
    <w:rsid w:val="00D04A73"/>
    <w:rsid w:val="00D04EB7"/>
    <w:rsid w:val="00D06989"/>
    <w:rsid w:val="00D06B52"/>
    <w:rsid w:val="00D073D8"/>
    <w:rsid w:val="00D07909"/>
    <w:rsid w:val="00D07F19"/>
    <w:rsid w:val="00D112E9"/>
    <w:rsid w:val="00D11890"/>
    <w:rsid w:val="00D119AC"/>
    <w:rsid w:val="00D1209F"/>
    <w:rsid w:val="00D13518"/>
    <w:rsid w:val="00D1384B"/>
    <w:rsid w:val="00D160F9"/>
    <w:rsid w:val="00D163A6"/>
    <w:rsid w:val="00D207F0"/>
    <w:rsid w:val="00D21DC3"/>
    <w:rsid w:val="00D22878"/>
    <w:rsid w:val="00D24482"/>
    <w:rsid w:val="00D24A9B"/>
    <w:rsid w:val="00D25006"/>
    <w:rsid w:val="00D2723C"/>
    <w:rsid w:val="00D27FF2"/>
    <w:rsid w:val="00D3028D"/>
    <w:rsid w:val="00D307D7"/>
    <w:rsid w:val="00D30FE3"/>
    <w:rsid w:val="00D3124C"/>
    <w:rsid w:val="00D421B7"/>
    <w:rsid w:val="00D44E15"/>
    <w:rsid w:val="00D45D65"/>
    <w:rsid w:val="00D45EC9"/>
    <w:rsid w:val="00D5045F"/>
    <w:rsid w:val="00D506A8"/>
    <w:rsid w:val="00D51287"/>
    <w:rsid w:val="00D52313"/>
    <w:rsid w:val="00D52F64"/>
    <w:rsid w:val="00D5459F"/>
    <w:rsid w:val="00D56E24"/>
    <w:rsid w:val="00D57F53"/>
    <w:rsid w:val="00D60381"/>
    <w:rsid w:val="00D630F9"/>
    <w:rsid w:val="00D6352F"/>
    <w:rsid w:val="00D63546"/>
    <w:rsid w:val="00D635BF"/>
    <w:rsid w:val="00D652C3"/>
    <w:rsid w:val="00D6554A"/>
    <w:rsid w:val="00D65CB9"/>
    <w:rsid w:val="00D67607"/>
    <w:rsid w:val="00D727FF"/>
    <w:rsid w:val="00D762AB"/>
    <w:rsid w:val="00D803B3"/>
    <w:rsid w:val="00D805C5"/>
    <w:rsid w:val="00D809CA"/>
    <w:rsid w:val="00D814D4"/>
    <w:rsid w:val="00D828B9"/>
    <w:rsid w:val="00D833CD"/>
    <w:rsid w:val="00D837C0"/>
    <w:rsid w:val="00D83D06"/>
    <w:rsid w:val="00D8436D"/>
    <w:rsid w:val="00D84CF3"/>
    <w:rsid w:val="00D85AB6"/>
    <w:rsid w:val="00D87179"/>
    <w:rsid w:val="00D91A74"/>
    <w:rsid w:val="00D91AE7"/>
    <w:rsid w:val="00D946E4"/>
    <w:rsid w:val="00D94743"/>
    <w:rsid w:val="00D96387"/>
    <w:rsid w:val="00D970D3"/>
    <w:rsid w:val="00DA0022"/>
    <w:rsid w:val="00DA15B3"/>
    <w:rsid w:val="00DA24E7"/>
    <w:rsid w:val="00DA25A9"/>
    <w:rsid w:val="00DB0C3D"/>
    <w:rsid w:val="00DB17BA"/>
    <w:rsid w:val="00DB4205"/>
    <w:rsid w:val="00DC4D81"/>
    <w:rsid w:val="00DC512E"/>
    <w:rsid w:val="00DC6ED2"/>
    <w:rsid w:val="00DD1CFD"/>
    <w:rsid w:val="00DD67CA"/>
    <w:rsid w:val="00DD6CDF"/>
    <w:rsid w:val="00DD7327"/>
    <w:rsid w:val="00DE0C58"/>
    <w:rsid w:val="00DE240E"/>
    <w:rsid w:val="00DE2B8D"/>
    <w:rsid w:val="00DE5D80"/>
    <w:rsid w:val="00DE7053"/>
    <w:rsid w:val="00DE7DB5"/>
    <w:rsid w:val="00DF2531"/>
    <w:rsid w:val="00DF2B68"/>
    <w:rsid w:val="00DF4F99"/>
    <w:rsid w:val="00DF641C"/>
    <w:rsid w:val="00DF6CB0"/>
    <w:rsid w:val="00DF7C21"/>
    <w:rsid w:val="00E0356D"/>
    <w:rsid w:val="00E0562B"/>
    <w:rsid w:val="00E10210"/>
    <w:rsid w:val="00E1323B"/>
    <w:rsid w:val="00E143D4"/>
    <w:rsid w:val="00E207AC"/>
    <w:rsid w:val="00E20ACF"/>
    <w:rsid w:val="00E226B6"/>
    <w:rsid w:val="00E241B7"/>
    <w:rsid w:val="00E30577"/>
    <w:rsid w:val="00E317D5"/>
    <w:rsid w:val="00E31EDB"/>
    <w:rsid w:val="00E323A5"/>
    <w:rsid w:val="00E35D65"/>
    <w:rsid w:val="00E43289"/>
    <w:rsid w:val="00E43C64"/>
    <w:rsid w:val="00E43EC2"/>
    <w:rsid w:val="00E449C9"/>
    <w:rsid w:val="00E45128"/>
    <w:rsid w:val="00E464EB"/>
    <w:rsid w:val="00E4711B"/>
    <w:rsid w:val="00E500BF"/>
    <w:rsid w:val="00E50453"/>
    <w:rsid w:val="00E505FC"/>
    <w:rsid w:val="00E5219B"/>
    <w:rsid w:val="00E52DFE"/>
    <w:rsid w:val="00E539FA"/>
    <w:rsid w:val="00E549EA"/>
    <w:rsid w:val="00E55451"/>
    <w:rsid w:val="00E55F6A"/>
    <w:rsid w:val="00E61252"/>
    <w:rsid w:val="00E6181D"/>
    <w:rsid w:val="00E624F8"/>
    <w:rsid w:val="00E634E4"/>
    <w:rsid w:val="00E675E8"/>
    <w:rsid w:val="00E67ED1"/>
    <w:rsid w:val="00E706B1"/>
    <w:rsid w:val="00E70FE4"/>
    <w:rsid w:val="00E71D7B"/>
    <w:rsid w:val="00E74EE5"/>
    <w:rsid w:val="00E80FBA"/>
    <w:rsid w:val="00E819A8"/>
    <w:rsid w:val="00E830E3"/>
    <w:rsid w:val="00E83923"/>
    <w:rsid w:val="00E84AA1"/>
    <w:rsid w:val="00E84BD8"/>
    <w:rsid w:val="00E85470"/>
    <w:rsid w:val="00E86C66"/>
    <w:rsid w:val="00E87242"/>
    <w:rsid w:val="00E9001A"/>
    <w:rsid w:val="00E90F91"/>
    <w:rsid w:val="00E94D19"/>
    <w:rsid w:val="00E94F2E"/>
    <w:rsid w:val="00E95EB5"/>
    <w:rsid w:val="00E96457"/>
    <w:rsid w:val="00E97276"/>
    <w:rsid w:val="00E97B09"/>
    <w:rsid w:val="00EA265A"/>
    <w:rsid w:val="00EA7B07"/>
    <w:rsid w:val="00EB016E"/>
    <w:rsid w:val="00EC1F1F"/>
    <w:rsid w:val="00EC2A19"/>
    <w:rsid w:val="00EC4E1E"/>
    <w:rsid w:val="00EC7D66"/>
    <w:rsid w:val="00ED0600"/>
    <w:rsid w:val="00ED06AD"/>
    <w:rsid w:val="00ED3A6C"/>
    <w:rsid w:val="00EE0408"/>
    <w:rsid w:val="00EE128D"/>
    <w:rsid w:val="00EE1EE7"/>
    <w:rsid w:val="00EE6AFF"/>
    <w:rsid w:val="00EE6EF5"/>
    <w:rsid w:val="00EF2CD1"/>
    <w:rsid w:val="00EF46F3"/>
    <w:rsid w:val="00EF711F"/>
    <w:rsid w:val="00F00D17"/>
    <w:rsid w:val="00F019E7"/>
    <w:rsid w:val="00F01FC2"/>
    <w:rsid w:val="00F0353B"/>
    <w:rsid w:val="00F038B0"/>
    <w:rsid w:val="00F0396A"/>
    <w:rsid w:val="00F05285"/>
    <w:rsid w:val="00F10D5C"/>
    <w:rsid w:val="00F10DEA"/>
    <w:rsid w:val="00F11AF9"/>
    <w:rsid w:val="00F15AA0"/>
    <w:rsid w:val="00F15DD4"/>
    <w:rsid w:val="00F17950"/>
    <w:rsid w:val="00F201C0"/>
    <w:rsid w:val="00F216C2"/>
    <w:rsid w:val="00F22E2E"/>
    <w:rsid w:val="00F2562F"/>
    <w:rsid w:val="00F25702"/>
    <w:rsid w:val="00F2587C"/>
    <w:rsid w:val="00F26FF7"/>
    <w:rsid w:val="00F313CD"/>
    <w:rsid w:val="00F313D9"/>
    <w:rsid w:val="00F332B2"/>
    <w:rsid w:val="00F34C9A"/>
    <w:rsid w:val="00F35874"/>
    <w:rsid w:val="00F35936"/>
    <w:rsid w:val="00F37E69"/>
    <w:rsid w:val="00F415B2"/>
    <w:rsid w:val="00F4165F"/>
    <w:rsid w:val="00F42666"/>
    <w:rsid w:val="00F43BD2"/>
    <w:rsid w:val="00F4626B"/>
    <w:rsid w:val="00F50E7C"/>
    <w:rsid w:val="00F539B2"/>
    <w:rsid w:val="00F5513F"/>
    <w:rsid w:val="00F56EED"/>
    <w:rsid w:val="00F57CCD"/>
    <w:rsid w:val="00F620E3"/>
    <w:rsid w:val="00F63FCA"/>
    <w:rsid w:val="00F64E1E"/>
    <w:rsid w:val="00F66DB3"/>
    <w:rsid w:val="00F7061A"/>
    <w:rsid w:val="00F802B6"/>
    <w:rsid w:val="00F80B36"/>
    <w:rsid w:val="00F837AB"/>
    <w:rsid w:val="00F83DCF"/>
    <w:rsid w:val="00F86149"/>
    <w:rsid w:val="00F8668D"/>
    <w:rsid w:val="00F86D6C"/>
    <w:rsid w:val="00F878C8"/>
    <w:rsid w:val="00F9282A"/>
    <w:rsid w:val="00F94C8F"/>
    <w:rsid w:val="00F96485"/>
    <w:rsid w:val="00FA0CC6"/>
    <w:rsid w:val="00FA1A54"/>
    <w:rsid w:val="00FA3ABF"/>
    <w:rsid w:val="00FA3E05"/>
    <w:rsid w:val="00FA4BBE"/>
    <w:rsid w:val="00FB1033"/>
    <w:rsid w:val="00FB1DAC"/>
    <w:rsid w:val="00FB36DE"/>
    <w:rsid w:val="00FB3BAC"/>
    <w:rsid w:val="00FB4706"/>
    <w:rsid w:val="00FB677B"/>
    <w:rsid w:val="00FC16D5"/>
    <w:rsid w:val="00FC1739"/>
    <w:rsid w:val="00FC32BE"/>
    <w:rsid w:val="00FC3AB3"/>
    <w:rsid w:val="00FC6680"/>
    <w:rsid w:val="00FD0346"/>
    <w:rsid w:val="00FD0E3D"/>
    <w:rsid w:val="00FD23AC"/>
    <w:rsid w:val="00FD26A2"/>
    <w:rsid w:val="00FD291F"/>
    <w:rsid w:val="00FD2D32"/>
    <w:rsid w:val="00FD3B12"/>
    <w:rsid w:val="00FD6ADC"/>
    <w:rsid w:val="00FE2335"/>
    <w:rsid w:val="00FE28DA"/>
    <w:rsid w:val="00FE31D2"/>
    <w:rsid w:val="00FE3EAA"/>
    <w:rsid w:val="00FE53F7"/>
    <w:rsid w:val="00FE7196"/>
    <w:rsid w:val="00FF0178"/>
    <w:rsid w:val="00FF03AD"/>
    <w:rsid w:val="00FF17B3"/>
    <w:rsid w:val="00FF2F08"/>
    <w:rsid w:val="00FF3057"/>
    <w:rsid w:val="00FF584A"/>
    <w:rsid w:val="00FF5BD7"/>
  </w:rsids>
  <m:mathPr>
    <m:mathFont m:val="Cambria Math"/>
    <m:brkBin m:val="before"/>
    <m:brkBinSub m:val="--"/>
    <m:smallFrac m:val="0"/>
    <m:dispDef/>
    <m:lMargin m:val="0"/>
    <m:rMargin m:val="0"/>
    <m:defJc m:val="centerGroup"/>
    <m:wrapIndent m:val="1440"/>
    <m:intLim m:val="subSup"/>
    <m:naryLim m:val="undOvr"/>
  </m:mathPr>
  <w:themeFontLang w:val="de-DE"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2A695B0"/>
  <w15:docId w15:val="{B1F475BB-9793-7C4B-B171-605F8DE2BE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rsid w:val="006C1139"/>
    <w:pPr>
      <w:spacing w:after="160" w:line="259" w:lineRule="auto"/>
    </w:p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basedOn w:val="Absatz-Standardschriftart"/>
    <w:uiPriority w:val="99"/>
    <w:unhideWhenUsed/>
    <w:rsid w:val="006C1139"/>
    <w:rPr>
      <w:color w:val="0000FF"/>
      <w:u w:val="single"/>
    </w:rPr>
  </w:style>
  <w:style w:type="character" w:customStyle="1" w:styleId="markydtyen5tt">
    <w:name w:val="markydtyen5tt"/>
    <w:basedOn w:val="Absatz-Standardschriftart"/>
    <w:rsid w:val="006C1139"/>
  </w:style>
  <w:style w:type="character" w:customStyle="1" w:styleId="highlight">
    <w:name w:val="highlight"/>
    <w:basedOn w:val="Absatz-Standardschriftart"/>
    <w:rsid w:val="006C1139"/>
  </w:style>
  <w:style w:type="paragraph" w:styleId="Sprechblasentext">
    <w:name w:val="Balloon Text"/>
    <w:basedOn w:val="Standard"/>
    <w:link w:val="SprechblasentextZchn"/>
    <w:uiPriority w:val="99"/>
    <w:semiHidden/>
    <w:unhideWhenUsed/>
    <w:rsid w:val="00327BB7"/>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327BB7"/>
    <w:rPr>
      <w:rFonts w:ascii="Tahoma" w:hAnsi="Tahoma" w:cs="Tahoma"/>
      <w:sz w:val="16"/>
      <w:szCs w:val="16"/>
    </w:rPr>
  </w:style>
  <w:style w:type="paragraph" w:customStyle="1" w:styleId="FreeForm">
    <w:name w:val="Free Form"/>
    <w:rsid w:val="00692910"/>
    <w:pPr>
      <w:spacing w:after="0" w:line="240" w:lineRule="auto"/>
    </w:pPr>
    <w:rPr>
      <w:rFonts w:ascii="Helvetica" w:eastAsia="Arial Unicode MS" w:hAnsi="Arial Unicode MS" w:cs="Arial Unicode MS"/>
      <w:color w:val="000000"/>
      <w:sz w:val="24"/>
      <w:szCs w:val="24"/>
      <w:lang w:val="en-US" w:eastAsia="de-DE"/>
    </w:rPr>
  </w:style>
  <w:style w:type="table" w:styleId="Tabellenraster">
    <w:name w:val="Table Grid"/>
    <w:basedOn w:val="NormaleTabelle"/>
    <w:uiPriority w:val="59"/>
    <w:rsid w:val="0069291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nabsatz">
    <w:name w:val="List Paragraph"/>
    <w:basedOn w:val="Standard"/>
    <w:uiPriority w:val="34"/>
    <w:qFormat/>
    <w:rsid w:val="00E95EB5"/>
    <w:pPr>
      <w:ind w:left="720"/>
      <w:contextualSpacing/>
    </w:pPr>
  </w:style>
  <w:style w:type="paragraph" w:styleId="Kopfzeile">
    <w:name w:val="header"/>
    <w:basedOn w:val="Standard"/>
    <w:link w:val="KopfzeileZchn"/>
    <w:uiPriority w:val="99"/>
    <w:unhideWhenUsed/>
    <w:rsid w:val="00D94743"/>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D94743"/>
  </w:style>
  <w:style w:type="paragraph" w:styleId="Fuzeile">
    <w:name w:val="footer"/>
    <w:basedOn w:val="Standard"/>
    <w:link w:val="FuzeileZchn"/>
    <w:uiPriority w:val="99"/>
    <w:unhideWhenUsed/>
    <w:rsid w:val="00D94743"/>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D94743"/>
  </w:style>
  <w:style w:type="character" w:styleId="Kommentarzeichen">
    <w:name w:val="annotation reference"/>
    <w:basedOn w:val="Absatz-Standardschriftart"/>
    <w:uiPriority w:val="99"/>
    <w:semiHidden/>
    <w:unhideWhenUsed/>
    <w:rsid w:val="00CB51DF"/>
    <w:rPr>
      <w:sz w:val="18"/>
      <w:szCs w:val="18"/>
    </w:rPr>
  </w:style>
  <w:style w:type="paragraph" w:styleId="Kommentartext">
    <w:name w:val="annotation text"/>
    <w:basedOn w:val="Standard"/>
    <w:link w:val="KommentartextZchn"/>
    <w:uiPriority w:val="99"/>
    <w:unhideWhenUsed/>
    <w:rsid w:val="00CB51DF"/>
    <w:pPr>
      <w:spacing w:line="240" w:lineRule="auto"/>
    </w:pPr>
    <w:rPr>
      <w:sz w:val="24"/>
      <w:szCs w:val="24"/>
    </w:rPr>
  </w:style>
  <w:style w:type="character" w:customStyle="1" w:styleId="KommentartextZchn">
    <w:name w:val="Kommentartext Zchn"/>
    <w:basedOn w:val="Absatz-Standardschriftart"/>
    <w:link w:val="Kommentartext"/>
    <w:uiPriority w:val="99"/>
    <w:rsid w:val="00CB51DF"/>
    <w:rPr>
      <w:sz w:val="24"/>
      <w:szCs w:val="24"/>
    </w:rPr>
  </w:style>
  <w:style w:type="paragraph" w:styleId="Kommentarthema">
    <w:name w:val="annotation subject"/>
    <w:basedOn w:val="Kommentartext"/>
    <w:next w:val="Kommentartext"/>
    <w:link w:val="KommentarthemaZchn"/>
    <w:uiPriority w:val="99"/>
    <w:semiHidden/>
    <w:unhideWhenUsed/>
    <w:rsid w:val="00CB51DF"/>
    <w:rPr>
      <w:b/>
      <w:bCs/>
      <w:sz w:val="20"/>
      <w:szCs w:val="20"/>
    </w:rPr>
  </w:style>
  <w:style w:type="character" w:customStyle="1" w:styleId="KommentarthemaZchn">
    <w:name w:val="Kommentarthema Zchn"/>
    <w:basedOn w:val="KommentartextZchn"/>
    <w:link w:val="Kommentarthema"/>
    <w:uiPriority w:val="99"/>
    <w:semiHidden/>
    <w:rsid w:val="00CB51DF"/>
    <w:rPr>
      <w:b/>
      <w:bCs/>
      <w:sz w:val="20"/>
      <w:szCs w:val="20"/>
    </w:rPr>
  </w:style>
  <w:style w:type="paragraph" w:styleId="berarbeitung">
    <w:name w:val="Revision"/>
    <w:hidden/>
    <w:uiPriority w:val="99"/>
    <w:semiHidden/>
    <w:rsid w:val="001661C4"/>
    <w:pPr>
      <w:spacing w:after="0" w:line="240" w:lineRule="auto"/>
    </w:pPr>
  </w:style>
  <w:style w:type="paragraph" w:customStyle="1" w:styleId="EndNoteBibliographyTitle">
    <w:name w:val="EndNote Bibliography Title"/>
    <w:basedOn w:val="Standard"/>
    <w:link w:val="EndNoteBibliographyTitleZchn"/>
    <w:rsid w:val="00DB0C3D"/>
    <w:pPr>
      <w:spacing w:after="0"/>
      <w:jc w:val="center"/>
    </w:pPr>
    <w:rPr>
      <w:rFonts w:ascii="Calibri" w:hAnsi="Calibri" w:cs="Calibri"/>
      <w:lang w:val="en-US"/>
    </w:rPr>
  </w:style>
  <w:style w:type="character" w:customStyle="1" w:styleId="EndNoteBibliographyTitleZchn">
    <w:name w:val="EndNote Bibliography Title Zchn"/>
    <w:basedOn w:val="Absatz-Standardschriftart"/>
    <w:link w:val="EndNoteBibliographyTitle"/>
    <w:rsid w:val="00DB0C3D"/>
    <w:rPr>
      <w:rFonts w:ascii="Calibri" w:hAnsi="Calibri" w:cs="Calibri"/>
      <w:lang w:val="en-US"/>
    </w:rPr>
  </w:style>
  <w:style w:type="paragraph" w:customStyle="1" w:styleId="EndNoteBibliography">
    <w:name w:val="EndNote Bibliography"/>
    <w:basedOn w:val="Standard"/>
    <w:link w:val="EndNoteBibliographyZchn"/>
    <w:rsid w:val="00DB0C3D"/>
    <w:pPr>
      <w:spacing w:line="240" w:lineRule="auto"/>
    </w:pPr>
    <w:rPr>
      <w:rFonts w:ascii="Calibri" w:hAnsi="Calibri" w:cs="Calibri"/>
      <w:lang w:val="en-US"/>
    </w:rPr>
  </w:style>
  <w:style w:type="character" w:customStyle="1" w:styleId="EndNoteBibliographyZchn">
    <w:name w:val="EndNote Bibliography Zchn"/>
    <w:basedOn w:val="Absatz-Standardschriftart"/>
    <w:link w:val="EndNoteBibliography"/>
    <w:rsid w:val="00DB0C3D"/>
    <w:rPr>
      <w:rFonts w:ascii="Calibri" w:hAnsi="Calibri" w:cs="Calibri"/>
      <w:lang w:val="en-US"/>
    </w:rPr>
  </w:style>
  <w:style w:type="paragraph" w:customStyle="1" w:styleId="Body">
    <w:name w:val="Body"/>
    <w:rsid w:val="000F0A90"/>
    <w:pPr>
      <w:pBdr>
        <w:top w:val="nil"/>
        <w:left w:val="nil"/>
        <w:bottom w:val="nil"/>
        <w:right w:val="nil"/>
        <w:between w:val="nil"/>
        <w:bar w:val="nil"/>
      </w:pBdr>
      <w:spacing w:after="0" w:line="240" w:lineRule="auto"/>
    </w:pPr>
    <w:rPr>
      <w:rFonts w:ascii="Helvetica" w:eastAsia="Arial Unicode MS" w:hAnsi="Arial Unicode MS" w:cs="Arial Unicode MS"/>
      <w:color w:val="000000"/>
      <w:sz w:val="24"/>
      <w:szCs w:val="24"/>
      <w:bdr w:val="nil"/>
      <w:lang w:eastAsia="de-DE"/>
    </w:rPr>
  </w:style>
  <w:style w:type="character" w:customStyle="1" w:styleId="apple-converted-space">
    <w:name w:val="apple-converted-space"/>
    <w:basedOn w:val="Absatz-Standardschriftart"/>
    <w:rsid w:val="009E672A"/>
  </w:style>
  <w:style w:type="character" w:styleId="Seitenzahl">
    <w:name w:val="page number"/>
    <w:basedOn w:val="Absatz-Standardschriftart"/>
    <w:uiPriority w:val="99"/>
    <w:semiHidden/>
    <w:unhideWhenUsed/>
    <w:rsid w:val="000E12B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7172245">
      <w:bodyDiv w:val="1"/>
      <w:marLeft w:val="0"/>
      <w:marRight w:val="0"/>
      <w:marTop w:val="0"/>
      <w:marBottom w:val="0"/>
      <w:divBdr>
        <w:top w:val="none" w:sz="0" w:space="0" w:color="auto"/>
        <w:left w:val="none" w:sz="0" w:space="0" w:color="auto"/>
        <w:bottom w:val="none" w:sz="0" w:space="0" w:color="auto"/>
        <w:right w:val="none" w:sz="0" w:space="0" w:color="auto"/>
      </w:divBdr>
    </w:div>
    <w:div w:id="37899937">
      <w:bodyDiv w:val="1"/>
      <w:marLeft w:val="0"/>
      <w:marRight w:val="0"/>
      <w:marTop w:val="0"/>
      <w:marBottom w:val="0"/>
      <w:divBdr>
        <w:top w:val="none" w:sz="0" w:space="0" w:color="auto"/>
        <w:left w:val="none" w:sz="0" w:space="0" w:color="auto"/>
        <w:bottom w:val="none" w:sz="0" w:space="0" w:color="auto"/>
        <w:right w:val="none" w:sz="0" w:space="0" w:color="auto"/>
      </w:divBdr>
    </w:div>
    <w:div w:id="90588742">
      <w:bodyDiv w:val="1"/>
      <w:marLeft w:val="0"/>
      <w:marRight w:val="0"/>
      <w:marTop w:val="0"/>
      <w:marBottom w:val="0"/>
      <w:divBdr>
        <w:top w:val="none" w:sz="0" w:space="0" w:color="auto"/>
        <w:left w:val="none" w:sz="0" w:space="0" w:color="auto"/>
        <w:bottom w:val="none" w:sz="0" w:space="0" w:color="auto"/>
        <w:right w:val="none" w:sz="0" w:space="0" w:color="auto"/>
      </w:divBdr>
    </w:div>
    <w:div w:id="95029532">
      <w:bodyDiv w:val="1"/>
      <w:marLeft w:val="0"/>
      <w:marRight w:val="0"/>
      <w:marTop w:val="0"/>
      <w:marBottom w:val="0"/>
      <w:divBdr>
        <w:top w:val="none" w:sz="0" w:space="0" w:color="auto"/>
        <w:left w:val="none" w:sz="0" w:space="0" w:color="auto"/>
        <w:bottom w:val="none" w:sz="0" w:space="0" w:color="auto"/>
        <w:right w:val="none" w:sz="0" w:space="0" w:color="auto"/>
      </w:divBdr>
    </w:div>
    <w:div w:id="147404738">
      <w:bodyDiv w:val="1"/>
      <w:marLeft w:val="0"/>
      <w:marRight w:val="0"/>
      <w:marTop w:val="0"/>
      <w:marBottom w:val="0"/>
      <w:divBdr>
        <w:top w:val="none" w:sz="0" w:space="0" w:color="auto"/>
        <w:left w:val="none" w:sz="0" w:space="0" w:color="auto"/>
        <w:bottom w:val="none" w:sz="0" w:space="0" w:color="auto"/>
        <w:right w:val="none" w:sz="0" w:space="0" w:color="auto"/>
      </w:divBdr>
    </w:div>
    <w:div w:id="244996660">
      <w:bodyDiv w:val="1"/>
      <w:marLeft w:val="0"/>
      <w:marRight w:val="0"/>
      <w:marTop w:val="0"/>
      <w:marBottom w:val="0"/>
      <w:divBdr>
        <w:top w:val="none" w:sz="0" w:space="0" w:color="auto"/>
        <w:left w:val="none" w:sz="0" w:space="0" w:color="auto"/>
        <w:bottom w:val="none" w:sz="0" w:space="0" w:color="auto"/>
        <w:right w:val="none" w:sz="0" w:space="0" w:color="auto"/>
      </w:divBdr>
    </w:div>
    <w:div w:id="331950286">
      <w:bodyDiv w:val="1"/>
      <w:marLeft w:val="0"/>
      <w:marRight w:val="0"/>
      <w:marTop w:val="0"/>
      <w:marBottom w:val="0"/>
      <w:divBdr>
        <w:top w:val="none" w:sz="0" w:space="0" w:color="auto"/>
        <w:left w:val="none" w:sz="0" w:space="0" w:color="auto"/>
        <w:bottom w:val="none" w:sz="0" w:space="0" w:color="auto"/>
        <w:right w:val="none" w:sz="0" w:space="0" w:color="auto"/>
      </w:divBdr>
    </w:div>
    <w:div w:id="353388943">
      <w:bodyDiv w:val="1"/>
      <w:marLeft w:val="0"/>
      <w:marRight w:val="0"/>
      <w:marTop w:val="0"/>
      <w:marBottom w:val="0"/>
      <w:divBdr>
        <w:top w:val="none" w:sz="0" w:space="0" w:color="auto"/>
        <w:left w:val="none" w:sz="0" w:space="0" w:color="auto"/>
        <w:bottom w:val="none" w:sz="0" w:space="0" w:color="auto"/>
        <w:right w:val="none" w:sz="0" w:space="0" w:color="auto"/>
      </w:divBdr>
    </w:div>
    <w:div w:id="358966786">
      <w:bodyDiv w:val="1"/>
      <w:marLeft w:val="0"/>
      <w:marRight w:val="0"/>
      <w:marTop w:val="0"/>
      <w:marBottom w:val="0"/>
      <w:divBdr>
        <w:top w:val="none" w:sz="0" w:space="0" w:color="auto"/>
        <w:left w:val="none" w:sz="0" w:space="0" w:color="auto"/>
        <w:bottom w:val="none" w:sz="0" w:space="0" w:color="auto"/>
        <w:right w:val="none" w:sz="0" w:space="0" w:color="auto"/>
      </w:divBdr>
    </w:div>
    <w:div w:id="404183712">
      <w:bodyDiv w:val="1"/>
      <w:marLeft w:val="0"/>
      <w:marRight w:val="0"/>
      <w:marTop w:val="0"/>
      <w:marBottom w:val="0"/>
      <w:divBdr>
        <w:top w:val="none" w:sz="0" w:space="0" w:color="auto"/>
        <w:left w:val="none" w:sz="0" w:space="0" w:color="auto"/>
        <w:bottom w:val="none" w:sz="0" w:space="0" w:color="auto"/>
        <w:right w:val="none" w:sz="0" w:space="0" w:color="auto"/>
      </w:divBdr>
    </w:div>
    <w:div w:id="422650011">
      <w:bodyDiv w:val="1"/>
      <w:marLeft w:val="0"/>
      <w:marRight w:val="0"/>
      <w:marTop w:val="0"/>
      <w:marBottom w:val="0"/>
      <w:divBdr>
        <w:top w:val="none" w:sz="0" w:space="0" w:color="auto"/>
        <w:left w:val="none" w:sz="0" w:space="0" w:color="auto"/>
        <w:bottom w:val="none" w:sz="0" w:space="0" w:color="auto"/>
        <w:right w:val="none" w:sz="0" w:space="0" w:color="auto"/>
      </w:divBdr>
    </w:div>
    <w:div w:id="466513897">
      <w:bodyDiv w:val="1"/>
      <w:marLeft w:val="0"/>
      <w:marRight w:val="0"/>
      <w:marTop w:val="0"/>
      <w:marBottom w:val="0"/>
      <w:divBdr>
        <w:top w:val="none" w:sz="0" w:space="0" w:color="auto"/>
        <w:left w:val="none" w:sz="0" w:space="0" w:color="auto"/>
        <w:bottom w:val="none" w:sz="0" w:space="0" w:color="auto"/>
        <w:right w:val="none" w:sz="0" w:space="0" w:color="auto"/>
      </w:divBdr>
    </w:div>
    <w:div w:id="500701704">
      <w:bodyDiv w:val="1"/>
      <w:marLeft w:val="0"/>
      <w:marRight w:val="0"/>
      <w:marTop w:val="0"/>
      <w:marBottom w:val="0"/>
      <w:divBdr>
        <w:top w:val="none" w:sz="0" w:space="0" w:color="auto"/>
        <w:left w:val="none" w:sz="0" w:space="0" w:color="auto"/>
        <w:bottom w:val="none" w:sz="0" w:space="0" w:color="auto"/>
        <w:right w:val="none" w:sz="0" w:space="0" w:color="auto"/>
      </w:divBdr>
    </w:div>
    <w:div w:id="518544823">
      <w:bodyDiv w:val="1"/>
      <w:marLeft w:val="0"/>
      <w:marRight w:val="0"/>
      <w:marTop w:val="0"/>
      <w:marBottom w:val="0"/>
      <w:divBdr>
        <w:top w:val="none" w:sz="0" w:space="0" w:color="auto"/>
        <w:left w:val="none" w:sz="0" w:space="0" w:color="auto"/>
        <w:bottom w:val="none" w:sz="0" w:space="0" w:color="auto"/>
        <w:right w:val="none" w:sz="0" w:space="0" w:color="auto"/>
      </w:divBdr>
    </w:div>
    <w:div w:id="540099168">
      <w:bodyDiv w:val="1"/>
      <w:marLeft w:val="0"/>
      <w:marRight w:val="0"/>
      <w:marTop w:val="0"/>
      <w:marBottom w:val="0"/>
      <w:divBdr>
        <w:top w:val="none" w:sz="0" w:space="0" w:color="auto"/>
        <w:left w:val="none" w:sz="0" w:space="0" w:color="auto"/>
        <w:bottom w:val="none" w:sz="0" w:space="0" w:color="auto"/>
        <w:right w:val="none" w:sz="0" w:space="0" w:color="auto"/>
      </w:divBdr>
    </w:div>
    <w:div w:id="553080251">
      <w:bodyDiv w:val="1"/>
      <w:marLeft w:val="0"/>
      <w:marRight w:val="0"/>
      <w:marTop w:val="0"/>
      <w:marBottom w:val="0"/>
      <w:divBdr>
        <w:top w:val="none" w:sz="0" w:space="0" w:color="auto"/>
        <w:left w:val="none" w:sz="0" w:space="0" w:color="auto"/>
        <w:bottom w:val="none" w:sz="0" w:space="0" w:color="auto"/>
        <w:right w:val="none" w:sz="0" w:space="0" w:color="auto"/>
      </w:divBdr>
    </w:div>
    <w:div w:id="582646544">
      <w:bodyDiv w:val="1"/>
      <w:marLeft w:val="0"/>
      <w:marRight w:val="0"/>
      <w:marTop w:val="0"/>
      <w:marBottom w:val="0"/>
      <w:divBdr>
        <w:top w:val="none" w:sz="0" w:space="0" w:color="auto"/>
        <w:left w:val="none" w:sz="0" w:space="0" w:color="auto"/>
        <w:bottom w:val="none" w:sz="0" w:space="0" w:color="auto"/>
        <w:right w:val="none" w:sz="0" w:space="0" w:color="auto"/>
      </w:divBdr>
    </w:div>
    <w:div w:id="584069939">
      <w:bodyDiv w:val="1"/>
      <w:marLeft w:val="0"/>
      <w:marRight w:val="0"/>
      <w:marTop w:val="0"/>
      <w:marBottom w:val="0"/>
      <w:divBdr>
        <w:top w:val="none" w:sz="0" w:space="0" w:color="auto"/>
        <w:left w:val="none" w:sz="0" w:space="0" w:color="auto"/>
        <w:bottom w:val="none" w:sz="0" w:space="0" w:color="auto"/>
        <w:right w:val="none" w:sz="0" w:space="0" w:color="auto"/>
      </w:divBdr>
    </w:div>
    <w:div w:id="627660990">
      <w:bodyDiv w:val="1"/>
      <w:marLeft w:val="0"/>
      <w:marRight w:val="0"/>
      <w:marTop w:val="0"/>
      <w:marBottom w:val="0"/>
      <w:divBdr>
        <w:top w:val="none" w:sz="0" w:space="0" w:color="auto"/>
        <w:left w:val="none" w:sz="0" w:space="0" w:color="auto"/>
        <w:bottom w:val="none" w:sz="0" w:space="0" w:color="auto"/>
        <w:right w:val="none" w:sz="0" w:space="0" w:color="auto"/>
      </w:divBdr>
    </w:div>
    <w:div w:id="686710029">
      <w:bodyDiv w:val="1"/>
      <w:marLeft w:val="0"/>
      <w:marRight w:val="0"/>
      <w:marTop w:val="0"/>
      <w:marBottom w:val="0"/>
      <w:divBdr>
        <w:top w:val="none" w:sz="0" w:space="0" w:color="auto"/>
        <w:left w:val="none" w:sz="0" w:space="0" w:color="auto"/>
        <w:bottom w:val="none" w:sz="0" w:space="0" w:color="auto"/>
        <w:right w:val="none" w:sz="0" w:space="0" w:color="auto"/>
      </w:divBdr>
    </w:div>
    <w:div w:id="687292143">
      <w:bodyDiv w:val="1"/>
      <w:marLeft w:val="0"/>
      <w:marRight w:val="0"/>
      <w:marTop w:val="0"/>
      <w:marBottom w:val="0"/>
      <w:divBdr>
        <w:top w:val="none" w:sz="0" w:space="0" w:color="auto"/>
        <w:left w:val="none" w:sz="0" w:space="0" w:color="auto"/>
        <w:bottom w:val="none" w:sz="0" w:space="0" w:color="auto"/>
        <w:right w:val="none" w:sz="0" w:space="0" w:color="auto"/>
      </w:divBdr>
    </w:div>
    <w:div w:id="700128999">
      <w:bodyDiv w:val="1"/>
      <w:marLeft w:val="0"/>
      <w:marRight w:val="0"/>
      <w:marTop w:val="0"/>
      <w:marBottom w:val="0"/>
      <w:divBdr>
        <w:top w:val="none" w:sz="0" w:space="0" w:color="auto"/>
        <w:left w:val="none" w:sz="0" w:space="0" w:color="auto"/>
        <w:bottom w:val="none" w:sz="0" w:space="0" w:color="auto"/>
        <w:right w:val="none" w:sz="0" w:space="0" w:color="auto"/>
      </w:divBdr>
    </w:div>
    <w:div w:id="702480605">
      <w:bodyDiv w:val="1"/>
      <w:marLeft w:val="0"/>
      <w:marRight w:val="0"/>
      <w:marTop w:val="0"/>
      <w:marBottom w:val="0"/>
      <w:divBdr>
        <w:top w:val="none" w:sz="0" w:space="0" w:color="auto"/>
        <w:left w:val="none" w:sz="0" w:space="0" w:color="auto"/>
        <w:bottom w:val="none" w:sz="0" w:space="0" w:color="auto"/>
        <w:right w:val="none" w:sz="0" w:space="0" w:color="auto"/>
      </w:divBdr>
    </w:div>
    <w:div w:id="740755024">
      <w:bodyDiv w:val="1"/>
      <w:marLeft w:val="0"/>
      <w:marRight w:val="0"/>
      <w:marTop w:val="0"/>
      <w:marBottom w:val="0"/>
      <w:divBdr>
        <w:top w:val="none" w:sz="0" w:space="0" w:color="auto"/>
        <w:left w:val="none" w:sz="0" w:space="0" w:color="auto"/>
        <w:bottom w:val="none" w:sz="0" w:space="0" w:color="auto"/>
        <w:right w:val="none" w:sz="0" w:space="0" w:color="auto"/>
      </w:divBdr>
    </w:div>
    <w:div w:id="766778890">
      <w:bodyDiv w:val="1"/>
      <w:marLeft w:val="0"/>
      <w:marRight w:val="0"/>
      <w:marTop w:val="0"/>
      <w:marBottom w:val="0"/>
      <w:divBdr>
        <w:top w:val="none" w:sz="0" w:space="0" w:color="auto"/>
        <w:left w:val="none" w:sz="0" w:space="0" w:color="auto"/>
        <w:bottom w:val="none" w:sz="0" w:space="0" w:color="auto"/>
        <w:right w:val="none" w:sz="0" w:space="0" w:color="auto"/>
      </w:divBdr>
    </w:div>
    <w:div w:id="825778378">
      <w:bodyDiv w:val="1"/>
      <w:marLeft w:val="0"/>
      <w:marRight w:val="0"/>
      <w:marTop w:val="0"/>
      <w:marBottom w:val="0"/>
      <w:divBdr>
        <w:top w:val="none" w:sz="0" w:space="0" w:color="auto"/>
        <w:left w:val="none" w:sz="0" w:space="0" w:color="auto"/>
        <w:bottom w:val="none" w:sz="0" w:space="0" w:color="auto"/>
        <w:right w:val="none" w:sz="0" w:space="0" w:color="auto"/>
      </w:divBdr>
    </w:div>
    <w:div w:id="861012177">
      <w:bodyDiv w:val="1"/>
      <w:marLeft w:val="0"/>
      <w:marRight w:val="0"/>
      <w:marTop w:val="0"/>
      <w:marBottom w:val="0"/>
      <w:divBdr>
        <w:top w:val="none" w:sz="0" w:space="0" w:color="auto"/>
        <w:left w:val="none" w:sz="0" w:space="0" w:color="auto"/>
        <w:bottom w:val="none" w:sz="0" w:space="0" w:color="auto"/>
        <w:right w:val="none" w:sz="0" w:space="0" w:color="auto"/>
      </w:divBdr>
    </w:div>
    <w:div w:id="892890459">
      <w:bodyDiv w:val="1"/>
      <w:marLeft w:val="0"/>
      <w:marRight w:val="0"/>
      <w:marTop w:val="0"/>
      <w:marBottom w:val="0"/>
      <w:divBdr>
        <w:top w:val="none" w:sz="0" w:space="0" w:color="auto"/>
        <w:left w:val="none" w:sz="0" w:space="0" w:color="auto"/>
        <w:bottom w:val="none" w:sz="0" w:space="0" w:color="auto"/>
        <w:right w:val="none" w:sz="0" w:space="0" w:color="auto"/>
      </w:divBdr>
    </w:div>
    <w:div w:id="918296743">
      <w:bodyDiv w:val="1"/>
      <w:marLeft w:val="0"/>
      <w:marRight w:val="0"/>
      <w:marTop w:val="0"/>
      <w:marBottom w:val="0"/>
      <w:divBdr>
        <w:top w:val="none" w:sz="0" w:space="0" w:color="auto"/>
        <w:left w:val="none" w:sz="0" w:space="0" w:color="auto"/>
        <w:bottom w:val="none" w:sz="0" w:space="0" w:color="auto"/>
        <w:right w:val="none" w:sz="0" w:space="0" w:color="auto"/>
      </w:divBdr>
    </w:div>
    <w:div w:id="961418098">
      <w:bodyDiv w:val="1"/>
      <w:marLeft w:val="0"/>
      <w:marRight w:val="0"/>
      <w:marTop w:val="0"/>
      <w:marBottom w:val="0"/>
      <w:divBdr>
        <w:top w:val="none" w:sz="0" w:space="0" w:color="auto"/>
        <w:left w:val="none" w:sz="0" w:space="0" w:color="auto"/>
        <w:bottom w:val="none" w:sz="0" w:space="0" w:color="auto"/>
        <w:right w:val="none" w:sz="0" w:space="0" w:color="auto"/>
      </w:divBdr>
    </w:div>
    <w:div w:id="1028140205">
      <w:bodyDiv w:val="1"/>
      <w:marLeft w:val="0"/>
      <w:marRight w:val="0"/>
      <w:marTop w:val="0"/>
      <w:marBottom w:val="0"/>
      <w:divBdr>
        <w:top w:val="none" w:sz="0" w:space="0" w:color="auto"/>
        <w:left w:val="none" w:sz="0" w:space="0" w:color="auto"/>
        <w:bottom w:val="none" w:sz="0" w:space="0" w:color="auto"/>
        <w:right w:val="none" w:sz="0" w:space="0" w:color="auto"/>
      </w:divBdr>
    </w:div>
    <w:div w:id="1044788436">
      <w:bodyDiv w:val="1"/>
      <w:marLeft w:val="0"/>
      <w:marRight w:val="0"/>
      <w:marTop w:val="0"/>
      <w:marBottom w:val="0"/>
      <w:divBdr>
        <w:top w:val="none" w:sz="0" w:space="0" w:color="auto"/>
        <w:left w:val="none" w:sz="0" w:space="0" w:color="auto"/>
        <w:bottom w:val="none" w:sz="0" w:space="0" w:color="auto"/>
        <w:right w:val="none" w:sz="0" w:space="0" w:color="auto"/>
      </w:divBdr>
    </w:div>
    <w:div w:id="1082871629">
      <w:bodyDiv w:val="1"/>
      <w:marLeft w:val="0"/>
      <w:marRight w:val="0"/>
      <w:marTop w:val="0"/>
      <w:marBottom w:val="0"/>
      <w:divBdr>
        <w:top w:val="none" w:sz="0" w:space="0" w:color="auto"/>
        <w:left w:val="none" w:sz="0" w:space="0" w:color="auto"/>
        <w:bottom w:val="none" w:sz="0" w:space="0" w:color="auto"/>
        <w:right w:val="none" w:sz="0" w:space="0" w:color="auto"/>
      </w:divBdr>
    </w:div>
    <w:div w:id="1095830689">
      <w:bodyDiv w:val="1"/>
      <w:marLeft w:val="0"/>
      <w:marRight w:val="0"/>
      <w:marTop w:val="0"/>
      <w:marBottom w:val="0"/>
      <w:divBdr>
        <w:top w:val="none" w:sz="0" w:space="0" w:color="auto"/>
        <w:left w:val="none" w:sz="0" w:space="0" w:color="auto"/>
        <w:bottom w:val="none" w:sz="0" w:space="0" w:color="auto"/>
        <w:right w:val="none" w:sz="0" w:space="0" w:color="auto"/>
      </w:divBdr>
    </w:div>
    <w:div w:id="1120416247">
      <w:bodyDiv w:val="1"/>
      <w:marLeft w:val="0"/>
      <w:marRight w:val="0"/>
      <w:marTop w:val="0"/>
      <w:marBottom w:val="0"/>
      <w:divBdr>
        <w:top w:val="none" w:sz="0" w:space="0" w:color="auto"/>
        <w:left w:val="none" w:sz="0" w:space="0" w:color="auto"/>
        <w:bottom w:val="none" w:sz="0" w:space="0" w:color="auto"/>
        <w:right w:val="none" w:sz="0" w:space="0" w:color="auto"/>
      </w:divBdr>
    </w:div>
    <w:div w:id="1186748193">
      <w:bodyDiv w:val="1"/>
      <w:marLeft w:val="0"/>
      <w:marRight w:val="0"/>
      <w:marTop w:val="0"/>
      <w:marBottom w:val="0"/>
      <w:divBdr>
        <w:top w:val="none" w:sz="0" w:space="0" w:color="auto"/>
        <w:left w:val="none" w:sz="0" w:space="0" w:color="auto"/>
        <w:bottom w:val="none" w:sz="0" w:space="0" w:color="auto"/>
        <w:right w:val="none" w:sz="0" w:space="0" w:color="auto"/>
      </w:divBdr>
    </w:div>
    <w:div w:id="1210921755">
      <w:bodyDiv w:val="1"/>
      <w:marLeft w:val="0"/>
      <w:marRight w:val="0"/>
      <w:marTop w:val="0"/>
      <w:marBottom w:val="0"/>
      <w:divBdr>
        <w:top w:val="none" w:sz="0" w:space="0" w:color="auto"/>
        <w:left w:val="none" w:sz="0" w:space="0" w:color="auto"/>
        <w:bottom w:val="none" w:sz="0" w:space="0" w:color="auto"/>
        <w:right w:val="none" w:sz="0" w:space="0" w:color="auto"/>
      </w:divBdr>
    </w:div>
    <w:div w:id="1232546544">
      <w:bodyDiv w:val="1"/>
      <w:marLeft w:val="0"/>
      <w:marRight w:val="0"/>
      <w:marTop w:val="0"/>
      <w:marBottom w:val="0"/>
      <w:divBdr>
        <w:top w:val="none" w:sz="0" w:space="0" w:color="auto"/>
        <w:left w:val="none" w:sz="0" w:space="0" w:color="auto"/>
        <w:bottom w:val="none" w:sz="0" w:space="0" w:color="auto"/>
        <w:right w:val="none" w:sz="0" w:space="0" w:color="auto"/>
      </w:divBdr>
    </w:div>
    <w:div w:id="1336810926">
      <w:bodyDiv w:val="1"/>
      <w:marLeft w:val="0"/>
      <w:marRight w:val="0"/>
      <w:marTop w:val="0"/>
      <w:marBottom w:val="0"/>
      <w:divBdr>
        <w:top w:val="none" w:sz="0" w:space="0" w:color="auto"/>
        <w:left w:val="none" w:sz="0" w:space="0" w:color="auto"/>
        <w:bottom w:val="none" w:sz="0" w:space="0" w:color="auto"/>
        <w:right w:val="none" w:sz="0" w:space="0" w:color="auto"/>
      </w:divBdr>
    </w:div>
    <w:div w:id="1378508757">
      <w:bodyDiv w:val="1"/>
      <w:marLeft w:val="0"/>
      <w:marRight w:val="0"/>
      <w:marTop w:val="0"/>
      <w:marBottom w:val="0"/>
      <w:divBdr>
        <w:top w:val="none" w:sz="0" w:space="0" w:color="auto"/>
        <w:left w:val="none" w:sz="0" w:space="0" w:color="auto"/>
        <w:bottom w:val="none" w:sz="0" w:space="0" w:color="auto"/>
        <w:right w:val="none" w:sz="0" w:space="0" w:color="auto"/>
      </w:divBdr>
    </w:div>
    <w:div w:id="1417627975">
      <w:bodyDiv w:val="1"/>
      <w:marLeft w:val="0"/>
      <w:marRight w:val="0"/>
      <w:marTop w:val="0"/>
      <w:marBottom w:val="0"/>
      <w:divBdr>
        <w:top w:val="none" w:sz="0" w:space="0" w:color="auto"/>
        <w:left w:val="none" w:sz="0" w:space="0" w:color="auto"/>
        <w:bottom w:val="none" w:sz="0" w:space="0" w:color="auto"/>
        <w:right w:val="none" w:sz="0" w:space="0" w:color="auto"/>
      </w:divBdr>
    </w:div>
    <w:div w:id="1560941371">
      <w:bodyDiv w:val="1"/>
      <w:marLeft w:val="0"/>
      <w:marRight w:val="0"/>
      <w:marTop w:val="0"/>
      <w:marBottom w:val="0"/>
      <w:divBdr>
        <w:top w:val="none" w:sz="0" w:space="0" w:color="auto"/>
        <w:left w:val="none" w:sz="0" w:space="0" w:color="auto"/>
        <w:bottom w:val="none" w:sz="0" w:space="0" w:color="auto"/>
        <w:right w:val="none" w:sz="0" w:space="0" w:color="auto"/>
      </w:divBdr>
    </w:div>
    <w:div w:id="1620261732">
      <w:bodyDiv w:val="1"/>
      <w:marLeft w:val="0"/>
      <w:marRight w:val="0"/>
      <w:marTop w:val="0"/>
      <w:marBottom w:val="0"/>
      <w:divBdr>
        <w:top w:val="none" w:sz="0" w:space="0" w:color="auto"/>
        <w:left w:val="none" w:sz="0" w:space="0" w:color="auto"/>
        <w:bottom w:val="none" w:sz="0" w:space="0" w:color="auto"/>
        <w:right w:val="none" w:sz="0" w:space="0" w:color="auto"/>
      </w:divBdr>
    </w:div>
    <w:div w:id="1705866502">
      <w:bodyDiv w:val="1"/>
      <w:marLeft w:val="0"/>
      <w:marRight w:val="0"/>
      <w:marTop w:val="0"/>
      <w:marBottom w:val="0"/>
      <w:divBdr>
        <w:top w:val="none" w:sz="0" w:space="0" w:color="auto"/>
        <w:left w:val="none" w:sz="0" w:space="0" w:color="auto"/>
        <w:bottom w:val="none" w:sz="0" w:space="0" w:color="auto"/>
        <w:right w:val="none" w:sz="0" w:space="0" w:color="auto"/>
      </w:divBdr>
    </w:div>
    <w:div w:id="1715811267">
      <w:bodyDiv w:val="1"/>
      <w:marLeft w:val="0"/>
      <w:marRight w:val="0"/>
      <w:marTop w:val="0"/>
      <w:marBottom w:val="0"/>
      <w:divBdr>
        <w:top w:val="none" w:sz="0" w:space="0" w:color="auto"/>
        <w:left w:val="none" w:sz="0" w:space="0" w:color="auto"/>
        <w:bottom w:val="none" w:sz="0" w:space="0" w:color="auto"/>
        <w:right w:val="none" w:sz="0" w:space="0" w:color="auto"/>
      </w:divBdr>
    </w:div>
    <w:div w:id="1750493595">
      <w:bodyDiv w:val="1"/>
      <w:marLeft w:val="0"/>
      <w:marRight w:val="0"/>
      <w:marTop w:val="0"/>
      <w:marBottom w:val="0"/>
      <w:divBdr>
        <w:top w:val="none" w:sz="0" w:space="0" w:color="auto"/>
        <w:left w:val="none" w:sz="0" w:space="0" w:color="auto"/>
        <w:bottom w:val="none" w:sz="0" w:space="0" w:color="auto"/>
        <w:right w:val="none" w:sz="0" w:space="0" w:color="auto"/>
      </w:divBdr>
    </w:div>
    <w:div w:id="1790735846">
      <w:bodyDiv w:val="1"/>
      <w:marLeft w:val="0"/>
      <w:marRight w:val="0"/>
      <w:marTop w:val="0"/>
      <w:marBottom w:val="0"/>
      <w:divBdr>
        <w:top w:val="none" w:sz="0" w:space="0" w:color="auto"/>
        <w:left w:val="none" w:sz="0" w:space="0" w:color="auto"/>
        <w:bottom w:val="none" w:sz="0" w:space="0" w:color="auto"/>
        <w:right w:val="none" w:sz="0" w:space="0" w:color="auto"/>
      </w:divBdr>
    </w:div>
    <w:div w:id="1800027925">
      <w:bodyDiv w:val="1"/>
      <w:marLeft w:val="0"/>
      <w:marRight w:val="0"/>
      <w:marTop w:val="0"/>
      <w:marBottom w:val="0"/>
      <w:divBdr>
        <w:top w:val="none" w:sz="0" w:space="0" w:color="auto"/>
        <w:left w:val="none" w:sz="0" w:space="0" w:color="auto"/>
        <w:bottom w:val="none" w:sz="0" w:space="0" w:color="auto"/>
        <w:right w:val="none" w:sz="0" w:space="0" w:color="auto"/>
      </w:divBdr>
    </w:div>
    <w:div w:id="1801652927">
      <w:bodyDiv w:val="1"/>
      <w:marLeft w:val="0"/>
      <w:marRight w:val="0"/>
      <w:marTop w:val="0"/>
      <w:marBottom w:val="0"/>
      <w:divBdr>
        <w:top w:val="none" w:sz="0" w:space="0" w:color="auto"/>
        <w:left w:val="none" w:sz="0" w:space="0" w:color="auto"/>
        <w:bottom w:val="none" w:sz="0" w:space="0" w:color="auto"/>
        <w:right w:val="none" w:sz="0" w:space="0" w:color="auto"/>
      </w:divBdr>
    </w:div>
    <w:div w:id="1858806465">
      <w:bodyDiv w:val="1"/>
      <w:marLeft w:val="0"/>
      <w:marRight w:val="0"/>
      <w:marTop w:val="0"/>
      <w:marBottom w:val="0"/>
      <w:divBdr>
        <w:top w:val="none" w:sz="0" w:space="0" w:color="auto"/>
        <w:left w:val="none" w:sz="0" w:space="0" w:color="auto"/>
        <w:bottom w:val="none" w:sz="0" w:space="0" w:color="auto"/>
        <w:right w:val="none" w:sz="0" w:space="0" w:color="auto"/>
      </w:divBdr>
    </w:div>
    <w:div w:id="1914922493">
      <w:bodyDiv w:val="1"/>
      <w:marLeft w:val="0"/>
      <w:marRight w:val="0"/>
      <w:marTop w:val="0"/>
      <w:marBottom w:val="0"/>
      <w:divBdr>
        <w:top w:val="none" w:sz="0" w:space="0" w:color="auto"/>
        <w:left w:val="none" w:sz="0" w:space="0" w:color="auto"/>
        <w:bottom w:val="none" w:sz="0" w:space="0" w:color="auto"/>
        <w:right w:val="none" w:sz="0" w:space="0" w:color="auto"/>
      </w:divBdr>
    </w:div>
    <w:div w:id="1942762648">
      <w:bodyDiv w:val="1"/>
      <w:marLeft w:val="0"/>
      <w:marRight w:val="0"/>
      <w:marTop w:val="0"/>
      <w:marBottom w:val="0"/>
      <w:divBdr>
        <w:top w:val="none" w:sz="0" w:space="0" w:color="auto"/>
        <w:left w:val="none" w:sz="0" w:space="0" w:color="auto"/>
        <w:bottom w:val="none" w:sz="0" w:space="0" w:color="auto"/>
        <w:right w:val="none" w:sz="0" w:space="0" w:color="auto"/>
      </w:divBdr>
    </w:div>
    <w:div w:id="1978022372">
      <w:bodyDiv w:val="1"/>
      <w:marLeft w:val="0"/>
      <w:marRight w:val="0"/>
      <w:marTop w:val="0"/>
      <w:marBottom w:val="0"/>
      <w:divBdr>
        <w:top w:val="none" w:sz="0" w:space="0" w:color="auto"/>
        <w:left w:val="none" w:sz="0" w:space="0" w:color="auto"/>
        <w:bottom w:val="none" w:sz="0" w:space="0" w:color="auto"/>
        <w:right w:val="none" w:sz="0" w:space="0" w:color="auto"/>
      </w:divBdr>
    </w:div>
    <w:div w:id="1980262729">
      <w:bodyDiv w:val="1"/>
      <w:marLeft w:val="0"/>
      <w:marRight w:val="0"/>
      <w:marTop w:val="0"/>
      <w:marBottom w:val="0"/>
      <w:divBdr>
        <w:top w:val="none" w:sz="0" w:space="0" w:color="auto"/>
        <w:left w:val="none" w:sz="0" w:space="0" w:color="auto"/>
        <w:bottom w:val="none" w:sz="0" w:space="0" w:color="auto"/>
        <w:right w:val="none" w:sz="0" w:space="0" w:color="auto"/>
      </w:divBdr>
    </w:div>
    <w:div w:id="1997682266">
      <w:bodyDiv w:val="1"/>
      <w:marLeft w:val="0"/>
      <w:marRight w:val="0"/>
      <w:marTop w:val="0"/>
      <w:marBottom w:val="0"/>
      <w:divBdr>
        <w:top w:val="none" w:sz="0" w:space="0" w:color="auto"/>
        <w:left w:val="none" w:sz="0" w:space="0" w:color="auto"/>
        <w:bottom w:val="none" w:sz="0" w:space="0" w:color="auto"/>
        <w:right w:val="none" w:sz="0" w:space="0" w:color="auto"/>
      </w:divBdr>
    </w:div>
    <w:div w:id="2044205491">
      <w:bodyDiv w:val="1"/>
      <w:marLeft w:val="0"/>
      <w:marRight w:val="0"/>
      <w:marTop w:val="0"/>
      <w:marBottom w:val="0"/>
      <w:divBdr>
        <w:top w:val="none" w:sz="0" w:space="0" w:color="auto"/>
        <w:left w:val="none" w:sz="0" w:space="0" w:color="auto"/>
        <w:bottom w:val="none" w:sz="0" w:space="0" w:color="auto"/>
        <w:right w:val="none" w:sz="0" w:space="0" w:color="auto"/>
      </w:divBdr>
    </w:div>
    <w:div w:id="2103917441">
      <w:bodyDiv w:val="1"/>
      <w:marLeft w:val="0"/>
      <w:marRight w:val="0"/>
      <w:marTop w:val="0"/>
      <w:marBottom w:val="0"/>
      <w:divBdr>
        <w:top w:val="none" w:sz="0" w:space="0" w:color="auto"/>
        <w:left w:val="none" w:sz="0" w:space="0" w:color="auto"/>
        <w:bottom w:val="none" w:sz="0" w:space="0" w:color="auto"/>
        <w:right w:val="none" w:sz="0" w:space="0" w:color="auto"/>
      </w:divBdr>
    </w:div>
    <w:div w:id="21268465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tiff"/><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tiff"/><Relationship Id="rId12" Type="http://schemas.openxmlformats.org/officeDocument/2006/relationships/image" Target="media/image6.emf"/><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image" Target="media/image5.tiff"/><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image" Target="media/image4.tiff"/><Relationship Id="rId4" Type="http://schemas.openxmlformats.org/officeDocument/2006/relationships/webSettings" Target="webSettings.xml"/><Relationship Id="rId9" Type="http://schemas.openxmlformats.org/officeDocument/2006/relationships/image" Target="media/image3.tiff"/><Relationship Id="rId14" Type="http://schemas.openxmlformats.org/officeDocument/2006/relationships/footer" Target="footer2.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1576B08-65B1-4DA3-B996-A1ECA93286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25</Pages>
  <Words>20833</Words>
  <Characters>131250</Characters>
  <Application>Microsoft Office Word</Application>
  <DocSecurity>0</DocSecurity>
  <Lines>1093</Lines>
  <Paragraphs>303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151780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Felix</dc:creator>
  <cp:lastModifiedBy>Felix Neumaier</cp:lastModifiedBy>
  <cp:revision>16</cp:revision>
  <dcterms:created xsi:type="dcterms:W3CDTF">2021-01-23T10:46:00Z</dcterms:created>
  <dcterms:modified xsi:type="dcterms:W3CDTF">2022-01-12T09:21:00Z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http://www.zotero.org/styles/cerebrovascular-diseases</vt:lpwstr>
  </property>
  <property fmtid="{D5CDD505-2E9C-101B-9397-08002B2CF9AE}" pid="3" name="Mendeley Recent Style Name 0_1">
    <vt:lpwstr>Cerebrovascular Diseases</vt:lpwstr>
  </property>
  <property fmtid="{D5CDD505-2E9C-101B-9397-08002B2CF9AE}" pid="4" name="Mendeley Recent Style Id 1_1">
    <vt:lpwstr>http://www.zotero.org/styles/channels</vt:lpwstr>
  </property>
  <property fmtid="{D5CDD505-2E9C-101B-9397-08002B2CF9AE}" pid="5" name="Mendeley Recent Style Name 1_1">
    <vt:lpwstr>Channels</vt:lpwstr>
  </property>
  <property fmtid="{D5CDD505-2E9C-101B-9397-08002B2CF9AE}" pid="6" name="Mendeley Recent Style Id 2_1">
    <vt:lpwstr>http://www.zotero.org/styles/jama</vt:lpwstr>
  </property>
  <property fmtid="{D5CDD505-2E9C-101B-9397-08002B2CF9AE}" pid="7" name="Mendeley Recent Style Name 2_1">
    <vt:lpwstr>JAMA (The Journal of the American Medical Association)</vt:lpwstr>
  </property>
  <property fmtid="{D5CDD505-2E9C-101B-9397-08002B2CF9AE}" pid="8" name="Mendeley Recent Style Id 3_1">
    <vt:lpwstr>http://www.zotero.org/styles/journal-of-critical-care</vt:lpwstr>
  </property>
  <property fmtid="{D5CDD505-2E9C-101B-9397-08002B2CF9AE}" pid="9" name="Mendeley Recent Style Name 3_1">
    <vt:lpwstr>Journal of Critical Care</vt:lpwstr>
  </property>
  <property fmtid="{D5CDD505-2E9C-101B-9397-08002B2CF9AE}" pid="10" name="Mendeley Recent Style Id 4_1">
    <vt:lpwstr>http://www.zotero.org/styles/journal-of-neurosurgery</vt:lpwstr>
  </property>
  <property fmtid="{D5CDD505-2E9C-101B-9397-08002B2CF9AE}" pid="11" name="Mendeley Recent Style Name 4_1">
    <vt:lpwstr>Journal of Neurosurgery</vt:lpwstr>
  </property>
  <property fmtid="{D5CDD505-2E9C-101B-9397-08002B2CF9AE}" pid="12" name="Mendeley Recent Style Id 5_1">
    <vt:lpwstr>http://www.zotero.org/styles/journal-of-the-neurological-sciences</vt:lpwstr>
  </property>
  <property fmtid="{D5CDD505-2E9C-101B-9397-08002B2CF9AE}" pid="13" name="Mendeley Recent Style Name 5_1">
    <vt:lpwstr>Journal of the Neurological Sciences</vt:lpwstr>
  </property>
  <property fmtid="{D5CDD505-2E9C-101B-9397-08002B2CF9AE}" pid="14" name="Mendeley Recent Style Id 6_1">
    <vt:lpwstr>http://www.zotero.org/styles/molecular-and-cellular-neuroscience</vt:lpwstr>
  </property>
  <property fmtid="{D5CDD505-2E9C-101B-9397-08002B2CF9AE}" pid="15" name="Mendeley Recent Style Name 6_1">
    <vt:lpwstr>Molecular and Cellular Neuroscience</vt:lpwstr>
  </property>
  <property fmtid="{D5CDD505-2E9C-101B-9397-08002B2CF9AE}" pid="16" name="Mendeley Recent Style Id 7_1">
    <vt:lpwstr>http://www.zotero.org/styles/pharmaceutics</vt:lpwstr>
  </property>
  <property fmtid="{D5CDD505-2E9C-101B-9397-08002B2CF9AE}" pid="17" name="Mendeley Recent Style Name 7_1">
    <vt:lpwstr>Pharmaceutics</vt:lpwstr>
  </property>
  <property fmtid="{D5CDD505-2E9C-101B-9397-08002B2CF9AE}" pid="18" name="Mendeley Recent Style Id 8_1">
    <vt:lpwstr>http://www.zotero.org/styles/progress-in-neurobiology</vt:lpwstr>
  </property>
  <property fmtid="{D5CDD505-2E9C-101B-9397-08002B2CF9AE}" pid="19" name="Mendeley Recent Style Name 8_1">
    <vt:lpwstr>Progress in Neurobiology</vt:lpwstr>
  </property>
  <property fmtid="{D5CDD505-2E9C-101B-9397-08002B2CF9AE}" pid="20" name="Mendeley Recent Style Id 9_1">
    <vt:lpwstr>http://www.zotero.org/styles/world-neurosurgery</vt:lpwstr>
  </property>
  <property fmtid="{D5CDD505-2E9C-101B-9397-08002B2CF9AE}" pid="21" name="Mendeley Recent Style Name 9_1">
    <vt:lpwstr>World Neurosurgery</vt:lpwstr>
  </property>
  <property fmtid="{D5CDD505-2E9C-101B-9397-08002B2CF9AE}" pid="22" name="Mendeley Document_1">
    <vt:lpwstr>True</vt:lpwstr>
  </property>
  <property fmtid="{D5CDD505-2E9C-101B-9397-08002B2CF9AE}" pid="23" name="Mendeley Unique User Id_1">
    <vt:lpwstr>8f234ff6-138a-3d42-afd3-c7bca4bba2e4</vt:lpwstr>
  </property>
  <property fmtid="{D5CDD505-2E9C-101B-9397-08002B2CF9AE}" pid="24" name="Mendeley Citation Style_1">
    <vt:lpwstr>http://www.zotero.org/styles/journal-of-the-neurological-sciences</vt:lpwstr>
  </property>
</Properties>
</file>